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72"/>
        </w:rPr>
        <w:t xml:space="preserve"> </w:t>
      </w:r>
      <w:r/>
    </w:p>
    <w:p>
      <w:pPr>
        <w:jc w:val="center"/>
        <w:spacing w:before="120" w:after="120" w:line="360" w:lineRule="auto"/>
        <w:rPr>
          <w:rFonts w:asciiTheme="minorEastAsia" w:hAnsiTheme="minorEastAsia" w:eastAsiaTheme="minorEastAsia" w:cstheme="minorEastAsia"/>
          <w:b/>
          <w:bCs/>
          <w:color w:val="000000" w:themeColor="text1"/>
          <w:sz w:val="84"/>
          <w:szCs w:val="24"/>
        </w:rPr>
      </w:pPr>
      <w:r>
        <w:rPr>
          <w:rFonts w:hint="eastAsia" w:asciiTheme="minorEastAsia" w:hAnsiTheme="minorEastAsia" w:eastAsiaTheme="minorEastAsia" w:cstheme="minorEastAsia"/>
          <w:b/>
          <w:bCs/>
          <w:color w:val="000000" w:themeColor="text1"/>
          <w:sz w:val="84"/>
          <w:szCs w:val="24"/>
        </w:rPr>
        <w:t xml:space="preserve">招　标　文　件</w:t>
      </w:r>
      <w:r/>
    </w:p>
    <w:p>
      <w:pPr>
        <w:pStyle w:val="1113"/>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pStyle w:val="1113"/>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pStyle w:val="1113"/>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ind w:firstLine="1940"/>
        <w:jc w:val="left"/>
        <w:spacing w:before="120" w:after="120" w:line="360" w:lineRule="auto"/>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 xml:space="preserve">项目名称：</w:t>
      </w:r>
      <w:r>
        <w:rPr>
          <w:rFonts w:hint="eastAsia" w:asciiTheme="minorEastAsia" w:hAnsiTheme="minorEastAsia" w:eastAsiaTheme="minorEastAsia" w:cstheme="minorEastAsia"/>
          <w:b/>
          <w:color w:val="000000" w:themeColor="text1"/>
          <w:sz w:val="28"/>
          <w:szCs w:val="28"/>
        </w:rPr>
        <w:t xml:space="preserve">2026年市政设施养护维修项目</w:t>
      </w:r>
      <w:r/>
    </w:p>
    <w:p>
      <w:pPr>
        <w:ind w:firstLine="1968"/>
        <w:spacing w:before="120" w:after="120" w:line="360" w:lineRule="auto"/>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 xml:space="preserve">项目编号:</w:t>
      </w:r>
      <w:r>
        <w:rPr>
          <w:rFonts w:asciiTheme="minorEastAsia" w:hAnsiTheme="minorEastAsia" w:eastAsiaTheme="minorEastAsia" w:cstheme="minorEastAsia"/>
          <w:b/>
          <w:bCs/>
          <w:color w:val="000000" w:themeColor="text1"/>
          <w:sz w:val="28"/>
          <w:szCs w:val="28"/>
        </w:rPr>
        <w:t xml:space="preserve">JSZC-321204-ZYNJ-G2026-0007</w:t>
      </w:r>
      <w:r/>
    </w:p>
    <w:p>
      <w:pPr>
        <w:ind w:left="2811" w:hanging="2811"/>
        <w:rPr>
          <w:rFonts w:asciiTheme="minorEastAsia" w:hAnsiTheme="minorEastAsia" w:eastAsiaTheme="minorEastAsia" w:cstheme="minorEastAsia"/>
          <w:b/>
          <w:color w:val="000000" w:themeColor="text1"/>
          <w:sz w:val="28"/>
          <w:szCs w:val="28"/>
        </w:rPr>
      </w:pPr>
      <w:r>
        <w:rPr>
          <w:rFonts w:asciiTheme="minorEastAsia" w:hAnsiTheme="minorEastAsia" w:eastAsiaTheme="minorEastAsia" w:cstheme="minorEastAsia"/>
          <w:b/>
          <w:color w:val="000000" w:themeColor="text1"/>
          <w:sz w:val="28"/>
          <w:szCs w:val="28"/>
        </w:rPr>
      </w:r>
      <w:r/>
    </w:p>
    <w:p>
      <w:pPr>
        <w:ind w:left="2465" w:firstLine="236"/>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（全流程电子化-服务类项目）</w:t>
      </w:r>
      <w:r/>
    </w:p>
    <w:p>
      <w:pPr>
        <w:pStyle w:val="1114"/>
        <w:ind w:firstLine="568"/>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ind w:firstLine="419"/>
        <w:spacing w:line="360" w:lineRule="auto"/>
        <w:rPr>
          <w:rFonts w:asciiTheme="minorEastAsia" w:hAnsiTheme="minorEastAsia" w:eastAsiaTheme="minorEastAsia" w:cstheme="minorEastAsia"/>
          <w:b/>
          <w:bCs/>
          <w:color w:val="000000" w:themeColor="text1"/>
          <w:sz w:val="28"/>
          <w:szCs w:val="28"/>
        </w:rPr>
      </w:pPr>
      <w:r>
        <w:rPr>
          <w:rFonts w:asciiTheme="minorEastAsia" w:hAnsiTheme="minorEastAsia" w:eastAsiaTheme="minorEastAsia" w:cstheme="minorEastAsia"/>
          <w:b/>
          <w:bCs/>
          <w:color w:val="000000" w:themeColor="text1"/>
          <w:sz w:val="28"/>
          <w:szCs w:val="28"/>
        </w:rPr>
      </w:r>
      <w:r/>
    </w:p>
    <w:p>
      <w:pPr>
        <w:ind w:firstLine="419"/>
        <w:spacing w:line="360" w:lineRule="auto"/>
        <w:rPr>
          <w:rFonts w:asciiTheme="minorEastAsia" w:hAnsiTheme="minorEastAsia" w:eastAsiaTheme="minorEastAsia" w:cstheme="minorEastAsia"/>
          <w:b/>
          <w:bCs/>
          <w:color w:val="000000" w:themeColor="text1"/>
          <w:sz w:val="28"/>
          <w:szCs w:val="28"/>
        </w:rPr>
      </w:pPr>
      <w:r>
        <w:rPr>
          <w:rFonts w:asciiTheme="minorEastAsia" w:hAnsiTheme="minorEastAsia" w:eastAsiaTheme="minorEastAsia" w:cstheme="minorEastAsia"/>
          <w:b/>
          <w:bCs/>
          <w:color w:val="000000" w:themeColor="text1"/>
          <w:sz w:val="28"/>
          <w:szCs w:val="28"/>
        </w:rPr>
      </w:r>
      <w:r/>
    </w:p>
    <w:p>
      <w:pPr>
        <w:ind w:firstLine="419"/>
        <w:spacing w:line="360" w:lineRule="auto"/>
        <w:rPr>
          <w:rFonts w:asciiTheme="minorEastAsia" w:hAnsiTheme="minorEastAsia" w:eastAsiaTheme="minorEastAsia" w:cstheme="minorEastAsia"/>
          <w:b/>
          <w:bCs/>
          <w:color w:val="000000" w:themeColor="text1"/>
          <w:sz w:val="28"/>
          <w:szCs w:val="28"/>
        </w:rPr>
      </w:pPr>
      <w:r>
        <w:rPr>
          <w:rFonts w:asciiTheme="minorEastAsia" w:hAnsiTheme="minorEastAsia" w:eastAsiaTheme="minorEastAsia" w:cstheme="minorEastAsia"/>
          <w:b/>
          <w:bCs/>
          <w:color w:val="000000" w:themeColor="text1"/>
          <w:sz w:val="28"/>
          <w:szCs w:val="28"/>
        </w:rPr>
      </w:r>
      <w:r/>
    </w:p>
    <w:p>
      <w:pPr>
        <w:pStyle w:val="767"/>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pStyle w:val="767"/>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p>
      <w:pPr>
        <w:ind w:firstLine="419"/>
        <w:spacing w:line="360" w:lineRule="auto"/>
        <w:rPr>
          <w:rFonts w:asciiTheme="minorEastAsia" w:hAnsiTheme="minorEastAsia" w:eastAsiaTheme="minorEastAsia" w:cstheme="minorEastAsia"/>
          <w:b/>
          <w:bCs/>
          <w:color w:val="000000" w:themeColor="text1"/>
          <w:sz w:val="28"/>
          <w:szCs w:val="28"/>
        </w:rPr>
      </w:pPr>
      <w:r>
        <w:rPr>
          <w:rFonts w:asciiTheme="minorEastAsia" w:hAnsiTheme="minorEastAsia" w:eastAsiaTheme="minorEastAsia" w:cstheme="minorEastAsia"/>
          <w:b/>
          <w:bCs/>
          <w:color w:val="000000" w:themeColor="text1"/>
          <w:sz w:val="28"/>
          <w:szCs w:val="28"/>
        </w:rPr>
      </w:r>
      <w:r/>
    </w:p>
    <w:p>
      <w:pPr>
        <w:ind w:firstLine="419"/>
        <w:spacing w:line="360" w:lineRule="auto"/>
        <w:rPr>
          <w:rFonts w:asciiTheme="minorEastAsia" w:hAnsiTheme="minorEastAsia" w:eastAsiaTheme="minorEastAsia" w:cstheme="minorEastAsia"/>
          <w:b/>
          <w:bCs/>
          <w:color w:val="000000" w:themeColor="text1"/>
          <w:sz w:val="28"/>
          <w:szCs w:val="28"/>
        </w:rPr>
      </w:pPr>
      <w:r>
        <w:rPr>
          <w:rFonts w:asciiTheme="minorEastAsia" w:hAnsiTheme="minorEastAsia" w:eastAsiaTheme="minorEastAsia" w:cstheme="minorEastAsia"/>
          <w:b/>
          <w:bCs/>
          <w:color w:val="000000" w:themeColor="text1"/>
          <w:sz w:val="28"/>
          <w:szCs w:val="28"/>
        </w:rPr>
      </w:r>
      <w:r/>
    </w:p>
    <w:p>
      <w:pPr>
        <w:ind w:firstLine="1653"/>
        <w:spacing w:line="360" w:lineRule="auto"/>
        <w:rPr>
          <w:rFonts w:asciiTheme="minorEastAsia" w:hAnsiTheme="minorEastAsia" w:eastAsiaTheme="minorEastAsia" w:cstheme="minorEastAsia"/>
          <w:b/>
          <w:bCs/>
          <w:color w:val="000000" w:themeColor="text1"/>
          <w:sz w:val="28"/>
          <w:szCs w:val="28"/>
        </w:rPr>
      </w:pPr>
      <w:r/>
      <w:bookmarkStart w:id="0" w:name="_Toc29441"/>
      <w:r>
        <w:rPr>
          <w:rFonts w:hint="eastAsia" w:asciiTheme="minorEastAsia" w:hAnsiTheme="minorEastAsia" w:eastAsiaTheme="minorEastAsia" w:cstheme="minorEastAsia"/>
          <w:b/>
          <w:bCs/>
          <w:color w:val="000000" w:themeColor="text1"/>
          <w:sz w:val="28"/>
          <w:szCs w:val="28"/>
        </w:rPr>
        <w:t xml:space="preserve">采   购   人：</w:t>
      </w:r>
      <w:bookmarkEnd w:id="0"/>
      <w:r>
        <w:rPr>
          <w:rFonts w:hint="eastAsia" w:asciiTheme="minorEastAsia" w:hAnsiTheme="minorEastAsia" w:eastAsiaTheme="minorEastAsia" w:cstheme="minorEastAsia"/>
          <w:b/>
          <w:bCs/>
          <w:color w:val="000000" w:themeColor="text1"/>
          <w:sz w:val="28"/>
          <w:szCs w:val="28"/>
        </w:rPr>
        <w:t xml:space="preserve">泰州市姜堰区市政园林服务中心</w:t>
      </w:r>
      <w:r/>
    </w:p>
    <w:p>
      <w:pPr>
        <w:pStyle w:val="761"/>
        <w:rPr>
          <w:rFonts w:asciiTheme="minorEastAsia" w:hAnsiTheme="minorEastAsia" w:eastAsiaTheme="minorEastAsia" w:cstheme="minorEastAsia"/>
          <w:color w:val="000000" w:themeColor="text1"/>
          <w:sz w:val="28"/>
          <w:szCs w:val="28"/>
        </w:rPr>
      </w:pPr>
      <w:r>
        <w:rPr>
          <w:rFonts w:asciiTheme="minorEastAsia" w:hAnsiTheme="minorEastAsia" w:eastAsiaTheme="minorEastAsia" w:cstheme="minorEastAsia"/>
          <w:color w:val="000000" w:themeColor="text1"/>
          <w:sz w:val="28"/>
          <w:szCs w:val="28"/>
        </w:rPr>
      </w:r>
      <w:r/>
    </w:p>
    <w:p>
      <w:pPr>
        <w:ind w:firstLine="1653"/>
        <w:spacing w:line="360" w:lineRule="auto"/>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8"/>
          <w:szCs w:val="28"/>
        </w:rPr>
        <w:t xml:space="preserve">采购代理机构：南京正一工程造价咨询有限公司</w:t>
      </w:r>
      <w:r/>
    </w:p>
    <w:p>
      <w:pPr>
        <w:jc w:val="center"/>
        <w:rPr>
          <w:rFonts w:asciiTheme="minorEastAsia" w:hAnsiTheme="minorEastAsia" w:eastAsiaTheme="minorEastAsia" w:cstheme="minorEastAsia"/>
          <w:b/>
          <w:color w:val="000000" w:themeColor="text1"/>
          <w:sz w:val="28"/>
          <w:szCs w:val="28"/>
        </w:rPr>
      </w:pPr>
      <w:r>
        <w:rPr>
          <w:rFonts w:asciiTheme="minorEastAsia" w:hAnsiTheme="minorEastAsia" w:eastAsiaTheme="minorEastAsia" w:cstheme="minorEastAsia"/>
          <w:b/>
          <w:color w:val="000000" w:themeColor="text1"/>
          <w:sz w:val="28"/>
          <w:szCs w:val="28"/>
        </w:rPr>
      </w:r>
      <w:r/>
    </w:p>
    <w:p>
      <w:pPr>
        <w:jc w:val="center"/>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rPr>
        <w:t xml:space="preserve">2026年6月</w:t>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rPr>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rPr>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rPr>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rPr>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rPr>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rPr>
      </w:r>
      <w:r/>
    </w:p>
    <w:p>
      <w:pPr>
        <w:jc w:val="center"/>
        <w:rPr>
          <w:rFonts w:asciiTheme="minorEastAsia" w:hAnsiTheme="minorEastAsia" w:eastAsiaTheme="minorEastAsia" w:cstheme="minorEastAsia"/>
          <w:bCs/>
          <w:color w:val="000000" w:themeColor="text1"/>
          <w:spacing w:val="20"/>
          <w:sz w:val="72"/>
          <w:szCs w:val="72"/>
        </w:rPr>
      </w:pPr>
      <w:r>
        <w:rPr>
          <w:rFonts w:hint="eastAsia" w:asciiTheme="minorEastAsia" w:hAnsiTheme="minorEastAsia" w:eastAsiaTheme="minorEastAsia" w:cstheme="minorEastAsia"/>
          <w:b/>
          <w:bCs/>
          <w:color w:val="000000" w:themeColor="text1"/>
          <w:sz w:val="32"/>
          <w:szCs w:val="32"/>
        </w:rPr>
        <w:t xml:space="preserve">政府采购线上合同信用融资功能告知提醒</w:t>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b/>
          <w:bCs/>
          <w:color w:val="000000" w:themeColor="text1"/>
        </w:rPr>
        <w:t xml:space="preserve">一、政府采购线上合同信用融资功能告知提醒</w:t>
      </w:r>
      <w:r/>
    </w:p>
    <w:p>
      <w:pPr>
        <w:ind w:firstLine="564"/>
        <w:spacing w:line="400" w:lineRule="exact"/>
        <w:rPr>
          <w:rFonts w:asciiTheme="minorEastAsia" w:hAnsiTheme="minorEastAsia" w:eastAsiaTheme="minorEastAsia" w:cstheme="minorEastAsia"/>
          <w:color w:val="000000" w:themeColor="text1"/>
          <w:spacing w:val="1"/>
          <w:sz w:val="24"/>
          <w:szCs w:val="24"/>
        </w:rPr>
      </w:pPr>
      <w:r>
        <w:rPr>
          <w:rFonts w:hint="eastAsia" w:asciiTheme="minorEastAsia" w:hAnsiTheme="minorEastAsia" w:eastAsiaTheme="minorEastAsia" w:cstheme="minorEastAsia"/>
          <w:color w:val="000000" w:themeColor="text1"/>
          <w:spacing w:val="1"/>
          <w:sz w:val="24"/>
          <w:szCs w:val="24"/>
        </w:rPr>
        <w:t xml:space="preserve">我区已正式启用“苏采云”系统，目前已全面开</w:t>
      </w:r>
      <w:r>
        <w:rPr>
          <w:rFonts w:hint="eastAsia" w:asciiTheme="minorEastAsia" w:hAnsiTheme="minorEastAsia" w:eastAsiaTheme="minorEastAsia" w:cstheme="minorEastAsia"/>
          <w:color w:val="000000" w:themeColor="text1"/>
          <w:spacing w:val="11"/>
          <w:sz w:val="24"/>
          <w:szCs w:val="24"/>
        </w:rPr>
        <w:t xml:space="preserve">通</w:t>
      </w:r>
      <w:r>
        <w:rPr>
          <w:rFonts w:hint="eastAsia" w:asciiTheme="minorEastAsia" w:hAnsiTheme="minorEastAsia" w:eastAsiaTheme="minorEastAsia" w:cstheme="minorEastAsia"/>
          <w:color w:val="000000" w:themeColor="text1"/>
          <w:spacing w:val="1"/>
          <w:sz w:val="24"/>
          <w:szCs w:val="24"/>
        </w:rPr>
        <w:t xml:space="preserve">政府采购线上合同信用融资（以下简称“政采贷”）功能。成交供应商可凭政府采购合同在中征平台发起贷款申请贷款。</w:t>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b/>
          <w:bCs/>
          <w:color w:val="000000" w:themeColor="text1"/>
        </w:rPr>
        <w:t xml:space="preserve">1.“政采贷”业务流程</w:t>
      </w:r>
      <w:r/>
    </w:p>
    <w:p>
      <w:pPr>
        <w:pStyle w:val="1008"/>
        <w:jc w:val="both"/>
        <w:spacing w:before="0" w:beforeAutospacing="0" w:after="0" w:afterAutospacing="0" w:line="400" w:lineRule="exact"/>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rPr>
          <w:rFonts w:hint="eastAsia" w:asciiTheme="minorEastAsia" w:hAnsiTheme="minorEastAsia" w:eastAsiaTheme="minorEastAsia" w:cstheme="minor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251460</wp:posOffset>
                </wp:positionH>
                <wp:positionV relativeFrom="paragraph">
                  <wp:posOffset>8890</wp:posOffset>
                </wp:positionV>
                <wp:extent cx="5267960" cy="1553210"/>
                <wp:effectExtent l="19050" t="0" r="8890" b="0"/>
                <wp:wrapNone/>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3"/>
                        <a:stretch/>
                      </pic:blipFill>
                      <pic:spPr bwMode="auto">
                        <a:xfrm>
                          <a:off x="0" y="0"/>
                          <a:ext cx="5267960" cy="15532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19.8pt;mso-position-horizontal:absolute;mso-position-vertical-relative:text;margin-top:0.7pt;mso-position-vertical:absolute;width:414.8pt;height:122.3pt;mso-wrap-distance-left:9.0pt;mso-wrap-distance-top:0.0pt;mso-wrap-distance-right:9.0pt;mso-wrap-distance-bottom:0.0pt;" stroked="false">
                <v:path textboxrect="0,0,0,0"/>
                <v:imagedata r:id="rId13" o:title=""/>
              </v:shape>
            </w:pict>
          </mc:Fallback>
        </mc:AlternateContent>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asciiTheme="minorEastAsia" w:hAnsiTheme="minorEastAsia" w:eastAsiaTheme="minorEastAsia" w:cstheme="minorEastAsia"/>
          <w:b/>
          <w:bCs/>
          <w:color w:val="000000" w:themeColor="text1"/>
        </w:rPr>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asciiTheme="minorEastAsia" w:hAnsiTheme="minorEastAsia" w:eastAsiaTheme="minorEastAsia" w:cstheme="minorEastAsia"/>
          <w:b/>
          <w:bCs/>
          <w:color w:val="000000" w:themeColor="text1"/>
        </w:rPr>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asciiTheme="minorEastAsia" w:hAnsiTheme="minorEastAsia" w:eastAsiaTheme="minorEastAsia" w:cstheme="minorEastAsia"/>
          <w:b/>
          <w:bCs/>
          <w:color w:val="000000" w:themeColor="text1"/>
        </w:rPr>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asciiTheme="minorEastAsia" w:hAnsiTheme="minorEastAsia" w:eastAsiaTheme="minorEastAsia" w:cstheme="minorEastAsia"/>
          <w:b/>
          <w:bCs/>
          <w:color w:val="000000" w:themeColor="text1"/>
        </w:rPr>
      </w:r>
      <w:r/>
    </w:p>
    <w:p>
      <w:pPr>
        <w:pStyle w:val="1008"/>
        <w:ind w:left="640"/>
        <w:jc w:val="both"/>
        <w:spacing w:before="0" w:beforeAutospacing="0" w:after="0" w:afterAutospacing="0" w:line="400" w:lineRule="exact"/>
        <w:rPr>
          <w:rFonts w:asciiTheme="minorEastAsia" w:hAnsiTheme="minorEastAsia" w:eastAsiaTheme="minorEastAsia" w:cstheme="minorEastAsia"/>
          <w:b/>
          <w:bCs/>
          <w:color w:val="000000" w:themeColor="text1"/>
        </w:rPr>
      </w:pPr>
      <w:r>
        <w:rPr>
          <w:rFonts w:asciiTheme="minorEastAsia" w:hAnsiTheme="minorEastAsia" w:eastAsiaTheme="minorEastAsia" w:cstheme="minorEastAsia"/>
          <w:b/>
          <w:bCs/>
          <w:color w:val="000000" w:themeColor="text1"/>
        </w:rPr>
      </w:r>
      <w:r/>
    </w:p>
    <w:p>
      <w:pPr>
        <w:pStyle w:val="1008"/>
        <w:ind w:left="640"/>
        <w:jc w:val="both"/>
        <w:spacing w:before="0" w:beforeAutospacing="0" w:after="0" w:afterAutospacing="0" w:line="350" w:lineRule="exact"/>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b/>
          <w:bCs/>
          <w:color w:val="000000" w:themeColor="text1"/>
        </w:rPr>
        <w:t xml:space="preserve">2.操作流程</w:t>
      </w:r>
      <w:r/>
    </w:p>
    <w:p>
      <w:pPr>
        <w:pStyle w:val="1008"/>
        <w:ind w:firstLine="480"/>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08"/>
        <w:ind w:left="640"/>
        <w:jc w:val="both"/>
        <w:spacing w:before="0" w:beforeAutospacing="0" w:after="0" w:afterAutospacing="0" w:line="350" w:lineRule="exact"/>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b/>
          <w:bCs/>
          <w:color w:val="000000" w:themeColor="text1"/>
        </w:rPr>
        <w:t xml:space="preserve">3.常见问题</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Q1：哪些企业能申请“政采贷”？</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答：江苏省内采用国库集中支付的政府采购项目的中标供应商，可凭政府采购合同申请"政采贷"。</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Q2：供应商在哪里申请“政采贷”？</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答：中标供应商在“中征应收账款融资服务平台”（简称“中征平台”）上向意向银行发起融资申请</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Q3：中标供应商要注意什么？</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答：中标供应商要加强和采购单位的沟通协调，尽早确定融资需求。需要“政采贷”融资的，政府采购合同付款账号应当空置。</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Q4：采购单位要做什么？</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答：采购单位在“苏采云”系统中公示政府采购合同时，要勾选融资标识，为中标供应商融资提供便利。如后续融资失败，采购单位要及时维护中标供应商相关账号信息，按时支付款项。</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Q5：“政采贷”融资失败怎么办？</w:t>
      </w:r>
      <w:r/>
    </w:p>
    <w:p>
      <w:pPr>
        <w:pStyle w:val="1008"/>
        <w:jc w:val="both"/>
        <w:spacing w:before="0" w:beforeAutospacing="0" w:after="0" w:afterAutospacing="0" w:line="35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答：经合作银行审核后不予放款，或者贷款审核时间超过10个工作日的，视为融资失败，该项目回到财政预算管理一体化系统中支付资金。融资失败的，无法重新线上申请“政采贷”。</w:t>
      </w:r>
      <w:r/>
    </w:p>
    <w:p>
      <w:pPr>
        <w:pStyle w:val="1008"/>
        <w:ind w:left="640"/>
        <w:jc w:val="both"/>
        <w:spacing w:before="0" w:beforeAutospacing="0" w:after="0" w:afterAutospacing="0" w:line="350" w:lineRule="exact"/>
        <w:rPr>
          <w:rFonts w:asciiTheme="minorEastAsia" w:hAnsiTheme="minorEastAsia" w:eastAsiaTheme="minorEastAsia" w:cstheme="minorEastAsia"/>
          <w:b/>
          <w:bCs/>
          <w:color w:val="000000" w:themeColor="text1"/>
        </w:rPr>
      </w:pPr>
      <w:r>
        <w:rPr>
          <w:rFonts w:hint="eastAsia" w:asciiTheme="minorEastAsia" w:hAnsiTheme="minorEastAsia" w:eastAsiaTheme="minorEastAsia" w:cstheme="minorEastAsia"/>
          <w:b/>
          <w:bCs/>
          <w:color w:val="000000" w:themeColor="text1"/>
        </w:rPr>
        <w:t xml:space="preserve">4.网址及联系方式</w:t>
      </w:r>
      <w:r/>
    </w:p>
    <w:p>
      <w:pPr>
        <w:spacing w:line="350" w:lineRule="exact"/>
        <w:rPr>
          <w:rFonts w:asciiTheme="minorEastAsia" w:hAnsiTheme="minorEastAsia" w:eastAsiaTheme="minorEastAsia" w:cstheme="minorEastAsia"/>
          <w:color w:val="000000" w:themeColor="text1"/>
          <w:spacing w:val="1"/>
          <w:sz w:val="24"/>
          <w:szCs w:val="24"/>
        </w:rPr>
      </w:pPr>
      <w:r>
        <w:rPr>
          <w:rFonts w:hint="eastAsia" w:asciiTheme="minorEastAsia" w:hAnsiTheme="minorEastAsia" w:eastAsiaTheme="minorEastAsia" w:cstheme="minorEastAsia"/>
          <w:color w:val="000000" w:themeColor="text1"/>
          <w:spacing w:val="1"/>
          <w:sz w:val="24"/>
          <w:szCs w:val="24"/>
        </w:rPr>
        <w:t xml:space="preserve">政采贷：</w:t>
      </w:r>
      <w:hyperlink r:id="rId14" w:tooltip="http://www.ccgp-jiangsu.gov.cn/jiangsu/paying.html" w:history="1">
        <w:r>
          <w:rPr>
            <w:rStyle w:val="1021"/>
            <w:rFonts w:hint="default" w:asciiTheme="minorEastAsia" w:hAnsiTheme="minorEastAsia" w:eastAsiaTheme="minorEastAsia" w:cstheme="minorEastAsia"/>
            <w:color w:val="000000" w:themeColor="text1"/>
            <w:spacing w:val="1"/>
            <w:sz w:val="24"/>
            <w:szCs w:val="24"/>
          </w:rPr>
          <w:t xml:space="preserve">http://www.ccgp-jiangsu.gov.cn/jiangsu/paying.html</w:t>
        </w:r>
      </w:hyperlink>
      <w:r/>
      <w:r/>
    </w:p>
    <w:p>
      <w:pPr>
        <w:spacing w:line="350" w:lineRule="exact"/>
        <w:rPr>
          <w:rFonts w:asciiTheme="minorEastAsia" w:hAnsiTheme="minorEastAsia" w:eastAsiaTheme="minorEastAsia" w:cstheme="minorEastAsia"/>
          <w:color w:val="000000" w:themeColor="text1"/>
          <w:spacing w:val="1"/>
          <w:sz w:val="24"/>
          <w:szCs w:val="24"/>
        </w:rPr>
      </w:pPr>
      <w:r>
        <w:rPr>
          <w:rFonts w:hint="eastAsia" w:asciiTheme="minorEastAsia" w:hAnsiTheme="minorEastAsia" w:eastAsiaTheme="minorEastAsia" w:cstheme="minorEastAsia"/>
          <w:color w:val="000000" w:themeColor="text1"/>
          <w:spacing w:val="1"/>
          <w:sz w:val="24"/>
          <w:szCs w:val="24"/>
        </w:rPr>
        <w:t xml:space="preserve">中征平台：</w:t>
      </w:r>
      <w:hyperlink r:id="rId15" w:tooltip="https://www.crcrfsp.com/" w:history="1">
        <w:r>
          <w:rPr>
            <w:rStyle w:val="1021"/>
            <w:rFonts w:hint="default" w:asciiTheme="minorEastAsia" w:hAnsiTheme="minorEastAsia" w:eastAsiaTheme="minorEastAsia" w:cstheme="minorEastAsia"/>
            <w:color w:val="000000" w:themeColor="text1"/>
            <w:spacing w:val="1"/>
            <w:sz w:val="24"/>
            <w:szCs w:val="24"/>
          </w:rPr>
          <w:t xml:space="preserve">https://www.crcrfsp.com/</w:t>
        </w:r>
      </w:hyperlink>
      <w:r/>
      <w:r/>
    </w:p>
    <w:p>
      <w:pPr>
        <w:spacing w:line="350" w:lineRule="exact"/>
        <w:rPr>
          <w:rFonts w:asciiTheme="minorEastAsia" w:hAnsiTheme="minorEastAsia" w:eastAsiaTheme="minorEastAsia" w:cstheme="minorEastAsia"/>
          <w:color w:val="000000" w:themeColor="text1"/>
          <w:spacing w:val="1"/>
          <w:sz w:val="24"/>
          <w:szCs w:val="24"/>
        </w:rPr>
      </w:pPr>
      <w:r>
        <w:rPr>
          <w:rFonts w:hint="eastAsia" w:asciiTheme="minorEastAsia" w:hAnsiTheme="minorEastAsia" w:eastAsiaTheme="minorEastAsia" w:cstheme="minorEastAsia"/>
          <w:color w:val="000000" w:themeColor="text1"/>
          <w:spacing w:val="1"/>
          <w:sz w:val="24"/>
          <w:szCs w:val="24"/>
        </w:rPr>
        <w:t xml:space="preserve">联系人：翟先生           联系电话：0523-88816349</w:t>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rPr>
        <w:t xml:space="preserve">目录</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第一章招标公告</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第二章投标人须知</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第三章投标文件格式</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第四章采购内容</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第五章评标办法及标准</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第六章拟签订的合同文本</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第七章附件</w:t>
      </w:r>
      <w:r/>
    </w:p>
    <w:p>
      <w:pPr>
        <w:spacing w:before="240" w:after="24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2"/>
        </w:rPr>
        <w:t xml:space="preserve">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2"/>
        </w:rPr>
        <w:t xml:space="preserve">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2"/>
        </w:rPr>
        <w:t xml:space="preserve">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2"/>
        </w:rPr>
        <w:t xml:space="preserve"> </w:t>
      </w:r>
      <w:r/>
    </w:p>
    <w:p>
      <w:pPr>
        <w:pStyle w:val="805"/>
        <w:jc w:val="center"/>
        <w:spacing w:before="0" w:after="0" w:line="630" w:lineRule="atLeast"/>
        <w:shd w:val="clear" w:color="ffffff" w:fill="ffffff"/>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pStyle w:val="805"/>
        <w:jc w:val="center"/>
        <w:spacing w:before="0" w:after="0" w:line="630" w:lineRule="atLeast"/>
        <w:shd w:val="clear" w:color="ffffff" w:fill="ffffff"/>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15"/>
          <w:sz w:val="36"/>
        </w:rPr>
        <w:t xml:space="preserve">第一章</w:t>
      </w:r>
      <w:r>
        <w:rPr>
          <w:rFonts w:hint="eastAsia" w:asciiTheme="minorEastAsia" w:hAnsiTheme="minorEastAsia" w:eastAsiaTheme="minorEastAsia" w:cstheme="minorEastAsia"/>
          <w:b/>
          <w:color w:val="000000" w:themeColor="text1"/>
          <w:sz w:val="28"/>
        </w:rPr>
        <w:t xml:space="preserve"> </w:t>
      </w:r>
      <w:r>
        <w:rPr>
          <w:rFonts w:hint="eastAsia" w:asciiTheme="minorEastAsia" w:hAnsiTheme="minorEastAsia" w:eastAsiaTheme="minorEastAsia" w:cstheme="minorEastAsia"/>
          <w:b/>
          <w:bCs/>
          <w:color w:val="000000" w:themeColor="text1"/>
          <w:spacing w:val="15"/>
          <w:sz w:val="36"/>
          <w:szCs w:val="36"/>
        </w:rPr>
        <w:t xml:space="preserve">招标公告</w:t>
      </w:r>
      <w:r/>
    </w:p>
    <w:p>
      <w:pPr>
        <w:spacing w:line="360" w:lineRule="auto"/>
        <w:rPr>
          <w:rFonts w:asciiTheme="minorEastAsia" w:hAnsiTheme="minorEastAsia" w:eastAsiaTheme="minorEastAsia" w:cstheme="minorEastAsia"/>
          <w:color w:val="000000" w:themeColor="text1"/>
          <w:sz w:val="24"/>
          <w:szCs w:val="24"/>
        </w:rPr>
        <w:pBdr>
          <w:top w:val="single" w:color="000000" w:sz="4" w:space="1"/>
          <w:left w:val="single" w:color="000000" w:sz="4" w:space="4"/>
          <w:bottom w:val="single" w:color="000000" w:sz="4" w:space="1"/>
          <w:right w:val="single" w:color="000000" w:sz="4" w:space="4"/>
        </w:pBdr>
      </w:pPr>
      <w:r/>
      <w:bookmarkStart w:id="1" w:name="OLE_LINK34"/>
      <w:r/>
      <w:bookmarkStart w:id="2" w:name="OLE_LINK30"/>
      <w:r/>
      <w:bookmarkStart w:id="3" w:name="OLE_LINK29"/>
      <w:r>
        <w:rPr>
          <w:rFonts w:hint="eastAsia" w:asciiTheme="minorEastAsia" w:hAnsiTheme="minorEastAsia" w:eastAsiaTheme="minorEastAsia" w:cstheme="minorEastAsia"/>
          <w:color w:val="000000" w:themeColor="text1"/>
          <w:sz w:val="24"/>
          <w:szCs w:val="24"/>
        </w:rPr>
        <w:t xml:space="preserve">项目概况</w:t>
      </w:r>
      <w:r/>
    </w:p>
    <w:p>
      <w:pPr>
        <w:ind w:firstLine="488"/>
        <w:spacing w:line="360" w:lineRule="auto"/>
        <w:rPr>
          <w:rFonts w:asciiTheme="minorEastAsia" w:hAnsiTheme="minorEastAsia" w:eastAsiaTheme="minorEastAsia" w:cstheme="minorEastAsia"/>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000000" w:themeColor="text1"/>
          <w:sz w:val="24"/>
          <w:szCs w:val="24"/>
          <w:u w:val="single"/>
        </w:rPr>
        <w:t xml:space="preserve">2026年市政设施养护维修项目</w:t>
      </w:r>
      <w:r>
        <w:rPr>
          <w:rFonts w:asciiTheme="minorEastAsia" w:hAnsiTheme="minorEastAsia" w:eastAsiaTheme="minorEastAsia" w:cstheme="minorEastAsia"/>
          <w:color w:val="000000" w:themeColor="text1"/>
          <w:sz w:val="24"/>
          <w:szCs w:val="24"/>
          <w:u w:val="single"/>
        </w:rPr>
        <w:t xml:space="preserve">JSZC-321204-ZYNJ-G2026-0007</w:t>
      </w:r>
      <w:r>
        <w:rPr>
          <w:rFonts w:hint="eastAsia" w:asciiTheme="minorEastAsia" w:hAnsiTheme="minorEastAsia" w:eastAsiaTheme="minorEastAsia" w:cstheme="minorEastAsia"/>
          <w:color w:val="000000" w:themeColor="text1"/>
          <w:sz w:val="24"/>
          <w:szCs w:val="24"/>
        </w:rPr>
        <w:t xml:space="preserve">招标项目的潜在投标人应在投标人完成注册并办理CA证书后登录</w:t>
      </w:r>
      <w:r>
        <w:rPr>
          <w:rFonts w:hint="eastAsia" w:asciiTheme="minorEastAsia" w:hAnsiTheme="minorEastAsia" w:eastAsiaTheme="minorEastAsia" w:cstheme="minorEastAsia"/>
          <w:color w:val="000000" w:themeColor="text1"/>
          <w:sz w:val="24"/>
          <w:szCs w:val="24"/>
          <w:u w:val="single"/>
        </w:rPr>
        <w:t xml:space="preserve">“江苏政府采购网-苏采云”系统</w:t>
      </w:r>
      <w:r>
        <w:rPr>
          <w:rFonts w:hint="eastAsia" w:asciiTheme="minorEastAsia" w:hAnsiTheme="minorEastAsia" w:eastAsiaTheme="minorEastAsia" w:cstheme="minorEastAsia"/>
          <w:color w:val="000000" w:themeColor="text1"/>
          <w:sz w:val="24"/>
          <w:szCs w:val="24"/>
        </w:rPr>
        <w:t xml:space="preserve">自行下载招标文件 </w:t>
      </w:r>
      <w:hyperlink r:id="rId16" w:tooltip="http://jszfcg.jsczt.cn/）获取招标文件，并于2023年11月" w:history="1">
        <w:r>
          <w:rPr>
            <w:rStyle w:val="765"/>
            <w:rFonts w:hint="eastAsia" w:asciiTheme="minorEastAsia" w:hAnsiTheme="minorEastAsia" w:eastAsiaTheme="minorEastAsia" w:cstheme="minorEastAsia"/>
            <w:color w:val="000000" w:themeColor="text1"/>
            <w:sz w:val="24"/>
            <w:szCs w:val="24"/>
          </w:rPr>
          <w:t xml:space="preserve">，并于2026年</w:t>
        </w:r>
        <w:r>
          <w:rPr>
            <w:rStyle w:val="765"/>
            <w:rFonts w:hint="eastAsia" w:asciiTheme="minorEastAsia" w:hAnsiTheme="minorEastAsia" w:eastAsiaTheme="minorEastAsia" w:cstheme="minorEastAsia"/>
            <w:color w:val="000000" w:themeColor="text1"/>
            <w:sz w:val="24"/>
            <w:szCs w:val="24"/>
          </w:rPr>
          <w:t xml:space="preserve">7</w:t>
        </w:r>
        <w:r>
          <w:rPr>
            <w:rStyle w:val="765"/>
            <w:rFonts w:hint="eastAsia" w:asciiTheme="minorEastAsia" w:hAnsiTheme="minorEastAsia" w:eastAsiaTheme="minorEastAsia" w:cstheme="minorEastAsia"/>
            <w:color w:val="000000" w:themeColor="text1"/>
            <w:sz w:val="24"/>
            <w:szCs w:val="24"/>
          </w:rPr>
          <w:t xml:space="preserve">月</w:t>
        </w:r>
      </w:hyperlink>
      <w:r>
        <w:rPr>
          <w:rStyle w:val="765"/>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u w:val="single"/>
        </w:rPr>
        <w:t xml:space="preserve">日14 时30 分</w:t>
      </w:r>
      <w:r>
        <w:rPr>
          <w:rFonts w:hint="eastAsia" w:asciiTheme="minorEastAsia" w:hAnsiTheme="minorEastAsia" w:eastAsiaTheme="minorEastAsia" w:cstheme="minorEastAsia"/>
          <w:bCs/>
          <w:color w:val="000000" w:themeColor="text1"/>
          <w:sz w:val="24"/>
          <w:szCs w:val="24"/>
        </w:rPr>
        <w:t xml:space="preserve">（北京时间）前上传投标文件</w:t>
      </w:r>
      <w:bookmarkEnd w:id="1"/>
      <w:r/>
      <w:bookmarkEnd w:id="2"/>
      <w:r>
        <w:rPr>
          <w:rFonts w:hint="eastAsia" w:asciiTheme="minorEastAsia" w:hAnsiTheme="minorEastAsia" w:eastAsiaTheme="minorEastAsia" w:cstheme="minorEastAsia"/>
          <w:color w:val="000000" w:themeColor="text1"/>
          <w:sz w:val="24"/>
          <w:szCs w:val="24"/>
        </w:rPr>
        <w:t xml:space="preserve">。</w:t>
      </w:r>
      <w:bookmarkEnd w:id="3"/>
      <w:r/>
      <w:r/>
    </w:p>
    <w:p>
      <w:pPr>
        <w:pStyle w:val="806"/>
        <w:spacing w:before="0" w:after="105" w:line="553" w:lineRule="atLeast"/>
        <w:shd w:val="clear" w:color="ffffff" w:fill="ffffff"/>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一、项目基本情况</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项目编号：</w:t>
      </w:r>
      <w:r>
        <w:rPr>
          <w:rFonts w:asciiTheme="minorEastAsia" w:hAnsiTheme="minorEastAsia" w:eastAsiaTheme="minorEastAsia" w:cstheme="minorEastAsia"/>
          <w:color w:val="000000" w:themeColor="text1"/>
          <w:sz w:val="24"/>
          <w:szCs w:val="24"/>
        </w:rPr>
        <w:t xml:space="preserve">JSZC-321204-ZYNJ-G2026-0007</w:t>
      </w:r>
      <w:r>
        <w:rPr>
          <w:rFonts w:hint="eastAsia" w:asciiTheme="minorEastAsia" w:hAnsiTheme="minorEastAsia" w:eastAsiaTheme="minorEastAsia" w:cstheme="minorEastAsia"/>
          <w:color w:val="000000" w:themeColor="text1"/>
          <w:sz w:val="24"/>
          <w:szCs w:val="24"/>
        </w:rPr>
        <w:t xml:space="preserve"> </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项目名称：</w:t>
      </w:r>
      <w:bookmarkStart w:id="4" w:name="OLE_LINK36"/>
      <w:r>
        <w:rPr>
          <w:rFonts w:hint="eastAsia" w:asciiTheme="minorEastAsia" w:hAnsiTheme="minorEastAsia" w:eastAsiaTheme="minorEastAsia" w:cstheme="minorEastAsia"/>
          <w:color w:val="000000" w:themeColor="text1"/>
          <w:sz w:val="24"/>
          <w:szCs w:val="24"/>
        </w:rPr>
        <w:t xml:space="preserve">2026年市政设施养护维修项目 </w:t>
      </w:r>
      <w:bookmarkEnd w:id="4"/>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预算金额：900万元</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最高限价（如有）：本项目采用固定优惠率报价，以全费用预算单价清单为基础，投标优惠率不得低于5.00%，否则作废标处理。优惠率是指价格下降幅度的百分比。所报优惠率越高，则表示合同单价越低。投标单位应慎重报价，切勿报反。</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采购需求：对姜堰区</w:t>
      </w:r>
      <w:r>
        <w:rPr>
          <w:rFonts w:asciiTheme="minorEastAsia" w:hAnsiTheme="minorEastAsia" w:eastAsiaTheme="minorEastAsia" w:cstheme="minorEastAsia"/>
          <w:color w:val="000000" w:themeColor="text1"/>
          <w:sz w:val="24"/>
          <w:szCs w:val="24"/>
        </w:rPr>
        <w:t xml:space="preserve">S229</w:t>
      </w:r>
      <w:r>
        <w:rPr>
          <w:rFonts w:hint="eastAsia" w:asciiTheme="minorEastAsia" w:hAnsiTheme="minorEastAsia" w:eastAsiaTheme="minorEastAsia" w:cstheme="minorEastAsia"/>
          <w:color w:val="000000" w:themeColor="text1"/>
          <w:sz w:val="24"/>
          <w:szCs w:val="24"/>
        </w:rPr>
        <w:t xml:space="preserve">省道（不含）以西、上海路（含）以东、</w:t>
      </w:r>
      <w:r>
        <w:rPr>
          <w:rFonts w:asciiTheme="minorEastAsia" w:hAnsiTheme="minorEastAsia" w:eastAsiaTheme="minorEastAsia" w:cstheme="minorEastAsia"/>
          <w:color w:val="000000" w:themeColor="text1"/>
          <w:sz w:val="24"/>
          <w:szCs w:val="24"/>
        </w:rPr>
        <w:t xml:space="preserve">G328</w:t>
      </w:r>
      <w:r>
        <w:rPr>
          <w:rFonts w:hint="eastAsia" w:asciiTheme="minorEastAsia" w:hAnsiTheme="minorEastAsia" w:eastAsiaTheme="minorEastAsia" w:cstheme="minorEastAsia"/>
          <w:color w:val="000000" w:themeColor="text1"/>
          <w:sz w:val="24"/>
          <w:szCs w:val="24"/>
        </w:rPr>
        <w:t xml:space="preserve">国道（不含）以北、站前路（含）以南范围内（部分道路超出以上四至范围由采购人确定外延范围）的市政道路、桥梁、雨水管网、路灯及其附属设施进行巡查、养护、维修（巡查不含桥面以下设施及路灯设施，巡查自2026年11月14日开始至本项目结束），以及完成采购人交办的其他任务，具体详见</w:t>
      </w:r>
      <w:r>
        <w:rPr>
          <w:rFonts w:hint="cs"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拟签订的合同文本</w:t>
      </w:r>
      <w:r>
        <w:rPr>
          <w:rFonts w:hint="cs"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z w:val="24"/>
          <w:szCs w:val="24"/>
        </w:rPr>
        <w:t xml:space="preserve">。根据工作需要，采购人可根据实际情况调整本项目服务范围及内容。</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合同履行期限：</w:t>
      </w:r>
      <w:bookmarkStart w:id="5" w:name="OLE_LINK50"/>
      <w:r/>
      <w:bookmarkStart w:id="6" w:name="OLE_LINK49"/>
      <w:r>
        <w:rPr>
          <w:rFonts w:hint="eastAsia" w:asciiTheme="minorEastAsia" w:hAnsiTheme="minorEastAsia" w:eastAsiaTheme="minorEastAsia" w:cstheme="minorEastAsia"/>
          <w:color w:val="000000" w:themeColor="text1"/>
          <w:sz w:val="24"/>
          <w:szCs w:val="24"/>
        </w:rPr>
        <w:t xml:space="preserve">服务期一年</w:t>
      </w:r>
      <w:bookmarkEnd w:id="5"/>
      <w:r/>
      <w:bookmarkEnd w:id="6"/>
      <w:r>
        <w:rPr>
          <w:rFonts w:hint="eastAsia" w:asciiTheme="minorEastAsia" w:hAnsiTheme="minorEastAsia" w:eastAsiaTheme="minorEastAsia" w:cstheme="minorEastAsia"/>
          <w:color w:val="000000" w:themeColor="text1"/>
          <w:sz w:val="24"/>
          <w:szCs w:val="24"/>
        </w:rPr>
        <w:t xml:space="preserve">,</w:t>
      </w:r>
      <w:r>
        <w:rPr>
          <w:rFonts w:hint="eastAsia" w:ascii="宋体" w:hAnsi="宋体" w:eastAsia="宋体" w:cs="宋体"/>
          <w:color w:val="000000" w:themeColor="text1"/>
          <w:sz w:val="24"/>
          <w:szCs w:val="24"/>
        </w:rPr>
        <w:t xml:space="preserve"> 以合同签订时间为准</w:t>
      </w:r>
      <w:r>
        <w:rPr>
          <w:rFonts w:hint="eastAsia" w:asciiTheme="minorEastAsia" w:hAnsiTheme="minorEastAsia" w:eastAsiaTheme="minorEastAsia" w:cstheme="minorEastAsia"/>
          <w:color w:val="000000" w:themeColor="text1"/>
          <w:sz w:val="24"/>
          <w:szCs w:val="24"/>
        </w:rPr>
        <w:t xml:space="preserve">。</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本项目（是/否）接受联合体投标：不接受联合体</w:t>
      </w:r>
      <w:r/>
    </w:p>
    <w:p>
      <w:pPr>
        <w:pStyle w:val="806"/>
        <w:spacing w:before="0" w:after="105" w:line="55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二、申请人的资格要求：</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（一）满足《中华人民共和国政府采购法》第二十二条规定；</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1.具有独立承担民事责任的能力；</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2.具有良好的商业信誉和健全的财务会计制度；</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3.具有履行合同所必须的设备和专业技术能力；</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4.有依法缴纳税收和社会保障资金的良好记录；</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5.参加政府采购活动前三年内，在经营活动中没有重大违法记录；</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6.法律、行政法规规定的其他条件。</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（二）落实政府采购政策需满足的资格要求：</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本项目专门面向中小企业采购,供应商应为中小微企业、监狱企业、残疾人福利性单位之</w:t>
      </w:r>
      <w:r>
        <w:rPr>
          <w:rFonts w:hint="eastAsia" w:asciiTheme="minorEastAsia" w:hAnsiTheme="minorEastAsia" w:eastAsiaTheme="minorEastAsia" w:cstheme="minorEastAsia"/>
          <w:color w:val="000000" w:themeColor="text1"/>
          <w:sz w:val="24"/>
          <w:szCs w:val="24"/>
        </w:rPr>
        <w:t xml:space="preserve">一。注：中小微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（三）本项目的特定资格要求： </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1.投标人须具有有效的《营业执照》；</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2.投标人须具有建设行政主管部门颁发的市政公用工程（2015新标准）施工总承包三级（含）以上资质；</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3.投标人须具有有效的安全生产许可证；</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投标人拟派本项目项目经理系已在投标人单位注册并具备市政公用工程专业二级(含以上级)注册建造师执业资格，具备有效的安全生产考核合格证书（B证），且未担任其他在建建设工程项目的项目经理。（提供相关证书及《无在建工程承诺书》）</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5.未被“信用中国”网站（www.creditchina.gov.cn）列入失信被执行人、重大税收违法案件当事人名单、政府采购严重失信行为记录名单；</w:t>
      </w:r>
      <w:r/>
    </w:p>
    <w:p>
      <w:pPr>
        <w:pStyle w:val="806"/>
        <w:spacing w:before="0" w:after="105" w:line="55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三、获取招标文件</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1.时间：自招标文件公告发布之日起5个工作日。</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2.地点：投标人完成注册并办理CA证书后登录“江苏政府采购‘苏采云’系统”下载本项目招标文件。</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3.方式：登录江苏政府采购“苏采云”系统免费下载。</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4.售价：免费。</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注意事项：</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本项目采用网上注册登记方式。</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1.潜在投标人访问电子招标投标交易平台的网络地址和方法：</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（1）登录 http://jszfcg.jsczt.cn/，点击“苏采云”进入系统。</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2.采购代理机构将数据电文形式的招标文件加载至电子招标投标交易平台，供潜在投标人下载或者查阅。</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3.如潜在投标人未按上述要求操作，将自行承担所产生的风险。 </w:t>
      </w:r>
      <w:r/>
    </w:p>
    <w:p>
      <w:pPr>
        <w:pStyle w:val="806"/>
        <w:spacing w:before="0" w:after="105" w:line="55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四、提交投标文件截止时间、开标时间和地点</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时间：2026年</w:t>
      </w:r>
      <w:r>
        <w:rPr>
          <w:rFonts w:hint="eastAsia" w:asciiTheme="minorEastAsia" w:hAnsiTheme="minorEastAsia" w:eastAsiaTheme="minorEastAsia" w:cstheme="minorEastAsia"/>
          <w:color w:val="000000" w:themeColor="text1"/>
          <w:sz w:val="24"/>
          <w:szCs w:val="24"/>
        </w:rPr>
        <w:t xml:space="preserve">7</w:t>
      </w:r>
      <w:r>
        <w:rPr>
          <w:rFonts w:hint="eastAsia" w:asciiTheme="minorEastAsia" w:hAnsiTheme="minorEastAsia" w:eastAsiaTheme="minorEastAsia" w:cstheme="minorEastAsia"/>
          <w:color w:val="000000" w:themeColor="text1"/>
          <w:sz w:val="24"/>
          <w:szCs w:val="24"/>
        </w:rPr>
        <w:t xml:space="preserve">月</w:t>
      </w:r>
      <w:r>
        <w:rPr>
          <w:rFonts w:hint="eastAsia" w:asciiTheme="minorEastAsia" w:hAnsiTheme="minorEastAsia" w:eastAsiaTheme="minorEastAsia" w:cstheme="minorEastAsia"/>
          <w:color w:val="000000" w:themeColor="text1"/>
          <w:sz w:val="24"/>
          <w:szCs w:val="24"/>
        </w:rPr>
        <w:t xml:space="preserve">1</w:t>
      </w:r>
      <w:r>
        <w:rPr>
          <w:rFonts w:hint="eastAsia" w:asciiTheme="minorEastAsia" w:hAnsiTheme="minorEastAsia" w:eastAsiaTheme="minorEastAsia" w:cstheme="minorEastAsia"/>
          <w:color w:val="000000" w:themeColor="text1"/>
          <w:sz w:val="24"/>
          <w:szCs w:val="24"/>
        </w:rPr>
        <w:t xml:space="preserve">日14时30分（北京时间）</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地点：江苏政府采购“苏采云”系统不见面开标大厅 </w:t>
      </w:r>
      <w:r/>
    </w:p>
    <w:p>
      <w:pPr>
        <w:pStyle w:val="806"/>
        <w:spacing w:before="0" w:after="105" w:line="553" w:lineRule="atLeast"/>
        <w:shd w:val="clear" w:color="ffffff" w:fill="ffffff"/>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五、公告期限</w:t>
      </w:r>
      <w:r/>
    </w:p>
    <w:p>
      <w:pPr>
        <w:spacing w:after="210"/>
        <w:shd w:val="clear" w:color="ffffff" w:fill="ffffff"/>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自本公告发布之日起5个工作日。</w:t>
      </w:r>
      <w:r/>
    </w:p>
    <w:p>
      <w:pPr>
        <w:spacing w:after="210"/>
        <w:shd w:val="clear" w:color="ffffff" w:fill="ffffff"/>
        <w:rPr>
          <w:rFonts w:asciiTheme="minorEastAsia" w:hAnsiTheme="minorEastAsia" w:eastAsiaTheme="minorEastAsia" w:cstheme="minorEastAsia"/>
          <w:b/>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六、其他补充事宜</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1.投标保证金：本项目不收取投标保证金。</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2.现场踏勘：投标人自行踏勘。（请各投标人对项目现场进行自主踏勘，未现场踏勘和未提出疑义的投标人被视为已踏勘，认同采购项目要求的内容，由此造成的后果由投标人负责）。</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3.在评标结束前，各投标人授权代表应保持手机畅通，以便及时澄清答疑。</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4.根据省财政厅《关</w:t>
      </w:r>
      <w:r>
        <w:rPr>
          <w:rFonts w:hint="eastAsia" w:asciiTheme="minorEastAsia" w:hAnsiTheme="minorEastAsia" w:eastAsiaTheme="minorEastAsia" w:cstheme="minorEastAsia"/>
          <w:color w:val="000000" w:themeColor="text1"/>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6.有关本次招标的事项若存在变动或修改，敬请及时关注“江苏政府采购网”发布的更正公告。</w:t>
      </w:r>
      <w:r/>
    </w:p>
    <w:p>
      <w:pPr>
        <w:pStyle w:val="806"/>
        <w:spacing w:before="0" w:after="105" w:line="55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七、对本次招标提出询问，请按以下方式联系。</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1.采购人信息 </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单位名称：泰州市姜堰区市政园林服务中心</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单位地址：江苏省泰州市姜堰区人民中路 14 号</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联系人：张先生</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联系电话：0523-82778691</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2.采购代理机构信息（如有）</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单位名称：南京正一工程造价咨询有限公司</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单位地址：泰州市姜堰区杭州路332号</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联系人：钱晨</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联系电话：15161091903</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3.项目联系方式</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项目联系人：钱晨</w:t>
      </w:r>
      <w:r/>
    </w:p>
    <w:p>
      <w:pPr>
        <w:spacing w:after="21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电话：15161091903</w:t>
      </w:r>
      <w:r/>
    </w:p>
    <w:p>
      <w:pPr>
        <w:ind w:right="840" w:firstLine="522"/>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ind w:right="840" w:firstLine="522"/>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rPr>
        <w:t xml:space="preserve">第二章 投标人须知</w:t>
      </w:r>
      <w:r/>
    </w:p>
    <w:p>
      <w:pPr>
        <w:ind w:right="840"/>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rPr>
        <w:t xml:space="preserve">    投标人须知前附表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643"/>
        <w:gridCol w:w="1424"/>
        <w:gridCol w:w="7288"/>
      </w:tblGrid>
      <w:tr>
        <w:trPr>
          <w:trHeight w:val="4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内容</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项目名称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2026年市政设施养护维修项目</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招标内容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firstLine="48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themeColor="text1"/>
                <w:sz w:val="24"/>
              </w:rPr>
              <w:t xml:space="preserve">对S229省道（不含）以西、上海路（含）以东、G328国道（不含）以北、站前路（含）以南范围内（部分道路超出以上四至范围由采购人确定外延范围）的市政道路、桥梁、雨水管网、路灯及其附属设施进行巡查、养护、维修（巡查不含桥面以下设施及路灯设施，巡查自2026年11月14日开始至本项目结束），以及完成采购人交办的其他任务，具体详见“拟签订的合同文本”。根据工作需要，采购人可根据实际情况调整本项目服务范围及内容</w:t>
            </w:r>
            <w:r>
              <w:rPr>
                <w:rFonts w:hint="eastAsia" w:asciiTheme="minorEastAsia" w:hAnsiTheme="minorEastAsia" w:eastAsiaTheme="minorEastAsia" w:cstheme="minorEastAsia"/>
                <w:color w:val="000000" w:themeColor="text1"/>
                <w:sz w:val="24"/>
              </w:rPr>
              <w:t xml:space="preserve">。</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服务期限及服务地点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numPr>
                <w:ilvl w:val="0"/>
                <w:numId w:val="1"/>
              </w:num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服务期一年,</w:t>
            </w:r>
            <w:r>
              <w:rPr>
                <w:rFonts w:hint="eastAsia" w:ascii="宋体" w:hAnsi="宋体" w:eastAsia="宋体" w:cs="宋体"/>
                <w:color w:val="000000" w:themeColor="text1"/>
                <w:sz w:val="24"/>
                <w:szCs w:val="24"/>
              </w:rPr>
              <w:t xml:space="preserve"> 以合同签订时间为准</w:t>
            </w:r>
            <w:r>
              <w:rPr>
                <w:rFonts w:hint="eastAsia" w:asciiTheme="minorEastAsia" w:hAnsiTheme="minorEastAsia" w:eastAsiaTheme="minorEastAsia" w:cstheme="minorEastAsia"/>
                <w:color w:val="000000" w:themeColor="text1"/>
                <w:sz w:val="24"/>
              </w:rPr>
              <w:t xml:space="preserve">。</w:t>
            </w:r>
            <w:r/>
          </w:p>
          <w:p>
            <w:pPr>
              <w:numPr>
                <w:ilvl w:val="0"/>
                <w:numId w:val="1"/>
              </w:num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服务地点：姜堰区。</w:t>
            </w: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最高投标限价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ind w:firstLine="480"/>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本项目采用固定优惠率报价，以全费用预算单价清单为基础，投标优惠率不得低于5.00%，否则作废标处理。</w:t>
            </w:r>
            <w:r/>
          </w:p>
          <w:p>
            <w:pPr>
              <w:ind w:firstLine="465"/>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优惠率是指价格下降幅度的百分比。所报优惠率越高，则表示合同单价越低。投标单位应慎重报价，切勿报反。</w:t>
            </w:r>
            <w:r/>
          </w:p>
        </w:tc>
      </w:tr>
      <w:tr>
        <w:trPr>
          <w:trHeight w:val="9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合格投标人资格要求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1、符合《中华人民共和国政府采购法》第二十二条第一款规定的条件。</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2、采购人根据采购项目的特殊要求规定的特定条件：</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（1）投标人须具有有效的《营业执照》；</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（2）投标人须具有建设行政主管部门颁发的市政公用工程（2015新标准）施工总承包三级（含）以上资质；</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（3）投标人须具有有效的安全生产许可证；</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投标人拟派本项目项目经理系已在投标人单位注册并具备市政公用工程专业二级(含以上级)注册建造师执业资格，具备有效的安全生产考核合格证书（B证），且未担任其他在建建设工程项目的项目经理。（提供相关证书及《无在建工程承诺书》）</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（5）未被“信用中国”网站（www.creditchina.gov.cn）列入失信被执行人、重大税收违法案件当事人名单、政府采购严重失信行为记录名单；</w:t>
            </w:r>
            <w:r/>
          </w:p>
        </w:tc>
      </w:tr>
      <w:tr>
        <w:trPr>
          <w:trHeight w:val="7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☑不接受，招标文件中有关联合体规定均不适用</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□接受 </w:t>
            </w:r>
            <w:r/>
          </w:p>
        </w:tc>
      </w:tr>
      <w:tr>
        <w:trPr>
          <w:trHeight w:val="1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☑不组织，自行考察;如投标人需自行考察,费用自理;</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□组织，考察时间： 年月日时</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集合地点：</w:t>
            </w:r>
            <w:r/>
          </w:p>
          <w:p>
            <w:pPr>
              <w:ind w:firstLine="96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联系人：联系电话：</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投标答疑会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☑不召开</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口召开，召开时间：年月日时</w:t>
            </w:r>
            <w:r/>
          </w:p>
          <w:p>
            <w:pPr>
              <w:ind w:firstLine="96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召开地点：</w:t>
            </w:r>
            <w:r/>
          </w:p>
        </w:tc>
      </w:tr>
      <w:tr>
        <w:trPr>
          <w:trHeight w:val="10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投标人提出疑问截止时间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时间：</w:t>
            </w:r>
            <w:r>
              <w:rPr>
                <w:rFonts w:hint="eastAsia" w:asciiTheme="minorEastAsia" w:hAnsiTheme="minorEastAsia" w:eastAsiaTheme="minorEastAsia" w:cstheme="minorEastAsia"/>
                <w:color w:val="000000" w:themeColor="text1"/>
                <w:sz w:val="24"/>
                <w:u w:val="single"/>
              </w:rPr>
              <w:t xml:space="preserve">2026</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u w:val="single"/>
              </w:rPr>
              <w:t xml:space="preserve">6</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u w:val="single"/>
              </w:rPr>
              <w:t xml:space="preserve">15</w:t>
            </w:r>
            <w:r>
              <w:rPr>
                <w:rFonts w:hint="eastAsia" w:asciiTheme="minorEastAsia" w:hAnsiTheme="minorEastAsia" w:eastAsiaTheme="minorEastAsia" w:cstheme="minorEastAsia"/>
                <w:color w:val="000000" w:themeColor="text1"/>
                <w:sz w:val="24"/>
              </w:rPr>
              <w:t xml:space="preserve">日</w:t>
            </w:r>
            <w:r>
              <w:rPr>
                <w:rFonts w:hint="eastAsia" w:asciiTheme="minorEastAsia" w:hAnsiTheme="minorEastAsia" w:eastAsiaTheme="minorEastAsia" w:cstheme="minorEastAsia"/>
                <w:color w:val="000000" w:themeColor="text1"/>
                <w:sz w:val="24"/>
                <w:u w:val="single"/>
              </w:rPr>
              <w:t xml:space="preserve">11</w:t>
            </w:r>
            <w:r>
              <w:rPr>
                <w:rFonts w:hint="eastAsia" w:asciiTheme="minorEastAsia" w:hAnsiTheme="minorEastAsia" w:eastAsiaTheme="minorEastAsia" w:cstheme="minorEastAsia"/>
                <w:color w:val="000000" w:themeColor="text1"/>
                <w:sz w:val="24"/>
              </w:rPr>
              <w:t xml:space="preserve">时前</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澄清、修改时间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时间：</w:t>
            </w:r>
            <w:r>
              <w:rPr>
                <w:rFonts w:hint="eastAsia" w:asciiTheme="minorEastAsia" w:hAnsiTheme="minorEastAsia" w:eastAsiaTheme="minorEastAsia" w:cstheme="minorEastAsia"/>
                <w:color w:val="000000" w:themeColor="text1"/>
                <w:sz w:val="24"/>
                <w:u w:val="single"/>
              </w:rPr>
              <w:t xml:space="preserve">2026</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u w:val="single"/>
              </w:rPr>
              <w:t xml:space="preserve">6</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u w:val="single"/>
              </w:rPr>
              <w:t xml:space="preserve">15</w:t>
            </w:r>
            <w:r>
              <w:rPr>
                <w:rFonts w:hint="eastAsia" w:asciiTheme="minorEastAsia" w:hAnsiTheme="minorEastAsia" w:eastAsiaTheme="minorEastAsia" w:cstheme="minorEastAsia"/>
                <w:color w:val="000000" w:themeColor="text1"/>
                <w:sz w:val="24"/>
              </w:rPr>
              <w:t xml:space="preserve">日</w:t>
            </w:r>
            <w:r>
              <w:rPr>
                <w:rFonts w:hint="eastAsia" w:asciiTheme="minorEastAsia" w:hAnsiTheme="minorEastAsia" w:eastAsiaTheme="minorEastAsia" w:cstheme="minorEastAsia"/>
                <w:color w:val="000000" w:themeColor="text1"/>
                <w:sz w:val="24"/>
                <w:u w:val="single"/>
              </w:rPr>
              <w:t xml:space="preserve">18 </w:t>
            </w:r>
            <w:r>
              <w:rPr>
                <w:rFonts w:hint="eastAsia" w:asciiTheme="minorEastAsia" w:hAnsiTheme="minorEastAsia" w:eastAsiaTheme="minorEastAsia" w:cstheme="minorEastAsia"/>
                <w:color w:val="000000" w:themeColor="text1"/>
                <w:sz w:val="24"/>
              </w:rPr>
              <w:t xml:space="preserve">时</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投标货币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人民币</w:t>
            </w:r>
            <w:r/>
          </w:p>
        </w:tc>
      </w:tr>
      <w:tr>
        <w:trPr>
          <w:trHeight w:val="4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合同方式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☑固定全费用单价合同,工程量按实结算，最高不超过900万元；  </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□固定总价合同   □其他：</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依据苏财购【2020】52号文件精神，本项目免收投标保证金。</w:t>
            </w:r>
            <w:r/>
          </w:p>
        </w:tc>
      </w:tr>
      <w:tr>
        <w:trPr>
          <w:trHeight w:val="4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投标文件有效期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u w:val="single"/>
              </w:rPr>
              <w:t xml:space="preserve">60</w:t>
            </w:r>
            <w:r>
              <w:rPr>
                <w:rFonts w:hint="eastAsia" w:asciiTheme="minorEastAsia" w:hAnsiTheme="minorEastAsia" w:eastAsiaTheme="minorEastAsia" w:cstheme="minorEastAsia"/>
                <w:color w:val="000000" w:themeColor="text1"/>
                <w:sz w:val="24"/>
              </w:rPr>
              <w:t xml:space="preserve">日历天（从投标截止之日算起）</w:t>
            </w:r>
            <w:r/>
          </w:p>
        </w:tc>
      </w:tr>
      <w:tr>
        <w:trPr>
          <w:trHeight w:val="416"/>
        </w:trPr>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643" w:type="dxa"/>
            <w:vAlign w:val="center"/>
            <w:vMerge w:val="restart"/>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投标截止时间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时间：</w:t>
            </w:r>
            <w:r>
              <w:rPr>
                <w:rFonts w:hint="eastAsia" w:asciiTheme="minorEastAsia" w:hAnsiTheme="minorEastAsia" w:eastAsiaTheme="minorEastAsia" w:cstheme="minorEastAsia"/>
                <w:color w:val="000000" w:themeColor="text1"/>
                <w:sz w:val="24"/>
                <w:u w:val="single"/>
              </w:rPr>
              <w:t xml:space="preserve">2026</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u w:val="single"/>
              </w:rPr>
              <w:t xml:space="preserve">7</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u w:val="single"/>
              </w:rPr>
              <w:t xml:space="preserve">1</w:t>
            </w:r>
            <w:r>
              <w:rPr>
                <w:rFonts w:hint="eastAsia" w:asciiTheme="minorEastAsia" w:hAnsiTheme="minorEastAsia" w:eastAsiaTheme="minorEastAsia" w:cstheme="minorEastAsia"/>
                <w:color w:val="000000" w:themeColor="text1"/>
                <w:sz w:val="24"/>
              </w:rPr>
              <w:t xml:space="preserve">日</w:t>
            </w:r>
            <w:r>
              <w:rPr>
                <w:rFonts w:hint="eastAsia" w:asciiTheme="minorEastAsia" w:hAnsiTheme="minorEastAsia" w:eastAsiaTheme="minorEastAsia" w:cstheme="minorEastAsia"/>
                <w:color w:val="000000" w:themeColor="text1"/>
                <w:sz w:val="24"/>
                <w:u w:val="single"/>
              </w:rPr>
              <w:t xml:space="preserve">14</w:t>
            </w:r>
            <w:r>
              <w:rPr>
                <w:rFonts w:hint="eastAsia" w:asciiTheme="minorEastAsia" w:hAnsiTheme="minorEastAsia" w:eastAsiaTheme="minorEastAsia" w:cstheme="minorEastAsia"/>
                <w:color w:val="000000" w:themeColor="text1"/>
                <w:sz w:val="24"/>
              </w:rPr>
              <w:t xml:space="preserve">时</w:t>
            </w:r>
            <w:r>
              <w:rPr>
                <w:rFonts w:hint="eastAsia" w:asciiTheme="minorEastAsia" w:hAnsiTheme="minorEastAsia" w:eastAsiaTheme="minorEastAsia" w:cstheme="minorEastAsia"/>
                <w:color w:val="000000" w:themeColor="text1"/>
                <w:sz w:val="24"/>
                <w:u w:val="single"/>
              </w:rPr>
              <w:t xml:space="preserve">30</w:t>
            </w:r>
            <w:r>
              <w:rPr>
                <w:rFonts w:hint="eastAsia" w:asciiTheme="minorEastAsia" w:hAnsiTheme="minorEastAsia" w:eastAsiaTheme="minorEastAsia" w:cstheme="minorEastAsia"/>
                <w:color w:val="000000" w:themeColor="text1"/>
                <w:sz w:val="24"/>
              </w:rPr>
              <w:t xml:space="preserve">分</w:t>
            </w:r>
            <w:r/>
          </w:p>
        </w:tc>
      </w:tr>
      <w:tr>
        <w:trPr>
          <w:trHeight w:val="315"/>
        </w:trPr>
        <w:tc>
          <w:tcPr>
            <w:tcBorders>
              <w:left w:val="single" w:color="auto" w:sz="4" w:space="0"/>
              <w:bottom w:val="single" w:color="auto" w:sz="4" w:space="0"/>
            </w:tcBorders>
            <w:tcW w:w="0" w:type="auto"/>
            <w:vMerge w:val="continue"/>
            <w:textDirection w:val="lrTb"/>
            <w:noWrap/>
          </w:tcPr>
          <w:p>
            <w:pPr>
              <w:rPr>
                <w:rFonts w:asciiTheme="minorEastAsia" w:hAnsiTheme="minorEastAsia" w:eastAsiaTheme="minorEastAsia" w:cstheme="minorEastAsia"/>
                <w:color w:val="000000" w:themeColor="text1"/>
              </w:rPr>
            </w:pPr>
            <w:r>
              <w:rPr>
                <w:rFonts w:asciiTheme="minorEastAsia" w:hAnsiTheme="minorEastAsia" w:eastAsiaTheme="minorEastAsia" w:cstheme="minorEastAsia"/>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地点：江苏政府采购“苏采云”系统不见面开标大厅。</w:t>
            </w:r>
            <w:r/>
          </w:p>
        </w:tc>
      </w:tr>
      <w:tr>
        <w:trPr>
          <w:trHeight w:val="57"/>
        </w:trPr>
        <w:tc>
          <w:tcPr>
            <w:tcBorders>
              <w:top w:val="single" w:color="auto" w:sz="4" w:space="0"/>
              <w:left w:val="single" w:color="auto" w:sz="4"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开标时间和地点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时间：</w:t>
            </w:r>
            <w:r>
              <w:rPr>
                <w:rFonts w:hint="eastAsia" w:asciiTheme="minorEastAsia" w:hAnsiTheme="minorEastAsia" w:eastAsiaTheme="minorEastAsia" w:cstheme="minorEastAsia"/>
                <w:color w:val="000000" w:themeColor="text1"/>
                <w:sz w:val="24"/>
                <w:u w:val="single"/>
              </w:rPr>
              <w:t xml:space="preserve">2026</w:t>
            </w:r>
            <w:r>
              <w:rPr>
                <w:rFonts w:hint="eastAsia" w:asciiTheme="minorEastAsia" w:hAnsiTheme="minorEastAsia" w:eastAsiaTheme="minorEastAsia" w:cstheme="minorEastAsia"/>
                <w:color w:val="000000" w:themeColor="text1"/>
                <w:sz w:val="24"/>
              </w:rPr>
              <w:t xml:space="preserve">年</w:t>
            </w:r>
            <w:r>
              <w:rPr>
                <w:rFonts w:hint="eastAsia" w:asciiTheme="minorEastAsia" w:hAnsiTheme="minorEastAsia" w:eastAsiaTheme="minorEastAsia" w:cstheme="minorEastAsia"/>
                <w:color w:val="000000" w:themeColor="text1"/>
                <w:sz w:val="24"/>
                <w:u w:val="single"/>
              </w:rPr>
              <w:t xml:space="preserve">7</w:t>
            </w:r>
            <w:r>
              <w:rPr>
                <w:rFonts w:hint="eastAsia" w:asciiTheme="minorEastAsia" w:hAnsiTheme="minorEastAsia" w:eastAsiaTheme="minorEastAsia" w:cstheme="minorEastAsia"/>
                <w:color w:val="000000" w:themeColor="text1"/>
                <w:sz w:val="24"/>
              </w:rPr>
              <w:t xml:space="preserve">月</w:t>
            </w:r>
            <w:r>
              <w:rPr>
                <w:rFonts w:hint="eastAsia" w:asciiTheme="minorEastAsia" w:hAnsiTheme="minorEastAsia" w:eastAsiaTheme="minorEastAsia" w:cstheme="minorEastAsia"/>
                <w:color w:val="000000" w:themeColor="text1"/>
                <w:sz w:val="24"/>
                <w:u w:val="single"/>
              </w:rPr>
              <w:t xml:space="preserve">1</w:t>
            </w:r>
            <w:r>
              <w:rPr>
                <w:rFonts w:hint="eastAsia" w:asciiTheme="minorEastAsia" w:hAnsiTheme="minorEastAsia" w:eastAsiaTheme="minorEastAsia" w:cstheme="minorEastAsia"/>
                <w:color w:val="000000" w:themeColor="text1"/>
                <w:sz w:val="24"/>
              </w:rPr>
              <w:t xml:space="preserve">日</w:t>
            </w:r>
            <w:r>
              <w:rPr>
                <w:rFonts w:hint="eastAsia" w:asciiTheme="minorEastAsia" w:hAnsiTheme="minorEastAsia" w:eastAsiaTheme="minorEastAsia" w:cstheme="minorEastAsia"/>
                <w:color w:val="000000" w:themeColor="text1"/>
                <w:sz w:val="24"/>
                <w:u w:val="single"/>
              </w:rPr>
              <w:t xml:space="preserve">14</w:t>
            </w:r>
            <w:r>
              <w:rPr>
                <w:rFonts w:hint="eastAsia" w:asciiTheme="minorEastAsia" w:hAnsiTheme="minorEastAsia" w:eastAsiaTheme="minorEastAsia" w:cstheme="minorEastAsia"/>
                <w:color w:val="000000" w:themeColor="text1"/>
                <w:sz w:val="24"/>
              </w:rPr>
              <w:t xml:space="preserve">时</w:t>
            </w:r>
            <w:r>
              <w:rPr>
                <w:rFonts w:hint="eastAsia" w:asciiTheme="minorEastAsia" w:hAnsiTheme="minorEastAsia" w:eastAsiaTheme="minorEastAsia" w:cstheme="minorEastAsia"/>
                <w:color w:val="000000" w:themeColor="text1"/>
                <w:sz w:val="24"/>
                <w:u w:val="single"/>
              </w:rPr>
              <w:t xml:space="preserve">30</w:t>
            </w:r>
            <w:r>
              <w:rPr>
                <w:rFonts w:hint="eastAsia" w:asciiTheme="minorEastAsia" w:hAnsiTheme="minorEastAsia" w:eastAsiaTheme="minorEastAsia" w:cstheme="minorEastAsia"/>
                <w:color w:val="000000" w:themeColor="text1"/>
                <w:sz w:val="24"/>
              </w:rPr>
              <w:t xml:space="preserve">分</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地点：江苏政府采购“苏采云”系统不见面开标大厅。</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评标办法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☑综合评分法□最低评标价法  </w:t>
            </w:r>
            <w:r/>
          </w:p>
        </w:tc>
      </w:tr>
      <w:tr>
        <w:trPr>
          <w:trHeight w:val="8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定标办法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采购人根据评标委员会推荐的中标候选供应商顺序确定中标供应商。</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□不提交，招标文件中有关履约保证金的规定均不适用</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☑提交</w:t>
            </w:r>
            <w:r/>
          </w:p>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金额：合同价的5% 。</w:t>
            </w:r>
            <w:r/>
          </w:p>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形式：电汇/转账/保函/保证保险,依据《关于在全省政府采购领域推行电子履约保函(保险)的通知》鼓励供应商自愿使用履约保函(保险)代替缴纳约保证金。如以履约保函（保险）形式缴纳履约保证金，供应商可通过政府采购电子履约保函（保险）平台（www.jsdzbh.com）在线申请履约保函（保险）。</w:t>
            </w:r>
            <w:r/>
          </w:p>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提交时间：收到中标通知书后签订合同前。</w:t>
            </w:r>
            <w:r/>
          </w:p>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履约保证金的退还：</w:t>
            </w:r>
            <w:r/>
          </w:p>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方式：退还至中标供应商缴纳履约保证金的账户。如为保函/保险，在到期时自行失效。</w:t>
            </w:r>
            <w:r/>
          </w:p>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时间：采购人凭中标供应商的收款收据在七个工作日内无息退返给中标单位。</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条件：按合同要求全部履约完成并经采购人验收合格。</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付款方式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本项目合同订立生效后支付合同价的10%作为预付款，2027年春节前付至已完成价款的70%，服务期满、结算初审后付至结算初审价的70%，结算复审核对并经双方签字及盖章确认后付至双方确认价的97%，余款于缺陷责任期满后结清。（本项目涉及的所有款项皆不计取利息）。</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招标代理服务费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972"/>
              <w:ind w:right="-117" w:firstLine="240"/>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本项目代理服务费由采购人支付，该项目代理费为固定金额36540元（含单价编制）。专家评审费由采购人支付，费用按实结算。</w:t>
            </w:r>
            <w:r/>
          </w:p>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(该项目代理费用收费标准参照计价格[2002]1980号文标准的50%报价)</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972"/>
              <w:ind w:right="-117" w:firstLine="240"/>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本项目采购标的对应的中小企业划分标准所属行业：建筑业</w:t>
            </w: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 w:type="dxa"/>
            <w:vAlign w:val="center"/>
            <w:textDirection w:val="lrTb"/>
            <w:noWrap/>
          </w:tcPr>
          <w:p>
            <w:pPr>
              <w:jc w:val="center"/>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8" w:type="dxa"/>
            <w:vAlign w:val="center"/>
            <w:textDirection w:val="lrTb"/>
            <w:noWrap/>
          </w:tcPr>
          <w:p>
            <w:pPr>
              <w:pStyle w:val="972"/>
              <w:ind w:right="-117" w:firstLine="240"/>
              <w:rPr>
                <w:rFonts w:asciiTheme="minorEastAsia" w:hAnsiTheme="minorEastAsia" w:eastAsiaTheme="minorEastAsia" w:cstheme="minorEastAsia"/>
                <w:color w:val="000000" w:themeColor="text1"/>
              </w:rPr>
            </w:pPr>
            <w:r>
              <w:rPr>
                <w:rFonts w:hint="eastAsia" w:ascii="宋体" w:hAnsi="宋体" w:eastAsia="宋体" w:cs="宋体"/>
                <w:color w:val="000000" w:themeColor="text1"/>
                <w:szCs w:val="24"/>
              </w:rPr>
              <w:t xml:space="preserve">供应商须在合同签订前将投标承诺的机械、车辆等准备到位供采购人查验，否则采购人有权申请取消供应商中标资格。</w:t>
            </w:r>
            <w:r/>
          </w:p>
        </w:tc>
      </w:tr>
    </w:tbl>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一、说明和释义</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 说明</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1.1本招标文件仅适用于</w:t>
      </w:r>
      <w:r>
        <w:rPr>
          <w:rFonts w:hint="eastAsia" w:asciiTheme="minorEastAsia" w:hAnsiTheme="minorEastAsia" w:eastAsiaTheme="minorEastAsia" w:cstheme="minorEastAsia"/>
          <w:color w:val="000000" w:themeColor="text1"/>
          <w:sz w:val="24"/>
          <w:u w:val="single"/>
        </w:rPr>
        <w:t xml:space="preserve">南京正一工程造价咨询有限公司</w:t>
      </w:r>
      <w:r>
        <w:rPr>
          <w:rFonts w:hint="eastAsia" w:asciiTheme="minorEastAsia" w:hAnsiTheme="minorEastAsia" w:eastAsiaTheme="minorEastAsia" w:cstheme="minorEastAsia"/>
          <w:color w:val="000000" w:themeColor="text1"/>
          <w:sz w:val="24"/>
        </w:rPr>
        <w:t xml:space="preserve">组织的招标活动。</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1.2本次招标活动及因本次招标产生的合同受中国法律制约和保护。</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1.3本招标文件的解释权属于</w:t>
      </w:r>
      <w:r>
        <w:rPr>
          <w:rFonts w:hint="eastAsia" w:asciiTheme="minorEastAsia" w:hAnsiTheme="minorEastAsia" w:eastAsiaTheme="minorEastAsia" w:cstheme="minorEastAsia"/>
          <w:color w:val="000000" w:themeColor="text1"/>
          <w:sz w:val="24"/>
          <w:u w:val="single"/>
        </w:rPr>
        <w:t xml:space="preserve">南京正一工程造价咨询有限公司</w:t>
      </w:r>
      <w:r>
        <w:rPr>
          <w:rFonts w:hint="eastAsia" w:asciiTheme="minorEastAsia" w:hAnsiTheme="minorEastAsia" w:eastAsiaTheme="minorEastAsia" w:cstheme="minorEastAsia"/>
          <w:color w:val="000000" w:themeColor="text1"/>
          <w:sz w:val="24"/>
        </w:rPr>
        <w:t xml:space="preserve">。</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 词语释义</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2.1采购人：指依法进行采购的国家机关、事业单位、团体组织。</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2.2 供应商、投标人：指向采购人提供货物、工程或服务的法人、其他组织或者自然人。不包括其分公司。</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2.3采购代理机构：指依法接受采购人委托，从事货物、工程和服务等采购招标代理业务的社会中介机构。</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2.4招标采购单位：采购人及采购代理机构的统称。</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2.5评标委员会：是指在招标投标和采购活动中，依法由采购人代表和有关技术、经济等方面的专家组建，负责对投标文件进行评审并提出评审意见的临时性权威机构。</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2.6响应：投标人根据采购人或采购代理机构发售的招标文件，编制投标文件并按规定投标的行为。</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2.7知识产权：指专利权、商标权、著作权等无形财产专有权的统称。</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2.8天：日历日。</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2.9服务地点：合同中明确约定的供应商履行服务的最终地点。</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2.10不可抗力：不能预见、不能避免并且不能克服的客观情况。</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2.11 实质性响应：满足有关本次采购标的、数量、质量、价款或者报酬、履行期限、履行地点和方式、违约责任和解决争议方法等要求。</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2.12书面形式：指书面文字、合同书、信件等可以有形地表现所载内容的形式。</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二、投标人</w:t>
      </w:r>
      <w:r/>
    </w:p>
    <w:p>
      <w:pPr>
        <w:numPr>
          <w:ilvl w:val="0"/>
          <w:numId w:val="2"/>
        </w:num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合格投标人资格要求</w:t>
      </w:r>
      <w:r/>
    </w:p>
    <w:p>
      <w:pPr>
        <w:ind w:firstLine="36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3.1详见投标人须知前附表规定。</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4.投标人应在江苏政府采购网（下同）下载招标文件及有关资料，按招标文件要求提交全部资料并对招标文件各项内容做出实质性响应。</w:t>
      </w:r>
      <w:r/>
    </w:p>
    <w:p>
      <w:pPr>
        <w:numPr>
          <w:ilvl w:val="0"/>
          <w:numId w:val="3"/>
        </w:num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投标人代表</w:t>
      </w:r>
      <w:r/>
    </w:p>
    <w:p>
      <w:pPr>
        <w:ind w:firstLine="36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5.1指全权代表投标人参加投标活动并签署投标文件的人，如果投标人代表不是法人代表，须持有《法人代表授权委托书》（详见统一格式）。</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 不接受联合体投标。</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 投标人有下列情形之一的不能参加本次投标：</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（1）因重大经济问题正在接受国家有关部门审查的；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（2）正在被其他企业兼并（或收购）或因重大经济纠纷正在进行诉讼或仲裁的；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（3）因腐败和欺诈行为而被有关部门处理的。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（4）被责令停业的； </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（5）被暂停或取消投标资格的； </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（6）财产被接管或冻结的；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（7）在最近三年内有骗取中标或严重违约或重大工程质量问题的；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（8）在投标过程中弄虚作假、行贿或有其他违法违规行为的；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（9）违反法律法规相关规定的。</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三、招标文件说明</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 招标文件</w:t>
      </w:r>
      <w:r/>
    </w:p>
    <w:p>
      <w:pPr>
        <w:ind w:firstLine="501"/>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投标人同时应认真审阅招标文件中所有的事项、格式、条款和规范要求等，若投标人的投标文件没有按招标文件要求提交全部资料，或投标文件没有对招标文件做出实质性响</w:t>
      </w:r>
      <w:r>
        <w:rPr>
          <w:rFonts w:hint="eastAsia" w:asciiTheme="minorEastAsia" w:hAnsiTheme="minorEastAsia" w:eastAsiaTheme="minorEastAsia" w:cstheme="minorEastAsia"/>
          <w:color w:val="000000" w:themeColor="text1"/>
          <w:sz w:val="24"/>
        </w:rPr>
        <w:t xml:space="preserve">应，其风险由投标人自行承担，并根据有关条款规定，该投标有可能被拒绝。</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9.现场考察 </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9.1投标人应按招标文件中所述时间对有关现场和周围环境进行考察，以获取编制投标文件和签署合同所需的信息。考察现场所发生的费用由投标人自己承担。</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9.2招标采购单位向投标人提供的有关现场的资料和数据，是招标采购单位现有的并认为能使投标人可利用的资料。招标采购单位对投标人由此而做出的推论、理解和结论概不负责。</w:t>
      </w:r>
      <w:r/>
    </w:p>
    <w:p>
      <w:pPr>
        <w:ind w:firstLine="601"/>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9.3 经招标采购单位允许，投标人可为考察目的进入招标采购单位的项目现场，但投标人不得因此使招标采购单位承担有关的责任和蒙受损失。投标人应承担考察现场的责任和风险。</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 招标文件的澄清和修改</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10.1 投标人在购买招标文件后，若有问题需要询问和澄清，应于前附表规定的时间提出。</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10.2如需召开投标答疑会的，招标采购单位将按前附表规定的时间、地点召开招标答疑会。</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10.3迟于前附表规定时间的询问和提交的疑问，采购人和采购代理机构有权拒绝回答，也不承担由此带来的对投标人投标结果的影响。</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10.4在投标截止时间15日前，招标采购单位无论出于自己的考虑，还是出于对投标人提问的澄清，均可对已发出的招标文件进行必要澄清或者修改。如需对招标文件进行澄清或修正，采购人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10.6招标文件的更正（含澄清、修改等）内容与原招标文件在同一内容上表述不一致时，以发出日期最接近开标时间的公告为准。</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10.7招标文件的更正（含澄清、修改等）内容将作为招标文件的组成部分，对投标人起约束作用。</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四、投标文件说明</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 投标文件计量单位和使用文字</w:t>
      </w:r>
      <w:r/>
    </w:p>
    <w:p>
      <w:pPr>
        <w:ind w:firstLine="501"/>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11.1投标文件中所使用的计量单位，除招标文件中有特殊要求外，均应使用中华人民共和国法定计量单位。</w:t>
      </w:r>
      <w:r/>
    </w:p>
    <w:p>
      <w:pPr>
        <w:ind w:firstLine="501"/>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11.3投标人应当同时凭CA数字证书登录“江苏政府采购“苏采云”系统”，并在投标截止时间前上传电子投标文件。</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12. 知识产权</w:t>
      </w:r>
      <w:r/>
    </w:p>
    <w:p>
      <w:pPr>
        <w:ind w:firstLine="501"/>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13. 投标文件的组成</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（1）投标函（格式见附件）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（2）资格、资信证明文件: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（2.1）关于资格的声明函（格式见附件）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（2.2）具有独立承担民事责任能力的投标人营业执照或相关部门的登记证明文件； </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（2.3）投标人法定代表人授权委托书（格式见附件，法定代表人亲自参加投标的提供法定代表人身份证扫描件）、投标人法定代表人授权代表身份证扫描件（法定代表人亲自参加投标的除外）；</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（2.4）投标人近三个月中任意一个月份(不含投标当月)的财务状况报告（资产负债表和利润表）或由会计师事务所出具的近两年中任意一个年度的审计报告和所附已审财务报告； </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（2.5）投标人近三个月中任意一个月份(不含投标当月)的依法缴纳税收的相关材料（提供相关主管部门证明或银行代扣证明）；</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（2.6）投标人近三个月中任意一个月份(不含投标当月)的依法缴纳社会保障资金的相关材料（提供相关主管部门证明或银行代扣证明）；</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（2.7）承诺书（格式见附件）；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（2.8）采购人要求的特定资质证明（详见“采购公告”-“本项目的特定资格要求”中要求）。</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（3）开标一览表（格式见附件）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（4）商务偏离表（格式见附件）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（5）技术偏离表（格式见附件）</w:t>
      </w:r>
      <w:r/>
    </w:p>
    <w:p>
      <w:pPr>
        <w:pStyle w:val="767"/>
        <w:rPr>
          <w:rFonts w:asciiTheme="minorEastAsia" w:hAnsiTheme="minorEastAsia" w:eastAsiaTheme="minorEastAsia" w:cstheme="minorEastAsia"/>
          <w:b w:val="0"/>
          <w:bCs w:val="0"/>
          <w:color w:val="000000" w:themeColor="text1"/>
          <w:sz w:val="24"/>
        </w:rPr>
      </w:pPr>
      <w:r>
        <w:rPr>
          <w:rFonts w:hint="eastAsia" w:asciiTheme="minorEastAsia" w:hAnsiTheme="minorEastAsia" w:eastAsiaTheme="minorEastAsia" w:cstheme="minorEastAsia"/>
          <w:b w:val="0"/>
          <w:color w:val="000000" w:themeColor="text1"/>
          <w:sz w:val="24"/>
        </w:rPr>
        <w:t xml:space="preserve">（6）</w:t>
      </w:r>
      <w:r>
        <w:rPr>
          <w:rFonts w:hint="eastAsia" w:asciiTheme="minorEastAsia" w:hAnsiTheme="minorEastAsia" w:eastAsiaTheme="minorEastAsia" w:cstheme="minorEastAsia"/>
          <w:b w:val="0"/>
          <w:bCs w:val="0"/>
          <w:color w:val="000000" w:themeColor="text1"/>
          <w:sz w:val="24"/>
        </w:rPr>
        <w:t xml:space="preserve">中小企业声明函（如有，格式见附件）</w:t>
      </w:r>
      <w:r/>
    </w:p>
    <w:p>
      <w:pPr>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bookmarkStart w:id="7" w:name="OLE_LINK55"/>
      <w:r/>
      <w:bookmarkStart w:id="8" w:name="OLE_LINK56"/>
      <w:r>
        <w:rPr>
          <w:rFonts w:hint="eastAsia" w:asciiTheme="minorEastAsia" w:hAnsiTheme="minorEastAsia" w:eastAsiaTheme="minorEastAsia" w:cstheme="minorEastAsia"/>
          <w:color w:val="000000" w:themeColor="text1"/>
          <w:sz w:val="24"/>
        </w:rPr>
        <w:t xml:space="preserve">（7）</w:t>
      </w:r>
      <w:bookmarkEnd w:id="7"/>
      <w:r/>
      <w:bookmarkEnd w:id="8"/>
      <w:r>
        <w:rPr>
          <w:rFonts w:hint="eastAsia" w:asciiTheme="minorEastAsia" w:hAnsiTheme="minorEastAsia" w:eastAsiaTheme="minorEastAsia" w:cstheme="minorEastAsia"/>
          <w:color w:val="000000" w:themeColor="text1"/>
          <w:sz w:val="24"/>
        </w:rPr>
        <w:t xml:space="preserve">评分标准中对应的其它所需证明材料（如有自行添加）</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（8）其它（投标人认为有必要提供的声明和文件，如有自拟并自行添加）</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上述1-5项投标人必须按要求全部提供，否则投标文件无效。如上述资格证明文件遇年检、换证，则必须提供法定年检、换证单位出具的有效证明复印件。如上述资格证明文件第（2.4）（2.5）（2.6）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14. 投标文件编制及递交要求</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1.所有文件、往来函件均应使用简体中文（规格、型号辅助符号例外）。</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2.投标文件由投标人按要求参考给定格式如实填写（编写），须有投标人（盖章）、法定代表人或法定代表人授权代表签字或盖章，方为有效，未尽事宜可自行补充。</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3.如无特别说明，投标人报价一律以人民币为投标结算货币,结算单位为“元”。</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4.投标文件不应有涂改、增删和潦草之处，如有必须修改时，修改处必须有投标人盖章、法定代表人或法定代表人授权代表的签字。</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5.投标费用自理。</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6.投标人应当同时凭CA数字证书登录“江苏政府采购“苏采云”系统”，并在投标截止时间前上传电子投标文件。</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15. 投标报价（编制）要求的说明</w:t>
      </w:r>
      <w:r/>
    </w:p>
    <w:p>
      <w:pPr>
        <w:ind w:firstLine="50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15.1投标人对《开标一览表》中的全部服务的报价应包括在本项目合同期内所需要全部费用，包括所需要的人工费、材料费、施工机具使用费、企业管理费、利润、措施项目费（含单价措施项目费和总价措施项目费）、其它项目费、规费、税金、有关文件规定的政策性调价等以及各种可能发生的风险费用以及招标文件约定的其他等各项费用。</w:t>
      </w:r>
      <w:r/>
    </w:p>
    <w:p>
      <w:pPr>
        <w:ind w:firstLine="50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投标人要认真阅读清单，慎重报价。采购人不再支付报价以外的任何费用。</w:t>
      </w:r>
      <w:r/>
    </w:p>
    <w:p>
      <w:pPr>
        <w:ind w:firstLine="50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15.2投标人应对招标文件内所要采购的全部内容进行报价，只投其中部分内容者，其</w:t>
      </w:r>
      <w:r>
        <w:rPr>
          <w:rFonts w:hint="eastAsia" w:asciiTheme="minorEastAsia" w:hAnsiTheme="minorEastAsia" w:eastAsiaTheme="minorEastAsia" w:cstheme="minorEastAsia"/>
          <w:color w:val="000000" w:themeColor="text1"/>
          <w:sz w:val="24"/>
        </w:rPr>
        <w:t xml:space="preserve">标书将被拒绝。</w:t>
      </w:r>
      <w:r/>
    </w:p>
    <w:p>
      <w:pPr>
        <w:ind w:firstLine="50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15.3一项投标内容只允许一个报价，招标采购单位不接受任何有选择性的投标报价。</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15.4投标文件报价中的单价和总价全部采用人民币表示，除非合同的特殊条款另有规定。</w:t>
      </w:r>
      <w:r/>
    </w:p>
    <w:p>
      <w:pPr>
        <w:numPr>
          <w:ilvl w:val="0"/>
          <w:numId w:val="4"/>
        </w:num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投标保证金</w:t>
      </w:r>
      <w:r/>
    </w:p>
    <w:p>
      <w:pPr>
        <w:pStyle w:val="807"/>
        <w:spacing w:before="0" w:after="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依据苏财购【2020】52号文件精神，本项目免收投标保证金。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17. 投标文件的有效期</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18.投标文件的拒收</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采购人拒绝接收在其规定的投标截止时间后上传的任何投标文件。</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19、投标文件的递交</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 电子投标文件的递交</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投标人应当按照《江苏省政府采购管理交易系统（苏采云）供应商操作手册及政府采购客户端》规定，在投标截止时间前制作并上传电子投标文件。</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20．投标截止日期</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1、投标人上传电子投标文件的时间不得迟于招标公告中规定的投标截止时间。</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投标人应充分考虑到网络环境、网络带宽等风险因素，如因投标人自身原因造成的电子投标文件上传不成功由投标人自行承担全部责任。</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2、采购人可以按照规定，通过修改招标文件酌情延长投标截止日期，在此情况下，投标人的所有权利和义务以及投标人受制的截止日期均应以延长后新的截止日期为准。</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21. 投标文件的修改和撤回</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1、投标文件的撤回</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投标人可在投标截止时间前，撤回其电子投标文件，具体操作方法见《江苏省政府采购管理交易系统（苏采云）供应商操作手册及政府采购客户端》。</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2、投标文件的修改</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投标人可在投标截止时间前，对其电子投标文件进行修改，具体操作方法见《江苏省政府采购管理交易系统（苏采云）供应商操作手册及政府采购客户端》。</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3、在投标截止时间之后，投标人不得对其电子投标文件作任何修改。</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六、开标和评标</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22. 开标</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1．采购人将在招标公告中规定的时间和地点组织公开开标。投标人应当按照《江苏省政府采购管理交易系统（苏采云）供应商操作手册及政府采购客户端》规定，参加开标活动。</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2.开标仪式由采购代理机构组织。 “江苏政府采购“苏采云”系统”将自动对项目进行开标，并宣读各投标人的《开标一览表》。</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3.投标人在开标过程中涉及到的投标文件解密、开标结果确认等工作，应按照《江苏省政府采购管理交易系统（苏采云）供应商操作手册及政府采购客户端》规定执行。每个投标人的解密时长为6分钟，超时视同解密失败。</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5.开标时，投标文件中开标一览表内容与投标文件中明细表内容不一致的，以开标一</w:t>
      </w:r>
      <w:r>
        <w:rPr>
          <w:rFonts w:hint="eastAsia" w:asciiTheme="minorEastAsia" w:hAnsiTheme="minorEastAsia" w:eastAsiaTheme="minorEastAsia" w:cstheme="minorEastAsia"/>
          <w:color w:val="000000" w:themeColor="text1"/>
          <w:sz w:val="24"/>
        </w:rPr>
        <w:t xml:space="preserve">览表为准。</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6.投标人未参加开标的，视同认可开标结果。</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23. 评标委员会</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23.1评标委员会由招标采购单位依法组建，负责本项目的评标事务。</w:t>
      </w:r>
      <w:r/>
    </w:p>
    <w:p>
      <w:pPr>
        <w:ind w:firstLine="42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23.2评标委员会独立履行下列职责：</w:t>
      </w:r>
      <w:r/>
    </w:p>
    <w:p>
      <w:pPr>
        <w:ind w:firstLine="42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23.2.1审查投标文件是否符合招标文件的要求，并作出评价；</w:t>
      </w:r>
      <w:r/>
    </w:p>
    <w:p>
      <w:pPr>
        <w:ind w:firstLine="425"/>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23.2.2可以要求投标供应商对投标文件有关事项作出解释或澄清；</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23.2.3推荐中标候选供应商名单，或者受采购人委托按照事先确定的办法直接确定中标供应商；</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23.2.4向招标采购单位或者有关部门报告非法干预评标工作的行为。</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23.3评标委员会成员应当履行下列义务：</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23.3.1遵纪守法，客观、公正、廉洁地履行职责；</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23.3.2按照招标文件规定的评标办法和评标标准进行评标，对评审意见承担个人责任；</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23.3.3对评标过程和结果，以及投标人的商业秘密保密；</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23.3.4参与评标报告的起草；</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23.3.5配合相关部门的投诉处理工作；</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23.3.6配合招标采购单位答复投标供应商提出的质疑。</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24. 评标内容的保密</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24.1公开开标后，直到宣布授予中标供应商合同为止，凡属于审查、澄清、评价和比较投标的所有资料，有关授予合同的信息都不应向投标人或与评标无关的其他人泄露。</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24.2在投标文件的审查、澄清、评价和比较以及授予合同的过程中，投标人对招标采购单位和评标委员会成员施加影响的任何行为，都将取消其投标资格。</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24.3在评标期间，招标采购单位将通过指定联络人与投标人进行联系。</w:t>
      </w:r>
      <w:r/>
    </w:p>
    <w:p>
      <w:pPr>
        <w:ind w:firstLine="42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25.对投标文件初审</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25.1投标文件初审分为资格性检查和符合性检查。</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25.1.1资格性检查。依据法律法规和招标文件的规定，对投标文件中的资格证明、投标保证金等进行审查，以确定投标供应商是否具备投标资格。</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25.1.2符合性检查。依据招标文件的规定，从投标文件的有效性、完整性和对招标文件的响应程度进行审查，以确定是否对招标文件的实质性要求作出响应。</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投标人有下列情况之一者，投标文件无效：</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1.投标人未在规定时间内成功解密电子投标文件的；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2.投标人未按照招标文件要求上传电子投标文件的；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3.投标文件未按照招标文件要求加盖电子签章；</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4.招标人的法定代表人授权代表，无法定代表人授权委托书的；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5.不具备招标文件中规定的资格要求或未按招标文件规定的要求提供资格、资信证明文件的；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6.被“信用中国”网站（www.creditchina.gov.cn）列入失信执行人、重大税收违法案件当事人名单、政府采购严重违法失信行为记录名单的；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7.投标文件未按招标文件规定的内容和要求填写的；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8.投标文件中有招标文件未允许提供的选择性内容；</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9.不同投标人的投标文件由同一单位或者个人编制的；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10.不同投标人委托同一单位或者个人办理投标事宜的；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11.不同投标人的投标文件载明的项目管理成员为同一人的；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12.不同投标人的投标文件异常一致或者投标报价呈规律性差异的；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13.不同投标人的单位负责人为同一人或者存在直接控股、管理关系的；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14.项目（标段）投标总价超过本项目（标段）预算或最高限价的；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15.提供虚假材料的（包括工商营业执照、财务报表、资格证明文件等）；</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16.投标文件含有采购人不能接受的附加条件的；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18.除单一来源采购项目外，为采购项目提供整体设计、规范编制或者项目管理、监理、检测等服务的；</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19.投标文件内容不全或不符合招标文件中规定的其它实质性要求的。</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20.法律法规和招标文件规定的其它无效情形。</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21.改变采购文件给出的序号、项目名称、项目内容、计量单位、工程量的。</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22.根据江苏省财政厅发布的财库〔2026〕2号文件要求，政府采购评审中出现下列情形之一的，评审委员会应当启动异常低价投标（响应）审查程序：</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①投标（响应）报价低于全部通过符合性审查供应商投标（响应）报价平均值 50% 的，即投标（响应）报价&lt;全部通过符合性审查供应商投标（响应）报价平均值 ×50%；</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②投标（响应）报价低于通过符合性审查的次低报价供应商投标（响应）报价 50% 的，即投标（响应）报价&lt;通过符合性审查的次低报价供应商投标（响应）报价 ×50% ；</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③投标（响应）报价低于采购项目最高限价 45% 的，即投标（响应）报价&lt;采购项目最高限价 ×45%；</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④评审委员会基于专业判断，认为供应商报价过低，有可能影响产品质量或者不能诚信履约的其他情形。</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 30 分钟。其中，属于第③项情形，供应商已随投标（响应）文件一并提交相关书面说明及必要的证明材料的，在评审现场可不再重复提交。</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25.4按上述修正错误的原则及方法调整或修正投标文件的投标报价，应当采用书面形</w:t>
      </w:r>
      <w:r>
        <w:rPr>
          <w:rFonts w:hint="eastAsia" w:asciiTheme="minorEastAsia" w:hAnsiTheme="minorEastAsia" w:eastAsiaTheme="minorEastAsia" w:cstheme="minorEastAsia"/>
          <w:color w:val="000000" w:themeColor="text1"/>
          <w:sz w:val="24"/>
        </w:rPr>
        <w:t xml:space="preserve">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25.5招标采购单位对投标文件的判定，只依据投标内容本身，不依靠开标后的任何外来证明。</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25.6招标采购单位将拒绝被确定为非实质性响应的投标，投标人不能通过修正或撤销不符之处而使其投标成为实质性响应的投标。</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26.投标的澄清</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对投标文件中含义不明确</w:t>
      </w:r>
      <w:r>
        <w:rPr>
          <w:rFonts w:hint="eastAsia" w:asciiTheme="minorEastAsia" w:hAnsiTheme="minorEastAsia" w:eastAsiaTheme="minorEastAsia" w:cstheme="minorEastAsia"/>
          <w:color w:val="000000" w:themeColor="text1"/>
          <w:sz w:val="24"/>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27.废标</w:t>
      </w:r>
      <w:r/>
    </w:p>
    <w:p>
      <w:pPr>
        <w:ind w:firstLine="56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27.1 在招标采购中，出现下列情形之一的，应予废标：</w:t>
      </w:r>
      <w:r/>
    </w:p>
    <w:p>
      <w:pPr>
        <w:ind w:firstLine="56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1．符合专业条件的投标人或者对招标文件作出实质性响应的投标人不足三家；</w:t>
      </w:r>
      <w:r/>
    </w:p>
    <w:p>
      <w:pPr>
        <w:ind w:firstLine="56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2．出现影响采购公正的违法、违规行为；</w:t>
      </w:r>
      <w:r/>
    </w:p>
    <w:p>
      <w:pPr>
        <w:ind w:firstLine="56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3．投标人的报价均超过采购预算，采购人不能支付的；</w:t>
      </w:r>
      <w:r/>
    </w:p>
    <w:p>
      <w:pPr>
        <w:ind w:firstLine="56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4．因重大变故，采购任务取消。</w:t>
      </w:r>
      <w:r/>
    </w:p>
    <w:p>
      <w:pPr>
        <w:ind w:firstLine="56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5．因“江苏政府采购“苏采云”系统”系统重大故障原因无法继续开评标的。27.2 废标后，采购人应当将废标理由通知所有投标人。</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28. 投标文件的评价和比较</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28.1评标委员会按招标文件规定的评标方法和标准，对符合性检查合格的投标文件进行商务和技术评估，综合比较与评价。</w:t>
      </w:r>
      <w:r/>
    </w:p>
    <w:p>
      <w:pPr>
        <w:ind w:firstLine="60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28.2最低的投标报价或最高的折扣比例是中标的重要条件，但不是唯一条件。</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七、授予合同</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29. 中标供应商的确认</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29.1评标委员会按招标文件规定的评标方法和标准进行详细评审后，按招标采购单位的委托向招标采购单位推荐中标候选单位或根据采购人授权直接确定中标供应商。</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29.2中标无效的确认：</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（1）提供虚假材料谋取中标的；</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（2）采取不正当手段诋毁、排挤其他投标人的；</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（3）与招标采购单位、其他投标人恶意串通的；</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（4）向招标采购单位行贿或者提供其他不正当利益的；</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（5）在招标过程中与招标采购单位进行协商谈判、不按照招标文件和中标供应商的投标文件订立合同，或者与采购人另行订立背离合同实质性内容的协议的；</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（6）拒绝有关部门监督检查或者提供虚假情况的。</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29.3经评标委员会评审并确定中标供应商后，招标采购单位将在规定的时间内将中标结果在相关媒体上予以公示。各投标单位如对公示结果有异议，应在中标公告发布之日起</w:t>
      </w:r>
      <w:r>
        <w:rPr>
          <w:rFonts w:hint="eastAsia" w:asciiTheme="minorEastAsia" w:hAnsiTheme="minorEastAsia" w:eastAsiaTheme="minorEastAsia" w:cstheme="minorEastAsia"/>
          <w:color w:val="000000" w:themeColor="text1"/>
          <w:sz w:val="24"/>
        </w:rPr>
        <w:t xml:space="preserve">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30. 合同授予标准</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30.1招标采购单位将把合同授予其投标文件在实质上响应招标文件要求且综合评分得分最高的投标人。</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31. 中标通知书</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31.2中标通知书将成为合同的组成部分。</w:t>
      </w:r>
      <w:r/>
    </w:p>
    <w:p>
      <w:pPr>
        <w:ind w:firstLine="50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31.3招标采购单位对未中标供应商不承担解释未中标原因的义务。</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32.履约保证金</w:t>
      </w:r>
      <w:r/>
    </w:p>
    <w:p>
      <w:pPr>
        <w:ind w:firstLine="424"/>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32.1中标供应商应按规定提交履约保证金。</w:t>
      </w:r>
      <w:r/>
    </w:p>
    <w:p>
      <w:pPr>
        <w:ind w:firstLine="424"/>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32.2中标供应商必须在合同签订前按规定将履约保证金交至采购人指定账户。中标供应商未按上述要求提交履约保证金的,采购人可取消其中标资格。</w:t>
      </w:r>
      <w:r/>
    </w:p>
    <w:p>
      <w:pPr>
        <w:ind w:firstLine="424"/>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32.3履约保证金（无息）将在合同期结束且经双方验收合格后，采购人凭中标供应商的收款收据在七个工作日内无息退返给中标单位。</w:t>
      </w:r>
      <w:r/>
    </w:p>
    <w:p>
      <w:pPr>
        <w:ind w:firstLine="424"/>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32.3履约保证金用以约束供应商在合同履行中的行为，弥补合同执行中由于自身行为可能给采购人带来的各种损失。</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33. 合同的签订</w:t>
      </w:r>
      <w:r/>
    </w:p>
    <w:p>
      <w:pPr>
        <w:ind w:firstLine="424"/>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33.1中标供应商应按中标通知书中规定的时间和地点，由法定代表人或委托代理人与采购人代表签订合同。</w:t>
      </w:r>
      <w:r/>
    </w:p>
    <w:p>
      <w:pPr>
        <w:ind w:firstLine="424"/>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33.2签订合同及合同条款应以招标文件和中标供应商的投标文件及其澄清文件为依据。</w:t>
      </w:r>
      <w:r/>
    </w:p>
    <w:p>
      <w:pPr>
        <w:ind w:firstLine="424"/>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33.3中标人无正当理由拒签合同的，或在签订合同时向采购人提出附加条件或者更改合同实质性内容的，采购人可取消其中标资格，并不予退还其投标保证金，同时由中标人承担相应的法律责任。</w:t>
      </w:r>
      <w:r/>
    </w:p>
    <w:p>
      <w:pPr>
        <w:pStyle w:val="805"/>
        <w:jc w:val="center"/>
        <w:spacing w:before="0" w:after="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pStyle w:val="805"/>
        <w:jc w:val="center"/>
        <w:spacing w:before="0" w:after="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第三章 投标文件格式</w:t>
      </w:r>
      <w:r/>
    </w:p>
    <w:p>
      <w:pPr>
        <w:ind w:firstLine="24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1、说明：对本章所有的投标书格式，投标方可根据自身情况进行补充和修改，但补充和修改不得造成与本格式内容有实质性的违背。</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2"/>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52"/>
        </w:rPr>
        <w:t xml:space="preserve">投</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72"/>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52"/>
        </w:rPr>
        <w:t xml:space="preserve">标</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72"/>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52"/>
        </w:rPr>
        <w:t xml:space="preserve">文</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52"/>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52"/>
        </w:rPr>
        <w:t xml:space="preserve">件</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72"/>
        </w:rPr>
        <w:t xml:space="preserve"> </w:t>
      </w:r>
      <w:r/>
    </w:p>
    <w:p>
      <w:pPr>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采购项目编号：</w:t>
      </w:r>
      <w:r/>
    </w:p>
    <w:p>
      <w:pPr>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采购项目名称：2026年市政设施养护维修项目 </w:t>
      </w:r>
      <w:r/>
    </w:p>
    <w:p>
      <w:pPr>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jc w:val="cente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20  年  月  日</w:t>
      </w:r>
      <w:r/>
    </w:p>
    <w:p>
      <w:pPr>
        <w:spacing w:after="2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2"/>
        </w:rPr>
        <w:t xml:space="preserve"> </w:t>
      </w:r>
      <w:r/>
    </w:p>
    <w:p>
      <w:pPr>
        <w:pStyle w:val="805"/>
        <w:jc w:val="center"/>
        <w:spacing w:before="340" w:after="330" w:line="1056"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pStyle w:val="805"/>
        <w:jc w:val="center"/>
        <w:spacing w:before="340" w:after="330" w:line="1056"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44"/>
        </w:rPr>
        <w:t xml:space="preserve">开标一览表</w:t>
      </w:r>
      <w:r/>
    </w:p>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项目编号： </w:t>
      </w:r>
      <w:r/>
    </w:p>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货币单位：%</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2270"/>
        <w:gridCol w:w="2700"/>
        <w:gridCol w:w="3927"/>
      </w:tblGrid>
      <w:tr>
        <w:trPr/>
        <w:tc>
          <w:tcPr>
            <w:tcBorders>
              <w:top w:val="single" w:color="CCCCCC" w:sz="8" w:space="0"/>
              <w:left w:val="single" w:color="CCCCCC" w:sz="8" w:space="0"/>
              <w:bottom w:val="single" w:color="CCCCCC" w:sz="8" w:space="0"/>
              <w:right w:val="single" w:color="CCCCCC" w:sz="8" w:space="0"/>
            </w:tcBorders>
            <w:tcMar>
              <w:left w:w="15" w:type="dxa"/>
              <w:top w:w="15" w:type="dxa"/>
              <w:right w:w="15" w:type="dxa"/>
              <w:bottom w:w="15" w:type="dxa"/>
            </w:tcMar>
            <w:tcW w:w="2270" w:type="dxa"/>
            <w:vAlign w:val="center"/>
            <w:textDirection w:val="lrTb"/>
            <w:noWrap/>
          </w:tcPr>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项目名称</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2700" w:type="dxa"/>
            <w:vAlign w:val="center"/>
            <w:textDirection w:val="lrTb"/>
            <w:noWrap/>
          </w:tcPr>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优惠率（%）</w:t>
            </w:r>
            <w:r/>
          </w:p>
        </w:tc>
        <w:tc>
          <w:tcPr>
            <w:tcBorders>
              <w:top w:val="single" w:color="CCCCCC" w:sz="8" w:space="0"/>
              <w:left w:val="none" w:color="000000" w:sz="4" w:space="0"/>
              <w:bottom w:val="single" w:color="CCCCCC" w:sz="8" w:space="0"/>
              <w:right w:val="single" w:color="CCCCCC" w:sz="8" w:space="0"/>
            </w:tcBorders>
            <w:tcMar>
              <w:left w:w="15" w:type="dxa"/>
              <w:top w:w="15" w:type="dxa"/>
              <w:right w:w="15" w:type="dxa"/>
              <w:bottom w:w="15" w:type="dxa"/>
            </w:tcMar>
            <w:tcW w:w="3927" w:type="dxa"/>
            <w:vAlign w:val="center"/>
            <w:textDirection w:val="lrTb"/>
            <w:noWrap/>
          </w:tcPr>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备注</w:t>
            </w:r>
            <w:r/>
          </w:p>
        </w:tc>
      </w:tr>
      <w:tr>
        <w:trPr/>
        <w:tc>
          <w:tcPr>
            <w:tcBorders>
              <w:top w:val="none" w:color="000000" w:sz="4" w:space="0"/>
              <w:left w:val="single" w:color="CCCCCC" w:sz="8" w:space="0"/>
              <w:bottom w:val="single" w:color="CCCCCC" w:sz="8" w:space="0"/>
              <w:right w:val="single" w:color="CCCCCC" w:sz="8" w:space="0"/>
            </w:tcBorders>
            <w:tcMar>
              <w:left w:w="15" w:type="dxa"/>
              <w:top w:w="15" w:type="dxa"/>
              <w:right w:w="15" w:type="dxa"/>
              <w:bottom w:w="15" w:type="dxa"/>
            </w:tcMar>
            <w:tcW w:w="2270" w:type="dxa"/>
            <w:vAlign w:val="center"/>
            <w:textDirection w:val="lrTb"/>
            <w:noWrap/>
          </w:tcPr>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供应商名称 </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2700" w:type="dxa"/>
            <w:vAlign w:val="center"/>
            <w:textDirection w:val="lrTb"/>
            <w:noWrap/>
          </w:tcPr>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w:t>
            </w:r>
            <w:r/>
          </w:p>
        </w:tc>
        <w:tc>
          <w:tcPr>
            <w:tcBorders>
              <w:top w:val="none" w:color="000000" w:sz="4" w:space="0"/>
              <w:left w:val="none" w:color="000000" w:sz="4" w:space="0"/>
              <w:bottom w:val="single" w:color="CCCCCC" w:sz="8" w:space="0"/>
              <w:right w:val="single" w:color="CCCCCC" w:sz="8" w:space="0"/>
            </w:tcBorders>
            <w:tcMar>
              <w:left w:w="15" w:type="dxa"/>
              <w:top w:w="15" w:type="dxa"/>
              <w:right w:w="15" w:type="dxa"/>
              <w:bottom w:w="15" w:type="dxa"/>
            </w:tcMar>
            <w:tcW w:w="3927" w:type="dxa"/>
            <w:vAlign w:val="center"/>
            <w:textDirection w:val="lrTb"/>
            <w:noWrap/>
          </w:tcPr>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color w:val="000000" w:themeColor="text1"/>
                <w:sz w:val="24"/>
                <w:szCs w:val="24"/>
              </w:rPr>
            </w:r>
            <w:r>
              <w:rPr>
                <w:rFonts w:hint="eastAsia" w:asciiTheme="minorEastAsia" w:hAnsiTheme="minorEastAsia" w:eastAsiaTheme="minorEastAsia" w:cstheme="minorEastAsia"/>
                <w:color w:val="000000" w:themeColor="text1"/>
                <w:sz w:val="24"/>
                <w:szCs w:val="24"/>
              </w:rPr>
              <w:t xml:space="preserve"> </w:t>
            </w:r>
            <w:r/>
          </w:p>
        </w:tc>
      </w:tr>
    </w:tbl>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before="100" w:after="10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投标人公章：（电子签章）</w:t>
      </w:r>
      <w:r/>
    </w:p>
    <w:p>
      <w:pPr>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2"/>
        </w:rPr>
        <w:t xml:space="preserve"> </w:t>
      </w:r>
      <w:r/>
    </w:p>
    <w:p>
      <w:pPr>
        <w:ind w:left="720" w:hanging="720"/>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left="720" w:hanging="720"/>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left="720" w:hanging="720"/>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2"/>
        </w:rPr>
        <w:t xml:space="preserve">投 标 函</w:t>
      </w:r>
      <w:r/>
    </w:p>
    <w:p>
      <w:pPr>
        <w:ind w:left="48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spacing w:before="260"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u w:val="single"/>
        </w:rPr>
        <w:t xml:space="preserve">泰州市姜堰区市政园林服务中心</w:t>
      </w:r>
      <w:r>
        <w:rPr>
          <w:rFonts w:hint="eastAsia" w:asciiTheme="minorEastAsia" w:hAnsiTheme="minorEastAsia" w:eastAsiaTheme="minorEastAsia" w:cstheme="minorEastAsia"/>
          <w:color w:val="000000" w:themeColor="text1"/>
          <w:sz w:val="24"/>
        </w:rPr>
        <w:t xml:space="preserve">：</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我方全面研究了项目招标文件，决定参加贵单位组织的本项目投标。</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1、我方自愿按照招标文件规定的各项要求向采购人提供所需服务。</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2、一旦我方中标，我们将严格履行招标文件中规定的每一项要求，按期、按质、按量履行合同的义务。</w:t>
      </w:r>
      <w:r/>
    </w:p>
    <w:p>
      <w:pPr>
        <w:ind w:firstLine="600"/>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3．我们已详细审查全部招标文件，包括更正文件(如有)，对招标文件及更正公告(如有)无任何异议。我们完全理解并同意放弃对这方面有不明及误解的权力。</w:t>
      </w:r>
      <w:r/>
    </w:p>
    <w:p>
      <w:pPr>
        <w:ind w:firstLine="600"/>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4、我们同意按招标文件中的规定，本投标书的有效期限为自投标截止之日起</w:t>
      </w:r>
      <w:r>
        <w:rPr>
          <w:rFonts w:hint="eastAsia" w:asciiTheme="minorEastAsia" w:hAnsiTheme="minorEastAsia" w:eastAsiaTheme="minorEastAsia" w:cstheme="minorEastAsia"/>
          <w:color w:val="000000" w:themeColor="text1"/>
          <w:sz w:val="24"/>
          <w:u w:val="single"/>
        </w:rPr>
        <w:t xml:space="preserve">60 </w:t>
      </w:r>
      <w:r>
        <w:rPr>
          <w:rFonts w:hint="eastAsia" w:asciiTheme="minorEastAsia" w:hAnsiTheme="minorEastAsia" w:eastAsiaTheme="minorEastAsia" w:cstheme="minorEastAsia"/>
          <w:color w:val="000000" w:themeColor="text1"/>
          <w:sz w:val="24"/>
        </w:rPr>
        <w:t xml:space="preserve">天。</w:t>
      </w:r>
      <w:r/>
    </w:p>
    <w:p>
      <w:pPr>
        <w:ind w:firstLine="600"/>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5、我们愿意提供招标采购单位在招标文件中要求的所有资料。</w:t>
      </w:r>
      <w:r/>
    </w:p>
    <w:p>
      <w:pPr>
        <w:ind w:firstLine="600"/>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6、我们愿意遵守招标公告及招标文件中所列的收费标准。</w:t>
      </w:r>
      <w:r/>
    </w:p>
    <w:p>
      <w:pPr>
        <w:ind w:firstLine="600"/>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7、我们愿意按招标文件的规定交纳投标保证金，并同意遵守招标文件中投标保证金的有关规定。</w:t>
      </w:r>
      <w:r/>
    </w:p>
    <w:p>
      <w:pPr>
        <w:ind w:firstLine="600"/>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8、我们承诺该项投标在开标后的全过程中保持有效，不作任何更改和变动。</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9、我方愿意提供贵单位可能另外要求的，与投标有关的文件资料，并保证我方已提供和将要提供的文件资料是真实、准确的。</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投标人名称：（盖章）</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法定代表人或</w:t>
      </w:r>
      <w:r>
        <w:rPr>
          <w:rFonts w:hint="eastAsia" w:asciiTheme="minorEastAsia" w:hAnsiTheme="minorEastAsia" w:eastAsiaTheme="minorEastAsia" w:cstheme="minorEastAsia"/>
          <w:color w:val="000000" w:themeColor="text1"/>
        </w:rPr>
        <w:t xml:space="preserve">委托</w:t>
      </w:r>
      <w:r>
        <w:rPr>
          <w:rFonts w:hint="eastAsia" w:asciiTheme="minorEastAsia" w:hAnsiTheme="minorEastAsia" w:eastAsiaTheme="minorEastAsia" w:cstheme="minorEastAsia"/>
          <w:color w:val="000000" w:themeColor="text1"/>
          <w:sz w:val="24"/>
        </w:rPr>
        <w:t xml:space="preserve">代理人（签字或盖章）：</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地址：</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邮政编码：</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联系电话：</w:t>
      </w:r>
      <w:r/>
    </w:p>
    <w:p>
      <w:pPr>
        <w:ind w:firstLine="600"/>
        <w:spacing w:before="26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日期：</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8"/>
        </w:rPr>
        <w:t xml:space="preserve">关于资格的声明函</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2"/>
        </w:rPr>
        <w:t xml:space="preserve"> </w:t>
      </w:r>
      <w:r/>
    </w:p>
    <w:p>
      <w:pPr>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泰州市姜堰区市政园林服务中心：</w:t>
      </w:r>
      <w:r/>
    </w:p>
    <w:p>
      <w:pPr>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ind w:firstLine="560"/>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我公司（单位）参加本次项目（      ）政府采购活动前三年内，在经营活动中没有重大违法记录，我公司（单位）愿针对本次项目（     ）进行投标，投标文件中所有关于投标资格的文件、证明、陈述均是真实的、准确的。若有违背，</w:t>
      </w:r>
      <w:r>
        <w:rPr>
          <w:rFonts w:hint="eastAsia" w:asciiTheme="minorEastAsia" w:hAnsiTheme="minorEastAsia" w:eastAsiaTheme="minorEastAsia" w:cstheme="minorEastAsia"/>
          <w:color w:val="000000" w:themeColor="text1"/>
          <w:sz w:val="24"/>
          <w:szCs w:val="24"/>
          <w:u w:val="single"/>
        </w:rPr>
        <w:t xml:space="preserve">  我公司（单位）</w:t>
      </w:r>
      <w:r>
        <w:rPr>
          <w:rFonts w:hint="eastAsia" w:asciiTheme="minorEastAsia" w:hAnsiTheme="minorEastAsia" w:eastAsiaTheme="minorEastAsia" w:cstheme="minorEastAsia"/>
          <w:color w:val="000000" w:themeColor="text1"/>
          <w:sz w:val="24"/>
          <w:szCs w:val="24"/>
        </w:rPr>
        <w:t xml:space="preserve">愿意承担由此而产生的一切后果。</w:t>
      </w:r>
      <w:r/>
    </w:p>
    <w:p>
      <w:pPr>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投标人（盖章）：</w:t>
      </w:r>
      <w:r/>
    </w:p>
    <w:p>
      <w:pPr>
        <w:jc w:val="left"/>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法定代表人或法定代表人授权代表（签字或盖章）：</w:t>
      </w:r>
      <w:r/>
    </w:p>
    <w:p>
      <w:pPr>
        <w:jc w:val="center"/>
        <w:spacing w:line="113"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日期：</w:t>
      </w:r>
      <w:r/>
    </w:p>
    <w:p>
      <w:pPr>
        <w:spacing w:line="113"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8"/>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2"/>
        </w:rPr>
        <w:t xml:space="preserve">法定代表人授权委托书</w:t>
      </w:r>
      <w:r/>
    </w:p>
    <w:p>
      <w:pPr>
        <w:ind w:firstLine="42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firstLine="42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本授权委托书声明：我（姓名）系（投标人名称）的法定代表人 ，现授权委托（姓名）为我公司授权代表（即委托代理人），以本公司的名义参加</w:t>
      </w:r>
      <w:r>
        <w:rPr>
          <w:rFonts w:hint="eastAsia" w:asciiTheme="minorEastAsia" w:hAnsiTheme="minorEastAsia" w:eastAsiaTheme="minorEastAsia" w:cstheme="minorEastAsia"/>
          <w:color w:val="000000" w:themeColor="text1"/>
          <w:sz w:val="24"/>
          <w:u w:val="single"/>
        </w:rPr>
        <w:t xml:space="preserve">南京正一工程造价咨询有限公司</w:t>
      </w:r>
      <w:r>
        <w:rPr>
          <w:rFonts w:hint="eastAsia" w:asciiTheme="minorEastAsia" w:hAnsiTheme="minorEastAsia" w:eastAsiaTheme="minorEastAsia" w:cstheme="minorEastAsia"/>
          <w:color w:val="000000" w:themeColor="text1"/>
          <w:sz w:val="24"/>
        </w:rPr>
        <w:t xml:space="preserve">组织实施的编号为</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号的招标活动。委托代理人在开标、评标、合同谈判过程中所签署的一切文件和处理与这有关的一切事务，我均予以承认。</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委托代理人在授权委托书有效期内签署的所有文件不因授权委托的撤销而失效，除非有撤销授权委托的书面通知，本授权委托书自投标开始至合同履行完毕止。</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委托代理人无转委托权。特此委托。</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firstLine="420"/>
        <w:jc w:val="right"/>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投标人名称：（盖章）</w:t>
      </w:r>
      <w:r/>
    </w:p>
    <w:p>
      <w:pPr>
        <w:ind w:firstLine="420"/>
        <w:jc w:val="right"/>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法定代表人 ：（签字或盖章）</w:t>
      </w:r>
      <w:r/>
    </w:p>
    <w:p>
      <w:pPr>
        <w:ind w:firstLine="420"/>
        <w:jc w:val="righ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p>
      <w:pPr>
        <w:ind w:firstLine="420"/>
        <w:jc w:val="righ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p>
      <w:pPr>
        <w:ind w:firstLine="420"/>
        <w:jc w:val="righ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p>
      <w:pPr>
        <w:ind w:firstLine="420"/>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1"/>
        </w:rPr>
        <w:t xml:space="preserve">                               </w:t>
      </w:r>
      <w:r>
        <w:rPr>
          <w:rFonts w:hint="eastAsia" w:asciiTheme="minorEastAsia" w:hAnsiTheme="minorEastAsia" w:eastAsiaTheme="minorEastAsia" w:cstheme="minorEastAsia"/>
          <w:color w:val="000000" w:themeColor="text1"/>
          <w:sz w:val="22"/>
        </w:rPr>
        <w:t xml:space="preserve">年月日</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20"/>
          <w:sz w:val="32"/>
        </w:rPr>
        <w:t xml:space="preserve">承诺书</w:t>
      </w:r>
      <w:r/>
    </w:p>
    <w:p>
      <w:pPr>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采购人名称：泰州市姜堰区市政园林服务中心</w:t>
      </w:r>
      <w:r/>
    </w:p>
    <w:p>
      <w:pPr>
        <w:ind w:firstLine="520"/>
        <w:spacing w:line="49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我单位郑重承诺以下事项：</w:t>
      </w:r>
      <w:r/>
    </w:p>
    <w:p>
      <w:pPr>
        <w:ind w:firstLine="520"/>
        <w:spacing w:line="47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一、我单位同意并响应2026年市政设施养护维修项目采购招标文件的所有内容。</w:t>
      </w:r>
      <w:r/>
    </w:p>
    <w:p>
      <w:pPr>
        <w:ind w:firstLine="520"/>
        <w:spacing w:line="47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二、我单位提供的服务不低于招标文件要求的标准；</w:t>
      </w:r>
      <w:r/>
    </w:p>
    <w:p>
      <w:pPr>
        <w:ind w:firstLine="520"/>
        <w:spacing w:line="47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三、我单位承诺如果服务过程中未按上述要求履行，我单位承担违约责任，双倍赔偿采购人损失，采购人可直接解除合同，并没收履约保证金。</w:t>
      </w:r>
      <w:r/>
    </w:p>
    <w:p>
      <w:pPr>
        <w:ind w:firstLine="520"/>
        <w:spacing w:line="47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四、我单位承诺参加本次政府采购活动前3年内，在经营活动中没有因违法经营受到刑事处罚或者责令停产停业、吊销许可证或者执照的行政处罚。</w:t>
      </w:r>
      <w:r/>
    </w:p>
    <w:p>
      <w:pPr>
        <w:ind w:firstLine="520"/>
        <w:spacing w:line="47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五、本公司（单位）具备履行合同所必需的设备和专业技术能力。</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特此承诺</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ind w:firstLine="5590"/>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投标人：（盖单位章）</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ind w:firstLine="5980"/>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年月日</w:t>
      </w:r>
      <w:r/>
    </w:p>
    <w:p>
      <w:pPr>
        <w:jc w:val="center"/>
        <w:spacing w:before="120" w:after="12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br w:type="page" w:clear="all"/>
      </w:r>
      <w:r/>
    </w:p>
    <w:p>
      <w:pPr>
        <w:jc w:val="center"/>
        <w:spacing w:before="120" w:after="12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2"/>
        </w:rPr>
        <w:t xml:space="preserve">商务偏离表</w:t>
      </w:r>
      <w:r/>
    </w:p>
    <w:tbl>
      <w:tblPr>
        <w:tblStyle w:val="762"/>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233"/>
        <w:gridCol w:w="4390"/>
        <w:gridCol w:w="1635"/>
        <w:gridCol w:w="245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招标文件中的商务条款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服务地点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支付方式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5"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0"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2"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pct"/>
            <w:vAlign w:val="center"/>
            <w:textDirection w:val="lrTb"/>
            <w:noWrap/>
          </w:tcPr>
          <w:p>
            <w:pPr>
              <w:jc w:val="cente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bl>
    <w:p>
      <w:pPr>
        <w:ind w:firstLine="482"/>
        <w:spacing w:line="49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 </w:t>
      </w:r>
      <w:r/>
    </w:p>
    <w:p>
      <w:pPr>
        <w:ind w:firstLine="482"/>
        <w:spacing w:line="499"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注：</w:t>
      </w:r>
      <w:r/>
    </w:p>
    <w:p>
      <w:pPr>
        <w:ind w:firstLine="482"/>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szCs w:val="24"/>
        </w:rPr>
        <w:t xml:space="preserve">若无偏离，在“有无偏离”栏中填写“无”；若有偏离在“有无偏离”栏中填写“有” 并在“偏离内容及原因”栏中作出说明。</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投标人（盖章）：</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法定代表人或法定代表人授权代表（签字或盖章）：</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日期：</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jc w:val="center"/>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rPr>
        <w:t xml:space="preserve">技术偏离表</w:t>
      </w:r>
      <w:r/>
    </w:p>
    <w:p>
      <w:pPr>
        <w:jc w:val="center"/>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rPr>
        <w:t xml:space="preserve"> </w:t>
      </w:r>
      <w:r/>
    </w:p>
    <w:tbl>
      <w:tblPr>
        <w:tblStyle w:val="762"/>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736"/>
        <w:gridCol w:w="2525"/>
        <w:gridCol w:w="2919"/>
        <w:gridCol w:w="1492"/>
        <w:gridCol w:w="2036"/>
      </w:tblGrid>
      <w:tr>
        <w:trPr>
          <w:trHeight w:val="3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有无偏离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tcPr>
          <w:p>
            <w:pPr>
              <w:jc w:val="center"/>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tcPr>
          <w:p>
            <w:pPr>
              <w:ind w:firstLine="420"/>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tcPr>
          <w:p>
            <w:pPr>
              <w:ind w:firstLine="420"/>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tcPr>
          <w:p>
            <w:pPr>
              <w:jc w:val="center"/>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tcPr>
          <w:p>
            <w:pPr>
              <w:ind w:firstLine="420"/>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tcPr>
          <w:p>
            <w:pPr>
              <w:ind w:firstLine="420"/>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tcPr>
          <w:p>
            <w:pPr>
              <w:jc w:val="center"/>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tcPr>
          <w:p>
            <w:pPr>
              <w:ind w:firstLine="520"/>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tcPr>
          <w:p>
            <w:pPr>
              <w:jc w:val="center"/>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tcPr>
          <w:p>
            <w:pPr>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tcPr>
          <w:p>
            <w:pPr>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5" w:type="pct"/>
            <w:vAlign w:val="center"/>
            <w:textDirection w:val="lrTb"/>
            <w:noWrap/>
          </w:tcPr>
          <w:p>
            <w:pPr>
              <w:jc w:val="center"/>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5" w:type="pct"/>
            <w:vAlign w:val="center"/>
            <w:textDirection w:val="lrTb"/>
            <w:noWrap/>
          </w:tcPr>
          <w:p>
            <w:pPr>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78" w:type="pct"/>
            <w:vAlign w:val="center"/>
            <w:textDirection w:val="lrTb"/>
            <w:noWrap/>
          </w:tcPr>
          <w:p>
            <w:pPr>
              <w:spacing w:before="100" w:line="23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pct"/>
            <w:vAlign w:val="center"/>
            <w:textDirection w:val="lrTb"/>
            <w:noWrap/>
          </w:tcPr>
          <w:p>
            <w:pPr>
              <w:jc w:val="cente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tc>
      </w:tr>
    </w:tbl>
    <w:p>
      <w:pPr>
        <w:ind w:firstLine="480"/>
        <w:spacing w:line="49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rPr>
          <w:rFonts w:hint="eastAsia" w:asciiTheme="minorEastAsia" w:hAnsiTheme="minorEastAsia" w:eastAsiaTheme="minorEastAsia" w:cstheme="minorEastAsia"/>
          <w:b/>
          <w:color w:val="000000" w:themeColor="text1"/>
          <w:sz w:val="24"/>
        </w:rPr>
        <w:t xml:space="preserve"> 注：</w:t>
      </w:r>
      <w:r/>
    </w:p>
    <w:p>
      <w:pPr>
        <w:ind w:firstLine="482"/>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若无偏离，在“有无偏离”栏中填写“无”；若有偏离在“有无偏离”栏中填写“有” 并在“偏离内容及原因”栏中作出说明。</w:t>
      </w:r>
      <w:r/>
    </w:p>
    <w:p>
      <w:pP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ind w:firstLine="602"/>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20"/>
        </w:rPr>
        <w:t xml:space="preserve"> </w:t>
      </w:r>
      <w:r/>
    </w:p>
    <w:p>
      <w:pPr>
        <w:ind w:firstLine="602"/>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20"/>
        </w:rPr>
        <w:t xml:space="preserve"> </w:t>
      </w:r>
      <w:r/>
    </w:p>
    <w:p>
      <w:pPr>
        <w:ind w:firstLine="602"/>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20"/>
        </w:rPr>
        <w:t xml:space="preserve"> </w:t>
      </w:r>
      <w:r/>
    </w:p>
    <w:p>
      <w:pPr>
        <w:ind w:firstLine="506"/>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4"/>
        </w:rPr>
        <w:t xml:space="preserve"> </w:t>
      </w:r>
      <w:r/>
    </w:p>
    <w:p>
      <w:pPr>
        <w:jc w:val="right"/>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投标人名称：</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（盖单位章）</w:t>
      </w:r>
      <w:r/>
    </w:p>
    <w:p>
      <w:pPr>
        <w:jc w:val="right"/>
        <w:spacing w:line="51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法定代表人或授权委托人：</w:t>
      </w:r>
      <w:r>
        <w:rPr>
          <w:rFonts w:hint="eastAsia" w:asciiTheme="minorEastAsia" w:hAnsiTheme="minorEastAsia" w:eastAsiaTheme="minorEastAsia" w:cstheme="minorEastAsia"/>
          <w:color w:val="000000" w:themeColor="text1"/>
          <w:sz w:val="24"/>
          <w:u w:val="single"/>
        </w:rPr>
        <w:t xml:space="preserve">           </w:t>
      </w:r>
      <w:r>
        <w:rPr>
          <w:rFonts w:hint="eastAsia" w:asciiTheme="minorEastAsia" w:hAnsiTheme="minorEastAsia" w:eastAsiaTheme="minorEastAsia" w:cstheme="minorEastAsia"/>
          <w:color w:val="000000" w:themeColor="text1"/>
          <w:sz w:val="24"/>
        </w:rPr>
        <w:t xml:space="preserve">（签字或盖章） </w:t>
      </w:r>
      <w:r/>
    </w:p>
    <w:p>
      <w:pPr>
        <w:jc w:val="righ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pacing w:val="20"/>
          <w:sz w:val="24"/>
        </w:rPr>
        <w:t xml:space="preserve">投标人拟派本项目服务人员配备表（与评标办法加分项对应）</w:t>
      </w:r>
      <w:r/>
    </w:p>
    <w:tbl>
      <w:tblPr>
        <w:tblStyle w:val="762"/>
        <w:tblW w:w="95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584"/>
        <w:gridCol w:w="1584"/>
        <w:gridCol w:w="1584"/>
        <w:gridCol w:w="1584"/>
        <w:gridCol w:w="1584"/>
        <w:gridCol w:w="1586"/>
      </w:tblGrid>
      <w:tr>
        <w:trPr>
          <w:trHeight w:val="69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类别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姓名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职务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职称或</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技术资格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养老保险</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7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2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8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tc>
      </w:tr>
      <w:tr>
        <w:trPr>
          <w:trHeight w:val="3049"/>
        </w:trPr>
        <w:tc>
          <w:tcPr>
            <w:gridSpan w:val="6"/>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06" w:type="dxa"/>
            <w:vAlign w:val="center"/>
            <w:textDirection w:val="lrTb"/>
            <w:noWrap/>
          </w:tcPr>
          <w:p>
            <w:pPr>
              <w:ind w:firstLine="72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投标人：(盖单位章)</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p>
            <w:pPr>
              <w:ind w:firstLine="300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年   月    日</w:t>
            </w:r>
            <w:r/>
          </w:p>
        </w:tc>
      </w:tr>
    </w:tbl>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u w:val="single"/>
        </w:rPr>
        <w:t xml:space="preserve"> </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注：1.养老保险栏应填写“已缴”或“未缴”，未填写的视同未缴。</w:t>
      </w:r>
      <w:r/>
    </w:p>
    <w:p>
      <w:pPr>
        <w:ind w:firstLine="48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2．投标人不按实填写本表的，以弄虚作假处理。</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jc w:val="center"/>
        <w:spacing w:line="55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spacing w:line="55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8"/>
        </w:rPr>
        <w:t xml:space="preserve">设备一览表</w:t>
      </w:r>
      <w:r/>
    </w:p>
    <w:tbl>
      <w:tblPr>
        <w:tblStyle w:val="762"/>
        <w:tblW w:w="950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056"/>
        <w:gridCol w:w="1056"/>
        <w:gridCol w:w="1056"/>
        <w:gridCol w:w="1056"/>
        <w:gridCol w:w="1056"/>
        <w:gridCol w:w="1056"/>
        <w:gridCol w:w="1056"/>
        <w:gridCol w:w="1056"/>
        <w:gridCol w:w="1058"/>
      </w:tblGrid>
      <w:tr>
        <w:trPr>
          <w:trHeight w:val="119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机械或设备名称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型号</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国别</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制造</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年份</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额定</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功率</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KW</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生产</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能力</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M/H</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备　　注</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6"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58"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tc>
      </w:tr>
      <w:tr>
        <w:trPr>
          <w:trHeight w:val="1863"/>
        </w:trPr>
        <w:tc>
          <w:tcPr>
            <w:gridSpan w:val="9"/>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06" w:type="dxa"/>
            <w:vAlign w:val="center"/>
            <w:textDirection w:val="lrTb"/>
            <w:noWrap/>
          </w:tcPr>
          <w:p>
            <w:pPr>
              <w:ind w:firstLine="72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投标人：(盖单位章)</w:t>
            </w:r>
            <w:r/>
          </w:p>
          <w:p>
            <w:pPr>
              <w:ind w:firstLine="72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firstLine="108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6"/>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年   月    日</w:t>
            </w:r>
            <w:r/>
          </w:p>
        </w:tc>
      </w:tr>
    </w:tbl>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rPr>
        <w:t xml:space="preserve"> </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rPr>
        <w:t xml:space="preserve"> </w:t>
      </w:r>
      <w:r/>
    </w:p>
    <w:p>
      <w:pPr>
        <w:pStyle w:val="805"/>
        <w:jc w:val="center"/>
        <w:spacing w:before="340" w:after="330" w:line="1056"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8"/>
        </w:rPr>
        <w:t xml:space="preserve">中小企业声明函（工程、服务）</w:t>
      </w:r>
      <w:r/>
    </w:p>
    <w:p>
      <w:pPr>
        <w:spacing w:before="5"/>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8"/>
        </w:rPr>
        <w:t xml:space="preserve"> </w:t>
      </w:r>
      <w:r/>
    </w:p>
    <w:p>
      <w:pPr>
        <w:ind w:right="415" w:firstLine="640"/>
        <w:spacing w:line="71"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
          <w:sz w:val="24"/>
          <w:szCs w:val="24"/>
        </w:rPr>
        <w:t xml:space="preserve">本公司</w:t>
      </w:r>
      <w:r>
        <w:rPr>
          <w:rFonts w:hint="eastAsia" w:asciiTheme="minorEastAsia" w:hAnsiTheme="minorEastAsia" w:eastAsiaTheme="minorEastAsia" w:cstheme="minorEastAsia"/>
          <w:color w:val="000000" w:themeColor="text1"/>
          <w:sz w:val="24"/>
          <w:szCs w:val="24"/>
        </w:rPr>
        <w:t xml:space="preserve">（联合体</w:t>
      </w:r>
      <w:r>
        <w:rPr>
          <w:rFonts w:hint="eastAsia" w:asciiTheme="minorEastAsia" w:hAnsiTheme="minorEastAsia" w:eastAsiaTheme="minorEastAsia" w:cstheme="minorEastAsia"/>
          <w:color w:val="000000" w:themeColor="text1"/>
          <w:spacing w:val="-5"/>
          <w:sz w:val="24"/>
          <w:szCs w:val="24"/>
        </w:rPr>
        <w:t xml:space="preserve">）</w:t>
      </w:r>
      <w:r>
        <w:rPr>
          <w:rFonts w:hint="eastAsia" w:asciiTheme="minorEastAsia" w:hAnsiTheme="minorEastAsia" w:eastAsiaTheme="minorEastAsia" w:cstheme="minorEastAsia"/>
          <w:color w:val="000000" w:themeColor="text1"/>
          <w:spacing w:val="-2"/>
          <w:sz w:val="24"/>
          <w:szCs w:val="24"/>
        </w:rPr>
        <w:t xml:space="preserve">郑重声明，根据《政府采购促进中小</w:t>
      </w:r>
      <w:r>
        <w:rPr>
          <w:rFonts w:hint="eastAsia" w:asciiTheme="minorEastAsia" w:hAnsiTheme="minorEastAsia" w:eastAsiaTheme="minorEastAsia" w:cstheme="minorEastAsia"/>
          <w:color w:val="000000" w:themeColor="text1"/>
          <w:spacing w:val="-18"/>
          <w:sz w:val="24"/>
          <w:szCs w:val="24"/>
        </w:rPr>
        <w:t xml:space="preserve">企业发展管理办法》</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pacing w:val="5"/>
          <w:sz w:val="24"/>
          <w:szCs w:val="24"/>
        </w:rPr>
        <w:t xml:space="preserve">财库</w:t>
      </w:r>
      <w:r>
        <w:rPr>
          <w:rFonts w:hint="eastAsia" w:asciiTheme="minorEastAsia" w:hAnsiTheme="minorEastAsia" w:eastAsiaTheme="minorEastAsia" w:cstheme="minorEastAsia"/>
          <w:color w:val="000000" w:themeColor="text1"/>
          <w:sz w:val="24"/>
          <w:szCs w:val="24"/>
        </w:rPr>
        <w:t xml:space="preserve">﹝2020﹞46</w:t>
      </w:r>
      <w:r>
        <w:rPr>
          <w:rFonts w:hint="eastAsia" w:asciiTheme="minorEastAsia" w:hAnsiTheme="minorEastAsia" w:eastAsiaTheme="minorEastAsia" w:cstheme="minorEastAsia"/>
          <w:color w:val="000000" w:themeColor="text1"/>
          <w:spacing w:val="-38"/>
          <w:sz w:val="24"/>
          <w:szCs w:val="24"/>
        </w:rPr>
        <w:t xml:space="preserve"> 号</w:t>
      </w:r>
      <w:r>
        <w:rPr>
          <w:rFonts w:hint="eastAsia" w:asciiTheme="minorEastAsia" w:hAnsiTheme="minorEastAsia" w:eastAsiaTheme="minorEastAsia" w:cstheme="minorEastAsia"/>
          <w:color w:val="000000" w:themeColor="text1"/>
          <w:spacing w:val="5"/>
          <w:sz w:val="24"/>
          <w:szCs w:val="24"/>
        </w:rPr>
        <w:t xml:space="preserve">）</w:t>
      </w:r>
      <w:r>
        <w:rPr>
          <w:rFonts w:hint="eastAsia" w:asciiTheme="minorEastAsia" w:hAnsiTheme="minorEastAsia" w:eastAsiaTheme="minorEastAsia" w:cstheme="minorEastAsia"/>
          <w:color w:val="000000" w:themeColor="text1"/>
          <w:sz w:val="24"/>
          <w:szCs w:val="24"/>
        </w:rPr>
        <w:t xml:space="preserve">的规定，本公司（联合体）</w:t>
      </w:r>
      <w:r>
        <w:rPr>
          <w:rFonts w:hint="eastAsia" w:asciiTheme="minorEastAsia" w:hAnsiTheme="minorEastAsia" w:eastAsiaTheme="minorEastAsia" w:cstheme="minorEastAsia"/>
          <w:color w:val="000000" w:themeColor="text1"/>
          <w:spacing w:val="-8"/>
          <w:sz w:val="24"/>
          <w:szCs w:val="24"/>
        </w:rPr>
        <w:t xml:space="preserve">参加</w:t>
      </w:r>
      <w:r>
        <w:rPr>
          <w:rFonts w:hint="eastAsia" w:asciiTheme="minorEastAsia" w:hAnsiTheme="minorEastAsia" w:eastAsiaTheme="minorEastAsia" w:cstheme="minorEastAsia"/>
          <w:color w:val="000000" w:themeColor="text1"/>
          <w:spacing w:val="-8"/>
          <w:sz w:val="24"/>
          <w:szCs w:val="24"/>
          <w:u w:val="single"/>
        </w:rPr>
        <w:t xml:space="preserve">     （采购单位名称）</w:t>
      </w:r>
      <w:r>
        <w:rPr>
          <w:rFonts w:hint="eastAsia" w:asciiTheme="minorEastAsia" w:hAnsiTheme="minorEastAsia" w:eastAsiaTheme="minorEastAsia" w:cstheme="minorEastAsia"/>
          <w:color w:val="000000" w:themeColor="text1"/>
          <w:spacing w:val="-8"/>
          <w:sz w:val="24"/>
          <w:szCs w:val="24"/>
        </w:rPr>
        <w:t xml:space="preserve">的</w:t>
      </w:r>
      <w:r>
        <w:rPr>
          <w:rFonts w:hint="eastAsia" w:asciiTheme="minorEastAsia" w:hAnsiTheme="minorEastAsia" w:eastAsiaTheme="minorEastAsia" w:cstheme="minorEastAsia"/>
          <w:color w:val="000000" w:themeColor="text1"/>
          <w:spacing w:val="-8"/>
          <w:sz w:val="24"/>
          <w:szCs w:val="24"/>
          <w:u w:val="single"/>
        </w:rPr>
        <w:t xml:space="preserve">       （项目名称）</w:t>
      </w:r>
      <w:r>
        <w:rPr>
          <w:rFonts w:hint="eastAsia" w:asciiTheme="minorEastAsia" w:hAnsiTheme="minorEastAsia" w:eastAsiaTheme="minorEastAsia" w:cstheme="minorEastAsia"/>
          <w:color w:val="000000" w:themeColor="text1"/>
          <w:spacing w:val="-8"/>
          <w:sz w:val="24"/>
          <w:szCs w:val="24"/>
        </w:rPr>
        <w:t xml:space="preserve">采购活动</w:t>
      </w:r>
      <w:r>
        <w:rPr>
          <w:rFonts w:hint="eastAsia" w:asciiTheme="minorEastAsia" w:hAnsiTheme="minorEastAsia" w:eastAsiaTheme="minorEastAsia" w:cstheme="minorEastAsia"/>
          <w:color w:val="000000" w:themeColor="text1"/>
          <w:spacing w:val="-1"/>
          <w:sz w:val="24"/>
          <w:szCs w:val="24"/>
        </w:rPr>
        <w:t xml:space="preserve">，工</w:t>
      </w:r>
      <w:r>
        <w:rPr>
          <w:rFonts w:hint="eastAsia" w:asciiTheme="minorEastAsia" w:hAnsiTheme="minorEastAsia" w:eastAsiaTheme="minorEastAsia" w:cstheme="minorEastAsia"/>
          <w:color w:val="000000" w:themeColor="text1"/>
          <w:spacing w:val="-2"/>
          <w:sz w:val="24"/>
          <w:szCs w:val="24"/>
        </w:rPr>
        <w:t xml:space="preserve">程的施工单位全部为符合政策要求的中小企业</w:t>
      </w:r>
      <w:r>
        <w:rPr>
          <w:rFonts w:hint="eastAsia" w:asciiTheme="minorEastAsia" w:hAnsiTheme="minorEastAsia" w:eastAsiaTheme="minorEastAsia" w:cstheme="minorEastAsia"/>
          <w:color w:val="000000" w:themeColor="text1"/>
          <w:sz w:val="24"/>
          <w:szCs w:val="24"/>
        </w:rPr>
        <w:t xml:space="preserve">（</w:t>
      </w:r>
      <w:r>
        <w:rPr>
          <w:rFonts w:hint="eastAsia" w:asciiTheme="minorEastAsia" w:hAnsiTheme="minorEastAsia" w:eastAsiaTheme="minorEastAsia" w:cstheme="minorEastAsia"/>
          <w:color w:val="000000" w:themeColor="text1"/>
          <w:spacing w:val="-3"/>
          <w:sz w:val="24"/>
          <w:szCs w:val="24"/>
        </w:rPr>
        <w:t xml:space="preserve">或者：服务</w:t>
      </w:r>
      <w:r>
        <w:rPr>
          <w:rFonts w:hint="eastAsia" w:asciiTheme="minorEastAsia" w:hAnsiTheme="minorEastAsia" w:eastAsiaTheme="minorEastAsia" w:cstheme="minorEastAsia"/>
          <w:color w:val="000000" w:themeColor="text1"/>
          <w:spacing w:val="5"/>
          <w:sz w:val="24"/>
          <w:szCs w:val="24"/>
        </w:rPr>
        <w:t xml:space="preserve">全部由符合政策要求的中小企业承接</w:t>
      </w:r>
      <w:r>
        <w:rPr>
          <w:rFonts w:hint="eastAsia" w:asciiTheme="minorEastAsia" w:hAnsiTheme="minorEastAsia" w:eastAsiaTheme="minorEastAsia" w:cstheme="minorEastAsia"/>
          <w:color w:val="000000" w:themeColor="text1"/>
          <w:spacing w:val="-154"/>
          <w:sz w:val="24"/>
          <w:szCs w:val="24"/>
        </w:rPr>
        <w:t xml:space="preserve">）</w:t>
      </w:r>
      <w:r>
        <w:rPr>
          <w:rFonts w:hint="eastAsia" w:asciiTheme="minorEastAsia" w:hAnsiTheme="minorEastAsia" w:eastAsiaTheme="minorEastAsia" w:cstheme="minorEastAsia"/>
          <w:color w:val="000000" w:themeColor="text1"/>
          <w:spacing w:val="6"/>
          <w:sz w:val="24"/>
          <w:szCs w:val="24"/>
        </w:rPr>
        <w:t xml:space="preserve">。相关企业</w:t>
      </w:r>
      <w:r>
        <w:rPr>
          <w:rFonts w:hint="eastAsia" w:asciiTheme="minorEastAsia" w:hAnsiTheme="minorEastAsia" w:eastAsiaTheme="minorEastAsia" w:cstheme="minorEastAsia"/>
          <w:color w:val="000000" w:themeColor="text1"/>
          <w:spacing w:val="7"/>
          <w:sz w:val="24"/>
          <w:szCs w:val="24"/>
        </w:rPr>
        <w:t xml:space="preserve">（</w:t>
      </w:r>
      <w:r>
        <w:rPr>
          <w:rFonts w:hint="eastAsia" w:asciiTheme="minorEastAsia" w:hAnsiTheme="minorEastAsia" w:eastAsiaTheme="minorEastAsia" w:cstheme="minorEastAsia"/>
          <w:color w:val="000000" w:themeColor="text1"/>
          <w:spacing w:val="4"/>
          <w:sz w:val="24"/>
          <w:szCs w:val="24"/>
        </w:rPr>
        <w:t xml:space="preserve">含联合</w:t>
      </w:r>
      <w:r>
        <w:rPr>
          <w:rFonts w:hint="eastAsia" w:asciiTheme="minorEastAsia" w:hAnsiTheme="minorEastAsia" w:eastAsiaTheme="minorEastAsia" w:cstheme="minorEastAsia"/>
          <w:color w:val="000000" w:themeColor="text1"/>
          <w:sz w:val="24"/>
          <w:szCs w:val="24"/>
        </w:rPr>
        <w:t xml:space="preserve">体中的中小企业、签订分包意向协议的中小企业</w:t>
      </w:r>
      <w:r>
        <w:rPr>
          <w:rFonts w:hint="eastAsia" w:asciiTheme="minorEastAsia" w:hAnsiTheme="minorEastAsia" w:eastAsiaTheme="minorEastAsia" w:cstheme="minorEastAsia"/>
          <w:color w:val="000000" w:themeColor="text1"/>
          <w:spacing w:val="-7"/>
          <w:sz w:val="24"/>
          <w:szCs w:val="24"/>
        </w:rPr>
        <w:t xml:space="preserve">）</w:t>
      </w:r>
      <w:r>
        <w:rPr>
          <w:rFonts w:hint="eastAsia" w:asciiTheme="minorEastAsia" w:hAnsiTheme="minorEastAsia" w:eastAsiaTheme="minorEastAsia" w:cstheme="minorEastAsia"/>
          <w:color w:val="000000" w:themeColor="text1"/>
          <w:sz w:val="24"/>
          <w:szCs w:val="24"/>
        </w:rPr>
        <w:t xml:space="preserve">的具体情况如下：</w:t>
      </w:r>
      <w:r/>
    </w:p>
    <w:p>
      <w:pPr>
        <w:numPr>
          <w:ilvl w:val="0"/>
          <w:numId w:val="5"/>
        </w:numPr>
        <w:spacing w:before="108" w:line="71"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3"/>
          <w:sz w:val="24"/>
          <w:szCs w:val="24"/>
          <w:u w:val="single"/>
        </w:rPr>
        <w:t xml:space="preserve">                </w:t>
      </w:r>
      <w:r>
        <w:rPr>
          <w:rFonts w:hint="eastAsia" w:asciiTheme="minorEastAsia" w:hAnsiTheme="minorEastAsia" w:eastAsiaTheme="minorEastAsia" w:cstheme="minorEastAsia"/>
          <w:color w:val="000000" w:themeColor="text1"/>
          <w:spacing w:val="-3"/>
          <w:sz w:val="24"/>
          <w:szCs w:val="24"/>
        </w:rPr>
        <w:t xml:space="preserve">，属于采购文件中明确的所属行业</w:t>
      </w:r>
      <w:r>
        <w:rPr>
          <w:rFonts w:hint="eastAsia" w:asciiTheme="minorEastAsia" w:hAnsiTheme="minorEastAsia" w:eastAsiaTheme="minorEastAsia" w:cstheme="minorEastAsia"/>
          <w:color w:val="000000" w:themeColor="text1"/>
          <w:spacing w:val="-3"/>
          <w:sz w:val="24"/>
          <w:szCs w:val="24"/>
          <w:u w:val="single"/>
        </w:rPr>
        <w:t xml:space="preserve">建筑业</w:t>
      </w:r>
      <w:r>
        <w:rPr>
          <w:rFonts w:hint="eastAsia" w:asciiTheme="minorEastAsia" w:hAnsiTheme="minorEastAsia" w:eastAsiaTheme="minorEastAsia" w:cstheme="minorEastAsia"/>
          <w:color w:val="000000" w:themeColor="text1"/>
          <w:spacing w:val="-3"/>
          <w:sz w:val="24"/>
          <w:szCs w:val="24"/>
        </w:rPr>
        <w:t xml:space="preserve">；承建（承接）企业为</w:t>
      </w:r>
      <w:r>
        <w:rPr>
          <w:rFonts w:hint="eastAsia" w:asciiTheme="minorEastAsia" w:hAnsiTheme="minorEastAsia" w:eastAsiaTheme="minorEastAsia" w:cstheme="minorEastAsia"/>
          <w:color w:val="000000" w:themeColor="text1"/>
          <w:spacing w:val="-3"/>
          <w:sz w:val="24"/>
          <w:szCs w:val="24"/>
          <w:u w:val="single"/>
        </w:rPr>
        <w:t xml:space="preserve">       （企业名称），</w:t>
      </w:r>
      <w:r>
        <w:rPr>
          <w:rFonts w:hint="eastAsia" w:asciiTheme="minorEastAsia" w:hAnsiTheme="minorEastAsia" w:eastAsiaTheme="minorEastAsia" w:cstheme="minorEastAsia"/>
          <w:color w:val="000000" w:themeColor="text1"/>
          <w:spacing w:val="-3"/>
          <w:sz w:val="24"/>
          <w:szCs w:val="24"/>
        </w:rPr>
        <w:t xml:space="preserve">从业人员</w:t>
      </w:r>
      <w:r>
        <w:rPr>
          <w:rFonts w:hint="eastAsia" w:asciiTheme="minorEastAsia" w:hAnsiTheme="minorEastAsia" w:eastAsiaTheme="minorEastAsia" w:cstheme="minorEastAsia"/>
          <w:color w:val="000000" w:themeColor="text1"/>
          <w:spacing w:val="-3"/>
          <w:sz w:val="24"/>
          <w:szCs w:val="24"/>
          <w:u w:val="single"/>
        </w:rPr>
        <w:t xml:space="preserve">   人</w:t>
      </w:r>
      <w:r>
        <w:rPr>
          <w:rFonts w:hint="eastAsia" w:asciiTheme="minorEastAsia" w:hAnsiTheme="minorEastAsia" w:eastAsiaTheme="minorEastAsia" w:cstheme="minorEastAsia"/>
          <w:color w:val="000000" w:themeColor="text1"/>
          <w:spacing w:val="-3"/>
          <w:sz w:val="24"/>
          <w:szCs w:val="24"/>
        </w:rPr>
        <w:t xml:space="preserve">，营业收入为</w:t>
      </w:r>
      <w:r>
        <w:rPr>
          <w:rFonts w:hint="eastAsia" w:asciiTheme="minorEastAsia" w:hAnsiTheme="minorEastAsia" w:eastAsiaTheme="minorEastAsia" w:cstheme="minorEastAsia"/>
          <w:color w:val="000000" w:themeColor="text1"/>
          <w:spacing w:val="-3"/>
          <w:sz w:val="24"/>
          <w:szCs w:val="24"/>
          <w:u w:val="single"/>
        </w:rPr>
        <w:t xml:space="preserve">    万元</w:t>
      </w:r>
      <w:r>
        <w:rPr>
          <w:rFonts w:hint="eastAsia" w:asciiTheme="minorEastAsia" w:hAnsiTheme="minorEastAsia" w:eastAsiaTheme="minorEastAsia" w:cstheme="minorEastAsia"/>
          <w:color w:val="000000" w:themeColor="text1"/>
          <w:spacing w:val="-3"/>
          <w:sz w:val="24"/>
          <w:szCs w:val="24"/>
        </w:rPr>
        <w:t xml:space="preserve">，资产总额为</w:t>
      </w:r>
      <w:r>
        <w:rPr>
          <w:rFonts w:hint="eastAsia" w:asciiTheme="minorEastAsia" w:hAnsiTheme="minorEastAsia" w:eastAsiaTheme="minorEastAsia" w:cstheme="minorEastAsia"/>
          <w:color w:val="000000" w:themeColor="text1"/>
          <w:spacing w:val="-3"/>
          <w:sz w:val="24"/>
          <w:szCs w:val="24"/>
          <w:u w:val="single"/>
        </w:rPr>
        <w:t xml:space="preserve">     万元</w:t>
      </w:r>
      <w:r>
        <w:rPr>
          <w:rFonts w:hint="eastAsia" w:asciiTheme="minorEastAsia" w:hAnsiTheme="minorEastAsia" w:eastAsiaTheme="minorEastAsia" w:cstheme="minorEastAsia"/>
          <w:color w:val="000000" w:themeColor="text1"/>
          <w:spacing w:val="-3"/>
          <w:sz w:val="24"/>
          <w:szCs w:val="24"/>
        </w:rPr>
        <w:t xml:space="preserve">，属于</w:t>
      </w:r>
      <w:r>
        <w:rPr>
          <w:rFonts w:hint="eastAsia" w:asciiTheme="minorEastAsia" w:hAnsiTheme="minorEastAsia" w:eastAsiaTheme="minorEastAsia" w:cstheme="minorEastAsia"/>
          <w:color w:val="000000" w:themeColor="text1"/>
          <w:spacing w:val="-3"/>
          <w:sz w:val="24"/>
          <w:szCs w:val="24"/>
          <w:u w:val="single"/>
        </w:rPr>
        <w:t xml:space="preserve">     （中型企业、小型企业、微型企业）。</w:t>
      </w:r>
      <w:r/>
    </w:p>
    <w:p>
      <w:pPr>
        <w:ind w:right="417" w:firstLine="645"/>
        <w:spacing w:before="108" w:line="71"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3"/>
          <w:sz w:val="24"/>
          <w:szCs w:val="24"/>
        </w:rPr>
        <w:t xml:space="preserve">以上企业，不属于大企业的分支机构，不存在控股股东</w:t>
      </w:r>
      <w:r>
        <w:rPr>
          <w:rFonts w:hint="eastAsia" w:asciiTheme="minorEastAsia" w:hAnsiTheme="minorEastAsia" w:eastAsiaTheme="minorEastAsia" w:cstheme="minorEastAsia"/>
          <w:color w:val="000000" w:themeColor="text1"/>
          <w:spacing w:val="-5"/>
          <w:sz w:val="24"/>
          <w:szCs w:val="24"/>
        </w:rPr>
        <w:t xml:space="preserve">为大企业的情形，也不存在与大企业的负责人为同一人的情形。</w:t>
      </w:r>
      <w:r/>
    </w:p>
    <w:p>
      <w:pPr>
        <w:ind w:right="375" w:firstLine="640"/>
        <w:spacing w:line="71"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本企业对上述声明内容的真实性负责。如有虚假，将依法承担相应责任。</w:t>
      </w:r>
      <w:r/>
    </w:p>
    <w:p>
      <w:pPr>
        <w:ind w:left="4060" w:right="2166"/>
        <w:spacing w:before="29" w:line="74"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企业名称</w:t>
      </w:r>
      <w:r>
        <w:rPr>
          <w:rFonts w:hint="eastAsia" w:asciiTheme="minorEastAsia" w:hAnsiTheme="minorEastAsia" w:eastAsiaTheme="minorEastAsia" w:cstheme="minorEastAsia"/>
          <w:color w:val="000000" w:themeColor="text1"/>
          <w:spacing w:val="2"/>
          <w:sz w:val="24"/>
          <w:szCs w:val="24"/>
        </w:rPr>
        <w:t xml:space="preserve">（</w:t>
      </w:r>
      <w:r>
        <w:rPr>
          <w:rFonts w:hint="eastAsia" w:asciiTheme="minorEastAsia" w:hAnsiTheme="minorEastAsia" w:eastAsiaTheme="minorEastAsia" w:cstheme="minorEastAsia"/>
          <w:color w:val="000000" w:themeColor="text1"/>
          <w:sz w:val="24"/>
          <w:szCs w:val="24"/>
        </w:rPr>
        <w:t xml:space="preserve">盖章</w:t>
      </w:r>
      <w:r>
        <w:rPr>
          <w:rFonts w:hint="eastAsia" w:asciiTheme="minorEastAsia" w:hAnsiTheme="minorEastAsia" w:eastAsiaTheme="minorEastAsia" w:cstheme="minorEastAsia"/>
          <w:color w:val="000000" w:themeColor="text1"/>
          <w:spacing w:val="-167"/>
          <w:sz w:val="24"/>
          <w:szCs w:val="24"/>
        </w:rPr>
        <w:t xml:space="preserve">）</w:t>
      </w:r>
      <w:r>
        <w:rPr>
          <w:rFonts w:hint="eastAsia" w:asciiTheme="minorEastAsia" w:hAnsiTheme="minorEastAsia" w:eastAsiaTheme="minorEastAsia" w:cstheme="minorEastAsia"/>
          <w:color w:val="000000" w:themeColor="text1"/>
          <w:spacing w:val="-8"/>
          <w:sz w:val="24"/>
          <w:szCs w:val="24"/>
        </w:rPr>
        <w:t xml:space="preserve">：</w:t>
      </w:r>
      <w:r/>
    </w:p>
    <w:p>
      <w:pPr>
        <w:ind w:left="4060" w:right="2166"/>
        <w:spacing w:before="29" w:line="74"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4"/>
          <w:szCs w:val="24"/>
        </w:rPr>
        <w:t xml:space="preserve">日期：</w:t>
      </w:r>
      <w:r/>
    </w:p>
    <w:p>
      <w:pPr>
        <w:ind w:left="4060" w:right="2166"/>
        <w:spacing w:before="29" w:line="74"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8"/>
        </w:rPr>
        <w:t xml:space="preserve"> </w:t>
      </w:r>
      <w:r/>
    </w:p>
    <w:p>
      <w:pPr>
        <w:ind w:left="4060" w:right="2166"/>
        <w:spacing w:before="29" w:line="74"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8"/>
        </w:rPr>
        <w:t xml:space="preserve"> </w:t>
      </w:r>
      <w:r/>
    </w:p>
    <w:p>
      <w:pPr>
        <w:ind w:left="4060" w:right="2166"/>
        <w:spacing w:before="29" w:line="74"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8"/>
        </w:rPr>
        <w:t xml:space="preserve"> </w:t>
      </w:r>
      <w:r/>
    </w:p>
    <w:p>
      <w:pPr>
        <w:ind w:left="4060" w:right="2166"/>
        <w:spacing w:before="29" w:line="74"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8"/>
        </w:rPr>
        <w:t xml:space="preserve"> </w:t>
      </w:r>
      <w:r/>
    </w:p>
    <w:p>
      <w:pPr>
        <w:ind w:left="4060" w:right="2166"/>
        <w:spacing w:before="29" w:line="74"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8"/>
        </w:rPr>
        <w:t xml:space="preserve"> </w:t>
      </w:r>
      <w:r/>
    </w:p>
    <w:p>
      <w:pPr>
        <w:ind w:left="4060" w:right="2166"/>
        <w:spacing w:before="29" w:line="74"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pacing w:val="24"/>
          <w:sz w:val="24"/>
          <w:szCs w:val="24"/>
        </w:rPr>
        <w:t xml:space="preserve"> </w:t>
      </w:r>
      <w:r/>
    </w:p>
    <w:p>
      <w:pPr>
        <w:spacing w:line="74"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注：从业人员、营业收入、资产总额填报上一年度数据，无上一年度数据的新成立企业可不填报</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br w:type="page" w:clear="all"/>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8"/>
        </w:rPr>
        <w:t xml:space="preserve">残疾人福利性单位声明函(如有，非残疾人福利性单位不需提供）</w:t>
      </w:r>
      <w:r/>
    </w:p>
    <w:p>
      <w:pPr>
        <w:ind w:firstLine="560"/>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中国残疾人联合会关于促进残疾人就业政府采购政策的通知》（财库〔2017〕141号）的规定，本单位为符合条件的残疾人福利性单位，且本单位参加的</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（采购人名称）单位的</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（项目名称）采购活动提供本单位制造的货物（由本单位承担工程/提供服务），或者提供其他残疾人福利性单位制造的货物（不包括使用非残疾人福利性单位注册商标的货物）。</w:t>
      </w:r>
      <w:r/>
    </w:p>
    <w:p>
      <w:pPr>
        <w:ind w:firstLine="560"/>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本单位对上述声明的真实性负责。如有虚假，将依法承担相应责任。</w:t>
      </w:r>
      <w:r/>
    </w:p>
    <w:p>
      <w:pPr>
        <w:ind w:firstLine="560"/>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ind w:firstLine="560"/>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单位名称（盖章）</w:t>
      </w:r>
      <w:r/>
    </w:p>
    <w:p>
      <w:pPr>
        <w:ind w:firstLine="560"/>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ind w:firstLine="560"/>
        <w:spacing w:line="85"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日期：年月日</w:t>
      </w:r>
      <w:r/>
    </w:p>
    <w:p>
      <w:pPr>
        <w:ind w:firstLine="420"/>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30"/>
        </w:rPr>
        <w:t xml:space="preserve">无在建工程承诺书</w:t>
      </w:r>
      <w:r/>
    </w:p>
    <w:p>
      <w:pPr>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（采购人名称）：</w:t>
      </w:r>
      <w:r/>
    </w:p>
    <w:p>
      <w:pPr>
        <w:ind w:firstLine="520"/>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ind w:firstLine="520"/>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我方在此声明，我方拟派往</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（项目名称）</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标段的项目经理</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（项目经理姓名）现阶段没有担任其他在建建设工程项目的项目经理。</w:t>
      </w:r>
      <w:r/>
    </w:p>
    <w:p>
      <w:pPr>
        <w:ind w:firstLine="520"/>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我方保证上述信息的真实和准确，并愿意承担因我方就此弄虚作假所引起的一切法律后果。</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特此承诺</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投标人：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（盖单位章）</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法定代表人或委托代理人：</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（签字或盖章）</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p>
    <w:p>
      <w:pPr>
        <w:spacing w:line="400" w:lineRule="atLeast"/>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t xml:space="preserve"> </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年</w:t>
      </w:r>
      <w:r>
        <w:rPr>
          <w:rFonts w:hint="eastAsia" w:asciiTheme="minorEastAsia" w:hAnsiTheme="minorEastAsia" w:eastAsiaTheme="minorEastAsia" w:cstheme="minorEastAsia"/>
          <w:color w:val="000000" w:themeColor="text1"/>
          <w:sz w:val="24"/>
          <w:szCs w:val="24"/>
          <w:u w:val="single"/>
        </w:rPr>
        <w:t xml:space="preserve">        </w:t>
      </w:r>
      <w:r>
        <w:rPr>
          <w:rFonts w:hint="eastAsia" w:asciiTheme="minorEastAsia" w:hAnsiTheme="minorEastAsia" w:eastAsiaTheme="minorEastAsia" w:cstheme="minorEastAsia"/>
          <w:color w:val="000000" w:themeColor="text1"/>
          <w:sz w:val="24"/>
          <w:szCs w:val="24"/>
        </w:rPr>
        <w:t xml:space="preserve">月</w:t>
      </w:r>
      <w:r>
        <w:rPr>
          <w:rFonts w:hint="eastAsia" w:asciiTheme="minorEastAsia" w:hAnsiTheme="minorEastAsia" w:eastAsiaTheme="minorEastAsia" w:cstheme="minorEastAsia"/>
          <w:color w:val="000000" w:themeColor="text1"/>
          <w:sz w:val="24"/>
          <w:szCs w:val="24"/>
          <w:u w:val="single"/>
        </w:rPr>
        <w:t xml:space="preserve">       日</w:t>
      </w:r>
      <w:r/>
    </w:p>
    <w:p>
      <w:pPr>
        <w:rPr>
          <w:rFonts w:asciiTheme="minorEastAsia" w:hAnsiTheme="minorEastAsia" w:eastAsiaTheme="minorEastAsia" w:cstheme="minorEastAsia"/>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szCs w:val="24"/>
        </w:rPr>
        <w:br w:type="page" w:clear="all"/>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全费用预算单价清单</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rPr>
        <w:t xml:space="preserve">详见采购公告附件</w:t>
      </w:r>
      <w:r/>
    </w:p>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pStyle w:val="805"/>
        <w:jc w:val="center"/>
        <w:spacing w:before="0" w:after="0" w:line="85" w:lineRule="atLeast"/>
        <w:rPr>
          <w:rFonts w:asciiTheme="minorEastAsia" w:hAnsiTheme="minorEastAsia" w:eastAsiaTheme="minorEastAsia" w:cstheme="minorEastAsia"/>
          <w:b/>
          <w:color w:val="000000" w:themeColor="text1"/>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第四章  采购内容</w:t>
      </w:r>
      <w:r/>
    </w:p>
    <w:p>
      <w:pPr>
        <w:ind w:firstLine="482"/>
        <w:spacing w:line="560" w:lineRule="exact"/>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一、采购标的需实现的功能或者目标</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采购标的需实现的功能或者目标：市政设施巡查、养护、维修作业。</w:t>
      </w:r>
      <w:r/>
    </w:p>
    <w:p>
      <w:pPr>
        <w:pStyle w:val="1107"/>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主要如下：</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对姜堰区S229省道（不含）以西、上海路（含）以东、G328国道（不含）以北、站前路（含）以南范围内（部分道路超出以上四至范围由采购人确定外延范围）的市政道路、桥梁、雨水管网、路灯及其附属设施进行巡查、养护、维修（巡查不含桥面以下设施及路灯设施，巡查自2026年11月14日开始至本项目结束），以及完成采购人交办的其他任务，具体详见“拟签订的合同文本”。根据工作需要，采购人可根据实际情况调整本项目服务范围及内容。</w:t>
      </w:r>
      <w:r/>
    </w:p>
    <w:p>
      <w:pPr>
        <w:ind w:firstLine="482"/>
        <w:spacing w:line="560" w:lineRule="exact"/>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szCs w:val="24"/>
        </w:rPr>
        <w:t xml:space="preserve">二、</w:t>
      </w:r>
      <w:r>
        <w:rPr>
          <w:rFonts w:hint="eastAsia" w:asciiTheme="minorEastAsia" w:hAnsiTheme="minorEastAsia" w:eastAsiaTheme="minorEastAsia" w:cstheme="minorEastAsia"/>
          <w:b/>
          <w:bCs/>
          <w:color w:val="000000" w:themeColor="text1"/>
          <w:sz w:val="24"/>
        </w:rPr>
        <w:t xml:space="preserve">本项目需执行的国家相关标准、行业标准、地方标准或者其他标准、规范</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《城镇道路工程施工与质量验收规范》（CJJ 1-2008）</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《城市桥梁工程施工与质量验收规范》（CJJ 2-2008）</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《给水排水管道工程施工与质量验收规范》（GB 50268-2008）</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《给水排水构筑物工程施工与质量验收规范》（GB 50141-2008）</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《城镇道路养护技术规范》（CJJ 36-2016）</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《城市桥梁养护技术标准》（CJJ 99-2017）</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《城镇排水管渠与泵站运行、维护及安全技术规程》（CJJ 68-2016）</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其他国家和地方现行有效的相关标准、规范。</w:t>
      </w:r>
      <w:r/>
    </w:p>
    <w:p>
      <w:pPr>
        <w:ind w:firstLine="482"/>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上述标准、规范如有最新版本则按最新版本。</w:t>
      </w:r>
      <w:r/>
    </w:p>
    <w:p>
      <w:pPr>
        <w:ind w:firstLine="482"/>
        <w:spacing w:line="560" w:lineRule="exact"/>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szCs w:val="24"/>
        </w:rPr>
        <w:t xml:space="preserve">三、</w:t>
      </w:r>
      <w:r>
        <w:rPr>
          <w:rFonts w:hint="eastAsia" w:asciiTheme="minorEastAsia" w:hAnsiTheme="minorEastAsia" w:eastAsiaTheme="minorEastAsia" w:cstheme="minorEastAsia"/>
          <w:b/>
          <w:bCs/>
          <w:color w:val="000000" w:themeColor="text1"/>
          <w:sz w:val="24"/>
        </w:rPr>
        <w:t xml:space="preserve">本项目需满足的质量、安全、技术规格、物理特性等要求</w:t>
      </w:r>
      <w:r/>
    </w:p>
    <w:p>
      <w:pPr>
        <w:ind w:firstLine="480"/>
        <w:spacing w:line="560" w:lineRule="exact"/>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color w:val="000000" w:themeColor="text1"/>
          <w:sz w:val="24"/>
        </w:rPr>
        <w:t xml:space="preserve">1. 养护质量验收标准：</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《城镇道路工程施工与质量验收规范》（CJJ 1-2008）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《城市桥梁工程施工与质量验收规范》（CJJ 2-2008）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《给水排水管道工程施工与质量验收规范》（GB 50268-2008）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《给水排水构筑物工程施工与质量验收规范》（GB 50141-2008）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《城镇道路养护技术规范》（CJJ 36-2016）</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《城市桥梁养护技术标准》（CJJ 99-2017）</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《城镇排水管渠与泵站运行、维护及安全技术规程》（CJJ 68-2016）</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其他国家和地方现行有效的相关标准、规范。</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上述标准、规范如有最新版本则按最新版本。</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2.安全要求：安全要求应满足国家相关法律法规及有关安全操作规程的要求，无安全责任事故。</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3.技术规格要求：满足相关标准、规范要求。</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4.物理特性要求：满足相关标准、规范要求。</w:t>
      </w:r>
      <w:r/>
    </w:p>
    <w:p>
      <w:pPr>
        <w:ind w:firstLine="482"/>
        <w:spacing w:line="560" w:lineRule="exact"/>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四、本项目采购标的的数量、采购项目交付或者实施的时间和地点</w:t>
      </w:r>
      <w:r/>
    </w:p>
    <w:p>
      <w:pPr>
        <w:pStyle w:val="1107"/>
        <w:ind w:right="15" w:firstLine="480"/>
        <w:spacing w:line="56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（1）采购标的的数量： 市政设施巡查、养护、维修作业服务一项。</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（2）实施的时间：自合同签订之日起服务一年</w:t>
      </w:r>
      <w:r>
        <w:rPr>
          <w:rFonts w:hint="eastAsia" w:asciiTheme="minorEastAsia" w:hAnsiTheme="minorEastAsia" w:eastAsiaTheme="minorEastAsia" w:cstheme="minorEastAsia"/>
          <w:color w:val="000000" w:themeColor="text1"/>
          <w:sz w:val="24"/>
          <w:szCs w:val="24"/>
        </w:rPr>
        <w:t xml:space="preserve">。</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（3）实施地点：姜堰区。</w:t>
      </w:r>
      <w:r/>
    </w:p>
    <w:p>
      <w:pPr>
        <w:pStyle w:val="1107"/>
        <w:ind w:right="15" w:firstLine="482"/>
        <w:spacing w:line="560" w:lineRule="exact"/>
        <w:rPr>
          <w:rFonts w:asciiTheme="minorEastAsia" w:hAnsiTheme="minorEastAsia" w:eastAsiaTheme="minorEastAsia" w:cstheme="minorEastAsia"/>
          <w:b/>
          <w:bCs/>
          <w:color w:val="000000" w:themeColor="text1"/>
          <w:sz w:val="28"/>
          <w:szCs w:val="28"/>
        </w:rPr>
      </w:pPr>
      <w:r>
        <w:rPr>
          <w:rFonts w:hint="eastAsia" w:asciiTheme="minorEastAsia" w:hAnsiTheme="minorEastAsia" w:eastAsiaTheme="minorEastAsia" w:cstheme="minorEastAsia"/>
          <w:b/>
          <w:bCs/>
          <w:color w:val="000000" w:themeColor="text1"/>
          <w:sz w:val="24"/>
          <w:szCs w:val="24"/>
        </w:rPr>
        <w:t xml:space="preserve">五、本项目采购标的需满足的服务标准、要求</w:t>
      </w:r>
      <w:r/>
    </w:p>
    <w:p>
      <w:pPr>
        <w:pStyle w:val="972"/>
        <w:ind w:firstLine="480"/>
        <w:spacing w:line="5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color w:val="000000" w:themeColor="text1"/>
        </w:rPr>
        <w:t xml:space="preserve">详见拟签订的合同文本。</w:t>
      </w:r>
      <w:r/>
    </w:p>
    <w:p>
      <w:pPr>
        <w:pStyle w:val="1107"/>
        <w:ind w:right="15" w:firstLine="482"/>
        <w:spacing w:line="560" w:lineRule="exact"/>
        <w:rPr>
          <w:rFonts w:asciiTheme="minorEastAsia" w:hAnsiTheme="minorEastAsia" w:eastAsiaTheme="minorEastAsia" w:cstheme="minorEastAsia"/>
          <w:b/>
          <w:bCs/>
          <w:color w:val="000000" w:themeColor="text1"/>
          <w:sz w:val="24"/>
          <w:szCs w:val="24"/>
        </w:rPr>
      </w:pPr>
      <w:r>
        <w:rPr>
          <w:rFonts w:hint="eastAsia" w:asciiTheme="minorEastAsia" w:hAnsiTheme="minorEastAsia" w:eastAsiaTheme="minorEastAsia" w:cstheme="minorEastAsia"/>
          <w:b/>
          <w:bCs/>
          <w:color w:val="000000" w:themeColor="text1"/>
          <w:sz w:val="24"/>
          <w:szCs w:val="24"/>
        </w:rPr>
        <w:t xml:space="preserve">六、本项目验收标准：</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《城镇道路工程施工与质量验收规范》（CJJ 1-2008）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《城市桥梁工程施工与质量验收规范》（CJJ 2-2008）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《给水排水管道工程施工与质量验收规范》（GB 50268-2008）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《给水排水构筑物工程施工与质量验收规范》（GB 50141-2008）</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《城镇道路养护技术规范》（CJJ 36-2016）</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《城市桥梁养护技术标准》（CJJ 99-2017）</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《城镇排水管渠与泵站运行、维护及安全技术规程》（CJJ 68-2016）</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其他国家和地方现行有效的相关标准、规范。</w:t>
      </w:r>
      <w:r/>
    </w:p>
    <w:p>
      <w:pPr>
        <w:ind w:firstLine="480"/>
        <w:spacing w:line="56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上述标准、规范如有最新版本则按最新版本。</w:t>
      </w:r>
      <w:r/>
    </w:p>
    <w:p>
      <w:pPr>
        <w:ind w:firstLine="482"/>
        <w:spacing w:line="560" w:lineRule="exact"/>
        <w:rPr>
          <w:rFonts w:asciiTheme="minorEastAsia" w:hAnsiTheme="minorEastAsia" w:eastAsiaTheme="minorEastAsia" w:cstheme="minorEastAsia"/>
          <w:b/>
          <w:bCs/>
          <w:color w:val="000000" w:themeColor="text1"/>
          <w:sz w:val="24"/>
        </w:rPr>
      </w:pPr>
      <w:r>
        <w:rPr>
          <w:rFonts w:hint="eastAsia" w:asciiTheme="minorEastAsia" w:hAnsiTheme="minorEastAsia" w:eastAsiaTheme="minorEastAsia" w:cstheme="minorEastAsia"/>
          <w:b/>
          <w:bCs/>
          <w:color w:val="000000" w:themeColor="text1"/>
          <w:sz w:val="24"/>
        </w:rPr>
        <w:t xml:space="preserve">七、本项目其他技术、服务要求</w:t>
      </w:r>
      <w:r/>
    </w:p>
    <w:p>
      <w:pPr>
        <w:pStyle w:val="972"/>
        <w:ind w:firstLine="480"/>
        <w:spacing w:line="560" w:lineRule="exact"/>
        <w:rPr>
          <w:rFonts w:asciiTheme="minorEastAsia" w:hAnsiTheme="minorEastAsia" w:eastAsiaTheme="minorEastAsia" w:cstheme="minorEastAsia"/>
          <w:color w:val="000000" w:themeColor="text1"/>
          <w:szCs w:val="22"/>
        </w:rPr>
      </w:pPr>
      <w:r>
        <w:rPr>
          <w:rFonts w:hint="eastAsia" w:asciiTheme="minorEastAsia" w:hAnsiTheme="minorEastAsia" w:eastAsiaTheme="minorEastAsia" w:cstheme="minorEastAsia"/>
          <w:color w:val="000000" w:themeColor="text1"/>
          <w:szCs w:val="22"/>
        </w:rPr>
        <w:t xml:space="preserve">详见拟签订的合同文本。</w:t>
      </w:r>
      <w:r/>
    </w:p>
    <w:p>
      <w:pPr>
        <w:pStyle w:val="972"/>
        <w:ind w:firstLine="482"/>
        <w:spacing w:line="56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b/>
          <w:bCs/>
          <w:color w:val="000000" w:themeColor="text1"/>
          <w:szCs w:val="24"/>
        </w:rPr>
        <w:t xml:space="preserve">八、本项目所属行业为</w:t>
      </w:r>
      <w:r>
        <w:rPr>
          <w:rFonts w:hint="eastAsia" w:asciiTheme="minorEastAsia" w:hAnsiTheme="minorEastAsia" w:eastAsiaTheme="minorEastAsia" w:cstheme="minorEastAsia"/>
          <w:b/>
          <w:bCs/>
          <w:color w:val="000000" w:themeColor="text1"/>
          <w:szCs w:val="24"/>
          <w:u w:val="single"/>
        </w:rPr>
        <w:t xml:space="preserve">建筑业</w:t>
      </w:r>
      <w:r>
        <w:rPr>
          <w:rFonts w:hint="eastAsia" w:asciiTheme="minorEastAsia" w:hAnsiTheme="minorEastAsia" w:eastAsiaTheme="minorEastAsia" w:cstheme="minorEastAsia"/>
          <w:b/>
          <w:bCs/>
          <w:color w:val="000000" w:themeColor="text1"/>
          <w:szCs w:val="24"/>
        </w:rPr>
        <w:t xml:space="preserve">。</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t xml:space="preserve"> </w:t>
      </w:r>
      <w:r/>
    </w:p>
    <w:p>
      <w:pPr>
        <w:spacing w:before="240" w:after="240"/>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2"/>
        </w:rPr>
        <w:t xml:space="preserve"> </w:t>
      </w:r>
      <w:r/>
    </w:p>
    <w:p>
      <w:pP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9354"/>
      </w:tblGrid>
      <w:tr>
        <w:trPr>
          <w:trHeight w:val="520"/>
        </w:trPr>
        <w:tc>
          <w:tcPr>
            <w:tcBorders>
              <w:top w:val="none" w:color="000000" w:sz="4" w:space="0"/>
              <w:left w:val="none" w:color="000000" w:sz="4" w:space="0"/>
              <w:bottom w:val="none" w:color="000000" w:sz="4" w:space="0"/>
              <w:right w:val="none" w:color="000000" w:sz="4" w:space="0"/>
            </w:tcBorders>
            <w:tcMar>
              <w:left w:w="15" w:type="dxa"/>
              <w:top w:w="15" w:type="dxa"/>
              <w:right w:w="15" w:type="dxa"/>
              <w:bottom w:w="0" w:type="dxa"/>
            </w:tcMar>
            <w:tcW w:w="9354" w:type="dxa"/>
            <w:vAlign w:val="center"/>
            <w:textDirection w:val="lrTb"/>
            <w:noWrap/>
          </w:tcPr>
          <w:p>
            <w:pPr>
              <w:jc w:val="center"/>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6"/>
              </w:rPr>
              <w:t xml:space="preserve">全费用预算单价清单</w:t>
            </w:r>
            <w:r/>
          </w:p>
        </w:tc>
      </w:tr>
    </w:tbl>
    <w:p>
      <w:pPr>
        <w:pStyle w:val="805"/>
        <w:jc w:val="center"/>
        <w:spacing w:before="0" w:after="0" w:line="1056"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 </w:t>
      </w:r>
      <w:r/>
    </w:p>
    <w:p>
      <w:pPr>
        <w:pStyle w:val="805"/>
        <w:spacing w:before="0" w:after="0" w:line="1056"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详见采购公告附件</w:t>
      </w:r>
      <w:r>
        <w:rPr>
          <w:rFonts w:hint="eastAsia" w:asciiTheme="minorEastAsia" w:hAnsiTheme="minorEastAsia" w:eastAsiaTheme="minorEastAsia" w:cstheme="minorEastAsia"/>
          <w:b/>
          <w:color w:val="000000" w:themeColor="text1"/>
          <w:sz w:val="30"/>
        </w:rPr>
        <w:br w:type="page" w:clear="all"/>
      </w:r>
      <w:r/>
    </w:p>
    <w:p>
      <w:pPr>
        <w:pStyle w:val="805"/>
        <w:jc w:val="center"/>
        <w:spacing w:before="0" w:after="0" w:line="85" w:lineRule="atLeast"/>
        <w:rPr>
          <w:rFonts w:asciiTheme="minorEastAsia" w:hAnsiTheme="minorEastAsia" w:eastAsiaTheme="minorEastAsia" w:cstheme="minorEastAsia"/>
          <w:b/>
          <w:color w:val="000000" w:themeColor="text1"/>
          <w:sz w:val="30"/>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第五章 评标办法及标准</w:t>
      </w:r>
      <w:r/>
    </w:p>
    <w:p>
      <w:pPr>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一、评标办法：</w:t>
      </w:r>
      <w:r/>
    </w:p>
    <w:p>
      <w:pPr>
        <w:ind w:firstLine="486"/>
        <w:spacing w:before="240" w:after="24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1、本次招标评标采用为</w:t>
      </w:r>
      <w:r>
        <w:rPr>
          <w:rFonts w:hint="eastAsia" w:asciiTheme="minorEastAsia" w:hAnsiTheme="minorEastAsia" w:eastAsiaTheme="minorEastAsia" w:cstheme="minorEastAsia"/>
          <w:color w:val="000000" w:themeColor="text1"/>
          <w:sz w:val="24"/>
          <w:u w:val="single"/>
        </w:rPr>
        <w:t xml:space="preserve">综合评分法</w:t>
      </w:r>
      <w:r>
        <w:rPr>
          <w:rFonts w:hint="eastAsia" w:asciiTheme="minorEastAsia" w:hAnsiTheme="minorEastAsia" w:eastAsiaTheme="minorEastAsia" w:cstheme="minorEastAsia"/>
          <w:color w:val="000000" w:themeColor="text1"/>
          <w:sz w:val="24"/>
        </w:rPr>
        <w:t xml:space="preserve">。即在满足招标文件实质性要求前提下，按照招标文件中规定的评分标准和各项因素进行综合评审后，以评标总得分最高的投标人作为中标候选供应商或中标供应商。</w:t>
      </w:r>
      <w:r/>
    </w:p>
    <w:p>
      <w:pPr>
        <w:ind w:firstLine="48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评标时，评标委员会成员按照招标文件规定的评分标准，独立对每个投标人的投标文件进行评价、打分。价格标得分按法规规定的计算公式直接计算取得。技术、商务评审得分和价格标得分相加即为投标人的评标总得分。评分过程中采用“四舍五入”法，并保留小数2位。</w:t>
      </w:r>
      <w:r/>
    </w:p>
    <w:p>
      <w:pPr>
        <w:ind w:firstLine="486"/>
        <w:spacing w:line="40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3、如出现评标总得分最高的投标人有两个或两个以上的，以投标报价较低</w:t>
      </w:r>
      <w:bookmarkStart w:id="9" w:name="_GoBack"/>
      <w:r/>
      <w:bookmarkEnd w:id="9"/>
      <w:r>
        <w:rPr>
          <w:rFonts w:hint="eastAsia" w:asciiTheme="minorEastAsia" w:hAnsiTheme="minorEastAsia" w:eastAsiaTheme="minorEastAsia" w:cstheme="minorEastAsia"/>
          <w:color w:val="000000" w:themeColor="text1"/>
          <w:sz w:val="24"/>
        </w:rPr>
        <w:t xml:space="preserve">者或者投标优惠率较高者优先作为中标候选人，如果投标报价也相同的，则由公证机构组织以抽签方式确定中标候选供应商或中标供应商。</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4、评分标准：</w:t>
      </w:r>
      <w:r/>
    </w:p>
    <w:p>
      <w:pPr>
        <w:ind w:firstLine="486"/>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（1）评标采用综合评分法。</w:t>
      </w:r>
      <w:r/>
    </w:p>
    <w:p>
      <w:pPr>
        <w:ind w:firstLine="486"/>
        <w:spacing w:line="36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（2）评标考虑的主要因素及其权值：</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评委对投标文件的技术及商务响应情况进行评分。评分采用量化方法。</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5、价格扣除：</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1、小微型企业价格扣除</w:t>
      </w:r>
      <w:r/>
    </w:p>
    <w:p>
      <w:pPr>
        <w:ind w:firstLine="431"/>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（1）本项目对小型和微型企业产品给予10%的扣除价格，用扣除后的价格参与评审。</w:t>
      </w:r>
      <w:r/>
    </w:p>
    <w:p>
      <w:pPr>
        <w:ind w:firstLine="431"/>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（2）供应商需按照采购文件的要求提供相应的《中小企业声明函》。</w:t>
      </w:r>
      <w:r/>
    </w:p>
    <w:p>
      <w:pPr>
        <w:ind w:firstLine="431"/>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（3）企业标准请参照《关于印发中小企业划型标准规定的通知》（工信部联企业[2011]300号）文件规定自行填写。</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2、残疾人福利单位价格扣除</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（1）本项目对残疾人福利性单位视同小型、微型企业，给予10%的价格扣除，用扣除后的价格参与评审。</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（2）残疾人福利单位需按照采购文件的要求提供《残疾人福利性单位声明函》。</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（3）残疾人福利单位标准请参照《关于促进残疾人就业政府采购政策的通知》（财库〔2017〕141号）。</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3、监狱和戒毒企业价格扣除</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（1）本项目对监狱和戒毒企业（简称监狱企业）视同小型、微型企业，给予10%的价格扣除，用扣除后的价格参与评审。</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（3）监狱企业标准请参照《关于政府采购支持监狱企业发展有关问题的通知》（财库[2014]68号）。</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4、残疾人福利单位、监狱企业属于小型、微型企业的，不重复享受政策。</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40%以上的，给予联合体或者大中型企业4%的价格扣除，用扣除后的价格参与评审。</w:t>
      </w:r>
      <w:r/>
    </w:p>
    <w:p>
      <w:pPr>
        <w:ind w:firstLine="429"/>
        <w:spacing w:line="85" w:lineRule="atLeast"/>
        <w:rPr>
          <w:rFonts w:asciiTheme="minorEastAsia" w:hAnsiTheme="minorEastAsia" w:eastAsiaTheme="minorEastAsia" w:cstheme="minorEastAsia"/>
          <w:color w:val="000000" w:themeColor="text1"/>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6、联合体各方均为小型、微型企业（残疾人福利单位、监狱企业）的，联合体享受</w:t>
      </w:r>
      <w:r>
        <w:rPr>
          <w:rFonts w:hint="eastAsia" w:asciiTheme="minorEastAsia" w:hAnsiTheme="minorEastAsia" w:eastAsiaTheme="minorEastAsia" w:cstheme="minorEastAsia"/>
          <w:color w:val="000000" w:themeColor="text1"/>
          <w:sz w:val="24"/>
        </w:rPr>
        <w:t xml:space="preserve">10%价格扣除，用扣除后的价格参与评审。</w:t>
      </w:r>
      <w:r/>
    </w:p>
    <w:p>
      <w:pPr>
        <w:ind w:firstLine="429"/>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7、专门面向中小企业采购的项目，小微企业不再享受价格扣除优惠政策。</w:t>
      </w:r>
      <w:r/>
    </w:p>
    <w:p>
      <w:pPr>
        <w:jc w:val="center"/>
        <w:spacing w:line="113" w:lineRule="atLeast"/>
        <w:rPr>
          <w:rFonts w:asciiTheme="minorEastAsia" w:hAnsiTheme="minorEastAsia" w:eastAsiaTheme="minorEastAsia" w:cstheme="minorEastAsia"/>
          <w:b/>
          <w:color w:val="000000" w:themeColor="text1"/>
          <w:sz w:val="30"/>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color w:val="000000" w:themeColor="text1"/>
          <w:sz w:val="30"/>
        </w:rPr>
      </w:r>
      <w:r/>
    </w:p>
    <w:p>
      <w:pPr>
        <w:jc w:val="center"/>
        <w:spacing w:line="113"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评标内容及标准</w:t>
      </w:r>
      <w:r/>
    </w:p>
    <w:p>
      <w:pPr>
        <w:spacing w:line="320"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二、技术、商务、价格评分应分别考虑下列因素：</w:t>
      </w:r>
      <w:r/>
    </w:p>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1．投标报价（10分）</w:t>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389"/>
        <w:gridCol w:w="6691"/>
        <w:gridCol w:w="850"/>
      </w:tblGrid>
      <w:tr>
        <w:trPr>
          <w:trHeight w:val="390"/>
        </w:trPr>
        <w:tc>
          <w:tcPr>
            <w:tcW w:w="709"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序号</w:t>
            </w:r>
            <w:r/>
          </w:p>
        </w:tc>
        <w:tc>
          <w:tcPr>
            <w:tcW w:w="1389"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评审内容</w:t>
            </w:r>
            <w:r/>
          </w:p>
        </w:tc>
        <w:tc>
          <w:tcPr>
            <w:tcW w:w="6691" w:type="dxa"/>
            <w:vAlign w:val="center"/>
            <w:textDirection w:val="lrTb"/>
            <w:noWrap/>
          </w:tcPr>
          <w:p>
            <w:pPr>
              <w:ind w:firstLine="486"/>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评分标准</w:t>
            </w:r>
            <w:r/>
          </w:p>
        </w:tc>
        <w:tc>
          <w:tcPr>
            <w:tcW w:w="850"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分值</w:t>
            </w:r>
            <w:r/>
          </w:p>
        </w:tc>
      </w:tr>
      <w:tr>
        <w:trPr>
          <w:cantSplit/>
          <w:trHeight w:val="1357"/>
        </w:trPr>
        <w:tc>
          <w:tcPr>
            <w:tcW w:w="709"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p>
        </w:tc>
        <w:tc>
          <w:tcPr>
            <w:tcW w:w="1389" w:type="dxa"/>
            <w:vAlign w:val="center"/>
            <w:textDirection w:val="lrTb"/>
            <w:noWrap/>
          </w:tcPr>
          <w:p>
            <w:pP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投标报价（10分）</w:t>
            </w:r>
            <w:r/>
          </w:p>
        </w:tc>
        <w:tc>
          <w:tcPr>
            <w:tcW w:w="6691" w:type="dxa"/>
            <w:vAlign w:val="center"/>
            <w:textDirection w:val="lrTb"/>
            <w:noWrap/>
          </w:tcPr>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满足招标文件要求且报价最高的优惠率为评标基准价，其价格分为满分。其他投标人的价格分统一按照下列公式计算：</w:t>
            </w:r>
            <w:r/>
          </w:p>
          <w:p>
            <w:pPr>
              <w:spacing w:line="320" w:lineRule="exact"/>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bCs/>
                <w:color w:val="000000" w:themeColor="text1"/>
                <w:sz w:val="24"/>
                <w:szCs w:val="24"/>
              </w:rPr>
              <w:t xml:space="preserve">投标报价得分=[（1-评标基准价）/（1-投标优惠率）]×10</w:t>
            </w:r>
            <w:r/>
          </w:p>
        </w:tc>
        <w:tc>
          <w:tcPr>
            <w:tcW w:w="850"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10分</w:t>
            </w:r>
            <w:r/>
          </w:p>
        </w:tc>
      </w:tr>
    </w:tbl>
    <w:p>
      <w:pP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2.技术评分（60分）</w:t>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0"/>
        <w:gridCol w:w="1418"/>
        <w:gridCol w:w="6691"/>
        <w:gridCol w:w="850"/>
      </w:tblGrid>
      <w:tr>
        <w:trPr>
          <w:trHeight w:val="360"/>
        </w:trPr>
        <w:tc>
          <w:tcPr>
            <w:tcW w:w="680" w:type="dxa"/>
            <w:vAlign w:val="center"/>
            <w:vMerge w:val="restart"/>
            <w:textDirection w:val="lrTb"/>
            <w:noWrap/>
          </w:tcPr>
          <w:p>
            <w:pPr>
              <w:ind w:right="-107"/>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序号</w:t>
            </w:r>
            <w:r/>
          </w:p>
        </w:tc>
        <w:tc>
          <w:tcPr>
            <w:tcW w:w="1418" w:type="dxa"/>
            <w:vAlign w:val="center"/>
            <w:vMerge w:val="restart"/>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评审内容</w:t>
            </w:r>
            <w:r/>
          </w:p>
        </w:tc>
        <w:tc>
          <w:tcPr>
            <w:tcW w:w="6691" w:type="dxa"/>
            <w:vAlign w:val="center"/>
            <w:vMerge w:val="restart"/>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评分标准</w:t>
            </w:r>
            <w:r/>
          </w:p>
        </w:tc>
        <w:tc>
          <w:tcPr>
            <w:tcW w:w="850" w:type="dxa"/>
            <w:vAlign w:val="center"/>
            <w:vMerge w:val="restart"/>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分值</w:t>
            </w:r>
            <w:r/>
          </w:p>
        </w:tc>
      </w:tr>
      <w:tr>
        <w:trPr>
          <w:trHeight w:val="5228"/>
        </w:trPr>
        <w:tc>
          <w:tcPr>
            <w:tcW w:w="680"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w:t>
            </w:r>
            <w:r/>
          </w:p>
        </w:tc>
        <w:tc>
          <w:tcPr>
            <w:tcW w:w="1418"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技术方案（60分）</w:t>
            </w:r>
            <w:r/>
          </w:p>
        </w:tc>
        <w:tc>
          <w:tcPr>
            <w:tcW w:w="6691" w:type="dxa"/>
            <w:vAlign w:val="center"/>
            <w:textDirection w:val="lrTb"/>
            <w:noWrap/>
          </w:tcPr>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1）对</w:t>
            </w:r>
            <w:r>
              <w:rPr>
                <w:rFonts w:hint="eastAsia" w:asciiTheme="minorEastAsia" w:hAnsiTheme="minorEastAsia" w:eastAsiaTheme="minorEastAsia" w:cstheme="minorEastAsia"/>
                <w:color w:val="000000" w:themeColor="text1"/>
                <w:sz w:val="24"/>
                <w:szCs w:val="24"/>
              </w:rPr>
              <w:t xml:space="preserve">本项目采购范围内</w:t>
            </w:r>
            <w:r>
              <w:rPr>
                <w:rFonts w:hint="eastAsia" w:asciiTheme="minorEastAsia" w:hAnsiTheme="minorEastAsia" w:eastAsiaTheme="minorEastAsia" w:cstheme="minorEastAsia"/>
                <w:bCs/>
                <w:color w:val="000000" w:themeColor="text1"/>
                <w:sz w:val="24"/>
                <w:szCs w:val="24"/>
              </w:rPr>
              <w:t xml:space="preserve">市政道路、桥梁、雨水管网的现状分析（15分）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①方案内容全面、科学合理，内容与要点相符、要点有展开详细的阐述且能够适用于本项目的，得15分；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②方案内容较全面，内容与要点基本相符、要点有展开阐述，能够适用于本项目的，得10分；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2）常见病害的养护方案如雨水设施病害、桥梁结构病害、路面病害等的处理，对特定设施的专项养护方法和技术措施，桥梁等结构物的检测方案等（10分）</w:t>
            </w:r>
            <w:r/>
          </w:p>
          <w:p>
            <w:p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③方案内容不够全面，内容与要点虽相符，但仅有纲要、内容简略，未展开详细阐述但能够适用于本项目的，得2分；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w:t>
            </w:r>
            <w:r>
              <w:rPr>
                <w:rFonts w:hint="eastAsia" w:asciiTheme="minorEastAsia" w:hAnsiTheme="minorEastAsia" w:eastAsiaTheme="minorEastAsia" w:cstheme="minorEastAsia"/>
                <w:bCs/>
                <w:color w:val="000000" w:themeColor="text1"/>
                <w:sz w:val="24"/>
                <w:szCs w:val="24"/>
              </w:rPr>
              <w:t xml:space="preserve">项目需求的均不得分。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3）文明、安全施工保证措施（5分）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4）保证养护维修工期、质量措施（含施工流程图）（5分）①方案内容全面、科学合理，内容与要点相符、要点有展开详细的阐述且能够适用于本项目的，得5分；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5）养护范围巡查人员配备、巡查方案及保证措施（5分）①方案内容全面、科学合理，内容与要点相符、要点有展开详细的阐述且能够适用于本项目的，得5分；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p>
            <w:pPr>
              <w:numPr>
                <w:ilvl w:val="0"/>
                <w:numId w:val="6"/>
              </w:num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窨井盖缺失、桥梁安全等隐患的防范和查处措施及防汛</w:t>
            </w:r>
            <w:r>
              <w:rPr>
                <w:rFonts w:hint="eastAsia" w:asciiTheme="minorEastAsia" w:hAnsiTheme="minorEastAsia" w:eastAsiaTheme="minorEastAsia" w:cstheme="minorEastAsia"/>
                <w:bCs/>
                <w:color w:val="000000" w:themeColor="text1"/>
                <w:sz w:val="24"/>
                <w:szCs w:val="24"/>
              </w:rPr>
              <w:t xml:space="preserve">抗灾、开挖及修复等应急突发事件的措施（10分）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①方案内容全面、科学合理，内容与要点相符、要点有展开详细的阐述且能够适用于本项目的，得10分；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②方案内容较全面，内容与要点基本相符、要点有展开阐述，能够适用于本项目的，得6分；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③方案内容不够全面，内容与要点虽相符，但仅有纲要、内容简略，未展开详细阐述但能够适用于本项目的，得2分；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p>
            <w:pPr>
              <w:numPr>
                <w:ilvl w:val="0"/>
                <w:numId w:val="6"/>
              </w:num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预防性养护的相关措施（5分）</w:t>
            </w:r>
            <w:r/>
          </w:p>
          <w:p>
            <w:p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③方案内容不够全面，内容与要点虽相符，但仅有纲要、内容简略，未展开详细阐述但能够适用于本项目的，得1分；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p>
            <w:pPr>
              <w:ind w:left="26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8）养护管理制度和养护台账管理体系（包括但不限于养护考核制度、日常养护管理方案、应急维护措施等）（5分）①方案内容全面、科学合理，内容与要点相符、要点有展开详细的阐述且能够适用于本项目的，得5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②方案内容较全面，内容与要点基本相符、要点有展开阐述，能够适用于本项目的，得3分；</w:t>
            </w:r>
            <w:r/>
          </w:p>
          <w:p>
            <w:pPr>
              <w:ind w:firstLine="243"/>
              <w:jc w:val="left"/>
              <w:spacing w:line="440" w:lineRule="exact"/>
              <w:tabs>
                <w:tab w:val="left" w:pos="2850" w:leader="none"/>
                <w:tab w:val="center" w:pos="4153" w:leader="none"/>
              </w:tabs>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③方案内容不够全面，内容与要点虽相符，但仅有纲要、内容简略，未展开详细阐述但能够适用于本项目的，得1分；</w:t>
            </w:r>
            <w:r/>
          </w:p>
          <w:p>
            <w:pPr>
              <w:ind w:firstLine="392"/>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④方案未提供或内容存在明显错误，内容明显不适用于本项目需求的均不得分。</w:t>
            </w:r>
            <w:r/>
          </w:p>
        </w:tc>
        <w:tc>
          <w:tcPr>
            <w:tcW w:w="850"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60分</w:t>
            </w:r>
            <w:r/>
          </w:p>
        </w:tc>
      </w:tr>
      <w:tr>
        <w:trPr>
          <w:trHeight w:val="297"/>
        </w:trPr>
        <w:tc>
          <w:tcPr>
            <w:gridSpan w:val="4"/>
            <w:tcW w:w="9639" w:type="dxa"/>
            <w:vAlign w:val="center"/>
            <w:textDirection w:val="lrTb"/>
            <w:noWrap/>
          </w:tcPr>
          <w:p>
            <w:pPr>
              <w:jc w:val="left"/>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注：“技术评分”的最终得分为所有评委打分的算术平均值，结果保留两位小数，小数点后第三位“四舍五入”。</w:t>
            </w:r>
            <w:r/>
          </w:p>
        </w:tc>
      </w:tr>
    </w:tbl>
    <w:p>
      <w:pP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3.拟投入的人员、车辆、履约能力及业绩（30分）</w:t>
      </w:r>
      <w:r/>
    </w:p>
    <w:tbl>
      <w:tblPr>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1276"/>
        <w:gridCol w:w="6662"/>
        <w:gridCol w:w="992"/>
      </w:tblGrid>
      <w:tr>
        <w:trPr>
          <w:jc w:val="center"/>
          <w:trHeight w:val="360"/>
        </w:trPr>
        <w:tc>
          <w:tcPr>
            <w:tcW w:w="704"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序号</w:t>
            </w:r>
            <w:r/>
          </w:p>
        </w:tc>
        <w:tc>
          <w:tcPr>
            <w:tcW w:w="1276"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评审内容</w:t>
            </w:r>
            <w:r/>
          </w:p>
        </w:tc>
        <w:tc>
          <w:tcPr>
            <w:tcW w:w="6662"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评分标准</w:t>
            </w:r>
            <w:r/>
          </w:p>
        </w:tc>
        <w:tc>
          <w:tcPr>
            <w:tcW w:w="992"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分值</w:t>
            </w:r>
            <w:r/>
          </w:p>
        </w:tc>
      </w:tr>
      <w:tr>
        <w:trPr>
          <w:jc w:val="center"/>
          <w:trHeight w:val="320"/>
        </w:trPr>
        <w:tc>
          <w:tcPr>
            <w:tcW w:w="704"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1</w:t>
            </w:r>
            <w:r/>
          </w:p>
        </w:tc>
        <w:tc>
          <w:tcPr>
            <w:tcW w:w="1276"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项目管理班子的人员配备、素质及管理经验（13分）</w:t>
            </w:r>
            <w:r/>
          </w:p>
        </w:tc>
        <w:tc>
          <w:tcPr>
            <w:tcW w:w="6662" w:type="dxa"/>
            <w:vAlign w:val="center"/>
            <w:textDirection w:val="lrTb"/>
            <w:noWrap/>
          </w:tcPr>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1、项目负责人：具备中级职称证书（建设工程类或公路工程类）得2分，具备高级（含）以上职称证书（建设工程类或公路工程类）得4分，本项最高得4分。</w:t>
            </w:r>
            <w:r>
              <w:rPr>
                <w:rFonts w:hint="eastAsia" w:asciiTheme="minorEastAsia" w:hAnsiTheme="minorEastAsia" w:eastAsiaTheme="minorEastAsia" w:cstheme="minorEastAsia"/>
                <w:bCs/>
                <w:color w:val="000000" w:themeColor="text1"/>
                <w:sz w:val="24"/>
                <w:szCs w:val="24"/>
              </w:rPr>
              <w:tab/>
            </w:r>
            <w:r/>
          </w:p>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2、项目技术负责人：具备中级职称证书（建设工程类或公路工程类）得2分，具备高级（含）以上职称证书（建设工程或公路工程类）得4分，本项最高得4分。</w:t>
            </w:r>
            <w:r>
              <w:rPr>
                <w:rFonts w:hint="eastAsia" w:asciiTheme="minorEastAsia" w:hAnsiTheme="minorEastAsia" w:eastAsiaTheme="minorEastAsia" w:cstheme="minorEastAsia"/>
                <w:bCs/>
                <w:color w:val="000000" w:themeColor="text1"/>
                <w:sz w:val="24"/>
                <w:szCs w:val="24"/>
              </w:rPr>
              <w:tab/>
            </w:r>
            <w:r/>
          </w:p>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3、项目组其他人员：具备中级职称证书（含）以上（建设工程类或公路工程类）或具备注册建造师（市政公用工程或公路工程）得1分/人，本项最高得5分。</w:t>
            </w:r>
            <w:r>
              <w:rPr>
                <w:rFonts w:hint="eastAsia" w:asciiTheme="minorEastAsia" w:hAnsiTheme="minorEastAsia" w:eastAsiaTheme="minorEastAsia" w:cstheme="minorEastAsia"/>
                <w:bCs/>
                <w:color w:val="000000" w:themeColor="text1"/>
                <w:sz w:val="24"/>
                <w:szCs w:val="24"/>
              </w:rPr>
              <w:tab/>
            </w:r>
            <w:r/>
          </w:p>
          <w:p>
            <w:pPr>
              <w:spacing w:line="320" w:lineRule="exact"/>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注：1、上述资料以提供人员职称证书或注册证书原件扫描件和投标单位为其缴纳的近三个月中任意一个月</w:t>
            </w:r>
            <w:r>
              <w:rPr>
                <w:rFonts w:hint="eastAsia" w:asciiTheme="minorEastAsia" w:hAnsiTheme="minorEastAsia" w:eastAsiaTheme="minorEastAsia" w:cstheme="minorEastAsia"/>
                <w:color w:val="000000" w:themeColor="text1"/>
                <w:sz w:val="24"/>
              </w:rPr>
              <w:t xml:space="preserve">(不含投标当月)</w:t>
            </w:r>
            <w:r>
              <w:rPr>
                <w:rFonts w:hint="eastAsia" w:asciiTheme="minorEastAsia" w:hAnsiTheme="minorEastAsia" w:eastAsiaTheme="minorEastAsia" w:cstheme="minorEastAsia"/>
                <w:b/>
                <w:color w:val="000000" w:themeColor="text1"/>
                <w:sz w:val="24"/>
                <w:szCs w:val="24"/>
              </w:rPr>
              <w:t xml:space="preserve">的社保证明材料原件扫描件作为得分依据。</w:t>
            </w:r>
            <w:r/>
          </w:p>
          <w:p>
            <w:pPr>
              <w:pStyle w:val="1107"/>
              <w:numPr>
                <w:ilvl w:val="0"/>
                <w:numId w:val="7"/>
              </w:numPr>
              <w:rPr>
                <w:rFonts w:asciiTheme="minorEastAsia" w:hAnsiTheme="minorEastAsia" w:eastAsiaTheme="minorEastAsia" w:cstheme="minorEastAsia"/>
                <w:b/>
                <w:color w:val="000000" w:themeColor="text1"/>
                <w:sz w:val="24"/>
                <w:szCs w:val="24"/>
              </w:rPr>
            </w:pPr>
            <w:r>
              <w:rPr>
                <w:rFonts w:hint="eastAsia" w:asciiTheme="minorEastAsia" w:hAnsiTheme="minorEastAsia" w:eastAsiaTheme="minorEastAsia" w:cstheme="minorEastAsia"/>
                <w:b/>
                <w:color w:val="000000" w:themeColor="text1"/>
                <w:sz w:val="24"/>
                <w:szCs w:val="24"/>
              </w:rPr>
              <w:t xml:space="preserve">提供一级建造师注册证书的，按住房和城乡建设部办公厅关于全面实行一级建造师电子注册证书的通知（建办市〔2021〕40号）执行。</w:t>
            </w:r>
            <w:r/>
          </w:p>
          <w:p>
            <w:pPr>
              <w:pStyle w:val="1107"/>
              <w:rPr>
                <w:rFonts w:asciiTheme="minorEastAsia" w:hAnsiTheme="minorEastAsia" w:eastAsiaTheme="minorEastAsia" w:cstheme="minorEastAsia"/>
                <w:color w:val="000000" w:themeColor="text1"/>
              </w:rPr>
            </w:pPr>
            <w:r>
              <w:rPr>
                <w:rFonts w:hint="eastAsia" w:asciiTheme="minorEastAsia" w:hAnsiTheme="minorEastAsia" w:eastAsiaTheme="minorEastAsia" w:cstheme="minorEastAsia"/>
                <w:b/>
                <w:color w:val="000000" w:themeColor="text1"/>
                <w:sz w:val="24"/>
                <w:szCs w:val="24"/>
              </w:rPr>
              <w:t xml:space="preserve">以上拟派项目的管理人员中，同一人员的不同证书只按最高分计一次，不得重复计分。</w:t>
            </w:r>
            <w:r/>
          </w:p>
        </w:tc>
        <w:tc>
          <w:tcPr>
            <w:tcW w:w="992"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13分</w:t>
            </w:r>
            <w:r/>
          </w:p>
        </w:tc>
      </w:tr>
      <w:tr>
        <w:trPr>
          <w:jc w:val="center"/>
          <w:trHeight w:val="424"/>
        </w:trPr>
        <w:tc>
          <w:tcPr>
            <w:tcW w:w="704"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2</w:t>
            </w:r>
            <w:r/>
          </w:p>
        </w:tc>
        <w:tc>
          <w:tcPr>
            <w:tcW w:w="1276"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日常养护设备配备</w:t>
            </w:r>
            <w:r/>
          </w:p>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（14分）</w:t>
            </w:r>
            <w:r/>
          </w:p>
        </w:tc>
        <w:tc>
          <w:tcPr>
            <w:tcW w:w="6662" w:type="dxa"/>
            <w:vAlign w:val="center"/>
            <w:textDirection w:val="lrTb"/>
            <w:noWrap/>
          </w:tcPr>
          <w:p>
            <w:pPr>
              <w:pStyle w:val="822"/>
              <w:ind w:firstLine="0"/>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1、供应商具有自有的具备沥青路面热再生功能的路面养护车（重型载货专项作业车）的得6分；以提供的发票扫描件、车辆行驶证原件扫描件及车辆照片、使用说明书作为得分依据。</w:t>
            </w:r>
            <w:r/>
          </w:p>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2、供应商具有自有的轻型多用途货车的得3分；以提供的发票扫描件、车辆行驶证原件扫描件作为得分依据。</w:t>
            </w:r>
            <w:r/>
          </w:p>
          <w:p>
            <w:pP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3.供应商具有自有的流量50m3/h及以上的污水泵（手推/手抬式）或防汛泵车，以提供的发票扫描件作为得分依据，有一台/辆得1分，本小项最多得5分。</w:t>
            </w:r>
            <w:r/>
          </w:p>
        </w:tc>
        <w:tc>
          <w:tcPr>
            <w:tcW w:w="992"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14分</w:t>
            </w:r>
            <w:r/>
          </w:p>
        </w:tc>
      </w:tr>
      <w:tr>
        <w:trPr>
          <w:jc w:val="center"/>
          <w:trHeight w:val="424"/>
        </w:trPr>
        <w:tc>
          <w:tcPr>
            <w:tcW w:w="704" w:type="dxa"/>
            <w:vAlign w:val="center"/>
            <w:textDirection w:val="lrTb"/>
            <w:noWrap/>
          </w:tcPr>
          <w:p>
            <w:pPr>
              <w:jc w:val="center"/>
              <w:spacing w:line="320" w:lineRule="exact"/>
              <w:rPr>
                <w:rFonts w:asciiTheme="minorEastAsia" w:hAnsiTheme="minorEastAsia" w:eastAsiaTheme="minorEastAsia" w:cstheme="minorEastAsia"/>
                <w:color w:val="000000" w:themeColor="text1"/>
                <w:sz w:val="24"/>
                <w:szCs w:val="24"/>
              </w:rPr>
            </w:pPr>
            <w:r>
              <w:rPr>
                <w:rFonts w:hint="eastAsia" w:asciiTheme="minorEastAsia" w:hAnsiTheme="minorEastAsia" w:eastAsiaTheme="minorEastAsia" w:cstheme="minorEastAsia"/>
                <w:color w:val="000000" w:themeColor="text1"/>
                <w:sz w:val="24"/>
                <w:szCs w:val="24"/>
              </w:rPr>
              <w:t xml:space="preserve">3</w:t>
            </w:r>
            <w:r/>
          </w:p>
        </w:tc>
        <w:tc>
          <w:tcPr>
            <w:tcW w:w="1276"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企业认证（3分）</w:t>
            </w:r>
            <w:r/>
          </w:p>
        </w:tc>
        <w:tc>
          <w:tcPr>
            <w:tcW w:w="6662" w:type="dxa"/>
            <w:vAlign w:val="center"/>
            <w:textDirection w:val="lrTb"/>
            <w:noWrap/>
          </w:tcPr>
          <w:p>
            <w:pPr>
              <w:pStyle w:val="1107"/>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具有质量管理体系认证、职业健康安全管理体系认证，环境管理体系认证，且在认证有效期内的，有1项得1分，最高得3分；</w:t>
            </w:r>
            <w:r/>
          </w:p>
          <w:p>
            <w:pPr>
              <w:pStyle w:val="1107"/>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注:供应商须提供证书原件扫描件。且证书须在国家认证认可监督管理委员会官方网站(网址http://www.cnca.gov.cn/）可查，并提供网站查询截图。</w:t>
            </w:r>
            <w:r/>
          </w:p>
        </w:tc>
        <w:tc>
          <w:tcPr>
            <w:tcW w:w="992" w:type="dxa"/>
            <w:vAlign w:val="center"/>
            <w:textDirection w:val="lrTb"/>
            <w:noWrap/>
          </w:tcPr>
          <w:p>
            <w:pPr>
              <w:jc w:val="center"/>
              <w:spacing w:line="320" w:lineRule="exact"/>
              <w:rPr>
                <w:rFonts w:asciiTheme="minorEastAsia" w:hAnsiTheme="minorEastAsia" w:eastAsiaTheme="minorEastAsia" w:cstheme="minorEastAsia"/>
                <w:bCs/>
                <w:color w:val="000000" w:themeColor="text1"/>
                <w:sz w:val="24"/>
                <w:szCs w:val="24"/>
              </w:rPr>
            </w:pPr>
            <w:r>
              <w:rPr>
                <w:rFonts w:hint="eastAsia" w:asciiTheme="minorEastAsia" w:hAnsiTheme="minorEastAsia" w:eastAsiaTheme="minorEastAsia" w:cstheme="minorEastAsia"/>
                <w:bCs/>
                <w:color w:val="000000" w:themeColor="text1"/>
                <w:sz w:val="24"/>
                <w:szCs w:val="24"/>
              </w:rPr>
              <w:t xml:space="preserve">3分</w:t>
            </w:r>
            <w:r/>
          </w:p>
        </w:tc>
      </w:tr>
    </w:tbl>
    <w:p>
      <w:pPr>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注：1、以上评分标准中评分的每一条，各投标单位均应提供相关的资料。</w:t>
      </w:r>
      <w:r/>
    </w:p>
    <w:p>
      <w:pPr>
        <w:ind w:firstLine="486"/>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2、投标文件中如出现前后不一致时,评委会有权请投标人澄清说明。</w:t>
      </w:r>
      <w:r/>
    </w:p>
    <w:p>
      <w:pPr>
        <w:ind w:firstLine="486"/>
        <w:spacing w:line="479"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ind w:firstLine="420"/>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24"/>
        </w:rPr>
        <w:t xml:space="preserve">三、推荐中标候选人:</w:t>
      </w:r>
      <w:r/>
    </w:p>
    <w:p>
      <w:pPr>
        <w:ind w:firstLine="48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汇总上述各项分值（保留两位小数,小数点后第三位四舍五入），按总得分由高到低的顺序排列,综合得分最高的为中标候选人。排名第一的投标人放弃中标，或因其他情形不具备中标条件的，采购人可依次确定排名在前的其他投标人为中标候选人，也可依法重新组织采购。</w:t>
      </w:r>
      <w:r/>
    </w:p>
    <w:p>
      <w:pPr>
        <w:ind w:firstLine="486"/>
        <w:spacing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sz w:val="24"/>
        </w:rPr>
        <w:t xml:space="preserve"> </w:t>
      </w:r>
      <w:r/>
    </w:p>
    <w:p>
      <w:pPr>
        <w:pStyle w:val="805"/>
        <w:jc w:val="center"/>
        <w:spacing w:before="0" w:after="0" w:line="85" w:lineRule="atLeast"/>
        <w:rPr>
          <w:rFonts w:asciiTheme="minorEastAsia" w:hAnsiTheme="minorEastAsia" w:eastAsiaTheme="minorEastAsia" w:cstheme="minorEastAsia"/>
          <w:color w:val="000000" w:themeColor="text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000000" w:themeColor="text1"/>
        </w:rPr>
        <w:br w:type="page" w:clear="all"/>
      </w:r>
      <w:r/>
    </w:p>
    <w:p>
      <w:pPr>
        <w:pStyle w:val="805"/>
        <w:jc w:val="center"/>
        <w:spacing w:before="0" w:after="0" w:line="85" w:lineRule="atLeast"/>
        <w:rPr>
          <w:rFonts w:asciiTheme="minorEastAsia" w:hAnsiTheme="minorEastAsia" w:eastAsiaTheme="minorEastAsia" w:cstheme="minorEastAsia"/>
          <w:b/>
          <w:color w:val="000000" w:themeColor="text1"/>
          <w:sz w:val="30"/>
          <w:szCs w:val="5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000000" w:themeColor="text1"/>
          <w:sz w:val="30"/>
        </w:rPr>
        <w:t xml:space="preserve">第六章 拟签订的合同文本</w:t>
      </w:r>
      <w:r/>
    </w:p>
    <w:p>
      <w:pPr>
        <w:pStyle w:val="736"/>
        <w:ind w:left="0" w:firstLine="0"/>
        <w:spacing w:after="0" w:line="480" w:lineRule="auto"/>
        <w:rPr>
          <w:rFonts w:asciiTheme="minorEastAsia" w:hAnsiTheme="minorEastAsia" w:eastAsiaTheme="minorEastAsia" w:cstheme="minorEastAsia"/>
          <w:b w:val="0"/>
          <w:color w:val="000000" w:themeColor="text1"/>
        </w:rPr>
      </w:pPr>
      <w:r>
        <w:rPr>
          <w:rFonts w:asciiTheme="minorEastAsia" w:hAnsiTheme="minorEastAsia" w:eastAsiaTheme="minorEastAsia" w:cstheme="minorEastAsia"/>
          <w:b w:val="0"/>
          <w:color w:val="000000" w:themeColor="text1"/>
        </w:rPr>
      </w:r>
      <w:r/>
    </w:p>
    <w:p>
      <w:pPr>
        <w:ind w:firstLine="482"/>
        <w:spacing w:line="85" w:lineRule="atLeast"/>
        <w:rPr>
          <w:rFonts w:ascii="宋体" w:hAnsi="宋体" w:eastAsia="宋体" w:cs="宋体"/>
          <w:bCs/>
          <w:color w:val="000000" w:themeColor="text1"/>
          <w:sz w:val="24"/>
          <w:szCs w:val="24"/>
          <w:u w:val="single"/>
        </w:rPr>
      </w:pPr>
      <w:r>
        <w:rPr>
          <w:rFonts w:hint="eastAsia" w:ascii="宋体" w:hAnsi="宋体" w:eastAsia="宋体" w:cs="宋体"/>
          <w:b/>
          <w:color w:val="000000" w:themeColor="text1"/>
          <w:sz w:val="24"/>
          <w:szCs w:val="24"/>
        </w:rPr>
        <w:t xml:space="preserve">采购人：</w:t>
      </w:r>
      <w:r>
        <w:rPr>
          <w:rFonts w:hint="eastAsia" w:ascii="宋体" w:hAnsi="宋体" w:eastAsia="宋体" w:cs="宋体"/>
          <w:bCs/>
          <w:color w:val="000000" w:themeColor="text1"/>
          <w:sz w:val="24"/>
          <w:szCs w:val="24"/>
          <w:u w:val="single"/>
        </w:rPr>
        <w:t xml:space="preserve">泰州市姜堰区市政园林服务中心</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供应商：</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根据《中华人民共和国民法典》、《中华人民共和国政府采购法》及有关法律规定，遵循平等、自愿、公平和诚实信用的原则，双方就</w:t>
      </w:r>
      <w:r>
        <w:rPr>
          <w:rFonts w:hint="eastAsia" w:ascii="宋体" w:hAnsi="宋体" w:eastAsia="宋体" w:cs="宋体"/>
          <w:color w:val="000000" w:themeColor="text1"/>
          <w:sz w:val="24"/>
          <w:szCs w:val="24"/>
          <w:u w:val="single"/>
        </w:rPr>
        <w:t xml:space="preserve">2026年市政设施养护维修项目</w:t>
      </w:r>
      <w:r>
        <w:rPr>
          <w:rFonts w:hint="eastAsia" w:ascii="宋体" w:hAnsi="宋体" w:eastAsia="宋体" w:cs="宋体"/>
          <w:color w:val="000000" w:themeColor="text1"/>
          <w:sz w:val="24"/>
          <w:szCs w:val="24"/>
        </w:rPr>
        <w:t xml:space="preserve">有关事项协商一致，共同达成如下协议：</w:t>
      </w:r>
      <w:r/>
    </w:p>
    <w:p>
      <w:pPr>
        <w:ind w:firstLine="482"/>
        <w:spacing w:line="85" w:lineRule="atLeast"/>
        <w:rPr>
          <w:rFonts w:ascii="宋体" w:hAnsi="宋体" w:eastAsia="宋体" w:cs="宋体"/>
          <w:b/>
          <w:bCs/>
          <w:color w:val="000000" w:themeColor="text1"/>
          <w:sz w:val="24"/>
          <w:szCs w:val="24"/>
        </w:rPr>
      </w:pPr>
      <w:r/>
      <w:bookmarkStart w:id="10" w:name="_Toc351203481"/>
      <w:r>
        <w:rPr>
          <w:rFonts w:hint="eastAsia" w:ascii="宋体" w:hAnsi="宋体" w:eastAsia="宋体" w:cs="宋体"/>
          <w:b/>
          <w:bCs/>
          <w:color w:val="000000" w:themeColor="text1"/>
          <w:sz w:val="24"/>
          <w:szCs w:val="24"/>
        </w:rPr>
        <w:t xml:space="preserve">一、项目概况</w:t>
      </w:r>
      <w:bookmarkEnd w:id="10"/>
      <w:r/>
      <w:r/>
    </w:p>
    <w:p>
      <w:pPr>
        <w:ind w:firstLine="470"/>
        <w:spacing w:line="85" w:lineRule="atLeast"/>
        <w:rPr>
          <w:rFonts w:ascii="宋体" w:hAnsi="宋体" w:eastAsia="宋体" w:cs="宋体"/>
          <w:color w:val="000000" w:themeColor="text1"/>
          <w:sz w:val="24"/>
          <w:szCs w:val="24"/>
          <w:u w:val="single"/>
        </w:rPr>
      </w:pPr>
      <w:r>
        <w:rPr>
          <w:rFonts w:hint="eastAsia" w:ascii="宋体" w:hAnsi="宋体" w:eastAsia="宋体" w:cs="宋体"/>
          <w:bCs/>
          <w:color w:val="000000" w:themeColor="text1"/>
          <w:sz w:val="24"/>
          <w:szCs w:val="24"/>
        </w:rPr>
        <w:t xml:space="preserve">1.项目名称</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u w:val="single"/>
        </w:rPr>
        <w:t xml:space="preserve">2026年市政设施养护维修项目</w:t>
      </w:r>
      <w:r>
        <w:rPr>
          <w:rFonts w:hint="eastAsia" w:ascii="宋体" w:hAnsi="宋体" w:eastAsia="宋体" w:cs="宋体"/>
          <w:color w:val="000000" w:themeColor="text1"/>
          <w:sz w:val="24"/>
          <w:szCs w:val="24"/>
        </w:rPr>
        <w:t xml:space="preserve">。</w:t>
      </w:r>
      <w:r/>
    </w:p>
    <w:p>
      <w:pPr>
        <w:ind w:firstLine="47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2.项目地点：</w:t>
      </w:r>
      <w:r>
        <w:rPr>
          <w:rFonts w:hint="eastAsia" w:ascii="宋体" w:hAnsi="宋体" w:eastAsia="宋体" w:cs="宋体"/>
          <w:bCs/>
          <w:color w:val="000000" w:themeColor="text1"/>
          <w:sz w:val="24"/>
          <w:szCs w:val="24"/>
          <w:u w:val="single"/>
        </w:rPr>
        <w:t xml:space="preserve">泰州市姜堰区</w:t>
      </w:r>
      <w:r>
        <w:rPr>
          <w:rFonts w:hint="eastAsia" w:ascii="宋体" w:hAnsi="宋体" w:eastAsia="宋体" w:cs="宋体"/>
          <w:color w:val="000000" w:themeColor="text1"/>
          <w:sz w:val="24"/>
          <w:szCs w:val="24"/>
        </w:rPr>
        <w:t xml:space="preserve">。</w:t>
      </w:r>
      <w:r/>
    </w:p>
    <w:p>
      <w:pPr>
        <w:ind w:firstLine="47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3.项目范围及主要内容：</w:t>
      </w:r>
      <w:r>
        <w:rPr>
          <w:rFonts w:hint="eastAsia" w:ascii="宋体" w:hAnsi="宋体" w:eastAsia="宋体" w:cs="宋体"/>
          <w:color w:val="000000" w:themeColor="text1"/>
          <w:sz w:val="24"/>
          <w:szCs w:val="24"/>
          <w:u w:val="single"/>
        </w:rPr>
        <w:t xml:space="preserve">对姜堰区S229省道（不含）以西、上海路（含）以东、G328国道（不含）以北、站前路（含）以南范围内（部分道路超出以上四至范围由采购人确定外延范围）的市政道路、桥梁、雨水管网、路灯及其附属设施进行巡查、养护、维修（巡查不含桥面以下设施及路灯设施，巡查自2026年11月14日开始至本项目结束），以及完成采购人交办的其他任务。根据工作需要，采购人可根据实际情况调整本项目服务范围及内容</w:t>
      </w:r>
      <w:r>
        <w:rPr>
          <w:rFonts w:hint="eastAsia" w:ascii="宋体" w:hAnsi="宋体" w:eastAsia="宋体" w:cs="宋体"/>
          <w:bCs/>
          <w:color w:val="000000" w:themeColor="text1"/>
          <w:sz w:val="24"/>
          <w:szCs w:val="24"/>
        </w:rPr>
        <w:t xml:space="preserve">。</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4.项目具体内容</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巡查及养护维修具体内容包括但不限于以下方面：</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（1）道路</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①沥青路面：线裂、网裂、龟裂；拥包或波浪、车辙、沉陷、翻浆；剥落、坑槽、啃边；路框差、唧浆、泛油等。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②水泥混凝土路面：线裂、板角断裂、边角裂缝、交叉裂缝和破碎板；接缝料损坏、边角剥落；坑洞、表面纹裂、层状剥落；错台、拱胀、唧浆、路框差、沉陷、露骨等。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③块料铺装路面：坑洞、错台、拱起、沉陷、缺失、松动等。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④侧石、平石：缺失、破损、沉陷、倾斜、断裂、松动等。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⑤止车柱、三水大道栏杆等采购人管理的其他附属设施：倒伏、歪斜、缺失、破损等。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⑥路基、路肩、边坡:翻浆、沉陷、空洞、塌陷、滑移等。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（2）桥梁（巡查主要为随同道路粗略巡查桥面系及附属结构，精细检查及上部结构、下部结构检查由桥梁检测单位负责）</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①桥面铺装：平整性及裂缝、坑槽、拥包、车辙、积水、沉陷、碎边、桥头跳车等。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②伸缩装置：连接松动、异常变形、破损、脱落、漏水、阻塞等；是否造成明显跳车。</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③排水设施：泄水孔堵塞、排水设施缺损等。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④栏杆、防撞护栏：污秽、破损、缺失、露筋、锈蚀、断裂、松动等。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⑤挡土墙、护坡、调治构造物：开裂、破损、塌陷、倾斜等。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⑥上部结构、下部结构：异常变化、缺陷、变形、沉降、位移等。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（3）雨水设施：窨井盖及雨水篦的缺失、破损、框盖差、下沉、井周破损、防坠网缺失等，管道的塌陷变形、堵塞等。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（4）路灯：不含巡查，主要负责采购人指定的路灯、路灯井盖维修。</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（5）道路及桥梁积水、积冰及其他不正常现象，道路范围内的施工作业对道路设施的影响。</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（6）12345、数字城管、网络媒体等反馈的内容。</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（7）无证挖掘、破坏市政设施等行为。</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（8）其他管线单位井盖缺陷的排查统计。</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（9）采购人管理的箱体美化设施。</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上述巡查及养护维修的范围及主要工作内容，采购人可根据实际情况进行调整。</w:t>
      </w:r>
      <w:r/>
    </w:p>
    <w:p>
      <w:pPr>
        <w:ind w:firstLine="482"/>
        <w:spacing w:line="85" w:lineRule="atLeast"/>
        <w:rPr>
          <w:rFonts w:ascii="宋体" w:hAnsi="宋体" w:eastAsia="宋体" w:cs="宋体"/>
          <w:b/>
          <w:bCs/>
          <w:color w:val="000000" w:themeColor="text1"/>
          <w:sz w:val="24"/>
          <w:szCs w:val="24"/>
        </w:rPr>
      </w:pPr>
      <w:r/>
      <w:bookmarkStart w:id="11" w:name="_Toc351203482"/>
      <w:r>
        <w:rPr>
          <w:rFonts w:hint="eastAsia" w:ascii="宋体" w:hAnsi="宋体" w:eastAsia="宋体" w:cs="宋体"/>
          <w:b/>
          <w:bCs/>
          <w:color w:val="000000" w:themeColor="text1"/>
          <w:sz w:val="24"/>
          <w:szCs w:val="24"/>
        </w:rPr>
        <w:t xml:space="preserve">二、</w:t>
      </w:r>
      <w:bookmarkEnd w:id="11"/>
      <w:r>
        <w:rPr>
          <w:rFonts w:hint="eastAsia" w:ascii="宋体" w:hAnsi="宋体" w:eastAsia="宋体" w:cs="宋体"/>
          <w:b/>
          <w:bCs/>
          <w:color w:val="000000" w:themeColor="text1"/>
          <w:sz w:val="24"/>
          <w:szCs w:val="24"/>
        </w:rPr>
        <w:t xml:space="preserve">服务期限</w:t>
      </w:r>
      <w:r/>
    </w:p>
    <w:p>
      <w:pPr>
        <w:ind w:firstLine="459"/>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本项目服务期为一年，自2026年7月   日开始至2027年7月   日结束。</w:t>
      </w:r>
      <w:r/>
    </w:p>
    <w:p>
      <w:pPr>
        <w:ind w:firstLine="459"/>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如因合同资金使用完毕且下年度财政资金提前安排，经采购人同意，供应商可提前结束服务，巡查费用相应按实际服务天数折算计取。</w:t>
      </w:r>
      <w:r/>
    </w:p>
    <w:p>
      <w:pPr>
        <w:ind w:firstLine="482"/>
        <w:spacing w:line="85" w:lineRule="atLeast"/>
        <w:rPr>
          <w:rFonts w:ascii="宋体" w:hAnsi="宋体" w:eastAsia="宋体" w:cs="宋体"/>
          <w:b/>
          <w:bCs/>
          <w:color w:val="000000" w:themeColor="text1"/>
          <w:sz w:val="24"/>
          <w:szCs w:val="24"/>
        </w:rPr>
      </w:pPr>
      <w:r/>
      <w:bookmarkStart w:id="12" w:name="_Toc351203483"/>
      <w:r>
        <w:rPr>
          <w:rFonts w:hint="eastAsia" w:ascii="宋体" w:hAnsi="宋体" w:eastAsia="宋体" w:cs="宋体"/>
          <w:b/>
          <w:bCs/>
          <w:color w:val="000000" w:themeColor="text1"/>
          <w:sz w:val="24"/>
          <w:szCs w:val="24"/>
        </w:rPr>
        <w:t xml:space="preserve">三、质量标准</w:t>
      </w:r>
      <w:bookmarkEnd w:id="12"/>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1.质量要求：养护维修质量应符合国家、行业及地方现行相关规范、标准及合同约定，并达到</w:t>
      </w:r>
      <w:r>
        <w:rPr>
          <w:rFonts w:hint="eastAsia" w:ascii="宋体" w:hAnsi="宋体" w:eastAsia="宋体" w:cs="宋体"/>
          <w:color w:val="000000" w:themeColor="text1"/>
          <w:sz w:val="24"/>
          <w:szCs w:val="24"/>
          <w:u w:val="single"/>
        </w:rPr>
        <w:t xml:space="preserve"> 合格</w:t>
      </w:r>
      <w:r>
        <w:rPr>
          <w:rFonts w:hint="eastAsia" w:ascii="宋体" w:hAnsi="宋体" w:eastAsia="宋体" w:cs="宋体"/>
          <w:color w:val="000000" w:themeColor="text1"/>
          <w:sz w:val="24"/>
          <w:szCs w:val="24"/>
        </w:rPr>
        <w:t xml:space="preserve">标准。</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2.适用标准、规范（包括但不限于）：</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《城镇道路工程施工与质量验收规范》（CJJ 1-2008）</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《城市桥梁工程施工与质量验收规范》（CJJ 2-2008）</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《给水排水管道工程施工与质量验收规范》（GB 50268-2008）</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《给水排水构筑物工程施工与质量验收规范》（GB 50141-2008）</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《城镇道路养护技术规范》（CJJ 36-2016）</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《城市桥梁养护技术标准》（CJJ 99-2017）</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《城镇排水管渠与泵站运行、维护及安全技术规程》（CJJ 68-2016）</w:t>
      </w:r>
      <w:r/>
    </w:p>
    <w:p>
      <w:pPr>
        <w:pStyle w:val="761"/>
        <w:ind w:firstLine="72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其他国家和地方现行有效的相关标准、规范。</w:t>
      </w:r>
      <w:r/>
    </w:p>
    <w:p>
      <w:pPr>
        <w:pStyle w:val="761"/>
        <w:ind w:firstLine="72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上述标准、规范如有最新版本则按最新版本。</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四、合同价款与支付</w:t>
      </w:r>
      <w:r/>
    </w:p>
    <w:p>
      <w:pPr>
        <w:pStyle w:val="761"/>
        <w:ind w:firstLine="420"/>
        <w:spacing w:line="85" w:lineRule="atLeas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1.签约合同价为：</w:t>
      </w:r>
      <w:r>
        <w:rPr>
          <w:rFonts w:hint="eastAsia" w:ascii="宋体" w:hAnsi="宋体" w:eastAsia="宋体" w:cs="宋体"/>
          <w:color w:val="000000" w:themeColor="text1"/>
          <w:sz w:val="24"/>
          <w:szCs w:val="24"/>
          <w:u w:val="single"/>
        </w:rPr>
        <w:t xml:space="preserve">人民币（大写）玖佰万元整 (¥9000000元)，中标优惠率=   %。</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因本项目工程量不确定，本签约合同价是暂定的合同价格，最终要按实结算。</w:t>
      </w:r>
      <w:r/>
    </w:p>
    <w:p>
      <w:pPr>
        <w:pStyle w:val="761"/>
        <w:ind w:firstLine="42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2.合同价格形式：</w:t>
      </w:r>
      <w:r>
        <w:rPr>
          <w:rFonts w:hint="eastAsia" w:ascii="宋体" w:hAnsi="宋体" w:eastAsia="宋体" w:cs="宋体"/>
          <w:color w:val="000000" w:themeColor="text1"/>
          <w:sz w:val="24"/>
          <w:szCs w:val="24"/>
          <w:u w:val="single"/>
        </w:rPr>
        <w:t xml:space="preserve">固定全费用单价合同</w:t>
      </w:r>
      <w:r>
        <w:rPr>
          <w:rFonts w:hint="eastAsia" w:ascii="宋体" w:hAnsi="宋体" w:eastAsia="宋体" w:cs="宋体"/>
          <w:color w:val="000000" w:themeColor="text1"/>
          <w:sz w:val="24"/>
          <w:szCs w:val="24"/>
        </w:rPr>
        <w:t xml:space="preserve">。</w:t>
      </w:r>
      <w:r/>
    </w:p>
    <w:p>
      <w:pPr>
        <w:pStyle w:val="761"/>
        <w:ind w:firstLine="42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结算金额=</w:t>
      </w:r>
      <w:r>
        <w:rPr>
          <w:rFonts w:hint="eastAsia" w:ascii="宋体" w:hAnsi="宋体" w:eastAsia="宋体" w:cs="宋体"/>
          <w:color w:val="000000" w:themeColor="text1"/>
          <w:sz w:val="24"/>
          <w:szCs w:val="24"/>
          <w:u w:val="single"/>
        </w:rPr>
        <w:t xml:space="preserve">全费用预算单价*（1-中标优惠率）*实际完成合格数量-日常处罚扣款-考核扣款，且不超过900万元，超出的部分视为供应商让利、不予支付。</w:t>
      </w:r>
      <w:r/>
    </w:p>
    <w:p>
      <w:pPr>
        <w:pStyle w:val="761"/>
        <w:ind w:firstLine="42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全费用预算单价已包含完成该项目所需要的人工费、材料费、施工机具使用费、企业管理费、利润、措施项目费（不含清单中单列措施费）、其它项目费、规费、税金、有关文件规定的政策性调价等和各种可能发生的风险费用以及招标文件约定的其他费用。</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缺失单价组价：合同履行过程中发生全费用预算单价清单中没有的项目，全费用预算单价清单中有类似的经采购人同意可参照类似清单，没有类似的，由跟审单位编制全费用单价再乘以A值（A=1-中标优惠率），经采购人、供应商、跟踪单位确认后作为结算依据，最终以结算复审单位的审核结果为准。编制原则如下：</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①分部分项工程费：采用清单计价方法，执行《建设工程工程量清单计价</w:t>
      </w:r>
      <w:r>
        <w:rPr>
          <w:rFonts w:hint="eastAsia" w:ascii="宋体" w:hAnsi="宋体" w:eastAsia="宋体" w:cs="宋体"/>
          <w:color w:val="000000" w:themeColor="text1"/>
          <w:sz w:val="24"/>
          <w:szCs w:val="24"/>
        </w:rPr>
        <w:t xml:space="preserve">标准》（GB/T50500-2024）及其配套的相关专业工程量计算标准、2026版《江苏省市政工程消耗量》、《江苏省建设工程费用参考》、《江苏省建设工程施工机具台班费用编制参考表》等配套计价依据。人工费按实施项目同期“省住房和城乡建设厅关于发布建设工程人工工资指导价的通知”执行，没有新发布人工价格则按“普工140元/工日、一般技工200元/工日、高级技工260元/工日”执行，材料费按《泰州工程造价管理》2026年第5期建筑安装材料信息价、市场参考价执行（没有的由采购人、监理单位、跟审单位及供应商共同确认）。</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②措施项目费：通用措施项目费只计取：安全生产、文明施工，环境保护、临时设施、建筑工人实名制，其余不计取。以上措施项目有固定费率的执行固定费率，没有固定费率的取区间值的中间值。</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③其他项目费：不计取</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④管理费和利润：取区间值的中间值。</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⑤税金：9%</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4.计量与结算</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（1）计算规则：《市政工程工程量计算标准》（GB/T50857-2024）等现行工程量计算</w:t>
      </w:r>
      <w:r>
        <w:rPr>
          <w:rFonts w:hint="eastAsia" w:ascii="宋体" w:hAnsi="宋体" w:eastAsia="宋体" w:cs="宋体"/>
          <w:color w:val="000000" w:themeColor="text1"/>
          <w:sz w:val="24"/>
          <w:szCs w:val="24"/>
        </w:rPr>
        <w:t xml:space="preserve">标准。</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（2）关于计量周期的约定：本项目实行按月计量；涉及人工、机械台班、钢板桩支撑、井点降水、管道疏通等事后非实体性项目供应商应在事前上报使用数量计划，事中留下必要的影</w:t>
      </w:r>
      <w:r>
        <w:rPr>
          <w:rFonts w:hint="eastAsia" w:ascii="宋体" w:hAnsi="宋体" w:eastAsia="宋体" w:cs="宋体"/>
          <w:color w:val="000000" w:themeColor="text1"/>
          <w:sz w:val="24"/>
          <w:szCs w:val="24"/>
        </w:rPr>
        <w:t xml:space="preserve">相资料及监理、跟踪见证资料并在事后24小时内完成四方确认，否则采购人有权不予认可或按推测扣减；每月10日前，供应商应将上月已完工程量和工程造价上报采购人、监理单位及跟审单位进行确认；因供应商上报不及时或未及时通知采购人、监理单位、跟审单位进行确认的，采购人可自行或组织监理单位、跟审单位确认，一切后果由供应商自行承担；隐蔽工程量未在隐蔽前确认，事后又无法完整追溯的，一律视为供应商让利；供应商擅自维修或擅自扩大维修范围（因联系不上采购人，但又需要紧急排险的除外），视为供应商对采购人的让利，不纳入竣工结算范围。 </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同一维修点不存在2次（含）以上的维修费用。供应商要确保各个维修点的质量，同时要做好日常保护工作，遇到不明确的方案，须上报采购人研究确认，如同一维修点出现质量缺陷或擅自确定方案采购人不予认可的，返工费用均由供应商承担。</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（5）竣工结算：供应商应在本项目竣工验收合格后28天内向采购人提交完整的竣工结</w:t>
      </w:r>
      <w:r>
        <w:rPr>
          <w:rFonts w:hint="eastAsia" w:ascii="宋体" w:hAnsi="宋体" w:eastAsia="宋体" w:cs="宋体"/>
          <w:color w:val="000000" w:themeColor="text1"/>
          <w:sz w:val="24"/>
          <w:szCs w:val="24"/>
        </w:rPr>
        <w:t xml:space="preserve">算资料，采购人应及时组织跟审单位在接到完整的竣工结算资料之日起30天内完成初审，并及时委托复审单位完成复审；采购人或跟审单位、复审单位对竣工结算资料有异议的，有权要求供应商补充完善资料，供应商应及时补充完善相关资料，因供应商拖延核对、送审资料不完整不真实等原因造成不能及时完成竣工结算审核的，由供应商承担相应后果。供应商应如实计量计价，不可高估冒算，如竣工结算核减额＞送审价的10%，供应商须承担违约责任，按（初审复审累计核减额-送审价*10%）*6%计取（送审价指报送初审时结算送审价），直接在结算复审时扣除。</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5.付款方式</w:t>
      </w:r>
      <w:r/>
    </w:p>
    <w:p>
      <w:pPr>
        <w:pStyle w:val="761"/>
        <w:ind w:firstLine="480"/>
        <w:spacing w:line="85" w:lineRule="atLeas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u w:val="single"/>
        </w:rPr>
        <w:t xml:space="preserve">本项目合同订立生效后支付合同价的10%作为预付款，2027年春节前付至已完成价款的70%，服务期满、结算初审后付至结算初审价的70%，结算复审核对并经双方签字及盖章确认后付至双方确认价的97%，余款于缺陷责任期满后结清。（本项目涉及的所有款项皆不计取利息）。</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本项目资金来源为财政资金。如因执行财政资金拨付程序致使拨款未能及时到位的，不属于采购人违约，供应商不得以此为由不履行本合同规定的义务，也不得以此追究采购人任何形式的违约责任。</w:t>
      </w:r>
      <w:r/>
    </w:p>
    <w:p>
      <w:pPr>
        <w:pStyle w:val="761"/>
        <w:ind w:firstLine="480"/>
        <w:spacing w:line="85" w:lineRule="atLeast"/>
        <w:rPr>
          <w:rFonts w:ascii="宋体" w:hAnsi="宋体" w:eastAsia="宋体" w:cs="宋体"/>
          <w:color w:val="000000" w:themeColor="text1"/>
          <w:sz w:val="24"/>
          <w:szCs w:val="24"/>
          <w:u w:val="single"/>
        </w:rPr>
      </w:pPr>
      <w:r>
        <w:rPr>
          <w:rFonts w:hint="eastAsia" w:ascii="宋体" w:hAnsi="宋体" w:eastAsia="宋体" w:cs="宋体"/>
          <w:color w:val="000000" w:themeColor="text1"/>
          <w:sz w:val="24"/>
          <w:szCs w:val="24"/>
        </w:rPr>
        <w:t xml:space="preserve">6.履约担保：供应商须在合同签订前通过电汇/转账/保函/保证保险的形式缴纳合同价的5%作为履约保证金。</w:t>
      </w:r>
      <w:r/>
    </w:p>
    <w:p>
      <w:pPr>
        <w:pStyle w:val="761"/>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7.质量保证金：</w:t>
      </w:r>
      <w:r>
        <w:rPr>
          <w:rFonts w:hint="eastAsia" w:ascii="宋体" w:hAnsi="宋体" w:eastAsia="宋体" w:cs="宋体"/>
          <w:color w:val="000000" w:themeColor="text1"/>
          <w:sz w:val="24"/>
          <w:szCs w:val="24"/>
          <w:u w:val="single"/>
        </w:rPr>
        <w:t xml:space="preserve">预留竣工结算总价的3%作为质量保证金，缺陷责任期满后无息退还</w:t>
      </w:r>
      <w:r>
        <w:rPr>
          <w:rFonts w:hint="eastAsia" w:ascii="宋体" w:hAnsi="宋体" w:eastAsia="宋体" w:cs="宋体"/>
          <w:color w:val="000000" w:themeColor="text1"/>
          <w:sz w:val="24"/>
          <w:szCs w:val="24"/>
        </w:rPr>
        <w:t xml:space="preserve">。</w:t>
      </w:r>
      <w:r/>
    </w:p>
    <w:p>
      <w:pPr>
        <w:ind w:firstLine="480"/>
        <w:spacing w:line="85" w:lineRule="atLeast"/>
        <w:rPr>
          <w:rFonts w:ascii="宋体" w:hAnsi="宋体" w:eastAsia="宋体" w:cs="宋体"/>
          <w:bCs/>
          <w:color w:val="000000" w:themeColor="text1"/>
          <w:sz w:val="24"/>
          <w:szCs w:val="24"/>
          <w:u w:val="single"/>
        </w:rPr>
      </w:pPr>
      <w:r>
        <w:rPr>
          <w:rFonts w:hint="eastAsia" w:ascii="宋体" w:hAnsi="宋体" w:eastAsia="宋体" w:cs="宋体"/>
          <w:bCs/>
          <w:color w:val="000000" w:themeColor="text1"/>
          <w:sz w:val="24"/>
          <w:szCs w:val="24"/>
        </w:rPr>
        <w:t xml:space="preserve">8.缺陷责任与保修：</w:t>
      </w:r>
      <w:r>
        <w:rPr>
          <w:rFonts w:hint="eastAsia" w:ascii="宋体" w:hAnsi="宋体" w:eastAsia="宋体" w:cs="宋体"/>
          <w:bCs/>
          <w:color w:val="000000" w:themeColor="text1"/>
          <w:sz w:val="24"/>
          <w:szCs w:val="24"/>
          <w:u w:val="single"/>
        </w:rPr>
        <w:t xml:space="preserve">本项目缺陷责任期1年，质量保修期1年。</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五、双方的主要义务和责任</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（一）采购人主要义务和责任</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1.按合同约定向供应商提供有关市政设施基础资料。</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2.按合同约定及时支付合同价款。采购人未按合同约定支付合同价款，供应商有权要求采购人纠正违约行为直至要求解除合同。</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3.及时审定供应商上报的养护维修计划，检查养护计划执行情况。</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4.协调处理养护范围内与第三方的关系，为供应商提供必要的协调与支持。</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5.组织检查、验收，对巡查、养护维修质量进行定期和不定期考核。</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6.督促监理单位、跟审单位做好本项目监督与服务。</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（二）供应商主要义务和责任</w:t>
      </w:r>
      <w:r/>
    </w:p>
    <w:p>
      <w:pPr>
        <w:ind w:firstLine="482"/>
        <w:spacing w:line="85" w:lineRule="atLeast"/>
        <w:rPr>
          <w:rFonts w:ascii="宋体" w:hAnsi="宋体" w:eastAsia="宋体" w:cs="宋体"/>
          <w:b/>
          <w:bCs/>
          <w:color w:val="000000" w:themeColor="text1"/>
          <w:sz w:val="24"/>
          <w:szCs w:val="24"/>
        </w:rPr>
      </w:pPr>
      <w:r/>
      <w:bookmarkStart w:id="13" w:name="_Toc351203485"/>
      <w:r>
        <w:rPr>
          <w:rFonts w:hint="eastAsia" w:ascii="宋体" w:hAnsi="宋体" w:eastAsia="宋体" w:cs="宋体"/>
          <w:b/>
          <w:bCs/>
          <w:color w:val="000000" w:themeColor="text1"/>
          <w:sz w:val="24"/>
          <w:szCs w:val="24"/>
        </w:rPr>
        <w:t xml:space="preserve">1.人员、材料、机械管理</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（1）项目经理：任命作为本项目项目经理，负责本项目的安全、质量、进度、造价等一切事宜。项目经理应当落实带班生产制度，在保证安全、质量的前提下，每月带班生产</w:t>
      </w:r>
      <w:r>
        <w:rPr>
          <w:rFonts w:hint="eastAsia" w:ascii="宋体" w:hAnsi="宋体" w:eastAsia="宋体" w:cs="宋体"/>
          <w:color w:val="000000" w:themeColor="text1"/>
          <w:sz w:val="24"/>
          <w:szCs w:val="24"/>
        </w:rPr>
        <w:t xml:space="preserve">时间不得少于本月施工时间的80%。因其他事务需短期离开施工现场时，应当书面委托项目相关负责人负责其外出时的安全生产工作。项目进行超过一定规模的危险性较大的分部分项工程施工时，项目经理应当在施工现场履职。项目经理未经批准，擅自离开施工现场，采购人有权对供应商处以0.1万元/次的违约金。供应商擅自更换或项目经理无法胜任岗位时无正当理由拒绝更换项目经理，采购人有权对供应商处以2万元的违约金。</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其他主要施工管理人员：供应商应安排符合资格条件的施工管理人员并保持稳定。供应商擅自更换或无正当理由拒绝撤换主要施工管理人员，采购人有权对供应商处以1万元的违约金。施工期间安全员应确保全程在场，确需离开施工现场时，应事先通知监理单位，并取得采购人的同意。供应商主要施工管理人员擅自离开施工现场，采购人有权对供应商处以0.05万元/人•次的违约金。</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巡查人员：供应商须配备4名及以上专职巡查员（须身体健康胜任全年户外巡查工作，不得随意更换）、巡查交通工具（至少一辆巡查汽车）、检查工具，对巡查员进行基础知识教育，做好巡查记录，明确责任到人。</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所有进场管理人员、特种作业人员须按现行有关文件规定取得上岗证书，专业设备（含车辆）必须由具备相应证书的专业人员操作，采购人或监理单位检查发现无资格上岗的，供应商须立即督促相关人员退场、补充符合规定的人员，采购人有权对供应商处以0.1万元/人·次的违约金，因使用没有相应资格人员所造成的一切后果由供应商承担。</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（5）项目经理、安全员等主要项目管理人员应根据采购人、监理单位的要求参加周、月例会及其他专项会议，如不能参加应提前向采购人履行书面请假手续，否则视为擅自离开施工现场。</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合同签订后，供应商应在一个月内在姜堰设立项目部（须无偿提供办公室供监理单位、跟审单位日常办公使用）及仓库，各类常用井盖、路牙、铺装面层、防尘覆盖、围挡、夜间照明、快速修补料、灌缝料等维修物资需备足一个月的用量，挖机、雾炮车、切割机、铣刨机、摊铺机、压路机、渣土车、装载机、吊车、吸污车、移动防汛泵车、管道疏通冲洗设备等常用机械设备要做到随喊随到，确保具备突击抢修排险的能力。</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项目期间，供应商接电、接水以及用电、用水手续及费用由供应商自行解决并承担相关费用。</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（7）服务期间供应商须安排人员协助采购人做好12345、数字城管等相关工作，人员费用已包含在投标报价中。</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如监理单位或采购人认为供应商现场管理人员或施工人员或施工设备不足，向供应商提出相应增加人员或设备的要求时，供应商须在收到有关通知后3日内增加到位，逾期采购人有权对供应商处以0.1万元/天的违约金。</w:t>
      </w:r>
      <w:r/>
    </w:p>
    <w:p>
      <w:pPr>
        <w:ind w:firstLine="480"/>
        <w:spacing w:line="85" w:lineRule="atLeast"/>
        <w:rPr>
          <w:rFonts w:ascii="宋体" w:hAnsi="宋体" w:eastAsia="宋体" w:cs="宋体"/>
          <w:b/>
          <w:bCs/>
          <w:color w:val="000000" w:themeColor="text1"/>
          <w:sz w:val="24"/>
          <w:szCs w:val="24"/>
        </w:rPr>
      </w:pPr>
      <w:r>
        <w:rPr>
          <w:rFonts w:hint="eastAsia" w:ascii="宋体" w:hAnsi="宋体" w:eastAsia="宋体" w:cs="宋体"/>
          <w:color w:val="000000" w:themeColor="text1"/>
          <w:sz w:val="24"/>
          <w:szCs w:val="24"/>
        </w:rPr>
        <w:t xml:space="preserve">（9）供应商项目人员必须服从采购人、监理单位的管理，如出现供应商项目人员不服从采购人、监理单位管理，采购人有权对供应商处以0.1万元/次的罚款。</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2.日常巡查</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巡查频次：每条道路不低于每三日一巡，重点路段及设施、问题路段及设施应根据实际情况加密频次，雨水管网按雨水井清掏单位反馈情况及道路积水情况等线索进行排查。巡查不能及时发现问题、恶劣天气、重大节日及活动期间应适当增加巡查频次。</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巡查人员上岗前须进行相关安全教育和技术培训。巡查人员作业时，需落实安全生产措施，配备相关安全警示用品及计量、检查工具。供应商须合理安排巡查人员巡查时间，每天巡查里程相对稳定，做到在时空上不断档，确保巡查质量。</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（3）内容及标准：巡查内容详见本合同“项目概况”章节；有关病害定义、病害界定等按《城镇道路养护技术规范》（CJJ36-2016）、等相关规范及采购人有关要求。</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（4）特殊情况处理</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日常巡查中发现下列情况之一时，巡查人员应立即设置警示防护标志并上报，在现场监视直至应急处置人员到场，供应商应立即启动应急预案：</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①道路出现异常沉陷、空洞、坑槽；</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②路面出现大于100mm的错台；</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③井盖、雨水口箅子丢失或严重损坏；</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④路面出现严重积水、结冰等严重影响道路正常使用的现象；</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⑤其他紧急情况：树木、灯杆倒伏、栏杆缺失等。</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因巡查工作落实不到位发生安全事故的，供应商须承担相应责任及费用。</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（5）巡查记录：按采购人的要求建立巡查发现问题电子台账（按每条路有序排列避免问题重复、及时更新处理情况），每周向采购人提交采购人认可的巡查考勤资料、巡查发现问题清单。</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供应商应尽可能完善自身的巡查记录等巡查资料，第三方发生交通安全事故后，如因供应商提供的巡查记录等资料无法被司法机关认可尽到道路巡查责任，导致有责的，供应商须承担相关赔偿。</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（6）供应商出现未按要求配置巡查人员及车辆，巡查频次及巡查质量不满足要求等违约情形，采购人有权对供应商处以0.1~0.5万元/次的违约金。</w:t>
      </w:r>
      <w:r>
        <w:rPr>
          <w:rFonts w:hint="eastAsia" w:ascii="宋体" w:hAnsi="宋体" w:eastAsia="宋体" w:cs="宋体"/>
          <w:color w:val="000000" w:themeColor="text1"/>
          <w:sz w:val="24"/>
          <w:szCs w:val="24"/>
        </w:rPr>
        <w:t xml:space="preserve">供应商巡查工作将按月进行考核，并根据考核结果扣减本项目结算款。</w:t>
      </w:r>
      <w:r/>
    </w:p>
    <w:p>
      <w:pPr>
        <w:ind w:firstLine="482"/>
        <w:spacing w:line="85" w:lineRule="atLeas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3.安全文明施工与环境保护管理</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（1）安全生产</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合同履行期间，供应商应当遵守国家和项目所在地有关安全生产的要求，</w:t>
      </w:r>
      <w:r>
        <w:rPr>
          <w:rFonts w:hint="eastAsia" w:ascii="宋体" w:hAnsi="宋体" w:eastAsia="宋体" w:cs="宋体"/>
          <w:color w:val="000000" w:themeColor="text1"/>
          <w:sz w:val="24"/>
          <w:szCs w:val="24"/>
        </w:rPr>
        <w:t xml:space="preserve">确保整个合同期内无任何安全事故发生</w:t>
      </w:r>
      <w:r>
        <w:rPr>
          <w:rFonts w:hint="eastAsia" w:ascii="宋体" w:hAnsi="宋体" w:eastAsia="宋体" w:cs="宋体"/>
          <w:bCs/>
          <w:color w:val="000000" w:themeColor="text1"/>
          <w:sz w:val="24"/>
          <w:szCs w:val="24"/>
        </w:rPr>
        <w:t xml:space="preserve">。供应商有权拒绝采购人及监理单位强令供应商违章作业、冒险施工的任何指示。</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在施工过程中，如遇到突发的地质变动、事先未知的地下施工障碍等影响施工安全的紧急情况，供应商应及时报告监理单位和采购人以及可能涉及的管线单位共同到场。</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应当按照有关规定编制安全技术措施或者专项施工方案，建立安全生产责任制度、治安保卫制度及安全生产教育培训制度，并按安全生产法律规定及合同约定履行安全职责，如实编制项目安全生产的有关记录，接受采购人、监理单位及政府安全监督部门的检查与监督。</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供应商应按照法律规定进行施工，开工前做好安全技术交底工作，施工过程中做好各项安全防护措施。供应商为实施合同而雇用的特殊工种的人员应受过专门的培训并已取得政府有关管理机构颁发的上岗证书。</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供应商在动力设备、输电线路、地下管道、密封防震车间、易燃易爆地段以及临街交通要道附近施工时，施工开始前应向采购人和监理单位报送安全防护措施，查明地下管线状况，经监理单位认可后实施。 </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在对本项目检查井、雨水管道进行下井维修前必须采用有毒有害气体检测设备对管道和检查井等施工区域进行有毒有害气体检测，同时须将有毒有害气体检测的结果及相应的安全防护措施上报给监理单位，经监理单位认可后实施。</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需单独编制危险性较大分部分项专项工程施工方案的，及要求进行专家论证的超过一定规模的危险性较大的分部分项工程，供应商应及时编制和组织论证并承担费用。</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供应商须负责统一管理施工场地的治安保卫事项，履行合同的治安保卫职责。</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须严格遵守交警、城管等主管部门的相关规定及要求，涉及需要办理施工审批手续的，须在交警、城管等主管部门批准后方可施工，并做好相关交通安全及疏导措施，安排专门交通疏导员做好交通疏导工作；工程机械、车辆须检测合格、证照齐全，配备专业操作人员，进出场地必须减速慢行，出入口须有专人看护，确保出入口的交通安全；施工场地周边须设置安全围栏、警示提示标牌、警示灯、夜间照明等安全措施并确保设施安全可靠，交通信号灯因供应商施工原因故障的，供应商须设置临时交通指示灯。</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供应商所有人员在进行巡查、养护维修及应急抢险作业时必须认真负责，注意安全操作，如发生任何意外（包括第三方），供应商负责事故处理及一切费用，与此相关的一切</w:t>
      </w:r>
      <w:r>
        <w:rPr>
          <w:rFonts w:hint="eastAsia" w:ascii="宋体" w:hAnsi="宋体" w:eastAsia="宋体" w:cs="宋体"/>
          <w:bCs/>
          <w:color w:val="000000" w:themeColor="text1"/>
          <w:sz w:val="24"/>
          <w:szCs w:val="24"/>
        </w:rPr>
        <w:t xml:space="preserve">责任均与采购人无关。</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供应商负责施工现场周围地下管线和邻近建筑物、构筑物、古树名木、车辆的保护工作，并承担相关费用以及因供应商保护不到位造成的损失。</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应为从业人员提供必要的劳动保护条件，依法为其履行合同所雇用的人员办理必要保，采取有效的保障高温、高空作业安全等劳动保护措施。供应商雇佣人员在施工中受到伤害的，供应商应立即采取有效措施进行抢救和治疗。养护作业人员上岗前必须进行安全技术培训。进入养护作业现场内的人员，必须穿戴具有反光功能的安全标志服和防护帽。</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安全生产管理措施不到位，造成安全事故的、造成地下管线破坏的、被有关部门通报或查处的、或被采购人或监理单位发现的、被群众举报的等，以上情形采购人有权对供应商处以0.1~2万元/次的违约金，供应商须承担因其安全管理不到位造成的一切损失。</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（3）文明施工</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供应商在维修施工前应在维修点主要出入口张挂施工公示牌；施工期间，应当采取措施保持施工现场平整，物料堆放整齐，妥善</w:t>
      </w:r>
      <w:r>
        <w:rPr>
          <w:rFonts w:hint="eastAsia" w:ascii="宋体" w:hAnsi="宋体" w:eastAsia="宋体" w:cs="宋体"/>
          <w:bCs/>
          <w:color w:val="000000" w:themeColor="text1"/>
          <w:sz w:val="24"/>
          <w:szCs w:val="24"/>
        </w:rPr>
        <w:t xml:space="preserve">解决施工中与周围居民、行人、商铺业主的矛盾</w:t>
      </w:r>
      <w:r>
        <w:rPr>
          <w:rFonts w:hint="eastAsia" w:ascii="宋体" w:hAnsi="宋体" w:eastAsia="宋体" w:cs="宋体"/>
          <w:color w:val="000000" w:themeColor="text1"/>
          <w:sz w:val="24"/>
          <w:szCs w:val="24"/>
        </w:rPr>
        <w:t xml:space="preserve">。项目所在地有关政府行政管理部门有特殊要求的，按照其要求执行。在维修点开放通行之前，供应商应当从施工现场清除供应商的全部工程设备、多余材料、垃圾和各种临时措施，并保持施工现场清洁整齐。</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应供应商文明施工管理不到位导致投诉的，采购人有权对供应商处以0.1万元/次的违约金。</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（3）环境保护</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合同履行期间，供应商应遵守环境保护法规，采取封闭围挡、裸土覆盖、密闭拉运、车辆冲洗、湿法作业等合理措施保护施工现场环境。对施工作业过程中可能引起的大气、水、噪音以及固体废物污染采取具体可行的防范措施，妥善处理养护作业产生的废弃物，不得污染环境。供应商应当承担因其原因引起的环境污染侵权损害赔偿责任，因环境污染引起纠纷而导致暂停施工的，由此增加的费用和延误的工期由供应商承担。</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因扬尘管控、噪音管控不到位被环保部门通报或查处的、被群众投诉的、被采购人或监理单位发现的，采购人有权对供应商处以0.1~0.5万元/次的违约金。</w:t>
      </w:r>
      <w:bookmarkEnd w:id="13"/>
      <w:r/>
      <w:r/>
    </w:p>
    <w:p>
      <w:pPr>
        <w:ind w:firstLine="482"/>
        <w:spacing w:line="85" w:lineRule="atLeas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4.质量管理</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（1）材料质量</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供应商负责采购材料、工程设备的，应按照设计和有关标准以及合同要求采购，并提供产品合格证明及出厂证明，对材料、工程设备质量负责。法律规定材料和工程设备使用前必须进行检验</w:t>
      </w:r>
      <w:r>
        <w:rPr>
          <w:rFonts w:hint="eastAsia" w:ascii="宋体" w:hAnsi="宋体" w:eastAsia="宋体" w:cs="宋体"/>
          <w:bCs/>
          <w:color w:val="000000" w:themeColor="text1"/>
          <w:sz w:val="24"/>
          <w:szCs w:val="24"/>
        </w:rPr>
        <w:t xml:space="preserve">或试验的，供应商应按监理单位的要求进行检验或试验，不合格的不得使用。采购人或监理单位发现供应商使用不符合设计或有关标准要求的材料和工程设备时，有权要求供应商进行修复、拆除或重新采购，由此增加的费用和延误的工期，由供应商承担。监理单位有权拒绝供应商提供的不合格材料或工程设备，并要求供应商立即进行更换。监理单位应在更换后再次进行检查和检验，由此增加的费用和（或）延误的工期由供应商承担。监理单位发现供应商使用了不合格的材料和工程设备，供应商应按照监理人的指示立即改正，并禁止在工程中继续使用不合格的材料和工程设备。</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大批量使用的路面砖、花岗岩、井盖、快速修补料等材料，须事先向监理单位、采购人报送样品，经监理单位、采购人认可后方可进场，进场检验合格后方可使用，否则因材料不符合要求导致返工、退场的一切损失由供应商承担。</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本项目所有材料须符合有关国家、行业标准，没有国家、行业标准的须符合产品标准。</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供应商采购不合格的材料和设备的，采购人有权对其处以0.2万元/次的违约金；供应商使用不合格的材料和设备的，须无条件免费返工达标，采购人有权对其处以0.5万元/次的违约金。</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（2）施工质量</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本项目社会关注度高，对交通影响大，质量整改社会影响大，供应商应加强施工质量控制，确保所有维修项目一次性达到质量标准。供应商应根据季节特点合理安排沥青混凝土摊铺、人行道及树池改造、水泥混凝土浇筑、井周维修等批量改造事项，避免低温、高温、雨水对施工质量及开放交通时间的影响。</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对于易出现车辙的路口，沥青混凝土选用品种必须符合采购人要求；对于水泥混凝土施工，必须在新旧混凝土板块间设置拉杆；对于沥青路面裂缝、混凝土裂缝，封缝工艺及品种必须符合采购人要求；对于石材栏杆，无法避免使用粘连连接的，粘连材料必须足够耐久，符合设计及有关规范要求；对于沟槽回填，严禁使用淤泥、沼泽土、泥炭土、冻土、有机土或含生活垃圾的土进行回填。</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对供应商施工中及已维修的点位，每发现一处质量问题，采购人有权对供应商处以0.1~0.5万元/次的违约金，供应商须无条件整改达标并承担返工费用以及由此造成的损失。</w:t>
      </w:r>
      <w:r/>
    </w:p>
    <w:p>
      <w:pPr>
        <w:ind w:firstLine="459"/>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对于</w:t>
      </w:r>
      <w:r>
        <w:rPr>
          <w:rFonts w:hint="eastAsia" w:ascii="宋体" w:hAnsi="宋体" w:eastAsia="宋体" w:cs="宋体"/>
          <w:bCs/>
          <w:color w:val="000000" w:themeColor="text1"/>
          <w:sz w:val="24"/>
          <w:szCs w:val="24"/>
        </w:rPr>
        <w:t xml:space="preserve">个别维修点位工程质量不符合采购人或设计单位（如出图）要求且事后无法或不宜整改的，经设计单位认定满足使用要求且监理单位同意让步验收的，相应点位工程价款一律按实际价款的50%计取，否则相关维修点位视为不合格、不予验收、不纳入结算范围。</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质量保修：属于保修范围、内容的项目，供应商应当在接到保修通知之日起3天内派人保修，供应商不在约定期限内派人保修的，由供应商承担相应责任和后果，采购人可以委托他人修理，由供应商承担双倍费用；发生紧急事故需抢修的，供应商在接到事故通知后，应当立即到达事故现场抢修，否则由供应商承担相应责任和后果；因供应商原因致使本项目在缺陷责任期内造成人身和财产损害的，供应商须承担损害赔偿责任。</w:t>
      </w:r>
      <w:r/>
    </w:p>
    <w:p>
      <w:pPr>
        <w:ind w:firstLine="482"/>
        <w:spacing w:line="85" w:lineRule="atLeas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5.及时性管理</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 xml:space="preserve">（1）</w:t>
      </w:r>
      <w:r>
        <w:rPr>
          <w:rFonts w:hint="eastAsia" w:ascii="宋体" w:hAnsi="宋体" w:eastAsia="宋体" w:cs="宋体"/>
          <w:color w:val="000000" w:themeColor="text1"/>
          <w:sz w:val="24"/>
          <w:szCs w:val="24"/>
        </w:rPr>
        <w:t xml:space="preserve">养护计划与报批：供应商应</w:t>
      </w:r>
      <w:r>
        <w:rPr>
          <w:rFonts w:hint="eastAsia" w:ascii="宋体" w:hAnsi="宋体" w:eastAsia="宋体" w:cs="宋体"/>
          <w:color w:val="000000" w:themeColor="text1"/>
          <w:sz w:val="24"/>
          <w:szCs w:val="24"/>
        </w:rPr>
        <w:t xml:space="preserve">按合同约定及国家、行业标准履行养护职责，</w:t>
      </w:r>
      <w:r>
        <w:rPr>
          <w:rFonts w:hint="eastAsia" w:ascii="宋体" w:hAnsi="宋体" w:eastAsia="宋体" w:cs="宋体"/>
          <w:color w:val="000000" w:themeColor="text1"/>
          <w:sz w:val="24"/>
          <w:szCs w:val="24"/>
        </w:rPr>
        <w:t xml:space="preserve">根据巡查和设施状况等情况，区分轻重缓急，编制年度、月度养护维修计划，经采购人审核同意后安排日常养护维修工作，并及时向采购人报送养护维修计划执行情况，确保市政设施安全、完好、正常运行。</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w:t>
      </w:r>
      <w:r>
        <w:rPr>
          <w:rFonts w:hint="eastAsia" w:ascii="宋体" w:hAnsi="宋体" w:eastAsia="宋体" w:cs="宋体"/>
          <w:color w:val="000000" w:themeColor="text1"/>
          <w:sz w:val="24"/>
          <w:szCs w:val="24"/>
        </w:rPr>
        <w:t xml:space="preserve">应急抢险</w:t>
      </w:r>
      <w:r>
        <w:rPr>
          <w:rFonts w:hint="eastAsia" w:ascii="宋体" w:hAnsi="宋体" w:eastAsia="宋体" w:cs="宋体"/>
          <w:bCs/>
          <w:color w:val="000000" w:themeColor="text1"/>
          <w:sz w:val="24"/>
          <w:szCs w:val="24"/>
        </w:rPr>
        <w:t xml:space="preserve">：</w:t>
      </w:r>
      <w:r>
        <w:rPr>
          <w:rFonts w:hint="eastAsia" w:ascii="宋体" w:hAnsi="宋体" w:eastAsia="宋体" w:cs="宋体"/>
          <w:color w:val="000000" w:themeColor="text1"/>
          <w:sz w:val="24"/>
          <w:szCs w:val="24"/>
        </w:rPr>
        <w:t xml:space="preserve">供应商须成立应急抢修专业队伍，工作人员保持24小时通讯畅通，全年做好值班值守工作，备足必需的应急抢险车辆、设备和物资，服从采购人调度和管理。</w:t>
      </w:r>
      <w:r>
        <w:rPr>
          <w:rFonts w:hint="eastAsia" w:ascii="宋体" w:hAnsi="宋体" w:eastAsia="宋体" w:cs="宋体"/>
          <w:bCs/>
          <w:color w:val="000000" w:themeColor="text1"/>
          <w:sz w:val="24"/>
          <w:szCs w:val="24"/>
        </w:rPr>
        <w:t xml:space="preserve">对于道路严重坑槽//沉陷/空洞/错台、井盖及篦盖缺失或严重损坏、各类倒伏物、大面积积水或积冰、采购人认定的其他紧急事项等严重</w:t>
      </w:r>
      <w:r>
        <w:rPr>
          <w:rFonts w:hint="eastAsia" w:ascii="宋体" w:hAnsi="宋体" w:eastAsia="宋体" w:cs="宋体"/>
          <w:color w:val="000000" w:themeColor="text1"/>
          <w:sz w:val="24"/>
          <w:szCs w:val="24"/>
        </w:rPr>
        <w:t xml:space="preserve">影响行人行车安全的</w:t>
      </w:r>
      <w:r>
        <w:rPr>
          <w:rFonts w:hint="eastAsia" w:ascii="宋体" w:hAnsi="宋体" w:eastAsia="宋体" w:cs="宋体"/>
          <w:bCs/>
          <w:color w:val="000000" w:themeColor="text1"/>
          <w:sz w:val="24"/>
          <w:szCs w:val="24"/>
        </w:rPr>
        <w:t xml:space="preserve">应急处置事项，供应商须在收到采购人或监理人电话或微信通知后30分钟内到达现场设置警示、影响交通的须在2小时内开展抢修，发生须紧急抢修事故，供应商接到事故通知后，应立即到达事故现场设置警示并组织抢修。供应商未达上述要求，采购人有权对供应商处以0.1~0.5万元/次的违约金，供应商须承担因此造成的一切损失。</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color w:val="000000" w:themeColor="text1"/>
          <w:sz w:val="24"/>
          <w:szCs w:val="24"/>
        </w:rPr>
        <w:t xml:space="preserve">防汛防寒：供应商需自行准备恶劣天气的应急物资以及应急仓库，并做好相关安全工作。供应商须按采购人要求安排足够人员参加采购人组织的应急演练，费用含在投标报价中。</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日常零星维修：对于巡查发现以及各类渠道反映的市政设施问题，供应商应及时区分轻重缓急、系统的进行维修，确保不发生安全事故。因供应商维修不及时导致安全事故的，供应商须承担造成的损失。经采购人二次提醒的问题未能在3日内维修到位的，采购人有权对供应商处以0.1万元/处的违约金。因供应商未举一反三、系统进行养护维修，造成维修点附近同类问题存在或整条路段同类问题长期存在或造成同样路段反复施工影响交通的，采购人有权对供应商处以0.1万元/次的违约金。</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（4）较大维修：对于供应商申请或采购人下达的较大维修项目，供应商须加强施工组织，严格按计划工期实施到位，如因供应商原因导致未能按计划工期竣工的，采购人有权对供应商处以0.1万元/天的违约金。</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（5）工单处理：供应商须严格按12345、数字城管等工单的要求时限核实群众反映问题并按采购人的处理意见及时维修处理到位，因供应商核实不及时不准确导致工单答复超</w:t>
      </w:r>
      <w:r>
        <w:rPr>
          <w:rFonts w:hint="eastAsia" w:ascii="宋体" w:hAnsi="宋体" w:eastAsia="宋体" w:cs="宋体"/>
          <w:bCs/>
          <w:color w:val="000000" w:themeColor="text1"/>
          <w:sz w:val="24"/>
          <w:szCs w:val="24"/>
        </w:rPr>
        <w:t xml:space="preserve">时或答复错误或因供应商后续维修处理不及时导致第二次投诉的，采购人有权对供应商处以0.1~0.5万元/次的违约金。</w:t>
      </w:r>
      <w:r/>
    </w:p>
    <w:p>
      <w:pPr>
        <w:ind w:firstLine="482"/>
        <w:spacing w:line="85" w:lineRule="atLeas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6.资料管理</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（1）合同开始后1个月内向监理单位、采购人提交符合合同要求的巡查养护方案。</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（2）每天20点前向采购人报送当天维修情况及明天维修计划。</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（3）每周五14点前向采购人报送本周维修情况及下周维修计划。</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（4）每周一14点前向采购人报送上周巡查考勤记录及有必要维修的问题清单。</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（5）每月25日前向采购人报送本月维修完成情况及下月维修计划。</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（6）每月10日前向跟审单位报送上个月计量计价资料。</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（7）做好各条路、各类型设施维修工程量及造价的分类统计。</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（8）采购人在合同履行过程中要求的其他资料。</w:t>
      </w:r>
      <w:r/>
    </w:p>
    <w:p>
      <w:pPr>
        <w:ind w:firstLine="482"/>
        <w:spacing w:line="85" w:lineRule="atLeas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7.保险</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（1）本项目开工前，供应商应为本项目投保安全生产责任保险、为施工现场的全部人员办理意外伤害保险并承担保费，同时应为本项目投保法律法规规定应由供应商投保的其他保险并承担保费。</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供应商须为本项目投保1000万元及以上额度的公众责任险并承担保费，公众责任险具体要求为：累计赔偿限额不低于1000万元；每次事故赔偿限额不低于200万元；每次事故人身伤亡赔偿限额不低于100万元；每次事故每人赔偿限额不低于60万元（其中包含医疗6万元）；每次事故财产损失赔偿限额不低于20万元。</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公众责任险保障范围：采购人管</w:t>
      </w:r>
      <w:r>
        <w:rPr>
          <w:rFonts w:hint="eastAsia" w:ascii="宋体" w:hAnsi="宋体" w:eastAsia="宋体" w:cs="宋体"/>
          <w:bCs/>
          <w:color w:val="000000" w:themeColor="text1"/>
          <w:sz w:val="24"/>
          <w:szCs w:val="24"/>
        </w:rPr>
        <w:t xml:space="preserve">护范围内的市政设施（道路、桥梁、雨水设施、路灯等及其附属设施）管理、养护和施工，因台风、暴雨、暴雪、低温冰冻等极端天气以及存在过失、过错、维护管养不及时不到位等原因导致发生意外事故造成第三者人身伤亡或财产损失，以及按照法律法规的规定应由采购人承担民事赔偿责任的赔偿金额及法律诉讼费用和律师费用，由供应商连同保险机构负责赔偿，供应商承担所有责任，并妥善处理，不得对采购人造成不良社会影响。采购人仅提供协助服务，不承担任何责任和经济赔偿。在本项目合同履行期间出现的安全问题或一切纠纷均由供应商妥善处置并承担全部责任。</w:t>
      </w:r>
      <w:r/>
    </w:p>
    <w:p>
      <w:pPr>
        <w:ind w:firstLine="482"/>
        <w:spacing w:line="85" w:lineRule="atLeast"/>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 xml:space="preserve">8.支付管理</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供应商应及时支付员工、农民工工资，及时支付材料商、班组工资，如因未及时支付问题造成上访事件，采购人有权对供应商处以1~10万元/次的违约金。</w:t>
      </w:r>
      <w:r/>
    </w:p>
    <w:p>
      <w:pPr>
        <w:ind w:firstLine="482"/>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9.检查与考核</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（1）考核主体及对象：由采购人组建考核小组依据本合同所附考核办法进行评分，作为最终巡查养护费用支付和扣款的依据。</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（2）考核方式：采用日常不定期检查、月度考核的方式，对供应商巡查质量、养护维修质量进行考核。服务期第一个月不计考核。</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（3）考核结果应用：考核得分直接与最终结算款挂钩，具体如下:</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①巡查考核</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月度考核得分≥90分，不做处罚；</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80分≤月度考核得分＜90分，供应商该月承担违约金0.1万元；</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70分≤月度考核得分＜80分，供应商该月承担违约金0.2万元；</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60分≤月度考核得分＜70分，供应商该月承担违约金0.3万元；</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月度考核得分＜60分，供应商该月承担违约金0.5万元；</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②养护维修考核</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月度考核得分≥90分，不做处罚；</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80分≤月度考核得分＜90分，供应商该月承担违约金0.2万元；</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70分≤月度考核得分＜80分，供应商该月承担违约金0.4万元；</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60分≤月度考核得分＜70分，供应商该月承担违约金0.6万元；</w:t>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rPr>
          <w:rFonts w:hint="eastAsia" w:ascii="宋体" w:hAnsi="宋体" w:eastAsia="宋体" w:cs="宋体"/>
          <w:bCs/>
          <w:color w:val="000000" w:themeColor="text1"/>
          <w:sz w:val="24"/>
          <w:szCs w:val="24"/>
        </w:rPr>
        <w:tab/>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月度考核得分＜60分，供应商该月承担违约金1万元；</w:t>
      </w:r>
      <w:r/>
    </w:p>
    <w:p>
      <w:pPr>
        <w:ind w:firstLine="480"/>
        <w:spacing w:line="85" w:lineRule="atLeast"/>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连续3个月度考核得分＜60分，采购人有权单方面解除合同。</w:t>
      </w:r>
      <w:r>
        <w:rPr>
          <w:rFonts w:hint="eastAsia" w:ascii="宋体" w:hAnsi="宋体" w:eastAsia="宋体" w:cs="宋体"/>
          <w:bCs/>
          <w:color w:val="000000" w:themeColor="text1"/>
          <w:sz w:val="24"/>
          <w:szCs w:val="24"/>
        </w:rPr>
        <w:tab/>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（4）考核扣款与日常处罚同时执行</w:t>
      </w:r>
      <w:r>
        <w:rPr>
          <w:rFonts w:hint="eastAsia" w:ascii="宋体" w:hAnsi="宋体" w:eastAsia="宋体" w:cs="宋体"/>
          <w:bCs/>
          <w:color w:val="000000" w:themeColor="text1"/>
          <w:sz w:val="24"/>
          <w:szCs w:val="24"/>
        </w:rPr>
        <w:t xml:space="preserve">。</w:t>
      </w:r>
      <w:r/>
    </w:p>
    <w:p>
      <w:pPr>
        <w:ind w:firstLine="482"/>
        <w:jc w:val="left"/>
        <w:spacing w:line="85" w:lineRule="atLeast"/>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 xml:space="preserve">10.其他</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知识产权：供应商须保证在本项目使用的任何产品（包括部分使用），不会产生因第三方提出侵犯其专利权、商标权或其它知识产权而引起的法律和经济纠纷，如因专利权、商标权或其它知识产权而引起法律和经济纠纷，由供应商承担所有相关责任。第三方向采购人主张赔偿的，采购人有权向供应商追偿。</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保密：未经采购人事先书面同意，供应商不得将采购人提供的有关市政设施基础资料、图纸、工单等资料提供给与履行合同无关的任何第三方。即使向履行本合同有关的人员提供，也应注意保密并限于履行合同的必需范围，如因供应商泄露对采购人造成不良影响，采购人有权对供应商处以0.1~0.5万元/次的违约金。</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（3）分包：供应商不得将本项目进行转包，未经采购人书面同意，不得擅自进行分包。如有违反，采购人有权单方面解除合同并对供应商处以10万元的违约金，供应商同时还须承担因此造成的一切损失。</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（4）供应商应配合采购人做好新移交道路的现场、资料审查工作。</w:t>
      </w:r>
      <w:r/>
    </w:p>
    <w:p>
      <w:pPr>
        <w:ind w:firstLine="480"/>
        <w:jc w:val="left"/>
        <w:spacing w:line="85" w:lineRule="atLeast"/>
        <w:rPr>
          <w:rFonts w:ascii="宋体" w:hAnsi="宋体" w:eastAsia="宋体" w:cs="宋体"/>
          <w:color w:val="000000" w:themeColor="text1"/>
          <w:sz w:val="24"/>
          <w:szCs w:val="24"/>
        </w:rPr>
      </w:pPr>
      <w:r>
        <w:rPr>
          <w:rFonts w:ascii="宋体" w:hAnsi="宋体" w:eastAsia="宋体" w:cs="宋体"/>
          <w:color w:val="000000" w:themeColor="text1"/>
          <w:sz w:val="24"/>
          <w:szCs w:val="24"/>
        </w:rPr>
      </w:r>
      <w:r/>
    </w:p>
    <w:p>
      <w:pPr>
        <w:ind w:firstLine="482"/>
        <w:spacing w:line="85" w:lineRule="atLeast"/>
        <w:rPr>
          <w:rFonts w:ascii="宋体" w:hAnsi="宋体" w:eastAsia="宋体" w:cs="宋体"/>
          <w:b/>
          <w:color w:val="000000" w:themeColor="text1"/>
          <w:sz w:val="24"/>
          <w:szCs w:val="24"/>
        </w:rPr>
      </w:pPr>
      <w:r/>
      <w:bookmarkStart w:id="14" w:name="_Toc351203489"/>
      <w:r>
        <w:rPr>
          <w:rFonts w:hint="eastAsia" w:ascii="宋体" w:hAnsi="宋体" w:eastAsia="宋体" w:cs="宋体"/>
          <w:b/>
          <w:color w:val="000000" w:themeColor="text1"/>
          <w:sz w:val="24"/>
          <w:szCs w:val="24"/>
        </w:rPr>
        <w:t xml:space="preserve">七、</w:t>
      </w:r>
      <w:bookmarkEnd w:id="14"/>
      <w:r>
        <w:rPr>
          <w:rFonts w:hint="eastAsia" w:ascii="宋体" w:hAnsi="宋体" w:eastAsia="宋体" w:cs="宋体"/>
          <w:b/>
          <w:color w:val="000000" w:themeColor="text1"/>
          <w:sz w:val="24"/>
          <w:szCs w:val="24"/>
        </w:rPr>
        <w:t xml:space="preserve">合同生效及其他</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1.本合同于年月日签订。</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2.本合同自</w:t>
      </w:r>
      <w:r>
        <w:rPr>
          <w:rFonts w:hint="eastAsia" w:ascii="宋体" w:hAnsi="宋体" w:eastAsia="宋体" w:cs="宋体"/>
          <w:bCs/>
          <w:color w:val="000000" w:themeColor="text1"/>
          <w:sz w:val="24"/>
          <w:szCs w:val="24"/>
          <w:u w:val="single"/>
        </w:rPr>
        <w:t xml:space="preserve"> 双方法定代表人或其委托代理人签名并盖公章后</w:t>
      </w:r>
      <w:r>
        <w:rPr>
          <w:rFonts w:hint="eastAsia" w:ascii="宋体" w:hAnsi="宋体" w:eastAsia="宋体" w:cs="宋体"/>
          <w:bCs/>
          <w:color w:val="000000" w:themeColor="text1"/>
          <w:sz w:val="24"/>
          <w:szCs w:val="24"/>
        </w:rPr>
        <w:t xml:space="preserve"> 生效。</w:t>
      </w:r>
      <w:r/>
    </w:p>
    <w:p>
      <w:pPr>
        <w:ind w:firstLine="480"/>
        <w:spacing w:line="85" w:lineRule="atLeast"/>
        <w:rPr>
          <w:rFonts w:ascii="宋体" w:hAnsi="宋体" w:eastAsia="宋体" w:cs="宋体"/>
          <w:bCs/>
          <w:color w:val="000000" w:themeColor="text1"/>
          <w:sz w:val="24"/>
          <w:szCs w:val="24"/>
        </w:rPr>
      </w:pPr>
      <w:r/>
      <w:bookmarkStart w:id="15" w:name="_Toc351203493"/>
      <w:r>
        <w:rPr>
          <w:rFonts w:hint="eastAsia" w:ascii="宋体" w:hAnsi="宋体" w:eastAsia="宋体" w:cs="宋体"/>
          <w:bCs/>
          <w:color w:val="000000" w:themeColor="text1"/>
          <w:sz w:val="24"/>
          <w:szCs w:val="24"/>
        </w:rPr>
        <w:t xml:space="preserve">3.</w:t>
      </w:r>
      <w:bookmarkEnd w:id="15"/>
      <w:r>
        <w:rPr>
          <w:rFonts w:hint="eastAsia" w:ascii="宋体" w:hAnsi="宋体" w:eastAsia="宋体" w:cs="宋体"/>
          <w:bCs/>
          <w:color w:val="000000" w:themeColor="text1"/>
          <w:sz w:val="24"/>
          <w:szCs w:val="24"/>
        </w:rPr>
        <w:t xml:space="preserve">本合同一式</w:t>
      </w:r>
      <w:r>
        <w:rPr>
          <w:rFonts w:hint="eastAsia" w:ascii="宋体" w:hAnsi="宋体" w:eastAsia="宋体" w:cs="宋体"/>
          <w:bCs/>
          <w:color w:val="000000" w:themeColor="text1"/>
          <w:sz w:val="24"/>
          <w:szCs w:val="24"/>
          <w:u w:val="single"/>
        </w:rPr>
        <w:t xml:space="preserve">  陆  </w:t>
      </w:r>
      <w:r>
        <w:rPr>
          <w:rFonts w:hint="eastAsia" w:ascii="宋体" w:hAnsi="宋体" w:eastAsia="宋体" w:cs="宋体"/>
          <w:bCs/>
          <w:color w:val="000000" w:themeColor="text1"/>
          <w:sz w:val="24"/>
          <w:szCs w:val="24"/>
        </w:rPr>
        <w:t xml:space="preserve">份，均具有同等法律效力，采购人执</w:t>
      </w:r>
      <w:r>
        <w:rPr>
          <w:rFonts w:hint="eastAsia" w:ascii="宋体" w:hAnsi="宋体" w:eastAsia="宋体" w:cs="宋体"/>
          <w:bCs/>
          <w:color w:val="000000" w:themeColor="text1"/>
          <w:sz w:val="24"/>
          <w:szCs w:val="24"/>
          <w:u w:val="single"/>
        </w:rPr>
        <w:t xml:space="preserve"> 叁 </w:t>
      </w:r>
      <w:r>
        <w:rPr>
          <w:rFonts w:hint="eastAsia" w:ascii="宋体" w:hAnsi="宋体" w:eastAsia="宋体" w:cs="宋体"/>
          <w:bCs/>
          <w:color w:val="000000" w:themeColor="text1"/>
          <w:sz w:val="24"/>
          <w:szCs w:val="24"/>
        </w:rPr>
        <w:t xml:space="preserve">份，供应商执</w:t>
      </w:r>
      <w:r>
        <w:rPr>
          <w:rFonts w:hint="eastAsia" w:ascii="宋体" w:hAnsi="宋体" w:eastAsia="宋体" w:cs="宋体"/>
          <w:bCs/>
          <w:color w:val="000000" w:themeColor="text1"/>
          <w:sz w:val="24"/>
          <w:szCs w:val="24"/>
          <w:u w:val="single"/>
        </w:rPr>
        <w:t xml:space="preserve"> 叁 </w:t>
      </w:r>
      <w:r>
        <w:rPr>
          <w:rFonts w:hint="eastAsia" w:ascii="宋体" w:hAnsi="宋体" w:eastAsia="宋体" w:cs="宋体"/>
          <w:bCs/>
          <w:color w:val="000000" w:themeColor="text1"/>
          <w:sz w:val="24"/>
          <w:szCs w:val="24"/>
        </w:rPr>
        <w:t xml:space="preserve">份。</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4.争议解决：因本合同及合同有关事项发生的争议，双方应协商解决。协商不成的，向姜堰人民法院起诉解决。</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5.本协议书与下列文件一起构成合同文件，且解释优先顺序如下：</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（1）本合同书；</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（2）中标通知书；</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（3）投标函及其附录； </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（4）技术标准和要求；</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（5）图纸（如果有）；</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（6）全费用预算单价清单；</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（7）其他合同文件：按相关规定要求办理的与本项目有关的任务交办单、工作联系单、洽商单、技术核定单、签证等。</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在合同订立及履行过程中形成的与合同有关的文件均构成合同文件组成部分。</w:t>
      </w:r>
      <w:r/>
    </w:p>
    <w:p>
      <w:pPr>
        <w:ind w:firstLine="480"/>
        <w:spacing w:line="85" w:lineRule="atLeast"/>
        <w:rPr>
          <w:rFonts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上述各项合同文件包括合同当事人就该项合同文件所作出的补充和修改，属于同一类内容的文件，应以最新签署的为准。</w:t>
      </w:r>
      <w:r/>
    </w:p>
    <w:p>
      <w:pPr>
        <w:spacing w:line="85" w:lineRule="atLeast"/>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spacing w:line="85" w:lineRule="atLeast"/>
        <w:rPr>
          <w:rFonts w:ascii="宋体" w:hAnsi="宋体" w:eastAsia="宋体" w:cs="宋体"/>
          <w:bCs/>
          <w:color w:val="000000" w:themeColor="text1"/>
          <w:sz w:val="24"/>
          <w:szCs w:val="24"/>
        </w:rPr>
      </w:pPr>
      <w:r>
        <w:rPr>
          <w:rFonts w:ascii="宋体" w:hAnsi="宋体" w:eastAsia="宋体" w:cs="宋体"/>
          <w:bCs/>
          <w:color w:val="000000" w:themeColor="text1"/>
          <w:sz w:val="24"/>
          <w:szCs w:val="24"/>
        </w:rPr>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采购人：  (公章)                       供应商：  (公章)</w:t>
      </w:r>
      <w:r/>
    </w:p>
    <w:p>
      <w:pPr>
        <w:ind w:firstLine="480"/>
        <w:spacing w:line="85" w:lineRule="atLeast"/>
        <w:rPr>
          <w:rFonts w:ascii="宋体" w:hAnsi="宋体" w:eastAsia="宋体" w:cs="宋体"/>
          <w:color w:val="000000" w:themeColor="text1"/>
          <w:sz w:val="24"/>
          <w:szCs w:val="24"/>
          <w:u w:val="single"/>
        </w:rPr>
      </w:pPr>
      <w:r>
        <w:rPr>
          <w:rFonts w:ascii="宋体" w:hAnsi="宋体" w:eastAsia="宋体" w:cs="宋体"/>
          <w:color w:val="000000" w:themeColor="text1"/>
          <w:sz w:val="24"/>
          <w:szCs w:val="24"/>
          <w:u w:val="single"/>
        </w:rPr>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法定代表人或其委托代理人：             法定代表人或其委托代理人：</w:t>
      </w:r>
      <w:r/>
    </w:p>
    <w:p>
      <w:pPr>
        <w:ind w:firstLine="480"/>
        <w:spacing w:line="85" w:lineRule="atLeas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（签名）                               （签名）</w:t>
      </w:r>
      <w:r/>
    </w:p>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p>
    <w:tbl>
      <w:tblPr>
        <w:tblW w:w="9750" w:type="dxa"/>
        <w:tblInd w:w="93" w:type="dxa"/>
        <w:tblLook w:val="04A0" w:firstRow="1" w:lastRow="0" w:firstColumn="1" w:lastColumn="0" w:noHBand="0" w:noVBand="1"/>
      </w:tblPr>
      <w:tblGrid>
        <w:gridCol w:w="975"/>
        <w:gridCol w:w="5010"/>
        <w:gridCol w:w="675"/>
        <w:gridCol w:w="2310"/>
        <w:gridCol w:w="780"/>
      </w:tblGrid>
      <w:tr>
        <w:trPr>
          <w:trHeight w:val="270"/>
        </w:trPr>
        <w:tc>
          <w:tcPr>
            <w:gridSpan w:val="5"/>
            <w:shd w:val="clear" w:color="auto" w:fill="auto"/>
            <w:tcBorders>
              <w:top w:val="none" w:color="000000" w:sz="4" w:space="0"/>
              <w:left w:val="none" w:color="000000" w:sz="4" w:space="0"/>
              <w:bottom w:val="none" w:color="000000" w:sz="4" w:space="0"/>
              <w:right w:val="none" w:color="000000" w:sz="4" w:space="0"/>
            </w:tcBorders>
            <w:tcW w:w="9750" w:type="dxa"/>
            <w:vAlign w:val="center"/>
            <w:textDirection w:val="lrTb"/>
            <w:noWrap/>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附件一</w:t>
            </w:r>
            <w:r/>
          </w:p>
        </w:tc>
      </w:tr>
      <w:tr>
        <w:trPr>
          <w:trHeight w:val="1320"/>
        </w:trPr>
        <w:tc>
          <w:tcPr>
            <w:gridSpan w:val="5"/>
            <w:shd w:val="clear" w:color="auto" w:fill="auto"/>
            <w:tcBorders>
              <w:top w:val="none" w:color="000000" w:sz="4" w:space="0"/>
              <w:left w:val="none" w:color="000000" w:sz="4" w:space="0"/>
              <w:bottom w:val="none" w:color="000000" w:sz="4" w:space="0"/>
              <w:right w:val="none" w:color="000000" w:sz="4" w:space="0"/>
            </w:tcBorders>
            <w:tcW w:w="9750" w:type="dxa"/>
            <w:vAlign w:val="center"/>
            <w:textDirection w:val="lrTb"/>
            <w:noWrap w:val="false"/>
          </w:tcPr>
          <w:p>
            <w:pPr>
              <w:jc w:val="center"/>
              <w:widowControl/>
              <w:rPr>
                <w:rFonts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2026年市政设施养护维修项目</w:t>
            </w:r>
            <w:r>
              <w:rPr>
                <w:rFonts w:hint="eastAsia" w:ascii="宋体" w:hAnsi="宋体" w:eastAsia="宋体" w:cs="宋体"/>
                <w:b/>
                <w:bCs/>
                <w:color w:val="000000" w:themeColor="text1"/>
                <w:sz w:val="28"/>
                <w:szCs w:val="28"/>
              </w:rPr>
              <w:br/>
              <w:t xml:space="preserve">月度巡查考核表</w:t>
            </w:r>
            <w:r>
              <w:rPr>
                <w:rFonts w:hint="eastAsia" w:ascii="宋体" w:hAnsi="宋体" w:eastAsia="宋体" w:cs="宋体"/>
                <w:b/>
                <w:bCs/>
                <w:color w:val="000000" w:themeColor="text1"/>
                <w:sz w:val="28"/>
                <w:szCs w:val="28"/>
              </w:rPr>
              <w:br/>
              <w:t xml:space="preserve">（年月）</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采购人</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泰州市姜堰区市政园林服务中心</w:t>
            </w:r>
            <w:r/>
          </w:p>
        </w:tc>
      </w:tr>
      <w:tr>
        <w:trPr>
          <w:trHeight w:val="6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供应商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扣分</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专职巡查人员配备不少于4人。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如违反扣5分/人·月</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专门巡查汽车不少于1辆。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如违反扣5分/月</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每条路不少于每三日一巡。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w:t>
            </w:r>
            <w:r>
              <w:rPr>
                <w:rFonts w:hint="eastAsia" w:ascii="宋体" w:hAnsi="宋体" w:eastAsia="宋体" w:cs="宋体"/>
                <w:color w:val="000000" w:themeColor="text1"/>
                <w:sz w:val="22"/>
                <w:szCs w:val="22"/>
              </w:rPr>
              <w:br/>
              <w:t xml:space="preserve">主干路扣0.3分/次</w:t>
            </w:r>
            <w:r>
              <w:rPr>
                <w:rFonts w:hint="eastAsia" w:ascii="宋体" w:hAnsi="宋体" w:eastAsia="宋体" w:cs="宋体"/>
                <w:color w:val="000000" w:themeColor="text1"/>
                <w:sz w:val="22"/>
                <w:szCs w:val="22"/>
              </w:rPr>
              <w:br/>
              <w:t xml:space="preserve">次干路扣0.2分/次</w:t>
            </w:r>
            <w:r>
              <w:rPr>
                <w:rFonts w:hint="eastAsia" w:ascii="宋体" w:hAnsi="宋体" w:eastAsia="宋体" w:cs="宋体"/>
                <w:color w:val="000000" w:themeColor="text1"/>
                <w:sz w:val="22"/>
                <w:szCs w:val="22"/>
              </w:rPr>
              <w:br/>
              <w:t xml:space="preserve">支  路扣0.1分/次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早于他人发现严重影响道路交通安全的市政设施问题（道路异常沉陷、空洞、坑槽；大于10cm错台；井盖丢失或严重损坏；严重积水、结冰等影响道路正常使用；树木倒伏；护栏缺失等）并立即设置警示防护标志并上报，跟踪现场直至应急处置人员接手。</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早于他人发现一般性需要维修的问题。</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如违反扣0.1分/次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早于他人发现无证挖掘等擅自破坏市政设施的行为。</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每周反馈巡查考勤资料；</w:t>
            </w:r>
            <w:r>
              <w:rPr>
                <w:rFonts w:hint="eastAsia" w:ascii="宋体" w:hAnsi="宋体" w:eastAsia="宋体" w:cs="宋体"/>
                <w:color w:val="000000" w:themeColor="text1"/>
                <w:sz w:val="22"/>
                <w:szCs w:val="22"/>
              </w:rPr>
              <w:br/>
              <w:t xml:space="preserve">每周反馈巡查发现问题清单；</w:t>
            </w:r>
            <w:r>
              <w:rPr>
                <w:rFonts w:hint="eastAsia" w:ascii="宋体" w:hAnsi="宋体" w:eastAsia="宋体" w:cs="宋体"/>
                <w:color w:val="000000" w:themeColor="text1"/>
                <w:sz w:val="22"/>
                <w:szCs w:val="22"/>
              </w:rPr>
              <w:br/>
              <w:t xml:space="preserve">形成市政设施问题清单电子档资料并不断更新。</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如违反扣0.5分/项·次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及时响应发包人提出的有关巡查工作方面的要求。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897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累计扣分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620"/>
        </w:trPr>
        <w:tc>
          <w:tcPr>
            <w:gridSpan w:val="4"/>
            <w:shd w:val="clear" w:color="auto" w:fill="auto"/>
            <w:tcBorders>
              <w:top w:val="single" w:color="000000" w:sz="4" w:space="0"/>
              <w:left w:val="single" w:color="000000" w:sz="4" w:space="0"/>
              <w:bottom w:val="single" w:color="000000" w:sz="4" w:space="0"/>
              <w:right w:val="single" w:color="000000" w:sz="4" w:space="0"/>
            </w:tcBorders>
            <w:tcW w:w="8970" w:type="dxa"/>
            <w:vAlign w:val="center"/>
            <w:textDirection w:val="lrTb"/>
            <w:noWrap w:val="false"/>
          </w:tcPr>
          <w:p>
            <w:pPr>
              <w:jc w:val="center"/>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考核得分（100分-累计扣分）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eastAsia="宋体" w:cs="宋体"/>
                <w:color w:val="000000" w:themeColor="text1"/>
                <w:sz w:val="22"/>
                <w:szCs w:val="22"/>
              </w:rPr>
            </w:pPr>
            <w:r>
              <w:rPr>
                <w:rFonts w:ascii="宋体" w:hAnsi="宋体" w:eastAsia="宋体" w:cs="宋体"/>
                <w:color w:val="000000" w:themeColor="text1"/>
                <w:sz w:val="22"/>
                <w:szCs w:val="22"/>
              </w:rPr>
            </w:r>
            <w:r/>
          </w:p>
        </w:tc>
      </w:tr>
      <w:tr>
        <w:trPr>
          <w:trHeight w:val="1000"/>
        </w:trPr>
        <w:tc>
          <w:tcPr>
            <w:gridSpan w:val="5"/>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采购人考核小组：                                    供应商项目负责人：</w:t>
            </w:r>
            <w:r/>
          </w:p>
        </w:tc>
      </w:tr>
    </w:tbl>
    <w:p>
      <w:pP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br w:type="page" w:clear="all"/>
      </w:r>
      <w:r/>
    </w:p>
    <w:tbl>
      <w:tblPr>
        <w:tblW w:w="10365" w:type="dxa"/>
        <w:tblInd w:w="93" w:type="dxa"/>
        <w:tblLook w:val="04A0" w:firstRow="1" w:lastRow="0" w:firstColumn="1" w:lastColumn="0" w:noHBand="0" w:noVBand="1"/>
      </w:tblPr>
      <w:tblGrid>
        <w:gridCol w:w="855"/>
        <w:gridCol w:w="777"/>
        <w:gridCol w:w="5107"/>
        <w:gridCol w:w="675"/>
        <w:gridCol w:w="2185"/>
        <w:gridCol w:w="780"/>
      </w:tblGrid>
      <w:tr>
        <w:trPr>
          <w:trHeight w:val="270"/>
        </w:trPr>
        <w:tc>
          <w:tcPr>
            <w:gridSpan w:val="6"/>
            <w:shd w:val="clear" w:color="auto" w:fill="auto"/>
            <w:tcBorders>
              <w:top w:val="none" w:color="000000" w:sz="4" w:space="0"/>
              <w:left w:val="none" w:color="000000" w:sz="4" w:space="0"/>
              <w:bottom w:val="none" w:color="000000" w:sz="4" w:space="0"/>
              <w:right w:val="none" w:color="000000" w:sz="4" w:space="0"/>
            </w:tcBorders>
            <w:tcW w:w="10379" w:type="dxa"/>
            <w:vAlign w:val="center"/>
            <w:textDirection w:val="lrTb"/>
            <w:noWrap/>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附件二</w:t>
            </w:r>
            <w:r/>
          </w:p>
        </w:tc>
      </w:tr>
      <w:tr>
        <w:trPr>
          <w:trHeight w:val="1080"/>
        </w:trPr>
        <w:tc>
          <w:tcPr>
            <w:gridSpan w:val="6"/>
            <w:shd w:val="clear" w:color="auto" w:fill="auto"/>
            <w:tcBorders>
              <w:top w:val="none" w:color="000000" w:sz="4" w:space="0"/>
              <w:left w:val="none" w:color="000000" w:sz="4" w:space="0"/>
              <w:bottom w:val="none" w:color="000000" w:sz="4" w:space="0"/>
              <w:right w:val="none" w:color="000000" w:sz="4" w:space="0"/>
            </w:tcBorders>
            <w:tcW w:w="10379" w:type="dxa"/>
            <w:vAlign w:val="center"/>
            <w:textDirection w:val="lrTb"/>
            <w:noWrap w:val="false"/>
          </w:tcPr>
          <w:p>
            <w:pPr>
              <w:jc w:val="center"/>
              <w:widowControl/>
              <w:rPr>
                <w:rFonts w:ascii="宋体" w:hAnsi="宋体" w:eastAsia="宋体" w:cs="宋体"/>
                <w:b/>
                <w:bCs/>
                <w:color w:val="000000" w:themeColor="text1"/>
                <w:sz w:val="20"/>
              </w:rPr>
            </w:pPr>
            <w:r>
              <w:rPr>
                <w:rFonts w:hint="eastAsia" w:ascii="宋体" w:hAnsi="宋体" w:eastAsia="宋体" w:cs="宋体"/>
                <w:b/>
                <w:bCs/>
                <w:color w:val="000000" w:themeColor="text1"/>
                <w:sz w:val="20"/>
              </w:rPr>
              <w:t xml:space="preserve">2026年市政设施养护维修项目</w:t>
            </w:r>
            <w:r>
              <w:rPr>
                <w:rFonts w:hint="eastAsia" w:ascii="宋体" w:hAnsi="宋体" w:eastAsia="宋体" w:cs="宋体"/>
                <w:b/>
                <w:bCs/>
                <w:color w:val="000000" w:themeColor="text1"/>
                <w:sz w:val="20"/>
              </w:rPr>
              <w:br/>
              <w:t xml:space="preserve">月度维修考核表</w:t>
            </w:r>
            <w:r>
              <w:rPr>
                <w:rFonts w:hint="eastAsia" w:ascii="宋体" w:hAnsi="宋体" w:eastAsia="宋体" w:cs="宋体"/>
                <w:b/>
                <w:bCs/>
                <w:color w:val="000000" w:themeColor="text1"/>
                <w:sz w:val="20"/>
              </w:rPr>
              <w:br/>
              <w:t xml:space="preserve">（</w:t>
            </w:r>
            <w:r>
              <w:rPr>
                <w:rStyle w:val="1115"/>
                <w:rFonts w:hint="default"/>
                <w:color w:val="000000" w:themeColor="text1"/>
              </w:rPr>
              <w:t xml:space="preserve">年月）</w:t>
            </w:r>
            <w:r/>
          </w:p>
        </w:tc>
      </w:tr>
      <w:tr>
        <w:trPr>
          <w:trHeight w:val="4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采购人</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泰州市姜堰区市政园林服务中心</w:t>
            </w:r>
            <w:r/>
          </w:p>
        </w:tc>
      </w:tr>
      <w:tr>
        <w:trPr>
          <w:trHeight w:val="4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供应商</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序号</w:t>
            </w:r>
            <w:r/>
          </w:p>
        </w:tc>
        <w:tc>
          <w:tcPr>
            <w:gridSpan w:val="2"/>
            <w:shd w:val="clear" w:color="auto" w:fill="auto"/>
            <w:tcBorders>
              <w:top w:val="single" w:color="000000" w:sz="4" w:space="0"/>
              <w:left w:val="single" w:color="000000" w:sz="4" w:space="0"/>
              <w:bottom w:val="single" w:color="000000" w:sz="4" w:space="0"/>
              <w:right w:val="none" w:color="000000" w:sz="4" w:space="0"/>
            </w:tcBorders>
            <w:tcW w:w="5884"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考核内容</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扣分标准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扣分</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一</w:t>
            </w:r>
            <w:r/>
          </w:p>
        </w:tc>
        <w:tc>
          <w:tcPr>
            <w:shd w:val="clear" w:color="auto" w:fill="auto"/>
            <w:tcBorders>
              <w:top w:val="single" w:color="000000" w:sz="4" w:space="0"/>
              <w:left w:val="single" w:color="000000" w:sz="4" w:space="0"/>
              <w:bottom w:val="none" w:color="000000" w:sz="4" w:space="0"/>
              <w:right w:val="none" w:color="000000" w:sz="4" w:space="0"/>
            </w:tcBorders>
            <w:tcW w:w="777"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力量配备</w:t>
            </w:r>
            <w:r/>
          </w:p>
        </w:tc>
        <w:tc>
          <w:tcPr>
            <w:shd w:val="clear" w:color="auto" w:fill="auto"/>
            <w:tcBorders>
              <w:top w:val="single" w:color="000000" w:sz="4" w:space="0"/>
              <w:left w:val="single" w:color="000000" w:sz="4" w:space="0"/>
              <w:bottom w:val="single" w:color="000000" w:sz="4" w:space="0"/>
              <w:right w:val="non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项目经理、安全员等主要施工管理人员履职满足合同要求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none" w:color="000000" w:sz="4" w:space="0"/>
              <w:right w:val="non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non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材料、机械等物资配置满足合同及实际维修要求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二</w:t>
            </w:r>
            <w:r/>
          </w:p>
        </w:tc>
        <w:tc>
          <w:tcPr>
            <w:shd w:val="clear" w:color="auto" w:fill="auto"/>
            <w:tcBorders>
              <w:top w:val="single" w:color="000000" w:sz="4" w:space="0"/>
              <w:left w:val="single" w:color="000000" w:sz="4" w:space="0"/>
              <w:bottom w:val="none" w:color="000000" w:sz="4" w:space="0"/>
              <w:right w:val="single" w:color="000000" w:sz="4" w:space="0"/>
            </w:tcBorders>
            <w:tcW w:w="777"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维修及时性</w:t>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应急抢修响应时间及处理时间符合合同及现场实际要求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non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12345、数字城管等工单及时处理</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non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日常零星维修及较大维修进度满足采购人要求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non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及时完成采购人交办的突击性任务</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安全文明施工</w:t>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安全资料符合合同及有关规定要求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现场安全、交通组织措施符合合同及有关规定要求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non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现场扬尘管控措施符合合同及有关规定要求</w:t>
            </w:r>
            <w:r/>
          </w:p>
        </w:tc>
        <w:tc>
          <w:tcPr>
            <w:shd w:val="clear" w:color="auto" w:fill="auto"/>
            <w:tcBorders>
              <w:top w:val="single" w:color="000000" w:sz="4" w:space="0"/>
              <w:left w:val="single" w:color="000000" w:sz="4" w:space="0"/>
              <w:bottom w:val="non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non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材料质量符合合同及国家、行业有关要求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维修质量符合合同及国家、行业有关要求</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restart"/>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资料报送</w:t>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每天20点前向采购人报送当天维修情况及明天维修计划。</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如违反扣0.2分/次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每周五14点前向采购人报送本周维修情况及下周维修计划。</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如违反扣0.5分/次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每月25日前向采购人报送本月维修完成情况及下月维修计划。</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777" w:type="dxa"/>
            <w:vAlign w:val="center"/>
            <w:vMerge w:val="continue"/>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c>
          <w:tcPr>
            <w:shd w:val="clear" w:color="auto" w:fill="auto"/>
            <w:tcBorders>
              <w:top w:val="single" w:color="000000" w:sz="4" w:space="0"/>
              <w:left w:val="single" w:color="000000" w:sz="4" w:space="0"/>
              <w:bottom w:val="single" w:color="000000" w:sz="4" w:space="0"/>
              <w:right w:val="single" w:color="000000" w:sz="4" w:space="0"/>
            </w:tcBorders>
            <w:tcW w:w="5107"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每月10日前向跟审单位报送上个月计量计价资料。</w:t>
            </w:r>
            <w:r/>
          </w:p>
        </w:tc>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185" w:type="dxa"/>
            <w:vAlign w:val="center"/>
            <w:textDirection w:val="lrTb"/>
            <w:noWrap w:val="false"/>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如违反扣1分/次</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599"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累计扣分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600"/>
        </w:trPr>
        <w:tc>
          <w:tcPr>
            <w:gridSpan w:val="5"/>
            <w:shd w:val="clear" w:color="auto" w:fill="auto"/>
            <w:tcBorders>
              <w:top w:val="single" w:color="000000" w:sz="4" w:space="0"/>
              <w:left w:val="single" w:color="000000" w:sz="4" w:space="0"/>
              <w:bottom w:val="single" w:color="000000" w:sz="4" w:space="0"/>
              <w:right w:val="single" w:color="000000" w:sz="4" w:space="0"/>
            </w:tcBorders>
            <w:tcW w:w="9599" w:type="dxa"/>
            <w:vAlign w:val="center"/>
            <w:textDirection w:val="lrTb"/>
            <w:noWrap w:val="false"/>
          </w:tcPr>
          <w:p>
            <w:pPr>
              <w:jc w:val="center"/>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考核得分（100分-累计扣分）</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rPr>
                <w:rFonts w:ascii="宋体" w:hAnsi="宋体" w:eastAsia="宋体" w:cs="宋体"/>
                <w:color w:val="000000" w:themeColor="text1"/>
                <w:sz w:val="20"/>
              </w:rPr>
            </w:pPr>
            <w:r>
              <w:rPr>
                <w:rFonts w:ascii="宋体" w:hAnsi="宋体" w:eastAsia="宋体" w:cs="宋体"/>
                <w:color w:val="000000" w:themeColor="text1"/>
                <w:sz w:val="20"/>
              </w:rPr>
            </w:r>
            <w:r/>
          </w:p>
        </w:tc>
      </w:tr>
      <w:tr>
        <w:trPr>
          <w:trHeight w:val="720"/>
        </w:trPr>
        <w:tc>
          <w:tcPr>
            <w:gridSpan w:val="6"/>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000000" w:themeColor="text1"/>
                <w:sz w:val="20"/>
              </w:rPr>
            </w:pPr>
            <w:r>
              <w:rPr>
                <w:rFonts w:hint="eastAsia" w:ascii="宋体" w:hAnsi="宋体" w:eastAsia="宋体" w:cs="宋体"/>
                <w:color w:val="000000" w:themeColor="text1"/>
                <w:sz w:val="20"/>
              </w:rPr>
              <w:t xml:space="preserve">采购人考核小组：                                    供应商项目负责人：</w:t>
            </w:r>
            <w:r/>
          </w:p>
        </w:tc>
      </w:tr>
    </w:tbl>
    <w:p>
      <w:pPr>
        <w:spacing w:line="85" w:lineRule="atLeast"/>
        <w:rPr>
          <w:rFonts w:ascii="宋体" w:hAnsi="宋体" w:eastAsia="宋体" w:cs="宋体"/>
          <w:color w:val="000000" w:themeColor="text1"/>
          <w:sz w:val="24"/>
          <w:szCs w:val="24"/>
        </w:rPr>
      </w:pPr>
      <w:r>
        <w:rPr>
          <w:rFonts w:ascii="宋体" w:hAnsi="宋体" w:eastAsia="宋体" w:cs="宋体"/>
          <w:color w:val="000000" w:themeColor="text1"/>
          <w:sz w:val="24"/>
          <w:szCs w:val="24"/>
        </w:rPr>
      </w:r>
      <w:r/>
    </w:p>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imesNewRomanPSMT">
    <w:panose1 w:val="02020603050405020304"/>
  </w:font>
  <w:font w:name="仿宋">
    <w:panose1 w:val="02010609060101010101"/>
  </w:font>
  <w:font w:name="Centaur">
    <w:panose1 w:val="02030504050205020304"/>
  </w:font>
  <w:font w:name="Tahoma">
    <w:panose1 w:val="020B0604030504040204"/>
  </w:font>
  <w:font w:name="Courier New">
    <w:panose1 w:val="02070309020205020404"/>
  </w:font>
  <w:font w:name="Cambria">
    <w:panose1 w:val="02040503050406030204"/>
  </w:font>
  <w:font w:name="Arial">
    <w:panose1 w:val="020B0604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300" cy="1308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300" cy="130810"/>
                      </a:xfrm>
                      <a:prstGeom prst="rect">
                        <a:avLst/>
                      </a:prstGeom>
                      <a:noFill/>
                      <a:ln>
                        <a:noFill/>
                        <a:round/>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1">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4">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5"/>
  </w:num>
  <w:num w:numId="4">
    <w:abstractNumId w:val="1"/>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TOC Heading"/>
    <w:uiPriority w:val="39"/>
    <w:unhideWhenUsed/>
  </w:style>
  <w:style w:type="paragraph" w:styleId="735" w:default="1">
    <w:name w:val="Normal"/>
    <w:qFormat/>
    <w:pPr>
      <w:jc w:val="both"/>
      <w:widowControl w:val="off"/>
    </w:pPr>
    <w:rPr>
      <w:rFonts w:eastAsia="楷体_GB2312"/>
      <w:sz w:val="26"/>
    </w:rPr>
  </w:style>
  <w:style w:type="paragraph" w:styleId="736">
    <w:name w:val="Heading 3"/>
    <w:basedOn w:val="735"/>
    <w:next w:val="741"/>
    <w:qFormat/>
    <w:pPr>
      <w:ind w:left="10" w:right="116" w:hanging="10"/>
      <w:keepLines/>
      <w:keepNext/>
      <w:spacing w:after="172" w:line="265" w:lineRule="auto"/>
      <w:outlineLvl w:val="2"/>
    </w:pPr>
    <w:rPr>
      <w:rFonts w:ascii="黑体" w:hAnsi="黑体"/>
      <w:b/>
    </w:rPr>
  </w:style>
  <w:style w:type="paragraph" w:styleId="737">
    <w:name w:val="Heading 4"/>
    <w:basedOn w:val="735"/>
    <w:next w:val="735"/>
    <w:qFormat/>
    <w:pPr>
      <w:ind w:left="10" w:right="116" w:hanging="10"/>
      <w:keepLines/>
      <w:keepNext/>
      <w:spacing w:after="172" w:line="265" w:lineRule="auto"/>
      <w:outlineLvl w:val="3"/>
    </w:pPr>
    <w:rPr>
      <w:rFonts w:ascii="黑体" w:hAnsi="黑体"/>
      <w:b/>
    </w:rPr>
  </w:style>
  <w:style w:type="character" w:styleId="738" w:default="1">
    <w:name w:val="Default Paragraph Font"/>
    <w:uiPriority w:val="1"/>
    <w:semiHidden/>
    <w:unhideWhenUsed/>
  </w:style>
  <w:style w:type="table" w:styleId="739" w:default="1">
    <w:name w:val="Normal Table"/>
    <w:uiPriority w:val="99"/>
    <w:semiHidden/>
    <w:unhideWhenUsed/>
    <w:qFormat/>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Normal Indent"/>
    <w:basedOn w:val="735"/>
    <w:qFormat/>
    <w:pPr>
      <w:ind w:firstLine="420"/>
      <w:spacing w:line="360" w:lineRule="atLeast"/>
    </w:pPr>
  </w:style>
  <w:style w:type="paragraph" w:styleId="742">
    <w:name w:val="toc 7"/>
    <w:basedOn w:val="735"/>
    <w:next w:val="735"/>
    <w:uiPriority w:val="39"/>
    <w:unhideWhenUsed/>
    <w:qFormat/>
    <w:pPr>
      <w:ind w:left="1701"/>
      <w:spacing w:after="57"/>
    </w:pPr>
  </w:style>
  <w:style w:type="paragraph" w:styleId="743">
    <w:name w:val="Body Text Indent"/>
    <w:basedOn w:val="735"/>
    <w:link w:val="1111"/>
    <w:uiPriority w:val="99"/>
    <w:semiHidden/>
    <w:unhideWhenUsed/>
    <w:qFormat/>
    <w:pPr>
      <w:ind w:left="420"/>
      <w:spacing w:after="120"/>
    </w:pPr>
  </w:style>
  <w:style w:type="paragraph" w:styleId="744">
    <w:name w:val="index 4"/>
    <w:basedOn w:val="735"/>
    <w:next w:val="735"/>
    <w:qFormat/>
    <w:pPr>
      <w:ind w:left="600"/>
    </w:pPr>
  </w:style>
  <w:style w:type="paragraph" w:styleId="745">
    <w:name w:val="toc 5"/>
    <w:basedOn w:val="735"/>
    <w:next w:val="735"/>
    <w:uiPriority w:val="39"/>
    <w:unhideWhenUsed/>
    <w:qFormat/>
    <w:pPr>
      <w:ind w:left="1134"/>
      <w:spacing w:after="57"/>
    </w:pPr>
  </w:style>
  <w:style w:type="paragraph" w:styleId="746">
    <w:name w:val="toc 3"/>
    <w:basedOn w:val="735"/>
    <w:next w:val="735"/>
    <w:uiPriority w:val="39"/>
    <w:unhideWhenUsed/>
    <w:qFormat/>
    <w:pPr>
      <w:ind w:left="567"/>
      <w:spacing w:after="57"/>
    </w:pPr>
  </w:style>
  <w:style w:type="paragraph" w:styleId="747">
    <w:name w:val="toc 8"/>
    <w:basedOn w:val="735"/>
    <w:next w:val="735"/>
    <w:uiPriority w:val="39"/>
    <w:unhideWhenUsed/>
    <w:qFormat/>
    <w:pPr>
      <w:ind w:left="1984"/>
      <w:spacing w:after="57"/>
    </w:pPr>
  </w:style>
  <w:style w:type="paragraph" w:styleId="748">
    <w:name w:val="endnote text"/>
    <w:basedOn w:val="735"/>
    <w:link w:val="967"/>
    <w:uiPriority w:val="99"/>
    <w:semiHidden/>
    <w:unhideWhenUsed/>
    <w:qFormat/>
    <w:rPr>
      <w:sz w:val="20"/>
    </w:rPr>
  </w:style>
  <w:style w:type="paragraph" w:styleId="749">
    <w:name w:val="Balloon Text"/>
    <w:basedOn w:val="735"/>
    <w:link w:val="1108"/>
    <w:uiPriority w:val="99"/>
    <w:semiHidden/>
    <w:unhideWhenUsed/>
    <w:qFormat/>
    <w:rPr>
      <w:sz w:val="18"/>
      <w:szCs w:val="18"/>
    </w:rPr>
  </w:style>
  <w:style w:type="paragraph" w:styleId="750">
    <w:name w:val="Footer"/>
    <w:basedOn w:val="735"/>
    <w:link w:val="1110"/>
    <w:uiPriority w:val="99"/>
    <w:semiHidden/>
    <w:unhideWhenUsed/>
    <w:qFormat/>
    <w:pPr>
      <w:jc w:val="left"/>
      <w:tabs>
        <w:tab w:val="center" w:pos="4153" w:leader="none"/>
        <w:tab w:val="right" w:pos="8306" w:leader="none"/>
      </w:tabs>
    </w:pPr>
    <w:rPr>
      <w:sz w:val="18"/>
      <w:szCs w:val="18"/>
    </w:rPr>
  </w:style>
  <w:style w:type="paragraph" w:styleId="751">
    <w:name w:val="Header"/>
    <w:basedOn w:val="735"/>
    <w:link w:val="1109"/>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35"/>
    <w:next w:val="735"/>
    <w:uiPriority w:val="39"/>
    <w:unhideWhenUsed/>
    <w:qFormat/>
    <w:pPr>
      <w:spacing w:after="57"/>
    </w:pPr>
  </w:style>
  <w:style w:type="paragraph" w:styleId="753">
    <w:name w:val="toc 4"/>
    <w:basedOn w:val="735"/>
    <w:next w:val="735"/>
    <w:uiPriority w:val="39"/>
    <w:unhideWhenUsed/>
    <w:qFormat/>
    <w:pPr>
      <w:ind w:left="850"/>
      <w:spacing w:after="57"/>
    </w:pPr>
  </w:style>
  <w:style w:type="paragraph" w:styleId="754">
    <w:name w:val="Subtitle"/>
    <w:basedOn w:val="735"/>
    <w:next w:val="735"/>
    <w:link w:val="833"/>
    <w:uiPriority w:val="11"/>
    <w:qFormat/>
    <w:pPr>
      <w:spacing w:before="200" w:after="200"/>
    </w:pPr>
    <w:rPr>
      <w:sz w:val="24"/>
      <w:szCs w:val="24"/>
    </w:rPr>
  </w:style>
  <w:style w:type="paragraph" w:styleId="755">
    <w:name w:val="footnote text"/>
    <w:basedOn w:val="735"/>
    <w:link w:val="966"/>
    <w:uiPriority w:val="99"/>
    <w:semiHidden/>
    <w:unhideWhenUsed/>
    <w:qFormat/>
    <w:pPr>
      <w:spacing w:after="40"/>
    </w:pPr>
    <w:rPr>
      <w:sz w:val="18"/>
    </w:rPr>
  </w:style>
  <w:style w:type="paragraph" w:styleId="756">
    <w:name w:val="toc 6"/>
    <w:basedOn w:val="735"/>
    <w:next w:val="735"/>
    <w:uiPriority w:val="39"/>
    <w:unhideWhenUsed/>
    <w:qFormat/>
    <w:pPr>
      <w:ind w:left="1417"/>
      <w:spacing w:after="57"/>
    </w:pPr>
  </w:style>
  <w:style w:type="paragraph" w:styleId="757">
    <w:name w:val="table of figures"/>
    <w:basedOn w:val="735"/>
    <w:next w:val="735"/>
    <w:uiPriority w:val="99"/>
    <w:unhideWhenUsed/>
    <w:qFormat/>
  </w:style>
  <w:style w:type="paragraph" w:styleId="758">
    <w:name w:val="toc 2"/>
    <w:basedOn w:val="735"/>
    <w:next w:val="735"/>
    <w:uiPriority w:val="39"/>
    <w:unhideWhenUsed/>
    <w:qFormat/>
    <w:pPr>
      <w:ind w:left="283"/>
      <w:spacing w:after="57"/>
    </w:pPr>
  </w:style>
  <w:style w:type="paragraph" w:styleId="759">
    <w:name w:val="toc 9"/>
    <w:basedOn w:val="735"/>
    <w:next w:val="735"/>
    <w:uiPriority w:val="39"/>
    <w:unhideWhenUsed/>
    <w:qFormat/>
    <w:pPr>
      <w:ind w:left="2268"/>
      <w:spacing w:after="57"/>
    </w:pPr>
  </w:style>
  <w:style w:type="paragraph" w:styleId="760">
    <w:name w:val="Title"/>
    <w:basedOn w:val="735"/>
    <w:next w:val="735"/>
    <w:link w:val="832"/>
    <w:uiPriority w:val="10"/>
    <w:qFormat/>
    <w:pPr>
      <w:contextualSpacing/>
      <w:spacing w:before="300" w:after="200"/>
    </w:pPr>
    <w:rPr>
      <w:sz w:val="48"/>
      <w:szCs w:val="48"/>
    </w:rPr>
  </w:style>
  <w:style w:type="paragraph" w:styleId="761">
    <w:name w:val="Body Text First Indent 2"/>
    <w:basedOn w:val="743"/>
    <w:link w:val="1112"/>
    <w:uiPriority w:val="99"/>
    <w:semiHidden/>
    <w:unhideWhenUsed/>
    <w:qFormat/>
    <w:pPr>
      <w:ind w:left="0" w:firstLine="200"/>
      <w:spacing w:after="0"/>
    </w:pPr>
    <w:rPr>
      <w:rFonts w:ascii="楷体_GB2312" w:hAnsi="Calibri"/>
      <w:sz w:val="32"/>
      <w:szCs w:val="22"/>
    </w:rPr>
  </w:style>
  <w:style w:type="table" w:styleId="76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38"/>
    <w:uiPriority w:val="22"/>
    <w:qFormat/>
    <w:rPr>
      <w:b/>
      <w:bCs/>
    </w:rPr>
  </w:style>
  <w:style w:type="character" w:styleId="764">
    <w:name w:val="endnote reference"/>
    <w:uiPriority w:val="99"/>
    <w:semiHidden/>
    <w:unhideWhenUsed/>
    <w:qFormat/>
    <w:rPr>
      <w:vertAlign w:val="superscript"/>
    </w:rPr>
  </w:style>
  <w:style w:type="character" w:styleId="765">
    <w:name w:val="Hyperlink"/>
    <w:uiPriority w:val="99"/>
    <w:unhideWhenUsed/>
    <w:qFormat/>
    <w:rPr>
      <w:color w:val="0000ff" w:themeColor="hyperlink"/>
      <w:u w:val="single"/>
    </w:rPr>
  </w:style>
  <w:style w:type="character" w:styleId="766">
    <w:name w:val="footnote reference"/>
    <w:uiPriority w:val="99"/>
    <w:unhideWhenUsed/>
    <w:qFormat/>
    <w:rPr>
      <w:vertAlign w:val="superscript"/>
    </w:rPr>
  </w:style>
  <w:style w:type="paragraph" w:styleId="767" w:customStyle="1">
    <w:name w:val="正文文本1"/>
    <w:basedOn w:val="735"/>
    <w:next w:val="735"/>
    <w:link w:val="985"/>
    <w:unhideWhenUsed/>
    <w:qFormat/>
    <w:rPr>
      <w:rFonts w:ascii="楷体_GB2312"/>
      <w:b/>
      <w:bCs/>
      <w:sz w:val="28"/>
    </w:rPr>
  </w:style>
  <w:style w:type="character" w:styleId="768" w:customStyle="1">
    <w:name w:val="Heading 1 Char"/>
    <w:basedOn w:val="738"/>
    <w:uiPriority w:val="9"/>
    <w:qFormat/>
    <w:rPr>
      <w:rFonts w:ascii="Arial" w:hAnsi="Arial" w:eastAsia="Arial" w:cs="Arial"/>
      <w:sz w:val="40"/>
      <w:szCs w:val="40"/>
    </w:rPr>
  </w:style>
  <w:style w:type="character" w:styleId="769" w:customStyle="1">
    <w:name w:val="Heading 2 Char"/>
    <w:basedOn w:val="738"/>
    <w:uiPriority w:val="9"/>
    <w:qFormat/>
    <w:rPr>
      <w:rFonts w:ascii="Arial" w:hAnsi="Arial" w:eastAsia="Arial" w:cs="Arial"/>
      <w:sz w:val="34"/>
    </w:rPr>
  </w:style>
  <w:style w:type="character" w:styleId="770" w:customStyle="1">
    <w:name w:val="Heading 3 Char"/>
    <w:basedOn w:val="738"/>
    <w:uiPriority w:val="9"/>
    <w:qFormat/>
    <w:rPr>
      <w:rFonts w:ascii="Arial" w:hAnsi="Arial" w:eastAsia="Arial" w:cs="Arial"/>
      <w:sz w:val="30"/>
      <w:szCs w:val="30"/>
    </w:rPr>
  </w:style>
  <w:style w:type="character" w:styleId="771" w:customStyle="1">
    <w:name w:val="Heading 4 Char"/>
    <w:basedOn w:val="738"/>
    <w:uiPriority w:val="9"/>
    <w:qFormat/>
    <w:rPr>
      <w:rFonts w:ascii="Arial" w:hAnsi="Arial" w:eastAsia="Arial" w:cs="Arial"/>
      <w:b/>
      <w:bCs/>
      <w:sz w:val="26"/>
      <w:szCs w:val="26"/>
    </w:rPr>
  </w:style>
  <w:style w:type="character" w:styleId="772" w:customStyle="1">
    <w:name w:val="Heading 5 Char"/>
    <w:basedOn w:val="738"/>
    <w:uiPriority w:val="9"/>
    <w:qFormat/>
    <w:rPr>
      <w:rFonts w:ascii="Arial" w:hAnsi="Arial" w:eastAsia="Arial" w:cs="Arial"/>
      <w:b/>
      <w:bCs/>
      <w:sz w:val="24"/>
      <w:szCs w:val="24"/>
    </w:rPr>
  </w:style>
  <w:style w:type="character" w:styleId="773" w:customStyle="1">
    <w:name w:val="Heading 6 Char"/>
    <w:basedOn w:val="738"/>
    <w:uiPriority w:val="9"/>
    <w:qFormat/>
    <w:rPr>
      <w:rFonts w:ascii="Arial" w:hAnsi="Arial" w:eastAsia="Arial" w:cs="Arial"/>
      <w:b/>
      <w:bCs/>
      <w:sz w:val="22"/>
      <w:szCs w:val="22"/>
    </w:rPr>
  </w:style>
  <w:style w:type="character" w:styleId="774" w:customStyle="1">
    <w:name w:val="Heading 7 Char"/>
    <w:basedOn w:val="738"/>
    <w:uiPriority w:val="9"/>
    <w:qFormat/>
    <w:rPr>
      <w:rFonts w:ascii="Arial" w:hAnsi="Arial" w:eastAsia="Arial" w:cs="Arial"/>
      <w:b/>
      <w:bCs/>
      <w:i/>
      <w:iCs/>
      <w:sz w:val="22"/>
      <w:szCs w:val="22"/>
    </w:rPr>
  </w:style>
  <w:style w:type="character" w:styleId="775" w:customStyle="1">
    <w:name w:val="Heading 8 Char"/>
    <w:basedOn w:val="738"/>
    <w:uiPriority w:val="9"/>
    <w:qFormat/>
    <w:rPr>
      <w:rFonts w:ascii="Arial" w:hAnsi="Arial" w:eastAsia="Arial" w:cs="Arial"/>
      <w:i/>
      <w:iCs/>
      <w:sz w:val="22"/>
      <w:szCs w:val="22"/>
    </w:rPr>
  </w:style>
  <w:style w:type="character" w:styleId="776" w:customStyle="1">
    <w:name w:val="Heading 9 Char"/>
    <w:basedOn w:val="738"/>
    <w:uiPriority w:val="9"/>
    <w:qFormat/>
    <w:rPr>
      <w:rFonts w:ascii="Arial" w:hAnsi="Arial" w:eastAsia="Arial" w:cs="Arial"/>
      <w:i/>
      <w:iCs/>
      <w:sz w:val="21"/>
      <w:szCs w:val="21"/>
    </w:rPr>
  </w:style>
  <w:style w:type="character" w:styleId="777" w:customStyle="1">
    <w:name w:val="Title Char"/>
    <w:basedOn w:val="738"/>
    <w:uiPriority w:val="10"/>
    <w:qFormat/>
    <w:rPr>
      <w:sz w:val="48"/>
      <w:szCs w:val="48"/>
    </w:rPr>
  </w:style>
  <w:style w:type="character" w:styleId="778" w:customStyle="1">
    <w:name w:val="Subtitle Char"/>
    <w:basedOn w:val="738"/>
    <w:uiPriority w:val="11"/>
    <w:qFormat/>
    <w:rPr>
      <w:sz w:val="24"/>
      <w:szCs w:val="24"/>
    </w:rPr>
  </w:style>
  <w:style w:type="character" w:styleId="779" w:customStyle="1">
    <w:name w:val="Quote Char"/>
    <w:uiPriority w:val="29"/>
    <w:qFormat/>
    <w:rPr>
      <w:i/>
    </w:rPr>
  </w:style>
  <w:style w:type="character" w:styleId="780" w:customStyle="1">
    <w:name w:val="Intense Quote Char"/>
    <w:uiPriority w:val="30"/>
    <w:qFormat/>
    <w:rPr>
      <w:i/>
    </w:rPr>
  </w:style>
  <w:style w:type="character" w:styleId="781" w:customStyle="1">
    <w:name w:val="Header Char"/>
    <w:basedOn w:val="738"/>
    <w:uiPriority w:val="99"/>
    <w:qFormat/>
  </w:style>
  <w:style w:type="character" w:styleId="782" w:customStyle="1">
    <w:name w:val="Caption Char"/>
    <w:uiPriority w:val="99"/>
    <w:qFormat/>
  </w:style>
  <w:style w:type="table" w:styleId="783" w:customStyle="1">
    <w:name w:val="Plain Table 1"/>
    <w:basedOn w:val="739"/>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2"/>
    <w:basedOn w:val="739"/>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3"/>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customStyle="1">
    <w:name w:val="Plain Table 4"/>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customStyle="1">
    <w:name w:val="Plain Table 5"/>
    <w:basedOn w:val="739"/>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8" w:customStyle="1">
    <w:name w:val="Grid Table 1 Light"/>
    <w:basedOn w:val="739"/>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9" w:customStyle="1">
    <w:name w:val="Grid Table 2"/>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0" w:customStyle="1">
    <w:name w:val="Grid Table 3"/>
    <w:basedOn w:val="739"/>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4"/>
    <w:basedOn w:val="739"/>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customStyle="1">
    <w:name w:val="Grid Table 5 Dark"/>
    <w:basedOn w:val="739"/>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6 Colorful"/>
    <w:basedOn w:val="739"/>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4" w:customStyle="1">
    <w:name w:val="Grid Table 7 Colorful"/>
    <w:basedOn w:val="739"/>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5" w:customStyle="1">
    <w:name w:val="List Table 1 Light"/>
    <w:basedOn w:val="739"/>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2"/>
    <w:basedOn w:val="739"/>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7" w:customStyle="1">
    <w:name w:val="List Table 3"/>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w:basedOn w:val="739"/>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List Table 5 Dark"/>
    <w:basedOn w:val="739"/>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0" w:customStyle="1">
    <w:name w:val="List Table 6 Colorful"/>
    <w:basedOn w:val="739"/>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1" w:customStyle="1">
    <w:name w:val="List Table 7 Colorful"/>
    <w:basedOn w:val="739"/>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
    <w:uiPriority w:val="39"/>
    <w:unhideWhenUsed/>
    <w:qFormat/>
  </w:style>
  <w:style w:type="paragraph" w:styleId="805" w:customStyle="1">
    <w:name w:val="Heading 1"/>
    <w:basedOn w:val="735"/>
    <w:next w:val="735"/>
    <w:link w:val="823"/>
    <w:uiPriority w:val="9"/>
    <w:qFormat/>
    <w:pPr>
      <w:keepLines/>
      <w:keepNext/>
      <w:spacing w:before="480" w:after="200"/>
      <w:outlineLvl w:val="0"/>
    </w:pPr>
    <w:rPr>
      <w:rFonts w:ascii="Arial" w:hAnsi="Arial" w:eastAsia="Arial" w:cs="Arial"/>
      <w:sz w:val="40"/>
      <w:szCs w:val="40"/>
    </w:rPr>
  </w:style>
  <w:style w:type="paragraph" w:styleId="806" w:customStyle="1">
    <w:name w:val="Heading 2"/>
    <w:basedOn w:val="735"/>
    <w:next w:val="735"/>
    <w:link w:val="824"/>
    <w:uiPriority w:val="9"/>
    <w:unhideWhenUsed/>
    <w:qFormat/>
    <w:pPr>
      <w:keepLines/>
      <w:keepNext/>
      <w:spacing w:before="360" w:after="200"/>
      <w:outlineLvl w:val="1"/>
    </w:pPr>
    <w:rPr>
      <w:rFonts w:ascii="Arial" w:hAnsi="Arial" w:eastAsia="Arial" w:cs="Arial"/>
      <w:sz w:val="34"/>
    </w:rPr>
  </w:style>
  <w:style w:type="paragraph" w:styleId="807" w:customStyle="1">
    <w:name w:val="Heading 3"/>
    <w:basedOn w:val="735"/>
    <w:next w:val="735"/>
    <w:link w:val="825"/>
    <w:uiPriority w:val="9"/>
    <w:unhideWhenUsed/>
    <w:qFormat/>
    <w:pPr>
      <w:keepLines/>
      <w:keepNext/>
      <w:spacing w:before="320" w:after="200"/>
      <w:outlineLvl w:val="2"/>
    </w:pPr>
    <w:rPr>
      <w:rFonts w:ascii="Arial" w:hAnsi="Arial" w:eastAsia="Arial" w:cs="Arial"/>
      <w:sz w:val="30"/>
      <w:szCs w:val="30"/>
    </w:rPr>
  </w:style>
  <w:style w:type="paragraph" w:styleId="808" w:customStyle="1">
    <w:name w:val="Heading 4"/>
    <w:basedOn w:val="735"/>
    <w:next w:val="735"/>
    <w:link w:val="826"/>
    <w:uiPriority w:val="9"/>
    <w:unhideWhenUsed/>
    <w:qFormat/>
    <w:pPr>
      <w:keepLines/>
      <w:keepNext/>
      <w:spacing w:before="320" w:after="200"/>
      <w:outlineLvl w:val="3"/>
    </w:pPr>
    <w:rPr>
      <w:rFonts w:ascii="Arial" w:hAnsi="Arial" w:eastAsia="Arial" w:cs="Arial"/>
      <w:b/>
      <w:bCs/>
      <w:szCs w:val="26"/>
    </w:rPr>
  </w:style>
  <w:style w:type="paragraph" w:styleId="809" w:customStyle="1">
    <w:name w:val="Heading 5"/>
    <w:basedOn w:val="735"/>
    <w:next w:val="735"/>
    <w:link w:val="827"/>
    <w:uiPriority w:val="9"/>
    <w:unhideWhenUsed/>
    <w:qFormat/>
    <w:pPr>
      <w:keepLines/>
      <w:keepNext/>
      <w:spacing w:before="320" w:after="200"/>
      <w:outlineLvl w:val="4"/>
    </w:pPr>
    <w:rPr>
      <w:rFonts w:ascii="Arial" w:hAnsi="Arial" w:eastAsia="Arial" w:cs="Arial"/>
      <w:b/>
      <w:bCs/>
      <w:sz w:val="24"/>
      <w:szCs w:val="24"/>
    </w:rPr>
  </w:style>
  <w:style w:type="paragraph" w:styleId="810" w:customStyle="1">
    <w:name w:val="Heading 6"/>
    <w:basedOn w:val="735"/>
    <w:next w:val="735"/>
    <w:link w:val="828"/>
    <w:uiPriority w:val="9"/>
    <w:unhideWhenUsed/>
    <w:qFormat/>
    <w:pPr>
      <w:keepLines/>
      <w:keepNext/>
      <w:spacing w:before="320" w:after="200"/>
      <w:outlineLvl w:val="5"/>
    </w:pPr>
    <w:rPr>
      <w:rFonts w:ascii="Arial" w:hAnsi="Arial" w:eastAsia="Arial" w:cs="Arial"/>
      <w:b/>
      <w:bCs/>
      <w:sz w:val="22"/>
      <w:szCs w:val="22"/>
    </w:rPr>
  </w:style>
  <w:style w:type="paragraph" w:styleId="811" w:customStyle="1">
    <w:name w:val="Heading 7"/>
    <w:basedOn w:val="735"/>
    <w:next w:val="735"/>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812" w:customStyle="1">
    <w:name w:val="Heading 8"/>
    <w:basedOn w:val="735"/>
    <w:next w:val="735"/>
    <w:link w:val="830"/>
    <w:uiPriority w:val="9"/>
    <w:unhideWhenUsed/>
    <w:qFormat/>
    <w:pPr>
      <w:keepLines/>
      <w:keepNext/>
      <w:spacing w:before="320" w:after="200"/>
      <w:outlineLvl w:val="7"/>
    </w:pPr>
    <w:rPr>
      <w:rFonts w:ascii="Arial" w:hAnsi="Arial" w:eastAsia="Arial" w:cs="Arial"/>
      <w:i/>
      <w:iCs/>
      <w:sz w:val="22"/>
      <w:szCs w:val="22"/>
    </w:rPr>
  </w:style>
  <w:style w:type="paragraph" w:styleId="813" w:customStyle="1">
    <w:name w:val="Heading 9"/>
    <w:basedOn w:val="735"/>
    <w:next w:val="735"/>
    <w:link w:val="831"/>
    <w:uiPriority w:val="9"/>
    <w:unhideWhenUsed/>
    <w:qFormat/>
    <w:pPr>
      <w:keepLines/>
      <w:keepNext/>
      <w:spacing w:before="320" w:after="200"/>
      <w:outlineLvl w:val="8"/>
    </w:pPr>
    <w:rPr>
      <w:rFonts w:ascii="Arial" w:hAnsi="Arial" w:eastAsia="Arial" w:cs="Arial"/>
      <w:i/>
      <w:iCs/>
      <w:sz w:val="21"/>
      <w:szCs w:val="21"/>
    </w:rPr>
  </w:style>
  <w:style w:type="paragraph" w:styleId="814" w:customStyle="1">
    <w:name w:val="Caption"/>
    <w:basedOn w:val="735"/>
    <w:next w:val="735"/>
    <w:uiPriority w:val="35"/>
    <w:semiHidden/>
    <w:unhideWhenUsed/>
    <w:qFormat/>
    <w:pPr>
      <w:spacing w:line="276" w:lineRule="auto"/>
    </w:pPr>
    <w:rPr>
      <w:b/>
      <w:bCs/>
      <w:color w:val="4f81bd" w:themeColor="accent1"/>
      <w:sz w:val="18"/>
      <w:szCs w:val="18"/>
    </w:rPr>
  </w:style>
  <w:style w:type="paragraph" w:styleId="815" w:customStyle="1">
    <w:name w:val="Footer"/>
    <w:basedOn w:val="735"/>
    <w:link w:val="840"/>
    <w:uiPriority w:val="99"/>
    <w:unhideWhenUsed/>
    <w:qFormat/>
    <w:pPr>
      <w:tabs>
        <w:tab w:val="center" w:pos="7143" w:leader="none"/>
        <w:tab w:val="right" w:pos="14287" w:leader="none"/>
      </w:tabs>
    </w:pPr>
  </w:style>
  <w:style w:type="paragraph" w:styleId="816" w:customStyle="1">
    <w:name w:val="Header"/>
    <w:basedOn w:val="735"/>
    <w:link w:val="838"/>
    <w:uiPriority w:val="99"/>
    <w:unhideWhenUsed/>
    <w:qFormat/>
    <w:pPr>
      <w:tabs>
        <w:tab w:val="center" w:pos="7143" w:leader="none"/>
        <w:tab w:val="right" w:pos="14287" w:leader="none"/>
      </w:tabs>
    </w:pPr>
  </w:style>
  <w:style w:type="paragraph" w:styleId="817" w:customStyle="1">
    <w:name w:val="样式1"/>
    <w:basedOn w:val="818"/>
    <w:qFormat/>
    <w:pPr>
      <w:jc w:val="left"/>
      <w:spacing w:before="0" w:after="0" w:line="240" w:lineRule="auto"/>
    </w:pPr>
    <w:rPr>
      <w:rFonts w:ascii="黑体" w:hAnsi="宋体" w:eastAsia="黑体" w:cs="黑体"/>
      <w:b w:val="0"/>
      <w:color w:val="000000"/>
      <w:sz w:val="21"/>
    </w:rPr>
  </w:style>
  <w:style w:type="paragraph" w:styleId="818" w:customStyle="1">
    <w:name w:val="标题 41"/>
    <w:basedOn w:val="735"/>
    <w:next w:val="735"/>
    <w:link w:val="978"/>
    <w:unhideWhenUsed/>
    <w:qFormat/>
    <w:pPr>
      <w:keepLines/>
      <w:keepNext/>
      <w:spacing w:before="280" w:after="290" w:line="376" w:lineRule="auto"/>
      <w:outlineLvl w:val="3"/>
    </w:pPr>
    <w:rPr>
      <w:rFonts w:ascii="Cambria" w:hAnsi="Cambria" w:eastAsia="宋体"/>
      <w:b/>
      <w:bCs/>
      <w:sz w:val="28"/>
      <w:szCs w:val="28"/>
    </w:rPr>
  </w:style>
  <w:style w:type="character" w:styleId="819" w:customStyle="1">
    <w:name w:val="标题 5 Char"/>
    <w:basedOn w:val="820"/>
    <w:link w:val="821"/>
    <w:qFormat/>
    <w:rPr>
      <w:b/>
      <w:bCs/>
      <w:sz w:val="28"/>
      <w:szCs w:val="28"/>
    </w:rPr>
  </w:style>
  <w:style w:type="character" w:styleId="820" w:customStyle="1">
    <w:name w:val="默认段落字体1"/>
    <w:uiPriority w:val="1"/>
    <w:unhideWhenUsed/>
    <w:qFormat/>
  </w:style>
  <w:style w:type="paragraph" w:styleId="821" w:customStyle="1">
    <w:name w:val="标题 51"/>
    <w:basedOn w:val="735"/>
    <w:next w:val="735"/>
    <w:link w:val="819"/>
    <w:qFormat/>
    <w:pPr>
      <w:jc w:val="center"/>
      <w:keepLines/>
      <w:keepNext/>
      <w:outlineLvl w:val="4"/>
    </w:pPr>
    <w:rPr>
      <w:rFonts w:eastAsia="宋体"/>
      <w:b/>
      <w:bCs/>
      <w:sz w:val="28"/>
      <w:szCs w:val="28"/>
    </w:rPr>
  </w:style>
  <w:style w:type="paragraph" w:styleId="822" w:customStyle="1">
    <w:name w:val="段"/>
    <w:next w:val="735"/>
    <w:qFormat/>
    <w:pPr>
      <w:ind w:firstLine="200"/>
      <w:jc w:val="both"/>
    </w:pPr>
    <w:rPr>
      <w:rFonts w:ascii="宋体"/>
      <w:sz w:val="21"/>
      <w:szCs w:val="22"/>
    </w:rPr>
  </w:style>
  <w:style w:type="character" w:styleId="823" w:customStyle="1">
    <w:name w:val="标题 1 Char1"/>
    <w:link w:val="805"/>
    <w:uiPriority w:val="9"/>
    <w:qFormat/>
    <w:rPr>
      <w:rFonts w:ascii="Arial" w:hAnsi="Arial" w:eastAsia="Arial" w:cs="Arial"/>
      <w:sz w:val="40"/>
      <w:szCs w:val="40"/>
    </w:rPr>
  </w:style>
  <w:style w:type="character" w:styleId="824" w:customStyle="1">
    <w:name w:val="标题 2 Char1"/>
    <w:link w:val="806"/>
    <w:uiPriority w:val="9"/>
    <w:qFormat/>
    <w:rPr>
      <w:rFonts w:ascii="Arial" w:hAnsi="Arial" w:eastAsia="Arial" w:cs="Arial"/>
      <w:sz w:val="34"/>
    </w:rPr>
  </w:style>
  <w:style w:type="character" w:styleId="825" w:customStyle="1">
    <w:name w:val="标题 3 Char1"/>
    <w:link w:val="807"/>
    <w:uiPriority w:val="9"/>
    <w:qFormat/>
    <w:rPr>
      <w:rFonts w:ascii="Arial" w:hAnsi="Arial" w:eastAsia="Arial" w:cs="Arial"/>
      <w:sz w:val="30"/>
      <w:szCs w:val="30"/>
    </w:rPr>
  </w:style>
  <w:style w:type="character" w:styleId="826" w:customStyle="1">
    <w:name w:val="标题 4 Char1"/>
    <w:link w:val="808"/>
    <w:uiPriority w:val="9"/>
    <w:qFormat/>
    <w:rPr>
      <w:rFonts w:ascii="Arial" w:hAnsi="Arial" w:eastAsia="Arial" w:cs="Arial"/>
      <w:b/>
      <w:bCs/>
      <w:sz w:val="26"/>
      <w:szCs w:val="26"/>
    </w:rPr>
  </w:style>
  <w:style w:type="character" w:styleId="827" w:customStyle="1">
    <w:name w:val="标题 5 Char1"/>
    <w:link w:val="809"/>
    <w:uiPriority w:val="9"/>
    <w:qFormat/>
    <w:rPr>
      <w:rFonts w:ascii="Arial" w:hAnsi="Arial" w:eastAsia="Arial" w:cs="Arial"/>
      <w:b/>
      <w:bCs/>
      <w:sz w:val="24"/>
      <w:szCs w:val="24"/>
    </w:rPr>
  </w:style>
  <w:style w:type="character" w:styleId="828" w:customStyle="1">
    <w:name w:val="标题 6 Char"/>
    <w:link w:val="810"/>
    <w:uiPriority w:val="9"/>
    <w:qFormat/>
    <w:rPr>
      <w:rFonts w:ascii="Arial" w:hAnsi="Arial" w:eastAsia="Arial" w:cs="Arial"/>
      <w:b/>
      <w:bCs/>
      <w:sz w:val="22"/>
      <w:szCs w:val="22"/>
    </w:rPr>
  </w:style>
  <w:style w:type="character" w:styleId="829" w:customStyle="1">
    <w:name w:val="标题 7 Char"/>
    <w:link w:val="811"/>
    <w:uiPriority w:val="9"/>
    <w:qFormat/>
    <w:rPr>
      <w:rFonts w:ascii="Arial" w:hAnsi="Arial" w:eastAsia="Arial" w:cs="Arial"/>
      <w:b/>
      <w:bCs/>
      <w:i/>
      <w:iCs/>
      <w:sz w:val="22"/>
      <w:szCs w:val="22"/>
    </w:rPr>
  </w:style>
  <w:style w:type="character" w:styleId="830" w:customStyle="1">
    <w:name w:val="标题 8 Char"/>
    <w:link w:val="812"/>
    <w:uiPriority w:val="9"/>
    <w:qFormat/>
    <w:rPr>
      <w:rFonts w:ascii="Arial" w:hAnsi="Arial" w:eastAsia="Arial" w:cs="Arial"/>
      <w:i/>
      <w:iCs/>
      <w:sz w:val="22"/>
      <w:szCs w:val="22"/>
    </w:rPr>
  </w:style>
  <w:style w:type="character" w:styleId="831" w:customStyle="1">
    <w:name w:val="标题 9 Char"/>
    <w:link w:val="813"/>
    <w:uiPriority w:val="9"/>
    <w:qFormat/>
    <w:rPr>
      <w:rFonts w:ascii="Arial" w:hAnsi="Arial" w:eastAsia="Arial" w:cs="Arial"/>
      <w:i/>
      <w:iCs/>
      <w:sz w:val="21"/>
      <w:szCs w:val="21"/>
    </w:rPr>
  </w:style>
  <w:style w:type="character" w:styleId="832" w:customStyle="1">
    <w:name w:val="标题 Char2"/>
    <w:link w:val="760"/>
    <w:uiPriority w:val="10"/>
    <w:qFormat/>
    <w:rPr>
      <w:sz w:val="48"/>
      <w:szCs w:val="48"/>
    </w:rPr>
  </w:style>
  <w:style w:type="character" w:styleId="833" w:customStyle="1">
    <w:name w:val="副标题 Char1"/>
    <w:link w:val="754"/>
    <w:uiPriority w:val="11"/>
    <w:qFormat/>
    <w:rPr>
      <w:sz w:val="24"/>
      <w:szCs w:val="24"/>
    </w:rPr>
  </w:style>
  <w:style w:type="paragraph" w:styleId="834">
    <w:name w:val="Quote"/>
    <w:basedOn w:val="735"/>
    <w:next w:val="735"/>
    <w:link w:val="835"/>
    <w:uiPriority w:val="29"/>
    <w:qFormat/>
    <w:pPr>
      <w:ind w:left="720" w:right="720"/>
    </w:pPr>
    <w:rPr>
      <w:i/>
    </w:rPr>
  </w:style>
  <w:style w:type="character" w:styleId="835" w:customStyle="1">
    <w:name w:val="引用 Char"/>
    <w:link w:val="834"/>
    <w:uiPriority w:val="29"/>
    <w:qFormat/>
    <w:rPr>
      <w:i/>
    </w:rPr>
  </w:style>
  <w:style w:type="paragraph" w:styleId="836">
    <w:name w:val="Intense Quote"/>
    <w:basedOn w:val="735"/>
    <w:next w:val="735"/>
    <w:link w:val="8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明显引用 Char"/>
    <w:link w:val="836"/>
    <w:uiPriority w:val="30"/>
    <w:qFormat/>
    <w:rPr>
      <w:i/>
    </w:rPr>
  </w:style>
  <w:style w:type="character" w:styleId="838" w:customStyle="1">
    <w:name w:val="页眉 Char1"/>
    <w:link w:val="816"/>
    <w:uiPriority w:val="99"/>
    <w:qFormat/>
  </w:style>
  <w:style w:type="character" w:styleId="839" w:customStyle="1">
    <w:name w:val="Footer Char"/>
    <w:uiPriority w:val="99"/>
    <w:qFormat/>
  </w:style>
  <w:style w:type="character" w:styleId="840" w:customStyle="1">
    <w:name w:val="页脚 Char1"/>
    <w:link w:val="815"/>
    <w:uiPriority w:val="99"/>
    <w:qFormat/>
  </w:style>
  <w:style w:type="table" w:styleId="84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7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8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9"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6"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7"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1"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3"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4"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8"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4"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5"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0"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脚注文本 Char"/>
    <w:link w:val="755"/>
    <w:uiPriority w:val="99"/>
    <w:qFormat/>
    <w:rPr>
      <w:sz w:val="18"/>
    </w:rPr>
  </w:style>
  <w:style w:type="character" w:styleId="967" w:customStyle="1">
    <w:name w:val="尾注文本 Char2"/>
    <w:link w:val="748"/>
    <w:uiPriority w:val="99"/>
    <w:qFormat/>
    <w:rPr>
      <w:sz w:val="20"/>
    </w:rPr>
  </w:style>
  <w:style w:type="paragraph" w:styleId="968" w:customStyle="1">
    <w:name w:val="TOC 标题11"/>
    <w:uiPriority w:val="39"/>
    <w:unhideWhenUsed/>
    <w:qFormat/>
  </w:style>
  <w:style w:type="paragraph" w:styleId="969" w:customStyle="1">
    <w:name w:val="标题 11"/>
    <w:basedOn w:val="735"/>
    <w:next w:val="735"/>
    <w:link w:val="974"/>
    <w:qFormat/>
    <w:pPr>
      <w:keepLines/>
      <w:keepNext/>
      <w:spacing w:before="340" w:after="330" w:line="578" w:lineRule="auto"/>
      <w:outlineLvl w:val="0"/>
    </w:pPr>
    <w:rPr>
      <w:b/>
      <w:sz w:val="44"/>
    </w:rPr>
  </w:style>
  <w:style w:type="paragraph" w:styleId="970" w:customStyle="1">
    <w:name w:val="标题 21"/>
    <w:basedOn w:val="735"/>
    <w:next w:val="735"/>
    <w:link w:val="975"/>
    <w:qFormat/>
    <w:pPr>
      <w:keepLines/>
      <w:keepNext/>
      <w:spacing w:before="260" w:after="260" w:line="416" w:lineRule="auto"/>
      <w:outlineLvl w:val="1"/>
    </w:pPr>
    <w:rPr>
      <w:rFonts w:ascii="Cambria" w:hAnsi="Cambria" w:eastAsia="宋体"/>
      <w:b/>
      <w:bCs/>
      <w:sz w:val="32"/>
      <w:szCs w:val="32"/>
    </w:rPr>
  </w:style>
  <w:style w:type="paragraph" w:styleId="971" w:customStyle="1">
    <w:name w:val="标题 31"/>
    <w:basedOn w:val="735"/>
    <w:next w:val="972"/>
    <w:link w:val="976"/>
    <w:qFormat/>
    <w:pPr>
      <w:keepLines/>
      <w:keepNext/>
      <w:spacing w:before="260" w:after="260" w:line="416" w:lineRule="auto"/>
      <w:outlineLvl w:val="2"/>
    </w:pPr>
    <w:rPr>
      <w:b/>
      <w:bCs/>
      <w:sz w:val="32"/>
      <w:szCs w:val="32"/>
    </w:rPr>
  </w:style>
  <w:style w:type="paragraph" w:styleId="972" w:customStyle="1">
    <w:name w:val="正文缩进1"/>
    <w:basedOn w:val="735"/>
    <w:link w:val="977"/>
    <w:unhideWhenUsed/>
    <w:qFormat/>
    <w:pPr>
      <w:ind w:firstLine="420"/>
      <w:jc w:val="left"/>
    </w:pPr>
    <w:rPr>
      <w:sz w:val="24"/>
    </w:rPr>
  </w:style>
  <w:style w:type="table" w:styleId="973" w:customStyle="1">
    <w:name w:val="普通表格1"/>
    <w:uiPriority w:val="99"/>
    <w:unhideWhenUsed/>
    <w:qFormat/>
    <w:tblPr>
      <w:tblCellMar>
        <w:left w:w="0" w:type="dxa"/>
        <w:top w:w="0" w:type="dxa"/>
        <w:right w:w="0" w:type="dxa"/>
        <w:bottom w:w="0" w:type="dxa"/>
      </w:tblCellMar>
    </w:tblPr>
  </w:style>
  <w:style w:type="character" w:styleId="974" w:customStyle="1">
    <w:name w:val="标题 1 Char"/>
    <w:link w:val="969"/>
    <w:qFormat/>
    <w:rPr>
      <w:rFonts w:eastAsia="楷体_GB2312"/>
      <w:b/>
      <w:sz w:val="44"/>
    </w:rPr>
  </w:style>
  <w:style w:type="character" w:styleId="975" w:customStyle="1">
    <w:name w:val="标题 2 Char"/>
    <w:link w:val="970"/>
    <w:qFormat/>
    <w:rPr>
      <w:rFonts w:ascii="Cambria" w:hAnsi="Cambria" w:eastAsia="宋体" w:cs="Times New Roman"/>
      <w:b/>
      <w:bCs/>
      <w:sz w:val="32"/>
      <w:szCs w:val="32"/>
    </w:rPr>
  </w:style>
  <w:style w:type="character" w:styleId="976" w:customStyle="1">
    <w:name w:val="标题 3 Char"/>
    <w:link w:val="971"/>
    <w:qFormat/>
    <w:rPr>
      <w:rFonts w:eastAsia="楷体_GB2312"/>
      <w:b/>
      <w:bCs/>
      <w:sz w:val="32"/>
      <w:szCs w:val="32"/>
    </w:rPr>
  </w:style>
  <w:style w:type="character" w:styleId="977" w:customStyle="1">
    <w:name w:val="正文缩进 Char"/>
    <w:link w:val="972"/>
    <w:qFormat/>
    <w:rPr>
      <w:rFonts w:eastAsia="楷体_GB2312"/>
      <w:sz w:val="24"/>
    </w:rPr>
  </w:style>
  <w:style w:type="character" w:styleId="978" w:customStyle="1">
    <w:name w:val="标题 4 Char"/>
    <w:basedOn w:val="820"/>
    <w:link w:val="818"/>
    <w:qFormat/>
    <w:rPr>
      <w:rFonts w:ascii="Cambria" w:hAnsi="Cambria" w:eastAsia="宋体" w:cs="Times New Roman"/>
      <w:b/>
      <w:bCs/>
      <w:sz w:val="28"/>
      <w:szCs w:val="28"/>
    </w:rPr>
  </w:style>
  <w:style w:type="paragraph" w:styleId="979" w:customStyle="1">
    <w:name w:val="文档结构图1"/>
    <w:basedOn w:val="735"/>
    <w:link w:val="980"/>
    <w:unhideWhenUsed/>
    <w:qFormat/>
    <w:pPr>
      <w:shd w:val="clear" w:color="auto" w:fill="000080"/>
    </w:pPr>
    <w:rPr>
      <w:rFonts w:eastAsia="宋体"/>
      <w:sz w:val="21"/>
      <w:szCs w:val="24"/>
    </w:rPr>
  </w:style>
  <w:style w:type="character" w:styleId="980" w:customStyle="1">
    <w:name w:val="文档结构图 Char"/>
    <w:basedOn w:val="820"/>
    <w:link w:val="979"/>
    <w:qFormat/>
    <w:rPr>
      <w:sz w:val="21"/>
      <w:szCs w:val="24"/>
      <w:shd w:val="clear" w:color="auto" w:fill="000080"/>
    </w:rPr>
  </w:style>
  <w:style w:type="paragraph" w:styleId="981" w:customStyle="1">
    <w:name w:val="批注文字1"/>
    <w:basedOn w:val="735"/>
    <w:link w:val="982"/>
    <w:qFormat/>
    <w:pPr>
      <w:jc w:val="left"/>
    </w:pPr>
  </w:style>
  <w:style w:type="character" w:styleId="982" w:customStyle="1">
    <w:name w:val="批注文字 Char"/>
    <w:link w:val="981"/>
    <w:qFormat/>
    <w:rPr>
      <w:rFonts w:eastAsia="楷体_GB2312"/>
      <w:sz w:val="26"/>
    </w:rPr>
  </w:style>
  <w:style w:type="paragraph" w:styleId="983" w:customStyle="1">
    <w:name w:val="正文文本 31"/>
    <w:basedOn w:val="735"/>
    <w:link w:val="984"/>
    <w:unhideWhenUsed/>
    <w:qFormat/>
    <w:pPr>
      <w:jc w:val="center"/>
    </w:pPr>
    <w:rPr>
      <w:rFonts w:ascii="宋体" w:hAnsi="宋体"/>
    </w:rPr>
  </w:style>
  <w:style w:type="character" w:styleId="984" w:customStyle="1">
    <w:name w:val="正文文本 3 Char"/>
    <w:basedOn w:val="820"/>
    <w:link w:val="983"/>
    <w:qFormat/>
    <w:rPr>
      <w:rFonts w:ascii="宋体" w:hAnsi="宋体" w:eastAsia="楷体_GB2312"/>
      <w:sz w:val="26"/>
    </w:rPr>
  </w:style>
  <w:style w:type="character" w:styleId="985" w:customStyle="1">
    <w:name w:val="正文文本 Char1"/>
    <w:basedOn w:val="820"/>
    <w:link w:val="767"/>
    <w:qFormat/>
    <w:rPr>
      <w:rFonts w:ascii="楷体_GB2312" w:eastAsia="楷体_GB2312"/>
      <w:b/>
      <w:bCs/>
      <w:sz w:val="28"/>
    </w:rPr>
  </w:style>
  <w:style w:type="paragraph" w:styleId="986" w:customStyle="1">
    <w:name w:val="正文文本缩进1"/>
    <w:basedOn w:val="735"/>
    <w:link w:val="987"/>
    <w:unhideWhenUsed/>
    <w:qFormat/>
    <w:pPr>
      <w:ind w:firstLine="570"/>
    </w:pPr>
    <w:rPr>
      <w:rFonts w:ascii="宋体" w:eastAsia="宋体"/>
      <w:sz w:val="28"/>
    </w:rPr>
  </w:style>
  <w:style w:type="character" w:styleId="987" w:customStyle="1">
    <w:name w:val="正文文本缩进 Char"/>
    <w:basedOn w:val="820"/>
    <w:link w:val="986"/>
    <w:qFormat/>
    <w:rPr>
      <w:rFonts w:ascii="宋体"/>
      <w:sz w:val="28"/>
    </w:rPr>
  </w:style>
  <w:style w:type="paragraph" w:styleId="988" w:customStyle="1">
    <w:name w:val="目录 31"/>
    <w:basedOn w:val="735"/>
    <w:next w:val="735"/>
    <w:qFormat/>
    <w:pPr>
      <w:ind w:left="359"/>
      <w:tabs>
        <w:tab w:val="right" w:pos="8302" w:leader="dot"/>
      </w:tabs>
    </w:pPr>
    <w:rPr>
      <w:rFonts w:eastAsia="宋体"/>
      <w:sz w:val="21"/>
      <w:szCs w:val="24"/>
    </w:rPr>
  </w:style>
  <w:style w:type="paragraph" w:styleId="989" w:customStyle="1">
    <w:name w:val="纯文本111"/>
    <w:basedOn w:val="735"/>
    <w:next w:val="972"/>
    <w:link w:val="990"/>
    <w:unhideWhenUsed/>
    <w:qFormat/>
    <w:rPr>
      <w:rFonts w:ascii="宋体" w:hAnsi="Courier New"/>
    </w:rPr>
  </w:style>
  <w:style w:type="character" w:styleId="990" w:customStyle="1">
    <w:name w:val="纯文本 Char"/>
    <w:link w:val="989"/>
    <w:qFormat/>
    <w:rPr>
      <w:rFonts w:ascii="宋体" w:hAnsi="Courier New" w:eastAsia="楷体_GB2312"/>
      <w:sz w:val="26"/>
    </w:rPr>
  </w:style>
  <w:style w:type="paragraph" w:styleId="991" w:customStyle="1">
    <w:name w:val="日期1"/>
    <w:basedOn w:val="735"/>
    <w:next w:val="735"/>
    <w:link w:val="992"/>
    <w:unhideWhenUsed/>
    <w:qFormat/>
    <w:rPr>
      <w:rFonts w:ascii="宋体" w:hAnsi="宋体"/>
      <w:sz w:val="24"/>
    </w:rPr>
  </w:style>
  <w:style w:type="character" w:styleId="992" w:customStyle="1">
    <w:name w:val="日期 Char"/>
    <w:link w:val="991"/>
    <w:qFormat/>
    <w:rPr>
      <w:rFonts w:ascii="宋体" w:hAnsi="宋体" w:eastAsia="楷体_GB2312"/>
      <w:sz w:val="24"/>
    </w:rPr>
  </w:style>
  <w:style w:type="paragraph" w:styleId="993" w:customStyle="1">
    <w:name w:val="正文文本缩进 21"/>
    <w:basedOn w:val="735"/>
    <w:link w:val="994"/>
    <w:unhideWhenUsed/>
    <w:qFormat/>
    <w:pPr>
      <w:ind w:left="420"/>
      <w:spacing w:after="120" w:line="480" w:lineRule="auto"/>
    </w:pPr>
  </w:style>
  <w:style w:type="character" w:styleId="994" w:customStyle="1">
    <w:name w:val="正文文本缩进 2 Char"/>
    <w:link w:val="993"/>
    <w:qFormat/>
    <w:rPr>
      <w:rFonts w:eastAsia="楷体_GB2312"/>
      <w:sz w:val="26"/>
    </w:rPr>
  </w:style>
  <w:style w:type="paragraph" w:styleId="995" w:customStyle="1">
    <w:name w:val="尾注文本1"/>
    <w:basedOn w:val="735"/>
    <w:link w:val="996"/>
    <w:unhideWhenUsed/>
    <w:qFormat/>
    <w:pPr>
      <w:jc w:val="left"/>
    </w:pPr>
    <w:rPr>
      <w:rFonts w:ascii="宋体" w:hAnsi="宋体" w:eastAsia="宋体"/>
      <w:sz w:val="21"/>
      <w:szCs w:val="24"/>
    </w:rPr>
  </w:style>
  <w:style w:type="character" w:styleId="996" w:customStyle="1">
    <w:name w:val="尾注文本 Char"/>
    <w:basedOn w:val="820"/>
    <w:link w:val="995"/>
    <w:qFormat/>
    <w:rPr>
      <w:rFonts w:ascii="宋体" w:hAnsi="宋体"/>
      <w:sz w:val="21"/>
      <w:szCs w:val="24"/>
    </w:rPr>
  </w:style>
  <w:style w:type="paragraph" w:styleId="997" w:customStyle="1">
    <w:name w:val="批注框文本1"/>
    <w:basedOn w:val="735"/>
    <w:link w:val="998"/>
    <w:qFormat/>
    <w:rPr>
      <w:sz w:val="18"/>
      <w:szCs w:val="18"/>
    </w:rPr>
  </w:style>
  <w:style w:type="character" w:styleId="998" w:customStyle="1">
    <w:name w:val="批注框文本 Char"/>
    <w:basedOn w:val="820"/>
    <w:link w:val="997"/>
    <w:qFormat/>
    <w:rPr>
      <w:rFonts w:eastAsia="楷体_GB2312"/>
      <w:sz w:val="18"/>
      <w:szCs w:val="18"/>
    </w:rPr>
  </w:style>
  <w:style w:type="paragraph" w:styleId="999" w:customStyle="1">
    <w:name w:val="页脚1"/>
    <w:basedOn w:val="735"/>
    <w:link w:val="1000"/>
    <w:unhideWhenUsed/>
    <w:qFormat/>
    <w:pPr>
      <w:jc w:val="left"/>
      <w:tabs>
        <w:tab w:val="center" w:pos="4153" w:leader="none"/>
        <w:tab w:val="right" w:pos="8306" w:leader="none"/>
      </w:tabs>
    </w:pPr>
    <w:rPr>
      <w:sz w:val="18"/>
    </w:rPr>
  </w:style>
  <w:style w:type="character" w:styleId="1000" w:customStyle="1">
    <w:name w:val="页脚 Char"/>
    <w:link w:val="999"/>
    <w:qFormat/>
    <w:rPr>
      <w:rFonts w:eastAsia="楷体_GB2312"/>
      <w:sz w:val="18"/>
    </w:rPr>
  </w:style>
  <w:style w:type="paragraph" w:styleId="1001" w:customStyle="1">
    <w:name w:val="页眉1"/>
    <w:basedOn w:val="735"/>
    <w:link w:val="1002"/>
    <w:unhideWhenUsed/>
    <w:qFormat/>
    <w:pPr>
      <w:jc w:val="center"/>
      <w:tabs>
        <w:tab w:val="center" w:pos="4153" w:leader="none"/>
        <w:tab w:val="right" w:pos="8306" w:leader="none"/>
      </w:tabs>
      <w:pBdr>
        <w:bottom w:val="single" w:color="000000" w:sz="6" w:space="1"/>
      </w:pBdr>
    </w:pPr>
    <w:rPr>
      <w:sz w:val="18"/>
    </w:rPr>
  </w:style>
  <w:style w:type="character" w:styleId="1002" w:customStyle="1">
    <w:name w:val="页眉 Char"/>
    <w:link w:val="1001"/>
    <w:qFormat/>
    <w:rPr>
      <w:rFonts w:eastAsia="楷体_GB2312"/>
      <w:sz w:val="18"/>
    </w:rPr>
  </w:style>
  <w:style w:type="paragraph" w:styleId="1003" w:customStyle="1">
    <w:name w:val="目录 11"/>
    <w:basedOn w:val="735"/>
    <w:next w:val="735"/>
    <w:unhideWhenUsed/>
    <w:qFormat/>
    <w:pPr>
      <w:jc w:val="left"/>
    </w:pPr>
    <w:rPr>
      <w:sz w:val="24"/>
    </w:rPr>
  </w:style>
  <w:style w:type="paragraph" w:styleId="1004" w:customStyle="1">
    <w:name w:val="副标题1"/>
    <w:basedOn w:val="735"/>
    <w:link w:val="1005"/>
    <w:qFormat/>
    <w:pPr>
      <w:jc w:val="center"/>
      <w:spacing w:before="240" w:after="60" w:line="312" w:lineRule="auto"/>
      <w:outlineLvl w:val="1"/>
    </w:pPr>
    <w:rPr>
      <w:rFonts w:ascii="Arial" w:hAnsi="Arial" w:eastAsia="宋体"/>
      <w:b/>
      <w:bCs/>
      <w:sz w:val="32"/>
      <w:szCs w:val="32"/>
    </w:rPr>
  </w:style>
  <w:style w:type="character" w:styleId="1005" w:customStyle="1">
    <w:name w:val="副标题 Char"/>
    <w:link w:val="1004"/>
    <w:qFormat/>
    <w:rPr>
      <w:rFonts w:ascii="Arial" w:hAnsi="Arial" w:cs="Arial"/>
      <w:b/>
      <w:bCs/>
      <w:sz w:val="32"/>
      <w:szCs w:val="32"/>
    </w:rPr>
  </w:style>
  <w:style w:type="paragraph" w:styleId="1006" w:customStyle="1">
    <w:name w:val="目录 21"/>
    <w:basedOn w:val="735"/>
    <w:next w:val="735"/>
    <w:unhideWhenUsed/>
    <w:qFormat/>
    <w:pPr>
      <w:ind w:left="420"/>
    </w:pPr>
  </w:style>
  <w:style w:type="paragraph" w:styleId="1007" w:customStyle="1">
    <w:name w:val="目录 91"/>
    <w:basedOn w:val="735"/>
    <w:next w:val="735"/>
    <w:semiHidden/>
    <w:qFormat/>
    <w:pPr>
      <w:ind w:left="3360"/>
    </w:pPr>
  </w:style>
  <w:style w:type="paragraph" w:styleId="1008" w:customStyle="1">
    <w:name w:val="普通(网站)1"/>
    <w:basedOn w:val="735"/>
    <w:unhideWhenUsed/>
    <w:qFormat/>
    <w:pPr>
      <w:jc w:val="left"/>
      <w:spacing w:before="100" w:beforeAutospacing="1" w:after="100" w:afterAutospacing="1"/>
      <w:widowControl/>
    </w:pPr>
    <w:rPr>
      <w:rFonts w:ascii="宋体" w:hAnsi="宋体" w:cs="宋体"/>
      <w:sz w:val="24"/>
    </w:rPr>
  </w:style>
  <w:style w:type="paragraph" w:styleId="1009" w:customStyle="1">
    <w:name w:val="索引 11"/>
    <w:basedOn w:val="735"/>
    <w:next w:val="735"/>
    <w:unhideWhenUsed/>
    <w:qFormat/>
    <w:pPr>
      <w:jc w:val="center"/>
      <w:spacing w:line="220" w:lineRule="exact"/>
    </w:pPr>
    <w:rPr>
      <w:rFonts w:ascii="仿宋_GB2312" w:eastAsia="仿宋_GB2312"/>
      <w:szCs w:val="21"/>
    </w:rPr>
  </w:style>
  <w:style w:type="paragraph" w:styleId="1010" w:customStyle="1">
    <w:name w:val="标题1"/>
    <w:basedOn w:val="735"/>
    <w:link w:val="1011"/>
    <w:uiPriority w:val="10"/>
    <w:qFormat/>
    <w:pPr>
      <w:jc w:val="center"/>
      <w:spacing w:before="240" w:after="60"/>
      <w:outlineLvl w:val="0"/>
    </w:pPr>
    <w:rPr>
      <w:rFonts w:ascii="Arial" w:hAnsi="Arial" w:eastAsia="宋体"/>
      <w:b/>
      <w:bCs/>
      <w:sz w:val="32"/>
      <w:szCs w:val="32"/>
    </w:rPr>
  </w:style>
  <w:style w:type="character" w:styleId="1011" w:customStyle="1">
    <w:name w:val="标题 Char"/>
    <w:basedOn w:val="820"/>
    <w:link w:val="1010"/>
    <w:uiPriority w:val="10"/>
    <w:qFormat/>
    <w:rPr>
      <w:rFonts w:ascii="Arial" w:hAnsi="Arial"/>
      <w:b/>
      <w:bCs/>
      <w:sz w:val="32"/>
      <w:szCs w:val="32"/>
    </w:rPr>
  </w:style>
  <w:style w:type="paragraph" w:styleId="1012" w:customStyle="1">
    <w:name w:val="批注主题1"/>
    <w:basedOn w:val="981"/>
    <w:next w:val="981"/>
    <w:link w:val="1013"/>
    <w:uiPriority w:val="99"/>
    <w:qFormat/>
    <w:rPr>
      <w:b/>
      <w:bCs/>
    </w:rPr>
  </w:style>
  <w:style w:type="character" w:styleId="1013" w:customStyle="1">
    <w:name w:val="批注主题 Char"/>
    <w:basedOn w:val="982"/>
    <w:link w:val="1012"/>
    <w:uiPriority w:val="99"/>
    <w:qFormat/>
    <w:rPr>
      <w:rFonts w:eastAsia="楷体_GB2312"/>
      <w:b/>
      <w:bCs/>
      <w:sz w:val="26"/>
    </w:rPr>
  </w:style>
  <w:style w:type="paragraph" w:styleId="1014" w:customStyle="1">
    <w:name w:val="正文首行缩进1"/>
    <w:basedOn w:val="767"/>
    <w:link w:val="1015"/>
    <w:unhideWhenUsed/>
    <w:qFormat/>
    <w:pPr>
      <w:ind w:firstLine="420"/>
      <w:spacing w:after="120"/>
    </w:pPr>
    <w:rPr>
      <w:rFonts w:ascii="Times New Roman" w:eastAsia="宋体"/>
      <w:b w:val="0"/>
      <w:bCs w:val="0"/>
      <w:sz w:val="21"/>
      <w:szCs w:val="24"/>
    </w:rPr>
  </w:style>
  <w:style w:type="character" w:styleId="1015" w:customStyle="1">
    <w:name w:val="正文首行缩进 Char"/>
    <w:basedOn w:val="1016"/>
    <w:link w:val="1014"/>
    <w:qFormat/>
    <w:rPr>
      <w:sz w:val="21"/>
      <w:szCs w:val="24"/>
    </w:rPr>
  </w:style>
  <w:style w:type="character" w:styleId="1016" w:customStyle="1">
    <w:name w:val="正文文本 Char"/>
    <w:basedOn w:val="820"/>
    <w:qFormat/>
    <w:rPr>
      <w:sz w:val="21"/>
      <w:szCs w:val="24"/>
    </w:rPr>
  </w:style>
  <w:style w:type="table" w:styleId="1017" w:customStyle="1">
    <w:name w:val="网格型1"/>
    <w:basedOn w:val="973"/>
    <w:unhideWhenUsed/>
    <w:qFormat/>
    <w:pPr>
      <w:jc w:val="both"/>
      <w:widowControl w:val="off"/>
    </w:pPr>
    <w:tblPr>
      <w:tblCellMar>
        <w:left w:w="0" w:type="dxa"/>
        <w:top w:w="0" w:type="dxa"/>
        <w:right w:w="0" w:type="dxa"/>
        <w:bottom w:w="0" w:type="dxa"/>
      </w:tblCellMar>
    </w:tblPr>
  </w:style>
  <w:style w:type="character" w:styleId="1018" w:customStyle="1">
    <w:name w:val="要点1"/>
    <w:basedOn w:val="820"/>
    <w:qFormat/>
    <w:rPr>
      <w:b/>
      <w:bCs/>
    </w:rPr>
  </w:style>
  <w:style w:type="character" w:styleId="1019" w:customStyle="1">
    <w:name w:val="页码1"/>
    <w:basedOn w:val="820"/>
    <w:unhideWhenUsed/>
    <w:qFormat/>
  </w:style>
  <w:style w:type="character" w:styleId="1020" w:customStyle="1">
    <w:name w:val="已访问的超链接1"/>
    <w:basedOn w:val="820"/>
    <w:qFormat/>
    <w:rPr>
      <w:rFonts w:ascii="微软雅黑" w:hAnsi="微软雅黑" w:eastAsia="微软雅黑" w:cs="微软雅黑"/>
      <w:color w:val="3d3d3d"/>
      <w:u w:val="none"/>
    </w:rPr>
  </w:style>
  <w:style w:type="character" w:styleId="1021" w:customStyle="1">
    <w:name w:val="超链接1"/>
    <w:basedOn w:val="820"/>
    <w:uiPriority w:val="99"/>
    <w:unhideWhenUsed/>
    <w:qFormat/>
    <w:rPr>
      <w:rFonts w:hint="eastAsia" w:ascii="微软雅黑" w:hAnsi="微软雅黑" w:eastAsia="微软雅黑" w:cs="微软雅黑"/>
      <w:color w:val="3d3d3d"/>
      <w:u w:val="none"/>
    </w:rPr>
  </w:style>
  <w:style w:type="character" w:styleId="1022" w:customStyle="1">
    <w:name w:val="批注引用1"/>
    <w:qFormat/>
    <w:rPr>
      <w:sz w:val="21"/>
      <w:szCs w:val="21"/>
    </w:rPr>
  </w:style>
  <w:style w:type="character" w:styleId="1023" w:customStyle="1">
    <w:name w:val="z-窗体顶端 Char1"/>
    <w:basedOn w:val="820"/>
    <w:link w:val="1024"/>
    <w:qFormat/>
    <w:rPr>
      <w:rFonts w:ascii="Arial" w:hAnsi="Arial" w:cs="Arial"/>
      <w:vanish/>
      <w:sz w:val="16"/>
      <w:szCs w:val="16"/>
    </w:rPr>
  </w:style>
  <w:style w:type="paragraph" w:styleId="1024" w:customStyle="1">
    <w:name w:val="z-窗体顶端1"/>
    <w:basedOn w:val="735"/>
    <w:next w:val="735"/>
    <w:link w:val="1023"/>
    <w:qFormat/>
    <w:pPr>
      <w:jc w:val="center"/>
      <w:pBdr>
        <w:bottom w:val="single" w:color="000000" w:sz="6" w:space="1"/>
      </w:pBdr>
    </w:pPr>
    <w:rPr>
      <w:rFonts w:ascii="Arial" w:hAnsi="Arial" w:eastAsia="宋体" w:cs="Arial"/>
      <w:vanish/>
      <w:sz w:val="16"/>
      <w:szCs w:val="16"/>
    </w:rPr>
  </w:style>
  <w:style w:type="character" w:styleId="1025" w:customStyle="1">
    <w:name w:val="标题 Char1"/>
    <w:basedOn w:val="820"/>
    <w:uiPriority w:val="10"/>
    <w:qFormat/>
    <w:rPr>
      <w:rFonts w:ascii="Cambria" w:hAnsi="Cambria" w:cs="Times New Roman"/>
      <w:b/>
      <w:bCs/>
      <w:sz w:val="32"/>
      <w:szCs w:val="32"/>
    </w:rPr>
  </w:style>
  <w:style w:type="character" w:styleId="1026" w:customStyle="1">
    <w:name w:val="纯文本 Char Char"/>
    <w:basedOn w:val="820"/>
    <w:qFormat/>
    <w:rPr>
      <w:rFonts w:ascii="宋体" w:hAnsi="Courier New" w:eastAsia="宋体" w:cs="Courier New"/>
      <w:sz w:val="21"/>
      <w:szCs w:val="21"/>
      <w:lang w:val="en-US" w:eastAsia="zh-CN" w:bidi="ar-SA"/>
    </w:rPr>
  </w:style>
  <w:style w:type="character" w:styleId="1027" w:customStyle="1">
    <w:name w:val="Body text|1_"/>
    <w:basedOn w:val="820"/>
    <w:link w:val="1028"/>
    <w:qFormat/>
    <w:rPr>
      <w:rFonts w:ascii="宋体" w:hAnsi="宋体" w:eastAsia="宋体" w:cs="宋体"/>
      <w:color w:val="4e4a50"/>
      <w:sz w:val="26"/>
      <w:szCs w:val="26"/>
      <w:lang w:val="zh-TW" w:eastAsia="zh-TW" w:bidi="zh-TW"/>
    </w:rPr>
  </w:style>
  <w:style w:type="paragraph" w:styleId="1028" w:customStyle="1">
    <w:name w:val="Body text|1"/>
    <w:basedOn w:val="735"/>
    <w:link w:val="1027"/>
    <w:qFormat/>
    <w:pPr>
      <w:ind w:firstLine="400"/>
      <w:jc w:val="left"/>
      <w:spacing w:line="458" w:lineRule="auto"/>
    </w:pPr>
    <w:rPr>
      <w:rFonts w:ascii="宋体" w:hAnsi="宋体" w:eastAsia="宋体" w:cs="宋体"/>
      <w:color w:val="4e4a50"/>
      <w:szCs w:val="26"/>
      <w:lang w:val="zh-TW" w:eastAsia="zh-TW" w:bidi="zh-TW"/>
    </w:rPr>
  </w:style>
  <w:style w:type="character" w:styleId="1029" w:customStyle="1">
    <w:name w:val="font51"/>
    <w:qFormat/>
    <w:rPr>
      <w:rFonts w:hint="eastAsia" w:ascii="宋体" w:hAnsi="宋体" w:eastAsia="宋体" w:cs="宋体"/>
      <w:color w:val="000000"/>
      <w:sz w:val="20"/>
      <w:szCs w:val="20"/>
      <w:u w:val="none"/>
    </w:rPr>
  </w:style>
  <w:style w:type="character" w:styleId="1030" w:customStyle="1">
    <w:name w:val="z-窗体底端 Char"/>
    <w:basedOn w:val="820"/>
    <w:link w:val="1031"/>
    <w:qFormat/>
    <w:rPr>
      <w:rFonts w:ascii="Arial" w:hAnsi="Arial" w:cs="Arial"/>
      <w:vanish/>
      <w:sz w:val="16"/>
      <w:szCs w:val="16"/>
    </w:rPr>
  </w:style>
  <w:style w:type="paragraph" w:styleId="1031" w:customStyle="1">
    <w:name w:val="z-窗体底端1"/>
    <w:basedOn w:val="735"/>
    <w:next w:val="735"/>
    <w:link w:val="1030"/>
    <w:unhideWhenUsed/>
    <w:qFormat/>
    <w:pPr>
      <w:jc w:val="center"/>
      <w:pBdr>
        <w:top w:val="single" w:color="000000" w:sz="6" w:space="1"/>
      </w:pBdr>
    </w:pPr>
    <w:rPr>
      <w:rFonts w:ascii="Arial" w:hAnsi="Arial" w:eastAsia="宋体" w:cs="Arial"/>
      <w:vanish/>
      <w:sz w:val="16"/>
      <w:szCs w:val="16"/>
    </w:rPr>
  </w:style>
  <w:style w:type="character" w:styleId="1032" w:customStyle="1">
    <w:name w:val="Picture caption|1_"/>
    <w:basedOn w:val="820"/>
    <w:link w:val="1033"/>
    <w:qFormat/>
    <w:rPr>
      <w:rFonts w:ascii="宋体" w:hAnsi="宋体" w:eastAsia="宋体" w:cs="宋体"/>
      <w:color w:val="4e4a50"/>
      <w:sz w:val="26"/>
      <w:szCs w:val="26"/>
      <w:lang w:val="zh-TW" w:eastAsia="zh-TW" w:bidi="zh-TW"/>
    </w:rPr>
  </w:style>
  <w:style w:type="paragraph" w:styleId="1033" w:customStyle="1">
    <w:name w:val="Picture caption|1"/>
    <w:basedOn w:val="735"/>
    <w:link w:val="1032"/>
    <w:qFormat/>
    <w:pPr>
      <w:jc w:val="left"/>
    </w:pPr>
    <w:rPr>
      <w:rFonts w:ascii="宋体" w:hAnsi="宋体" w:eastAsia="宋体" w:cs="宋体"/>
      <w:color w:val="4e4a50"/>
      <w:szCs w:val="26"/>
      <w:lang w:val="zh-TW" w:eastAsia="zh-TW" w:bidi="zh-TW"/>
    </w:rPr>
  </w:style>
  <w:style w:type="character" w:styleId="1034" w:customStyle="1">
    <w:name w:val="样式 粉红"/>
    <w:basedOn w:val="820"/>
    <w:qFormat/>
    <w:rPr>
      <w:color w:val="000000"/>
      <w:u w:val="none"/>
    </w:rPr>
  </w:style>
  <w:style w:type="character" w:styleId="1035" w:customStyle="1">
    <w:name w:val="Plain Text Char Char"/>
    <w:link w:val="1036"/>
    <w:qFormat/>
    <w:rPr>
      <w:rFonts w:ascii="宋体" w:hAnsi="Courier New" w:eastAsia="楷体_GB2312"/>
      <w:sz w:val="26"/>
      <w:lang w:val="en-US" w:eastAsia="zh-CN" w:bidi="ar-SA"/>
    </w:rPr>
  </w:style>
  <w:style w:type="paragraph" w:styleId="1036" w:customStyle="1">
    <w:name w:val="纯文本1"/>
    <w:basedOn w:val="735"/>
    <w:link w:val="1035"/>
    <w:qFormat/>
    <w:rPr>
      <w:rFonts w:ascii="宋体" w:hAnsi="Courier New"/>
    </w:rPr>
  </w:style>
  <w:style w:type="character" w:styleId="1037" w:customStyle="1">
    <w:name w:val="font112"/>
    <w:qFormat/>
    <w:rPr>
      <w:rFonts w:hint="eastAsia" w:ascii="宋体" w:hAnsi="宋体" w:eastAsia="宋体" w:cs="宋体"/>
      <w:color w:val="000000"/>
      <w:sz w:val="20"/>
      <w:szCs w:val="20"/>
      <w:u w:val="none"/>
    </w:rPr>
  </w:style>
  <w:style w:type="character" w:styleId="1038" w:customStyle="1">
    <w:name w:val="font41"/>
    <w:basedOn w:val="820"/>
    <w:qFormat/>
    <w:rPr>
      <w:rFonts w:ascii="Arial" w:hAnsi="Arial" w:cs="Arial"/>
      <w:color w:val="000000"/>
      <w:sz w:val="20"/>
      <w:szCs w:val="20"/>
      <w:u w:val="none"/>
    </w:rPr>
  </w:style>
  <w:style w:type="character" w:styleId="1039" w:customStyle="1">
    <w:name w:val="font61"/>
    <w:qFormat/>
    <w:rPr>
      <w:rFonts w:ascii="Calibri" w:hAnsi="Calibri" w:cs="Calibri"/>
      <w:color w:val="000000"/>
      <w:sz w:val="20"/>
      <w:szCs w:val="20"/>
      <w:u w:val="none"/>
    </w:rPr>
  </w:style>
  <w:style w:type="character" w:styleId="1040" w:customStyle="1">
    <w:name w:val="z-窗体底端 Char2"/>
    <w:basedOn w:val="820"/>
    <w:uiPriority w:val="99"/>
    <w:semiHidden/>
    <w:qFormat/>
    <w:rPr>
      <w:rFonts w:ascii="Arial" w:hAnsi="Arial" w:eastAsia="楷体_GB2312" w:cs="Arial"/>
      <w:vanish/>
      <w:sz w:val="16"/>
      <w:szCs w:val="16"/>
    </w:rPr>
  </w:style>
  <w:style w:type="character" w:styleId="1041" w:customStyle="1">
    <w:name w:val="Other|1_"/>
    <w:basedOn w:val="820"/>
    <w:link w:val="1042"/>
    <w:qFormat/>
    <w:rPr>
      <w:rFonts w:ascii="宋体" w:hAnsi="宋体" w:eastAsia="宋体" w:cs="宋体"/>
      <w:color w:val="4e4a50"/>
      <w:lang w:val="zh-TW" w:eastAsia="zh-TW" w:bidi="zh-TW"/>
    </w:rPr>
  </w:style>
  <w:style w:type="paragraph" w:styleId="1042" w:customStyle="1">
    <w:name w:val="Other|1"/>
    <w:basedOn w:val="735"/>
    <w:link w:val="1041"/>
    <w:qFormat/>
    <w:pPr>
      <w:jc w:val="center"/>
      <w:spacing w:line="308" w:lineRule="exact"/>
    </w:pPr>
    <w:rPr>
      <w:rFonts w:ascii="宋体" w:hAnsi="宋体" w:eastAsia="宋体" w:cs="宋体"/>
      <w:color w:val="4e4a50"/>
      <w:sz w:val="20"/>
      <w:lang w:val="zh-TW" w:eastAsia="zh-TW" w:bidi="zh-TW"/>
    </w:rPr>
  </w:style>
  <w:style w:type="character" w:styleId="1043" w:customStyle="1">
    <w:name w:val="Char Char5"/>
    <w:basedOn w:val="820"/>
    <w:qFormat/>
    <w:rPr>
      <w:rFonts w:hint="eastAsia" w:ascii="黑体" w:hAnsi="黑体" w:eastAsia="黑体"/>
      <w:b/>
      <w:bCs/>
      <w:sz w:val="72"/>
      <w:szCs w:val="44"/>
      <w:lang w:val="en-US" w:eastAsia="zh-CN" w:bidi="ar-SA"/>
    </w:rPr>
  </w:style>
  <w:style w:type="character" w:styleId="1044" w:customStyle="1">
    <w:name w:val="Header or footer|2_"/>
    <w:basedOn w:val="820"/>
    <w:link w:val="1045"/>
    <w:qFormat/>
    <w:rPr>
      <w:lang w:val="zh-TW" w:eastAsia="zh-TW" w:bidi="zh-TW"/>
    </w:rPr>
  </w:style>
  <w:style w:type="paragraph" w:styleId="1045" w:customStyle="1">
    <w:name w:val="Header or footer|2"/>
    <w:basedOn w:val="735"/>
    <w:link w:val="1044"/>
    <w:qFormat/>
    <w:pPr>
      <w:jc w:val="left"/>
    </w:pPr>
    <w:rPr>
      <w:rFonts w:eastAsia="宋体"/>
      <w:sz w:val="20"/>
      <w:lang w:val="zh-TW" w:eastAsia="zh-TW" w:bidi="zh-TW"/>
    </w:rPr>
  </w:style>
  <w:style w:type="character" w:styleId="1046" w:customStyle="1">
    <w:name w:val="Char Char Char"/>
    <w:basedOn w:val="820"/>
    <w:qFormat/>
    <w:rPr>
      <w:rFonts w:hint="eastAsia" w:ascii="黑体" w:hAnsi="黑体" w:eastAsia="黑体"/>
      <w:bCs/>
      <w:sz w:val="28"/>
      <w:szCs w:val="32"/>
      <w:lang w:val="en-US" w:eastAsia="zh-CN" w:bidi="ar-SA"/>
    </w:rPr>
  </w:style>
  <w:style w:type="character" w:styleId="1047" w:customStyle="1">
    <w:name w:val="font21"/>
    <w:qFormat/>
    <w:rPr>
      <w:rFonts w:hint="eastAsia" w:ascii="宋体" w:hAnsi="宋体" w:eastAsia="宋体" w:cs="宋体"/>
      <w:color w:val="000000"/>
      <w:sz w:val="20"/>
      <w:szCs w:val="20"/>
      <w:u w:val="none"/>
    </w:rPr>
  </w:style>
  <w:style w:type="character" w:styleId="1048" w:customStyle="1">
    <w:name w:val="Char Char4"/>
    <w:basedOn w:val="820"/>
    <w:qFormat/>
    <w:rPr>
      <w:rFonts w:ascii="Arial" w:hAnsi="Arial" w:eastAsia="黑体" w:cs="Arial"/>
      <w:bCs/>
      <w:sz w:val="24"/>
      <w:szCs w:val="28"/>
      <w:lang w:val="en-US" w:eastAsia="zh-CN" w:bidi="ar-SA"/>
    </w:rPr>
  </w:style>
  <w:style w:type="character" w:styleId="1049" w:customStyle="1">
    <w:name w:val="Body text|3_"/>
    <w:basedOn w:val="820"/>
    <w:link w:val="1050"/>
    <w:qFormat/>
    <w:rPr>
      <w:color w:val="5c575b"/>
      <w:sz w:val="26"/>
      <w:szCs w:val="26"/>
      <w:lang w:val="zh-TW" w:eastAsia="zh-TW" w:bidi="zh-TW"/>
    </w:rPr>
  </w:style>
  <w:style w:type="paragraph" w:styleId="1050" w:customStyle="1">
    <w:name w:val="Body text|3"/>
    <w:basedOn w:val="735"/>
    <w:link w:val="1049"/>
    <w:qFormat/>
    <w:pPr>
      <w:jc w:val="left"/>
    </w:pPr>
    <w:rPr>
      <w:rFonts w:eastAsia="宋体"/>
      <w:color w:val="5c575b"/>
      <w:szCs w:val="26"/>
      <w:lang w:val="zh-TW" w:eastAsia="zh-TW" w:bidi="zh-TW"/>
    </w:rPr>
  </w:style>
  <w:style w:type="character" w:styleId="1051" w:customStyle="1">
    <w:name w:val="z-窗体顶端 Char"/>
    <w:basedOn w:val="820"/>
    <w:link w:val="1052"/>
    <w:qFormat/>
    <w:rPr>
      <w:rFonts w:ascii="Arial" w:hAnsi="Arial" w:cs="Arial"/>
      <w:vanish/>
      <w:sz w:val="16"/>
      <w:szCs w:val="16"/>
    </w:rPr>
  </w:style>
  <w:style w:type="paragraph" w:styleId="1052" w:customStyle="1">
    <w:name w:val="z-窗体顶端11"/>
    <w:basedOn w:val="735"/>
    <w:next w:val="735"/>
    <w:link w:val="1051"/>
    <w:unhideWhenUsed/>
    <w:qFormat/>
    <w:pPr>
      <w:jc w:val="center"/>
      <w:pBdr>
        <w:bottom w:val="single" w:color="000000" w:sz="6" w:space="1"/>
      </w:pBdr>
    </w:pPr>
    <w:rPr>
      <w:rFonts w:ascii="Arial" w:hAnsi="Arial" w:eastAsia="宋体" w:cs="Arial"/>
      <w:vanish/>
      <w:sz w:val="16"/>
      <w:szCs w:val="16"/>
    </w:rPr>
  </w:style>
  <w:style w:type="character" w:styleId="1053" w:customStyle="1">
    <w:name w:val="正文首行缩进 Char1"/>
    <w:basedOn w:val="985"/>
    <w:qFormat/>
    <w:rPr>
      <w:rFonts w:ascii="楷体_GB2312" w:eastAsia="楷体_GB2312"/>
      <w:sz w:val="28"/>
    </w:rPr>
  </w:style>
  <w:style w:type="character" w:styleId="1054" w:customStyle="1">
    <w:name w:val="Blockquote Char Char"/>
    <w:basedOn w:val="820"/>
    <w:link w:val="1055"/>
    <w:qFormat/>
    <w:rPr>
      <w:rFonts w:cs="宋体"/>
      <w:sz w:val="24"/>
      <w:szCs w:val="24"/>
    </w:rPr>
  </w:style>
  <w:style w:type="paragraph" w:styleId="1055" w:customStyle="1">
    <w:name w:val="Blockquote"/>
    <w:basedOn w:val="735"/>
    <w:link w:val="1054"/>
    <w:qFormat/>
    <w:pPr>
      <w:ind w:left="360" w:right="360"/>
      <w:jc w:val="left"/>
      <w:spacing w:before="100" w:after="100"/>
    </w:pPr>
    <w:rPr>
      <w:rFonts w:eastAsia="宋体" w:cs="宋体"/>
      <w:sz w:val="24"/>
      <w:szCs w:val="24"/>
    </w:rPr>
  </w:style>
  <w:style w:type="character" w:styleId="1056" w:customStyle="1">
    <w:name w:val="Heading #2|1_"/>
    <w:basedOn w:val="820"/>
    <w:link w:val="1057"/>
    <w:qFormat/>
    <w:rPr>
      <w:rFonts w:ascii="宋体" w:hAnsi="宋体" w:eastAsia="宋体" w:cs="宋体"/>
      <w:color w:val="4e4a50"/>
      <w:sz w:val="40"/>
      <w:szCs w:val="40"/>
      <w:lang w:val="zh-TW" w:eastAsia="zh-TW" w:bidi="zh-TW"/>
    </w:rPr>
  </w:style>
  <w:style w:type="paragraph" w:styleId="1057" w:customStyle="1">
    <w:name w:val="Heading #2|1"/>
    <w:basedOn w:val="735"/>
    <w:link w:val="1056"/>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58" w:customStyle="1">
    <w:name w:val="grame"/>
    <w:basedOn w:val="820"/>
    <w:qFormat/>
  </w:style>
  <w:style w:type="character" w:styleId="1059" w:customStyle="1">
    <w:name w:val="font01"/>
    <w:qFormat/>
    <w:rPr>
      <w:rFonts w:ascii="Calibri" w:hAnsi="Calibri" w:cs="Calibri"/>
      <w:color w:val="000000"/>
      <w:sz w:val="20"/>
      <w:szCs w:val="20"/>
      <w:u w:val="none"/>
    </w:rPr>
  </w:style>
  <w:style w:type="character" w:styleId="1060" w:customStyle="1">
    <w:name w:val="文档结构图 Char1"/>
    <w:basedOn w:val="820"/>
    <w:uiPriority w:val="99"/>
    <w:semiHidden/>
    <w:qFormat/>
    <w:rPr>
      <w:rFonts w:ascii="宋体"/>
      <w:sz w:val="18"/>
      <w:szCs w:val="18"/>
    </w:rPr>
  </w:style>
  <w:style w:type="character" w:styleId="1061" w:customStyle="1">
    <w:name w:val="Char Char3"/>
    <w:basedOn w:val="820"/>
    <w:qFormat/>
    <w:rPr>
      <w:b/>
      <w:bCs/>
      <w:sz w:val="32"/>
      <w:szCs w:val="32"/>
    </w:rPr>
  </w:style>
  <w:style w:type="character" w:styleId="1062" w:customStyle="1">
    <w:name w:val="z-窗体顶端 Char2"/>
    <w:basedOn w:val="820"/>
    <w:uiPriority w:val="99"/>
    <w:semiHidden/>
    <w:qFormat/>
    <w:rPr>
      <w:rFonts w:ascii="Arial" w:hAnsi="Arial" w:eastAsia="楷体_GB2312" w:cs="Arial"/>
      <w:vanish/>
      <w:sz w:val="16"/>
      <w:szCs w:val="16"/>
    </w:rPr>
  </w:style>
  <w:style w:type="character" w:styleId="1063" w:customStyle="1">
    <w:name w:val="尾注文本 Char1"/>
    <w:basedOn w:val="820"/>
    <w:uiPriority w:val="99"/>
    <w:semiHidden/>
    <w:qFormat/>
    <w:rPr>
      <w:rFonts w:eastAsia="楷体_GB2312"/>
      <w:sz w:val="26"/>
    </w:rPr>
  </w:style>
  <w:style w:type="character" w:styleId="1064" w:customStyle="1">
    <w:name w:val="Char Char"/>
    <w:basedOn w:val="820"/>
    <w:qFormat/>
    <w:rPr>
      <w:rFonts w:eastAsia="黑体"/>
      <w:bCs/>
      <w:sz w:val="28"/>
      <w:szCs w:val="32"/>
      <w:lang w:val="en-US" w:eastAsia="zh-CN" w:bidi="ar-SA"/>
    </w:rPr>
  </w:style>
  <w:style w:type="character" w:styleId="1065" w:customStyle="1">
    <w:name w:val="font11"/>
    <w:qFormat/>
    <w:rPr>
      <w:rFonts w:hint="eastAsia" w:ascii="宋体" w:hAnsi="宋体" w:eastAsia="宋体" w:cs="宋体"/>
      <w:color w:val="000000"/>
      <w:sz w:val="20"/>
      <w:szCs w:val="20"/>
      <w:u w:val="none"/>
    </w:rPr>
  </w:style>
  <w:style w:type="character" w:styleId="1066" w:customStyle="1">
    <w:name w:val="z-窗体底端 Char1"/>
    <w:basedOn w:val="820"/>
    <w:link w:val="1067"/>
    <w:qFormat/>
    <w:rPr>
      <w:rFonts w:ascii="Arial" w:hAnsi="Arial" w:cs="Arial"/>
      <w:vanish/>
      <w:sz w:val="16"/>
      <w:szCs w:val="16"/>
    </w:rPr>
  </w:style>
  <w:style w:type="paragraph" w:styleId="1067" w:customStyle="1">
    <w:name w:val="z-窗体底端2"/>
    <w:basedOn w:val="735"/>
    <w:next w:val="735"/>
    <w:link w:val="1066"/>
    <w:qFormat/>
    <w:pPr>
      <w:jc w:val="center"/>
      <w:pBdr>
        <w:top w:val="single" w:color="000000" w:sz="6" w:space="1"/>
      </w:pBdr>
    </w:pPr>
    <w:rPr>
      <w:rFonts w:ascii="Arial" w:hAnsi="Arial" w:eastAsia="宋体" w:cs="Arial"/>
      <w:vanish/>
      <w:sz w:val="16"/>
      <w:szCs w:val="16"/>
    </w:rPr>
  </w:style>
  <w:style w:type="character" w:styleId="1068" w:customStyle="1">
    <w:name w:val="Char Char1"/>
    <w:basedOn w:val="820"/>
    <w:qFormat/>
    <w:rPr>
      <w:rFonts w:ascii="Arial" w:hAnsi="Arial" w:eastAsia="黑体"/>
      <w:b/>
      <w:bCs/>
      <w:sz w:val="32"/>
      <w:szCs w:val="32"/>
      <w:lang w:val="en-US" w:eastAsia="zh-CN" w:bidi="ar-SA"/>
    </w:rPr>
  </w:style>
  <w:style w:type="character" w:styleId="1069" w:customStyle="1">
    <w:name w:val="Char Char2"/>
    <w:basedOn w:val="820"/>
    <w:qFormat/>
    <w:rPr>
      <w:rFonts w:ascii="Arial" w:hAnsi="Arial" w:eastAsia="黑体" w:cs="Arial"/>
      <w:b/>
      <w:bCs/>
      <w:sz w:val="32"/>
      <w:szCs w:val="32"/>
      <w:lang w:val="en-US" w:eastAsia="zh-CN" w:bidi="ar-SA"/>
    </w:rPr>
  </w:style>
  <w:style w:type="character" w:styleId="1070" w:customStyle="1">
    <w:name w:val="Heading #1|1_"/>
    <w:basedOn w:val="820"/>
    <w:link w:val="1071"/>
    <w:qFormat/>
    <w:rPr>
      <w:rFonts w:ascii="宋体" w:hAnsi="宋体" w:eastAsia="宋体" w:cs="宋体"/>
      <w:color w:val="fc5c77"/>
      <w:sz w:val="138"/>
      <w:szCs w:val="138"/>
      <w:lang w:val="zh-TW" w:eastAsia="zh-TW" w:bidi="zh-TW"/>
    </w:rPr>
  </w:style>
  <w:style w:type="paragraph" w:styleId="1071" w:customStyle="1">
    <w:name w:val="Heading #1|1"/>
    <w:basedOn w:val="735"/>
    <w:link w:val="1070"/>
    <w:qFormat/>
    <w:pPr>
      <w:jc w:val="left"/>
      <w:spacing w:before="1160" w:after="1020"/>
      <w:outlineLvl w:val="0"/>
    </w:pPr>
    <w:rPr>
      <w:rFonts w:ascii="宋体" w:hAnsi="宋体" w:eastAsia="宋体" w:cs="宋体"/>
      <w:color w:val="fc5c77"/>
      <w:sz w:val="138"/>
      <w:szCs w:val="138"/>
      <w:lang w:val="zh-TW" w:eastAsia="zh-TW" w:bidi="zh-TW"/>
    </w:rPr>
  </w:style>
  <w:style w:type="paragraph" w:styleId="1072" w:customStyle="1">
    <w:name w:val="Char"/>
    <w:basedOn w:val="735"/>
    <w:qFormat/>
    <w:rPr>
      <w:rFonts w:ascii="Tahoma" w:hAnsi="Tahoma" w:eastAsia="宋体"/>
      <w:sz w:val="24"/>
    </w:rPr>
  </w:style>
  <w:style w:type="paragraph" w:styleId="1073" w:customStyle="1">
    <w:name w:val="样式 样式 宋体 + 首行缩进:  1 字符"/>
    <w:basedOn w:val="1074"/>
    <w:qFormat/>
    <w:pPr>
      <w:spacing w:line="240" w:lineRule="auto"/>
    </w:pPr>
  </w:style>
  <w:style w:type="paragraph" w:styleId="1074" w:customStyle="1">
    <w:name w:val="样式 宋体"/>
    <w:basedOn w:val="735"/>
    <w:qFormat/>
    <w:pPr>
      <w:ind w:firstLine="100"/>
      <w:spacing w:line="360" w:lineRule="auto"/>
    </w:pPr>
    <w:rPr>
      <w:rFonts w:ascii="宋体" w:hAnsi="宋体" w:eastAsia="宋体" w:cs="宋体"/>
      <w:sz w:val="21"/>
    </w:rPr>
  </w:style>
  <w:style w:type="paragraph" w:styleId="1075" w:customStyle="1">
    <w:name w:val="1"/>
    <w:basedOn w:val="735"/>
    <w:qFormat/>
    <w:rPr>
      <w:rFonts w:eastAsia="宋体"/>
      <w:sz w:val="21"/>
      <w:szCs w:val="24"/>
    </w:rPr>
  </w:style>
  <w:style w:type="paragraph" w:styleId="1076" w:customStyle="1">
    <w:name w:val="修订1"/>
    <w:uiPriority w:val="99"/>
    <w:unhideWhenUsed/>
    <w:qFormat/>
    <w:rPr>
      <w:rFonts w:eastAsia="楷体_GB2312"/>
      <w:sz w:val="26"/>
    </w:rPr>
  </w:style>
  <w:style w:type="paragraph" w:styleId="1077" w:customStyle="1">
    <w:name w:val="WPS Plain"/>
    <w:qFormat/>
  </w:style>
  <w:style w:type="paragraph" w:styleId="1078" w:customStyle="1">
    <w:name w:val="无间隔1"/>
    <w:qFormat/>
    <w:pPr>
      <w:jc w:val="both"/>
      <w:widowControl w:val="off"/>
    </w:pPr>
    <w:rPr>
      <w:sz w:val="21"/>
      <w:szCs w:val="24"/>
    </w:rPr>
  </w:style>
  <w:style w:type="paragraph" w:styleId="1079" w:customStyle="1">
    <w:name w:val="纯文本11"/>
    <w:basedOn w:val="735"/>
    <w:uiPriority w:val="99"/>
    <w:qFormat/>
    <w:rPr>
      <w:rFonts w:ascii="宋体" w:hAnsi="Courier New"/>
    </w:rPr>
  </w:style>
  <w:style w:type="paragraph" w:styleId="1080" w:customStyle="1">
    <w:name w:val="正文首行缩进两字符"/>
    <w:basedOn w:val="735"/>
    <w:qFormat/>
    <w:pPr>
      <w:ind w:firstLine="200"/>
      <w:spacing w:line="360" w:lineRule="auto"/>
    </w:pPr>
    <w:rPr>
      <w:rFonts w:eastAsia="宋体"/>
      <w:sz w:val="21"/>
      <w:szCs w:val="24"/>
    </w:rPr>
  </w:style>
  <w:style w:type="paragraph" w:styleId="1081" w:customStyle="1">
    <w:name w:val="Address"/>
    <w:basedOn w:val="735"/>
    <w:qFormat/>
    <w:pPr>
      <w:jc w:val="left"/>
      <w:spacing w:line="249" w:lineRule="auto"/>
      <w:widowControl/>
    </w:pPr>
    <w:rPr>
      <w:rFonts w:ascii="Centaur" w:hAnsi="Centaur"/>
      <w:sz w:val="20"/>
      <w:lang w:eastAsia="en-US"/>
    </w:rPr>
  </w:style>
  <w:style w:type="paragraph" w:styleId="1082" w:customStyle="1">
    <w:name w:val="样式 标题 2 + Times New Roman 四号 非加粗 段前: 5 磅 段后: 0 磅 行距: 固定值 20..."/>
    <w:basedOn w:val="970"/>
    <w:qFormat/>
    <w:pPr>
      <w:jc w:val="center"/>
      <w:spacing w:before="100" w:after="0" w:line="400" w:lineRule="exact"/>
    </w:pPr>
    <w:rPr>
      <w:rFonts w:ascii="Times New Roman" w:hAnsi="Times New Roman" w:cs="宋体"/>
      <w:b w:val="0"/>
      <w:bCs w:val="0"/>
      <w:sz w:val="28"/>
      <w:szCs w:val="20"/>
    </w:rPr>
  </w:style>
  <w:style w:type="paragraph" w:styleId="1083" w:customStyle="1">
    <w:name w:val="Default"/>
    <w:qFormat/>
    <w:pPr>
      <w:widowControl w:val="off"/>
    </w:pPr>
    <w:rPr>
      <w:rFonts w:ascii="仿宋" w:eastAsia="仿宋" w:cs="仿宋"/>
      <w:color w:val="000000"/>
      <w:sz w:val="24"/>
      <w:szCs w:val="24"/>
    </w:rPr>
  </w:style>
  <w:style w:type="paragraph" w:styleId="1084" w:customStyle="1">
    <w:name w:val="普通文字"/>
    <w:basedOn w:val="735"/>
    <w:next w:val="735"/>
    <w:uiPriority w:val="99"/>
    <w:qFormat/>
    <w:rPr>
      <w:rFonts w:ascii="宋体" w:hAnsi="Calibri" w:eastAsia="宋体"/>
      <w:sz w:val="24"/>
      <w:szCs w:val="24"/>
    </w:rPr>
  </w:style>
  <w:style w:type="paragraph" w:styleId="1085" w:customStyle="1">
    <w:name w:val="Char1"/>
    <w:basedOn w:val="735"/>
    <w:qFormat/>
    <w:pPr>
      <w:tabs>
        <w:tab w:val="left" w:pos="360" w:leader="none"/>
      </w:tabs>
    </w:pPr>
    <w:rPr>
      <w:rFonts w:eastAsia="宋体"/>
      <w:sz w:val="24"/>
      <w:szCs w:val="24"/>
    </w:rPr>
  </w:style>
  <w:style w:type="paragraph" w:styleId="1086">
    <w:name w:val="No Spacing"/>
    <w:qFormat/>
    <w:pPr>
      <w:jc w:val="both"/>
      <w:widowControl w:val="off"/>
    </w:pPr>
    <w:rPr>
      <w:sz w:val="21"/>
      <w:szCs w:val="24"/>
    </w:rPr>
  </w:style>
  <w:style w:type="paragraph" w:styleId="1087" w:customStyle="1">
    <w:name w:val="纯文本3"/>
    <w:basedOn w:val="735"/>
    <w:qFormat/>
    <w:rPr>
      <w:rFonts w:hint="eastAsia" w:ascii="宋体" w:hAnsi="Courier New"/>
      <w:sz w:val="28"/>
    </w:rPr>
  </w:style>
  <w:style w:type="paragraph" w:styleId="1088">
    <w:name w:val="List Paragraph"/>
    <w:basedOn w:val="735"/>
    <w:qFormat/>
    <w:pPr>
      <w:ind w:firstLine="420"/>
    </w:pPr>
    <w:rPr>
      <w:rFonts w:ascii="Calibri" w:hAnsi="Calibri" w:eastAsia="宋体"/>
      <w:sz w:val="21"/>
      <w:szCs w:val="22"/>
    </w:rPr>
  </w:style>
  <w:style w:type="paragraph" w:styleId="1089" w:customStyle="1">
    <w:name w:val="正文1"/>
    <w:basedOn w:val="735"/>
    <w:qFormat/>
    <w:pPr>
      <w:ind w:left="855" w:hanging="420"/>
      <w:spacing w:before="100" w:beforeAutospacing="1" w:after="100" w:afterAutospacing="1" w:line="360" w:lineRule="auto"/>
    </w:pPr>
    <w:rPr>
      <w:rFonts w:ascii="宋体" w:hAnsi="宋体" w:eastAsia="宋体" w:cs="宋体"/>
      <w:sz w:val="24"/>
      <w:szCs w:val="24"/>
    </w:rPr>
  </w:style>
  <w:style w:type="paragraph" w:styleId="1090" w:customStyle="1">
    <w:name w:val="纯文本4"/>
    <w:basedOn w:val="735"/>
    <w:qFormat/>
    <w:rPr>
      <w:rFonts w:ascii="宋体" w:hAnsi="Courier New" w:eastAsia="宋体"/>
      <w:sz w:val="28"/>
      <w:szCs w:val="24"/>
    </w:rPr>
  </w:style>
  <w:style w:type="paragraph" w:styleId="1091" w:customStyle="1">
    <w:name w:val="样式2"/>
    <w:basedOn w:val="735"/>
    <w:next w:val="821"/>
    <w:qFormat/>
    <w:pPr>
      <w:jc w:val="center"/>
    </w:pPr>
    <w:rPr>
      <w:rFonts w:ascii="宋体" w:hAnsi="宋体" w:eastAsia="宋体" w:cs="Arial"/>
      <w:b/>
      <w:color w:val="000000"/>
      <w:sz w:val="21"/>
      <w:szCs w:val="21"/>
    </w:rPr>
  </w:style>
  <w:style w:type="paragraph" w:styleId="1092" w:customStyle="1">
    <w:name w:val="p0"/>
    <w:basedOn w:val="735"/>
    <w:qFormat/>
    <w:pPr>
      <w:widowControl/>
    </w:pPr>
    <w:rPr>
      <w:rFonts w:ascii="黑体" w:hAnsi="黑体"/>
      <w:szCs w:val="21"/>
    </w:rPr>
  </w:style>
  <w:style w:type="paragraph" w:styleId="1093" w:customStyle="1">
    <w:name w:val="正文 + 黑体"/>
    <w:basedOn w:val="735"/>
    <w:qFormat/>
    <w:pPr>
      <w:jc w:val="left"/>
    </w:pPr>
    <w:rPr>
      <w:rFonts w:ascii="黑体" w:hAnsi="宋体" w:eastAsia="黑体" w:cs="TimesNewRomanPSMT"/>
      <w:sz w:val="24"/>
      <w:szCs w:val="24"/>
    </w:rPr>
  </w:style>
  <w:style w:type="paragraph" w:styleId="1094" w:customStyle="1">
    <w:name w:val="无间隔11"/>
    <w:qFormat/>
    <w:pPr>
      <w:jc w:val="both"/>
      <w:widowControl w:val="off"/>
    </w:pPr>
    <w:rPr>
      <w:sz w:val="21"/>
      <w:szCs w:val="24"/>
    </w:rPr>
  </w:style>
  <w:style w:type="paragraph" w:styleId="1095" w:customStyle="1">
    <w:name w:val="z-窗体顶端2"/>
    <w:basedOn w:val="735"/>
    <w:next w:val="735"/>
    <w:unhideWhenUsed/>
    <w:qFormat/>
    <w:pPr>
      <w:jc w:val="center"/>
      <w:pBdr>
        <w:bottom w:val="single" w:color="000000" w:sz="6" w:space="1"/>
      </w:pBdr>
    </w:pPr>
    <w:rPr>
      <w:rFonts w:ascii="Arial" w:hAnsi="Arial" w:eastAsia="宋体" w:cs="Arial"/>
      <w:vanish/>
      <w:sz w:val="16"/>
      <w:szCs w:val="16"/>
    </w:rPr>
  </w:style>
  <w:style w:type="paragraph" w:styleId="1096" w:customStyle="1">
    <w:name w:val="列出段落1"/>
    <w:basedOn w:val="735"/>
    <w:qFormat/>
    <w:pPr>
      <w:ind w:firstLine="420"/>
    </w:pPr>
  </w:style>
  <w:style w:type="paragraph" w:styleId="1097" w:customStyle="1">
    <w:name w:val="金安桥正文"/>
    <w:basedOn w:val="986"/>
    <w:qFormat/>
    <w:pPr>
      <w:ind w:firstLine="200"/>
      <w:jc w:val="left"/>
      <w:spacing w:line="300" w:lineRule="auto"/>
    </w:pPr>
    <w:rPr>
      <w:rFonts w:ascii="Times New Roman"/>
      <w:sz w:val="24"/>
    </w:rPr>
  </w:style>
  <w:style w:type="paragraph" w:styleId="1098" w:customStyle="1">
    <w:name w:val="普通正文"/>
    <w:basedOn w:val="735"/>
    <w:qFormat/>
    <w:pPr>
      <w:ind w:firstLine="480"/>
      <w:jc w:val="left"/>
      <w:spacing w:before="120" w:after="120" w:line="360" w:lineRule="auto"/>
    </w:pPr>
    <w:rPr>
      <w:rFonts w:ascii="Arial" w:hAnsi="Arial"/>
      <w:sz w:val="24"/>
    </w:rPr>
  </w:style>
  <w:style w:type="paragraph" w:styleId="1099"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100" w:customStyle="1">
    <w:name w:val="样式 标题 3 + (中文) 黑体 小四 非加粗 段前: 7.8 磅 段后: 0 磅 行距: 固定值 20 磅"/>
    <w:basedOn w:val="971"/>
    <w:next w:val="735"/>
    <w:qFormat/>
    <w:pPr>
      <w:spacing w:before="0" w:after="0" w:line="400" w:lineRule="exact"/>
    </w:pPr>
    <w:rPr>
      <w:rFonts w:eastAsia="宋体"/>
      <w:sz w:val="24"/>
      <w:szCs w:val="20"/>
    </w:rPr>
  </w:style>
  <w:style w:type="paragraph" w:styleId="1101" w:customStyle="1">
    <w:name w:val="red"/>
    <w:basedOn w:val="735"/>
    <w:qFormat/>
    <w:pPr>
      <w:jc w:val="left"/>
      <w:spacing w:before="100" w:beforeAutospacing="1" w:after="100" w:afterAutospacing="1"/>
      <w:widowControl/>
    </w:pPr>
    <w:rPr>
      <w:rFonts w:ascii="宋体" w:hAnsi="宋体" w:eastAsia="宋体" w:cs="宋体"/>
      <w:sz w:val="21"/>
      <w:szCs w:val="21"/>
    </w:rPr>
  </w:style>
  <w:style w:type="paragraph" w:styleId="1102" w:customStyle="1">
    <w:name w:val="列出段落11"/>
    <w:basedOn w:val="735"/>
    <w:qFormat/>
    <w:pPr>
      <w:ind w:firstLine="420"/>
    </w:pPr>
    <w:rPr>
      <w:rFonts w:ascii="Calibri" w:hAnsi="Calibri" w:eastAsia="宋体"/>
      <w:sz w:val="21"/>
      <w:szCs w:val="22"/>
    </w:rPr>
  </w:style>
  <w:style w:type="paragraph" w:styleId="1103" w:customStyle="1">
    <w:name w:val="默认段落字体 Para Char Char Char Char Char Char Char"/>
    <w:basedOn w:val="735"/>
    <w:qFormat/>
    <w:rPr>
      <w:rFonts w:ascii="Tahoma" w:hAnsi="Tahoma" w:eastAsia="宋体"/>
      <w:sz w:val="24"/>
    </w:rPr>
  </w:style>
  <w:style w:type="paragraph" w:styleId="1104" w:customStyle="1">
    <w:name w:val="_Style 4"/>
    <w:basedOn w:val="735"/>
    <w:qFormat/>
    <w:pPr>
      <w:ind w:firstLine="420"/>
    </w:pPr>
    <w:rPr>
      <w:rFonts w:ascii="Calibri" w:hAnsi="Calibri" w:eastAsia="宋体"/>
      <w:sz w:val="21"/>
      <w:szCs w:val="22"/>
    </w:rPr>
  </w:style>
  <w:style w:type="paragraph" w:styleId="1105" w:customStyle="1">
    <w:name w:val="Char Char Char Char Char Char Char Char Char Char"/>
    <w:basedOn w:val="735"/>
    <w:qFormat/>
    <w:pPr>
      <w:ind w:hanging="425"/>
      <w:keepNext/>
      <w:spacing w:before="80" w:after="80"/>
      <w:widowControl/>
      <w:tabs>
        <w:tab w:val="left" w:pos="425" w:leader="none"/>
      </w:tabs>
    </w:pPr>
    <w:rPr>
      <w:rFonts w:eastAsia="宋体"/>
      <w:sz w:val="20"/>
    </w:rPr>
  </w:style>
  <w:style w:type="paragraph" w:styleId="1106" w:customStyle="1">
    <w:name w:val="z-窗体底端3"/>
    <w:basedOn w:val="735"/>
    <w:next w:val="735"/>
    <w:unhideWhenUsed/>
    <w:qFormat/>
    <w:pPr>
      <w:jc w:val="center"/>
      <w:pBdr>
        <w:top w:val="single" w:color="000000" w:sz="6" w:space="1"/>
      </w:pBdr>
    </w:pPr>
    <w:rPr>
      <w:rFonts w:ascii="Arial" w:hAnsi="Arial" w:eastAsia="宋体" w:cs="Arial"/>
      <w:vanish/>
      <w:sz w:val="16"/>
      <w:szCs w:val="16"/>
    </w:rPr>
  </w:style>
  <w:style w:type="paragraph" w:styleId="1107" w:customStyle="1">
    <w:name w:val="纯文本12"/>
    <w:basedOn w:val="735"/>
    <w:next w:val="972"/>
    <w:unhideWhenUsed/>
    <w:qFormat/>
    <w:rPr>
      <w:rFonts w:ascii="宋体" w:hAnsi="Courier New"/>
    </w:rPr>
  </w:style>
  <w:style w:type="character" w:styleId="1108" w:customStyle="1">
    <w:name w:val="批注框文本 Char1"/>
    <w:basedOn w:val="738"/>
    <w:link w:val="749"/>
    <w:uiPriority w:val="99"/>
    <w:semiHidden/>
    <w:qFormat/>
    <w:rPr>
      <w:rFonts w:eastAsia="楷体_GB2312"/>
      <w:sz w:val="18"/>
      <w:szCs w:val="18"/>
    </w:rPr>
  </w:style>
  <w:style w:type="character" w:styleId="1109" w:customStyle="1">
    <w:name w:val="页眉 Char2"/>
    <w:basedOn w:val="738"/>
    <w:link w:val="751"/>
    <w:uiPriority w:val="99"/>
    <w:semiHidden/>
    <w:qFormat/>
    <w:rPr>
      <w:rFonts w:eastAsia="楷体_GB2312"/>
      <w:sz w:val="18"/>
      <w:szCs w:val="18"/>
    </w:rPr>
  </w:style>
  <w:style w:type="character" w:styleId="1110" w:customStyle="1">
    <w:name w:val="页脚 Char2"/>
    <w:basedOn w:val="738"/>
    <w:link w:val="750"/>
    <w:uiPriority w:val="99"/>
    <w:semiHidden/>
    <w:qFormat/>
    <w:rPr>
      <w:rFonts w:eastAsia="楷体_GB2312"/>
      <w:sz w:val="18"/>
      <w:szCs w:val="18"/>
    </w:rPr>
  </w:style>
  <w:style w:type="character" w:styleId="1111" w:customStyle="1">
    <w:name w:val="正文文本缩进 Char1"/>
    <w:basedOn w:val="738"/>
    <w:link w:val="743"/>
    <w:uiPriority w:val="99"/>
    <w:semiHidden/>
    <w:qFormat/>
    <w:rPr>
      <w:rFonts w:eastAsia="楷体_GB2312"/>
      <w:sz w:val="26"/>
    </w:rPr>
  </w:style>
  <w:style w:type="character" w:styleId="1112" w:customStyle="1">
    <w:name w:val="正文首行缩进 2 Char"/>
    <w:basedOn w:val="1111"/>
    <w:link w:val="761"/>
    <w:uiPriority w:val="99"/>
    <w:semiHidden/>
    <w:qFormat/>
    <w:rPr>
      <w:rFonts w:ascii="楷体_GB2312" w:hAnsi="Calibri"/>
      <w:sz w:val="32"/>
      <w:szCs w:val="22"/>
    </w:rPr>
  </w:style>
  <w:style w:type="paragraph" w:styleId="1113" w:customStyle="1">
    <w:name w:val="DAS正文"/>
    <w:basedOn w:val="735"/>
    <w:qFormat/>
    <w:pPr>
      <w:ind w:right="181" w:firstLine="480"/>
      <w:spacing w:line="360" w:lineRule="auto"/>
    </w:pPr>
    <w:rPr>
      <w:rFonts w:ascii="Verdana" w:hAnsi="Verdana"/>
    </w:rPr>
  </w:style>
  <w:style w:type="paragraph" w:styleId="1114" w:customStyle="1">
    <w:name w:val="正文首行缩进 21"/>
    <w:basedOn w:val="735"/>
    <w:uiPriority w:val="99"/>
    <w:qFormat/>
    <w:pPr>
      <w:ind w:firstLine="420"/>
    </w:pPr>
    <w:rPr>
      <w:rFonts w:ascii="宋体" w:eastAsia="宋体"/>
      <w:sz w:val="28"/>
    </w:rPr>
  </w:style>
  <w:style w:type="character" w:styleId="1115" w:customStyle="1">
    <w:name w:val="font31"/>
    <w:basedOn w:val="738"/>
    <w:qFormat/>
    <w:rPr>
      <w:rFonts w:hint="eastAsia" w:ascii="宋体" w:hAnsi="宋体" w:eastAsia="宋体" w:cs="宋体"/>
      <w:b/>
      <w:bCs/>
      <w:color w:val="000000"/>
      <w:sz w:val="20"/>
      <w:szCs w:val="20"/>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s://www.crcrfsp.com/" TargetMode="External"/><Relationship Id="rId16" Type="http://schemas.openxmlformats.org/officeDocument/2006/relationships/hyperlink" Target="http://jszfcg.jsczt.cn/&#65289;&#33719;&#21462;&#25307;&#26631;&#25991;&#20214;&#65292;&#24182;&#20110;2023&#24180;11&#26376;"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50"/>
    <customShpInfo spid="_x0000_s2049"/>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CC</dc:creator>
  <cp:lastModifiedBy>钱晨</cp:lastModifiedBy>
  <cp:revision>62</cp:revision>
  <dcterms:created xsi:type="dcterms:W3CDTF">2026-05-28T05:28:00Z</dcterms:created>
  <dcterms:modified xsi:type="dcterms:W3CDTF">2026-06-10T08:36:10Z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8363F3A604B848D98E4616800E248A50_13</vt:lpwstr>
  </property>
  <property fmtid="{D5CDD505-2E9C-101B-9397-08002B2CF9AE}" pid="4" name="KSOTemplateDocerSaveRecord">
    <vt:lpwstr>eyJoZGlkIjoiYzkzMGZjN2Y3ODM2YzZjN2RkZmFiOWE5ZTRiMWNlMTQiLCJ1c2VySWQiOiIzMjQzNTcwMzEifQ==</vt:lpwstr>
  </property>
</Properties>
</file>