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DB371">
      <w:pPr>
        <w:spacing w:line="1040" w:lineRule="exact"/>
        <w:jc w:val="center"/>
        <w:rPr>
          <w:rFonts w:ascii="黑体" w:hAnsi="黑体" w:eastAsia="黑体"/>
          <w:b/>
          <w:color w:val="auto"/>
          <w:sz w:val="72"/>
          <w:szCs w:val="72"/>
        </w:rPr>
      </w:pPr>
    </w:p>
    <w:p w14:paraId="55A99E23">
      <w:pPr>
        <w:spacing w:line="1040" w:lineRule="exact"/>
        <w:jc w:val="center"/>
        <w:rPr>
          <w:rFonts w:ascii="黑体" w:hAnsi="黑体" w:eastAsia="黑体"/>
          <w:b/>
          <w:color w:val="auto"/>
          <w:sz w:val="84"/>
          <w:szCs w:val="84"/>
        </w:rPr>
      </w:pPr>
    </w:p>
    <w:p w14:paraId="6724855F">
      <w:pPr>
        <w:tabs>
          <w:tab w:val="left" w:pos="1073"/>
        </w:tabs>
        <w:spacing w:line="1040" w:lineRule="exact"/>
        <w:jc w:val="left"/>
        <w:rPr>
          <w:rFonts w:ascii="黑体" w:hAnsi="黑体" w:eastAsia="黑体"/>
          <w:b/>
          <w:color w:val="auto"/>
          <w:sz w:val="52"/>
          <w:szCs w:val="52"/>
        </w:rPr>
      </w:pPr>
      <w:r>
        <w:rPr>
          <w:rFonts w:hint="eastAsia" w:ascii="黑体" w:hAnsi="黑体" w:eastAsia="黑体"/>
          <w:b/>
          <w:color w:val="auto"/>
          <w:sz w:val="52"/>
          <w:szCs w:val="52"/>
        </w:rPr>
        <w:tab/>
      </w:r>
      <w:r>
        <w:rPr>
          <w:rFonts w:hint="eastAsia" w:ascii="黑体" w:hAnsi="黑体" w:eastAsia="黑体"/>
          <w:b/>
          <w:color w:val="auto"/>
          <w:sz w:val="52"/>
          <w:szCs w:val="52"/>
        </w:rPr>
        <w:t>“苏</w:t>
      </w:r>
      <w:r>
        <w:rPr>
          <w:rFonts w:hint="eastAsia" w:ascii="黑体" w:hAnsi="黑体" w:eastAsia="黑体"/>
          <w:b/>
          <w:color w:val="auto"/>
          <w:sz w:val="52"/>
          <w:szCs w:val="52"/>
          <w:lang w:val="en-US" w:eastAsia="zh-CN"/>
        </w:rPr>
        <w:t>采</w:t>
      </w:r>
      <w:r>
        <w:rPr>
          <w:rFonts w:hint="eastAsia" w:ascii="黑体" w:hAnsi="黑体" w:eastAsia="黑体"/>
          <w:b/>
          <w:color w:val="auto"/>
          <w:sz w:val="52"/>
          <w:szCs w:val="52"/>
        </w:rPr>
        <w:t>云全流程不见面交易”</w:t>
      </w:r>
    </w:p>
    <w:p w14:paraId="7F1D737C">
      <w:pPr>
        <w:spacing w:line="1040" w:lineRule="exact"/>
        <w:jc w:val="center"/>
        <w:rPr>
          <w:rFonts w:ascii="黑体" w:hAnsi="黑体" w:eastAsia="黑体"/>
          <w:b/>
          <w:color w:val="auto"/>
          <w:sz w:val="52"/>
          <w:szCs w:val="52"/>
        </w:rPr>
      </w:pPr>
      <w:r>
        <w:rPr>
          <w:rFonts w:hint="eastAsia" w:ascii="黑体" w:hAnsi="黑体" w:eastAsia="黑体"/>
          <w:b/>
          <w:color w:val="auto"/>
          <w:sz w:val="52"/>
          <w:szCs w:val="52"/>
        </w:rPr>
        <w:t>公 开 招 标 文 件</w:t>
      </w:r>
    </w:p>
    <w:p w14:paraId="27E4646B">
      <w:pPr>
        <w:tabs>
          <w:tab w:val="center" w:pos="4621"/>
        </w:tabs>
        <w:jc w:val="left"/>
        <w:rPr>
          <w:rFonts w:ascii="黑体" w:hAnsi="黑体" w:eastAsia="黑体"/>
          <w:b/>
          <w:color w:val="auto"/>
          <w:sz w:val="72"/>
        </w:rPr>
      </w:pPr>
    </w:p>
    <w:p w14:paraId="7FED26D2">
      <w:pPr>
        <w:rPr>
          <w:rFonts w:ascii="黑体" w:hAnsi="黑体" w:eastAsia="黑体"/>
          <w:b/>
          <w:color w:val="auto"/>
          <w:sz w:val="32"/>
        </w:rPr>
      </w:pPr>
      <w:r>
        <w:rPr>
          <w:rFonts w:hint="eastAsia" w:ascii="黑体" w:hAnsi="黑体" w:eastAsia="黑体"/>
          <w:b/>
          <w:color w:val="auto"/>
          <w:sz w:val="32"/>
        </w:rPr>
        <w:t xml:space="preserve"> </w:t>
      </w:r>
    </w:p>
    <w:p w14:paraId="47F75135">
      <w:pPr>
        <w:rPr>
          <w:rFonts w:ascii="黑体" w:hAnsi="黑体" w:eastAsia="黑体"/>
          <w:b/>
          <w:color w:val="auto"/>
          <w:sz w:val="32"/>
        </w:rPr>
      </w:pPr>
    </w:p>
    <w:p w14:paraId="75F32F19">
      <w:pPr>
        <w:rPr>
          <w:rFonts w:ascii="黑体" w:hAnsi="黑体" w:eastAsia="黑体"/>
          <w:b/>
          <w:color w:val="auto"/>
          <w:sz w:val="32"/>
        </w:rPr>
      </w:pPr>
    </w:p>
    <w:p w14:paraId="0D62D1EA">
      <w:pPr>
        <w:rPr>
          <w:rFonts w:ascii="宋体" w:hAnsi="宋体"/>
          <w:color w:val="auto"/>
          <w:sz w:val="24"/>
        </w:rPr>
      </w:pPr>
    </w:p>
    <w:p w14:paraId="231BACFD">
      <w:pPr>
        <w:spacing w:line="760" w:lineRule="exact"/>
        <w:ind w:left="2525" w:hanging="1807"/>
        <w:rPr>
          <w:rFonts w:ascii="黑体" w:hAnsi="黑体" w:eastAsia="黑体"/>
          <w:b/>
          <w:color w:val="auto"/>
          <w:sz w:val="36"/>
          <w:szCs w:val="36"/>
        </w:rPr>
      </w:pPr>
      <w:r>
        <w:rPr>
          <w:rFonts w:hint="eastAsia" w:ascii="黑体" w:hAnsi="黑体" w:eastAsia="黑体"/>
          <w:b/>
          <w:color w:val="auto"/>
          <w:sz w:val="36"/>
          <w:szCs w:val="36"/>
        </w:rPr>
        <w:t>项目名称:盱眙县应急指挥体系及灾害监测预警能力提升项目</w:t>
      </w:r>
    </w:p>
    <w:p w14:paraId="77C83B7A">
      <w:pPr>
        <w:spacing w:line="760" w:lineRule="exact"/>
        <w:ind w:firstLine="716"/>
        <w:rPr>
          <w:rFonts w:ascii="黑体" w:hAnsi="黑体" w:eastAsia="黑体"/>
          <w:b/>
          <w:color w:val="auto"/>
          <w:sz w:val="36"/>
          <w:szCs w:val="36"/>
        </w:rPr>
      </w:pPr>
      <w:r>
        <w:rPr>
          <w:rFonts w:hint="eastAsia" w:ascii="黑体" w:hAnsi="黑体" w:eastAsia="黑体"/>
          <w:b/>
          <w:color w:val="auto"/>
          <w:sz w:val="36"/>
          <w:szCs w:val="36"/>
        </w:rPr>
        <w:t>项目编号:JSZC-320830-HXZC-G2026-0034</w:t>
      </w:r>
    </w:p>
    <w:p w14:paraId="579EA1CB">
      <w:pPr>
        <w:spacing w:line="760" w:lineRule="exact"/>
        <w:ind w:firstLine="716"/>
        <w:rPr>
          <w:rFonts w:ascii="黑体" w:hAnsi="黑体" w:eastAsia="黑体"/>
          <w:b/>
          <w:color w:val="auto"/>
          <w:sz w:val="36"/>
          <w:szCs w:val="36"/>
        </w:rPr>
      </w:pPr>
      <w:r>
        <w:rPr>
          <w:rFonts w:hint="eastAsia" w:ascii="黑体" w:hAnsi="黑体" w:eastAsia="黑体"/>
          <w:b/>
          <w:color w:val="auto"/>
          <w:sz w:val="36"/>
          <w:szCs w:val="36"/>
        </w:rPr>
        <w:t>采购人：盱眙县应急管理局</w:t>
      </w:r>
    </w:p>
    <w:p w14:paraId="7BB1C6ED">
      <w:pPr>
        <w:spacing w:line="760" w:lineRule="exact"/>
        <w:ind w:firstLine="716"/>
        <w:rPr>
          <w:rFonts w:ascii="黑体" w:hAnsi="黑体" w:eastAsia="黑体"/>
          <w:b/>
          <w:color w:val="auto"/>
          <w:sz w:val="36"/>
          <w:szCs w:val="36"/>
        </w:rPr>
      </w:pPr>
      <w:r>
        <w:rPr>
          <w:rFonts w:hint="eastAsia" w:ascii="黑体" w:hAnsi="黑体" w:eastAsia="黑体"/>
          <w:b/>
          <w:color w:val="auto"/>
          <w:sz w:val="36"/>
          <w:szCs w:val="36"/>
        </w:rPr>
        <w:t>采购代理机构：江苏省华厦工程项目管理有限公司</w:t>
      </w:r>
    </w:p>
    <w:p w14:paraId="6E297EA9">
      <w:pPr>
        <w:pBdr>
          <w:top w:val="none" w:color="000000" w:sz="0" w:space="0"/>
          <w:left w:val="none" w:color="000000" w:sz="0" w:space="0"/>
          <w:bottom w:val="none" w:color="000000" w:sz="0" w:space="0"/>
          <w:right w:val="none" w:color="000000" w:sz="0" w:space="0"/>
        </w:pBdr>
        <w:spacing w:line="600" w:lineRule="atLeast"/>
        <w:jc w:val="center"/>
        <w:rPr>
          <w:rFonts w:ascii="黑体" w:hAnsi="黑体" w:eastAsia="黑体" w:cs="黑体"/>
          <w:b/>
          <w:color w:val="auto"/>
          <w:sz w:val="36"/>
        </w:rPr>
      </w:pPr>
    </w:p>
    <w:p w14:paraId="48ED104E">
      <w:pPr>
        <w:pBdr>
          <w:top w:val="none" w:color="000000" w:sz="0" w:space="0"/>
          <w:left w:val="none" w:color="000000" w:sz="0" w:space="0"/>
          <w:bottom w:val="none" w:color="000000" w:sz="0" w:space="0"/>
          <w:right w:val="none" w:color="000000" w:sz="0" w:space="0"/>
        </w:pBdr>
        <w:spacing w:line="600" w:lineRule="atLeast"/>
        <w:jc w:val="center"/>
        <w:rPr>
          <w:rFonts w:ascii="黑体" w:hAnsi="黑体" w:eastAsia="黑体" w:cs="黑体"/>
          <w:b/>
          <w:color w:val="auto"/>
          <w:sz w:val="36"/>
        </w:rPr>
      </w:pPr>
    </w:p>
    <w:p w14:paraId="4997645D">
      <w:pPr>
        <w:pBdr>
          <w:top w:val="none" w:color="000000" w:sz="0" w:space="0"/>
          <w:left w:val="none" w:color="000000" w:sz="0" w:space="0"/>
          <w:bottom w:val="none" w:color="000000" w:sz="0" w:space="0"/>
          <w:right w:val="none" w:color="000000" w:sz="0" w:space="0"/>
        </w:pBdr>
        <w:spacing w:line="600" w:lineRule="atLeast"/>
        <w:jc w:val="center"/>
        <w:rPr>
          <w:color w:val="auto"/>
        </w:rPr>
      </w:pPr>
      <w:r>
        <w:rPr>
          <w:rFonts w:ascii="黑体" w:hAnsi="黑体" w:eastAsia="黑体" w:cs="黑体"/>
          <w:b/>
          <w:color w:val="auto"/>
          <w:sz w:val="36"/>
        </w:rPr>
        <w:t>二〇二</w:t>
      </w:r>
      <w:r>
        <w:rPr>
          <w:rFonts w:hint="eastAsia" w:ascii="黑体" w:hAnsi="黑体" w:eastAsia="黑体" w:cs="黑体"/>
          <w:b/>
          <w:color w:val="auto"/>
          <w:sz w:val="36"/>
        </w:rPr>
        <w:t>六</w:t>
      </w:r>
      <w:r>
        <w:rPr>
          <w:rFonts w:ascii="黑体" w:hAnsi="黑体" w:eastAsia="黑体" w:cs="黑体"/>
          <w:b/>
          <w:color w:val="auto"/>
          <w:sz w:val="36"/>
        </w:rPr>
        <w:t>年</w:t>
      </w:r>
      <w:r>
        <w:rPr>
          <w:rFonts w:hint="eastAsia" w:ascii="黑体" w:hAnsi="黑体" w:eastAsia="黑体" w:cs="黑体"/>
          <w:b/>
          <w:color w:val="auto"/>
          <w:sz w:val="36"/>
        </w:rPr>
        <w:t>七</w:t>
      </w:r>
      <w:r>
        <w:rPr>
          <w:rFonts w:ascii="黑体" w:hAnsi="黑体" w:eastAsia="黑体" w:cs="黑体"/>
          <w:b/>
          <w:color w:val="auto"/>
          <w:sz w:val="36"/>
        </w:rPr>
        <w:t>月</w:t>
      </w:r>
    </w:p>
    <w:p w14:paraId="4FF2306E">
      <w:pPr>
        <w:pStyle w:val="2"/>
        <w:rPr>
          <w:color w:val="auto"/>
        </w:rPr>
      </w:pPr>
      <w:r>
        <w:rPr>
          <w:rFonts w:hint="eastAsia"/>
          <w:color w:val="auto"/>
        </w:rPr>
        <w:br w:type="column"/>
      </w:r>
      <w:r>
        <w:rPr>
          <w:color w:val="auto"/>
        </w:rPr>
        <w:t>第一章  投标邀请</w:t>
      </w:r>
    </w:p>
    <w:p w14:paraId="1938D457">
      <w:pPr>
        <w:spacing w:line="500" w:lineRule="exact"/>
        <w:ind w:left="1" w:firstLine="537"/>
        <w:rPr>
          <w:rFonts w:ascii="仿宋" w:hAnsi="仿宋" w:eastAsia="仿宋"/>
          <w:color w:val="auto"/>
          <w:sz w:val="28"/>
          <w:szCs w:val="28"/>
        </w:rPr>
      </w:pPr>
      <w:r>
        <w:rPr>
          <w:rFonts w:hint="eastAsia" w:ascii="仿宋" w:hAnsi="仿宋" w:eastAsia="仿宋"/>
          <w:color w:val="auto"/>
          <w:sz w:val="28"/>
        </w:rPr>
        <w:t>受盱眙县应急管理局的委托，江苏省华厦工程项目管理有限公司就盱眙县应急指挥体系及灾害监测预警能力提升项目进行公开招标采购，现邀请</w:t>
      </w:r>
      <w:r>
        <w:rPr>
          <w:rFonts w:hint="eastAsia" w:ascii="仿宋" w:hAnsi="仿宋" w:eastAsia="仿宋"/>
          <w:color w:val="auto"/>
          <w:sz w:val="28"/>
          <w:szCs w:val="28"/>
        </w:rPr>
        <w:t>符合条件的投标人参加投标</w:t>
      </w:r>
      <w:r>
        <w:rPr>
          <w:rFonts w:hint="eastAsia" w:ascii="仿宋" w:hAnsi="仿宋" w:eastAsia="仿宋"/>
          <w:color w:val="auto"/>
          <w:sz w:val="28"/>
        </w:rPr>
        <w:t>。</w:t>
      </w:r>
    </w:p>
    <w:p w14:paraId="3436C20E">
      <w:pPr>
        <w:spacing w:line="500" w:lineRule="exact"/>
        <w:ind w:left="1" w:firstLine="537"/>
        <w:rPr>
          <w:rFonts w:ascii="仿宋" w:hAnsi="仿宋" w:eastAsia="仿宋"/>
          <w:color w:val="auto"/>
          <w:sz w:val="28"/>
          <w:szCs w:val="28"/>
        </w:rPr>
      </w:pPr>
      <w:r>
        <w:rPr>
          <w:rFonts w:hint="eastAsia" w:ascii="仿宋" w:hAnsi="仿宋" w:eastAsia="仿宋"/>
          <w:color w:val="auto"/>
          <w:sz w:val="28"/>
          <w:szCs w:val="28"/>
        </w:rPr>
        <mc:AlternateContent>
          <mc:Choice Requires="wps">
            <w:drawing>
              <wp:anchor distT="0" distB="0" distL="0" distR="0" simplePos="0" relativeHeight="251659264" behindDoc="0" locked="0" layoutInCell="1" allowOverlap="1">
                <wp:simplePos x="0" y="0"/>
                <wp:positionH relativeFrom="column">
                  <wp:posOffset>120015</wp:posOffset>
                </wp:positionH>
                <wp:positionV relativeFrom="paragraph">
                  <wp:posOffset>144780</wp:posOffset>
                </wp:positionV>
                <wp:extent cx="5692140" cy="1456690"/>
                <wp:effectExtent l="0" t="0" r="22860" b="10160"/>
                <wp:wrapNone/>
                <wp:docPr id="1026" name="矩形 346"/>
                <wp:cNvGraphicFramePr/>
                <a:graphic xmlns:a="http://schemas.openxmlformats.org/drawingml/2006/main">
                  <a:graphicData uri="http://schemas.microsoft.com/office/word/2010/wordprocessingShape">
                    <wps:wsp>
                      <wps:cNvSpPr/>
                      <wps:spPr>
                        <a:xfrm>
                          <a:off x="0" y="0"/>
                          <a:ext cx="5692140" cy="145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441EB5">
                            <w:pPr>
                              <w:wordWrap w:val="0"/>
                              <w:spacing w:line="360" w:lineRule="auto"/>
                              <w:ind w:firstLine="539"/>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u w:val="single"/>
                              </w:rPr>
                              <w:t xml:space="preserve"> 盱眙县应急指挥体系及灾害监测预警能力提升项目 </w:t>
                            </w:r>
                            <w:r>
                              <w:rPr>
                                <w:rFonts w:hint="eastAsia" w:ascii="仿宋" w:hAnsi="仿宋" w:eastAsia="仿宋"/>
                                <w:sz w:val="28"/>
                                <w:szCs w:val="28"/>
                              </w:rPr>
                              <w:t>的潜在投标人应在淮安市政府采购网（http://czj.huaian.gov.cn/col/13924_326175/index.html）自行免费下载招标文件，并于2026年</w:t>
                            </w:r>
                            <w:r>
                              <w:rPr>
                                <w:rFonts w:hint="eastAsia" w:ascii="仿宋" w:hAnsi="仿宋" w:eastAsia="仿宋"/>
                                <w:sz w:val="28"/>
                                <w:szCs w:val="28"/>
                                <w:lang w:val="en-US" w:eastAsia="zh-CN"/>
                              </w:rPr>
                              <w:t>8</w:t>
                            </w:r>
                            <w:r>
                              <w:rPr>
                                <w:rFonts w:hint="eastAsia" w:ascii="仿宋" w:hAnsi="仿宋" w:eastAsia="仿宋"/>
                                <w:sz w:val="28"/>
                                <w:szCs w:val="28"/>
                              </w:rPr>
                              <w:t xml:space="preserve">月 </w:t>
                            </w:r>
                            <w:r>
                              <w:rPr>
                                <w:rFonts w:hint="eastAsia" w:ascii="仿宋" w:hAnsi="仿宋" w:eastAsia="仿宋"/>
                                <w:sz w:val="28"/>
                                <w:szCs w:val="28"/>
                                <w:lang w:val="en-US" w:eastAsia="zh-CN"/>
                              </w:rPr>
                              <w:t>5</w:t>
                            </w:r>
                            <w:r>
                              <w:rPr>
                                <w:rFonts w:hint="eastAsia" w:ascii="仿宋" w:hAnsi="仿宋" w:eastAsia="仿宋"/>
                                <w:sz w:val="28"/>
                                <w:szCs w:val="28"/>
                              </w:rPr>
                              <w:t>日9点00分（北京时间）前提交投标文件。</w:t>
                            </w:r>
                          </w:p>
                        </w:txbxContent>
                      </wps:txbx>
                      <wps:bodyPr wrap="square" upright="1">
                        <a:noAutofit/>
                      </wps:bodyPr>
                    </wps:wsp>
                  </a:graphicData>
                </a:graphic>
              </wp:anchor>
            </w:drawing>
          </mc:Choice>
          <mc:Fallback>
            <w:pict>
              <v:rect id="矩形 346" o:spid="_x0000_s1026" o:spt="1" style="position:absolute;left:0pt;margin-left:9.45pt;margin-top:11.4pt;height:114.7pt;width:448.2pt;z-index:251659264;mso-width-relative:page;mso-height-relative:page;" fillcolor="#FFFFFF" filled="t" stroked="t" coordsize="21600,21600" o:gfxdata="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0wjS1gAAAAkBAAAP&#10;AAAAAAAAAAEAIAAAACIAAABkcnMvZG93bnJldi54bWxQSwECFAAUAAAACACHTuJAE3mhARoCAABX&#10;BAAADgAAAAAAAAABACAAAAAlAQAAZHJzL2Uyb0RvYy54bWxQSwUGAAAAAAYABgBZAQAAsQUAAAAA&#10;">
                <v:fill on="t" focussize="0,0"/>
                <v:stroke color="#000000" joinstyle="miter"/>
                <v:imagedata o:title=""/>
                <o:lock v:ext="edit" aspectratio="f"/>
                <v:textbox>
                  <w:txbxContent>
                    <w:p w14:paraId="72441EB5">
                      <w:pPr>
                        <w:wordWrap w:val="0"/>
                        <w:spacing w:line="360" w:lineRule="auto"/>
                        <w:ind w:firstLine="539"/>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u w:val="single"/>
                        </w:rPr>
                        <w:t xml:space="preserve"> 盱眙县应急指挥体系及灾害监测预警能力提升项目 </w:t>
                      </w:r>
                      <w:r>
                        <w:rPr>
                          <w:rFonts w:hint="eastAsia" w:ascii="仿宋" w:hAnsi="仿宋" w:eastAsia="仿宋"/>
                          <w:sz w:val="28"/>
                          <w:szCs w:val="28"/>
                        </w:rPr>
                        <w:t>的潜在投标人应在淮安市政府采购网（http://czj.huaian.gov.cn/col/13924_326175/index.html）自行免费下载招标文件，并于2026年</w:t>
                      </w:r>
                      <w:r>
                        <w:rPr>
                          <w:rFonts w:hint="eastAsia" w:ascii="仿宋" w:hAnsi="仿宋" w:eastAsia="仿宋"/>
                          <w:sz w:val="28"/>
                          <w:szCs w:val="28"/>
                          <w:lang w:val="en-US" w:eastAsia="zh-CN"/>
                        </w:rPr>
                        <w:t>8</w:t>
                      </w:r>
                      <w:r>
                        <w:rPr>
                          <w:rFonts w:hint="eastAsia" w:ascii="仿宋" w:hAnsi="仿宋" w:eastAsia="仿宋"/>
                          <w:sz w:val="28"/>
                          <w:szCs w:val="28"/>
                        </w:rPr>
                        <w:t xml:space="preserve">月 </w:t>
                      </w:r>
                      <w:r>
                        <w:rPr>
                          <w:rFonts w:hint="eastAsia" w:ascii="仿宋" w:hAnsi="仿宋" w:eastAsia="仿宋"/>
                          <w:sz w:val="28"/>
                          <w:szCs w:val="28"/>
                          <w:lang w:val="en-US" w:eastAsia="zh-CN"/>
                        </w:rPr>
                        <w:t>5</w:t>
                      </w:r>
                      <w:r>
                        <w:rPr>
                          <w:rFonts w:hint="eastAsia" w:ascii="仿宋" w:hAnsi="仿宋" w:eastAsia="仿宋"/>
                          <w:sz w:val="28"/>
                          <w:szCs w:val="28"/>
                        </w:rPr>
                        <w:t>日9点00分（北京时间）前提交投标文件。</w:t>
                      </w:r>
                    </w:p>
                  </w:txbxContent>
                </v:textbox>
              </v:rect>
            </w:pict>
          </mc:Fallback>
        </mc:AlternateContent>
      </w:r>
    </w:p>
    <w:p w14:paraId="33BF729F">
      <w:pPr>
        <w:spacing w:line="500" w:lineRule="exact"/>
        <w:ind w:left="1" w:firstLine="537"/>
        <w:rPr>
          <w:rFonts w:ascii="仿宋" w:hAnsi="仿宋" w:eastAsia="仿宋"/>
          <w:color w:val="auto"/>
          <w:sz w:val="28"/>
          <w:szCs w:val="28"/>
        </w:rPr>
      </w:pPr>
    </w:p>
    <w:p w14:paraId="529D07F1">
      <w:pPr>
        <w:spacing w:line="500" w:lineRule="exact"/>
        <w:ind w:left="1" w:firstLine="537"/>
        <w:rPr>
          <w:rFonts w:ascii="仿宋" w:hAnsi="仿宋" w:eastAsia="仿宋"/>
          <w:color w:val="auto"/>
          <w:sz w:val="28"/>
          <w:szCs w:val="28"/>
        </w:rPr>
      </w:pPr>
    </w:p>
    <w:p w14:paraId="6D467BA5">
      <w:pPr>
        <w:spacing w:line="500" w:lineRule="exact"/>
        <w:ind w:left="1" w:firstLine="537"/>
        <w:rPr>
          <w:rFonts w:ascii="仿宋" w:hAnsi="仿宋" w:eastAsia="仿宋"/>
          <w:color w:val="auto"/>
          <w:sz w:val="28"/>
          <w:szCs w:val="28"/>
        </w:rPr>
      </w:pPr>
    </w:p>
    <w:p w14:paraId="440253A4">
      <w:pPr>
        <w:spacing w:line="500" w:lineRule="exact"/>
        <w:ind w:left="1" w:firstLine="537"/>
        <w:rPr>
          <w:rFonts w:ascii="仿宋" w:hAnsi="仿宋" w:eastAsia="仿宋"/>
          <w:color w:val="auto"/>
          <w:sz w:val="28"/>
          <w:szCs w:val="28"/>
        </w:rPr>
      </w:pPr>
    </w:p>
    <w:p w14:paraId="3F4F4721">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一、项目基本情况</w:t>
      </w:r>
    </w:p>
    <w:p w14:paraId="5F689600">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（一）项目编号:JSZC-320830-HXZC-G2026-0034</w:t>
      </w:r>
    </w:p>
    <w:p w14:paraId="4A4F761C">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（二）项目名称:</w:t>
      </w:r>
      <w:r>
        <w:rPr>
          <w:rFonts w:hint="eastAsia" w:ascii="仿宋" w:hAnsi="仿宋" w:eastAsia="仿宋"/>
          <w:bCs/>
          <w:color w:val="auto"/>
          <w:sz w:val="28"/>
        </w:rPr>
        <w:t>盱眙县应急指挥体系及灾害监测预警能力提升项目</w:t>
      </w:r>
      <w:r>
        <w:rPr>
          <w:rFonts w:hint="eastAsia" w:ascii="仿宋" w:hAnsi="仿宋" w:eastAsia="仿宋"/>
          <w:bCs/>
          <w:color w:val="auto"/>
          <w:sz w:val="28"/>
          <w:lang w:eastAsia="zh-CN"/>
        </w:rPr>
        <w:t>；</w:t>
      </w:r>
    </w:p>
    <w:p w14:paraId="6572F087">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（三）预算金额:</w:t>
      </w:r>
      <w:r>
        <w:rPr>
          <w:rFonts w:ascii="仿宋" w:hAnsi="仿宋" w:eastAsia="仿宋"/>
          <w:color w:val="auto"/>
          <w:sz w:val="28"/>
          <w:szCs w:val="28"/>
        </w:rPr>
        <w:t>1842.3348</w:t>
      </w:r>
      <w:r>
        <w:rPr>
          <w:rFonts w:hint="eastAsia" w:ascii="仿宋" w:hAnsi="仿宋" w:eastAsia="仿宋"/>
          <w:color w:val="auto"/>
          <w:sz w:val="28"/>
          <w:szCs w:val="28"/>
        </w:rPr>
        <w:t>万元</w:t>
      </w:r>
      <w:r>
        <w:rPr>
          <w:rFonts w:hint="eastAsia" w:ascii="仿宋" w:hAnsi="仿宋" w:eastAsia="仿宋"/>
          <w:color w:val="auto"/>
          <w:sz w:val="28"/>
          <w:szCs w:val="28"/>
          <w:lang w:eastAsia="zh-CN"/>
        </w:rPr>
        <w:t>；</w:t>
      </w:r>
    </w:p>
    <w:p w14:paraId="05825B84">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（四）最高限价:</w:t>
      </w:r>
      <w:r>
        <w:rPr>
          <w:rFonts w:ascii="仿宋" w:hAnsi="仿宋" w:eastAsia="仿宋"/>
          <w:color w:val="auto"/>
          <w:sz w:val="28"/>
          <w:szCs w:val="28"/>
        </w:rPr>
        <w:t xml:space="preserve"> 1842.3348</w:t>
      </w:r>
      <w:r>
        <w:rPr>
          <w:rFonts w:hint="eastAsia" w:ascii="仿宋" w:hAnsi="仿宋" w:eastAsia="仿宋"/>
          <w:color w:val="auto"/>
          <w:sz w:val="28"/>
          <w:szCs w:val="28"/>
        </w:rPr>
        <w:t>万元，超过最高限价作废标处理</w:t>
      </w:r>
      <w:r>
        <w:rPr>
          <w:rFonts w:hint="eastAsia" w:ascii="仿宋" w:hAnsi="仿宋" w:eastAsia="仿宋"/>
          <w:color w:val="auto"/>
          <w:sz w:val="28"/>
          <w:szCs w:val="28"/>
          <w:lang w:eastAsia="zh-CN"/>
        </w:rPr>
        <w:t>；</w:t>
      </w:r>
    </w:p>
    <w:p w14:paraId="74FD7CB7">
      <w:pPr>
        <w:spacing w:line="520" w:lineRule="exact"/>
        <w:ind w:firstLine="565"/>
        <w:rPr>
          <w:rFonts w:hint="eastAsia" w:ascii="仿宋" w:hAnsi="仿宋" w:eastAsia="仿宋"/>
          <w:color w:val="auto"/>
          <w:sz w:val="28"/>
          <w:szCs w:val="28"/>
          <w:lang w:eastAsia="zh-CN"/>
        </w:rPr>
      </w:pPr>
      <w:r>
        <w:rPr>
          <w:rFonts w:hint="eastAsia" w:ascii="仿宋" w:hAnsi="仿宋" w:eastAsia="仿宋"/>
          <w:color w:val="auto"/>
          <w:sz w:val="28"/>
          <w:szCs w:val="28"/>
        </w:rPr>
        <w:t>（五）采购需求:</w:t>
      </w:r>
      <w:r>
        <w:rPr>
          <w:rFonts w:hint="eastAsia" w:ascii="仿宋" w:hAnsi="仿宋" w:eastAsia="仿宋"/>
          <w:bCs/>
          <w:color w:val="auto"/>
          <w:sz w:val="28"/>
        </w:rPr>
        <w:t>盱眙县应急指挥体系及灾害监测预警能力提升项目，</w:t>
      </w:r>
      <w:r>
        <w:rPr>
          <w:rFonts w:hint="eastAsia" w:ascii="仿宋" w:hAnsi="仿宋" w:eastAsia="仿宋"/>
          <w:color w:val="auto"/>
          <w:sz w:val="28"/>
          <w:szCs w:val="28"/>
        </w:rPr>
        <w:t>具体见第五章项目采购需求</w:t>
      </w:r>
      <w:r>
        <w:rPr>
          <w:rFonts w:hint="eastAsia" w:ascii="仿宋" w:hAnsi="仿宋" w:eastAsia="仿宋"/>
          <w:color w:val="auto"/>
          <w:sz w:val="28"/>
          <w:szCs w:val="28"/>
          <w:lang w:eastAsia="zh-CN"/>
        </w:rPr>
        <w:t>；</w:t>
      </w:r>
    </w:p>
    <w:p w14:paraId="3BA6674D">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（六）合同履行期限:</w:t>
      </w:r>
      <w:r>
        <w:rPr>
          <w:rFonts w:hint="eastAsia"/>
          <w:color w:val="auto"/>
        </w:rPr>
        <w:t xml:space="preserve"> </w:t>
      </w:r>
      <w:r>
        <w:rPr>
          <w:rFonts w:hint="eastAsia" w:ascii="仿宋" w:hAnsi="仿宋" w:eastAsia="仿宋"/>
          <w:color w:val="auto"/>
          <w:sz w:val="28"/>
          <w:szCs w:val="28"/>
        </w:rPr>
        <w:t>★自合同签订后100日历天内完成全部供货及交付工作。</w:t>
      </w:r>
    </w:p>
    <w:p w14:paraId="79D5C152">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（七）本项目（</w:t>
      </w:r>
      <w:r>
        <w:rPr>
          <w:rFonts w:ascii="Wingdings 2" w:hAnsi="Wingdings 2" w:eastAsia="Wingdings 2" w:cs="Wingdings 2"/>
          <w:color w:val="auto"/>
          <w:sz w:val="28"/>
          <w:szCs w:val="28"/>
        </w:rPr>
        <w:t>£</w:t>
      </w:r>
      <w:r>
        <w:rPr>
          <w:rFonts w:hint="eastAsia" w:ascii="仿宋" w:hAnsi="仿宋" w:eastAsia="仿宋"/>
          <w:color w:val="auto"/>
          <w:sz w:val="28"/>
          <w:szCs w:val="28"/>
        </w:rPr>
        <w:t>是☑否）接受联合体投标。</w:t>
      </w:r>
    </w:p>
    <w:p w14:paraId="18666A84">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二、申请人的资格要求:</w:t>
      </w:r>
    </w:p>
    <w:p w14:paraId="2C110A05">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供应商可任选以下其中1项提供材料，2选1（扫描件上传至电子标书）： （1）法定代表人资格证明（格式按照示范格式一要求）和法定代表人身份证 （2）授权委托书（格式按照示范格式二要求）和受托人身份证；</w:t>
      </w:r>
    </w:p>
    <w:p w14:paraId="24BA20E8">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具有独立承担民事责任的能力（提供法人或其他组织的营业执照等证明文件，自然人的身份证明）（扫描件上传至电子标书）；</w:t>
      </w:r>
    </w:p>
    <w:p w14:paraId="138D3BE0">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具有履行合同所必需的设备和专业技术能力（投标人根据履行采购项目合同需要，提供履行合同所必需的设备和专业技术能力的证明材料）（格式按照示范格式四要求，扫描件上传至电子标书）；</w:t>
      </w:r>
    </w:p>
    <w:p w14:paraId="4DE11DA3">
      <w:pPr>
        <w:numPr>
          <w:ilvl w:val="0"/>
          <w:numId w:val="2"/>
        </w:numPr>
        <w:spacing w:line="520" w:lineRule="exact"/>
        <w:ind w:left="-220" w:firstLine="640"/>
        <w:rPr>
          <w:rFonts w:ascii="仿宋" w:hAnsi="仿宋" w:eastAsia="仿宋"/>
          <w:color w:val="auto"/>
          <w:sz w:val="28"/>
          <w:szCs w:val="28"/>
        </w:rPr>
      </w:pPr>
      <w:r>
        <w:rPr>
          <w:rFonts w:hint="eastAsia" w:ascii="仿宋" w:hAnsi="仿宋" w:eastAsia="仿宋"/>
          <w:color w:val="auto"/>
          <w:sz w:val="28"/>
          <w:szCs w:val="28"/>
        </w:rPr>
        <w:t>供应商具备安全生产条件，并取得有效的“安全生产许可证”，扫描件上传至电子标书；</w:t>
      </w:r>
    </w:p>
    <w:p w14:paraId="2C3EC0D1">
      <w:pPr>
        <w:numPr>
          <w:ilvl w:val="0"/>
          <w:numId w:val="2"/>
        </w:numPr>
        <w:spacing w:line="520" w:lineRule="atLeast"/>
        <w:ind w:left="-220" w:firstLine="641"/>
        <w:rPr>
          <w:rFonts w:ascii="仿宋" w:hAnsi="仿宋" w:eastAsia="仿宋"/>
          <w:color w:val="auto"/>
          <w:sz w:val="28"/>
          <w:szCs w:val="28"/>
        </w:rPr>
      </w:pPr>
      <w:r>
        <w:rPr>
          <w:rFonts w:hint="eastAsia" w:ascii="仿宋" w:hAnsi="仿宋" w:eastAsia="仿宋"/>
          <w:color w:val="auto"/>
          <w:sz w:val="28"/>
          <w:szCs w:val="28"/>
        </w:rPr>
        <w:t>参加政府采购活动前三年内，在经营活动中没有重大违法记录（提供承诺书）（格式按照示范格式三要求，扫描件上传至电子标书）；</w:t>
      </w:r>
    </w:p>
    <w:p w14:paraId="5513441F">
      <w:pPr>
        <w:numPr>
          <w:ilvl w:val="0"/>
          <w:numId w:val="2"/>
        </w:numPr>
        <w:spacing w:line="520" w:lineRule="atLeast"/>
        <w:ind w:left="-220" w:firstLine="641"/>
        <w:rPr>
          <w:rFonts w:ascii="仿宋" w:hAnsi="仿宋" w:eastAsia="仿宋"/>
          <w:color w:val="auto"/>
          <w:sz w:val="28"/>
          <w:szCs w:val="28"/>
          <w:lang w:val="zh-CN"/>
        </w:rPr>
      </w:pPr>
      <w:r>
        <w:rPr>
          <w:rFonts w:hint="eastAsia" w:ascii="仿宋" w:hAnsi="仿宋" w:eastAsia="仿宋"/>
          <w:color w:val="auto"/>
          <w:sz w:val="28"/>
          <w:szCs w:val="28"/>
        </w:rPr>
        <w:t>供应商未被“信用中国”网（https：//www.creditchina.gov.cn/）列入失信被执行人、重大税收违法案件当事人名单、政府采购严重违法失信行为记录名单。供应商未被“中国政府采购网”（http：//www.ccgp.gov.cn/）列入政府采购严重违法失信行为记录名单（由采购人组织评审小组在资格审查时查询，一旦被查询存在上述失信行为记录名单的，将视为资格审查不通过）</w:t>
      </w:r>
    </w:p>
    <w:p w14:paraId="5F29421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（二）落实政府采购政策需满足的资格要求:</w:t>
      </w:r>
    </w:p>
    <w:p w14:paraId="4CD92440">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本项目</w:t>
      </w:r>
      <w:r>
        <w:rPr>
          <w:rFonts w:hint="eastAsia" w:ascii="仿宋" w:hAnsi="仿宋" w:eastAsia="仿宋"/>
          <w:color w:val="auto"/>
          <w:sz w:val="28"/>
          <w:szCs w:val="28"/>
        </w:rPr>
        <w:t>按照</w:t>
      </w:r>
      <w:r>
        <w:rPr>
          <w:rFonts w:hint="eastAsia" w:ascii="仿宋" w:hAnsi="仿宋" w:eastAsia="仿宋"/>
          <w:color w:val="auto"/>
          <w:sz w:val="28"/>
          <w:szCs w:val="28"/>
          <w:lang w:val="zh-CN"/>
        </w:rPr>
        <w:t>以下第</w:t>
      </w:r>
      <w:r>
        <w:rPr>
          <w:rFonts w:hint="eastAsia" w:ascii="仿宋" w:hAnsi="仿宋" w:eastAsia="仿宋"/>
          <w:color w:val="auto"/>
          <w:sz w:val="28"/>
          <w:szCs w:val="28"/>
          <w:u w:val="single"/>
        </w:rPr>
        <w:t xml:space="preserve"> 3</w:t>
      </w:r>
      <w:r>
        <w:rPr>
          <w:rFonts w:hint="eastAsia" w:ascii="仿宋" w:hAnsi="仿宋" w:eastAsia="仿宋"/>
          <w:color w:val="auto"/>
          <w:sz w:val="28"/>
          <w:szCs w:val="28"/>
          <w:lang w:val="zh-CN"/>
        </w:rPr>
        <w:t>种方式落实政府采购促进中小企业发展的要求：</w:t>
      </w:r>
    </w:p>
    <w:p w14:paraId="4150986C">
      <w:pPr>
        <w:spacing w:line="520" w:lineRule="exact"/>
        <w:ind w:firstLine="560"/>
        <w:rPr>
          <w:rFonts w:ascii="仿宋" w:hAnsi="仿宋" w:eastAsia="仿宋"/>
          <w:color w:val="auto"/>
          <w:sz w:val="28"/>
          <w:szCs w:val="28"/>
        </w:rPr>
      </w:pPr>
      <w:r>
        <w:rPr>
          <w:rFonts w:hint="eastAsia" w:ascii="仿宋" w:hAnsi="仿宋" w:eastAsia="仿宋"/>
          <w:color w:val="auto"/>
          <w:sz w:val="28"/>
          <w:szCs w:val="28"/>
          <w:lang w:val="zh-CN"/>
        </w:rPr>
        <w:t>1、</w:t>
      </w:r>
      <w:r>
        <w:rPr>
          <w:rFonts w:ascii="仿宋" w:hAnsi="仿宋" w:eastAsia="仿宋"/>
          <w:color w:val="auto"/>
          <w:sz w:val="28"/>
          <w:szCs w:val="28"/>
        </w:rPr>
        <w:t>本项目为专门面向中小企业采购的项目</w:t>
      </w:r>
      <w:r>
        <w:rPr>
          <w:rFonts w:hint="eastAsia" w:ascii="仿宋" w:hAnsi="仿宋" w:eastAsia="仿宋"/>
          <w:color w:val="auto"/>
          <w:sz w:val="28"/>
          <w:szCs w:val="28"/>
        </w:rPr>
        <w:t>。</w:t>
      </w:r>
    </w:p>
    <w:p w14:paraId="4BF433A9">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rPr>
        <w:t>2、</w:t>
      </w:r>
      <w:r>
        <w:rPr>
          <w:rFonts w:hint="eastAsia" w:ascii="仿宋" w:hAnsi="仿宋" w:eastAsia="仿宋"/>
          <w:color w:val="auto"/>
          <w:sz w:val="28"/>
          <w:szCs w:val="28"/>
          <w:lang w:val="zh-CN"/>
        </w:rPr>
        <w:t>本项目通过以下第（）种方式预留部分采购份额</w:t>
      </w:r>
      <w:r>
        <w:rPr>
          <w:rFonts w:hint="eastAsia" w:ascii="仿宋" w:hAnsi="仿宋" w:eastAsia="仿宋"/>
          <w:color w:val="auto"/>
          <w:sz w:val="28"/>
          <w:szCs w:val="28"/>
        </w:rPr>
        <w:t>采购</w:t>
      </w:r>
      <w:r>
        <w:rPr>
          <w:rFonts w:hint="eastAsia" w:ascii="仿宋" w:hAnsi="仿宋" w:eastAsia="仿宋"/>
          <w:color w:val="auto"/>
          <w:sz w:val="28"/>
          <w:szCs w:val="28"/>
          <w:lang w:val="zh-CN"/>
        </w:rPr>
        <w:t>中小企业</w:t>
      </w:r>
      <w:r>
        <w:rPr>
          <w:rFonts w:hint="eastAsia" w:ascii="仿宋" w:hAnsi="仿宋" w:eastAsia="仿宋"/>
          <w:color w:val="auto"/>
          <w:sz w:val="28"/>
          <w:szCs w:val="28"/>
        </w:rPr>
        <w:t>服务</w:t>
      </w:r>
      <w:r>
        <w:rPr>
          <w:rFonts w:hint="eastAsia" w:ascii="仿宋" w:hAnsi="仿宋" w:eastAsia="仿宋"/>
          <w:color w:val="auto"/>
          <w:sz w:val="28"/>
          <w:szCs w:val="28"/>
          <w:lang w:val="zh-CN"/>
        </w:rPr>
        <w:t>：</w:t>
      </w:r>
    </w:p>
    <w:p w14:paraId="726EBEB9">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（1）本项目要求供应商以联合体形式参加，中小企业合同金额应当达到的比例为</w:t>
      </w:r>
      <w:r>
        <w:rPr>
          <w:rFonts w:hint="eastAsia" w:ascii="仿宋" w:hAnsi="仿宋" w:eastAsia="仿宋"/>
          <w:color w:val="auto"/>
          <w:sz w:val="28"/>
          <w:szCs w:val="28"/>
        </w:rPr>
        <w:t>%</w:t>
      </w:r>
      <w:r>
        <w:rPr>
          <w:rFonts w:hint="eastAsia" w:ascii="仿宋" w:hAnsi="仿宋" w:eastAsia="仿宋"/>
          <w:color w:val="auto"/>
          <w:sz w:val="28"/>
          <w:szCs w:val="28"/>
          <w:lang w:val="zh-CN"/>
        </w:rPr>
        <w:t>，其中小微企业所占比例应为</w:t>
      </w:r>
      <w:r>
        <w:rPr>
          <w:rFonts w:hint="eastAsia" w:ascii="仿宋" w:hAnsi="仿宋" w:eastAsia="仿宋"/>
          <w:color w:val="auto"/>
          <w:sz w:val="28"/>
          <w:szCs w:val="28"/>
        </w:rPr>
        <w:t>%</w:t>
      </w:r>
      <w:r>
        <w:rPr>
          <w:rFonts w:hint="eastAsia" w:ascii="仿宋" w:hAnsi="仿宋" w:eastAsia="仿宋"/>
          <w:color w:val="auto"/>
          <w:sz w:val="28"/>
          <w:szCs w:val="28"/>
          <w:lang w:val="zh-CN"/>
        </w:rPr>
        <w:t>（两项比例均应符合《政府采购促进中小企业发展管理办法》第八条规定）。</w:t>
      </w:r>
    </w:p>
    <w:p w14:paraId="1D97A15E">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（2）本项目要求供应商进行合同分包，中小企业合同金额应当达到的比例为</w:t>
      </w:r>
      <w:r>
        <w:rPr>
          <w:rFonts w:hint="eastAsia" w:ascii="仿宋" w:hAnsi="仿宋" w:eastAsia="仿宋"/>
          <w:color w:val="auto"/>
          <w:sz w:val="28"/>
          <w:szCs w:val="28"/>
        </w:rPr>
        <w:t>%</w:t>
      </w:r>
      <w:r>
        <w:rPr>
          <w:rFonts w:hint="eastAsia" w:ascii="仿宋" w:hAnsi="仿宋" w:eastAsia="仿宋"/>
          <w:color w:val="auto"/>
          <w:sz w:val="28"/>
          <w:szCs w:val="28"/>
          <w:lang w:val="zh-CN"/>
        </w:rPr>
        <w:t>，其中小微企业所占比例应为</w:t>
      </w:r>
      <w:r>
        <w:rPr>
          <w:rFonts w:hint="eastAsia" w:ascii="仿宋" w:hAnsi="仿宋" w:eastAsia="仿宋"/>
          <w:color w:val="auto"/>
          <w:sz w:val="28"/>
          <w:szCs w:val="28"/>
        </w:rPr>
        <w:t>%</w:t>
      </w:r>
      <w:r>
        <w:rPr>
          <w:rFonts w:hint="eastAsia" w:ascii="仿宋" w:hAnsi="仿宋" w:eastAsia="仿宋"/>
          <w:color w:val="auto"/>
          <w:sz w:val="28"/>
          <w:szCs w:val="28"/>
          <w:lang w:val="zh-CN"/>
        </w:rPr>
        <w:t>（两项比例均应符合《政府采购促进中小企业发展管理办法》第八条规定）。</w:t>
      </w:r>
    </w:p>
    <w:p w14:paraId="5D1644D3">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lang w:val="zh-CN"/>
        </w:rPr>
        <w:t>3、本项目为非预留份额的采购项目，</w:t>
      </w:r>
      <w:r>
        <w:rPr>
          <w:rFonts w:hint="eastAsia" w:ascii="仿宋" w:hAnsi="仿宋" w:eastAsia="仿宋"/>
          <w:color w:val="auto"/>
          <w:sz w:val="28"/>
          <w:szCs w:val="28"/>
        </w:rPr>
        <w:t>对小微企业报价给予扣除，用扣除后的价格参加评审，具体详见第二章“投标人须知”</w:t>
      </w:r>
      <w:r>
        <w:rPr>
          <w:rFonts w:hint="eastAsia" w:ascii="仿宋" w:hAnsi="仿宋" w:eastAsia="仿宋"/>
          <w:color w:val="auto"/>
          <w:sz w:val="28"/>
          <w:szCs w:val="28"/>
          <w:lang w:val="zh-CN"/>
        </w:rPr>
        <w:t>。</w:t>
      </w:r>
    </w:p>
    <w:p w14:paraId="3A5B3CE7">
      <w:pPr>
        <w:spacing w:line="520" w:lineRule="exact"/>
        <w:ind w:firstLine="560"/>
        <w:rPr>
          <w:rFonts w:ascii="仿宋" w:hAnsi="仿宋" w:eastAsia="仿宋"/>
          <w:color w:val="auto"/>
          <w:sz w:val="28"/>
          <w:szCs w:val="28"/>
          <w:lang w:val="zh-CN"/>
        </w:rPr>
      </w:pPr>
      <w:r>
        <w:rPr>
          <w:rFonts w:hint="eastAsia" w:ascii="仿宋" w:hAnsi="仿宋" w:eastAsia="仿宋"/>
          <w:color w:val="auto"/>
          <w:sz w:val="28"/>
          <w:szCs w:val="28"/>
        </w:rPr>
        <w:t>注:</w:t>
      </w:r>
      <w:r>
        <w:rPr>
          <w:rFonts w:hint="eastAsia" w:ascii="仿宋" w:hAnsi="仿宋" w:eastAsia="仿宋"/>
          <w:color w:val="auto"/>
          <w:sz w:val="28"/>
          <w:szCs w:val="28"/>
          <w:lang w:val="zh-CN"/>
        </w:rPr>
        <w:t>监狱企业、残疾人福利性单位视同小微企业；符合中小企业划分标准的个体工商户，在政府采购活动中视同中小企业，享受政府采购支持中小企业发展政策。</w:t>
      </w:r>
    </w:p>
    <w:p w14:paraId="593C331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4、本项目采购标的对应的中小企业划分标准所属行业为</w:t>
      </w:r>
      <w:r>
        <w:rPr>
          <w:rFonts w:hint="eastAsia" w:ascii="仿宋" w:hAnsi="仿宋" w:eastAsia="仿宋"/>
          <w:color w:val="auto"/>
          <w:sz w:val="28"/>
          <w:szCs w:val="28"/>
          <w:u w:val="single"/>
        </w:rPr>
        <w:t>其他未列明行业</w:t>
      </w:r>
      <w:r>
        <w:rPr>
          <w:rFonts w:hint="eastAsia" w:ascii="仿宋" w:hAnsi="仿宋" w:eastAsia="仿宋"/>
          <w:color w:val="auto"/>
          <w:sz w:val="28"/>
          <w:szCs w:val="28"/>
        </w:rPr>
        <w:t>。</w:t>
      </w:r>
    </w:p>
    <w:p w14:paraId="758217D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（三）本项目的特定资格要求:</w:t>
      </w:r>
    </w:p>
    <w:p w14:paraId="675192E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无。</w:t>
      </w:r>
    </w:p>
    <w:p w14:paraId="1ADA2678">
      <w:pPr>
        <w:spacing w:line="520" w:lineRule="exact"/>
        <w:ind w:firstLine="560"/>
        <w:rPr>
          <w:rFonts w:ascii="仿宋" w:hAnsi="仿宋" w:eastAsia="仿宋"/>
          <w:color w:val="auto"/>
          <w:sz w:val="28"/>
          <w:szCs w:val="28"/>
        </w:rPr>
      </w:pPr>
      <w:r>
        <w:rPr>
          <w:rFonts w:hint="eastAsia" w:ascii="仿宋" w:hAnsi="仿宋" w:eastAsia="仿宋" w:cs="宋体"/>
          <w:color w:val="auto"/>
          <w:sz w:val="28"/>
          <w:szCs w:val="28"/>
        </w:rPr>
        <w:t>（四）拒绝下述条件的供应商参加本次采购活动:</w:t>
      </w:r>
    </w:p>
    <w:p w14:paraId="3E02917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1、供应商</w:t>
      </w:r>
      <w:r>
        <w:rPr>
          <w:rFonts w:ascii="仿宋" w:hAnsi="仿宋" w:eastAsia="仿宋"/>
          <w:color w:val="auto"/>
          <w:sz w:val="28"/>
          <w:szCs w:val="28"/>
        </w:rPr>
        <w:t>单位负责人为同一人或者存在直接控股、管理关系的不同</w:t>
      </w:r>
      <w:r>
        <w:rPr>
          <w:rFonts w:hint="eastAsia" w:ascii="仿宋" w:hAnsi="仿宋" w:eastAsia="仿宋"/>
          <w:color w:val="auto"/>
          <w:sz w:val="28"/>
          <w:szCs w:val="28"/>
        </w:rPr>
        <w:t>供应商</w:t>
      </w:r>
      <w:r>
        <w:rPr>
          <w:rFonts w:ascii="仿宋" w:hAnsi="仿宋" w:eastAsia="仿宋"/>
          <w:color w:val="auto"/>
          <w:sz w:val="28"/>
          <w:szCs w:val="28"/>
        </w:rPr>
        <w:t>，不得</w:t>
      </w:r>
      <w:r>
        <w:rPr>
          <w:rFonts w:hint="eastAsia" w:ascii="仿宋" w:hAnsi="仿宋" w:eastAsia="仿宋"/>
          <w:color w:val="auto"/>
          <w:sz w:val="28"/>
          <w:szCs w:val="28"/>
        </w:rPr>
        <w:t>同时</w:t>
      </w:r>
      <w:r>
        <w:rPr>
          <w:rFonts w:ascii="仿宋" w:hAnsi="仿宋" w:eastAsia="仿宋"/>
          <w:color w:val="auto"/>
          <w:sz w:val="28"/>
          <w:szCs w:val="28"/>
        </w:rPr>
        <w:t>参加同一合同项下的政府采购活动。</w:t>
      </w:r>
    </w:p>
    <w:p w14:paraId="0392CA0A">
      <w:pPr>
        <w:spacing w:line="520" w:lineRule="exact"/>
        <w:ind w:firstLine="560"/>
        <w:rPr>
          <w:rFonts w:ascii="仿宋" w:hAnsi="仿宋" w:eastAsia="仿宋"/>
          <w:b/>
          <w:i/>
          <w:color w:val="auto"/>
          <w:sz w:val="28"/>
          <w:szCs w:val="28"/>
        </w:rPr>
      </w:pPr>
      <w:r>
        <w:rPr>
          <w:rFonts w:hint="eastAsia" w:ascii="仿宋" w:hAnsi="仿宋" w:eastAsia="仿宋"/>
          <w:color w:val="auto"/>
          <w:sz w:val="28"/>
          <w:szCs w:val="28"/>
        </w:rPr>
        <w:t>2、凡</w:t>
      </w:r>
      <w:r>
        <w:rPr>
          <w:rFonts w:ascii="仿宋" w:hAnsi="仿宋" w:eastAsia="仿宋"/>
          <w:color w:val="auto"/>
          <w:sz w:val="28"/>
          <w:szCs w:val="28"/>
        </w:rPr>
        <w:t>为采购项目提供整体设计、规范编制或者项目管理、监理、检测等服务的</w:t>
      </w:r>
      <w:r>
        <w:rPr>
          <w:rFonts w:hint="eastAsia" w:ascii="仿宋" w:hAnsi="仿宋" w:eastAsia="仿宋"/>
          <w:color w:val="auto"/>
          <w:sz w:val="28"/>
          <w:szCs w:val="28"/>
        </w:rPr>
        <w:t>供应商</w:t>
      </w:r>
      <w:r>
        <w:rPr>
          <w:rFonts w:ascii="仿宋" w:hAnsi="仿宋" w:eastAsia="仿宋"/>
          <w:color w:val="auto"/>
          <w:sz w:val="28"/>
          <w:szCs w:val="28"/>
        </w:rPr>
        <w:t>，不得再参加</w:t>
      </w:r>
      <w:r>
        <w:rPr>
          <w:rFonts w:hint="eastAsia" w:ascii="仿宋" w:hAnsi="仿宋" w:eastAsia="仿宋"/>
          <w:color w:val="auto"/>
          <w:sz w:val="28"/>
          <w:szCs w:val="28"/>
        </w:rPr>
        <w:t>本</w:t>
      </w:r>
      <w:r>
        <w:rPr>
          <w:rFonts w:ascii="仿宋" w:hAnsi="仿宋" w:eastAsia="仿宋"/>
          <w:color w:val="auto"/>
          <w:sz w:val="28"/>
          <w:szCs w:val="28"/>
        </w:rPr>
        <w:t>项目的采购活动。</w:t>
      </w:r>
    </w:p>
    <w:p w14:paraId="315D8C4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3、供应商被“信用中国”网站、“中国政府采购网”列入失信被执行人、重大税收违法案件当事人名单、政府采购严重违法失信行为记录名单。</w:t>
      </w:r>
    </w:p>
    <w:p w14:paraId="6CDAF41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备注:本次招标采用资质后审方式，在整个采购过程中，由采购人及招标代理将对投标人的资质进行审查，若发现投标人的资质条件不符合招标文件要求，可随时取消其投标或中标资格。</w:t>
      </w:r>
    </w:p>
    <w:p w14:paraId="26D37CC3">
      <w:pPr>
        <w:spacing w:line="520" w:lineRule="exact"/>
        <w:ind w:firstLine="280" w:firstLineChars="100"/>
        <w:rPr>
          <w:rFonts w:ascii="仿宋" w:hAnsi="仿宋" w:eastAsia="仿宋"/>
          <w:color w:val="auto"/>
          <w:sz w:val="28"/>
          <w:szCs w:val="28"/>
        </w:rPr>
      </w:pPr>
      <w:r>
        <w:rPr>
          <w:rFonts w:hint="eastAsia" w:ascii="仿宋" w:hAnsi="仿宋" w:eastAsia="仿宋"/>
          <w:color w:val="auto"/>
          <w:sz w:val="28"/>
          <w:szCs w:val="28"/>
        </w:rPr>
        <w:t>三、获取招标文件</w:t>
      </w:r>
    </w:p>
    <w:p w14:paraId="1A660D4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（一）时间:自招标公告发布之日起五个工作日。</w:t>
      </w:r>
    </w:p>
    <w:p w14:paraId="5818E8E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（二）方式：在“淮安市政府采购网”自行免费下载招标文件。</w:t>
      </w:r>
    </w:p>
    <w:p w14:paraId="4EAB22DB">
      <w:pPr>
        <w:spacing w:line="520" w:lineRule="exact"/>
        <w:ind w:firstLine="420"/>
        <w:rPr>
          <w:rFonts w:ascii="仿宋" w:hAnsi="仿宋" w:eastAsia="仿宋"/>
          <w:color w:val="auto"/>
          <w:sz w:val="28"/>
          <w:szCs w:val="28"/>
        </w:rPr>
      </w:pPr>
      <w:r>
        <w:rPr>
          <w:rFonts w:hint="eastAsia" w:ascii="仿宋" w:hAnsi="仿宋" w:eastAsia="仿宋"/>
          <w:color w:val="auto"/>
          <w:sz w:val="28"/>
          <w:szCs w:val="28"/>
        </w:rPr>
        <w:t>四、提交投标文件截止时间、开标时间和地点</w:t>
      </w:r>
    </w:p>
    <w:p w14:paraId="166515F6">
      <w:pPr>
        <w:spacing w:line="520" w:lineRule="exact"/>
        <w:ind w:firstLine="280"/>
        <w:rPr>
          <w:rFonts w:ascii="仿宋" w:hAnsi="仿宋" w:eastAsia="仿宋"/>
          <w:color w:val="auto"/>
          <w:sz w:val="28"/>
          <w:szCs w:val="28"/>
        </w:rPr>
      </w:pPr>
      <w:r>
        <w:rPr>
          <w:rFonts w:hint="eastAsia" w:ascii="仿宋" w:hAnsi="仿宋" w:eastAsia="仿宋"/>
          <w:color w:val="auto"/>
          <w:sz w:val="28"/>
          <w:szCs w:val="28"/>
        </w:rPr>
        <w:t>（一）投标文件提交截止时间及开标时间:2026年</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日9点00分</w:t>
      </w:r>
    </w:p>
    <w:p w14:paraId="3F082F25">
      <w:pPr>
        <w:spacing w:line="520" w:lineRule="exact"/>
        <w:ind w:firstLine="280"/>
        <w:rPr>
          <w:rFonts w:ascii="仿宋" w:hAnsi="仿宋" w:eastAsia="仿宋"/>
          <w:color w:val="auto"/>
          <w:sz w:val="28"/>
          <w:szCs w:val="28"/>
        </w:rPr>
      </w:pPr>
      <w:r>
        <w:rPr>
          <w:rFonts w:hint="eastAsia" w:ascii="仿宋" w:hAnsi="仿宋" w:eastAsia="仿宋"/>
          <w:color w:val="auto"/>
          <w:sz w:val="28"/>
          <w:szCs w:val="28"/>
        </w:rPr>
        <w:t>（二）投标文件上传地址：“苏采云”政府采购交易系统网上开标大厅。</w:t>
      </w:r>
    </w:p>
    <w:p w14:paraId="380581CC">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五、公告期限</w:t>
      </w:r>
    </w:p>
    <w:p w14:paraId="46514367">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自本公告发布之日起五个工作日。</w:t>
      </w:r>
    </w:p>
    <w:p w14:paraId="3693AD85">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六、其他补充事宜</w:t>
      </w:r>
    </w:p>
    <w:p w14:paraId="0B480C8D">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1、本项目采用“全流程电子化交易”模式，通过“苏采云政府采购一体化平台”及相应的配套硬件设备（摄像头、话筒、麦克风等）完成远程解密、公布报价、澄清等交互环节。采购人或代理机构组织本项目的“不见面交易”活动。供应商仅需在任意地点登录“苏采云”系统，进入江苏省政府采购一体化不见面开标（采购）大厅观看项目的活动组织。</w:t>
      </w:r>
    </w:p>
    <w:p w14:paraId="66162A08">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2、供应商在制作上传电子响应文件、观看活动组织、响应文件解密等技术方面遇到问题时，请与软件公司技术人员咨询，联系电话:0517-83638013。</w:t>
      </w:r>
    </w:p>
    <w:p w14:paraId="7B575733">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七、对本次采购提出询问，请按以下方式联系。</w:t>
      </w:r>
    </w:p>
    <w:p w14:paraId="60B93C6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1、采购人联系方式</w:t>
      </w:r>
    </w:p>
    <w:p w14:paraId="3D50405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名称:盱眙县应急管理局</w:t>
      </w:r>
    </w:p>
    <w:p w14:paraId="4AC2526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地址:江苏省淮安市盱眙经济开发区创客中心9楼</w:t>
      </w:r>
    </w:p>
    <w:p w14:paraId="1BDF333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联系方式:</w:t>
      </w:r>
      <w:r>
        <w:rPr>
          <w:rFonts w:hint="eastAsia" w:ascii="仿宋" w:hAnsi="仿宋" w:eastAsia="仿宋"/>
          <w:color w:val="auto"/>
          <w:sz w:val="28"/>
          <w:szCs w:val="28"/>
          <w:lang w:val="en-US" w:eastAsia="zh-CN"/>
        </w:rPr>
        <w:t xml:space="preserve">钱晨    </w:t>
      </w:r>
      <w:r>
        <w:rPr>
          <w:rFonts w:hint="eastAsia" w:ascii="仿宋" w:hAnsi="仿宋" w:eastAsia="仿宋"/>
          <w:color w:val="auto"/>
          <w:sz w:val="28"/>
          <w:szCs w:val="28"/>
        </w:rPr>
        <w:t xml:space="preserve">15895096005  </w:t>
      </w:r>
    </w:p>
    <w:p w14:paraId="5CBCDF55">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2、采购代理机构信息</w:t>
      </w:r>
    </w:p>
    <w:p w14:paraId="54D0A09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名称:江苏省华厦工程项目管理有限公司</w:t>
      </w:r>
    </w:p>
    <w:p w14:paraId="62AE6D9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地址:盱眙县十里营大街中央御景园A04-108</w:t>
      </w:r>
    </w:p>
    <w:p w14:paraId="58B02448">
      <w:pPr>
        <w:spacing w:line="520" w:lineRule="exact"/>
        <w:ind w:firstLine="565"/>
        <w:rPr>
          <w:rFonts w:ascii="仿宋" w:hAnsi="仿宋" w:eastAsia="仿宋"/>
          <w:color w:val="auto"/>
          <w:sz w:val="28"/>
          <w:szCs w:val="28"/>
        </w:rPr>
      </w:pPr>
      <w:r>
        <w:rPr>
          <w:rFonts w:hint="eastAsia" w:ascii="仿宋" w:hAnsi="仿宋" w:eastAsia="仿宋"/>
          <w:color w:val="auto"/>
          <w:sz w:val="28"/>
          <w:szCs w:val="28"/>
        </w:rPr>
        <w:t>联系方式:张</w:t>
      </w:r>
      <w:r>
        <w:rPr>
          <w:rFonts w:hint="eastAsia" w:ascii="仿宋" w:hAnsi="仿宋" w:eastAsia="仿宋"/>
          <w:color w:val="auto"/>
          <w:sz w:val="28"/>
          <w:szCs w:val="28"/>
          <w:lang w:val="en-US" w:eastAsia="zh-CN"/>
        </w:rPr>
        <w:t>燕</w:t>
      </w:r>
      <w:r>
        <w:rPr>
          <w:rFonts w:hint="eastAsia" w:ascii="仿宋" w:hAnsi="仿宋" w:eastAsia="仿宋"/>
          <w:color w:val="auto"/>
          <w:sz w:val="28"/>
          <w:szCs w:val="28"/>
        </w:rPr>
        <w:t xml:space="preserve">    0517-88229909   </w:t>
      </w:r>
    </w:p>
    <w:p w14:paraId="786CCED8">
      <w:pPr>
        <w:spacing w:line="520" w:lineRule="exact"/>
        <w:ind w:firstLine="565"/>
        <w:jc w:val="right"/>
        <w:rPr>
          <w:rFonts w:ascii="仿宋" w:hAnsi="仿宋" w:eastAsia="仿宋"/>
          <w:color w:val="auto"/>
          <w:sz w:val="28"/>
          <w:szCs w:val="28"/>
        </w:rPr>
      </w:pPr>
      <w:r>
        <w:rPr>
          <w:rFonts w:hint="eastAsia" w:ascii="仿宋" w:hAnsi="仿宋" w:eastAsia="仿宋"/>
          <w:color w:val="auto"/>
          <w:sz w:val="28"/>
          <w:szCs w:val="28"/>
        </w:rPr>
        <w:t>盱眙县应急管理局</w:t>
      </w:r>
    </w:p>
    <w:p w14:paraId="01483BDE">
      <w:pPr>
        <w:spacing w:line="520" w:lineRule="exact"/>
        <w:ind w:firstLine="565"/>
        <w:jc w:val="right"/>
        <w:rPr>
          <w:rFonts w:ascii="仿宋" w:hAnsi="仿宋" w:eastAsia="仿宋"/>
          <w:color w:val="auto"/>
          <w:sz w:val="28"/>
          <w:szCs w:val="28"/>
        </w:rPr>
      </w:pPr>
      <w:r>
        <w:rPr>
          <w:rFonts w:hint="eastAsia" w:ascii="仿宋" w:hAnsi="仿宋" w:eastAsia="仿宋"/>
          <w:color w:val="auto"/>
          <w:sz w:val="28"/>
          <w:szCs w:val="28"/>
        </w:rPr>
        <w:t>2026年7月</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日</w:t>
      </w:r>
    </w:p>
    <w:p w14:paraId="35669828">
      <w:pPr>
        <w:widowControl/>
        <w:jc w:val="left"/>
        <w:rPr>
          <w:rFonts w:ascii="仿宋" w:hAnsi="仿宋" w:eastAsia="仿宋"/>
          <w:color w:val="auto"/>
          <w:sz w:val="28"/>
          <w:szCs w:val="28"/>
        </w:rPr>
      </w:pPr>
      <w:r>
        <w:rPr>
          <w:rFonts w:ascii="仿宋" w:hAnsi="仿宋" w:eastAsia="仿宋"/>
          <w:color w:val="auto"/>
          <w:sz w:val="28"/>
          <w:szCs w:val="28"/>
        </w:rPr>
        <w:br w:type="page"/>
      </w:r>
    </w:p>
    <w:p w14:paraId="3BE80EB9">
      <w:pPr>
        <w:pStyle w:val="2"/>
        <w:rPr>
          <w:color w:val="auto"/>
        </w:rPr>
      </w:pPr>
      <w:r>
        <w:rPr>
          <w:rFonts w:hint="eastAsia"/>
          <w:color w:val="auto"/>
        </w:rPr>
        <w:t>第二章  投标人须知</w:t>
      </w:r>
    </w:p>
    <w:p w14:paraId="5089A107">
      <w:pPr>
        <w:pStyle w:val="3"/>
        <w:rPr>
          <w:color w:val="auto"/>
        </w:rPr>
      </w:pPr>
      <w:r>
        <w:rPr>
          <w:color w:val="auto"/>
        </w:rPr>
        <w:t>一、总则</w:t>
      </w:r>
    </w:p>
    <w:p w14:paraId="4AF370DE">
      <w:pPr>
        <w:spacing w:line="520" w:lineRule="exact"/>
        <w:rPr>
          <w:rFonts w:ascii="仿宋" w:hAnsi="仿宋" w:eastAsia="仿宋"/>
          <w:color w:val="auto"/>
          <w:sz w:val="28"/>
          <w:szCs w:val="28"/>
        </w:rPr>
      </w:pPr>
      <w:r>
        <w:rPr>
          <w:rFonts w:hint="eastAsia" w:ascii="仿宋" w:hAnsi="仿宋" w:eastAsia="仿宋"/>
          <w:color w:val="auto"/>
          <w:sz w:val="28"/>
          <w:szCs w:val="28"/>
        </w:rPr>
        <w:t>1、招标方式</w:t>
      </w:r>
    </w:p>
    <w:p w14:paraId="783DE0FE">
      <w:pPr>
        <w:spacing w:line="520" w:lineRule="exact"/>
        <w:rPr>
          <w:rFonts w:ascii="仿宋" w:hAnsi="仿宋" w:eastAsia="仿宋"/>
          <w:color w:val="auto"/>
          <w:sz w:val="28"/>
          <w:szCs w:val="28"/>
        </w:rPr>
      </w:pPr>
      <w:r>
        <w:rPr>
          <w:rFonts w:hint="eastAsia" w:ascii="仿宋" w:hAnsi="仿宋" w:eastAsia="仿宋"/>
          <w:color w:val="auto"/>
          <w:sz w:val="28"/>
          <w:szCs w:val="28"/>
        </w:rPr>
        <w:t>1.1 本次招标采取公开招标方式，本招标文件仅适用于招标公告中所述项目。</w:t>
      </w:r>
    </w:p>
    <w:p w14:paraId="78ED6323">
      <w:pPr>
        <w:spacing w:line="520" w:lineRule="exact"/>
        <w:rPr>
          <w:rFonts w:ascii="仿宋" w:hAnsi="仿宋" w:eastAsia="仿宋"/>
          <w:color w:val="auto"/>
          <w:sz w:val="28"/>
          <w:szCs w:val="28"/>
        </w:rPr>
      </w:pPr>
      <w:r>
        <w:rPr>
          <w:rFonts w:hint="eastAsia" w:ascii="仿宋" w:hAnsi="仿宋" w:eastAsia="仿宋"/>
          <w:color w:val="auto"/>
          <w:sz w:val="28"/>
          <w:szCs w:val="28"/>
        </w:rPr>
        <w:t>2.合格的投标人</w:t>
      </w:r>
    </w:p>
    <w:p w14:paraId="46012116">
      <w:pPr>
        <w:spacing w:line="520" w:lineRule="exact"/>
        <w:ind w:firstLine="555"/>
        <w:rPr>
          <w:rFonts w:ascii="仿宋" w:hAnsi="仿宋" w:eastAsia="仿宋"/>
          <w:color w:val="auto"/>
          <w:sz w:val="28"/>
          <w:szCs w:val="28"/>
        </w:rPr>
      </w:pPr>
      <w:r>
        <w:rPr>
          <w:rFonts w:hint="eastAsia" w:ascii="仿宋" w:hAnsi="仿宋" w:eastAsia="仿宋"/>
          <w:color w:val="auto"/>
          <w:sz w:val="28"/>
          <w:szCs w:val="28"/>
        </w:rPr>
        <w:t xml:space="preserve">2.1 满足第一章投标邀请中投标人资格要求的规定。 </w:t>
      </w:r>
    </w:p>
    <w:p w14:paraId="345F2E12">
      <w:pPr>
        <w:spacing w:line="520" w:lineRule="exact"/>
        <w:ind w:firstLine="555"/>
        <w:rPr>
          <w:rFonts w:ascii="仿宋" w:hAnsi="仿宋" w:eastAsia="仿宋"/>
          <w:color w:val="auto"/>
          <w:sz w:val="28"/>
          <w:szCs w:val="28"/>
        </w:rPr>
      </w:pPr>
      <w:r>
        <w:rPr>
          <w:rFonts w:hint="eastAsia" w:ascii="仿宋" w:hAnsi="仿宋" w:eastAsia="仿宋"/>
          <w:color w:val="auto"/>
          <w:sz w:val="28"/>
          <w:szCs w:val="28"/>
        </w:rPr>
        <w:t>2.2 满足招标文件中实质性条款的规定。</w:t>
      </w:r>
    </w:p>
    <w:p w14:paraId="427743A7">
      <w:pPr>
        <w:spacing w:line="520" w:lineRule="exact"/>
        <w:rPr>
          <w:rFonts w:ascii="仿宋" w:hAnsi="仿宋" w:eastAsia="仿宋"/>
          <w:color w:val="auto"/>
          <w:sz w:val="28"/>
          <w:szCs w:val="28"/>
        </w:rPr>
      </w:pPr>
      <w:r>
        <w:rPr>
          <w:rFonts w:hint="eastAsia" w:ascii="仿宋" w:hAnsi="仿宋" w:eastAsia="仿宋"/>
          <w:color w:val="auto"/>
          <w:sz w:val="28"/>
          <w:szCs w:val="28"/>
        </w:rPr>
        <w:t>3.适用法律</w:t>
      </w:r>
    </w:p>
    <w:p w14:paraId="746B32B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3.1 《中华人民共和国政府采购法》、《中华人民共和国政府采购法实施条例》、《政府采购货物和服务招标投标管理办法》等有关法律、规章和规定等。</w:t>
      </w:r>
    </w:p>
    <w:p w14:paraId="4F85502D">
      <w:pPr>
        <w:spacing w:line="520" w:lineRule="exact"/>
        <w:rPr>
          <w:rFonts w:ascii="仿宋" w:hAnsi="仿宋" w:eastAsia="仿宋"/>
          <w:color w:val="auto"/>
          <w:sz w:val="28"/>
          <w:szCs w:val="28"/>
        </w:rPr>
      </w:pPr>
      <w:r>
        <w:rPr>
          <w:rFonts w:hint="eastAsia" w:ascii="仿宋" w:hAnsi="仿宋" w:eastAsia="仿宋"/>
          <w:color w:val="auto"/>
          <w:sz w:val="28"/>
          <w:szCs w:val="28"/>
        </w:rPr>
        <w:t>4.投标费用</w:t>
      </w:r>
    </w:p>
    <w:p w14:paraId="4861A317">
      <w:pPr>
        <w:spacing w:line="520" w:lineRule="exact"/>
        <w:ind w:firstLine="555"/>
        <w:rPr>
          <w:rFonts w:ascii="仿宋" w:hAnsi="仿宋" w:eastAsia="仿宋"/>
          <w:color w:val="auto"/>
          <w:sz w:val="28"/>
          <w:szCs w:val="28"/>
        </w:rPr>
      </w:pPr>
      <w:r>
        <w:rPr>
          <w:rFonts w:hint="eastAsia" w:ascii="仿宋" w:hAnsi="仿宋" w:eastAsia="仿宋"/>
          <w:color w:val="auto"/>
          <w:sz w:val="28"/>
          <w:szCs w:val="28"/>
        </w:rPr>
        <w:t>4.1投标人应自行承担所有与参加投标有关的费用。不论投标的结果如何，招标人和招标代理机构在任何情况下均无义务和责任承担这些费用。</w:t>
      </w:r>
    </w:p>
    <w:p w14:paraId="64BA93E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4.2本次采购项目不收取标书工本费和中标管理费。</w:t>
      </w:r>
    </w:p>
    <w:p w14:paraId="64C8E9F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4.3本次采购项目招标代理费参照苏政采协[2024]20号关于印发《江苏省政府采购代理服务收费指导意见》的通知优惠收取48000元，由中标单位领取中标通知书时一次性缴纳。</w:t>
      </w:r>
    </w:p>
    <w:p w14:paraId="0AC5B6C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4.4投标人一旦参加本项目采购活动，即被认为接受了本招标文件的规定和约束。</w:t>
      </w:r>
    </w:p>
    <w:p w14:paraId="5E00B8CB">
      <w:pPr>
        <w:pStyle w:val="3"/>
        <w:rPr>
          <w:color w:val="auto"/>
        </w:rPr>
      </w:pPr>
      <w:r>
        <w:rPr>
          <w:rFonts w:hint="eastAsia"/>
          <w:color w:val="auto"/>
        </w:rPr>
        <w:t>二、招标文件</w:t>
      </w:r>
    </w:p>
    <w:p w14:paraId="5CBE23CE">
      <w:pPr>
        <w:spacing w:line="520" w:lineRule="exact"/>
        <w:rPr>
          <w:rFonts w:ascii="仿宋" w:hAnsi="仿宋" w:eastAsia="仿宋"/>
          <w:color w:val="auto"/>
          <w:sz w:val="28"/>
          <w:szCs w:val="28"/>
        </w:rPr>
      </w:pPr>
      <w:r>
        <w:rPr>
          <w:rFonts w:hint="eastAsia" w:ascii="仿宋" w:hAnsi="仿宋" w:eastAsia="仿宋"/>
          <w:color w:val="auto"/>
          <w:sz w:val="28"/>
          <w:szCs w:val="28"/>
        </w:rPr>
        <w:t>5.招标文件由以下部分组成:</w:t>
      </w:r>
    </w:p>
    <w:p w14:paraId="05706A6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5.1投标邀请</w:t>
      </w:r>
    </w:p>
    <w:p w14:paraId="44AFDA9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5.2投标人须知</w:t>
      </w:r>
    </w:p>
    <w:p w14:paraId="2961005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5.3合同文本</w:t>
      </w:r>
    </w:p>
    <w:p w14:paraId="0957A3C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5.4项目采购需求</w:t>
      </w:r>
    </w:p>
    <w:p w14:paraId="0233321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5.5评标方法与评标标准</w:t>
      </w:r>
    </w:p>
    <w:p w14:paraId="011618B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5.6投标文件</w:t>
      </w:r>
    </w:p>
    <w:p w14:paraId="47BEF555">
      <w:pPr>
        <w:spacing w:line="520" w:lineRule="exact"/>
        <w:rPr>
          <w:rFonts w:ascii="仿宋" w:hAnsi="仿宋" w:eastAsia="仿宋"/>
          <w:color w:val="auto"/>
          <w:sz w:val="28"/>
          <w:szCs w:val="28"/>
        </w:rPr>
      </w:pPr>
      <w:r>
        <w:rPr>
          <w:rFonts w:hint="eastAsia" w:ascii="仿宋" w:hAnsi="仿宋" w:eastAsia="仿宋"/>
          <w:color w:val="auto"/>
          <w:sz w:val="28"/>
          <w:szCs w:val="28"/>
        </w:rPr>
        <w:t>6.招标文件的澄清</w:t>
      </w:r>
    </w:p>
    <w:p w14:paraId="03D687F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6.1任何要求对招标文件进行澄清的投标人，均应在投标截止时间十日前通过以书面形式并加盖公章通知招标人或招标代理机构，招标人或招标代理机构对投标截止时间前十日收到的任何澄清要求将以书面形式予以答复。</w:t>
      </w:r>
    </w:p>
    <w:p w14:paraId="582B6134">
      <w:pPr>
        <w:spacing w:line="520" w:lineRule="exact"/>
        <w:rPr>
          <w:rFonts w:ascii="仿宋" w:hAnsi="仿宋" w:eastAsia="仿宋"/>
          <w:color w:val="auto"/>
          <w:sz w:val="28"/>
          <w:szCs w:val="28"/>
        </w:rPr>
      </w:pPr>
      <w:r>
        <w:rPr>
          <w:rFonts w:hint="eastAsia" w:ascii="仿宋" w:hAnsi="仿宋" w:eastAsia="仿宋"/>
          <w:color w:val="auto"/>
          <w:sz w:val="28"/>
          <w:szCs w:val="28"/>
        </w:rPr>
        <w:t>7.招标文件的更正或补充</w:t>
      </w:r>
    </w:p>
    <w:p w14:paraId="133CEA8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7.1在投标截止时间十五日前，招标人或招标代理机构可主动或在解答投标人提出的澄清问题时对招标文件用更正公告的方式进行修正。</w:t>
      </w:r>
    </w:p>
    <w:p w14:paraId="22FCE57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w:t>
      </w:r>
      <w:r>
        <w:rPr>
          <w:rFonts w:hint="eastAsia" w:ascii="仿宋" w:hAnsi="仿宋" w:eastAsia="仿宋"/>
          <w:color w:val="auto"/>
          <w:sz w:val="28"/>
          <w:szCs w:val="28"/>
        </w:rPr>
        <w:t>2对招标文件的更正将在淮安市政府采购网进行公告，更正公告将作为招标文件的组成部分，对所有参加本次投标的投标人都具有约束力。</w:t>
      </w:r>
    </w:p>
    <w:p w14:paraId="5AFC3CE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 xml:space="preserve">7.3为使投标人有足够的时间按招标文件的更正要求修正投标文件，采购人有权按照相关法定的要求推迟投标截止时间和开标日期。 </w:t>
      </w:r>
    </w:p>
    <w:p w14:paraId="19B963FB">
      <w:pPr>
        <w:pStyle w:val="3"/>
        <w:rPr>
          <w:color w:val="auto"/>
        </w:rPr>
      </w:pPr>
      <w:r>
        <w:rPr>
          <w:rFonts w:hint="eastAsia"/>
          <w:color w:val="auto"/>
        </w:rPr>
        <w:t>三、投标文件的编制</w:t>
      </w:r>
    </w:p>
    <w:p w14:paraId="783D4389">
      <w:pPr>
        <w:spacing w:line="520" w:lineRule="exact"/>
        <w:rPr>
          <w:rFonts w:ascii="仿宋" w:hAnsi="仿宋" w:eastAsia="仿宋"/>
          <w:color w:val="auto"/>
          <w:sz w:val="28"/>
          <w:szCs w:val="28"/>
        </w:rPr>
      </w:pPr>
      <w:bookmarkStart w:id="0" w:name="_Toc20823286"/>
      <w:bookmarkStart w:id="1" w:name="_Toc462564073"/>
      <w:bookmarkStart w:id="2" w:name="_Toc16938530"/>
      <w:bookmarkStart w:id="3" w:name="_Toc513029214"/>
      <w:r>
        <w:rPr>
          <w:rFonts w:hint="eastAsia" w:ascii="仿宋" w:hAnsi="仿宋" w:eastAsia="仿宋"/>
          <w:color w:val="auto"/>
          <w:sz w:val="28"/>
          <w:szCs w:val="28"/>
        </w:rPr>
        <w:t>8.投标文件的语言及度量衡单位</w:t>
      </w:r>
      <w:bookmarkEnd w:id="0"/>
      <w:bookmarkEnd w:id="1"/>
      <w:bookmarkEnd w:id="2"/>
      <w:bookmarkEnd w:id="3"/>
    </w:p>
    <w:p w14:paraId="6154D72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8.1 投标人提交的投标文件以及投标人与招标人（招标代理机构）就有关投标的所有来往通知、函件和文件均应使用简体中文。</w:t>
      </w:r>
    </w:p>
    <w:p w14:paraId="0ECFD5A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8.2 除技术性能另有规定外，投标文件所使用的度量衡单位，均须采用国家法定计量单位。</w:t>
      </w:r>
    </w:p>
    <w:p w14:paraId="56444E9E">
      <w:pPr>
        <w:spacing w:line="520" w:lineRule="exact"/>
        <w:rPr>
          <w:rFonts w:ascii="仿宋" w:hAnsi="仿宋" w:eastAsia="仿宋"/>
          <w:color w:val="auto"/>
          <w:sz w:val="28"/>
          <w:szCs w:val="28"/>
        </w:rPr>
      </w:pPr>
      <w:r>
        <w:rPr>
          <w:rFonts w:hint="eastAsia" w:ascii="仿宋" w:hAnsi="仿宋" w:eastAsia="仿宋"/>
          <w:color w:val="auto"/>
          <w:sz w:val="28"/>
          <w:szCs w:val="28"/>
        </w:rPr>
        <w:t>9.投标文件构成</w:t>
      </w:r>
    </w:p>
    <w:p w14:paraId="1588F34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9.1 投标人编写的投标文件应包括资格证明文件、符合性证明文件、投标分项报价表、技术要求响应及偏离表、其他证明文件、投标函、开标一览表等部分。</w:t>
      </w:r>
      <w:r>
        <w:rPr>
          <w:rFonts w:hint="eastAsia" w:ascii="仿宋" w:hAnsi="仿宋" w:eastAsia="仿宋"/>
          <w:color w:val="auto"/>
          <w:sz w:val="28"/>
          <w:szCs w:val="28"/>
          <w:lang w:val="zh-CN"/>
        </w:rPr>
        <w:t>请投标人根据本招标文件的要求在指定模块中上传</w:t>
      </w:r>
      <w:r>
        <w:rPr>
          <w:rFonts w:hint="eastAsia" w:ascii="仿宋" w:hAnsi="仿宋" w:eastAsia="仿宋"/>
          <w:color w:val="auto"/>
          <w:sz w:val="28"/>
          <w:szCs w:val="28"/>
        </w:rPr>
        <w:t>相</w:t>
      </w:r>
      <w:r>
        <w:rPr>
          <w:rFonts w:hint="eastAsia" w:ascii="仿宋" w:hAnsi="仿宋" w:eastAsia="仿宋"/>
          <w:color w:val="auto"/>
          <w:sz w:val="28"/>
          <w:szCs w:val="28"/>
          <w:lang w:val="zh-CN"/>
        </w:rPr>
        <w:t>应的投标材料，未按招标文件要求在指定模块上传</w:t>
      </w:r>
      <w:r>
        <w:rPr>
          <w:rFonts w:hint="eastAsia" w:ascii="仿宋" w:hAnsi="仿宋" w:eastAsia="仿宋"/>
          <w:color w:val="auto"/>
          <w:sz w:val="28"/>
          <w:szCs w:val="28"/>
        </w:rPr>
        <w:t>相</w:t>
      </w:r>
      <w:r>
        <w:rPr>
          <w:rFonts w:hint="eastAsia" w:ascii="仿宋" w:hAnsi="仿宋" w:eastAsia="仿宋"/>
          <w:color w:val="auto"/>
          <w:sz w:val="28"/>
          <w:szCs w:val="28"/>
          <w:lang w:val="zh-CN"/>
        </w:rPr>
        <w:t>应的投标材料的，</w:t>
      </w:r>
      <w:r>
        <w:rPr>
          <w:rFonts w:hint="eastAsia" w:ascii="仿宋" w:hAnsi="仿宋" w:eastAsia="仿宋"/>
          <w:color w:val="auto"/>
          <w:sz w:val="28"/>
          <w:szCs w:val="28"/>
        </w:rPr>
        <w:t>视同未提交该投标材料处理。</w:t>
      </w:r>
    </w:p>
    <w:p w14:paraId="41E958C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9.2 如标书制作工具中格式和内容与“淮安市政府采购网”发布的招标文件不一致，请以“淮安市政府采购网”发布的招标文件为准（开标一览表除外）。</w:t>
      </w:r>
    </w:p>
    <w:p w14:paraId="3000E6A0">
      <w:pPr>
        <w:spacing w:line="520" w:lineRule="exact"/>
        <w:rPr>
          <w:rFonts w:ascii="仿宋" w:hAnsi="仿宋" w:eastAsia="仿宋"/>
          <w:color w:val="auto"/>
          <w:sz w:val="28"/>
          <w:szCs w:val="28"/>
        </w:rPr>
      </w:pPr>
      <w:r>
        <w:rPr>
          <w:rFonts w:hint="eastAsia" w:ascii="仿宋" w:hAnsi="仿宋" w:eastAsia="仿宋"/>
          <w:color w:val="auto"/>
          <w:sz w:val="28"/>
          <w:szCs w:val="28"/>
        </w:rPr>
        <w:t>10.证明投标人及投标标的符合招标文件规定的文件</w:t>
      </w:r>
    </w:p>
    <w:p w14:paraId="2D9C516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10.1 投标人应按照招标文件要求提交证明文件，证明其及投标标的符合招标文件规定。</w:t>
      </w:r>
    </w:p>
    <w:p w14:paraId="60EBCEF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10.2招标文件对证明文件无明确形式要求的，证明文件可以以文字资料、图纸和数据等形式提交。</w:t>
      </w:r>
    </w:p>
    <w:p w14:paraId="517068F8">
      <w:pPr>
        <w:spacing w:line="520" w:lineRule="exact"/>
        <w:rPr>
          <w:rFonts w:ascii="仿宋" w:hAnsi="仿宋" w:eastAsia="仿宋"/>
          <w:color w:val="auto"/>
          <w:sz w:val="28"/>
          <w:szCs w:val="28"/>
        </w:rPr>
      </w:pPr>
      <w:r>
        <w:rPr>
          <w:rFonts w:hint="eastAsia" w:ascii="仿宋" w:hAnsi="仿宋" w:eastAsia="仿宋"/>
          <w:color w:val="auto"/>
          <w:sz w:val="28"/>
          <w:szCs w:val="28"/>
        </w:rPr>
        <w:t>11.投标分项报价表</w:t>
      </w:r>
    </w:p>
    <w:p w14:paraId="6077E09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11.1 投标人应按照招标文件规定格式填报投标分项报价表。</w:t>
      </w:r>
    </w:p>
    <w:p w14:paraId="71F0BDC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11.2投标货币。投标文件中的单价和总价无特殊规定的采用人民币报价，以元为单位标注。招标文件中另有规定的按规定执行。</w:t>
      </w:r>
    </w:p>
    <w:p w14:paraId="3BAE485A">
      <w:pPr>
        <w:spacing w:line="520" w:lineRule="exact"/>
        <w:rPr>
          <w:rFonts w:ascii="仿宋" w:hAnsi="仿宋" w:eastAsia="仿宋"/>
          <w:color w:val="auto"/>
          <w:sz w:val="28"/>
          <w:szCs w:val="28"/>
        </w:rPr>
      </w:pPr>
      <w:r>
        <w:rPr>
          <w:rFonts w:hint="eastAsia" w:ascii="仿宋" w:hAnsi="仿宋" w:eastAsia="仿宋"/>
          <w:color w:val="auto"/>
          <w:sz w:val="28"/>
          <w:szCs w:val="28"/>
        </w:rPr>
        <w:t>12.技术要求响应及偏离表、商务要求响应及偏离表（如有）</w:t>
      </w:r>
    </w:p>
    <w:p w14:paraId="281A674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12.1 投标人需对招标文件中的技术要求与商务要求逐项作出响应或偏离，并说明原因。</w:t>
      </w:r>
    </w:p>
    <w:p w14:paraId="17FA078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12.2 投标人可在投标文件中提供认为需要的其他技术文件或说明。</w:t>
      </w:r>
    </w:p>
    <w:p w14:paraId="6DFFD155">
      <w:pPr>
        <w:spacing w:line="520" w:lineRule="exact"/>
        <w:rPr>
          <w:rFonts w:ascii="仿宋" w:hAnsi="仿宋" w:eastAsia="仿宋"/>
          <w:color w:val="auto"/>
          <w:sz w:val="28"/>
          <w:szCs w:val="28"/>
        </w:rPr>
      </w:pPr>
      <w:r>
        <w:rPr>
          <w:rFonts w:hint="eastAsia" w:ascii="仿宋" w:hAnsi="仿宋" w:eastAsia="仿宋"/>
          <w:color w:val="auto"/>
          <w:sz w:val="28"/>
          <w:szCs w:val="28"/>
        </w:rPr>
        <w:t>13.服务承诺、培训计划、人员安排及其他（如有）</w:t>
      </w:r>
    </w:p>
    <w:p w14:paraId="0A0E9D6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13.1 投标人需根据招标文件要求提供有关售后服务的管理制度，售后服务机构的分布情况，售后服务人员的数量、素质、技术水平及售后服务的反应能力等。</w:t>
      </w:r>
    </w:p>
    <w:p w14:paraId="6DB9EF4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13.2 投标人需根据招标文件要求提供培训计划。</w:t>
      </w:r>
    </w:p>
    <w:p w14:paraId="111E709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13.3投标人需根据招标文件要求提供所投标的的主要组成部分、功能设计、实现思路及关键技术等。</w:t>
      </w:r>
    </w:p>
    <w:p w14:paraId="57D1D7AC">
      <w:pPr>
        <w:spacing w:line="520" w:lineRule="exact"/>
        <w:rPr>
          <w:rFonts w:ascii="仿宋" w:hAnsi="仿宋" w:eastAsia="仿宋"/>
          <w:color w:val="auto"/>
          <w:sz w:val="28"/>
          <w:szCs w:val="28"/>
        </w:rPr>
      </w:pPr>
      <w:bookmarkStart w:id="4" w:name="_Toc14577359"/>
      <w:bookmarkStart w:id="5" w:name="_Toc49090510"/>
      <w:r>
        <w:rPr>
          <w:rFonts w:hint="eastAsia" w:ascii="仿宋" w:hAnsi="仿宋" w:eastAsia="仿宋"/>
          <w:color w:val="auto"/>
          <w:sz w:val="28"/>
          <w:szCs w:val="28"/>
        </w:rPr>
        <w:t>14.投标函和开标一览表</w:t>
      </w:r>
    </w:p>
    <w:p w14:paraId="284BCFA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14.1 投标人应按照招标文件中提供的格式完整、正确填写投标函、开标一览表。</w:t>
      </w:r>
    </w:p>
    <w:p w14:paraId="7F692DC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14.2 对于采用货币报价的项目，开标一览表中的投标总报价应与投标分项报价表中的投标总报价一致，如不一致，不作为无效投标处理，但评标时按开标一览表中价格为准。</w:t>
      </w:r>
      <w:bookmarkEnd w:id="4"/>
      <w:bookmarkEnd w:id="5"/>
    </w:p>
    <w:p w14:paraId="010E006A">
      <w:pPr>
        <w:spacing w:line="520" w:lineRule="exact"/>
        <w:rPr>
          <w:rFonts w:ascii="仿宋" w:hAnsi="仿宋" w:eastAsia="仿宋"/>
          <w:color w:val="auto"/>
          <w:sz w:val="28"/>
          <w:szCs w:val="28"/>
        </w:rPr>
      </w:pPr>
      <w:bookmarkStart w:id="6" w:name="_Toc14577360"/>
      <w:bookmarkStart w:id="7" w:name="_Toc49090511"/>
      <w:r>
        <w:rPr>
          <w:rFonts w:hint="eastAsia" w:ascii="仿宋" w:hAnsi="仿宋" w:eastAsia="仿宋"/>
          <w:color w:val="auto"/>
          <w:sz w:val="28"/>
          <w:szCs w:val="28"/>
        </w:rPr>
        <w:t>15.投标有效期</w:t>
      </w:r>
      <w:bookmarkEnd w:id="6"/>
      <w:bookmarkEnd w:id="7"/>
    </w:p>
    <w:p w14:paraId="1132A32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15.1投标有效期为采购人规定的开标之日后九十（90）天。投标有效期比规定短的将被视为未实质性响应招标文件而予以拒绝。</w:t>
      </w:r>
    </w:p>
    <w:p w14:paraId="5EAA9F75">
      <w:pPr>
        <w:spacing w:line="520" w:lineRule="exact"/>
        <w:rPr>
          <w:rFonts w:ascii="仿宋" w:hAnsi="仿宋" w:eastAsia="仿宋"/>
          <w:color w:val="auto"/>
          <w:sz w:val="28"/>
          <w:szCs w:val="28"/>
        </w:rPr>
      </w:pPr>
      <w:r>
        <w:rPr>
          <w:rFonts w:hint="eastAsia" w:ascii="仿宋" w:hAnsi="仿宋" w:eastAsia="仿宋"/>
          <w:color w:val="auto"/>
          <w:sz w:val="28"/>
          <w:szCs w:val="28"/>
        </w:rPr>
        <w:t>16.投标有效期的延长</w:t>
      </w:r>
    </w:p>
    <w:p w14:paraId="52B433F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16.1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p>
    <w:p w14:paraId="663B6965">
      <w:pPr>
        <w:spacing w:line="520" w:lineRule="exact"/>
        <w:rPr>
          <w:rFonts w:ascii="仿宋" w:hAnsi="仿宋" w:eastAsia="仿宋"/>
          <w:bCs/>
          <w:color w:val="auto"/>
          <w:sz w:val="28"/>
          <w:szCs w:val="28"/>
        </w:rPr>
      </w:pPr>
      <w:r>
        <w:rPr>
          <w:rFonts w:hint="eastAsia" w:ascii="仿宋" w:hAnsi="仿宋" w:eastAsia="仿宋"/>
          <w:bCs/>
          <w:color w:val="auto"/>
          <w:sz w:val="28"/>
          <w:szCs w:val="28"/>
        </w:rPr>
        <w:t>17.方案部分</w:t>
      </w:r>
    </w:p>
    <w:p w14:paraId="10472488">
      <w:pPr>
        <w:spacing w:line="520" w:lineRule="exact"/>
        <w:ind w:firstLine="560"/>
        <w:rPr>
          <w:rFonts w:hint="eastAsia" w:ascii="仿宋" w:hAnsi="仿宋" w:eastAsia="仿宋"/>
          <w:bCs/>
          <w:color w:val="auto"/>
          <w:sz w:val="28"/>
          <w:szCs w:val="28"/>
        </w:rPr>
      </w:pPr>
      <w:r>
        <w:rPr>
          <w:rFonts w:hint="eastAsia" w:ascii="仿宋" w:hAnsi="仿宋" w:eastAsia="仿宋"/>
          <w:bCs/>
          <w:color w:val="auto"/>
          <w:sz w:val="28"/>
          <w:szCs w:val="28"/>
        </w:rPr>
        <w:t>17.1本项目评标标准中的方案部分采用明标方式进行评审。</w:t>
      </w:r>
    </w:p>
    <w:p w14:paraId="3F932E14">
      <w:pPr>
        <w:spacing w:line="520" w:lineRule="exact"/>
        <w:ind w:firstLine="560"/>
        <w:rPr>
          <w:rFonts w:hint="eastAsia" w:ascii="仿宋" w:hAnsi="仿宋" w:eastAsia="仿宋"/>
          <w:bCs/>
          <w:color w:val="auto"/>
          <w:sz w:val="28"/>
          <w:szCs w:val="28"/>
        </w:rPr>
      </w:pPr>
      <w:r>
        <w:rPr>
          <w:rFonts w:hint="eastAsia" w:ascii="仿宋" w:hAnsi="仿宋" w:eastAsia="仿宋"/>
          <w:bCs/>
          <w:color w:val="auto"/>
          <w:sz w:val="28"/>
          <w:szCs w:val="28"/>
        </w:rPr>
        <w:t>17.2供应商应按招标文件要求编制方案，经三分之二评委认定，供应商未按要求编制方案的，按未提供方案处理。</w:t>
      </w:r>
    </w:p>
    <w:p w14:paraId="14512AE8">
      <w:pPr>
        <w:pStyle w:val="3"/>
        <w:rPr>
          <w:color w:val="auto"/>
        </w:rPr>
      </w:pPr>
      <w:r>
        <w:rPr>
          <w:rFonts w:hint="eastAsia"/>
          <w:color w:val="auto"/>
        </w:rPr>
        <w:t>四、投标文件上传</w:t>
      </w:r>
    </w:p>
    <w:p w14:paraId="08E7D449">
      <w:pPr>
        <w:spacing w:line="520" w:lineRule="exact"/>
        <w:rPr>
          <w:rFonts w:ascii="仿宋" w:hAnsi="仿宋" w:eastAsia="仿宋"/>
          <w:color w:val="auto"/>
          <w:sz w:val="28"/>
          <w:szCs w:val="28"/>
        </w:rPr>
      </w:pPr>
      <w:r>
        <w:rPr>
          <w:rFonts w:hint="eastAsia" w:ascii="仿宋" w:hAnsi="仿宋" w:eastAsia="仿宋"/>
          <w:color w:val="auto"/>
          <w:sz w:val="28"/>
          <w:szCs w:val="28"/>
        </w:rPr>
        <w:t>18.投标文件的上传</w:t>
      </w:r>
    </w:p>
    <w:p w14:paraId="40C7AB5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18.1投标人应当按照《操作手册》规定，在投标截止时间前</w:t>
      </w:r>
      <w:r>
        <w:rPr>
          <w:rFonts w:ascii="仿宋" w:hAnsi="仿宋" w:eastAsia="仿宋"/>
          <w:color w:val="auto"/>
          <w:sz w:val="28"/>
          <w:szCs w:val="28"/>
        </w:rPr>
        <w:t>制作</w:t>
      </w:r>
      <w:r>
        <w:rPr>
          <w:rFonts w:hint="eastAsia" w:ascii="仿宋" w:hAnsi="仿宋" w:eastAsia="仿宋"/>
          <w:color w:val="auto"/>
          <w:sz w:val="28"/>
          <w:szCs w:val="28"/>
        </w:rPr>
        <w:t>并上传电子投标文件。</w:t>
      </w:r>
    </w:p>
    <w:p w14:paraId="47060D7D">
      <w:pPr>
        <w:spacing w:line="520" w:lineRule="exact"/>
        <w:ind w:firstLine="560"/>
        <w:rPr>
          <w:rFonts w:ascii="仿宋" w:hAnsi="仿宋" w:eastAsia="仿宋" w:cs="宋体"/>
          <w:bCs/>
          <w:color w:val="auto"/>
          <w:sz w:val="28"/>
          <w:szCs w:val="28"/>
          <w:lang w:val="zh-CN"/>
        </w:rPr>
      </w:pPr>
      <w:r>
        <w:rPr>
          <w:rFonts w:hint="eastAsia" w:ascii="仿宋" w:hAnsi="仿宋" w:eastAsia="仿宋"/>
          <w:color w:val="auto"/>
          <w:sz w:val="28"/>
          <w:szCs w:val="28"/>
        </w:rPr>
        <w:t>18.2投标人上传的电子投标文件内容不清楚或不清晰的（含扫描</w:t>
      </w:r>
      <w:r>
        <w:rPr>
          <w:rFonts w:hint="eastAsia" w:ascii="仿宋" w:hAnsi="仿宋" w:eastAsia="仿宋" w:cs="宋体"/>
          <w:bCs/>
          <w:color w:val="auto"/>
          <w:sz w:val="28"/>
          <w:szCs w:val="28"/>
        </w:rPr>
        <w:t>件），造成无法评审或部分影响评审的，</w:t>
      </w:r>
      <w:r>
        <w:rPr>
          <w:rFonts w:hint="eastAsia" w:ascii="仿宋" w:hAnsi="仿宋" w:eastAsia="仿宋" w:cs="宋体"/>
          <w:bCs/>
          <w:color w:val="auto"/>
          <w:sz w:val="28"/>
          <w:szCs w:val="28"/>
          <w:lang w:val="zh-CN"/>
        </w:rPr>
        <w:t>责任由</w:t>
      </w:r>
      <w:r>
        <w:rPr>
          <w:rFonts w:hint="eastAsia" w:ascii="仿宋" w:hAnsi="仿宋" w:eastAsia="仿宋" w:cs="宋体"/>
          <w:bCs/>
          <w:color w:val="auto"/>
          <w:sz w:val="28"/>
          <w:szCs w:val="28"/>
        </w:rPr>
        <w:t>投标人</w:t>
      </w:r>
      <w:r>
        <w:rPr>
          <w:rFonts w:hint="eastAsia" w:ascii="仿宋" w:hAnsi="仿宋" w:eastAsia="仿宋" w:cs="宋体"/>
          <w:bCs/>
          <w:color w:val="auto"/>
          <w:sz w:val="28"/>
          <w:szCs w:val="28"/>
          <w:lang w:val="zh-CN"/>
        </w:rPr>
        <w:t>自负。</w:t>
      </w:r>
    </w:p>
    <w:p w14:paraId="4E40542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18.3投标人上传电子投标文件的时间不得迟于投标邀请中规定的截止时间。</w:t>
      </w:r>
    </w:p>
    <w:p w14:paraId="14E9D4B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18.4采购人可以按第7条规定，通过修改招标文件有权酌情延长投标文件接收截止时间。在此情况下，投标人的所有权利和义务以及投标人受制约的截止日期均应以延长后新的截止日期为准。</w:t>
      </w:r>
    </w:p>
    <w:p w14:paraId="6991EA7C">
      <w:pPr>
        <w:spacing w:line="520" w:lineRule="exact"/>
        <w:rPr>
          <w:rFonts w:ascii="仿宋" w:hAnsi="仿宋" w:eastAsia="仿宋"/>
          <w:color w:val="auto"/>
          <w:sz w:val="28"/>
          <w:szCs w:val="28"/>
        </w:rPr>
      </w:pPr>
      <w:r>
        <w:rPr>
          <w:rFonts w:hint="eastAsia" w:ascii="仿宋" w:hAnsi="仿宋" w:eastAsia="仿宋"/>
          <w:color w:val="auto"/>
          <w:sz w:val="28"/>
          <w:szCs w:val="28"/>
        </w:rPr>
        <w:t>19.投标文件被拒绝接收的情形</w:t>
      </w:r>
    </w:p>
    <w:p w14:paraId="1DDD82D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19.1在招标文件规定的提交投标文件截止时间后上传的电子投标文件。</w:t>
      </w:r>
    </w:p>
    <w:p w14:paraId="55F26719">
      <w:pPr>
        <w:spacing w:line="520" w:lineRule="exact"/>
        <w:rPr>
          <w:rFonts w:ascii="仿宋" w:hAnsi="仿宋" w:eastAsia="仿宋"/>
          <w:b/>
          <w:color w:val="auto"/>
          <w:sz w:val="28"/>
          <w:szCs w:val="28"/>
        </w:rPr>
      </w:pPr>
      <w:r>
        <w:rPr>
          <w:rFonts w:hint="eastAsia" w:ascii="仿宋" w:hAnsi="仿宋" w:eastAsia="仿宋"/>
          <w:color w:val="auto"/>
          <w:sz w:val="28"/>
          <w:szCs w:val="28"/>
        </w:rPr>
        <w:t>20.投标文件的修改和撤回</w:t>
      </w:r>
    </w:p>
    <w:p w14:paraId="4F6A0BD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19.1投标人在上传电子投标文件后可以对其修改或撤回，但这种修改和撤回，必须在规定的开标时间之前，具体操作方法见《操作手册》。</w:t>
      </w:r>
    </w:p>
    <w:p w14:paraId="3255F8B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19.2投标人不得在开标时间以后修改电子投标文件。</w:t>
      </w:r>
    </w:p>
    <w:p w14:paraId="2732B59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19.3投标人不得在提交电子投标文件截止时间起至投标有效期满前撤回电子投标文件。</w:t>
      </w:r>
    </w:p>
    <w:p w14:paraId="5F6CE4B3">
      <w:pPr>
        <w:pStyle w:val="3"/>
        <w:rPr>
          <w:color w:val="auto"/>
        </w:rPr>
      </w:pPr>
      <w:bookmarkStart w:id="8" w:name="_Toc162083530"/>
      <w:r>
        <w:rPr>
          <w:color w:val="auto"/>
        </w:rPr>
        <w:t>五、开标及评标</w:t>
      </w:r>
      <w:bookmarkEnd w:id="8"/>
    </w:p>
    <w:p w14:paraId="6F8EA37B">
      <w:pPr>
        <w:spacing w:line="520" w:lineRule="exact"/>
        <w:rPr>
          <w:rFonts w:ascii="仿宋" w:hAnsi="仿宋" w:eastAsia="仿宋"/>
          <w:color w:val="auto"/>
          <w:sz w:val="28"/>
          <w:szCs w:val="28"/>
        </w:rPr>
      </w:pPr>
      <w:r>
        <w:rPr>
          <w:rFonts w:hint="eastAsia" w:ascii="仿宋" w:hAnsi="仿宋" w:eastAsia="仿宋"/>
          <w:color w:val="auto"/>
          <w:sz w:val="28"/>
          <w:szCs w:val="28"/>
        </w:rPr>
        <w:t>20.开标</w:t>
      </w:r>
    </w:p>
    <w:p w14:paraId="4E229A9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20.1 采购人或采购代理机构将在招标公告中规定的时间和地点组织开标。投标人应当按照《操作手册》规定，</w:t>
      </w:r>
      <w:r>
        <w:rPr>
          <w:rFonts w:ascii="仿宋" w:hAnsi="仿宋" w:eastAsia="仿宋"/>
          <w:color w:val="auto"/>
          <w:sz w:val="28"/>
          <w:szCs w:val="28"/>
        </w:rPr>
        <w:t>参加开标活动</w:t>
      </w:r>
      <w:r>
        <w:rPr>
          <w:rFonts w:hint="eastAsia" w:ascii="仿宋" w:hAnsi="仿宋" w:eastAsia="仿宋"/>
          <w:color w:val="auto"/>
          <w:sz w:val="28"/>
          <w:szCs w:val="28"/>
        </w:rPr>
        <w:t>和在苏采云系统规定的时间内对投标文件进行解密。</w:t>
      </w:r>
    </w:p>
    <w:p w14:paraId="2090BAA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20.2开标仪式由采购人或采购代理机构组织。苏采云系统将自动对</w:t>
      </w:r>
      <w:r>
        <w:rPr>
          <w:rFonts w:ascii="仿宋" w:hAnsi="仿宋" w:eastAsia="仿宋"/>
          <w:color w:val="auto"/>
          <w:sz w:val="28"/>
          <w:szCs w:val="28"/>
        </w:rPr>
        <w:t>项目进行开标，</w:t>
      </w:r>
      <w:r>
        <w:rPr>
          <w:rFonts w:hint="eastAsia" w:ascii="仿宋" w:hAnsi="仿宋" w:eastAsia="仿宋"/>
          <w:color w:val="auto"/>
          <w:sz w:val="28"/>
          <w:szCs w:val="28"/>
        </w:rPr>
        <w:t>并宣布各投标人名称和投标价格。</w:t>
      </w:r>
    </w:p>
    <w:p w14:paraId="6B55ED9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20.3投标人在开标过程中涉及到的投标文件解密、开标结果确认等工作，应按照《操作手册》规定执行。</w:t>
      </w:r>
    </w:p>
    <w:p w14:paraId="5A89826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20.4投标人如果对开标过程和开标记录有疑义，应当根据《操作手册》规定提出，如苏采云系统中《开标记录表》宣布后5分钟内未提出的，视同认可开标结果。</w:t>
      </w:r>
    </w:p>
    <w:p w14:paraId="685D0960">
      <w:pPr>
        <w:spacing w:line="520" w:lineRule="exact"/>
        <w:rPr>
          <w:rFonts w:ascii="仿宋" w:hAnsi="仿宋" w:eastAsia="仿宋"/>
          <w:color w:val="auto"/>
          <w:sz w:val="28"/>
          <w:szCs w:val="28"/>
        </w:rPr>
      </w:pPr>
      <w:bookmarkStart w:id="9" w:name="_Toc513029231"/>
      <w:bookmarkStart w:id="10" w:name="_Toc16938547"/>
      <w:bookmarkStart w:id="11" w:name="_Toc20823303"/>
      <w:r>
        <w:rPr>
          <w:rFonts w:hint="eastAsia" w:ascii="仿宋" w:hAnsi="仿宋" w:eastAsia="仿宋"/>
          <w:color w:val="auto"/>
          <w:sz w:val="28"/>
          <w:szCs w:val="28"/>
        </w:rPr>
        <w:t>21.评标委员会</w:t>
      </w:r>
    </w:p>
    <w:p w14:paraId="543DA52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21.1开标后，采购人或采购代理机构将立即组织评标委员会（以下简称评委会）进行评标。</w:t>
      </w:r>
    </w:p>
    <w:p w14:paraId="5BF5BDFB">
      <w:pPr>
        <w:spacing w:line="520" w:lineRule="exact"/>
        <w:rPr>
          <w:rFonts w:ascii="仿宋" w:hAnsi="仿宋" w:eastAsia="仿宋"/>
          <w:color w:val="auto"/>
          <w:sz w:val="28"/>
          <w:szCs w:val="28"/>
        </w:rPr>
      </w:pPr>
      <w:r>
        <w:rPr>
          <w:rFonts w:hint="eastAsia" w:ascii="仿宋" w:hAnsi="仿宋" w:eastAsia="仿宋"/>
          <w:color w:val="auto"/>
          <w:sz w:val="28"/>
          <w:szCs w:val="28"/>
        </w:rPr>
        <w:t xml:space="preserve">    21.2 评委会由采购人代表和有关技术、经济等方面的专家组成，且人员构成符合政府采购有关规定。</w:t>
      </w:r>
    </w:p>
    <w:p w14:paraId="7D8626D6">
      <w:pPr>
        <w:spacing w:line="520" w:lineRule="exact"/>
        <w:ind w:firstLine="280"/>
        <w:rPr>
          <w:rFonts w:ascii="仿宋" w:hAnsi="仿宋" w:eastAsia="仿宋"/>
          <w:color w:val="auto"/>
          <w:sz w:val="28"/>
          <w:szCs w:val="28"/>
        </w:rPr>
      </w:pPr>
      <w:r>
        <w:rPr>
          <w:rFonts w:hint="eastAsia" w:ascii="仿宋" w:hAnsi="仿宋" w:eastAsia="仿宋"/>
          <w:color w:val="auto"/>
          <w:sz w:val="28"/>
          <w:szCs w:val="28"/>
        </w:rPr>
        <w:t xml:space="preserve">  21.3评委会独立工作，负责评审所有投标文件并确定中标候选人。</w:t>
      </w:r>
    </w:p>
    <w:p w14:paraId="1E8CEC16">
      <w:pPr>
        <w:spacing w:line="520" w:lineRule="exact"/>
        <w:rPr>
          <w:rFonts w:ascii="仿宋" w:hAnsi="仿宋" w:eastAsia="仿宋"/>
          <w:color w:val="auto"/>
          <w:sz w:val="28"/>
          <w:szCs w:val="28"/>
        </w:rPr>
      </w:pPr>
      <w:r>
        <w:rPr>
          <w:rFonts w:hint="eastAsia" w:ascii="仿宋" w:hAnsi="仿宋" w:eastAsia="仿宋"/>
          <w:color w:val="auto"/>
          <w:sz w:val="28"/>
          <w:szCs w:val="28"/>
        </w:rPr>
        <w:t>22．评标过程的保密与公正</w:t>
      </w:r>
      <w:bookmarkEnd w:id="9"/>
      <w:bookmarkEnd w:id="10"/>
      <w:bookmarkEnd w:id="11"/>
    </w:p>
    <w:p w14:paraId="1F49C3B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22.1凡是与审查、澄清、评价和比较投标的有关资料以及授标建议等，采购人、评委、采购代理机构均不得向投标人或与评标无关的其他人员透露。</w:t>
      </w:r>
    </w:p>
    <w:p w14:paraId="6BE5EE0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22.2在评标过程中，投标人不得以任何行为影响评标过程，否则其投标文件将被作为无效投标文件。</w:t>
      </w:r>
    </w:p>
    <w:p w14:paraId="6EE9D610">
      <w:pPr>
        <w:spacing w:line="520" w:lineRule="exact"/>
        <w:ind w:firstLine="56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2.</w:t>
      </w:r>
      <w:r>
        <w:rPr>
          <w:rFonts w:ascii="仿宋" w:hAnsi="仿宋" w:eastAsia="仿宋"/>
          <w:color w:val="auto"/>
          <w:sz w:val="28"/>
          <w:szCs w:val="28"/>
        </w:rPr>
        <w:t>3</w:t>
      </w:r>
      <w:r>
        <w:rPr>
          <w:rFonts w:hint="eastAsia" w:ascii="仿宋" w:hAnsi="仿宋" w:eastAsia="仿宋"/>
          <w:color w:val="auto"/>
          <w:sz w:val="28"/>
          <w:szCs w:val="28"/>
        </w:rPr>
        <w:t xml:space="preserve"> 采购人或采购代理机构和评标委员会不向未中标的投标人解释未中标原因，也不公布评标过程中的相关细节。</w:t>
      </w:r>
    </w:p>
    <w:p w14:paraId="1BC61B5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22.</w:t>
      </w:r>
      <w:r>
        <w:rPr>
          <w:rFonts w:ascii="仿宋" w:hAnsi="仿宋" w:eastAsia="仿宋"/>
          <w:color w:val="auto"/>
          <w:sz w:val="28"/>
          <w:szCs w:val="28"/>
        </w:rPr>
        <w:t>4</w:t>
      </w:r>
      <w:r>
        <w:rPr>
          <w:rFonts w:hint="eastAsia" w:ascii="仿宋" w:hAnsi="仿宋" w:eastAsia="仿宋"/>
          <w:color w:val="auto"/>
          <w:sz w:val="28"/>
          <w:szCs w:val="28"/>
        </w:rPr>
        <w:t xml:space="preserve"> 采用综合评分法的项目，未中标的投标人可于中标结果公告期限届满之日起通过苏采云系统查看自己的评审得分及排序情况。</w:t>
      </w:r>
    </w:p>
    <w:p w14:paraId="1A130E34">
      <w:pPr>
        <w:spacing w:line="520" w:lineRule="exact"/>
        <w:rPr>
          <w:rFonts w:ascii="仿宋" w:hAnsi="仿宋" w:eastAsia="仿宋"/>
          <w:color w:val="auto"/>
          <w:sz w:val="28"/>
          <w:szCs w:val="28"/>
        </w:rPr>
      </w:pPr>
      <w:bookmarkStart w:id="12" w:name="_Toc16938548"/>
      <w:bookmarkStart w:id="13" w:name="_Toc513029232"/>
      <w:bookmarkStart w:id="14" w:name="_Toc20823304"/>
      <w:r>
        <w:rPr>
          <w:rFonts w:hint="eastAsia" w:ascii="仿宋" w:hAnsi="仿宋" w:eastAsia="仿宋"/>
          <w:color w:val="auto"/>
          <w:sz w:val="28"/>
          <w:szCs w:val="28"/>
        </w:rPr>
        <w:t>23．投标文件的澄清</w:t>
      </w:r>
      <w:bookmarkEnd w:id="12"/>
      <w:bookmarkEnd w:id="13"/>
      <w:bookmarkEnd w:id="14"/>
    </w:p>
    <w:p w14:paraId="6814AC91">
      <w:pPr>
        <w:spacing w:line="520" w:lineRule="exact"/>
        <w:ind w:firstLine="560"/>
        <w:rPr>
          <w:rFonts w:ascii="仿宋" w:hAnsi="仿宋" w:eastAsia="仿宋"/>
          <w:color w:val="auto"/>
          <w:sz w:val="28"/>
          <w:szCs w:val="28"/>
        </w:rPr>
      </w:pPr>
      <w:bookmarkStart w:id="15" w:name="_Toc513029233"/>
      <w:bookmarkStart w:id="16" w:name="_Toc20823305"/>
      <w:bookmarkStart w:id="17" w:name="_Toc16938549"/>
      <w:r>
        <w:rPr>
          <w:rFonts w:ascii="仿宋" w:hAnsi="仿宋" w:eastAsia="仿宋"/>
          <w:color w:val="auto"/>
          <w:sz w:val="28"/>
          <w:szCs w:val="28"/>
        </w:rPr>
        <w:t>2</w:t>
      </w:r>
      <w:r>
        <w:rPr>
          <w:rFonts w:hint="eastAsia" w:ascii="仿宋" w:hAnsi="仿宋" w:eastAsia="仿宋"/>
          <w:color w:val="auto"/>
          <w:sz w:val="28"/>
          <w:szCs w:val="28"/>
        </w:rPr>
        <w:t>3.</w:t>
      </w:r>
      <w:r>
        <w:rPr>
          <w:rFonts w:ascii="仿宋" w:hAnsi="仿宋" w:eastAsia="仿宋"/>
          <w:color w:val="auto"/>
          <w:sz w:val="28"/>
          <w:szCs w:val="28"/>
        </w:rPr>
        <w:t>1</w:t>
      </w:r>
      <w:r>
        <w:rPr>
          <w:rFonts w:hint="eastAsia" w:ascii="仿宋" w:hAnsi="仿宋" w:eastAsia="仿宋"/>
          <w:color w:val="auto"/>
          <w:sz w:val="28"/>
          <w:szCs w:val="28"/>
        </w:rPr>
        <w:t>评标期间，评委会对投标文件中含义不明确、同类问题表述不一致或者有明显文字和计算错误的内容，有权要求投标人作出必要的澄清、说明或者补正。</w:t>
      </w:r>
    </w:p>
    <w:p w14:paraId="7C2D220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投标人的澄清、说明或者补正不得超出投标文件的范围或者改变投标文件的实质性内容。</w:t>
      </w:r>
    </w:p>
    <w:p w14:paraId="6A800B5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评</w:t>
      </w:r>
      <w:r>
        <w:rPr>
          <w:rFonts w:ascii="仿宋" w:hAnsi="仿宋" w:eastAsia="仿宋"/>
          <w:color w:val="auto"/>
          <w:sz w:val="28"/>
          <w:szCs w:val="28"/>
        </w:rPr>
        <w:t>委会并非对每个投标人都做澄清要求</w:t>
      </w:r>
      <w:r>
        <w:rPr>
          <w:rFonts w:hint="eastAsia" w:ascii="仿宋" w:hAnsi="仿宋" w:eastAsia="仿宋"/>
          <w:color w:val="auto"/>
          <w:sz w:val="28"/>
          <w:szCs w:val="28"/>
        </w:rPr>
        <w:t>。</w:t>
      </w:r>
    </w:p>
    <w:p w14:paraId="4D40C2E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23.2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4882FDA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23.3 接到评委会澄清、说明和补正要求的投标人如未按规定做出澄清、说明和补正，其风险由投标人自行承担。</w:t>
      </w:r>
    </w:p>
    <w:p w14:paraId="6448C2CE">
      <w:pPr>
        <w:spacing w:line="520" w:lineRule="exact"/>
        <w:rPr>
          <w:rFonts w:ascii="仿宋" w:hAnsi="仿宋" w:eastAsia="仿宋"/>
          <w:color w:val="auto"/>
          <w:sz w:val="28"/>
          <w:szCs w:val="28"/>
        </w:rPr>
      </w:pPr>
      <w:r>
        <w:rPr>
          <w:rFonts w:hint="eastAsia" w:ascii="仿宋" w:hAnsi="仿宋" w:eastAsia="仿宋"/>
          <w:color w:val="auto"/>
          <w:sz w:val="28"/>
          <w:szCs w:val="28"/>
        </w:rPr>
        <w:t>24.对投标文件的初审</w:t>
      </w:r>
      <w:bookmarkEnd w:id="15"/>
      <w:bookmarkEnd w:id="16"/>
      <w:bookmarkEnd w:id="17"/>
    </w:p>
    <w:p w14:paraId="5666575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24.1投标文件初审分为资格审查和符合性审查。</w:t>
      </w:r>
    </w:p>
    <w:p w14:paraId="2F30894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24.1.1 资格审查：依据法律法规和招标文件的规定，由采购人对投标文件中的资格证明文件进行审查。资格审查的结论，采购人向评委会进行反馈。</w:t>
      </w:r>
    </w:p>
    <w:p w14:paraId="740F543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采购人在进行资格性审查的同时，将在“信用中国”网站（www.creditchina.gov.cn）查询投标人的信用记录，以确定投标人是否具备投标资格,查询结果留存并归档。</w:t>
      </w:r>
    </w:p>
    <w:p w14:paraId="0B1F942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5582AC7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24.1.2 符合性审查：依据招标文件的规定，由评委会从投标文件的有效性、完整性和对招标文件的响应程度进行审查，以确定是否对招标文件的实质性要求作出响应。</w:t>
      </w:r>
    </w:p>
    <w:p w14:paraId="111E984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24.1.3 未通过资格审查或符合性审查的投标人，采购人或采购代理机构将在苏采云系统中告知未通过资格审查或符合性审查的原因，评审结束后，采购人或采购代理机构将不再告知未通过资格审查或符合性审查的原因。</w:t>
      </w:r>
    </w:p>
    <w:p w14:paraId="5DC5008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24.2在详细评标之前，评委会将首先审查每份投标文件是否实质性响应了招标文件的要求。实质性响应的投标应该是与招标文件要求的全部条款、条件和规格相符，没有重大偏离或保留的投标。</w:t>
      </w:r>
    </w:p>
    <w:p w14:paraId="69B3583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04B65B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24.3如果投标文件实质上没有响应招标文件的要求，评委会将予以拒绝，投标人不得通过修改或撤销不合要求的偏离或保留而使其投标成为实质性响应的投标。</w:t>
      </w:r>
    </w:p>
    <w:p w14:paraId="078AA28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24.4评委会将对确定为实质性响应的投标进行进一步审核，看其是否有计算上或累加上的算术错误，修正错误的原则如下：</w:t>
      </w:r>
    </w:p>
    <w:p w14:paraId="6C8A0EF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（1）投标文件中开标一览表内容与投标文件中相应内容不一致的，以开标一览表为准。</w:t>
      </w:r>
    </w:p>
    <w:p w14:paraId="076C6E6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（2）大写金额和小写金额不一致的，以大写金额为准。</w:t>
      </w:r>
    </w:p>
    <w:p w14:paraId="65D4FFA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（3）单价金额小数点或者百分比有明显错位的，以开标一览表的总价为准，并修改单价。</w:t>
      </w:r>
    </w:p>
    <w:p w14:paraId="37614C8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（4）总价金额与按单价汇总金额不一致的，以单价金额计算结果为准。</w:t>
      </w:r>
    </w:p>
    <w:p w14:paraId="2AC228E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同时出现两种以上错误的，按照前款规定的顺序修正。</w:t>
      </w:r>
    </w:p>
    <w:p w14:paraId="75A8909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24.5评委会将按上述修正错误的方法调整投标文件中的投标报价，并</w:t>
      </w:r>
      <w:r>
        <w:rPr>
          <w:rFonts w:ascii="仿宋" w:hAnsi="仿宋" w:eastAsia="仿宋"/>
          <w:color w:val="auto"/>
          <w:sz w:val="28"/>
          <w:szCs w:val="28"/>
        </w:rPr>
        <w:t>通过</w:t>
      </w:r>
      <w:r>
        <w:rPr>
          <w:rFonts w:hint="eastAsia" w:ascii="仿宋" w:hAnsi="仿宋" w:eastAsia="仿宋"/>
          <w:color w:val="auto"/>
          <w:sz w:val="28"/>
          <w:szCs w:val="28"/>
        </w:rPr>
        <w:t>苏采云系统告知</w:t>
      </w:r>
      <w:r>
        <w:rPr>
          <w:rFonts w:ascii="仿宋" w:hAnsi="仿宋" w:eastAsia="仿宋"/>
          <w:color w:val="auto"/>
          <w:sz w:val="28"/>
          <w:szCs w:val="28"/>
        </w:rPr>
        <w:t>投标人，</w:t>
      </w:r>
      <w:r>
        <w:rPr>
          <w:rFonts w:hint="eastAsia" w:ascii="仿宋" w:hAnsi="仿宋" w:eastAsia="仿宋"/>
          <w:color w:val="auto"/>
          <w:sz w:val="28"/>
          <w:szCs w:val="28"/>
        </w:rPr>
        <w:t>调整后的价格应对投标人具有约束力。如果投标人不接受修正后的价格，则其投标将被拒绝。</w:t>
      </w:r>
    </w:p>
    <w:p w14:paraId="5EBFED29">
      <w:pPr>
        <w:spacing w:line="520" w:lineRule="exact"/>
        <w:ind w:firstLine="560"/>
        <w:rPr>
          <w:rFonts w:ascii="仿宋" w:hAnsi="仿宋" w:eastAsia="仿宋"/>
          <w:color w:val="auto"/>
          <w:sz w:val="28"/>
          <w:szCs w:val="28"/>
        </w:rPr>
      </w:pPr>
      <w:bookmarkStart w:id="18" w:name="_Toc20823306"/>
      <w:bookmarkStart w:id="19" w:name="_Toc16938550"/>
      <w:bookmarkStart w:id="20" w:name="_Toc513029234"/>
      <w:r>
        <w:rPr>
          <w:rFonts w:hint="eastAsia" w:ascii="仿宋" w:hAnsi="仿宋" w:eastAsia="仿宋"/>
          <w:color w:val="auto"/>
          <w:sz w:val="28"/>
          <w:szCs w:val="28"/>
        </w:rPr>
        <w:t>24.6</w:t>
      </w:r>
      <w:r>
        <w:rPr>
          <w:rFonts w:ascii="仿宋" w:hAnsi="仿宋" w:eastAsia="仿宋"/>
          <w:color w:val="auto"/>
          <w:sz w:val="28"/>
          <w:szCs w:val="28"/>
        </w:rPr>
        <w:t>采用最低评标价法的采购项目，提供相同品牌产品的不同投标人参加同一合同项下投标的，以其中通过资格审查、符合性审查且报价最低的参加评标；报价相同的，由评标委员会</w:t>
      </w:r>
      <w:r>
        <w:rPr>
          <w:rFonts w:hint="eastAsia" w:ascii="仿宋" w:hAnsi="仿宋" w:eastAsia="仿宋"/>
          <w:color w:val="auto"/>
          <w:sz w:val="28"/>
          <w:szCs w:val="28"/>
        </w:rPr>
        <w:t>按照招标文件规定的方式（招标文件未规定的通过</w:t>
      </w:r>
      <w:r>
        <w:rPr>
          <w:rFonts w:ascii="仿宋" w:hAnsi="仿宋" w:eastAsia="仿宋"/>
          <w:color w:val="auto"/>
          <w:sz w:val="28"/>
          <w:szCs w:val="28"/>
        </w:rPr>
        <w:t>随机抽取</w:t>
      </w:r>
      <w:r>
        <w:rPr>
          <w:rFonts w:hint="eastAsia" w:ascii="仿宋" w:hAnsi="仿宋" w:eastAsia="仿宋"/>
          <w:color w:val="auto"/>
          <w:sz w:val="28"/>
          <w:szCs w:val="28"/>
        </w:rPr>
        <w:t>的</w:t>
      </w:r>
      <w:r>
        <w:rPr>
          <w:rFonts w:ascii="仿宋" w:hAnsi="仿宋" w:eastAsia="仿宋"/>
          <w:color w:val="auto"/>
          <w:sz w:val="28"/>
          <w:szCs w:val="28"/>
        </w:rPr>
        <w:t>方式</w:t>
      </w:r>
      <w:r>
        <w:rPr>
          <w:rFonts w:hint="eastAsia" w:ascii="仿宋" w:hAnsi="仿宋" w:eastAsia="仿宋"/>
          <w:color w:val="auto"/>
          <w:sz w:val="28"/>
          <w:szCs w:val="28"/>
        </w:rPr>
        <w:t>）</w:t>
      </w:r>
      <w:r>
        <w:rPr>
          <w:rFonts w:ascii="仿宋" w:hAnsi="仿宋" w:eastAsia="仿宋"/>
          <w:color w:val="auto"/>
          <w:sz w:val="28"/>
          <w:szCs w:val="28"/>
        </w:rPr>
        <w:t>确定一个参加评标的投标人，其他投标无效。</w:t>
      </w:r>
    </w:p>
    <w:p w14:paraId="03FA24ED">
      <w:pPr>
        <w:spacing w:line="520" w:lineRule="exact"/>
        <w:ind w:firstLine="560"/>
        <w:rPr>
          <w:rFonts w:ascii="仿宋" w:hAnsi="仿宋" w:eastAsia="仿宋"/>
          <w:color w:val="auto"/>
          <w:sz w:val="28"/>
          <w:szCs w:val="28"/>
        </w:rPr>
      </w:pPr>
      <w:r>
        <w:rPr>
          <w:rFonts w:ascii="仿宋" w:hAnsi="仿宋" w:eastAsia="仿宋"/>
          <w:color w:val="auto"/>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仿宋" w:hAnsi="仿宋" w:eastAsia="仿宋"/>
          <w:color w:val="auto"/>
          <w:sz w:val="28"/>
          <w:szCs w:val="28"/>
        </w:rPr>
        <w:t>根据招标文件规定的方式（招标文件未规定的采取随机抽取的方式）</w:t>
      </w:r>
      <w:r>
        <w:rPr>
          <w:rFonts w:ascii="仿宋" w:hAnsi="仿宋" w:eastAsia="仿宋"/>
          <w:color w:val="auto"/>
          <w:sz w:val="28"/>
          <w:szCs w:val="28"/>
        </w:rPr>
        <w:t>确定</w:t>
      </w:r>
      <w:r>
        <w:rPr>
          <w:rFonts w:hint="eastAsia" w:ascii="仿宋" w:hAnsi="仿宋" w:eastAsia="仿宋"/>
          <w:color w:val="auto"/>
          <w:sz w:val="28"/>
          <w:szCs w:val="28"/>
        </w:rPr>
        <w:t>一个中标候选人</w:t>
      </w:r>
      <w:r>
        <w:rPr>
          <w:rFonts w:ascii="仿宋" w:hAnsi="仿宋" w:eastAsia="仿宋"/>
          <w:color w:val="auto"/>
          <w:sz w:val="28"/>
          <w:szCs w:val="28"/>
        </w:rPr>
        <w:t>，其他同品牌投标人不作为中标候选人。</w:t>
      </w:r>
    </w:p>
    <w:p w14:paraId="2E674235">
      <w:pPr>
        <w:spacing w:line="520" w:lineRule="exact"/>
        <w:ind w:firstLine="560"/>
        <w:rPr>
          <w:rFonts w:ascii="仿宋" w:hAnsi="仿宋" w:eastAsia="仿宋"/>
          <w:color w:val="auto"/>
          <w:sz w:val="28"/>
          <w:szCs w:val="28"/>
        </w:rPr>
      </w:pPr>
      <w:r>
        <w:rPr>
          <w:rFonts w:ascii="仿宋" w:hAnsi="仿宋" w:eastAsia="仿宋"/>
          <w:color w:val="auto"/>
          <w:sz w:val="28"/>
          <w:szCs w:val="28"/>
        </w:rPr>
        <w:t>非单一产品采购项目，招标文件中</w:t>
      </w:r>
      <w:r>
        <w:rPr>
          <w:rFonts w:hint="eastAsia" w:ascii="仿宋" w:hAnsi="仿宋" w:eastAsia="仿宋"/>
          <w:color w:val="auto"/>
          <w:sz w:val="28"/>
          <w:szCs w:val="28"/>
        </w:rPr>
        <w:t>将载明其中的核心产品</w:t>
      </w:r>
      <w:r>
        <w:rPr>
          <w:rFonts w:ascii="仿宋" w:hAnsi="仿宋" w:eastAsia="仿宋"/>
          <w:color w:val="auto"/>
          <w:sz w:val="28"/>
          <w:szCs w:val="28"/>
        </w:rPr>
        <w:t>。多家投标人提供的核心产品品牌相同的，按前两款规定处理。</w:t>
      </w:r>
    </w:p>
    <w:p w14:paraId="4A63C83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24.7投标人在开、评标全过程中应保持通讯畅通，及时登录苏采云系统查阅</w:t>
      </w:r>
      <w:r>
        <w:rPr>
          <w:rFonts w:ascii="仿宋" w:hAnsi="仿宋" w:eastAsia="仿宋"/>
          <w:color w:val="auto"/>
          <w:sz w:val="28"/>
          <w:szCs w:val="28"/>
        </w:rPr>
        <w:t>、答复相关</w:t>
      </w:r>
      <w:r>
        <w:rPr>
          <w:rFonts w:hint="eastAsia" w:ascii="仿宋" w:hAnsi="仿宋" w:eastAsia="仿宋"/>
          <w:color w:val="auto"/>
          <w:sz w:val="28"/>
          <w:szCs w:val="28"/>
        </w:rPr>
        <w:t>信息</w:t>
      </w:r>
      <w:r>
        <w:rPr>
          <w:rFonts w:ascii="仿宋" w:hAnsi="仿宋" w:eastAsia="仿宋"/>
          <w:color w:val="auto"/>
          <w:sz w:val="28"/>
          <w:szCs w:val="28"/>
        </w:rPr>
        <w:t>，</w:t>
      </w:r>
      <w:r>
        <w:rPr>
          <w:rFonts w:hint="eastAsia" w:ascii="仿宋" w:hAnsi="仿宋" w:eastAsia="仿宋"/>
          <w:color w:val="auto"/>
          <w:sz w:val="28"/>
          <w:szCs w:val="28"/>
        </w:rPr>
        <w:t>并安排专人与采购代理机构及评标委员会联系。</w:t>
      </w:r>
    </w:p>
    <w:p w14:paraId="7105B5F5">
      <w:pPr>
        <w:spacing w:line="520" w:lineRule="exact"/>
        <w:rPr>
          <w:rFonts w:ascii="仿宋" w:hAnsi="仿宋" w:eastAsia="仿宋"/>
          <w:color w:val="auto"/>
          <w:sz w:val="28"/>
          <w:szCs w:val="28"/>
        </w:rPr>
      </w:pPr>
      <w:r>
        <w:rPr>
          <w:rFonts w:hint="eastAsia" w:ascii="仿宋" w:hAnsi="仿宋" w:eastAsia="仿宋"/>
          <w:color w:val="auto"/>
          <w:sz w:val="28"/>
          <w:szCs w:val="28"/>
        </w:rPr>
        <w:t>2</w:t>
      </w:r>
      <w:bookmarkEnd w:id="18"/>
      <w:bookmarkEnd w:id="19"/>
      <w:bookmarkEnd w:id="20"/>
      <w:r>
        <w:rPr>
          <w:rFonts w:hint="eastAsia" w:ascii="仿宋" w:hAnsi="仿宋" w:eastAsia="仿宋"/>
          <w:color w:val="auto"/>
          <w:sz w:val="28"/>
          <w:szCs w:val="28"/>
        </w:rPr>
        <w:t>5.无效投标条款和废标条款</w:t>
      </w:r>
    </w:p>
    <w:p w14:paraId="03226421">
      <w:pPr>
        <w:spacing w:line="520" w:lineRule="exact"/>
        <w:ind w:firstLine="560"/>
        <w:rPr>
          <w:rFonts w:ascii="仿宋" w:hAnsi="仿宋" w:eastAsia="仿宋"/>
          <w:color w:val="auto"/>
          <w:sz w:val="28"/>
          <w:szCs w:val="28"/>
        </w:rPr>
      </w:pPr>
      <w:bookmarkStart w:id="21" w:name="_Toc513029235"/>
      <w:bookmarkStart w:id="22" w:name="_Toc20823307"/>
      <w:bookmarkStart w:id="23" w:name="_Toc16938551"/>
      <w:r>
        <w:rPr>
          <w:rFonts w:hint="eastAsia" w:ascii="仿宋" w:hAnsi="仿宋" w:eastAsia="仿宋"/>
          <w:color w:val="auto"/>
          <w:sz w:val="28"/>
          <w:szCs w:val="28"/>
        </w:rPr>
        <w:t>25.1无效投标条款</w:t>
      </w:r>
    </w:p>
    <w:p w14:paraId="5967FDA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 投标人在苏采云系统规定的时间内未成功解密电子投标文件的。</w:t>
      </w:r>
    </w:p>
    <w:p w14:paraId="057B14A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2</w:t>
      </w:r>
      <w:r>
        <w:rPr>
          <w:rFonts w:hint="eastAsia" w:ascii="仿宋" w:hAnsi="仿宋" w:eastAsia="仿宋"/>
          <w:color w:val="auto"/>
          <w:sz w:val="28"/>
          <w:szCs w:val="28"/>
        </w:rPr>
        <w:t xml:space="preserve"> 投标人未按照招标文件要求上传电子投标文件的。</w:t>
      </w:r>
    </w:p>
    <w:p w14:paraId="5DD4873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3</w:t>
      </w:r>
      <w:r>
        <w:rPr>
          <w:rFonts w:hint="eastAsia" w:ascii="仿宋" w:hAnsi="仿宋" w:eastAsia="仿宋"/>
          <w:color w:val="auto"/>
          <w:sz w:val="28"/>
          <w:szCs w:val="28"/>
        </w:rPr>
        <w:t>同一投标人提交两个</w:t>
      </w:r>
      <w:r>
        <w:rPr>
          <w:rFonts w:ascii="仿宋" w:hAnsi="仿宋" w:eastAsia="仿宋"/>
          <w:color w:val="auto"/>
          <w:sz w:val="28"/>
          <w:szCs w:val="28"/>
        </w:rPr>
        <w:t>（</w:t>
      </w:r>
      <w:r>
        <w:rPr>
          <w:rFonts w:hint="eastAsia" w:ascii="仿宋" w:hAnsi="仿宋" w:eastAsia="仿宋"/>
          <w:color w:val="auto"/>
          <w:sz w:val="28"/>
          <w:szCs w:val="28"/>
        </w:rPr>
        <w:t>含</w:t>
      </w:r>
      <w:r>
        <w:rPr>
          <w:rFonts w:ascii="仿宋" w:hAnsi="仿宋" w:eastAsia="仿宋"/>
          <w:color w:val="auto"/>
          <w:sz w:val="28"/>
          <w:szCs w:val="28"/>
        </w:rPr>
        <w:t>两个）</w:t>
      </w:r>
      <w:r>
        <w:rPr>
          <w:rFonts w:hint="eastAsia" w:ascii="仿宋" w:hAnsi="仿宋" w:eastAsia="仿宋"/>
          <w:color w:val="auto"/>
          <w:sz w:val="28"/>
          <w:szCs w:val="28"/>
        </w:rPr>
        <w:t>以上不同的</w:t>
      </w:r>
      <w:r>
        <w:rPr>
          <w:rFonts w:ascii="仿宋" w:hAnsi="仿宋" w:eastAsia="仿宋"/>
          <w:color w:val="auto"/>
          <w:sz w:val="28"/>
          <w:szCs w:val="28"/>
        </w:rPr>
        <w:t>投标报价的。</w:t>
      </w:r>
    </w:p>
    <w:p w14:paraId="3D53169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4</w:t>
      </w:r>
      <w:r>
        <w:rPr>
          <w:rFonts w:hint="eastAsia" w:ascii="仿宋" w:hAnsi="仿宋" w:eastAsia="仿宋"/>
          <w:color w:val="auto"/>
          <w:sz w:val="28"/>
          <w:szCs w:val="28"/>
        </w:rPr>
        <w:t>投标人不具备招标文件中规定资格要求的。</w:t>
      </w:r>
    </w:p>
    <w:p w14:paraId="3795F2F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5</w:t>
      </w:r>
      <w:r>
        <w:rPr>
          <w:rFonts w:hint="eastAsia" w:ascii="仿宋" w:hAnsi="仿宋" w:eastAsia="仿宋"/>
          <w:color w:val="auto"/>
          <w:sz w:val="28"/>
          <w:szCs w:val="28"/>
        </w:rPr>
        <w:t>投标人的报价超过了采购预算或最高限价的。</w:t>
      </w:r>
    </w:p>
    <w:p w14:paraId="0E961D3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6</w:t>
      </w:r>
      <w:r>
        <w:rPr>
          <w:rFonts w:hint="eastAsia" w:ascii="仿宋" w:hAnsi="仿宋" w:eastAsia="仿宋"/>
          <w:color w:val="auto"/>
          <w:sz w:val="28"/>
          <w:szCs w:val="28"/>
        </w:rPr>
        <w:t>未通过符合性审查的。</w:t>
      </w:r>
    </w:p>
    <w:p w14:paraId="2FEA63C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7</w:t>
      </w:r>
      <w:r>
        <w:rPr>
          <w:rFonts w:hint="eastAsia" w:ascii="仿宋" w:hAnsi="仿宋" w:eastAsia="仿宋"/>
          <w:color w:val="auto"/>
          <w:sz w:val="28"/>
          <w:szCs w:val="28"/>
        </w:rPr>
        <w:t>不符合招标文件中规定的实质性要求和条件的（实质性要求和条件是指本招标文件中用带星号（“</w:t>
      </w:r>
      <w:r>
        <w:rPr>
          <w:rFonts w:hint="eastAsia" w:ascii="宋体" w:hAnsi="宋体" w:cs="宋体"/>
          <w:color w:val="auto"/>
          <w:szCs w:val="21"/>
        </w:rPr>
        <w:t>★</w:t>
      </w:r>
      <w:r>
        <w:rPr>
          <w:rFonts w:hint="eastAsia" w:ascii="仿宋" w:hAnsi="仿宋" w:eastAsia="仿宋"/>
          <w:color w:val="auto"/>
          <w:sz w:val="28"/>
          <w:szCs w:val="28"/>
        </w:rPr>
        <w:t>”）的商务和技术要求）。</w:t>
      </w:r>
    </w:p>
    <w:p w14:paraId="4E036D2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8</w:t>
      </w:r>
      <w:r>
        <w:rPr>
          <w:rFonts w:hint="eastAsia" w:ascii="仿宋" w:hAnsi="仿宋" w:eastAsia="仿宋"/>
          <w:color w:val="auto"/>
          <w:sz w:val="28"/>
          <w:szCs w:val="28"/>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47EC45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9</w:t>
      </w:r>
      <w:r>
        <w:rPr>
          <w:rFonts w:hint="eastAsia" w:ascii="仿宋" w:hAnsi="仿宋" w:eastAsia="仿宋"/>
          <w:color w:val="auto"/>
          <w:sz w:val="28"/>
          <w:szCs w:val="28"/>
        </w:rPr>
        <w:t xml:space="preserve">  投标文件含有采购人不能接受的附加条件的。</w:t>
      </w:r>
    </w:p>
    <w:p w14:paraId="3E3FE5C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w:t>
      </w:r>
      <w:r>
        <w:rPr>
          <w:rFonts w:ascii="仿宋" w:hAnsi="仿宋" w:eastAsia="仿宋"/>
          <w:color w:val="auto"/>
          <w:sz w:val="28"/>
          <w:szCs w:val="28"/>
        </w:rPr>
        <w:t>10</w:t>
      </w:r>
      <w:r>
        <w:rPr>
          <w:rFonts w:hint="eastAsia" w:ascii="仿宋" w:hAnsi="仿宋" w:eastAsia="仿宋"/>
          <w:color w:val="auto"/>
          <w:sz w:val="28"/>
          <w:szCs w:val="28"/>
        </w:rPr>
        <w:t>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345F9E0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w:t>
      </w:r>
      <w:r>
        <w:rPr>
          <w:rFonts w:ascii="仿宋" w:hAnsi="仿宋" w:eastAsia="仿宋"/>
          <w:color w:val="auto"/>
          <w:sz w:val="28"/>
          <w:szCs w:val="28"/>
        </w:rPr>
        <w:t>1</w:t>
      </w:r>
      <w:r>
        <w:rPr>
          <w:rFonts w:hint="eastAsia" w:ascii="仿宋" w:hAnsi="仿宋" w:eastAsia="仿宋"/>
          <w:color w:val="auto"/>
          <w:sz w:val="28"/>
          <w:szCs w:val="28"/>
        </w:rPr>
        <w:t>按照第 34.4的要求本项目中具有“强制采购”产品，但未提供经国家确定的认证机构出具的、处于有效期之内该节能产品认证证书图片的；</w:t>
      </w:r>
    </w:p>
    <w:p w14:paraId="533D262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w:t>
      </w:r>
      <w:r>
        <w:rPr>
          <w:rFonts w:ascii="仿宋" w:hAnsi="仿宋" w:eastAsia="仿宋"/>
          <w:color w:val="auto"/>
          <w:sz w:val="28"/>
          <w:szCs w:val="28"/>
        </w:rPr>
        <w:t>2</w:t>
      </w:r>
      <w:r>
        <w:rPr>
          <w:rFonts w:hint="eastAsia" w:ascii="仿宋" w:hAnsi="仿宋" w:eastAsia="仿宋"/>
          <w:color w:val="auto"/>
          <w:sz w:val="28"/>
          <w:szCs w:val="28"/>
        </w:rPr>
        <w:t xml:space="preserve"> 投标文件未按照招标文件要求加盖CA电子公章的。</w:t>
      </w:r>
    </w:p>
    <w:p w14:paraId="6BECF92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25.1.1</w:t>
      </w:r>
      <w:r>
        <w:rPr>
          <w:rFonts w:ascii="仿宋" w:hAnsi="仿宋" w:eastAsia="仿宋"/>
          <w:color w:val="auto"/>
          <w:sz w:val="28"/>
          <w:szCs w:val="28"/>
        </w:rPr>
        <w:t>3</w:t>
      </w:r>
      <w:r>
        <w:rPr>
          <w:rFonts w:hint="eastAsia" w:ascii="仿宋" w:hAnsi="仿宋" w:eastAsia="仿宋"/>
          <w:color w:val="auto"/>
          <w:sz w:val="28"/>
          <w:szCs w:val="28"/>
        </w:rPr>
        <w:t>其他法律、法规及本招标文件规定的属无效投标的情形。</w:t>
      </w:r>
    </w:p>
    <w:p w14:paraId="7D1E872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25.2废标条款</w:t>
      </w:r>
    </w:p>
    <w:p w14:paraId="1734FD6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25.2.1符合专业条件的供应商或者对招标文件作实质响应的供应商不足三家的。</w:t>
      </w:r>
    </w:p>
    <w:p w14:paraId="66EA1E7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25.2.2出现影响采购公正的违法、违规行为的。</w:t>
      </w:r>
    </w:p>
    <w:p w14:paraId="3EA001C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25.2.3因重大变故，采购任务取消的。</w:t>
      </w:r>
    </w:p>
    <w:p w14:paraId="1B71899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25.2.4评标委员会认定招标文件存在歧义、重大缺陷导致评审工作无法进行。</w:t>
      </w:r>
    </w:p>
    <w:p w14:paraId="6DB7115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25.2.5 因苏采云系统</w:t>
      </w:r>
      <w:r>
        <w:rPr>
          <w:rFonts w:ascii="仿宋" w:hAnsi="仿宋" w:eastAsia="仿宋"/>
          <w:color w:val="auto"/>
          <w:sz w:val="28"/>
          <w:szCs w:val="28"/>
        </w:rPr>
        <w:t>系统故障原因造成开标不成功</w:t>
      </w:r>
      <w:r>
        <w:rPr>
          <w:rFonts w:hint="eastAsia" w:ascii="仿宋" w:hAnsi="仿宋" w:eastAsia="仿宋"/>
          <w:color w:val="auto"/>
          <w:sz w:val="28"/>
          <w:szCs w:val="28"/>
        </w:rPr>
        <w:t>的</w:t>
      </w:r>
      <w:r>
        <w:rPr>
          <w:rFonts w:ascii="仿宋" w:hAnsi="仿宋" w:eastAsia="仿宋"/>
          <w:color w:val="auto"/>
          <w:sz w:val="28"/>
          <w:szCs w:val="28"/>
        </w:rPr>
        <w:t>。</w:t>
      </w:r>
    </w:p>
    <w:p w14:paraId="2321CB2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25.3 投标截止时间结束后参加投标的供应商不足三家的处理：</w:t>
      </w:r>
    </w:p>
    <w:p w14:paraId="627BF4E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25.3.1如出现投标截止时间结束后参加投标的供应商或者在评标期间对招标文件做出实质响应的供应商不足三家情况，按政府采购相关规定执行。</w:t>
      </w:r>
      <w:bookmarkEnd w:id="21"/>
      <w:bookmarkEnd w:id="22"/>
      <w:bookmarkEnd w:id="23"/>
    </w:p>
    <w:p w14:paraId="486E47C9">
      <w:pPr>
        <w:pStyle w:val="3"/>
        <w:rPr>
          <w:color w:val="auto"/>
        </w:rPr>
      </w:pPr>
      <w:bookmarkStart w:id="24" w:name="_Toc120614219"/>
      <w:r>
        <w:rPr>
          <w:rFonts w:hint="eastAsia"/>
          <w:color w:val="auto"/>
        </w:rPr>
        <w:t>六、定标</w:t>
      </w:r>
      <w:bookmarkEnd w:id="24"/>
    </w:p>
    <w:p w14:paraId="49C4C103">
      <w:pPr>
        <w:spacing w:line="520" w:lineRule="exact"/>
        <w:rPr>
          <w:rFonts w:ascii="仿宋" w:hAnsi="仿宋" w:eastAsia="仿宋"/>
          <w:color w:val="auto"/>
          <w:sz w:val="28"/>
          <w:szCs w:val="28"/>
        </w:rPr>
      </w:pPr>
      <w:bookmarkStart w:id="25" w:name="_Toc513029238"/>
      <w:bookmarkStart w:id="26" w:name="_Toc20823310"/>
      <w:bookmarkStart w:id="27" w:name="_Toc16938554"/>
      <w:r>
        <w:rPr>
          <w:rFonts w:hint="eastAsia" w:ascii="仿宋" w:hAnsi="仿宋" w:eastAsia="仿宋"/>
          <w:color w:val="auto"/>
          <w:sz w:val="28"/>
          <w:szCs w:val="28"/>
        </w:rPr>
        <w:t>2</w:t>
      </w:r>
      <w:bookmarkEnd w:id="25"/>
      <w:r>
        <w:rPr>
          <w:rFonts w:hint="eastAsia" w:ascii="仿宋" w:hAnsi="仿宋" w:eastAsia="仿宋"/>
          <w:color w:val="auto"/>
          <w:sz w:val="28"/>
          <w:szCs w:val="28"/>
        </w:rPr>
        <w:t>6.确定</w:t>
      </w:r>
      <w:bookmarkEnd w:id="26"/>
      <w:bookmarkEnd w:id="27"/>
      <w:r>
        <w:rPr>
          <w:rFonts w:hint="eastAsia" w:ascii="仿宋" w:hAnsi="仿宋" w:eastAsia="仿宋"/>
          <w:color w:val="auto"/>
          <w:sz w:val="28"/>
          <w:szCs w:val="28"/>
        </w:rPr>
        <w:t>中标单位</w:t>
      </w:r>
    </w:p>
    <w:p w14:paraId="1C2D6583">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26.1中标候选人的选取原则和数量见招标文件第三章规定。</w:t>
      </w:r>
    </w:p>
    <w:p w14:paraId="149C08C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26.2 采购人应根据评委会推荐的中标候选人确定中标人。</w:t>
      </w:r>
    </w:p>
    <w:p w14:paraId="4109073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26.3 采购代理机构将在“淮安市政府采购网”发布中标公告，公告期限为1个工作日。</w:t>
      </w:r>
    </w:p>
    <w:p w14:paraId="1265C14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  若有充分证据证明，中标人出现下列情况之一的，一经查实，将被取消中标资格：</w:t>
      </w:r>
    </w:p>
    <w:p w14:paraId="64B4E93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26.4.1提供虚假材料谋取中标的。</w:t>
      </w:r>
    </w:p>
    <w:p w14:paraId="0B6462D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26.4.2向采购人、采购代理机构行贿或者提供其他不正当利益的。</w:t>
      </w:r>
    </w:p>
    <w:p w14:paraId="2531776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26.4.3属于本文件规定的无效条件，但在评标过程中又未被评委会发现的。</w:t>
      </w:r>
    </w:p>
    <w:p w14:paraId="75BD757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26.4.4与采购人或者其他供应商恶意串通的。</w:t>
      </w:r>
    </w:p>
    <w:p w14:paraId="00503D0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26.4.5采取不正当手段诋毁、排挤其他供应商的。</w:t>
      </w:r>
    </w:p>
    <w:p w14:paraId="21423DD7">
      <w:pPr>
        <w:spacing w:line="520" w:lineRule="exact"/>
        <w:ind w:firstLine="560"/>
        <w:rPr>
          <w:rFonts w:ascii="仿宋" w:hAnsi="仿宋" w:eastAsia="仿宋"/>
          <w:color w:val="auto"/>
          <w:sz w:val="28"/>
          <w:szCs w:val="28"/>
        </w:rPr>
      </w:pPr>
      <w:bookmarkStart w:id="28" w:name="_Toc200451960"/>
      <w:r>
        <w:rPr>
          <w:rFonts w:hint="eastAsia" w:ascii="仿宋" w:hAnsi="仿宋" w:eastAsia="仿宋"/>
          <w:color w:val="auto"/>
          <w:sz w:val="28"/>
          <w:szCs w:val="28"/>
        </w:rPr>
        <w:t>26.5.</w:t>
      </w:r>
      <w:r>
        <w:rPr>
          <w:rFonts w:ascii="仿宋" w:hAnsi="仿宋" w:eastAsia="仿宋"/>
          <w:color w:val="auto"/>
          <w:sz w:val="28"/>
          <w:szCs w:val="28"/>
        </w:rPr>
        <w:t>有下列情形之一的，</w:t>
      </w:r>
      <w:r>
        <w:rPr>
          <w:rFonts w:hint="eastAsia" w:ascii="仿宋" w:hAnsi="仿宋" w:eastAsia="仿宋"/>
          <w:color w:val="auto"/>
          <w:sz w:val="28"/>
          <w:szCs w:val="28"/>
        </w:rPr>
        <w:t>视为投标人</w:t>
      </w:r>
      <w:r>
        <w:rPr>
          <w:rFonts w:ascii="仿宋" w:hAnsi="仿宋" w:eastAsia="仿宋"/>
          <w:color w:val="auto"/>
          <w:sz w:val="28"/>
          <w:szCs w:val="28"/>
        </w:rPr>
        <w:t>串通</w:t>
      </w:r>
      <w:r>
        <w:rPr>
          <w:rFonts w:hint="eastAsia" w:ascii="仿宋" w:hAnsi="仿宋" w:eastAsia="仿宋"/>
          <w:color w:val="auto"/>
          <w:sz w:val="28"/>
          <w:szCs w:val="28"/>
        </w:rPr>
        <w:t>投标，投标无效：</w:t>
      </w:r>
    </w:p>
    <w:p w14:paraId="054B241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26.5.1不同投标人的投标文件由同一单位或者个人编制；</w:t>
      </w:r>
    </w:p>
    <w:p w14:paraId="2EB47D6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26.5.2不同投标人委托同一单位或者个人办理投标事宜；</w:t>
      </w:r>
    </w:p>
    <w:p w14:paraId="5D3C3D6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26.5.3 不同投标人的投标文件载明的项目管理成员或者联系人员为同一人；</w:t>
      </w:r>
    </w:p>
    <w:p w14:paraId="6B0C4F7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26.5.4不同投标人的投标文件异常一致或者投标报价呈规律性差异；</w:t>
      </w:r>
    </w:p>
    <w:p w14:paraId="52525BA8">
      <w:pPr>
        <w:spacing w:line="520" w:lineRule="exact"/>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7．质疑处理</w:t>
      </w:r>
      <w:bookmarkEnd w:id="28"/>
    </w:p>
    <w:p w14:paraId="3C930F9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27.1投标人认为采购文件、采购过程和中标结果使自己的权益受到损害的，可以在知道或者应知其权益受到损害之日起七个工作日内，以电子文件形式从通过“苏采云平台”-&gt;“供应商“登录，从”项目质疑申请”模块提出质疑。未通过交易平台提交的、七个工作日之外以及未按27.5条的要求提供质疑的均不予受理。</w:t>
      </w:r>
    </w:p>
    <w:p w14:paraId="70C9688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27.2上述应知其权益受到损害之日是指:</w:t>
      </w:r>
    </w:p>
    <w:p w14:paraId="79BC9D2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（1）对招标文件提出质疑的，为采购文件公告期限届满之日起计算；</w:t>
      </w:r>
    </w:p>
    <w:p w14:paraId="53E58FF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（2）对采购过程提出质疑的，为各采购程序环节结束之日起计算；</w:t>
      </w:r>
    </w:p>
    <w:p w14:paraId="28D217B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（3）对中标结果提出质疑的，为中标结果公告期限届满之日起计算。</w:t>
      </w:r>
    </w:p>
    <w:p w14:paraId="1EE44E1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27.3质疑投标人是指直接参加本次投标活动的投标人，未参加投标活动的投标人或在投标活动中自身权益未受到损害的投标人所提出的质疑不予受理。</w:t>
      </w:r>
    </w:p>
    <w:p w14:paraId="3794082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27.4质疑投标人在法定质疑期内应当一次性针对同一采购环节提出质疑。</w:t>
      </w:r>
    </w:p>
    <w:p w14:paraId="450933B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27.5质疑函应当包括以下主要内容，附上相关证明材料。否则，采购人和采购代理机构不予受理。</w:t>
      </w:r>
    </w:p>
    <w:p w14:paraId="0D1260E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（1）质疑投标人的名称、地址、邮编、联系人及联系电话；</w:t>
      </w:r>
    </w:p>
    <w:p w14:paraId="151D55B1">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（2）质疑项目的名称、编号；</w:t>
      </w:r>
    </w:p>
    <w:p w14:paraId="216D28D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（3）具体、明确的质疑事项和与质疑事实相关的请求；</w:t>
      </w:r>
    </w:p>
    <w:p w14:paraId="73C57DA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（4）事实依据；</w:t>
      </w:r>
    </w:p>
    <w:p w14:paraId="7A72419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（5）必要的法律依据；</w:t>
      </w:r>
    </w:p>
    <w:p w14:paraId="0C4A1FA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（6）提起质疑的日期；</w:t>
      </w:r>
    </w:p>
    <w:p w14:paraId="12AE457C">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【质疑函必须署名，由法定代表人或者其授权代表签字，并加盖单位电子公章。授权代表签字的，还需提供法定代表人出具的办理质疑事项授权书（授权中必须载明具体权限、期限和事项）。】</w:t>
      </w:r>
    </w:p>
    <w:p w14:paraId="42AC4F6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27.6采购人或采购代理机构收到质疑函后，将对质疑的形式和内容进行审查，如质疑函内容、格式不符合规定，采购人或采购代理机构将告知质疑人进行补正。质疑人应当在法定质疑期限内进行补正并重新提交质疑函，拒不补正或者超过法定期限后未重新提交质疑函的，为无效质疑，采购人或采购代理机构有权不予受理。</w:t>
      </w:r>
    </w:p>
    <w:p w14:paraId="676F2CC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27.7对于内容、格式符合规定的质疑函，采购人或采购代理机构将在七个工作日内以电子文件的形式作出答复，但质疑答复的内容不涉及商业秘密。如果质疑投标人还需要纸质形式回复函的，需主动与采购人或采购代理机构联系索取，或者在质疑函中明确提出该要求。</w:t>
      </w:r>
    </w:p>
    <w:p w14:paraId="2F16EDD9">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27.8投标人提出的质疑必须有理、有据，不得恶意质疑或提交虚假质疑。否则，一经查实，采购人有权依据政府采购的有关规定，报请淮安市财政局政府采购管理处对该投标人列入失信行为或不良行为记录名单，进行相应的行政处罚。</w:t>
      </w:r>
    </w:p>
    <w:p w14:paraId="1DAF5FD9">
      <w:pPr>
        <w:spacing w:line="520" w:lineRule="exact"/>
        <w:rPr>
          <w:rFonts w:ascii="仿宋" w:hAnsi="仿宋" w:eastAsia="仿宋"/>
          <w:color w:val="auto"/>
          <w:sz w:val="28"/>
          <w:szCs w:val="28"/>
        </w:rPr>
      </w:pPr>
      <w:r>
        <w:rPr>
          <w:rFonts w:hint="eastAsia" w:ascii="仿宋" w:hAnsi="仿宋" w:eastAsia="仿宋"/>
          <w:color w:val="auto"/>
          <w:sz w:val="28"/>
          <w:szCs w:val="28"/>
        </w:rPr>
        <w:t>28.中标通知书</w:t>
      </w:r>
    </w:p>
    <w:p w14:paraId="6BFCBC4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28.l中标结果确定后，采购人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59CFF5B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28.2中标通知书将是合同的一个组成部分。对采购人和中标供应商均具有法律效力。中标通知书发出后，采购人改变中标结果的，或者中标供应商放弃中标项目的，应当依法承担法律责任。</w:t>
      </w:r>
    </w:p>
    <w:p w14:paraId="1A11518F">
      <w:pPr>
        <w:pStyle w:val="3"/>
        <w:rPr>
          <w:color w:val="auto"/>
        </w:rPr>
      </w:pPr>
      <w:bookmarkStart w:id="29" w:name="_Toc16938552"/>
      <w:bookmarkStart w:id="30" w:name="_Toc120614220"/>
      <w:bookmarkStart w:id="31" w:name="_Toc20823308"/>
      <w:bookmarkStart w:id="32" w:name="_Toc513029236"/>
      <w:r>
        <w:rPr>
          <w:rFonts w:hint="eastAsia"/>
          <w:color w:val="auto"/>
        </w:rPr>
        <w:t>七、授予合同</w:t>
      </w:r>
      <w:bookmarkEnd w:id="29"/>
      <w:bookmarkEnd w:id="30"/>
      <w:bookmarkEnd w:id="31"/>
      <w:bookmarkEnd w:id="32"/>
    </w:p>
    <w:p w14:paraId="25728EA7">
      <w:pPr>
        <w:spacing w:line="520" w:lineRule="exact"/>
        <w:rPr>
          <w:rFonts w:ascii="仿宋" w:hAnsi="仿宋" w:eastAsia="仿宋"/>
          <w:color w:val="auto"/>
          <w:sz w:val="28"/>
          <w:szCs w:val="28"/>
        </w:rPr>
      </w:pPr>
      <w:bookmarkStart w:id="33" w:name="_Toc20823309"/>
      <w:bookmarkStart w:id="34" w:name="_Toc16938553"/>
      <w:bookmarkStart w:id="35" w:name="_Toc513029237"/>
      <w:r>
        <w:rPr>
          <w:rFonts w:hint="eastAsia" w:ascii="仿宋" w:hAnsi="仿宋" w:eastAsia="仿宋"/>
          <w:color w:val="auto"/>
          <w:sz w:val="28"/>
          <w:szCs w:val="28"/>
        </w:rPr>
        <w:t>29. 签订合同</w:t>
      </w:r>
      <w:r>
        <w:rPr>
          <w:rFonts w:hint="eastAsia" w:ascii="仿宋" w:hAnsi="仿宋" w:eastAsia="仿宋"/>
          <w:color w:val="auto"/>
          <w:sz w:val="28"/>
          <w:szCs w:val="28"/>
        </w:rPr>
        <w:tab/>
      </w:r>
    </w:p>
    <w:p w14:paraId="36D75CE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29.l中标人应当在中标通知书发出之日起十二日内，按照招标文件确定的事项与采购人签订政府采购合同。</w:t>
      </w:r>
    </w:p>
    <w:p w14:paraId="7F13172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29.2招标文件、中标人的投标文件及招标过程中有关澄清、承诺文件均应作为合同附件。</w:t>
      </w:r>
    </w:p>
    <w:p w14:paraId="1A6B1C5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29.3 签订合同后，中标人不得将合同标的进行转包。未经采购人同意，中标人也不得采用分包的形式履行合同，否则采购人有权终止合同。转包或分包造成采购人损失的，中标人应承担相应赔偿责任。</w:t>
      </w:r>
    </w:p>
    <w:p w14:paraId="1A2AF6DF">
      <w:pPr>
        <w:spacing w:line="520" w:lineRule="exact"/>
        <w:rPr>
          <w:rFonts w:ascii="仿宋" w:hAnsi="仿宋" w:eastAsia="仿宋"/>
          <w:color w:val="auto"/>
          <w:sz w:val="28"/>
          <w:szCs w:val="28"/>
        </w:rPr>
      </w:pPr>
      <w:r>
        <w:rPr>
          <w:rFonts w:hint="eastAsia" w:ascii="仿宋" w:hAnsi="仿宋" w:eastAsia="仿宋"/>
          <w:color w:val="auto"/>
          <w:sz w:val="28"/>
          <w:szCs w:val="28"/>
        </w:rPr>
        <w:t>30.货物（包含与货物相关的服务）的追加</w:t>
      </w:r>
    </w:p>
    <w:p w14:paraId="7D4D848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政府采购合同履行中，采购人需追加与合同标的相同的货物（包含与货物相关的服务）的，在不改变合同其他条款的前提下，可以与中标人协商签订补充合同，但所有补充合同的采购金额不超过原合同金额10%。</w:t>
      </w:r>
      <w:bookmarkEnd w:id="33"/>
      <w:bookmarkEnd w:id="34"/>
      <w:bookmarkEnd w:id="35"/>
    </w:p>
    <w:p w14:paraId="21E12B3F">
      <w:pPr>
        <w:spacing w:line="520" w:lineRule="exact"/>
        <w:rPr>
          <w:rFonts w:ascii="仿宋" w:hAnsi="仿宋" w:eastAsia="仿宋"/>
          <w:color w:val="auto"/>
          <w:sz w:val="28"/>
          <w:szCs w:val="28"/>
        </w:rPr>
      </w:pPr>
      <w:r>
        <w:rPr>
          <w:rFonts w:hint="eastAsia" w:ascii="仿宋" w:hAnsi="仿宋" w:eastAsia="仿宋"/>
          <w:color w:val="auto"/>
          <w:sz w:val="28"/>
          <w:szCs w:val="28"/>
        </w:rPr>
        <w:t>31.政府采购履约资金扶持政策</w:t>
      </w:r>
    </w:p>
    <w:p w14:paraId="5644D665">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中标供应商可凭政府采购合同办理融资贷款，详情请见江苏政府采购网“政采贷”专栏。</w:t>
      </w:r>
    </w:p>
    <w:p w14:paraId="29E1B79C">
      <w:pPr>
        <w:pStyle w:val="3"/>
        <w:rPr>
          <w:color w:val="auto"/>
        </w:rPr>
      </w:pPr>
      <w:r>
        <w:rPr>
          <w:rFonts w:hint="eastAsia"/>
          <w:color w:val="auto"/>
        </w:rPr>
        <w:t>八、政府采购政策功能落实</w:t>
      </w:r>
    </w:p>
    <w:p w14:paraId="534DAA1F">
      <w:pPr>
        <w:spacing w:line="520" w:lineRule="exact"/>
        <w:rPr>
          <w:rFonts w:ascii="仿宋" w:hAnsi="仿宋" w:eastAsia="仿宋"/>
          <w:color w:val="auto"/>
          <w:sz w:val="28"/>
          <w:szCs w:val="28"/>
        </w:rPr>
      </w:pPr>
      <w:r>
        <w:rPr>
          <w:rFonts w:hint="eastAsia" w:ascii="仿宋" w:hAnsi="仿宋" w:eastAsia="仿宋"/>
          <w:color w:val="auto"/>
          <w:sz w:val="28"/>
          <w:szCs w:val="28"/>
        </w:rPr>
        <w:t>32.</w:t>
      </w:r>
      <w:r>
        <w:rPr>
          <w:rFonts w:hint="eastAsia" w:ascii="仿宋" w:hAnsi="仿宋" w:eastAsia="仿宋"/>
          <w:color w:val="auto"/>
          <w:sz w:val="28"/>
          <w:szCs w:val="28"/>
          <w:lang w:val="zh-CN"/>
        </w:rPr>
        <w:t>促进中小企业发展</w:t>
      </w:r>
      <w:r>
        <w:rPr>
          <w:rFonts w:hint="eastAsia" w:ascii="仿宋" w:hAnsi="仿宋" w:eastAsia="仿宋"/>
          <w:color w:val="auto"/>
          <w:sz w:val="28"/>
          <w:szCs w:val="28"/>
        </w:rPr>
        <w:t>政策</w:t>
      </w:r>
    </w:p>
    <w:p w14:paraId="658447E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32.1小微型企业价格扣除</w:t>
      </w:r>
    </w:p>
    <w:p w14:paraId="1EC7E85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32.1.1</w:t>
      </w:r>
      <w:r>
        <w:rPr>
          <w:rFonts w:hint="eastAsia" w:ascii="仿宋" w:hAnsi="仿宋" w:eastAsia="仿宋"/>
          <w:color w:val="auto"/>
          <w:sz w:val="28"/>
          <w:szCs w:val="28"/>
          <w:lang w:val="zh-CN"/>
        </w:rPr>
        <w:t>对于未专门面向中小企业或者未预留份额专门面向中小企业采购的采购项目，供应商提供的货物或者服务</w:t>
      </w:r>
      <w:r>
        <w:rPr>
          <w:rFonts w:hint="eastAsia" w:ascii="仿宋" w:hAnsi="仿宋" w:eastAsia="仿宋"/>
          <w:color w:val="auto"/>
          <w:sz w:val="28"/>
          <w:szCs w:val="28"/>
        </w:rPr>
        <w:t>符合下列情形的，享受本办法规定的中小企业扶持政策给予小微企业报价20%的扣除，用扣除后的价格参与评审：</w:t>
      </w:r>
    </w:p>
    <w:p w14:paraId="76298056">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（1）在货物采购项目中，货物由中小企业制造，即货物由中小企业生产且使用该中小企业商号或者注册商标；</w:t>
      </w:r>
    </w:p>
    <w:p w14:paraId="312D539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（2）在服务采购项目中，服务由中小企业承接，即提供服务的人员为中小企业依照《中华人民共和国劳动合同法》订立劳动合同的从业人员。</w:t>
      </w:r>
    </w:p>
    <w:p w14:paraId="32EB799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32.1.2在货物采购项目中，供应商提供的货物既有中小企业制造货物，也有大型企业制造货物的，不享受本办法规定的中小企业扶持政策。</w:t>
      </w:r>
    </w:p>
    <w:p w14:paraId="0EA3FA6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32.2联合体及分包（如有）</w:t>
      </w:r>
    </w:p>
    <w:p w14:paraId="43CB3BB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32.2.1以联合体形式参加政府采购活动，联合体各方均为中小企业的，联合体视同中小企业。其中，联合体各方均为小微企业的，联合体视同小微企业。</w:t>
      </w:r>
    </w:p>
    <w:p w14:paraId="66BF52B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32.2.2享受扶持政策获得政府采购合同的，小微企业不得将合同分包给大中型企业，中型企业不得将合同分包给大型企业。</w:t>
      </w:r>
    </w:p>
    <w:p w14:paraId="54D62CB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377F808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3173103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32.3小微型企业</w:t>
      </w:r>
    </w:p>
    <w:p w14:paraId="2641DEE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（1）投标人须按照招标文件的要求提供相应的《企业声明函》，详见招标文件第六章示范格式。</w:t>
      </w:r>
    </w:p>
    <w:p w14:paraId="4811245A">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（2）企业标准请参照《政府采购促进中小企业发展管理办法》（财库【2020】46号）文件规定自行填写。</w:t>
      </w:r>
    </w:p>
    <w:p w14:paraId="54AC61C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32.4残疾人福利单位</w:t>
      </w:r>
    </w:p>
    <w:p w14:paraId="742F8A9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（1）残疾人福利单位需按照招标文件的要求提供《残疾人福利性单位声明函》，详见招标文件第六章示范格式。</w:t>
      </w:r>
    </w:p>
    <w:p w14:paraId="5EE3F23B">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（2）残疾人福利单位标准请参照《关于促进残疾人就业政府采购政策的通知》（财库〔2017〕141号）。</w:t>
      </w:r>
    </w:p>
    <w:p w14:paraId="69D0B08D">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32.5监狱和戒毒企业</w:t>
      </w:r>
    </w:p>
    <w:p w14:paraId="0611F96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（1）监狱企业参加政府采购活动时，需提供由省级以上监狱管理局、戒毒管理局（含新疆生产建设兵团）出具的属于监狱企业的证明文件）（投标文件中上传加盖出具单位公章的电子件）。</w:t>
      </w:r>
    </w:p>
    <w:p w14:paraId="7A989DC8">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（2）监狱企业标准请参照《关于政府采购支持监狱企业发展有关问题的通知》（财库[2014]68号）。</w:t>
      </w:r>
    </w:p>
    <w:p w14:paraId="4BE9ED8D">
      <w:pPr>
        <w:spacing w:line="520" w:lineRule="exact"/>
        <w:rPr>
          <w:rFonts w:ascii="仿宋" w:hAnsi="仿宋" w:eastAsia="仿宋"/>
          <w:color w:val="auto"/>
          <w:sz w:val="28"/>
          <w:szCs w:val="28"/>
        </w:rPr>
      </w:pPr>
      <w:r>
        <w:rPr>
          <w:rFonts w:hint="eastAsia" w:ascii="仿宋" w:hAnsi="仿宋" w:eastAsia="仿宋"/>
          <w:color w:val="auto"/>
          <w:sz w:val="28"/>
          <w:szCs w:val="28"/>
        </w:rPr>
        <w:t>33. 节能、环保政策</w:t>
      </w:r>
    </w:p>
    <w:p w14:paraId="684B29A4">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33.1根据《财政部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2689563E">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33.2节能产品（本项目不涉及）</w:t>
      </w:r>
    </w:p>
    <w:p w14:paraId="7DBE3DF2">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u w:val="single"/>
        </w:rPr>
        <w:t>(采购产品)</w:t>
      </w:r>
      <w:r>
        <w:rPr>
          <w:rFonts w:hint="eastAsia" w:ascii="仿宋" w:hAnsi="仿宋" w:eastAsia="仿宋"/>
          <w:color w:val="auto"/>
          <w:sz w:val="28"/>
          <w:szCs w:val="28"/>
        </w:rPr>
        <w:t>被列入“节能产品品目清单”的，实行</w:t>
      </w:r>
      <w:r>
        <w:rPr>
          <w:rFonts w:hint="eastAsia" w:ascii="仿宋" w:hAnsi="仿宋" w:eastAsia="仿宋"/>
          <w:color w:val="auto"/>
          <w:sz w:val="28"/>
          <w:szCs w:val="28"/>
          <w:u w:val="single"/>
        </w:rPr>
        <w:t>（优先采购/强制采购）</w:t>
      </w:r>
      <w:r>
        <w:rPr>
          <w:rFonts w:hint="eastAsia" w:ascii="仿宋" w:hAnsi="仿宋" w:eastAsia="仿宋"/>
          <w:color w:val="auto"/>
          <w:sz w:val="28"/>
          <w:szCs w:val="28"/>
        </w:rPr>
        <w:t>。</w:t>
      </w:r>
    </w:p>
    <w:p w14:paraId="065B5A50">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33.3环保产品（本项目不涉及）</w:t>
      </w:r>
    </w:p>
    <w:p w14:paraId="79A46A07">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本项目中</w:t>
      </w:r>
      <w:r>
        <w:rPr>
          <w:rFonts w:hint="eastAsia" w:ascii="仿宋" w:hAnsi="仿宋" w:eastAsia="仿宋"/>
          <w:color w:val="auto"/>
          <w:sz w:val="28"/>
          <w:szCs w:val="28"/>
          <w:u w:val="single"/>
        </w:rPr>
        <w:t>(采购产品)</w:t>
      </w:r>
      <w:r>
        <w:rPr>
          <w:rFonts w:hint="eastAsia" w:ascii="仿宋" w:hAnsi="仿宋" w:eastAsia="仿宋"/>
          <w:color w:val="auto"/>
          <w:sz w:val="28"/>
          <w:szCs w:val="28"/>
        </w:rPr>
        <w:t>被列入“环境标志产品品目清单”的，实行优先采购。</w:t>
      </w:r>
    </w:p>
    <w:p w14:paraId="33848CE0">
      <w:pPr>
        <w:spacing w:line="520" w:lineRule="exact"/>
        <w:ind w:firstLine="560"/>
        <w:rPr>
          <w:rFonts w:ascii="仿宋" w:hAnsi="仿宋" w:eastAsia="仿宋"/>
          <w:color w:val="auto"/>
          <w:sz w:val="28"/>
        </w:rPr>
      </w:pPr>
      <w:r>
        <w:rPr>
          <w:rFonts w:hint="eastAsia" w:ascii="仿宋" w:hAnsi="仿宋" w:eastAsia="仿宋"/>
          <w:color w:val="auto"/>
          <w:sz w:val="28"/>
          <w:szCs w:val="28"/>
        </w:rPr>
        <w:t>33.4本项目中实行“强制采购”的，需</w:t>
      </w:r>
      <w:r>
        <w:rPr>
          <w:rFonts w:hint="eastAsia" w:ascii="仿宋" w:hAnsi="仿宋" w:eastAsia="仿宋"/>
          <w:color w:val="auto"/>
          <w:sz w:val="28"/>
        </w:rPr>
        <w:t>提供国家市场监督管理总局确定的列入“参与实施政府采购节能产品认证机构名录”内的认证机构出具的、有效期内的该产品环境标志产品认证证书电子件，未提供的作无效投标处理；实行“优先采购”的，在评分标准的“政策导向”处参与加分（详见第三章评标标准）。</w:t>
      </w:r>
    </w:p>
    <w:p w14:paraId="7F1D2A70">
      <w:pPr>
        <w:spacing w:line="520" w:lineRule="exact"/>
        <w:ind w:firstLine="560"/>
        <w:rPr>
          <w:rFonts w:ascii="仿宋" w:hAnsi="仿宋" w:eastAsia="仿宋"/>
          <w:bCs/>
          <w:color w:val="auto"/>
          <w:sz w:val="28"/>
          <w:szCs w:val="28"/>
        </w:rPr>
      </w:pPr>
      <w:r>
        <w:rPr>
          <w:rFonts w:hint="eastAsia" w:ascii="仿宋" w:hAnsi="仿宋" w:eastAsia="仿宋"/>
          <w:color w:val="auto"/>
          <w:sz w:val="28"/>
          <w:szCs w:val="28"/>
        </w:rPr>
        <w:t>33.5节能、环保产品的品目清单按照《关于印发环境标志产品政府采购品目清单的通知》（财库〔2019〕18号）、《关于印发节能产品政府采购品目清单的</w:t>
      </w:r>
      <w:r>
        <w:rPr>
          <w:rFonts w:hint="eastAsia" w:ascii="仿宋" w:hAnsi="仿宋" w:eastAsia="仿宋"/>
          <w:bCs/>
          <w:color w:val="auto"/>
          <w:sz w:val="28"/>
          <w:szCs w:val="28"/>
        </w:rPr>
        <w:t>通知》（财库〔2019〕19号）执行。国家对品目清单进行调整的，按照最新调整的品目清单执行。</w:t>
      </w:r>
    </w:p>
    <w:p w14:paraId="1CF20C51">
      <w:pPr>
        <w:spacing w:line="520" w:lineRule="exact"/>
        <w:rPr>
          <w:rFonts w:ascii="仿宋" w:hAnsi="仿宋" w:eastAsia="仿宋"/>
          <w:bCs/>
          <w:color w:val="auto"/>
          <w:sz w:val="28"/>
          <w:szCs w:val="28"/>
        </w:rPr>
      </w:pPr>
      <w:r>
        <w:rPr>
          <w:rFonts w:hint="eastAsia" w:ascii="仿宋" w:hAnsi="仿宋" w:eastAsia="仿宋"/>
          <w:bCs/>
          <w:color w:val="auto"/>
          <w:sz w:val="28"/>
          <w:szCs w:val="28"/>
        </w:rPr>
        <w:t>34．政府绿色采购</w:t>
      </w:r>
    </w:p>
    <w:p w14:paraId="0CCF3C32">
      <w:pPr>
        <w:spacing w:line="520" w:lineRule="exact"/>
        <w:ind w:firstLine="280"/>
        <w:rPr>
          <w:rFonts w:ascii="仿宋" w:hAnsi="仿宋" w:eastAsia="仿宋"/>
          <w:bCs/>
          <w:color w:val="auto"/>
          <w:sz w:val="28"/>
          <w:szCs w:val="28"/>
        </w:rPr>
      </w:pPr>
      <w:r>
        <w:rPr>
          <w:rFonts w:hint="eastAsia" w:ascii="仿宋" w:hAnsi="仿宋" w:eastAsia="仿宋"/>
          <w:color w:val="auto"/>
          <w:sz w:val="28"/>
          <w:szCs w:val="28"/>
        </w:rPr>
        <w:t>根据《江苏省财政厅关于加强政府绿色采购有关事项的通知》（苏财购〔2023〕65号）的要求，落实政府绿色采购相关政策，具体如下：</w:t>
      </w:r>
    </w:p>
    <w:p w14:paraId="0545098F">
      <w:pPr>
        <w:spacing w:line="520" w:lineRule="exact"/>
        <w:ind w:firstLine="560"/>
        <w:rPr>
          <w:rFonts w:ascii="仿宋" w:hAnsi="仿宋" w:eastAsia="仿宋"/>
          <w:color w:val="auto"/>
          <w:sz w:val="28"/>
          <w:szCs w:val="28"/>
        </w:rPr>
      </w:pPr>
      <w:r>
        <w:rPr>
          <w:rFonts w:hint="eastAsia" w:ascii="仿宋" w:hAnsi="仿宋" w:eastAsia="仿宋"/>
          <w:color w:val="auto"/>
          <w:sz w:val="28"/>
          <w:szCs w:val="28"/>
        </w:rPr>
        <w:t>34.1本项目为货物类采购项目的，所提供的产品需综合考虑节能环保、节水、循环再生、低碳、有机等因素；本项目为物业、合同能源管理等服务类采购项目的，应在服务中加强绿色低碳管理。</w:t>
      </w:r>
    </w:p>
    <w:p w14:paraId="448C59B0">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34.2本项目中涉及商品的</w:t>
      </w:r>
      <w:r>
        <w:rPr>
          <w:rFonts w:ascii="仿宋" w:hAnsi="仿宋" w:eastAsia="仿宋"/>
          <w:color w:val="auto"/>
          <w:sz w:val="28"/>
          <w:szCs w:val="28"/>
        </w:rPr>
        <w:t>包装应按照“财办库〔2020〕123号《关于印发《商品包装政府采购需求标准（试行）》、《快递包装政府采购需求标准（试行）》的通知》”执行</w:t>
      </w:r>
      <w:r>
        <w:rPr>
          <w:rFonts w:hint="eastAsia" w:ascii="仿宋" w:hAnsi="仿宋" w:eastAsia="仿宋"/>
          <w:color w:val="auto"/>
          <w:sz w:val="28"/>
          <w:szCs w:val="28"/>
        </w:rPr>
        <w:t>,在供货、安装过程中能到做到低碳物流、环保节约、提高资源利用率；涉及设备运维参考《绿色数据中心政府采购需求标准（试行）》（财库【2023】7号文）执行。</w:t>
      </w:r>
    </w:p>
    <w:p w14:paraId="57598B41">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34.3本项目中涉及涂料、胶黏剂、油墨、清洗剂等挥发性有机物产品的，要执行国家和江苏省VOCs含量限制标准，优先使用低挥发性原辅材料，使用低VOCs含量的涂料、胶黏剂等。</w:t>
      </w:r>
    </w:p>
    <w:p w14:paraId="2140200C">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35. 履约资金扶持政策</w:t>
      </w:r>
    </w:p>
    <w:p w14:paraId="341A2143">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35.1政府采购合同信用融资是为支持中小企业发展，缓解中小企业融资难题推出的一项融资服务举措，中标人可凭政府采购合同办理融资贷款。该贷款无需抵押、担保，按照双方自愿的原则提供便捷、优惠的贷款服务。详情请见江苏政府采购网“政采贷”专栏。</w:t>
      </w:r>
    </w:p>
    <w:p w14:paraId="697AC3F4">
      <w:pPr>
        <w:pStyle w:val="29"/>
        <w:spacing w:line="520" w:lineRule="exact"/>
        <w:ind w:firstLine="560"/>
        <w:rPr>
          <w:rFonts w:ascii="仿宋" w:hAnsi="仿宋" w:eastAsia="仿宋"/>
          <w:color w:val="auto"/>
          <w:sz w:val="28"/>
          <w:szCs w:val="28"/>
        </w:rPr>
      </w:pPr>
      <w:r>
        <w:rPr>
          <w:rFonts w:hint="eastAsia" w:ascii="仿宋" w:hAnsi="仿宋" w:eastAsia="仿宋"/>
          <w:color w:val="auto"/>
          <w:sz w:val="28"/>
          <w:szCs w:val="28"/>
        </w:rPr>
        <w:t>35.2有融资贷款需求的中标人，与采购人在苏采云【合同在线签订】模块中进行合同在线签订时，【账户信息完善】的“是否融资”一栏中需选择“是”，同时完善收款账号信息和合同补充协议（融资账号）。</w:t>
      </w:r>
    </w:p>
    <w:p w14:paraId="6CFBB5BE">
      <w:pPr>
        <w:pStyle w:val="29"/>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.采购本国产品的支持政策</w:t>
      </w:r>
    </w:p>
    <w:p w14:paraId="61D0440E">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.1 本项目政府采购活动中既有本国产品又有非本国产品参与竞争的，依法对本国产品给予价格评审优惠，对本国产品的报价给予 20%的价格扣除，用扣除后的价格参与评审。</w:t>
      </w:r>
    </w:p>
    <w:p w14:paraId="4533AB29">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.2 当采购项目或者采购包中含有多种产品，投标人为该采购项目或者采购包提供的符合本国产品标准的产品成本之和占该投标人提供的全部产品成本之和的比例达到 80%以上时（投标人需在“第六章投标文件格式”的“三、投标报价明细表”中填写比例数值），依法对该投标人提供的全部产品给予价格评审优惠，即对该投标人提供的全部产品的总报价给予 20%的价格扣除，用扣除后的价格参与评审。投标人未填写比例数值，或比例数值未达到 80%的，将不享受本国产品价格评审优惠。</w:t>
      </w:r>
    </w:p>
    <w:p w14:paraId="0FD45213">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.3 投标人需按照招标文件的要求提供《关于符合本国产品标准 的声 明函 》 （以 下 简称 《声 明 函》 ， 详见 第六 章 “示 范格 式六”），如不提供将不享受本国产品价格评审优惠。</w:t>
      </w:r>
    </w:p>
    <w:p w14:paraId="0A9D025E">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37.4 投标人需在《声明函》中逐一、准确填写产品名称、厂名、生产厂址三项信息，三项信息中任意一项未填写的视为该项产品不符合本国产品标准，不享受本国产品价格评审优惠。</w:t>
      </w:r>
    </w:p>
    <w:p w14:paraId="0881DFB9">
      <w:pPr>
        <w:pStyle w:val="29"/>
        <w:spacing w:line="520" w:lineRule="exact"/>
        <w:ind w:firstLine="560"/>
        <w:rPr>
          <w:rFonts w:hint="eastAsia" w:ascii="仿宋" w:hAnsi="仿宋" w:eastAsia="仿宋"/>
          <w:color w:val="auto"/>
          <w:sz w:val="28"/>
          <w:szCs w:val="28"/>
        </w:rPr>
      </w:pPr>
      <w:r>
        <w:rPr>
          <w:rFonts w:hint="eastAsia" w:ascii="仿宋" w:hAnsi="仿宋" w:eastAsia="仿宋"/>
          <w:color w:val="auto"/>
          <w:sz w:val="28"/>
          <w:szCs w:val="28"/>
        </w:rPr>
        <w:t>37.5 评标过程中，如发现投标人在《声明函》内容含义不明确、同类事项与投标（响应）文件表述不一致或者有明显文字错误等情况的，评标委员会应当以书面形式要求投标人作出必要的澄清、说明或者补正。经澄清、说明或者补正的《声明函》仍然不符合《国务院办公厅关于在政府采购中实施本国产品标准及相关政策的通知》（国办发〔2025〕34 号）和招标文件规定的，投标人提供的相关产品视为不符合本国产品标准。</w:t>
      </w:r>
    </w:p>
    <w:p w14:paraId="7DFE0C3A">
      <w:pPr>
        <w:pStyle w:val="29"/>
        <w:spacing w:line="520" w:lineRule="exact"/>
        <w:ind w:firstLine="560"/>
        <w:rPr>
          <w:rFonts w:hint="eastAsia" w:ascii="仿宋" w:hAnsi="仿宋" w:eastAsia="仿宋"/>
          <w:b/>
          <w:bCs/>
          <w:color w:val="auto"/>
          <w:sz w:val="28"/>
          <w:szCs w:val="28"/>
        </w:rPr>
      </w:pPr>
    </w:p>
    <w:p w14:paraId="5F1575F0">
      <w:pPr>
        <w:pStyle w:val="29"/>
        <w:spacing w:line="520" w:lineRule="exact"/>
        <w:ind w:firstLine="560"/>
        <w:rPr>
          <w:rFonts w:hint="eastAsia" w:ascii="仿宋" w:hAnsi="仿宋" w:eastAsia="仿宋"/>
          <w:color w:val="auto"/>
          <w:sz w:val="28"/>
          <w:szCs w:val="28"/>
        </w:rPr>
      </w:pPr>
      <w:r>
        <w:rPr>
          <w:rFonts w:hint="eastAsia" w:ascii="仿宋" w:hAnsi="仿宋" w:eastAsia="仿宋"/>
          <w:b/>
          <w:bCs/>
          <w:color w:val="auto"/>
          <w:sz w:val="28"/>
          <w:szCs w:val="28"/>
        </w:rPr>
        <w:t>注：</w:t>
      </w:r>
      <w:r>
        <w:rPr>
          <w:rFonts w:hint="eastAsia" w:ascii="仿宋" w:hAnsi="仿宋" w:eastAsia="仿宋"/>
          <w:color w:val="auto"/>
          <w:sz w:val="28"/>
          <w:szCs w:val="28"/>
        </w:rPr>
        <w:t>本项目对采购本国产品给予政策支持；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rPr>
          <w:rFonts w:hint="eastAsia" w:ascii="仿宋" w:hAnsi="仿宋" w:eastAsia="仿宋"/>
          <w:color w:val="auto"/>
          <w:sz w:val="28"/>
          <w:szCs w:val="28"/>
        </w:rPr>
        <w:br w:type="page"/>
      </w:r>
    </w:p>
    <w:p w14:paraId="49BC20E6">
      <w:pPr>
        <w:pStyle w:val="2"/>
        <w:rPr>
          <w:color w:val="auto"/>
        </w:rPr>
      </w:pPr>
      <w:r>
        <w:rPr>
          <w:rFonts w:hint="eastAsia"/>
          <w:color w:val="auto"/>
        </w:rPr>
        <w:t>第三章  评标标准</w:t>
      </w:r>
    </w:p>
    <w:p w14:paraId="5146E32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采用综合评分法。分资格审查文件、商务技术文件、报价文件三部分评审，总分值为100分，加分和减分因素除外。</w:t>
      </w:r>
    </w:p>
    <w:p w14:paraId="278559F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首先由评标委员会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14:paraId="41D80EF3">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结果按评审后总得分由高到低顺序排列。总得分相同的，按投标报价由低到高顺序排列。总得分且投标报价相同的并列。投标文件满足招标文件全部实质性要求，且按照评审因素的量化指标评审总得分前三名的投标人为中标候选人。</w:t>
      </w:r>
    </w:p>
    <w:p w14:paraId="18C2540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评委在认真审阅投标文件的基础上，根据各投标文件的响应程度独立评判，不得统一打分。</w:t>
      </w:r>
    </w:p>
    <w:p w14:paraId="721F2D0B">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（一）采购人对投标人资格进行审查</w:t>
      </w:r>
    </w:p>
    <w:p w14:paraId="310FF349">
      <w:pPr>
        <w:pStyle w:val="95"/>
        <w:adjustRightInd w:val="0"/>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投标人资格不合格的，其投标文件判定为无效投标文件。</w:t>
      </w:r>
    </w:p>
    <w:p w14:paraId="4BF50DC3">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（二）评标委员会对符合资格投标人的投标文件进行符合性审查</w:t>
      </w:r>
    </w:p>
    <w:p w14:paraId="131DCE4E">
      <w:pPr>
        <w:pStyle w:val="95"/>
        <w:adjustRightInd w:val="0"/>
        <w:snapToGrid w:val="0"/>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未通过符合性审查的投标文件，将被判为不满足招标文件实质性要求。</w:t>
      </w:r>
    </w:p>
    <w:p w14:paraId="79803F5A">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各投标人得分为评委会成员评分的算术平均分，分值四舍五入后保留小数点后两位。</w:t>
      </w:r>
    </w:p>
    <w:p w14:paraId="480B68AA">
      <w:pPr>
        <w:adjustRightInd w:val="0"/>
        <w:snapToGrid w:val="0"/>
        <w:spacing w:line="360" w:lineRule="auto"/>
        <w:jc w:val="center"/>
        <w:rPr>
          <w:rFonts w:ascii="宋体" w:hAnsi="宋体" w:cs="宋体"/>
          <w:b/>
          <w:bCs/>
          <w:color w:val="auto"/>
          <w:sz w:val="24"/>
        </w:rPr>
      </w:pPr>
      <w:r>
        <w:rPr>
          <w:rFonts w:hint="eastAsia" w:ascii="宋体" w:hAnsi="宋体" w:cs="宋体"/>
          <w:b/>
          <w:bCs/>
          <w:color w:val="auto"/>
          <w:sz w:val="24"/>
        </w:rPr>
        <w:t>评分方法</w:t>
      </w:r>
    </w:p>
    <w:tbl>
      <w:tblPr>
        <w:tblStyle w:val="44"/>
        <w:tblW w:w="4878" w:type="pct"/>
        <w:tblInd w:w="0" w:type="dxa"/>
        <w:tblLayout w:type="autofit"/>
        <w:tblCellMar>
          <w:top w:w="0" w:type="dxa"/>
          <w:left w:w="108" w:type="dxa"/>
          <w:bottom w:w="0" w:type="dxa"/>
          <w:right w:w="108" w:type="dxa"/>
        </w:tblCellMar>
      </w:tblPr>
      <w:tblGrid>
        <w:gridCol w:w="1283"/>
        <w:gridCol w:w="6339"/>
        <w:gridCol w:w="857"/>
      </w:tblGrid>
      <w:tr w14:paraId="706EEB2F">
        <w:tblPrEx>
          <w:tblCellMar>
            <w:top w:w="0" w:type="dxa"/>
            <w:left w:w="108" w:type="dxa"/>
            <w:bottom w:w="0" w:type="dxa"/>
            <w:right w:w="108" w:type="dxa"/>
          </w:tblCellMar>
        </w:tblPrEx>
        <w:trPr>
          <w:trHeight w:val="510" w:hRule="atLeast"/>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14:paraId="2322B600">
            <w:pPr>
              <w:widowControl/>
              <w:spacing w:line="400" w:lineRule="exact"/>
              <w:jc w:val="center"/>
              <w:rPr>
                <w:rFonts w:ascii="宋体" w:hAnsi="宋体" w:cs="宋体"/>
                <w:b/>
                <w:bCs/>
                <w:color w:val="auto"/>
                <w:sz w:val="24"/>
              </w:rPr>
            </w:pPr>
            <w:r>
              <w:rPr>
                <w:rFonts w:hint="eastAsia" w:ascii="宋体" w:hAnsi="宋体" w:cs="宋体"/>
                <w:b/>
                <w:bCs/>
                <w:color w:val="auto"/>
                <w:sz w:val="24"/>
              </w:rPr>
              <w:t>评审项目</w:t>
            </w:r>
          </w:p>
        </w:tc>
        <w:tc>
          <w:tcPr>
            <w:tcW w:w="3737" w:type="pct"/>
            <w:tcBorders>
              <w:top w:val="single" w:color="auto" w:sz="4" w:space="0"/>
              <w:left w:val="nil"/>
              <w:bottom w:val="single" w:color="auto" w:sz="4" w:space="0"/>
              <w:right w:val="single" w:color="auto" w:sz="4" w:space="0"/>
            </w:tcBorders>
            <w:shd w:val="clear" w:color="auto" w:fill="auto"/>
            <w:vAlign w:val="center"/>
          </w:tcPr>
          <w:p w14:paraId="05ACF213">
            <w:pPr>
              <w:widowControl/>
              <w:spacing w:line="400" w:lineRule="exact"/>
              <w:jc w:val="center"/>
              <w:rPr>
                <w:rFonts w:ascii="宋体" w:hAnsi="宋体" w:cs="宋体"/>
                <w:b/>
                <w:bCs/>
                <w:color w:val="auto"/>
                <w:sz w:val="24"/>
              </w:rPr>
            </w:pPr>
            <w:r>
              <w:rPr>
                <w:rFonts w:hint="eastAsia" w:ascii="宋体" w:hAnsi="宋体" w:cs="宋体"/>
                <w:b/>
                <w:bCs/>
                <w:color w:val="auto"/>
                <w:sz w:val="24"/>
              </w:rPr>
              <w:t>评分要求</w:t>
            </w:r>
          </w:p>
        </w:tc>
        <w:tc>
          <w:tcPr>
            <w:tcW w:w="505" w:type="pct"/>
            <w:tcBorders>
              <w:top w:val="single" w:color="auto" w:sz="4" w:space="0"/>
              <w:left w:val="nil"/>
              <w:bottom w:val="single" w:color="auto" w:sz="4" w:space="0"/>
              <w:right w:val="single" w:color="auto" w:sz="4" w:space="0"/>
            </w:tcBorders>
            <w:shd w:val="clear" w:color="auto" w:fill="auto"/>
            <w:vAlign w:val="center"/>
          </w:tcPr>
          <w:p w14:paraId="56CF6EBC">
            <w:pPr>
              <w:widowControl/>
              <w:spacing w:line="400" w:lineRule="exact"/>
              <w:jc w:val="center"/>
              <w:rPr>
                <w:rFonts w:ascii="宋体" w:hAnsi="宋体" w:cs="宋体"/>
                <w:b/>
                <w:bCs/>
                <w:color w:val="auto"/>
                <w:sz w:val="24"/>
              </w:rPr>
            </w:pPr>
            <w:r>
              <w:rPr>
                <w:rFonts w:hint="eastAsia" w:ascii="宋体" w:hAnsi="宋体" w:cs="宋体"/>
                <w:b/>
                <w:bCs/>
                <w:color w:val="auto"/>
                <w:sz w:val="24"/>
              </w:rPr>
              <w:t>分值</w:t>
            </w:r>
          </w:p>
        </w:tc>
      </w:tr>
      <w:tr w14:paraId="13229A54">
        <w:tblPrEx>
          <w:tblCellMar>
            <w:top w:w="0" w:type="dxa"/>
            <w:left w:w="108" w:type="dxa"/>
            <w:bottom w:w="0" w:type="dxa"/>
            <w:right w:w="108" w:type="dxa"/>
          </w:tblCellMar>
        </w:tblPrEx>
        <w:trPr>
          <w:trHeight w:val="73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6A415EE3">
            <w:pPr>
              <w:widowControl/>
              <w:spacing w:line="400" w:lineRule="exact"/>
              <w:jc w:val="center"/>
              <w:rPr>
                <w:rFonts w:ascii="宋体" w:hAnsi="宋体" w:cs="宋体"/>
                <w:color w:val="auto"/>
                <w:sz w:val="24"/>
              </w:rPr>
            </w:pPr>
            <w:r>
              <w:rPr>
                <w:rFonts w:hint="eastAsia" w:ascii="宋体" w:hAnsi="宋体" w:cs="宋体"/>
                <w:color w:val="auto"/>
                <w:sz w:val="24"/>
              </w:rPr>
              <w:t>价格评分</w:t>
            </w:r>
          </w:p>
        </w:tc>
        <w:tc>
          <w:tcPr>
            <w:tcW w:w="3737" w:type="pct"/>
            <w:tcBorders>
              <w:top w:val="nil"/>
              <w:left w:val="nil"/>
              <w:bottom w:val="single" w:color="auto" w:sz="4" w:space="0"/>
              <w:right w:val="single" w:color="auto" w:sz="4" w:space="0"/>
            </w:tcBorders>
            <w:shd w:val="clear" w:color="auto" w:fill="auto"/>
            <w:vAlign w:val="center"/>
          </w:tcPr>
          <w:p w14:paraId="68E20B32">
            <w:pPr>
              <w:widowControl/>
              <w:spacing w:line="400" w:lineRule="exact"/>
              <w:rPr>
                <w:rFonts w:ascii="宋体" w:hAnsi="宋体" w:cs="宋体"/>
                <w:color w:val="auto"/>
                <w:sz w:val="24"/>
              </w:rPr>
            </w:pPr>
            <w:r>
              <w:rPr>
                <w:rFonts w:hint="eastAsia" w:ascii="宋体" w:hAnsi="宋体" w:cs="宋体"/>
                <w:color w:val="auto"/>
                <w:sz w:val="24"/>
              </w:rPr>
              <w:t>满足招标文件要求且投标价格最低的投标报价为评标基准价，其价格分为满分。其他投标人的价格分按照下列公式计算（小数点保留两位）：</w:t>
            </w:r>
          </w:p>
          <w:p w14:paraId="42D46A1C">
            <w:pPr>
              <w:widowControl/>
              <w:spacing w:line="400" w:lineRule="exact"/>
              <w:rPr>
                <w:rFonts w:ascii="宋体" w:hAnsi="宋体" w:cs="宋体"/>
                <w:color w:val="auto"/>
                <w:sz w:val="24"/>
              </w:rPr>
            </w:pPr>
            <w:r>
              <w:rPr>
                <w:rFonts w:hint="eastAsia" w:ascii="宋体" w:hAnsi="宋体" w:cs="宋体"/>
                <w:color w:val="auto"/>
                <w:sz w:val="24"/>
              </w:rPr>
              <w:t>投标报价得分＝（评标基准价/投标报价）×价格分30分值（取小数点后两位，第三位四舍五入）</w:t>
            </w:r>
          </w:p>
        </w:tc>
        <w:tc>
          <w:tcPr>
            <w:tcW w:w="505" w:type="pct"/>
            <w:tcBorders>
              <w:top w:val="nil"/>
              <w:left w:val="nil"/>
              <w:bottom w:val="single" w:color="auto" w:sz="4" w:space="0"/>
              <w:right w:val="single" w:color="auto" w:sz="4" w:space="0"/>
            </w:tcBorders>
            <w:shd w:val="clear" w:color="auto" w:fill="auto"/>
            <w:vAlign w:val="center"/>
          </w:tcPr>
          <w:p w14:paraId="69F7920E">
            <w:pPr>
              <w:widowControl/>
              <w:spacing w:line="400" w:lineRule="exact"/>
              <w:jc w:val="center"/>
              <w:rPr>
                <w:rFonts w:ascii="宋体" w:hAnsi="宋体" w:cs="宋体"/>
                <w:color w:val="auto"/>
                <w:sz w:val="24"/>
              </w:rPr>
            </w:pPr>
            <w:r>
              <w:rPr>
                <w:rFonts w:hint="eastAsia" w:ascii="宋体" w:hAnsi="宋体" w:cs="宋体"/>
                <w:color w:val="auto"/>
                <w:sz w:val="24"/>
              </w:rPr>
              <w:t>30</w:t>
            </w:r>
          </w:p>
        </w:tc>
      </w:tr>
      <w:tr w14:paraId="650A2E70">
        <w:tblPrEx>
          <w:tblCellMar>
            <w:top w:w="0" w:type="dxa"/>
            <w:left w:w="108" w:type="dxa"/>
            <w:bottom w:w="0" w:type="dxa"/>
            <w:right w:w="108" w:type="dxa"/>
          </w:tblCellMar>
        </w:tblPrEx>
        <w:trPr>
          <w:trHeight w:val="58"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498E1575">
            <w:pPr>
              <w:widowControl/>
              <w:spacing w:line="400" w:lineRule="exact"/>
              <w:jc w:val="center"/>
              <w:rPr>
                <w:rFonts w:ascii="宋体" w:hAnsi="宋体" w:cs="宋体"/>
                <w:color w:val="auto"/>
                <w:sz w:val="24"/>
              </w:rPr>
            </w:pPr>
            <w:r>
              <w:rPr>
                <w:rFonts w:hint="eastAsia" w:ascii="宋体" w:hAnsi="宋体" w:cs="宋体"/>
                <w:color w:val="auto"/>
                <w:sz w:val="24"/>
              </w:rPr>
              <w:t>场所设计方案</w:t>
            </w:r>
          </w:p>
        </w:tc>
        <w:tc>
          <w:tcPr>
            <w:tcW w:w="3737" w:type="pct"/>
            <w:tcBorders>
              <w:top w:val="nil"/>
              <w:left w:val="nil"/>
              <w:bottom w:val="single" w:color="auto" w:sz="4" w:space="0"/>
              <w:right w:val="single" w:color="auto" w:sz="4" w:space="0"/>
            </w:tcBorders>
            <w:shd w:val="clear" w:color="auto" w:fill="auto"/>
            <w:vAlign w:val="center"/>
          </w:tcPr>
          <w:p w14:paraId="6ADA189E">
            <w:pPr>
              <w:widowControl/>
              <w:spacing w:line="400" w:lineRule="exact"/>
              <w:rPr>
                <w:rFonts w:ascii="宋体" w:hAnsi="宋体" w:cs="宋体"/>
                <w:color w:val="auto"/>
                <w:sz w:val="24"/>
              </w:rPr>
            </w:pPr>
            <w:r>
              <w:rPr>
                <w:rFonts w:hint="eastAsia" w:ascii="宋体" w:hAnsi="宋体" w:cs="宋体"/>
                <w:color w:val="auto"/>
                <w:sz w:val="24"/>
              </w:rPr>
              <w:t>结合本项目实际使用需求，对指挥中心及宣教馆场所进行规划设计，并提供详细设计图，包括但不限于：平面布局图、室内效果图、整体鸟瞰图、施工图等。</w:t>
            </w:r>
          </w:p>
          <w:p w14:paraId="4BEF45E8">
            <w:pPr>
              <w:widowControl/>
              <w:spacing w:line="400" w:lineRule="exact"/>
              <w:rPr>
                <w:rFonts w:ascii="宋体" w:hAnsi="宋体" w:cs="宋体"/>
                <w:color w:val="auto"/>
                <w:sz w:val="24"/>
              </w:rPr>
            </w:pPr>
            <w:r>
              <w:rPr>
                <w:rFonts w:hint="eastAsia" w:ascii="宋体" w:hAnsi="宋体" w:cs="宋体"/>
                <w:color w:val="auto"/>
                <w:sz w:val="24"/>
              </w:rPr>
              <w:t>（1）平面布局分区合理实用，区域衔接流畅，尺寸标注清晰且贴合现场实际；室内效果图色彩、材质搭配协调出彩，设计意图表达精准；整体鸟瞰图视角恰当，可清晰呈现项目整体风貌与空间布局；施工图图纸齐全（如封面、目录、说明、平立剖面、节点详图、材料表等），内容完整规范，满足采购需求且设计亮点突出的，得 5 分；</w:t>
            </w:r>
          </w:p>
          <w:p w14:paraId="3559AD53">
            <w:pPr>
              <w:widowControl/>
              <w:spacing w:line="400" w:lineRule="exact"/>
              <w:rPr>
                <w:rFonts w:ascii="宋体" w:hAnsi="宋体" w:cs="宋体"/>
                <w:color w:val="auto"/>
                <w:sz w:val="24"/>
              </w:rPr>
            </w:pPr>
            <w:r>
              <w:rPr>
                <w:rFonts w:hint="eastAsia" w:ascii="宋体" w:hAnsi="宋体" w:cs="宋体"/>
                <w:color w:val="auto"/>
                <w:sz w:val="24"/>
              </w:rPr>
              <w:t>（2）平面布局分区基本合理，可满足使用需求，尺寸标注基本符合现场实际；室内效果图色彩、材质选择基本合适，具备一定设计风格；整体鸟瞰图能够大致展现项目整体情况；施工图图纸基本规范，存在标注不清或表达不严谨的，得 3 分；</w:t>
            </w:r>
          </w:p>
          <w:p w14:paraId="4C5B0D09">
            <w:pPr>
              <w:widowControl/>
              <w:spacing w:line="400" w:lineRule="exact"/>
              <w:rPr>
                <w:rFonts w:ascii="宋体" w:hAnsi="宋体" w:cs="宋体"/>
                <w:color w:val="auto"/>
                <w:sz w:val="24"/>
              </w:rPr>
            </w:pPr>
            <w:r>
              <w:rPr>
                <w:rFonts w:hint="eastAsia" w:ascii="宋体" w:hAnsi="宋体" w:cs="宋体"/>
                <w:color w:val="auto"/>
                <w:sz w:val="24"/>
              </w:rPr>
              <w:t>（3）平面布局分区不合理情况，尺寸标注不合理、与现场实际不符；效果图在色彩、材质搭配或氛围营造方面存在欠缺；整体鸟瞰图呈现信息不完善，完整性不足；施工图制图混乱标注缺失，无法指导施工的，得 1 分；</w:t>
            </w:r>
          </w:p>
          <w:p w14:paraId="5C1001D6">
            <w:pPr>
              <w:widowControl/>
              <w:spacing w:line="400" w:lineRule="exact"/>
              <w:rPr>
                <w:rFonts w:ascii="宋体" w:hAnsi="宋体" w:cs="宋体"/>
                <w:color w:val="auto"/>
                <w:sz w:val="24"/>
              </w:rPr>
            </w:pPr>
            <w:r>
              <w:rPr>
                <w:rFonts w:hint="eastAsia" w:ascii="宋体" w:hAnsi="宋体" w:cs="宋体"/>
                <w:color w:val="auto"/>
                <w:sz w:val="24"/>
              </w:rPr>
              <w:t>（4）未按要求提供相关设计图纸的，本项不得分。</w:t>
            </w:r>
          </w:p>
          <w:p w14:paraId="6D235A56">
            <w:pPr>
              <w:widowControl/>
              <w:spacing w:line="400" w:lineRule="exact"/>
              <w:rPr>
                <w:rFonts w:ascii="宋体" w:hAnsi="宋体" w:cs="宋体"/>
                <w:color w:val="auto"/>
                <w:sz w:val="24"/>
              </w:rPr>
            </w:pPr>
            <w:r>
              <w:rPr>
                <w:rFonts w:hint="eastAsia" w:ascii="宋体" w:hAnsi="宋体" w:cs="宋体"/>
                <w:color w:val="auto"/>
                <w:sz w:val="24"/>
              </w:rPr>
              <w:t>注：供应商须承诺配合采购人完成后期图审等相关工作，否则本项不得分。</w:t>
            </w:r>
          </w:p>
        </w:tc>
        <w:tc>
          <w:tcPr>
            <w:tcW w:w="505" w:type="pct"/>
            <w:tcBorders>
              <w:top w:val="nil"/>
              <w:left w:val="nil"/>
              <w:bottom w:val="single" w:color="auto" w:sz="4" w:space="0"/>
              <w:right w:val="single" w:color="auto" w:sz="4" w:space="0"/>
            </w:tcBorders>
            <w:shd w:val="clear" w:color="auto" w:fill="auto"/>
            <w:vAlign w:val="center"/>
          </w:tcPr>
          <w:p w14:paraId="004D8F28">
            <w:pPr>
              <w:widowControl/>
              <w:spacing w:line="400" w:lineRule="exact"/>
              <w:jc w:val="center"/>
              <w:rPr>
                <w:rFonts w:ascii="宋体" w:hAnsi="宋体" w:cs="宋体"/>
                <w:color w:val="auto"/>
                <w:sz w:val="24"/>
              </w:rPr>
            </w:pPr>
            <w:r>
              <w:rPr>
                <w:rFonts w:hint="eastAsia" w:ascii="宋体" w:hAnsi="宋体" w:cs="宋体"/>
                <w:color w:val="auto"/>
                <w:sz w:val="24"/>
              </w:rPr>
              <w:t>5</w:t>
            </w:r>
          </w:p>
        </w:tc>
      </w:tr>
      <w:tr w14:paraId="2ACD1B9D">
        <w:tblPrEx>
          <w:tblCellMar>
            <w:top w:w="0" w:type="dxa"/>
            <w:left w:w="108" w:type="dxa"/>
            <w:bottom w:w="0" w:type="dxa"/>
            <w:right w:w="108" w:type="dxa"/>
          </w:tblCellMar>
        </w:tblPrEx>
        <w:trPr>
          <w:trHeight w:val="142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52A45E12">
            <w:pPr>
              <w:widowControl/>
              <w:spacing w:line="400" w:lineRule="exact"/>
              <w:jc w:val="center"/>
              <w:rPr>
                <w:rFonts w:ascii="宋体" w:hAnsi="宋体" w:cs="宋体"/>
                <w:color w:val="auto"/>
                <w:sz w:val="24"/>
              </w:rPr>
            </w:pPr>
            <w:r>
              <w:rPr>
                <w:rFonts w:hint="eastAsia" w:ascii="宋体" w:hAnsi="宋体" w:cs="宋体"/>
                <w:color w:val="auto"/>
                <w:sz w:val="24"/>
              </w:rPr>
              <w:t>技术方案</w:t>
            </w:r>
          </w:p>
        </w:tc>
        <w:tc>
          <w:tcPr>
            <w:tcW w:w="3737" w:type="pct"/>
            <w:tcBorders>
              <w:top w:val="nil"/>
              <w:left w:val="nil"/>
              <w:bottom w:val="single" w:color="auto" w:sz="4" w:space="0"/>
              <w:right w:val="single" w:color="auto" w:sz="4" w:space="0"/>
            </w:tcBorders>
            <w:shd w:val="clear" w:color="auto" w:fill="auto"/>
            <w:vAlign w:val="center"/>
          </w:tcPr>
          <w:p w14:paraId="06B9BB26">
            <w:pPr>
              <w:widowControl/>
              <w:spacing w:line="400" w:lineRule="exact"/>
              <w:rPr>
                <w:rFonts w:ascii="宋体" w:hAnsi="宋体" w:cs="宋体"/>
                <w:color w:val="auto"/>
                <w:sz w:val="24"/>
              </w:rPr>
            </w:pPr>
            <w:r>
              <w:rPr>
                <w:rFonts w:hint="eastAsia" w:ascii="宋体" w:hAnsi="宋体" w:cs="宋体"/>
                <w:color w:val="auto"/>
                <w:sz w:val="24"/>
              </w:rPr>
              <w:t>1、评委根据投标人提供的技术方案，并考虑投标人提供的用于本项目所在区域售后服务团队情况，（提供售后服务人员近半年内任意1个月社保证明，加盖公章</w:t>
            </w:r>
            <w:r>
              <w:rPr>
                <w:rFonts w:hint="eastAsia" w:ascii="宋体" w:hAnsi="宋体" w:cs="宋体"/>
                <w:color w:val="auto"/>
                <w:sz w:val="24"/>
                <w:lang w:val="en-US" w:eastAsia="zh-CN"/>
              </w:rPr>
              <w:t>或电子签章</w:t>
            </w:r>
            <w:r>
              <w:rPr>
                <w:rFonts w:hint="eastAsia" w:ascii="宋体" w:hAnsi="宋体" w:cs="宋体"/>
                <w:color w:val="auto"/>
                <w:sz w:val="24"/>
              </w:rPr>
              <w:t>）进行综合评分。</w:t>
            </w:r>
          </w:p>
          <w:p w14:paraId="1E4D55C8">
            <w:pPr>
              <w:widowControl/>
              <w:spacing w:line="400" w:lineRule="exact"/>
              <w:rPr>
                <w:rFonts w:ascii="宋体" w:hAnsi="宋体" w:cs="宋体"/>
                <w:color w:val="auto"/>
                <w:sz w:val="24"/>
              </w:rPr>
            </w:pPr>
            <w:r>
              <w:rPr>
                <w:rFonts w:hint="eastAsia" w:ascii="宋体" w:hAnsi="宋体" w:cs="宋体"/>
                <w:color w:val="auto"/>
                <w:sz w:val="24"/>
              </w:rPr>
              <w:t>（1）提供完整的建设方案，包含建设分析、需求分析、系统设计（对各项建设任务分别描述），以及项目重难点分析、风险评估、效益分析等；提供完整的实施方案，包括进度计划、人员配置，以及配套的安装调试方案、验收方案、售后服务方案等，针对性强、设计完善且全面、符合项目要求、符合逻辑的，利于项目实施的得：</w:t>
            </w:r>
            <w:r>
              <w:rPr>
                <w:rFonts w:ascii="宋体" w:hAnsi="宋体" w:cs="宋体"/>
                <w:color w:val="auto"/>
                <w:sz w:val="24"/>
              </w:rPr>
              <w:t>7</w:t>
            </w:r>
            <w:r>
              <w:rPr>
                <w:rFonts w:hint="eastAsia" w:ascii="宋体" w:hAnsi="宋体" w:cs="宋体"/>
                <w:color w:val="auto"/>
                <w:sz w:val="24"/>
              </w:rPr>
              <w:t>分；</w:t>
            </w:r>
          </w:p>
          <w:p w14:paraId="17E09D3F">
            <w:pPr>
              <w:widowControl/>
              <w:spacing w:line="400" w:lineRule="exact"/>
              <w:rPr>
                <w:rFonts w:ascii="宋体" w:hAnsi="宋体" w:cs="宋体"/>
                <w:color w:val="auto"/>
                <w:sz w:val="24"/>
              </w:rPr>
            </w:pPr>
            <w:r>
              <w:rPr>
                <w:rFonts w:hint="eastAsia" w:ascii="宋体" w:hAnsi="宋体" w:cs="宋体"/>
                <w:color w:val="auto"/>
                <w:sz w:val="24"/>
              </w:rPr>
              <w:t>（2）对项目建设内容基本全面、基本合理，需求理解不够全面完整、分析设计比较普通、针对性不是很强的得：</w:t>
            </w:r>
            <w:r>
              <w:rPr>
                <w:rFonts w:ascii="宋体" w:hAnsi="宋体" w:cs="宋体"/>
                <w:color w:val="auto"/>
                <w:sz w:val="24"/>
              </w:rPr>
              <w:t>4</w:t>
            </w:r>
            <w:r>
              <w:rPr>
                <w:rFonts w:hint="eastAsia" w:ascii="宋体" w:hAnsi="宋体" w:cs="宋体"/>
                <w:color w:val="auto"/>
                <w:sz w:val="24"/>
              </w:rPr>
              <w:t>分；</w:t>
            </w:r>
          </w:p>
          <w:p w14:paraId="1EFD2738">
            <w:pPr>
              <w:widowControl/>
              <w:spacing w:line="400" w:lineRule="exact"/>
              <w:rPr>
                <w:rFonts w:ascii="宋体" w:hAnsi="宋体" w:cs="宋体"/>
                <w:color w:val="auto"/>
                <w:sz w:val="24"/>
              </w:rPr>
            </w:pPr>
            <w:r>
              <w:rPr>
                <w:rFonts w:hint="eastAsia" w:ascii="宋体" w:hAnsi="宋体" w:cs="宋体"/>
                <w:color w:val="auto"/>
                <w:sz w:val="24"/>
              </w:rPr>
              <w:t>（3）方案不合理或不全面，可行性较差，有待完善的得：</w:t>
            </w:r>
            <w:r>
              <w:rPr>
                <w:rFonts w:ascii="宋体" w:hAnsi="宋体" w:cs="宋体"/>
                <w:color w:val="auto"/>
                <w:sz w:val="24"/>
              </w:rPr>
              <w:t>1</w:t>
            </w:r>
            <w:r>
              <w:rPr>
                <w:rFonts w:hint="eastAsia" w:ascii="宋体" w:hAnsi="宋体" w:cs="宋体"/>
                <w:color w:val="auto"/>
                <w:sz w:val="24"/>
              </w:rPr>
              <w:t>分；</w:t>
            </w:r>
          </w:p>
          <w:p w14:paraId="70D6650F">
            <w:pPr>
              <w:widowControl/>
              <w:spacing w:line="400" w:lineRule="exact"/>
              <w:rPr>
                <w:rFonts w:ascii="宋体" w:hAnsi="宋体" w:cs="宋体"/>
                <w:color w:val="auto"/>
                <w:sz w:val="24"/>
              </w:rPr>
            </w:pPr>
            <w:r>
              <w:rPr>
                <w:rFonts w:hint="eastAsia" w:ascii="宋体" w:hAnsi="宋体" w:cs="宋体"/>
                <w:color w:val="auto"/>
                <w:sz w:val="24"/>
              </w:rPr>
              <w:t>（4）不提供不得分。</w:t>
            </w:r>
          </w:p>
          <w:p w14:paraId="6BEFE8DB">
            <w:pPr>
              <w:widowControl/>
              <w:spacing w:line="40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、提供技术保障承诺（重大活动、防汛工作期间委派工程师1-3名驻场，技术服务支持、备品备件支持、其它服务承诺）的，得1分，不提供或内容不全不得分。</w:t>
            </w:r>
          </w:p>
        </w:tc>
        <w:tc>
          <w:tcPr>
            <w:tcW w:w="505" w:type="pct"/>
            <w:tcBorders>
              <w:top w:val="nil"/>
              <w:left w:val="nil"/>
              <w:bottom w:val="single" w:color="auto" w:sz="4" w:space="0"/>
              <w:right w:val="single" w:color="auto" w:sz="4" w:space="0"/>
            </w:tcBorders>
            <w:shd w:val="clear" w:color="auto" w:fill="auto"/>
            <w:vAlign w:val="center"/>
          </w:tcPr>
          <w:p w14:paraId="6DC515DD">
            <w:pPr>
              <w:widowControl/>
              <w:spacing w:line="400" w:lineRule="exact"/>
              <w:jc w:val="center"/>
              <w:rPr>
                <w:rFonts w:ascii="宋体" w:hAnsi="宋体" w:cs="宋体"/>
                <w:color w:val="auto"/>
                <w:sz w:val="24"/>
              </w:rPr>
            </w:pPr>
            <w:r>
              <w:rPr>
                <w:rFonts w:ascii="宋体" w:hAnsi="宋体" w:cs="宋体"/>
                <w:color w:val="auto"/>
                <w:sz w:val="24"/>
              </w:rPr>
              <w:t>8</w:t>
            </w:r>
          </w:p>
        </w:tc>
      </w:tr>
      <w:tr w14:paraId="0284DC23">
        <w:tblPrEx>
          <w:tblCellMar>
            <w:top w:w="0" w:type="dxa"/>
            <w:left w:w="108" w:type="dxa"/>
            <w:bottom w:w="0" w:type="dxa"/>
            <w:right w:w="108" w:type="dxa"/>
          </w:tblCellMar>
        </w:tblPrEx>
        <w:trPr>
          <w:trHeight w:val="267" w:hRule="atLeast"/>
        </w:trPr>
        <w:tc>
          <w:tcPr>
            <w:tcW w:w="757" w:type="pct"/>
            <w:vMerge w:val="restart"/>
            <w:tcBorders>
              <w:top w:val="single" w:color="auto" w:sz="4" w:space="0"/>
              <w:left w:val="single" w:color="auto" w:sz="4" w:space="0"/>
              <w:right w:val="single" w:color="auto" w:sz="4" w:space="0"/>
            </w:tcBorders>
            <w:shd w:val="clear" w:color="auto" w:fill="auto"/>
            <w:vAlign w:val="center"/>
          </w:tcPr>
          <w:p w14:paraId="4183E6AA">
            <w:pPr>
              <w:widowControl/>
              <w:spacing w:line="400" w:lineRule="exact"/>
              <w:jc w:val="center"/>
              <w:rPr>
                <w:rFonts w:hint="eastAsia" w:ascii="宋体" w:hAnsi="宋体" w:cs="宋体"/>
                <w:color w:val="auto"/>
                <w:sz w:val="24"/>
              </w:rPr>
            </w:pPr>
            <w:r>
              <w:rPr>
                <w:rFonts w:hint="eastAsia" w:ascii="宋体" w:hAnsi="宋体" w:cs="宋体"/>
                <w:color w:val="auto"/>
                <w:sz w:val="24"/>
              </w:rPr>
              <w:t>公司实力</w:t>
            </w:r>
          </w:p>
        </w:tc>
        <w:tc>
          <w:tcPr>
            <w:tcW w:w="3737" w:type="pct"/>
            <w:tcBorders>
              <w:top w:val="single" w:color="auto" w:sz="4" w:space="0"/>
              <w:left w:val="nil"/>
              <w:bottom w:val="single" w:color="auto" w:sz="4" w:space="0"/>
              <w:right w:val="single" w:color="auto" w:sz="4" w:space="0"/>
            </w:tcBorders>
            <w:shd w:val="clear" w:color="auto" w:fill="auto"/>
            <w:vAlign w:val="center"/>
          </w:tcPr>
          <w:p w14:paraId="653BED20">
            <w:pPr>
              <w:widowControl/>
              <w:spacing w:line="400" w:lineRule="exact"/>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投标人具有电子与智能化工程专业承包贰级及以上资质得1分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restart"/>
            <w:tcBorders>
              <w:top w:val="single" w:color="auto" w:sz="4" w:space="0"/>
              <w:left w:val="nil"/>
              <w:right w:val="single" w:color="auto" w:sz="4" w:space="0"/>
            </w:tcBorders>
            <w:shd w:val="clear" w:color="auto" w:fill="auto"/>
            <w:vAlign w:val="center"/>
          </w:tcPr>
          <w:p w14:paraId="7BD44C1C">
            <w:pPr>
              <w:widowControl/>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r>
      <w:tr w14:paraId="0BDB91D3">
        <w:tblPrEx>
          <w:tblCellMar>
            <w:top w:w="0" w:type="dxa"/>
            <w:left w:w="108" w:type="dxa"/>
            <w:bottom w:w="0" w:type="dxa"/>
            <w:right w:w="108" w:type="dxa"/>
          </w:tblCellMar>
        </w:tblPrEx>
        <w:trPr>
          <w:trHeight w:val="794" w:hRule="atLeast"/>
        </w:trPr>
        <w:tc>
          <w:tcPr>
            <w:tcW w:w="757" w:type="pct"/>
            <w:vMerge w:val="continue"/>
            <w:tcBorders>
              <w:left w:val="single" w:color="auto" w:sz="4" w:space="0"/>
              <w:right w:val="single" w:color="auto" w:sz="4" w:space="0"/>
            </w:tcBorders>
            <w:shd w:val="clear" w:color="auto" w:fill="auto"/>
            <w:vAlign w:val="center"/>
          </w:tcPr>
          <w:p w14:paraId="139634A0">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3E031F25">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投标人具有机电工程施工总承包贰级以上得1分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continue"/>
            <w:tcBorders>
              <w:left w:val="nil"/>
              <w:right w:val="single" w:color="auto" w:sz="4" w:space="0"/>
            </w:tcBorders>
            <w:shd w:val="clear" w:color="auto" w:fill="auto"/>
            <w:vAlign w:val="center"/>
          </w:tcPr>
          <w:p w14:paraId="15A16A2A">
            <w:pPr>
              <w:widowControl/>
              <w:spacing w:line="400" w:lineRule="exact"/>
              <w:jc w:val="center"/>
              <w:rPr>
                <w:rFonts w:ascii="宋体" w:hAnsi="宋体" w:cs="宋体"/>
                <w:color w:val="auto"/>
                <w:sz w:val="24"/>
              </w:rPr>
            </w:pPr>
          </w:p>
        </w:tc>
      </w:tr>
      <w:tr w14:paraId="56BD6EB3">
        <w:tblPrEx>
          <w:tblCellMar>
            <w:top w:w="0" w:type="dxa"/>
            <w:left w:w="108" w:type="dxa"/>
            <w:bottom w:w="0" w:type="dxa"/>
            <w:right w:w="108" w:type="dxa"/>
          </w:tblCellMar>
        </w:tblPrEx>
        <w:trPr>
          <w:trHeight w:val="267" w:hRule="atLeast"/>
        </w:trPr>
        <w:tc>
          <w:tcPr>
            <w:tcW w:w="757" w:type="pct"/>
            <w:vMerge w:val="continue"/>
            <w:tcBorders>
              <w:left w:val="single" w:color="auto" w:sz="4" w:space="0"/>
              <w:right w:val="single" w:color="auto" w:sz="4" w:space="0"/>
            </w:tcBorders>
            <w:shd w:val="clear" w:color="auto" w:fill="auto"/>
            <w:vAlign w:val="center"/>
          </w:tcPr>
          <w:p w14:paraId="3DDA0DCF">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7C76AC5C">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投标人具有建筑装饰装修工程专业承包贰级以上得1分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continue"/>
            <w:tcBorders>
              <w:left w:val="nil"/>
              <w:right w:val="single" w:color="auto" w:sz="4" w:space="0"/>
            </w:tcBorders>
            <w:shd w:val="clear" w:color="auto" w:fill="auto"/>
            <w:vAlign w:val="center"/>
          </w:tcPr>
          <w:p w14:paraId="1DA18799">
            <w:pPr>
              <w:widowControl/>
              <w:spacing w:line="400" w:lineRule="exact"/>
              <w:jc w:val="center"/>
              <w:rPr>
                <w:rFonts w:ascii="宋体" w:hAnsi="宋体" w:cs="宋体"/>
                <w:color w:val="auto"/>
                <w:sz w:val="24"/>
              </w:rPr>
            </w:pPr>
          </w:p>
        </w:tc>
      </w:tr>
      <w:tr w14:paraId="3886E26A">
        <w:tblPrEx>
          <w:tblCellMar>
            <w:top w:w="0" w:type="dxa"/>
            <w:left w:w="108" w:type="dxa"/>
            <w:bottom w:w="0" w:type="dxa"/>
            <w:right w:w="108" w:type="dxa"/>
          </w:tblCellMar>
        </w:tblPrEx>
        <w:trPr>
          <w:trHeight w:val="267" w:hRule="atLeast"/>
        </w:trPr>
        <w:tc>
          <w:tcPr>
            <w:tcW w:w="757" w:type="pct"/>
            <w:vMerge w:val="continue"/>
            <w:tcBorders>
              <w:left w:val="single" w:color="auto" w:sz="4" w:space="0"/>
              <w:right w:val="single" w:color="auto" w:sz="4" w:space="0"/>
            </w:tcBorders>
            <w:shd w:val="clear" w:color="auto" w:fill="auto"/>
            <w:vAlign w:val="center"/>
          </w:tcPr>
          <w:p w14:paraId="3F45B835">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7977AA69">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投标人具备由中国网络安全审查认证中心颁发的《信息系统安全集成服务三级》与《信息系统安全运维服务三级》认证得1分</w:t>
            </w:r>
            <w:r>
              <w:rPr>
                <w:rFonts w:hint="eastAsia" w:ascii="宋体" w:hAnsi="宋体" w:cs="宋体"/>
                <w:color w:val="auto"/>
                <w:sz w:val="24"/>
                <w:lang w:eastAsia="zh-CN"/>
              </w:rPr>
              <w:t>；</w:t>
            </w:r>
            <w:r>
              <w:rPr>
                <w:rFonts w:hint="eastAsia" w:ascii="宋体" w:hAnsi="宋体" w:cs="宋体"/>
                <w:color w:val="auto"/>
                <w:sz w:val="24"/>
              </w:rPr>
              <w:t>（提供证书扫描件加盖投标人电子签章，未提供不得分</w:t>
            </w:r>
            <w:r>
              <w:rPr>
                <w:rFonts w:hint="eastAsia" w:ascii="宋体" w:hAnsi="宋体" w:cs="宋体"/>
                <w:color w:val="auto"/>
                <w:sz w:val="24"/>
                <w:lang w:eastAsia="zh-CN"/>
              </w:rPr>
              <w:t>）</w:t>
            </w:r>
          </w:p>
        </w:tc>
        <w:tc>
          <w:tcPr>
            <w:tcW w:w="505" w:type="pct"/>
            <w:vMerge w:val="continue"/>
            <w:tcBorders>
              <w:left w:val="nil"/>
              <w:right w:val="single" w:color="auto" w:sz="4" w:space="0"/>
            </w:tcBorders>
            <w:shd w:val="clear" w:color="auto" w:fill="auto"/>
            <w:vAlign w:val="center"/>
          </w:tcPr>
          <w:p w14:paraId="2B3F5C2C">
            <w:pPr>
              <w:widowControl/>
              <w:spacing w:line="400" w:lineRule="exact"/>
              <w:jc w:val="center"/>
              <w:rPr>
                <w:rFonts w:ascii="宋体" w:hAnsi="宋体" w:cs="宋体"/>
                <w:color w:val="auto"/>
                <w:sz w:val="24"/>
              </w:rPr>
            </w:pPr>
          </w:p>
        </w:tc>
      </w:tr>
      <w:tr w14:paraId="09BEF465">
        <w:tblPrEx>
          <w:tblCellMar>
            <w:top w:w="0" w:type="dxa"/>
            <w:left w:w="108" w:type="dxa"/>
            <w:bottom w:w="0" w:type="dxa"/>
            <w:right w:w="108" w:type="dxa"/>
          </w:tblCellMar>
        </w:tblPrEx>
        <w:trPr>
          <w:trHeight w:val="267" w:hRule="atLeast"/>
        </w:trPr>
        <w:tc>
          <w:tcPr>
            <w:tcW w:w="757" w:type="pct"/>
            <w:vMerge w:val="continue"/>
            <w:tcBorders>
              <w:left w:val="single" w:color="auto" w:sz="4" w:space="0"/>
              <w:bottom w:val="single" w:color="auto" w:sz="4" w:space="0"/>
              <w:right w:val="single" w:color="auto" w:sz="4" w:space="0"/>
            </w:tcBorders>
            <w:shd w:val="clear" w:color="auto" w:fill="auto"/>
            <w:vAlign w:val="center"/>
          </w:tcPr>
          <w:p w14:paraId="3A819D82">
            <w:pPr>
              <w:widowControl/>
              <w:spacing w:line="400" w:lineRule="exact"/>
              <w:jc w:val="center"/>
              <w:rPr>
                <w:rFonts w:hint="eastAsia" w:ascii="宋体" w:hAnsi="宋体" w:cs="宋体"/>
                <w:color w:val="auto"/>
                <w:sz w:val="24"/>
              </w:rPr>
            </w:pPr>
          </w:p>
        </w:tc>
        <w:tc>
          <w:tcPr>
            <w:tcW w:w="3737" w:type="pct"/>
            <w:tcBorders>
              <w:top w:val="single" w:color="auto" w:sz="4" w:space="0"/>
              <w:left w:val="nil"/>
              <w:bottom w:val="single" w:color="auto" w:sz="4" w:space="0"/>
              <w:right w:val="single" w:color="auto" w:sz="4" w:space="0"/>
            </w:tcBorders>
            <w:shd w:val="clear" w:color="auto" w:fill="auto"/>
            <w:vAlign w:val="center"/>
          </w:tcPr>
          <w:p w14:paraId="3742EC66">
            <w:pPr>
              <w:widowControl/>
              <w:spacing w:line="400" w:lineRule="exac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投标人具备包含智慧应急类、灾害风险、智慧消防类管控平台系统软件著作，软件著作需通过中国软件评测中心测试，同时提供软著与测试报告，每提供一份得1.5分，最多得3分。(提供证书及测试报告的复印件加盖公章</w:t>
            </w:r>
            <w:r>
              <w:rPr>
                <w:rFonts w:hint="eastAsia" w:ascii="宋体" w:hAnsi="宋体" w:cs="宋体"/>
                <w:color w:val="auto"/>
                <w:sz w:val="24"/>
                <w:lang w:val="en-US" w:eastAsia="zh-CN"/>
              </w:rPr>
              <w:t>或电子签章</w:t>
            </w:r>
            <w:r>
              <w:rPr>
                <w:rFonts w:hint="eastAsia" w:ascii="宋体" w:hAnsi="宋体" w:cs="宋体"/>
                <w:color w:val="auto"/>
                <w:sz w:val="24"/>
              </w:rPr>
              <w:t>，原件备查)</w:t>
            </w:r>
          </w:p>
        </w:tc>
        <w:tc>
          <w:tcPr>
            <w:tcW w:w="505" w:type="pct"/>
            <w:vMerge w:val="continue"/>
            <w:tcBorders>
              <w:left w:val="nil"/>
              <w:bottom w:val="single" w:color="auto" w:sz="4" w:space="0"/>
              <w:right w:val="single" w:color="auto" w:sz="4" w:space="0"/>
            </w:tcBorders>
            <w:shd w:val="clear" w:color="auto" w:fill="auto"/>
            <w:vAlign w:val="center"/>
          </w:tcPr>
          <w:p w14:paraId="7A2A4E9E">
            <w:pPr>
              <w:widowControl/>
              <w:spacing w:line="400" w:lineRule="exact"/>
              <w:jc w:val="center"/>
              <w:rPr>
                <w:rFonts w:ascii="宋体" w:hAnsi="宋体" w:cs="宋体"/>
                <w:color w:val="auto"/>
                <w:sz w:val="24"/>
              </w:rPr>
            </w:pPr>
          </w:p>
        </w:tc>
      </w:tr>
      <w:tr w14:paraId="29CD3FA7">
        <w:tblPrEx>
          <w:tblCellMar>
            <w:top w:w="0" w:type="dxa"/>
            <w:left w:w="108" w:type="dxa"/>
            <w:bottom w:w="0" w:type="dxa"/>
            <w:right w:w="108" w:type="dxa"/>
          </w:tblCellMar>
        </w:tblPrEx>
        <w:trPr>
          <w:trHeight w:val="267" w:hRule="atLeast"/>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14:paraId="19A913A1">
            <w:pPr>
              <w:widowControl/>
              <w:spacing w:line="400" w:lineRule="exact"/>
              <w:jc w:val="center"/>
              <w:rPr>
                <w:rFonts w:ascii="宋体" w:hAnsi="宋体" w:cs="宋体"/>
                <w:color w:val="auto"/>
                <w:sz w:val="24"/>
              </w:rPr>
            </w:pPr>
            <w:r>
              <w:rPr>
                <w:rFonts w:hint="eastAsia" w:ascii="宋体" w:hAnsi="宋体" w:cs="宋体"/>
                <w:color w:val="auto"/>
                <w:sz w:val="24"/>
              </w:rPr>
              <w:t>业绩案例</w:t>
            </w:r>
          </w:p>
        </w:tc>
        <w:tc>
          <w:tcPr>
            <w:tcW w:w="3737" w:type="pct"/>
            <w:tcBorders>
              <w:top w:val="single" w:color="auto" w:sz="4" w:space="0"/>
              <w:left w:val="nil"/>
              <w:bottom w:val="single" w:color="auto" w:sz="4" w:space="0"/>
              <w:right w:val="single" w:color="auto" w:sz="4" w:space="0"/>
            </w:tcBorders>
            <w:shd w:val="clear" w:color="auto" w:fill="auto"/>
            <w:vAlign w:val="center"/>
          </w:tcPr>
          <w:p w14:paraId="0662C6CE">
            <w:pPr>
              <w:widowControl/>
              <w:spacing w:line="400" w:lineRule="exact"/>
              <w:rPr>
                <w:rFonts w:ascii="宋体" w:hAnsi="宋体" w:cs="宋体"/>
                <w:color w:val="auto"/>
                <w:sz w:val="24"/>
              </w:rPr>
            </w:pPr>
            <w:r>
              <w:rPr>
                <w:rFonts w:hint="eastAsia" w:ascii="宋体" w:hAnsi="宋体" w:cs="宋体"/>
                <w:color w:val="auto"/>
                <w:sz w:val="24"/>
              </w:rPr>
              <w:t>1、根据投标人自202</w:t>
            </w:r>
            <w:r>
              <w:rPr>
                <w:rFonts w:ascii="宋体" w:hAnsi="宋体" w:cs="宋体"/>
                <w:color w:val="auto"/>
                <w:sz w:val="24"/>
              </w:rPr>
              <w:t>3</w:t>
            </w:r>
            <w:r>
              <w:rPr>
                <w:rFonts w:hint="eastAsia" w:ascii="宋体" w:hAnsi="宋体" w:cs="宋体"/>
                <w:color w:val="auto"/>
                <w:sz w:val="24"/>
              </w:rPr>
              <w:t>年1月1日(以合同签订日期为准)，完成有应急指挥中心、应急宣教科普馆、灾害风险监测预警类的类似项目案例，每有一个得</w:t>
            </w:r>
            <w:r>
              <w:rPr>
                <w:rFonts w:ascii="宋体" w:hAnsi="宋体" w:cs="宋体"/>
                <w:color w:val="auto"/>
                <w:sz w:val="24"/>
              </w:rPr>
              <w:t>1</w:t>
            </w:r>
            <w:r>
              <w:rPr>
                <w:rFonts w:hint="eastAsia" w:ascii="宋体" w:hAnsi="宋体" w:cs="宋体"/>
                <w:color w:val="auto"/>
                <w:sz w:val="24"/>
              </w:rPr>
              <w:t>分，最高得3分。需提供合同复印件中标通知书、竣工验收证明及合同对应的任意一张发票，原件备查，资格审查业绩不重复计分。</w:t>
            </w:r>
          </w:p>
          <w:p w14:paraId="167192F9">
            <w:pPr>
              <w:widowControl/>
              <w:spacing w:line="400" w:lineRule="exact"/>
              <w:rPr>
                <w:rFonts w:ascii="宋体" w:hAnsi="宋体" w:cs="宋体"/>
                <w:color w:val="auto"/>
                <w:sz w:val="24"/>
              </w:rPr>
            </w:pPr>
            <w:r>
              <w:rPr>
                <w:rFonts w:hint="eastAsia" w:ascii="宋体" w:hAnsi="宋体" w:cs="宋体"/>
                <w:color w:val="auto"/>
                <w:sz w:val="24"/>
              </w:rPr>
              <w:t>2、投标人需提供“洪涝灾害水动力模型”或“短临降雨预报模型”等相关模型在自然灾害相关行业政府部门单位有应用实践的证明，加盖模型应用单位公章，每提供1项得3分，本项最多得3分，原件备查，不提供不得分。</w:t>
            </w:r>
          </w:p>
        </w:tc>
        <w:tc>
          <w:tcPr>
            <w:tcW w:w="505" w:type="pct"/>
            <w:tcBorders>
              <w:top w:val="single" w:color="auto" w:sz="4" w:space="0"/>
              <w:left w:val="nil"/>
              <w:bottom w:val="single" w:color="auto" w:sz="4" w:space="0"/>
              <w:right w:val="single" w:color="auto" w:sz="4" w:space="0"/>
            </w:tcBorders>
            <w:shd w:val="clear" w:color="auto" w:fill="auto"/>
            <w:vAlign w:val="center"/>
          </w:tcPr>
          <w:p w14:paraId="1E200E89">
            <w:pPr>
              <w:widowControl/>
              <w:spacing w:line="400" w:lineRule="exact"/>
              <w:jc w:val="center"/>
              <w:rPr>
                <w:rFonts w:ascii="宋体" w:hAnsi="宋体" w:cs="宋体"/>
                <w:color w:val="auto"/>
                <w:sz w:val="24"/>
              </w:rPr>
            </w:pPr>
            <w:r>
              <w:rPr>
                <w:rFonts w:ascii="宋体" w:hAnsi="宋体" w:cs="宋体"/>
                <w:color w:val="auto"/>
                <w:sz w:val="24"/>
              </w:rPr>
              <w:t>6</w:t>
            </w:r>
          </w:p>
        </w:tc>
      </w:tr>
      <w:tr w14:paraId="70A21F3F">
        <w:tblPrEx>
          <w:tblCellMar>
            <w:top w:w="0" w:type="dxa"/>
            <w:left w:w="108" w:type="dxa"/>
            <w:bottom w:w="0" w:type="dxa"/>
            <w:right w:w="108" w:type="dxa"/>
          </w:tblCellMar>
        </w:tblPrEx>
        <w:trPr>
          <w:trHeight w:val="723" w:hRule="atLeast"/>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14:paraId="420FBAE4">
            <w:pPr>
              <w:widowControl/>
              <w:spacing w:line="400" w:lineRule="exact"/>
              <w:jc w:val="center"/>
              <w:rPr>
                <w:rFonts w:ascii="宋体" w:hAnsi="宋体" w:cs="宋体"/>
                <w:color w:val="auto"/>
                <w:sz w:val="24"/>
              </w:rPr>
            </w:pPr>
            <w:r>
              <w:rPr>
                <w:rFonts w:hint="eastAsia" w:ascii="宋体" w:hAnsi="宋体" w:cs="宋体"/>
                <w:color w:val="auto"/>
                <w:sz w:val="24"/>
              </w:rPr>
              <w:t>技术指标</w:t>
            </w:r>
          </w:p>
        </w:tc>
        <w:tc>
          <w:tcPr>
            <w:tcW w:w="3737" w:type="pct"/>
            <w:tcBorders>
              <w:top w:val="single" w:color="auto" w:sz="4" w:space="0"/>
              <w:left w:val="nil"/>
              <w:bottom w:val="single" w:color="auto" w:sz="4" w:space="0"/>
              <w:right w:val="single" w:color="auto" w:sz="4" w:space="0"/>
            </w:tcBorders>
            <w:shd w:val="clear" w:color="auto" w:fill="auto"/>
            <w:vAlign w:val="center"/>
          </w:tcPr>
          <w:p w14:paraId="708192C5">
            <w:pPr>
              <w:widowControl/>
              <w:spacing w:line="400" w:lineRule="exact"/>
              <w:rPr>
                <w:rFonts w:ascii="宋体" w:hAnsi="宋体" w:cs="宋体"/>
                <w:color w:val="auto"/>
                <w:sz w:val="24"/>
              </w:rPr>
            </w:pPr>
            <w:r>
              <w:rPr>
                <w:rFonts w:hint="eastAsia" w:ascii="宋体" w:hAnsi="宋体" w:cs="宋体"/>
                <w:color w:val="auto"/>
                <w:sz w:val="24"/>
              </w:rPr>
              <w:t>投标人须针对招标文件“第五章 项目采购需求”中所有的技术标准和要求，结合自身实际，编制详细的技术规格响应偏离表，并如实逐项填列所投产品的响应的情况(若要求提供证明材料的须提供有效的证明资料并标记)。</w:t>
            </w:r>
          </w:p>
          <w:p w14:paraId="35E87685">
            <w:pPr>
              <w:widowControl/>
              <w:spacing w:line="400" w:lineRule="exact"/>
              <w:rPr>
                <w:rFonts w:ascii="宋体" w:hAnsi="宋体" w:cs="宋体"/>
                <w:color w:val="auto"/>
                <w:sz w:val="24"/>
              </w:rPr>
            </w:pPr>
            <w:r>
              <w:rPr>
                <w:rFonts w:hint="eastAsia" w:ascii="宋体" w:hAnsi="宋体" w:cs="宋体"/>
                <w:color w:val="auto"/>
                <w:sz w:val="24"/>
              </w:rPr>
              <w:t>1、其中标注★号条款不可负偏离，负偏离将视为无效标。</w:t>
            </w:r>
          </w:p>
          <w:p w14:paraId="640C23AC">
            <w:pPr>
              <w:widowControl/>
              <w:spacing w:line="400" w:lineRule="exact"/>
              <w:rPr>
                <w:rFonts w:ascii="宋体" w:hAnsi="宋体" w:cs="宋体"/>
                <w:color w:val="auto"/>
                <w:sz w:val="24"/>
              </w:rPr>
            </w:pPr>
            <w:r>
              <w:rPr>
                <w:rFonts w:hint="eastAsia" w:ascii="宋体" w:hAnsi="宋体" w:cs="宋体"/>
                <w:color w:val="auto"/>
                <w:sz w:val="24"/>
              </w:rPr>
              <w:t>2、其中标注▲项条款为重要技术要求，每有一项负偏离的每项减0.5分；</w:t>
            </w:r>
          </w:p>
          <w:p w14:paraId="321795F9">
            <w:pPr>
              <w:widowControl/>
              <w:spacing w:line="400" w:lineRule="exact"/>
              <w:rPr>
                <w:rFonts w:ascii="宋体" w:hAnsi="宋体" w:cs="宋体"/>
                <w:color w:val="auto"/>
                <w:sz w:val="24"/>
              </w:rPr>
            </w:pPr>
            <w:r>
              <w:rPr>
                <w:rFonts w:hint="eastAsia" w:ascii="宋体" w:hAnsi="宋体" w:cs="宋体"/>
                <w:color w:val="auto"/>
                <w:sz w:val="24"/>
              </w:rPr>
              <w:t>3、未标注★号和▲号的其他条款，每有一项负偏离减0.2分；</w:t>
            </w:r>
          </w:p>
          <w:p w14:paraId="4DE13A23">
            <w:pPr>
              <w:widowControl/>
              <w:spacing w:line="400" w:lineRule="exact"/>
              <w:rPr>
                <w:rFonts w:ascii="宋体" w:hAnsi="宋体" w:cs="宋体"/>
                <w:color w:val="auto"/>
                <w:sz w:val="24"/>
              </w:rPr>
            </w:pPr>
            <w:r>
              <w:rPr>
                <w:rFonts w:hint="eastAsia" w:ascii="宋体" w:hAnsi="宋体" w:cs="宋体"/>
                <w:color w:val="auto"/>
                <w:sz w:val="24"/>
              </w:rPr>
              <w:t>4、本项最多减1</w:t>
            </w:r>
            <w:r>
              <w:rPr>
                <w:rFonts w:ascii="宋体" w:hAnsi="宋体" w:cs="宋体"/>
                <w:color w:val="auto"/>
                <w:sz w:val="24"/>
              </w:rPr>
              <w:t>5</w:t>
            </w:r>
            <w:r>
              <w:rPr>
                <w:rFonts w:hint="eastAsia" w:ascii="宋体" w:hAnsi="宋体" w:cs="宋体"/>
                <w:color w:val="auto"/>
                <w:sz w:val="24"/>
              </w:rPr>
              <w:t>分。</w:t>
            </w:r>
          </w:p>
          <w:p w14:paraId="548031E5">
            <w:pPr>
              <w:widowControl/>
              <w:spacing w:line="400" w:lineRule="exact"/>
              <w:rPr>
                <w:rFonts w:ascii="宋体" w:hAnsi="宋体" w:cs="宋体"/>
                <w:color w:val="auto"/>
                <w:sz w:val="24"/>
              </w:rPr>
            </w:pPr>
            <w:r>
              <w:rPr>
                <w:rFonts w:hint="eastAsia" w:ascii="宋体" w:hAnsi="宋体" w:cs="宋体"/>
                <w:color w:val="auto"/>
                <w:sz w:val="24"/>
              </w:rPr>
              <w:t>注：</w:t>
            </w:r>
          </w:p>
          <w:p w14:paraId="55070E95">
            <w:pPr>
              <w:widowControl/>
              <w:spacing w:line="400" w:lineRule="exact"/>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要求提供相关证明材料的，如未按要求提供证明材料，视作负偏离；</w:t>
            </w:r>
          </w:p>
          <w:p w14:paraId="0AC755A8">
            <w:pPr>
              <w:widowControl/>
              <w:spacing w:line="40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相关证明材料须在有效期内，过期无效的，视作负偏离；</w:t>
            </w:r>
          </w:p>
          <w:p w14:paraId="1C2DB43F">
            <w:pPr>
              <w:widowControl/>
              <w:spacing w:line="400" w:lineRule="exac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所提供材料的取得时间须在招标公告发布之前，招标公告发出后获得的无效，视作负偏离。</w:t>
            </w:r>
          </w:p>
        </w:tc>
        <w:tc>
          <w:tcPr>
            <w:tcW w:w="505" w:type="pct"/>
            <w:tcBorders>
              <w:top w:val="single" w:color="auto" w:sz="4" w:space="0"/>
              <w:left w:val="nil"/>
              <w:bottom w:val="single" w:color="auto" w:sz="4" w:space="0"/>
              <w:right w:val="single" w:color="auto" w:sz="4" w:space="0"/>
            </w:tcBorders>
            <w:shd w:val="clear" w:color="auto" w:fill="auto"/>
            <w:vAlign w:val="center"/>
          </w:tcPr>
          <w:p w14:paraId="2068A0CB">
            <w:pPr>
              <w:widowControl/>
              <w:spacing w:line="400" w:lineRule="exact"/>
              <w:jc w:val="center"/>
              <w:rPr>
                <w:rFonts w:ascii="宋体" w:hAnsi="宋体" w:cs="宋体"/>
                <w:color w:val="auto"/>
                <w:sz w:val="24"/>
              </w:rPr>
            </w:pPr>
            <w:r>
              <w:rPr>
                <w:rFonts w:ascii="宋体" w:hAnsi="宋体" w:cs="宋体"/>
                <w:color w:val="auto"/>
                <w:sz w:val="24"/>
              </w:rPr>
              <w:t>15</w:t>
            </w:r>
          </w:p>
        </w:tc>
      </w:tr>
      <w:tr w14:paraId="2E084EB5">
        <w:tblPrEx>
          <w:tblCellMar>
            <w:top w:w="0" w:type="dxa"/>
            <w:left w:w="108" w:type="dxa"/>
            <w:bottom w:w="0" w:type="dxa"/>
            <w:right w:w="108" w:type="dxa"/>
          </w:tblCellMar>
        </w:tblPrEx>
        <w:trPr>
          <w:trHeight w:val="723"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1695AF85">
            <w:pPr>
              <w:widowControl/>
              <w:spacing w:line="400" w:lineRule="exact"/>
              <w:jc w:val="center"/>
              <w:rPr>
                <w:rFonts w:ascii="宋体" w:hAnsi="宋体" w:cs="宋体"/>
                <w:color w:val="auto"/>
                <w:sz w:val="24"/>
              </w:rPr>
            </w:pPr>
            <w:r>
              <w:rPr>
                <w:rFonts w:hint="eastAsia" w:ascii="宋体" w:hAnsi="宋体" w:cs="宋体"/>
                <w:color w:val="auto"/>
                <w:sz w:val="24"/>
              </w:rPr>
              <w:t>项目成员</w:t>
            </w:r>
          </w:p>
        </w:tc>
        <w:tc>
          <w:tcPr>
            <w:tcW w:w="3737" w:type="pct"/>
            <w:tcBorders>
              <w:top w:val="nil"/>
              <w:left w:val="nil"/>
              <w:bottom w:val="single" w:color="auto" w:sz="4" w:space="0"/>
              <w:right w:val="single" w:color="auto" w:sz="4" w:space="0"/>
            </w:tcBorders>
            <w:shd w:val="clear" w:color="auto" w:fill="auto"/>
            <w:vAlign w:val="center"/>
          </w:tcPr>
          <w:p w14:paraId="077B5012">
            <w:pPr>
              <w:widowControl/>
              <w:spacing w:line="400" w:lineRule="exact"/>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项目负责人</w:t>
            </w:r>
            <w:r>
              <w:rPr>
                <w:rFonts w:hint="eastAsia" w:ascii="宋体" w:hAnsi="宋体" w:cs="宋体"/>
                <w:color w:val="auto"/>
                <w:sz w:val="24"/>
              </w:rPr>
              <w:t>（1名）</w:t>
            </w:r>
            <w:r>
              <w:rPr>
                <w:rFonts w:ascii="宋体" w:hAnsi="宋体" w:cs="宋体"/>
                <w:color w:val="auto"/>
                <w:sz w:val="24"/>
              </w:rPr>
              <w:t>:具有高级工程师、中级注册安全工程师、</w:t>
            </w:r>
            <w:r>
              <w:rPr>
                <w:rFonts w:hint="eastAsia" w:ascii="宋体" w:hAnsi="宋体" w:cs="宋体"/>
                <w:color w:val="auto"/>
                <w:sz w:val="24"/>
              </w:rPr>
              <w:t>一级建造师（通信与广电工程），</w:t>
            </w:r>
            <w:r>
              <w:rPr>
                <w:rFonts w:ascii="宋体" w:hAnsi="宋体" w:cs="宋体"/>
                <w:color w:val="auto"/>
                <w:sz w:val="24"/>
              </w:rPr>
              <w:t>每个证书1</w:t>
            </w:r>
            <w:r>
              <w:rPr>
                <w:rFonts w:hint="eastAsia" w:ascii="宋体" w:hAnsi="宋体" w:cs="宋体"/>
                <w:color w:val="auto"/>
                <w:sz w:val="24"/>
              </w:rPr>
              <w:t>分</w:t>
            </w:r>
            <w:r>
              <w:rPr>
                <w:rFonts w:ascii="宋体" w:hAnsi="宋体" w:cs="宋体"/>
                <w:color w:val="auto"/>
                <w:sz w:val="24"/>
              </w:rPr>
              <w:t>，最高得</w:t>
            </w:r>
            <w:r>
              <w:rPr>
                <w:rFonts w:hint="eastAsia" w:ascii="宋体" w:hAnsi="宋体" w:cs="宋体"/>
                <w:color w:val="auto"/>
                <w:sz w:val="24"/>
              </w:rPr>
              <w:t>3</w:t>
            </w:r>
            <w:r>
              <w:rPr>
                <w:rFonts w:ascii="宋体" w:hAnsi="宋体" w:cs="宋体"/>
                <w:color w:val="auto"/>
                <w:sz w:val="24"/>
              </w:rPr>
              <w:t>分</w:t>
            </w:r>
            <w:r>
              <w:rPr>
                <w:rFonts w:hint="eastAsia" w:ascii="宋体" w:hAnsi="宋体" w:cs="宋体"/>
                <w:color w:val="auto"/>
                <w:sz w:val="24"/>
              </w:rPr>
              <w:t>；</w:t>
            </w:r>
            <w:r>
              <w:rPr>
                <w:rFonts w:ascii="宋体" w:hAnsi="宋体" w:cs="宋体"/>
                <w:color w:val="auto"/>
                <w:sz w:val="24"/>
              </w:rPr>
              <w:t>具有注册电气工程师、一级建造师(机电专业)，每个证书1.5</w:t>
            </w:r>
            <w:r>
              <w:rPr>
                <w:rFonts w:hint="eastAsia" w:ascii="宋体" w:hAnsi="宋体" w:cs="宋体"/>
                <w:color w:val="auto"/>
                <w:sz w:val="24"/>
              </w:rPr>
              <w:t>分</w:t>
            </w:r>
            <w:r>
              <w:rPr>
                <w:rFonts w:ascii="宋体" w:hAnsi="宋体" w:cs="宋体"/>
                <w:color w:val="auto"/>
                <w:sz w:val="24"/>
              </w:rPr>
              <w:t>，最高得3分</w:t>
            </w:r>
            <w:r>
              <w:rPr>
                <w:rFonts w:hint="eastAsia" w:ascii="宋体" w:hAnsi="宋体" w:cs="宋体"/>
                <w:color w:val="auto"/>
                <w:sz w:val="24"/>
              </w:rPr>
              <w:t>。本项最高得</w:t>
            </w:r>
            <w:r>
              <w:rPr>
                <w:rFonts w:ascii="宋体" w:hAnsi="宋体" w:cs="宋体"/>
                <w:color w:val="auto"/>
                <w:sz w:val="24"/>
              </w:rPr>
              <w:t>6</w:t>
            </w:r>
            <w:r>
              <w:rPr>
                <w:rFonts w:hint="eastAsia" w:ascii="宋体" w:hAnsi="宋体" w:cs="宋体"/>
                <w:color w:val="auto"/>
                <w:sz w:val="24"/>
              </w:rPr>
              <w:t>分。</w:t>
            </w:r>
          </w:p>
          <w:p w14:paraId="20BB7258">
            <w:pPr>
              <w:widowControl/>
              <w:spacing w:line="400" w:lineRule="exac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技术负责人</w:t>
            </w:r>
            <w:r>
              <w:rPr>
                <w:rFonts w:hint="eastAsia" w:ascii="宋体" w:hAnsi="宋体" w:cs="宋体"/>
                <w:color w:val="auto"/>
                <w:sz w:val="24"/>
              </w:rPr>
              <w:t>（1名）</w:t>
            </w:r>
            <w:r>
              <w:rPr>
                <w:rFonts w:ascii="宋体" w:hAnsi="宋体" w:cs="宋体"/>
                <w:color w:val="auto"/>
                <w:sz w:val="24"/>
              </w:rPr>
              <w:t>:具有高级工程师、</w:t>
            </w:r>
            <w:r>
              <w:rPr>
                <w:rFonts w:hint="eastAsia" w:ascii="宋体" w:hAnsi="宋体" w:cs="宋体"/>
                <w:color w:val="auto"/>
                <w:sz w:val="24"/>
              </w:rPr>
              <w:t>一</w:t>
            </w:r>
            <w:r>
              <w:rPr>
                <w:rFonts w:ascii="宋体" w:hAnsi="宋体" w:cs="宋体"/>
                <w:color w:val="auto"/>
                <w:sz w:val="24"/>
              </w:rPr>
              <w:t>级建造师(机电专业)、</w:t>
            </w:r>
            <w:r>
              <w:rPr>
                <w:rFonts w:hint="eastAsia" w:ascii="宋体" w:hAnsi="宋体" w:cs="宋体"/>
                <w:color w:val="auto"/>
                <w:sz w:val="24"/>
              </w:rPr>
              <w:t>二级建造师（市政专业）、信息系统项目管理师（高级）</w:t>
            </w:r>
            <w:r>
              <w:rPr>
                <w:rFonts w:ascii="宋体" w:hAnsi="宋体" w:cs="宋体"/>
                <w:color w:val="auto"/>
                <w:sz w:val="24"/>
              </w:rPr>
              <w:t>每个证书</w:t>
            </w:r>
            <w:r>
              <w:rPr>
                <w:rFonts w:hint="eastAsia" w:ascii="宋体" w:hAnsi="宋体" w:cs="宋体"/>
                <w:color w:val="auto"/>
                <w:sz w:val="24"/>
              </w:rPr>
              <w:t>1</w:t>
            </w:r>
            <w:r>
              <w:rPr>
                <w:rFonts w:ascii="宋体" w:hAnsi="宋体" w:cs="宋体"/>
                <w:color w:val="auto"/>
                <w:sz w:val="24"/>
              </w:rPr>
              <w:t>分，</w:t>
            </w:r>
            <w:r>
              <w:rPr>
                <w:rFonts w:hint="eastAsia" w:ascii="宋体" w:hAnsi="宋体" w:cs="宋体"/>
                <w:color w:val="auto"/>
                <w:sz w:val="24"/>
              </w:rPr>
              <w:t>本项</w:t>
            </w:r>
            <w:r>
              <w:rPr>
                <w:rFonts w:ascii="宋体" w:hAnsi="宋体" w:cs="宋体"/>
                <w:color w:val="auto"/>
                <w:sz w:val="24"/>
              </w:rPr>
              <w:t>最高得</w:t>
            </w:r>
            <w:r>
              <w:rPr>
                <w:rFonts w:hint="eastAsia" w:ascii="宋体" w:hAnsi="宋体" w:cs="宋体"/>
                <w:color w:val="auto"/>
                <w:sz w:val="24"/>
              </w:rPr>
              <w:t>4</w:t>
            </w:r>
            <w:r>
              <w:rPr>
                <w:rFonts w:ascii="宋体" w:hAnsi="宋体" w:cs="宋体"/>
                <w:color w:val="auto"/>
                <w:sz w:val="24"/>
              </w:rPr>
              <w:t>分。</w:t>
            </w:r>
          </w:p>
          <w:p w14:paraId="521E6F76">
            <w:pPr>
              <w:widowControl/>
              <w:spacing w:line="400" w:lineRule="exact"/>
              <w:rPr>
                <w:rFonts w:ascii="宋体" w:hAnsi="宋体" w:cs="宋体"/>
                <w:color w:val="auto"/>
                <w:sz w:val="24"/>
              </w:rPr>
            </w:pPr>
            <w:r>
              <w:rPr>
                <w:rFonts w:hint="eastAsia" w:ascii="宋体" w:hAnsi="宋体" w:cs="宋体"/>
                <w:color w:val="auto"/>
                <w:sz w:val="24"/>
              </w:rPr>
              <w:t>3、实施团队</w:t>
            </w:r>
            <w:r>
              <w:rPr>
                <w:rFonts w:ascii="宋体" w:hAnsi="宋体" w:cs="宋体"/>
                <w:color w:val="auto"/>
                <w:sz w:val="24"/>
              </w:rPr>
              <w:t>:</w:t>
            </w:r>
            <w:r>
              <w:rPr>
                <w:rFonts w:hint="eastAsia" w:ascii="宋体" w:hAnsi="宋体" w:cs="宋体"/>
                <w:color w:val="auto"/>
                <w:sz w:val="24"/>
              </w:rPr>
              <w:t>不低于</w:t>
            </w:r>
            <w:r>
              <w:rPr>
                <w:rFonts w:ascii="宋体" w:hAnsi="宋体" w:cs="宋体"/>
                <w:color w:val="auto"/>
                <w:sz w:val="24"/>
              </w:rPr>
              <w:t>中级工程师</w:t>
            </w:r>
            <w:r>
              <w:rPr>
                <w:rFonts w:hint="eastAsia" w:ascii="宋体" w:hAnsi="宋体" w:cs="宋体"/>
                <w:color w:val="auto"/>
                <w:sz w:val="24"/>
              </w:rPr>
              <w:t>的实施人员15名及以上，低于15名不得分</w:t>
            </w:r>
            <w:r>
              <w:rPr>
                <w:rFonts w:ascii="宋体" w:hAnsi="宋体" w:cs="宋体"/>
                <w:color w:val="auto"/>
                <w:sz w:val="24"/>
              </w:rPr>
              <w:t>，其中15名工程师</w:t>
            </w:r>
            <w:r>
              <w:rPr>
                <w:rFonts w:hint="eastAsia" w:ascii="宋体" w:hAnsi="宋体" w:cs="宋体"/>
                <w:color w:val="auto"/>
                <w:sz w:val="24"/>
              </w:rPr>
              <w:t>内</w:t>
            </w:r>
            <w:r>
              <w:rPr>
                <w:rFonts w:ascii="宋体" w:hAnsi="宋体" w:cs="宋体"/>
                <w:color w:val="auto"/>
                <w:sz w:val="24"/>
              </w:rPr>
              <w:t>具备</w:t>
            </w:r>
            <w:r>
              <w:rPr>
                <w:rFonts w:hint="eastAsia" w:ascii="宋体" w:hAnsi="宋体" w:cs="宋体"/>
                <w:color w:val="auto"/>
                <w:sz w:val="24"/>
              </w:rPr>
              <w:t>二级建造师（机电专业）3名</w:t>
            </w:r>
            <w:r>
              <w:rPr>
                <w:rFonts w:ascii="宋体" w:hAnsi="宋体" w:cs="宋体"/>
                <w:color w:val="auto"/>
                <w:sz w:val="24"/>
              </w:rPr>
              <w:t>、</w:t>
            </w:r>
            <w:r>
              <w:rPr>
                <w:rFonts w:hint="eastAsia" w:ascii="宋体" w:hAnsi="宋体" w:cs="宋体"/>
                <w:color w:val="auto"/>
                <w:sz w:val="24"/>
              </w:rPr>
              <w:t>二级建造师（建筑工程）3名，</w:t>
            </w:r>
            <w:r>
              <w:rPr>
                <w:rFonts w:ascii="宋体" w:hAnsi="宋体" w:cs="宋体"/>
                <w:color w:val="auto"/>
                <w:sz w:val="24"/>
              </w:rPr>
              <w:t>信息系统项目管理师</w:t>
            </w:r>
            <w:r>
              <w:rPr>
                <w:rFonts w:hint="eastAsia" w:ascii="宋体" w:hAnsi="宋体" w:cs="宋体"/>
                <w:color w:val="auto"/>
                <w:sz w:val="24"/>
              </w:rPr>
              <w:t>1</w:t>
            </w:r>
            <w:r>
              <w:rPr>
                <w:rFonts w:ascii="宋体" w:hAnsi="宋体" w:cs="宋体"/>
                <w:color w:val="auto"/>
                <w:sz w:val="24"/>
              </w:rPr>
              <w:t>名，网络工程师1名</w:t>
            </w:r>
            <w:r>
              <w:rPr>
                <w:rFonts w:hint="eastAsia" w:ascii="宋体" w:hAnsi="宋体" w:cs="宋体"/>
                <w:color w:val="auto"/>
                <w:sz w:val="24"/>
              </w:rPr>
              <w:t>、</w:t>
            </w:r>
            <w:r>
              <w:rPr>
                <w:rFonts w:ascii="宋体" w:hAnsi="宋体" w:cs="宋体"/>
                <w:color w:val="auto"/>
                <w:sz w:val="24"/>
              </w:rPr>
              <w:t>每提供1个得</w:t>
            </w:r>
            <w:r>
              <w:rPr>
                <w:rFonts w:hint="eastAsia" w:ascii="宋体" w:hAnsi="宋体" w:cs="宋体"/>
                <w:color w:val="auto"/>
                <w:sz w:val="24"/>
              </w:rPr>
              <w:t>0.5分</w:t>
            </w:r>
            <w:r>
              <w:rPr>
                <w:rFonts w:ascii="宋体" w:hAnsi="宋体" w:cs="宋体"/>
                <w:color w:val="auto"/>
                <w:sz w:val="24"/>
              </w:rPr>
              <w:t>，最高得</w:t>
            </w:r>
            <w:r>
              <w:rPr>
                <w:rFonts w:hint="eastAsia" w:ascii="宋体" w:hAnsi="宋体" w:cs="宋体"/>
                <w:color w:val="auto"/>
                <w:sz w:val="24"/>
              </w:rPr>
              <w:t>4</w:t>
            </w:r>
            <w:r>
              <w:rPr>
                <w:rFonts w:ascii="宋体" w:hAnsi="宋体" w:cs="宋体"/>
                <w:color w:val="auto"/>
                <w:sz w:val="24"/>
              </w:rPr>
              <w:t>分。</w:t>
            </w:r>
          </w:p>
          <w:p w14:paraId="74A6E55E">
            <w:pPr>
              <w:widowControl/>
              <w:spacing w:line="400" w:lineRule="exact"/>
              <w:rPr>
                <w:rFonts w:ascii="宋体" w:hAnsi="宋体" w:cs="宋体"/>
                <w:color w:val="auto"/>
                <w:sz w:val="24"/>
              </w:rPr>
            </w:pPr>
            <w:r>
              <w:rPr>
                <w:rFonts w:hint="eastAsia" w:ascii="宋体" w:hAnsi="宋体" w:cs="宋体"/>
                <w:color w:val="auto"/>
                <w:sz w:val="24"/>
              </w:rPr>
              <w:t>注：</w:t>
            </w:r>
            <w:r>
              <w:rPr>
                <w:rFonts w:ascii="宋体" w:hAnsi="宋体" w:cs="宋体"/>
                <w:color w:val="auto"/>
                <w:sz w:val="24"/>
              </w:rPr>
              <w:t>1.</w:t>
            </w:r>
            <w:r>
              <w:rPr>
                <w:rFonts w:hint="eastAsia" w:ascii="宋体" w:hAnsi="宋体" w:cs="宋体"/>
                <w:color w:val="auto"/>
                <w:sz w:val="24"/>
              </w:rPr>
              <w:t>以投标文件中提供的有效证书（扫描件或</w:t>
            </w:r>
            <w:r>
              <w:rPr>
                <w:rFonts w:hint="eastAsia" w:ascii="宋体" w:hAnsi="宋体" w:cs="宋体"/>
                <w:color w:val="auto"/>
                <w:sz w:val="24"/>
                <w:lang w:val="en-US" w:eastAsia="zh-CN"/>
              </w:rPr>
              <w:t>复印</w:t>
            </w:r>
            <w:r>
              <w:rPr>
                <w:rFonts w:hint="eastAsia" w:ascii="宋体" w:hAnsi="宋体" w:cs="宋体"/>
                <w:color w:val="auto"/>
                <w:sz w:val="24"/>
              </w:rPr>
              <w:t>件）和投标人为该人员缴纳的社保证明（社保缴纳时间为投标人为投标截止日前6个月内任意一个月）为评审依据</w:t>
            </w:r>
            <w:r>
              <w:rPr>
                <w:rFonts w:hint="eastAsia" w:ascii="宋体" w:hAnsi="宋体" w:cs="宋体"/>
                <w:color w:val="auto"/>
                <w:sz w:val="28"/>
                <w:szCs w:val="28"/>
              </w:rPr>
              <w:t>，</w:t>
            </w:r>
            <w:r>
              <w:rPr>
                <w:rFonts w:hint="eastAsia" w:ascii="宋体" w:hAnsi="宋体" w:cs="宋体"/>
                <w:color w:val="auto"/>
                <w:sz w:val="24"/>
              </w:rPr>
              <w:t>原件备查，未提供的不得分；</w:t>
            </w:r>
          </w:p>
          <w:p w14:paraId="41BA4FBE">
            <w:pPr>
              <w:widowControl/>
              <w:spacing w:line="400" w:lineRule="exac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投标文件中须提供人员名单（格式自拟），未提供的不得分；</w:t>
            </w:r>
          </w:p>
          <w:p w14:paraId="5613F094">
            <w:pPr>
              <w:widowControl/>
              <w:spacing w:line="400" w:lineRule="exact"/>
              <w:rPr>
                <w:rFonts w:hint="eastAsia" w:ascii="宋体" w:hAnsi="宋体" w:cs="宋体"/>
                <w:color w:val="auto"/>
                <w:sz w:val="24"/>
              </w:rPr>
            </w:pPr>
            <w:r>
              <w:rPr>
                <w:rFonts w:ascii="宋体" w:hAnsi="宋体" w:cs="宋体"/>
                <w:color w:val="auto"/>
                <w:sz w:val="24"/>
              </w:rPr>
              <w:t>3.</w:t>
            </w:r>
            <w:r>
              <w:rPr>
                <w:rFonts w:hint="eastAsia" w:ascii="宋体" w:hAnsi="宋体" w:cs="宋体"/>
                <w:color w:val="auto"/>
                <w:sz w:val="24"/>
              </w:rPr>
              <w:t>本项重复人员不计分，项目负责人、技术负责人不重复计算在实施团队中，实施团队的二级建造师、信息系统项目管理师、网络工程师，每个人员的证书不能复用。</w:t>
            </w:r>
          </w:p>
        </w:tc>
        <w:tc>
          <w:tcPr>
            <w:tcW w:w="505" w:type="pct"/>
            <w:tcBorders>
              <w:top w:val="nil"/>
              <w:left w:val="nil"/>
              <w:bottom w:val="single" w:color="auto" w:sz="4" w:space="0"/>
              <w:right w:val="single" w:color="auto" w:sz="4" w:space="0"/>
            </w:tcBorders>
            <w:shd w:val="clear" w:color="auto" w:fill="auto"/>
            <w:vAlign w:val="center"/>
          </w:tcPr>
          <w:p w14:paraId="34BB382A">
            <w:pPr>
              <w:widowControl/>
              <w:spacing w:line="400" w:lineRule="exact"/>
              <w:jc w:val="center"/>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4</w:t>
            </w:r>
          </w:p>
        </w:tc>
      </w:tr>
      <w:tr w14:paraId="2187B9EB">
        <w:tblPrEx>
          <w:tblCellMar>
            <w:top w:w="0" w:type="dxa"/>
            <w:left w:w="108" w:type="dxa"/>
            <w:bottom w:w="0" w:type="dxa"/>
            <w:right w:w="108" w:type="dxa"/>
          </w:tblCellMar>
        </w:tblPrEx>
        <w:trPr>
          <w:trHeight w:val="76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0FC03838">
            <w:pPr>
              <w:widowControl/>
              <w:spacing w:line="400" w:lineRule="exact"/>
              <w:jc w:val="center"/>
              <w:rPr>
                <w:rFonts w:ascii="宋体" w:hAnsi="宋体" w:cs="宋体"/>
                <w:color w:val="auto"/>
                <w:sz w:val="24"/>
              </w:rPr>
            </w:pPr>
            <w:r>
              <w:rPr>
                <w:rFonts w:hint="eastAsia" w:ascii="宋体" w:hAnsi="宋体" w:cs="宋体"/>
                <w:color w:val="auto"/>
                <w:sz w:val="24"/>
              </w:rPr>
              <w:t>运维服务</w:t>
            </w:r>
          </w:p>
        </w:tc>
        <w:tc>
          <w:tcPr>
            <w:tcW w:w="3737" w:type="pct"/>
            <w:tcBorders>
              <w:top w:val="nil"/>
              <w:left w:val="nil"/>
              <w:bottom w:val="single" w:color="auto" w:sz="4" w:space="0"/>
              <w:right w:val="single" w:color="auto" w:sz="4" w:space="0"/>
            </w:tcBorders>
            <w:shd w:val="clear" w:color="auto" w:fill="auto"/>
            <w:vAlign w:val="center"/>
          </w:tcPr>
          <w:p w14:paraId="5C39743D">
            <w:pPr>
              <w:widowControl/>
              <w:spacing w:line="400" w:lineRule="exact"/>
              <w:rPr>
                <w:rFonts w:ascii="宋体" w:hAnsi="宋体" w:cs="宋体"/>
                <w:color w:val="auto"/>
                <w:sz w:val="24"/>
              </w:rPr>
            </w:pPr>
            <w:r>
              <w:rPr>
                <w:rFonts w:hint="eastAsia" w:ascii="宋体" w:hAnsi="宋体" w:cs="宋体"/>
                <w:color w:val="auto"/>
                <w:sz w:val="24"/>
              </w:rPr>
              <w:t>1、投标单位承诺项目整体验收完成后，提供不低于一名工程师驻场服务不低于1年得3分，投标单位需提供承诺函（驻场人员需满足用户需求，如驻场人员技术能力、服务能力无法达到甲方要求，甲方有权更换驻场人员，并延长驻场时间）。</w:t>
            </w:r>
          </w:p>
          <w:p w14:paraId="232D3555">
            <w:pPr>
              <w:widowControl/>
              <w:spacing w:line="400" w:lineRule="exact"/>
              <w:rPr>
                <w:rFonts w:ascii="宋体" w:hAnsi="宋体" w:cs="宋体"/>
                <w:color w:val="auto"/>
                <w:sz w:val="24"/>
              </w:rPr>
            </w:pPr>
            <w:r>
              <w:rPr>
                <w:rFonts w:hint="eastAsia" w:ascii="宋体" w:hAnsi="宋体" w:cs="宋体"/>
                <w:color w:val="auto"/>
                <w:sz w:val="24"/>
              </w:rPr>
              <w:t>2、投标单位承诺中标后到项目整体验收完成期间，项目经理与技术负责人需要全程跟进项目进度、管理工程质量，工作时间内全程在项目现场，响应客户对工程建设的相关要求，投标单位提供承诺函得2分。（如项目经理或技术负责人沟通能力、专业能力不满足甲方要求，甲方有权更换项目经理或技术负责人，直至满足建设要求。）</w:t>
            </w:r>
          </w:p>
        </w:tc>
        <w:tc>
          <w:tcPr>
            <w:tcW w:w="505" w:type="pct"/>
            <w:tcBorders>
              <w:top w:val="nil"/>
              <w:left w:val="nil"/>
              <w:bottom w:val="single" w:color="auto" w:sz="4" w:space="0"/>
              <w:right w:val="single" w:color="auto" w:sz="4" w:space="0"/>
            </w:tcBorders>
            <w:shd w:val="clear" w:color="auto" w:fill="auto"/>
            <w:vAlign w:val="center"/>
          </w:tcPr>
          <w:p w14:paraId="1863CA4F">
            <w:pPr>
              <w:widowControl/>
              <w:spacing w:line="400" w:lineRule="exact"/>
              <w:jc w:val="center"/>
              <w:rPr>
                <w:rFonts w:ascii="宋体" w:hAnsi="宋体" w:cs="宋体"/>
                <w:color w:val="auto"/>
                <w:sz w:val="24"/>
              </w:rPr>
            </w:pPr>
            <w:r>
              <w:rPr>
                <w:rFonts w:ascii="宋体" w:hAnsi="宋体" w:cs="宋体"/>
                <w:color w:val="auto"/>
                <w:sz w:val="24"/>
              </w:rPr>
              <w:t>5</w:t>
            </w:r>
          </w:p>
        </w:tc>
      </w:tr>
      <w:tr w14:paraId="36F3A294">
        <w:tblPrEx>
          <w:tblCellMar>
            <w:top w:w="0" w:type="dxa"/>
            <w:left w:w="108" w:type="dxa"/>
            <w:bottom w:w="0" w:type="dxa"/>
            <w:right w:w="108" w:type="dxa"/>
          </w:tblCellMar>
        </w:tblPrEx>
        <w:trPr>
          <w:trHeight w:val="765" w:hRule="atLeast"/>
        </w:trPr>
        <w:tc>
          <w:tcPr>
            <w:tcW w:w="757" w:type="pct"/>
            <w:tcBorders>
              <w:top w:val="nil"/>
              <w:left w:val="single" w:color="auto" w:sz="4" w:space="0"/>
              <w:bottom w:val="single" w:color="auto" w:sz="4" w:space="0"/>
              <w:right w:val="single" w:color="auto" w:sz="4" w:space="0"/>
            </w:tcBorders>
            <w:shd w:val="clear" w:color="auto" w:fill="auto"/>
            <w:vAlign w:val="center"/>
          </w:tcPr>
          <w:p w14:paraId="6EF41DE5">
            <w:pPr>
              <w:widowControl/>
              <w:spacing w:line="400" w:lineRule="exact"/>
              <w:jc w:val="center"/>
              <w:rPr>
                <w:rFonts w:ascii="宋体" w:hAnsi="宋体" w:cs="宋体"/>
                <w:color w:val="auto"/>
                <w:sz w:val="24"/>
              </w:rPr>
            </w:pPr>
            <w:r>
              <w:rPr>
                <w:rFonts w:hint="eastAsia" w:ascii="宋体" w:hAnsi="宋体" w:cs="宋体"/>
                <w:color w:val="auto"/>
                <w:sz w:val="24"/>
              </w:rPr>
              <w:t>系统演示</w:t>
            </w:r>
          </w:p>
        </w:tc>
        <w:tc>
          <w:tcPr>
            <w:tcW w:w="3737" w:type="pct"/>
            <w:tcBorders>
              <w:top w:val="nil"/>
              <w:left w:val="nil"/>
              <w:bottom w:val="single" w:color="auto" w:sz="4" w:space="0"/>
              <w:right w:val="single" w:color="auto" w:sz="4" w:space="0"/>
            </w:tcBorders>
            <w:shd w:val="clear" w:color="auto" w:fill="auto"/>
            <w:vAlign w:val="center"/>
          </w:tcPr>
          <w:p w14:paraId="262BDCDE">
            <w:pPr>
              <w:widowControl/>
              <w:spacing w:line="400" w:lineRule="exact"/>
              <w:rPr>
                <w:rFonts w:ascii="宋体" w:hAnsi="宋体" w:cs="宋体"/>
                <w:color w:val="auto"/>
                <w:sz w:val="24"/>
              </w:rPr>
            </w:pPr>
            <w:r>
              <w:rPr>
                <w:rFonts w:hint="eastAsia" w:ascii="宋体" w:hAnsi="宋体" w:cs="宋体"/>
                <w:color w:val="auto"/>
                <w:sz w:val="24"/>
              </w:rPr>
              <w:t>根据招标文件中相关要求，按照以下功能要求进行系统演示，根据演示结果评分：</w:t>
            </w:r>
          </w:p>
          <w:p w14:paraId="7BC50218">
            <w:pPr>
              <w:widowControl/>
              <w:spacing w:line="400" w:lineRule="exact"/>
              <w:rPr>
                <w:rFonts w:ascii="宋体" w:hAnsi="宋体" w:cs="宋体"/>
                <w:color w:val="auto"/>
                <w:sz w:val="24"/>
              </w:rPr>
            </w:pPr>
            <w:r>
              <w:rPr>
                <w:rFonts w:hint="eastAsia" w:ascii="宋体" w:hAnsi="宋体" w:cs="宋体"/>
                <w:color w:val="auto"/>
                <w:sz w:val="24"/>
              </w:rPr>
              <w:t>1、自然灾害风险监测预警感知数据分析演示：</w:t>
            </w:r>
          </w:p>
          <w:p w14:paraId="4FEE3D91">
            <w:pPr>
              <w:widowControl/>
              <w:spacing w:line="400" w:lineRule="exact"/>
              <w:rPr>
                <w:rFonts w:ascii="宋体" w:hAnsi="宋体" w:cs="宋体"/>
                <w:color w:val="auto"/>
                <w:sz w:val="24"/>
              </w:rPr>
            </w:pPr>
            <w:r>
              <w:rPr>
                <w:rFonts w:hint="eastAsia" w:ascii="宋体" w:hAnsi="宋体" w:cs="宋体"/>
                <w:color w:val="auto"/>
                <w:sz w:val="24"/>
              </w:rPr>
              <w:t>（1）演示多灾种智能感知预警终端的监测信息和预警信息。可查看多灾种智能感知预警终端的详情信息，支持水文信息、气象信息、视频监控等监测信息的查看和展示；在地图中展示预警终端的定位，设备发出预警后在地图中可闪烁提醒，并展示预警信息。</w:t>
            </w:r>
          </w:p>
          <w:p w14:paraId="01BCBE6B">
            <w:pPr>
              <w:widowControl/>
              <w:spacing w:line="400" w:lineRule="exact"/>
              <w:rPr>
                <w:rFonts w:ascii="宋体" w:hAnsi="宋体" w:cs="宋体"/>
                <w:color w:val="auto"/>
                <w:sz w:val="24"/>
              </w:rPr>
            </w:pPr>
            <w:r>
              <w:rPr>
                <w:rFonts w:hint="eastAsia" w:ascii="宋体" w:hAnsi="宋体" w:cs="宋体"/>
                <w:color w:val="auto"/>
                <w:sz w:val="24"/>
              </w:rPr>
              <w:t>（2）演示暴雨预警功能，在地图中可实时查看未来三小时逐6分钟的短临预报，根据未来三小时和六小时累计降雨量，地图中展示暴雨预警信息，可查看预警指标和预警时间。</w:t>
            </w:r>
          </w:p>
          <w:p w14:paraId="40E1C113">
            <w:pPr>
              <w:widowControl/>
              <w:spacing w:line="400" w:lineRule="exact"/>
              <w:rPr>
                <w:rFonts w:ascii="宋体" w:hAnsi="宋体" w:cs="宋体"/>
                <w:color w:val="auto"/>
                <w:sz w:val="24"/>
              </w:rPr>
            </w:pPr>
            <w:r>
              <w:rPr>
                <w:rFonts w:hint="eastAsia" w:ascii="宋体" w:hAnsi="宋体" w:cs="宋体"/>
                <w:color w:val="auto"/>
                <w:sz w:val="24"/>
              </w:rPr>
              <w:t>（3）演示洪涝水动力仿真推演的洪水淹没过程，选择一个行政区定位展示洪涝淹没过程和淹没范围，支持时间轴切换或播放展示洪涝淹没过程，同时可通过曲线图展示本次案例的逐小时和逐6分钟的累计降雨量和最大积水深度。</w:t>
            </w:r>
          </w:p>
          <w:p w14:paraId="2FB8C435">
            <w:pPr>
              <w:widowControl/>
              <w:spacing w:line="400" w:lineRule="exact"/>
              <w:rPr>
                <w:rFonts w:ascii="宋体" w:hAnsi="宋体" w:cs="宋体"/>
                <w:color w:val="auto"/>
                <w:sz w:val="24"/>
              </w:rPr>
            </w:pPr>
            <w:r>
              <w:rPr>
                <w:rFonts w:hint="eastAsia" w:ascii="宋体" w:hAnsi="宋体" w:cs="宋体"/>
                <w:color w:val="auto"/>
                <w:sz w:val="24"/>
              </w:rPr>
              <w:t>（4）演示通过洪涝水动力推演结果远程遥控多灾种智能感知预警终端，使预警范围内的多灾种智能感知预警终端进行声光报警和语音播报，通过第三方视角摄像头查看并验证该设备的报警场景。</w:t>
            </w:r>
          </w:p>
          <w:p w14:paraId="5E4BE89D">
            <w:pPr>
              <w:widowControl/>
              <w:spacing w:line="400" w:lineRule="exact"/>
              <w:rPr>
                <w:rFonts w:ascii="宋体" w:hAnsi="宋体" w:cs="宋体"/>
                <w:color w:val="auto"/>
                <w:sz w:val="24"/>
              </w:rPr>
            </w:pPr>
            <w:r>
              <w:rPr>
                <w:rFonts w:hint="eastAsia" w:ascii="宋体" w:hAnsi="宋体" w:cs="宋体"/>
                <w:color w:val="auto"/>
                <w:sz w:val="24"/>
              </w:rPr>
              <w:t>2、自然灾害风险隐患一张图演示：</w:t>
            </w:r>
          </w:p>
          <w:p w14:paraId="2127B431">
            <w:pPr>
              <w:widowControl/>
              <w:spacing w:line="400" w:lineRule="exact"/>
              <w:rPr>
                <w:rFonts w:ascii="宋体" w:hAnsi="宋体" w:cs="宋体"/>
                <w:color w:val="auto"/>
                <w:sz w:val="24"/>
              </w:rPr>
            </w:pPr>
            <w:r>
              <w:rPr>
                <w:rFonts w:hint="eastAsia" w:ascii="宋体" w:hAnsi="宋体" w:cs="宋体"/>
                <w:color w:val="auto"/>
                <w:sz w:val="24"/>
              </w:rPr>
              <w:t>（5）系统基于WebGIS架构构建，支持多源底图（遥感影像、矢量电子地图等）动态切换；实现致灾因子、承灾体及减灾资源等业务数据的分层管理与展示，多图层叠加功能；空间数据须支持对象详情信息查询，对象周边承灾体、减灾资源等数据查询分析。</w:t>
            </w:r>
          </w:p>
          <w:p w14:paraId="0B387786">
            <w:pPr>
              <w:widowControl/>
              <w:spacing w:line="400" w:lineRule="exact"/>
              <w:rPr>
                <w:rFonts w:ascii="宋体" w:hAnsi="宋体" w:cs="宋体"/>
                <w:color w:val="auto"/>
                <w:sz w:val="24"/>
              </w:rPr>
            </w:pPr>
            <w:r>
              <w:rPr>
                <w:rFonts w:hint="eastAsia" w:ascii="宋体" w:hAnsi="宋体" w:cs="宋体"/>
                <w:color w:val="auto"/>
                <w:sz w:val="24"/>
              </w:rPr>
              <w:t>（6）系统具备风险综合研判功能，支持洪水、地质灾害等主要灾种的危险性等级图层与关键承灾体要素（如应急避难场所分布、救灾物资储备点、地质灾害隐患点等）进行空间叠加分析，输出分析结果并支持一键导出成excel文件；内置风险评估模型，可基于叠加结果研判风险等级（高、中、低），分析成果支持一键导出成excel文件。</w:t>
            </w:r>
          </w:p>
          <w:p w14:paraId="104DFA3E">
            <w:pPr>
              <w:widowControl/>
              <w:spacing w:line="400" w:lineRule="exact"/>
              <w:rPr>
                <w:rFonts w:ascii="宋体" w:hAnsi="宋体" w:cs="宋体"/>
                <w:color w:val="auto"/>
                <w:sz w:val="24"/>
              </w:rPr>
            </w:pPr>
            <w:r>
              <w:rPr>
                <w:rFonts w:hint="eastAsia" w:ascii="宋体" w:hAnsi="宋体" w:cs="宋体"/>
                <w:color w:val="auto"/>
                <w:sz w:val="24"/>
              </w:rPr>
              <w:t>评分要求：</w:t>
            </w:r>
          </w:p>
          <w:p w14:paraId="1A85D698">
            <w:pPr>
              <w:widowControl/>
              <w:spacing w:line="400" w:lineRule="exact"/>
              <w:rPr>
                <w:rFonts w:ascii="宋体" w:hAnsi="宋体" w:cs="宋体"/>
                <w:color w:val="auto"/>
                <w:sz w:val="24"/>
              </w:rPr>
            </w:pPr>
            <w:r>
              <w:rPr>
                <w:rFonts w:hint="eastAsia" w:ascii="宋体" w:hAnsi="宋体" w:cs="宋体"/>
                <w:color w:val="auto"/>
                <w:sz w:val="24"/>
              </w:rPr>
              <w:t>对（1）、（2）、（3）、（4）每项功能演示完整、全面、清晰且完全符合以上需求的，每项得</w:t>
            </w:r>
            <w:r>
              <w:rPr>
                <w:rFonts w:ascii="宋体" w:hAnsi="宋体" w:cs="宋体"/>
                <w:color w:val="auto"/>
                <w:sz w:val="24"/>
              </w:rPr>
              <w:t>2</w:t>
            </w:r>
            <w:r>
              <w:rPr>
                <w:rFonts w:hint="eastAsia" w:ascii="宋体" w:hAnsi="宋体" w:cs="宋体"/>
                <w:color w:val="auto"/>
                <w:sz w:val="24"/>
              </w:rPr>
              <w:t>分；每项演示不完整、不清晰的，或演示缺失的不得分；此部分满分</w:t>
            </w:r>
            <w:r>
              <w:rPr>
                <w:rFonts w:ascii="宋体" w:hAnsi="宋体" w:cs="宋体"/>
                <w:color w:val="auto"/>
                <w:sz w:val="24"/>
              </w:rPr>
              <w:t>8</w:t>
            </w:r>
            <w:r>
              <w:rPr>
                <w:rFonts w:hint="eastAsia" w:ascii="宋体" w:hAnsi="宋体" w:cs="宋体"/>
                <w:color w:val="auto"/>
                <w:sz w:val="24"/>
              </w:rPr>
              <w:t>分。</w:t>
            </w:r>
          </w:p>
          <w:p w14:paraId="1B86564B">
            <w:pPr>
              <w:widowControl/>
              <w:spacing w:line="400" w:lineRule="exact"/>
              <w:rPr>
                <w:rFonts w:ascii="宋体" w:hAnsi="宋体" w:cs="宋体"/>
                <w:color w:val="auto"/>
                <w:sz w:val="24"/>
              </w:rPr>
            </w:pPr>
            <w:r>
              <w:rPr>
                <w:rFonts w:hint="eastAsia" w:ascii="宋体" w:hAnsi="宋体" w:cs="宋体"/>
                <w:color w:val="auto"/>
                <w:sz w:val="24"/>
              </w:rPr>
              <w:t>对（5）、（6）每项功能演示完整、全面、清晰且完全符合以上需求的，每项得1分；每项演示不完整、不清晰的，或演示缺失的不得分；此部分满分2分。</w:t>
            </w:r>
          </w:p>
          <w:p w14:paraId="0BA94341">
            <w:pPr>
              <w:widowControl/>
              <w:spacing w:line="400" w:lineRule="exact"/>
              <w:rPr>
                <w:rFonts w:ascii="宋体" w:hAnsi="宋体" w:cs="宋体"/>
                <w:color w:val="auto"/>
                <w:sz w:val="24"/>
              </w:rPr>
            </w:pPr>
            <w:r>
              <w:rPr>
                <w:rFonts w:hint="eastAsia" w:ascii="宋体" w:hAnsi="宋体" w:cs="宋体"/>
                <w:color w:val="auto"/>
                <w:sz w:val="24"/>
              </w:rPr>
              <w:t>注：（1）投标人需使用真实系统对本项目应用系统建设内容的核心功能进行演示（需自行搭建演示环境，对本项内容进行演示讲解）；若采用静态网页、原型、PPT或录像视频等其他方式演示的不得分；</w:t>
            </w:r>
          </w:p>
          <w:p w14:paraId="7785DD71">
            <w:pPr>
              <w:widowControl/>
              <w:spacing w:line="400" w:lineRule="exact"/>
              <w:rPr>
                <w:rFonts w:ascii="宋体" w:hAnsi="宋体" w:cs="宋体"/>
                <w:color w:val="auto"/>
                <w:sz w:val="24"/>
              </w:rPr>
            </w:pPr>
            <w:r>
              <w:rPr>
                <w:rFonts w:hint="eastAsia" w:ascii="宋体" w:hAnsi="宋体" w:cs="宋体"/>
                <w:color w:val="auto"/>
                <w:sz w:val="24"/>
              </w:rPr>
              <w:t>（2）每位投标人演示时长不超过15分钟；</w:t>
            </w:r>
          </w:p>
          <w:p w14:paraId="658D272B">
            <w:pPr>
              <w:widowControl/>
              <w:spacing w:line="400" w:lineRule="exact"/>
              <w:rPr>
                <w:rFonts w:ascii="宋体" w:hAnsi="宋体" w:cs="宋体"/>
                <w:color w:val="auto"/>
                <w:sz w:val="24"/>
              </w:rPr>
            </w:pPr>
            <w:r>
              <w:rPr>
                <w:rFonts w:hint="eastAsia" w:ascii="宋体" w:hAnsi="宋体" w:cs="宋体"/>
                <w:color w:val="auto"/>
                <w:sz w:val="24"/>
              </w:rPr>
              <w:t>（3）未进行演示的，不得分；</w:t>
            </w:r>
          </w:p>
          <w:p w14:paraId="732484D8">
            <w:pPr>
              <w:widowControl/>
              <w:spacing w:line="400" w:lineRule="exact"/>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）现场演示人员须持投标供应商授权委托，否则不予现场演示。</w:t>
            </w:r>
          </w:p>
        </w:tc>
        <w:tc>
          <w:tcPr>
            <w:tcW w:w="505" w:type="pct"/>
            <w:tcBorders>
              <w:top w:val="nil"/>
              <w:left w:val="nil"/>
              <w:bottom w:val="single" w:color="auto" w:sz="4" w:space="0"/>
              <w:right w:val="single" w:color="auto" w:sz="4" w:space="0"/>
            </w:tcBorders>
            <w:shd w:val="clear" w:color="auto" w:fill="auto"/>
            <w:vAlign w:val="center"/>
          </w:tcPr>
          <w:p w14:paraId="5B0945B5">
            <w:pPr>
              <w:widowControl/>
              <w:spacing w:line="400" w:lineRule="exact"/>
              <w:jc w:val="center"/>
              <w:rPr>
                <w:rFonts w:ascii="宋体" w:hAnsi="宋体" w:cs="宋体"/>
                <w:color w:val="auto"/>
                <w:sz w:val="24"/>
              </w:rPr>
            </w:pPr>
            <w:r>
              <w:rPr>
                <w:rFonts w:hint="eastAsia" w:ascii="宋体" w:hAnsi="宋体" w:cs="宋体"/>
                <w:color w:val="auto"/>
                <w:sz w:val="24"/>
              </w:rPr>
              <w:t>10</w:t>
            </w:r>
          </w:p>
        </w:tc>
      </w:tr>
      <w:tr w14:paraId="0A0A8623">
        <w:tblPrEx>
          <w:tblCellMar>
            <w:top w:w="0" w:type="dxa"/>
            <w:left w:w="108" w:type="dxa"/>
            <w:bottom w:w="0" w:type="dxa"/>
            <w:right w:w="108" w:type="dxa"/>
          </w:tblCellMar>
        </w:tblPrEx>
        <w:trPr>
          <w:trHeight w:val="58" w:hRule="atLeast"/>
        </w:trPr>
        <w:tc>
          <w:tcPr>
            <w:tcW w:w="44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B0D9AA">
            <w:pPr>
              <w:widowControl/>
              <w:spacing w:line="400" w:lineRule="exact"/>
              <w:jc w:val="center"/>
              <w:rPr>
                <w:rFonts w:ascii="宋体" w:hAnsi="宋体" w:cs="宋体"/>
                <w:color w:val="auto"/>
                <w:sz w:val="24"/>
              </w:rPr>
            </w:pPr>
          </w:p>
        </w:tc>
        <w:tc>
          <w:tcPr>
            <w:tcW w:w="505" w:type="pct"/>
            <w:tcBorders>
              <w:top w:val="nil"/>
              <w:left w:val="nil"/>
              <w:bottom w:val="single" w:color="auto" w:sz="4" w:space="0"/>
              <w:right w:val="single" w:color="auto" w:sz="4" w:space="0"/>
            </w:tcBorders>
            <w:shd w:val="clear" w:color="auto" w:fill="auto"/>
            <w:noWrap/>
            <w:vAlign w:val="center"/>
          </w:tcPr>
          <w:p w14:paraId="0A9B16B1">
            <w:pPr>
              <w:widowControl/>
              <w:spacing w:line="400" w:lineRule="exact"/>
              <w:jc w:val="center"/>
              <w:rPr>
                <w:rFonts w:ascii="宋体" w:hAnsi="宋体" w:cs="宋体"/>
                <w:color w:val="auto"/>
                <w:sz w:val="24"/>
              </w:rPr>
            </w:pPr>
            <w:r>
              <w:rPr>
                <w:rFonts w:hint="eastAsia" w:ascii="宋体" w:hAnsi="宋体" w:cs="宋体"/>
                <w:color w:val="auto"/>
                <w:sz w:val="24"/>
              </w:rPr>
              <w:t>100</w:t>
            </w:r>
          </w:p>
        </w:tc>
      </w:tr>
    </w:tbl>
    <w:p w14:paraId="62B3A241">
      <w:pPr>
        <w:tabs>
          <w:tab w:val="left" w:pos="180"/>
        </w:tabs>
        <w:spacing w:line="520" w:lineRule="exact"/>
        <w:rPr>
          <w:rFonts w:ascii="仿宋" w:hAnsi="仿宋" w:eastAsia="仿宋"/>
          <w:b/>
          <w:color w:val="auto"/>
          <w:sz w:val="36"/>
          <w:szCs w:val="36"/>
        </w:rPr>
      </w:pPr>
    </w:p>
    <w:p w14:paraId="21415502">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（三）异常低价审查</w:t>
      </w:r>
    </w:p>
    <w:p w14:paraId="6210B18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评标委员会在评审中发现下列情形之一的，应当启动异常低价投标审查程序：</w:t>
      </w:r>
    </w:p>
    <w:p w14:paraId="2E53BAD5">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投标报价低于全部通过符合性审查供应商投标报价平均值65%的，即投标报价＜全部通过符合性审查供应商投标报价平均值×65%；</w:t>
      </w:r>
    </w:p>
    <w:p w14:paraId="5D333FB0">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投标报价低于通过符合性审查的次低报价供应商投标报价65%的，即投标报价＜通过符合性审查的次低报价供应商投标报价×65%；</w:t>
      </w:r>
    </w:p>
    <w:p w14:paraId="4F1DB5AA">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投标报价低于采购项目最高限价65%的，即投标报价＜采购项目最高限价×65%；</w:t>
      </w:r>
    </w:p>
    <w:p w14:paraId="4266EB75">
      <w:pPr>
        <w:pStyle w:val="82"/>
        <w:numPr>
          <w:ilvl w:val="0"/>
          <w:numId w:val="3"/>
        </w:numPr>
        <w:adjustRightInd w:val="0"/>
        <w:snapToGrid w:val="0"/>
        <w:spacing w:line="360" w:lineRule="auto"/>
        <w:rPr>
          <w:rFonts w:ascii="宋体" w:hAnsi="宋体" w:cs="宋体"/>
          <w:color w:val="auto"/>
          <w:sz w:val="24"/>
        </w:rPr>
      </w:pPr>
      <w:r>
        <w:rPr>
          <w:rFonts w:hint="eastAsia" w:ascii="宋体" w:hAnsi="宋体" w:cs="宋体"/>
          <w:color w:val="auto"/>
          <w:sz w:val="24"/>
        </w:rPr>
        <w:t>评标委员会基于专业判断，认为供应商报价过低，有可能影响产品质量或者不能诚信履约的其他情形。</w:t>
      </w:r>
    </w:p>
    <w:p w14:paraId="71ED038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评标委员会启动异常低价投标审查后，属于前述第1项至第</w:t>
      </w:r>
      <w:r>
        <w:rPr>
          <w:rFonts w:ascii="宋体" w:hAnsi="宋体" w:cs="宋体"/>
          <w:color w:val="auto"/>
          <w:sz w:val="24"/>
        </w:rPr>
        <w:t>4</w:t>
      </w:r>
      <w:r>
        <w:rPr>
          <w:rFonts w:hint="eastAsia" w:ascii="宋体" w:hAnsi="宋体" w:cs="宋体"/>
          <w:color w:val="auto"/>
          <w:sz w:val="24"/>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9F597A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评标委员会依据专业经验，参考同类项目中标（成交）价格、类似产品市场价格水平、行业人工费用标准、国家有关部门指导行业协会发布的行业平均成本等情况，对报价合理性进行判断。投</w:t>
      </w:r>
      <w:r>
        <w:rPr>
          <w:rFonts w:ascii="宋体" w:hAnsi="宋体" w:cs="宋体"/>
          <w:color w:val="auto"/>
          <w:sz w:val="24"/>
        </w:rPr>
        <w:t>标供应商不能提供书面说明、证明材料，或者提供的书面说明、证明材料不能证明其报价合理性的，评标委员会应当将其作为无效投标处理。</w:t>
      </w:r>
    </w:p>
    <w:p w14:paraId="7C648DB0">
      <w:pPr>
        <w:snapToGrid w:val="0"/>
        <w:spacing w:line="360" w:lineRule="auto"/>
        <w:ind w:firstLine="482" w:firstLineChars="200"/>
        <w:rPr>
          <w:rFonts w:ascii="宋体" w:hAnsi="宋体" w:cs="宋体"/>
          <w:b/>
          <w:bCs/>
          <w:color w:val="auto"/>
          <w:kern w:val="2"/>
          <w:sz w:val="24"/>
        </w:rPr>
      </w:pPr>
      <w:r>
        <w:rPr>
          <w:rFonts w:hint="eastAsia" w:ascii="宋体" w:hAnsi="宋体" w:cs="宋体"/>
          <w:b/>
          <w:bCs/>
          <w:color w:val="auto"/>
          <w:sz w:val="24"/>
        </w:rPr>
        <w:t>（四）非单一产品采购项目，采购标的中的核心产品</w:t>
      </w:r>
    </w:p>
    <w:p w14:paraId="389C96D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不涉及。本项目同一货物产品，投标人提供相同品牌的，均予以认可。</w:t>
      </w:r>
    </w:p>
    <w:p w14:paraId="4915AC6D">
      <w:pPr>
        <w:adjustRightInd w:val="0"/>
        <w:snapToGrid w:val="0"/>
        <w:spacing w:line="480" w:lineRule="exact"/>
        <w:ind w:firstLine="480" w:firstLineChars="200"/>
        <w:rPr>
          <w:rFonts w:ascii="宋体" w:hAnsi="宋体" w:cs="宋体"/>
          <w:color w:val="auto"/>
          <w:sz w:val="24"/>
        </w:rPr>
      </w:pPr>
    </w:p>
    <w:p w14:paraId="61F21ACE">
      <w:pPr>
        <w:widowControl/>
        <w:jc w:val="left"/>
        <w:rPr>
          <w:rFonts w:ascii="仿宋" w:hAnsi="仿宋" w:eastAsia="仿宋"/>
          <w:b/>
          <w:color w:val="auto"/>
          <w:sz w:val="36"/>
          <w:szCs w:val="36"/>
        </w:rPr>
      </w:pPr>
      <w:r>
        <w:rPr>
          <w:rFonts w:ascii="仿宋" w:hAnsi="仿宋" w:eastAsia="仿宋"/>
          <w:b/>
          <w:color w:val="auto"/>
          <w:sz w:val="36"/>
          <w:szCs w:val="36"/>
        </w:rPr>
        <w:br w:type="page"/>
      </w:r>
      <w:bookmarkStart w:id="40" w:name="_GoBack"/>
      <w:bookmarkEnd w:id="40"/>
    </w:p>
    <w:p w14:paraId="6BFA4DB1">
      <w:pPr>
        <w:pStyle w:val="2"/>
        <w:rPr>
          <w:color w:val="auto"/>
        </w:rPr>
      </w:pPr>
      <w:r>
        <w:rPr>
          <w:rFonts w:hint="eastAsia"/>
          <w:color w:val="auto"/>
        </w:rPr>
        <w:t>第四章  合同格式及条款</w:t>
      </w:r>
    </w:p>
    <w:p w14:paraId="59976270">
      <w:pPr>
        <w:tabs>
          <w:tab w:val="left" w:pos="180"/>
        </w:tabs>
        <w:spacing w:line="520" w:lineRule="exact"/>
        <w:ind w:firstLine="560"/>
        <w:rPr>
          <w:rFonts w:ascii="宋体" w:hAnsi="宋体"/>
          <w:bCs/>
          <w:color w:val="auto"/>
          <w:sz w:val="28"/>
          <w:szCs w:val="28"/>
        </w:rPr>
      </w:pPr>
      <w:r>
        <w:rPr>
          <w:rFonts w:hint="eastAsia" w:ascii="宋体" w:hAnsi="宋体"/>
          <w:bCs/>
          <w:color w:val="auto"/>
          <w:sz w:val="28"/>
          <w:szCs w:val="28"/>
        </w:rPr>
        <w:t>注:以下为采购人提出中标后签订本项目合同的条款，投标人必须实质性响应，中标投标人不得提出实质性的修改，关于专用条款将由采购人与中标投标人结合本项目具体情况协商后签订。</w:t>
      </w:r>
    </w:p>
    <w:p w14:paraId="2AF3346C">
      <w:pPr>
        <w:tabs>
          <w:tab w:val="left" w:pos="180"/>
        </w:tabs>
        <w:spacing w:line="520" w:lineRule="exact"/>
        <w:ind w:firstLine="560"/>
        <w:rPr>
          <w:rFonts w:ascii="仿宋" w:hAnsi="仿宋" w:eastAsia="仿宋"/>
          <w:bCs/>
          <w:color w:val="auto"/>
          <w:sz w:val="28"/>
          <w:szCs w:val="28"/>
        </w:rPr>
      </w:pPr>
    </w:p>
    <w:p w14:paraId="1FA85B19">
      <w:pPr>
        <w:jc w:val="center"/>
        <w:rPr>
          <w:rFonts w:ascii="宋体" w:hAnsi="宋体"/>
          <w:b/>
          <w:color w:val="auto"/>
          <w:sz w:val="32"/>
          <w:szCs w:val="32"/>
        </w:rPr>
      </w:pPr>
      <w:r>
        <w:rPr>
          <w:rFonts w:ascii="宋体" w:hAnsi="宋体"/>
          <w:b/>
          <w:color w:val="auto"/>
          <w:sz w:val="32"/>
          <w:szCs w:val="32"/>
        </w:rPr>
        <w:t>盱眙县应急指挥体系及灾害监测预警能力提升项目合同书</w:t>
      </w:r>
    </w:p>
    <w:p w14:paraId="18BBA3F4">
      <w:pPr>
        <w:spacing w:after="60" w:line="360" w:lineRule="auto"/>
        <w:rPr>
          <w:rFonts w:ascii="宋体" w:hAnsi="宋体" w:cs="宋体"/>
          <w:color w:val="auto"/>
          <w:sz w:val="24"/>
        </w:rPr>
      </w:pPr>
    </w:p>
    <w:p w14:paraId="718D8142">
      <w:pPr>
        <w:spacing w:after="60" w:line="360" w:lineRule="auto"/>
        <w:rPr>
          <w:rFonts w:ascii="宋体" w:hAnsi="宋体" w:cs="宋体"/>
          <w:color w:val="auto"/>
          <w:sz w:val="24"/>
        </w:rPr>
      </w:pPr>
      <w:r>
        <w:rPr>
          <w:rFonts w:hint="eastAsia" w:ascii="宋体" w:hAnsi="宋体" w:cs="宋体"/>
          <w:color w:val="auto"/>
          <w:sz w:val="24"/>
        </w:rPr>
        <w:t>采  购  人（或称甲方）：</w:t>
      </w:r>
    </w:p>
    <w:p w14:paraId="5CA4B4F7">
      <w:pPr>
        <w:spacing w:after="60" w:line="360" w:lineRule="auto"/>
        <w:rPr>
          <w:rFonts w:ascii="宋体" w:hAnsi="宋体" w:cs="宋体"/>
          <w:bCs/>
          <w:color w:val="auto"/>
          <w:sz w:val="24"/>
        </w:rPr>
      </w:pPr>
      <w:r>
        <w:rPr>
          <w:rFonts w:hint="eastAsia" w:ascii="宋体" w:hAnsi="宋体" w:cs="宋体"/>
          <w:color w:val="auto"/>
          <w:sz w:val="24"/>
        </w:rPr>
        <w:t>中标供应商（或称乙方）：</w:t>
      </w:r>
    </w:p>
    <w:p w14:paraId="35BF4877">
      <w:pPr>
        <w:spacing w:after="60" w:line="360" w:lineRule="auto"/>
        <w:rPr>
          <w:rFonts w:ascii="宋体" w:hAnsi="宋体" w:cs="宋体"/>
          <w:color w:val="auto"/>
          <w:sz w:val="24"/>
        </w:rPr>
      </w:pPr>
      <w:r>
        <w:rPr>
          <w:rFonts w:hint="eastAsia" w:ascii="宋体" w:hAnsi="宋体" w:cs="宋体"/>
          <w:color w:val="auto"/>
          <w:sz w:val="24"/>
        </w:rPr>
        <w:t>签订时间：年月日</w:t>
      </w:r>
    </w:p>
    <w:p w14:paraId="064BC3D1">
      <w:pPr>
        <w:spacing w:after="60" w:line="360" w:lineRule="auto"/>
        <w:rPr>
          <w:rFonts w:ascii="宋体" w:hAnsi="宋体" w:cs="宋体"/>
          <w:color w:val="auto"/>
          <w:sz w:val="24"/>
        </w:rPr>
      </w:pPr>
      <w:r>
        <w:rPr>
          <w:rFonts w:hint="eastAsia" w:ascii="宋体" w:hAnsi="宋体" w:cs="宋体"/>
          <w:color w:val="auto"/>
          <w:sz w:val="24"/>
        </w:rPr>
        <w:t>签订地点：</w:t>
      </w:r>
    </w:p>
    <w:p w14:paraId="23A3E073">
      <w:pPr>
        <w:snapToGrid w:val="0"/>
        <w:spacing w:line="520" w:lineRule="exact"/>
        <w:ind w:firstLine="573"/>
        <w:rPr>
          <w:rFonts w:ascii="宋体" w:hAnsi="宋体" w:cs="宋体"/>
          <w:color w:val="auto"/>
          <w:sz w:val="24"/>
        </w:rPr>
      </w:pPr>
      <w:r>
        <w:rPr>
          <w:rFonts w:hint="eastAsia" w:ascii="宋体" w:hAnsi="宋体" w:cs="宋体"/>
          <w:color w:val="auto"/>
          <w:sz w:val="24"/>
        </w:rPr>
        <w:t>根据《中华人民共和国民法典》、《中华人民共和国招标投标法》、本项目的招、投标文件及相关法律法规的要求，双方经过平等协商，在真实、充分地表达各自意愿的基础上，达成如下书面协议（技术说明及其他有关合同项目的特定信息由合同附件予以说明，合同附件及本项目的招标文件、投标文件等均为本合同不可分割之一部分），以明确双方权利义务，供双方共同恪守。</w:t>
      </w:r>
    </w:p>
    <w:p w14:paraId="60E6661B">
      <w:pPr>
        <w:snapToGrid w:val="0"/>
        <w:spacing w:line="500" w:lineRule="exact"/>
        <w:ind w:firstLine="573"/>
        <w:rPr>
          <w:rFonts w:ascii="宋体" w:hAnsi="宋体" w:cs="宋体"/>
          <w:color w:val="auto"/>
          <w:sz w:val="24"/>
        </w:rPr>
      </w:pPr>
      <w:r>
        <w:rPr>
          <w:rFonts w:hint="eastAsia" w:ascii="宋体" w:hAnsi="宋体" w:cs="宋体"/>
          <w:color w:val="auto"/>
          <w:sz w:val="24"/>
        </w:rPr>
        <w:t>一、合同的标的物</w:t>
      </w:r>
    </w:p>
    <w:p w14:paraId="01E7FAD8">
      <w:pPr>
        <w:snapToGrid w:val="0"/>
        <w:spacing w:line="500" w:lineRule="exact"/>
        <w:ind w:firstLine="573"/>
        <w:rPr>
          <w:rFonts w:ascii="宋体" w:hAnsi="宋体" w:cs="宋体"/>
          <w:color w:val="auto"/>
          <w:sz w:val="24"/>
        </w:rPr>
      </w:pPr>
      <w:r>
        <w:rPr>
          <w:rFonts w:hint="eastAsia" w:ascii="宋体" w:hAnsi="宋体" w:cs="宋体"/>
          <w:color w:val="auto"/>
          <w:sz w:val="24"/>
        </w:rPr>
        <w:t>1.1甲方向乙方采购标的物，具体的品种、规格要求详见合同附件：</w:t>
      </w:r>
    </w:p>
    <w:p w14:paraId="3B8EEC90">
      <w:pPr>
        <w:snapToGrid w:val="0"/>
        <w:spacing w:line="500" w:lineRule="exact"/>
        <w:ind w:firstLine="573"/>
        <w:rPr>
          <w:rFonts w:ascii="宋体" w:hAnsi="宋体" w:cs="宋体"/>
          <w:color w:val="auto"/>
          <w:sz w:val="24"/>
        </w:rPr>
      </w:pPr>
      <w:r>
        <w:rPr>
          <w:rFonts w:hint="eastAsia" w:ascii="宋体" w:hAnsi="宋体" w:cs="宋体"/>
          <w:color w:val="auto"/>
          <w:sz w:val="24"/>
        </w:rPr>
        <w:t>1.2 乙方对提供的标的物应当拥有完整的物权，并且负有保证第三人不得向甲方主张任何权利（包括知识产权）的义务。</w:t>
      </w:r>
    </w:p>
    <w:p w14:paraId="75161DB6">
      <w:pPr>
        <w:snapToGrid w:val="0"/>
        <w:spacing w:line="500" w:lineRule="exact"/>
        <w:ind w:firstLine="573"/>
        <w:rPr>
          <w:rFonts w:ascii="宋体" w:hAnsi="宋体" w:cs="宋体"/>
          <w:color w:val="auto"/>
          <w:sz w:val="24"/>
        </w:rPr>
      </w:pPr>
      <w:r>
        <w:rPr>
          <w:rFonts w:hint="eastAsia" w:ascii="宋体" w:hAnsi="宋体" w:cs="宋体"/>
          <w:color w:val="auto"/>
          <w:sz w:val="24"/>
        </w:rPr>
        <w:t>二、合同价格与支付</w:t>
      </w:r>
    </w:p>
    <w:p w14:paraId="6C7ED84F">
      <w:pPr>
        <w:snapToGrid w:val="0"/>
        <w:spacing w:line="520" w:lineRule="exact"/>
        <w:ind w:firstLine="494" w:firstLineChars="206"/>
        <w:rPr>
          <w:rFonts w:ascii="宋体" w:hAnsi="宋体" w:cs="宋体"/>
          <w:color w:val="auto"/>
          <w:sz w:val="24"/>
        </w:rPr>
      </w:pPr>
      <w:r>
        <w:rPr>
          <w:rFonts w:hint="eastAsia" w:ascii="宋体" w:hAnsi="宋体" w:cs="宋体"/>
          <w:color w:val="auto"/>
          <w:sz w:val="24"/>
        </w:rPr>
        <w:t>2.1 合同价格按此次中标价格执行，合同总金额为人民币（大写）</w:t>
      </w:r>
      <w:r>
        <w:rPr>
          <w:rFonts w:hint="eastAsia" w:ascii="宋体" w:hAnsi="宋体" w:cs="宋体"/>
          <w:color w:val="auto"/>
          <w:sz w:val="24"/>
          <w:u w:val="single"/>
        </w:rPr>
        <w:t xml:space="preserve">        </w:t>
      </w:r>
      <w:r>
        <w:rPr>
          <w:rFonts w:hint="eastAsia" w:ascii="宋体" w:hAnsi="宋体" w:cs="宋体"/>
          <w:color w:val="auto"/>
          <w:sz w:val="24"/>
        </w:rPr>
        <w:t>元整 （￥</w:t>
      </w:r>
      <w:r>
        <w:rPr>
          <w:rFonts w:hint="eastAsia" w:ascii="宋体" w:hAnsi="宋体" w:cs="宋体"/>
          <w:color w:val="auto"/>
          <w:sz w:val="24"/>
          <w:u w:val="single"/>
        </w:rPr>
        <w:t xml:space="preserve">       </w:t>
      </w:r>
      <w:r>
        <w:rPr>
          <w:rFonts w:hint="eastAsia" w:ascii="宋体" w:hAnsi="宋体" w:cs="宋体"/>
          <w:color w:val="auto"/>
          <w:sz w:val="24"/>
        </w:rPr>
        <w:t>元），应包含所有产品的设计费、材料费、运输到指定地点的装运费用（含装卸力资）、制作、安装及调试费、布线、相关辅助材料费、检验费、性能介绍、人员培训费用、货物装卸、运输涉及到的保险、税费等所有费用，即招标物交付使用前的所有费用以及免保期内的服务费用等包含响应招标文件采购要求的所有费用。</w:t>
      </w:r>
    </w:p>
    <w:p w14:paraId="593D3F04">
      <w:pPr>
        <w:spacing w:line="500" w:lineRule="exact"/>
        <w:ind w:firstLine="487" w:firstLineChars="202"/>
        <w:rPr>
          <w:rFonts w:ascii="宋体" w:hAnsi="宋体" w:cs="宋体"/>
          <w:b/>
          <w:bCs/>
          <w:color w:val="auto"/>
          <w:sz w:val="24"/>
        </w:rPr>
      </w:pPr>
      <w:r>
        <w:rPr>
          <w:rFonts w:hint="eastAsia" w:ascii="宋体" w:hAnsi="宋体" w:cs="宋体"/>
          <w:b/>
          <w:bCs/>
          <w:color w:val="auto"/>
          <w:sz w:val="24"/>
        </w:rPr>
        <w:t>2.2付款方式</w:t>
      </w:r>
    </w:p>
    <w:p w14:paraId="1DA76116">
      <w:pPr>
        <w:spacing w:line="500" w:lineRule="exact"/>
        <w:ind w:firstLine="484" w:firstLineChars="202"/>
        <w:rPr>
          <w:rFonts w:ascii="宋体" w:hAnsi="宋体" w:cs="宋体"/>
          <w:color w:val="auto"/>
          <w:sz w:val="24"/>
        </w:rPr>
      </w:pPr>
      <w:r>
        <w:rPr>
          <w:rFonts w:hint="eastAsia" w:ascii="宋体" w:hAnsi="宋体" w:cs="宋体"/>
          <w:color w:val="auto"/>
          <w:sz w:val="24"/>
        </w:rPr>
        <w:t>1、合同签订生效后，甲方自收到发票后的</w:t>
      </w:r>
      <w:r>
        <w:rPr>
          <w:rFonts w:ascii="宋体" w:hAnsi="宋体" w:cs="宋体"/>
          <w:color w:val="auto"/>
          <w:sz w:val="24"/>
        </w:rPr>
        <w:t>7</w:t>
      </w:r>
      <w:r>
        <w:rPr>
          <w:rFonts w:hint="eastAsia" w:ascii="宋体" w:hAnsi="宋体" w:cs="宋体"/>
          <w:color w:val="auto"/>
          <w:sz w:val="24"/>
        </w:rPr>
        <w:t>个工作日内支付合同总价款的</w:t>
      </w:r>
      <w:r>
        <w:rPr>
          <w:rFonts w:ascii="宋体" w:hAnsi="宋体" w:cs="宋体"/>
          <w:color w:val="auto"/>
          <w:sz w:val="24"/>
        </w:rPr>
        <w:t>5</w:t>
      </w:r>
      <w:r>
        <w:rPr>
          <w:rFonts w:hint="eastAsia" w:ascii="宋体" w:hAnsi="宋体" w:cs="宋体"/>
          <w:color w:val="auto"/>
          <w:sz w:val="24"/>
        </w:rPr>
        <w:t>0%作为项目采购实施的预付款；</w:t>
      </w:r>
    </w:p>
    <w:p w14:paraId="39443A4C">
      <w:pPr>
        <w:spacing w:line="500" w:lineRule="exact"/>
        <w:ind w:firstLine="484" w:firstLineChars="202"/>
        <w:rPr>
          <w:rFonts w:ascii="宋体" w:hAnsi="宋体" w:cs="宋体"/>
          <w:color w:val="auto"/>
          <w:sz w:val="24"/>
        </w:rPr>
      </w:pPr>
      <w:r>
        <w:rPr>
          <w:rFonts w:hint="eastAsia" w:ascii="宋体" w:hAnsi="宋体" w:cs="宋体"/>
          <w:color w:val="auto"/>
          <w:sz w:val="24"/>
        </w:rPr>
        <w:t>2、项目安装、调试完成并经初步验收合格后（采购人验收报告出具之日。），甲方自收到发票后的</w:t>
      </w:r>
      <w:r>
        <w:rPr>
          <w:rFonts w:ascii="宋体" w:hAnsi="宋体" w:cs="宋体"/>
          <w:color w:val="auto"/>
          <w:sz w:val="24"/>
        </w:rPr>
        <w:t>7</w:t>
      </w:r>
      <w:r>
        <w:rPr>
          <w:rFonts w:hint="eastAsia" w:ascii="宋体" w:hAnsi="宋体" w:cs="宋体"/>
          <w:color w:val="auto"/>
          <w:sz w:val="24"/>
        </w:rPr>
        <w:t>个工作日内，支付至合同总价的</w:t>
      </w:r>
      <w:r>
        <w:rPr>
          <w:rFonts w:ascii="宋体" w:hAnsi="宋体" w:cs="宋体"/>
          <w:color w:val="auto"/>
          <w:sz w:val="24"/>
        </w:rPr>
        <w:t>70</w:t>
      </w:r>
      <w:r>
        <w:rPr>
          <w:rFonts w:hint="eastAsia" w:ascii="宋体" w:hAnsi="宋体" w:cs="宋体"/>
          <w:color w:val="auto"/>
          <w:sz w:val="24"/>
        </w:rPr>
        <w:t>％；</w:t>
      </w:r>
    </w:p>
    <w:p w14:paraId="2395323F">
      <w:pPr>
        <w:spacing w:line="500" w:lineRule="exact"/>
        <w:ind w:firstLine="484" w:firstLineChars="202"/>
        <w:rPr>
          <w:rFonts w:ascii="宋体" w:hAnsi="宋体" w:cs="宋体"/>
          <w:color w:val="auto"/>
          <w:sz w:val="24"/>
        </w:rPr>
      </w:pPr>
      <w:r>
        <w:rPr>
          <w:rFonts w:hint="eastAsia" w:ascii="宋体" w:hAnsi="宋体" w:cs="宋体"/>
          <w:color w:val="auto"/>
          <w:sz w:val="24"/>
        </w:rPr>
        <w:t>3、项目最终验收合格且审计后（采购人验收报告出具之日），甲方自收到发票后的</w:t>
      </w:r>
      <w:r>
        <w:rPr>
          <w:rFonts w:ascii="宋体" w:hAnsi="宋体" w:cs="宋体"/>
          <w:color w:val="auto"/>
          <w:sz w:val="24"/>
        </w:rPr>
        <w:t>7</w:t>
      </w:r>
      <w:r>
        <w:rPr>
          <w:rFonts w:hint="eastAsia" w:ascii="宋体" w:hAnsi="宋体" w:cs="宋体"/>
          <w:color w:val="auto"/>
          <w:sz w:val="24"/>
        </w:rPr>
        <w:t>个工作日内，支付至审定价的97％；质保满一年后支付至审定价的9</w:t>
      </w:r>
      <w:r>
        <w:rPr>
          <w:rFonts w:ascii="宋体" w:hAnsi="宋体" w:cs="宋体"/>
          <w:color w:val="auto"/>
          <w:sz w:val="24"/>
        </w:rPr>
        <w:t>8</w:t>
      </w:r>
      <w:r>
        <w:rPr>
          <w:rFonts w:hint="eastAsia" w:ascii="宋体" w:hAnsi="宋体" w:cs="宋体"/>
          <w:color w:val="auto"/>
          <w:sz w:val="24"/>
        </w:rPr>
        <w:t>%，质保满二年时，投标人提供持续保障第三年售后和运维的承诺函以及发票后付清余款，甲方自收到发票后的15日内支付款项。</w:t>
      </w:r>
    </w:p>
    <w:p w14:paraId="249AA044">
      <w:pPr>
        <w:snapToGrid w:val="0"/>
        <w:spacing w:line="500" w:lineRule="exact"/>
        <w:ind w:firstLine="573"/>
        <w:rPr>
          <w:rFonts w:ascii="宋体" w:hAnsi="宋体" w:cs="宋体"/>
          <w:color w:val="auto"/>
          <w:sz w:val="24"/>
        </w:rPr>
      </w:pPr>
      <w:r>
        <w:rPr>
          <w:rFonts w:hint="eastAsia" w:ascii="宋体" w:hAnsi="宋体" w:cs="宋体"/>
          <w:color w:val="auto"/>
          <w:sz w:val="24"/>
        </w:rPr>
        <w:t>三、履约保证金</w:t>
      </w:r>
    </w:p>
    <w:p w14:paraId="5B031410">
      <w:pPr>
        <w:spacing w:line="480" w:lineRule="exact"/>
        <w:ind w:firstLine="480" w:firstLineChars="200"/>
        <w:rPr>
          <w:rFonts w:ascii="宋体" w:hAnsi="宋体" w:cs="宋体"/>
          <w:color w:val="auto"/>
          <w:sz w:val="24"/>
        </w:rPr>
      </w:pPr>
      <w:r>
        <w:rPr>
          <w:rFonts w:hint="eastAsia" w:ascii="宋体" w:hAnsi="宋体" w:cs="宋体"/>
          <w:color w:val="auto"/>
          <w:sz w:val="24"/>
        </w:rPr>
        <w:t>1.履约保证金，本项目不涉及。</w:t>
      </w:r>
    </w:p>
    <w:p w14:paraId="0E6B947C">
      <w:pPr>
        <w:snapToGrid w:val="0"/>
        <w:spacing w:line="500" w:lineRule="exact"/>
        <w:ind w:firstLine="573"/>
        <w:rPr>
          <w:rFonts w:ascii="宋体" w:hAnsi="宋体" w:cs="宋体"/>
          <w:color w:val="auto"/>
          <w:sz w:val="24"/>
        </w:rPr>
      </w:pPr>
      <w:r>
        <w:rPr>
          <w:rFonts w:hint="eastAsia" w:ascii="宋体" w:hAnsi="宋体" w:cs="宋体"/>
          <w:color w:val="auto"/>
          <w:sz w:val="24"/>
        </w:rPr>
        <w:t>四、质量保证</w:t>
      </w:r>
    </w:p>
    <w:p w14:paraId="502C03C1">
      <w:pPr>
        <w:snapToGrid w:val="0"/>
        <w:spacing w:line="500" w:lineRule="exact"/>
        <w:ind w:firstLine="573"/>
        <w:rPr>
          <w:rFonts w:ascii="宋体" w:hAnsi="宋体" w:cs="宋体"/>
          <w:color w:val="auto"/>
          <w:sz w:val="24"/>
        </w:rPr>
      </w:pPr>
      <w:r>
        <w:rPr>
          <w:rFonts w:hint="eastAsia" w:ascii="宋体" w:hAnsi="宋体" w:cs="宋体"/>
          <w:color w:val="auto"/>
          <w:sz w:val="24"/>
        </w:rPr>
        <w:t>4.1供应商应保证货物是全新、未使用过的原厂合格产品，并完全符合招标文件及本合同规定的质量、规格和性能的要求。</w:t>
      </w:r>
    </w:p>
    <w:p w14:paraId="4398F17C">
      <w:pPr>
        <w:snapToGrid w:val="0"/>
        <w:spacing w:line="500" w:lineRule="exact"/>
        <w:ind w:firstLine="573"/>
        <w:rPr>
          <w:rFonts w:ascii="宋体" w:hAnsi="宋体" w:cs="宋体"/>
          <w:color w:val="auto"/>
          <w:sz w:val="24"/>
        </w:rPr>
      </w:pPr>
      <w:r>
        <w:rPr>
          <w:rFonts w:hint="eastAsia" w:ascii="宋体" w:hAnsi="宋体" w:cs="宋体"/>
          <w:color w:val="auto"/>
          <w:sz w:val="24"/>
        </w:rPr>
        <w:t>4.2中标产品的技术标准按国家标准执行，无国家标准的，按行业标准执行，无国家和行业标准的，按企业标准执行；但在招标文件中有特别要求的，按招标文件中规定的要求执行，并且符合相关法律、法规规定的要求。</w:t>
      </w:r>
    </w:p>
    <w:p w14:paraId="5D74EAE0">
      <w:pPr>
        <w:snapToGrid w:val="0"/>
        <w:spacing w:line="500" w:lineRule="exact"/>
        <w:ind w:firstLine="573"/>
        <w:rPr>
          <w:rFonts w:ascii="宋体" w:hAnsi="宋体" w:cs="宋体"/>
          <w:color w:val="auto"/>
          <w:sz w:val="24"/>
        </w:rPr>
      </w:pPr>
      <w:r>
        <w:rPr>
          <w:rFonts w:hint="eastAsia" w:ascii="宋体" w:hAnsi="宋体" w:cs="宋体"/>
          <w:color w:val="auto"/>
          <w:sz w:val="24"/>
        </w:rPr>
        <w:t>4.3产品的包装，国家或行业主管部门有规定的，按规定执行，交货时，外包装应完整无破损。</w:t>
      </w:r>
    </w:p>
    <w:p w14:paraId="6963827E">
      <w:pPr>
        <w:snapToGrid w:val="0"/>
        <w:spacing w:line="500" w:lineRule="exact"/>
        <w:ind w:firstLine="573"/>
        <w:rPr>
          <w:rFonts w:ascii="宋体" w:hAnsi="宋体" w:cs="宋体"/>
          <w:color w:val="auto"/>
          <w:sz w:val="24"/>
        </w:rPr>
      </w:pPr>
      <w:r>
        <w:rPr>
          <w:rFonts w:hint="eastAsia" w:ascii="宋体" w:hAnsi="宋体" w:cs="宋体"/>
          <w:color w:val="auto"/>
          <w:sz w:val="24"/>
        </w:rPr>
        <w:t>4.4供应商应保证提供的产品不得侵犯第三方专利权、商标权和设计权、版权等。否则，供应商应负全部责任，并承担由此引起的一切后果。</w:t>
      </w:r>
    </w:p>
    <w:p w14:paraId="299203ED">
      <w:pPr>
        <w:snapToGrid w:val="0"/>
        <w:spacing w:line="500" w:lineRule="exact"/>
        <w:ind w:firstLine="573"/>
        <w:rPr>
          <w:rFonts w:ascii="宋体" w:hAnsi="宋体" w:cs="宋体"/>
          <w:color w:val="auto"/>
          <w:sz w:val="24"/>
        </w:rPr>
      </w:pPr>
      <w:r>
        <w:rPr>
          <w:rFonts w:hint="eastAsia" w:ascii="宋体" w:hAnsi="宋体" w:cs="宋体"/>
          <w:color w:val="auto"/>
          <w:sz w:val="24"/>
        </w:rPr>
        <w:t>4.5供应商应保证其货物在正确安装、正常使用下，在其使用寿命期内应具有满意的性能。</w:t>
      </w:r>
    </w:p>
    <w:p w14:paraId="61AD6101">
      <w:pPr>
        <w:snapToGrid w:val="0"/>
        <w:spacing w:line="500" w:lineRule="exact"/>
        <w:ind w:firstLine="573"/>
        <w:rPr>
          <w:rFonts w:ascii="宋体" w:hAnsi="宋体" w:cs="宋体"/>
          <w:color w:val="auto"/>
          <w:sz w:val="24"/>
        </w:rPr>
      </w:pPr>
      <w:r>
        <w:rPr>
          <w:rFonts w:hint="eastAsia" w:ascii="宋体" w:hAnsi="宋体" w:cs="宋体"/>
          <w:color w:val="auto"/>
          <w:sz w:val="24"/>
        </w:rPr>
        <w:t>4.6供应商应采取必要的安全措施保证货物的运输及安装的安全，并承担货物的运输及安装过程中产生的风险。</w:t>
      </w:r>
    </w:p>
    <w:p w14:paraId="536F4F42">
      <w:pPr>
        <w:snapToGrid w:val="0"/>
        <w:spacing w:line="500" w:lineRule="exact"/>
        <w:ind w:firstLine="573"/>
        <w:rPr>
          <w:rFonts w:ascii="宋体" w:hAnsi="宋体" w:cs="宋体"/>
          <w:color w:val="auto"/>
          <w:sz w:val="24"/>
        </w:rPr>
      </w:pPr>
      <w:r>
        <w:rPr>
          <w:rFonts w:hint="eastAsia" w:ascii="宋体" w:hAnsi="宋体" w:cs="宋体"/>
          <w:color w:val="auto"/>
          <w:sz w:val="24"/>
        </w:rPr>
        <w:t>4.7本次项目涉及到产品安装的综合布线，强电电缆统一品牌、弱电网线统一品牌，不得各品牌参差混杂使用。</w:t>
      </w:r>
    </w:p>
    <w:p w14:paraId="70408664">
      <w:pPr>
        <w:snapToGrid w:val="0"/>
        <w:spacing w:line="500" w:lineRule="exact"/>
        <w:ind w:firstLine="573"/>
        <w:rPr>
          <w:rFonts w:ascii="宋体" w:hAnsi="宋体" w:cs="宋体"/>
          <w:color w:val="auto"/>
          <w:sz w:val="24"/>
        </w:rPr>
      </w:pPr>
      <w:r>
        <w:rPr>
          <w:rFonts w:hint="eastAsia" w:ascii="宋体" w:hAnsi="宋体" w:cs="宋体"/>
          <w:color w:val="auto"/>
          <w:sz w:val="24"/>
        </w:rPr>
        <w:t>4.8供应商必须保证所提供的产品符合国家相应质量要求。</w:t>
      </w:r>
    </w:p>
    <w:p w14:paraId="7670AE59">
      <w:pPr>
        <w:snapToGrid w:val="0"/>
        <w:spacing w:line="500" w:lineRule="exact"/>
        <w:ind w:firstLine="573"/>
        <w:rPr>
          <w:rFonts w:ascii="宋体" w:hAnsi="宋体" w:cs="宋体"/>
          <w:color w:val="auto"/>
          <w:sz w:val="24"/>
        </w:rPr>
      </w:pPr>
      <w:r>
        <w:rPr>
          <w:rFonts w:hint="eastAsia" w:ascii="宋体" w:hAnsi="宋体" w:cs="宋体"/>
          <w:color w:val="auto"/>
          <w:sz w:val="24"/>
        </w:rPr>
        <w:t>4.9</w:t>
      </w:r>
      <w:r>
        <w:rPr>
          <w:rFonts w:hint="eastAsia" w:ascii="宋体" w:hAnsi="宋体" w:cs="宋体"/>
          <w:bCs/>
          <w:color w:val="auto"/>
          <w:sz w:val="24"/>
        </w:rPr>
        <w:t>★</w:t>
      </w:r>
      <w:r>
        <w:rPr>
          <w:rFonts w:hint="eastAsia" w:ascii="宋体" w:hAnsi="宋体" w:cs="宋体"/>
          <w:color w:val="auto"/>
          <w:sz w:val="24"/>
        </w:rPr>
        <w:t>质保期限须满足3年（即 36个月）。质保期限自项目整体通过专项验收之日起开始计算，质保期内免费提供项目整体的货物维护和维修，包括非人为因素发生的货物修理、更换的费用。</w:t>
      </w:r>
    </w:p>
    <w:p w14:paraId="5BDD8EA2">
      <w:pPr>
        <w:snapToGrid w:val="0"/>
        <w:spacing w:line="500" w:lineRule="exact"/>
        <w:ind w:firstLine="573"/>
        <w:rPr>
          <w:rFonts w:ascii="宋体" w:hAnsi="宋体" w:cs="宋体"/>
          <w:color w:val="auto"/>
          <w:sz w:val="24"/>
        </w:rPr>
      </w:pPr>
      <w:r>
        <w:rPr>
          <w:rFonts w:hint="eastAsia" w:ascii="宋体" w:hAnsi="宋体" w:cs="宋体"/>
          <w:color w:val="auto"/>
          <w:sz w:val="24"/>
        </w:rPr>
        <w:t>五、包装</w:t>
      </w:r>
    </w:p>
    <w:p w14:paraId="5DB5B1E5">
      <w:pPr>
        <w:snapToGrid w:val="0"/>
        <w:spacing w:line="500" w:lineRule="exact"/>
        <w:ind w:firstLine="573"/>
        <w:rPr>
          <w:rFonts w:ascii="宋体" w:hAnsi="宋体" w:cs="宋体"/>
          <w:color w:val="auto"/>
          <w:sz w:val="24"/>
        </w:rPr>
      </w:pPr>
      <w:r>
        <w:rPr>
          <w:rFonts w:hint="eastAsia" w:ascii="宋体" w:hAnsi="宋体" w:cs="宋体"/>
          <w:color w:val="auto"/>
          <w:sz w:val="24"/>
        </w:rPr>
        <w:t>乙方提供的设备必须为原包装，在送交甲方验收前不得拆箱。</w:t>
      </w:r>
    </w:p>
    <w:p w14:paraId="1E767E40">
      <w:pPr>
        <w:snapToGrid w:val="0"/>
        <w:spacing w:line="500" w:lineRule="exact"/>
        <w:ind w:firstLine="573"/>
        <w:rPr>
          <w:rFonts w:ascii="宋体" w:hAnsi="宋体" w:cs="宋体"/>
          <w:color w:val="auto"/>
          <w:sz w:val="24"/>
        </w:rPr>
      </w:pPr>
      <w:r>
        <w:rPr>
          <w:rFonts w:hint="eastAsia" w:ascii="宋体" w:hAnsi="宋体" w:cs="宋体"/>
          <w:color w:val="auto"/>
          <w:sz w:val="24"/>
        </w:rPr>
        <w:t>六、标的物的交付</w:t>
      </w:r>
    </w:p>
    <w:p w14:paraId="42D631D8">
      <w:pPr>
        <w:snapToGrid w:val="0"/>
        <w:spacing w:line="500" w:lineRule="exact"/>
        <w:ind w:firstLine="573"/>
        <w:rPr>
          <w:rFonts w:ascii="宋体" w:hAnsi="宋体" w:cs="宋体"/>
          <w:color w:val="auto"/>
          <w:sz w:val="24"/>
        </w:rPr>
      </w:pPr>
      <w:r>
        <w:rPr>
          <w:rFonts w:hint="eastAsia" w:ascii="宋体" w:hAnsi="宋体" w:cs="宋体"/>
          <w:color w:val="auto"/>
          <w:sz w:val="24"/>
        </w:rPr>
        <w:t>6.1 标的物的所有权自标的物交付时转移。</w:t>
      </w:r>
    </w:p>
    <w:p w14:paraId="2E430815">
      <w:pPr>
        <w:snapToGrid w:val="0"/>
        <w:spacing w:line="500" w:lineRule="exact"/>
        <w:ind w:firstLine="573"/>
        <w:rPr>
          <w:rFonts w:ascii="宋体" w:hAnsi="宋体" w:cs="宋体"/>
          <w:color w:val="auto"/>
          <w:sz w:val="24"/>
        </w:rPr>
      </w:pPr>
      <w:r>
        <w:rPr>
          <w:rFonts w:hint="eastAsia" w:ascii="宋体" w:hAnsi="宋体" w:cs="宋体"/>
          <w:color w:val="auto"/>
          <w:sz w:val="24"/>
        </w:rPr>
        <w:t>6.2 乙方应当按照约定的期限和约定的地点交付标的物。</w:t>
      </w:r>
    </w:p>
    <w:p w14:paraId="5C99D496">
      <w:pPr>
        <w:snapToGrid w:val="0"/>
        <w:spacing w:line="500" w:lineRule="exact"/>
        <w:ind w:firstLine="573"/>
        <w:rPr>
          <w:rFonts w:ascii="宋体" w:hAnsi="宋体" w:cs="宋体"/>
          <w:color w:val="auto"/>
          <w:sz w:val="24"/>
        </w:rPr>
      </w:pPr>
      <w:r>
        <w:rPr>
          <w:rFonts w:hint="eastAsia" w:ascii="宋体" w:hAnsi="宋体" w:cs="宋体"/>
          <w:color w:val="auto"/>
          <w:sz w:val="24"/>
        </w:rPr>
        <w:t>6.3 乙方应当按照约定或者交易习惯向甲方交付提取标的物单证以外的有关单证和资料。</w:t>
      </w:r>
    </w:p>
    <w:p w14:paraId="147D58DC">
      <w:pPr>
        <w:spacing w:line="500" w:lineRule="exact"/>
        <w:ind w:firstLine="484" w:firstLineChars="202"/>
        <w:rPr>
          <w:rFonts w:ascii="宋体" w:hAnsi="宋体" w:cs="宋体"/>
          <w:color w:val="auto"/>
          <w:sz w:val="24"/>
        </w:rPr>
      </w:pPr>
      <w:r>
        <w:rPr>
          <w:rFonts w:hint="eastAsia" w:ascii="宋体" w:hAnsi="宋体" w:cs="宋体"/>
          <w:color w:val="auto"/>
          <w:sz w:val="24"/>
        </w:rPr>
        <w:t>6.4</w:t>
      </w:r>
      <w:r>
        <w:rPr>
          <w:rFonts w:hint="eastAsia" w:ascii="宋体" w:hAnsi="宋体" w:cs="宋体"/>
          <w:bCs/>
          <w:color w:val="auto"/>
          <w:sz w:val="24"/>
        </w:rPr>
        <w:t>产品设备交货、安装调试服务</w:t>
      </w:r>
    </w:p>
    <w:p w14:paraId="27C6A5A6">
      <w:pPr>
        <w:spacing w:line="500" w:lineRule="exact"/>
        <w:ind w:firstLine="484" w:firstLineChars="202"/>
        <w:rPr>
          <w:rFonts w:ascii="宋体" w:hAnsi="宋体" w:cs="宋体"/>
          <w:bCs/>
          <w:color w:val="auto"/>
          <w:sz w:val="24"/>
        </w:rPr>
      </w:pPr>
      <w:r>
        <w:rPr>
          <w:rFonts w:hint="eastAsia" w:ascii="宋体" w:hAnsi="宋体" w:cs="宋体"/>
          <w:bCs/>
          <w:color w:val="auto"/>
          <w:sz w:val="24"/>
        </w:rPr>
        <w:t xml:space="preserve">6.4.1产品设备交付： </w:t>
      </w:r>
    </w:p>
    <w:p w14:paraId="0ACD8DDA">
      <w:pPr>
        <w:spacing w:line="500" w:lineRule="exact"/>
        <w:ind w:firstLine="484" w:firstLineChars="202"/>
        <w:rPr>
          <w:rFonts w:ascii="宋体" w:hAnsi="宋体" w:cs="宋体"/>
          <w:color w:val="auto"/>
          <w:sz w:val="24"/>
        </w:rPr>
      </w:pPr>
      <w:r>
        <w:rPr>
          <w:rFonts w:hint="eastAsia" w:ascii="宋体" w:hAnsi="宋体" w:cs="宋体"/>
          <w:color w:val="auto"/>
          <w:sz w:val="24"/>
        </w:rPr>
        <w:t>① 交货地点：      。</w:t>
      </w:r>
    </w:p>
    <w:p w14:paraId="0AC78EAF">
      <w:pPr>
        <w:spacing w:line="500" w:lineRule="exact"/>
        <w:ind w:firstLine="484" w:firstLineChars="202"/>
        <w:rPr>
          <w:rFonts w:ascii="宋体" w:hAnsi="宋体" w:cs="宋体"/>
          <w:bCs/>
          <w:color w:val="auto"/>
          <w:sz w:val="24"/>
        </w:rPr>
      </w:pPr>
      <w:r>
        <w:rPr>
          <w:rFonts w:hint="eastAsia" w:ascii="宋体" w:hAnsi="宋体" w:cs="宋体"/>
          <w:bCs/>
          <w:color w:val="auto"/>
          <w:sz w:val="24"/>
        </w:rPr>
        <w:t>② 货物装卸、运输涉及到的保险，其费用包含在合同总价中。</w:t>
      </w:r>
    </w:p>
    <w:p w14:paraId="24B982AD">
      <w:pPr>
        <w:spacing w:line="500" w:lineRule="exact"/>
        <w:ind w:firstLine="484" w:firstLineChars="202"/>
        <w:rPr>
          <w:rFonts w:ascii="宋体" w:hAnsi="宋体" w:cs="宋体"/>
          <w:bCs/>
          <w:color w:val="auto"/>
          <w:sz w:val="24"/>
        </w:rPr>
      </w:pPr>
      <w:r>
        <w:rPr>
          <w:rFonts w:hint="eastAsia" w:ascii="宋体" w:hAnsi="宋体" w:cs="宋体"/>
          <w:bCs/>
          <w:color w:val="auto"/>
          <w:sz w:val="24"/>
        </w:rPr>
        <w:t>③供应商应根据采购单位的要求，在指定地点，根据项目要求进行货物的安装和调试。</w:t>
      </w:r>
    </w:p>
    <w:p w14:paraId="7BD6FC0A">
      <w:pPr>
        <w:spacing w:line="500" w:lineRule="exact"/>
        <w:ind w:firstLine="484" w:firstLineChars="202"/>
        <w:rPr>
          <w:rFonts w:ascii="宋体" w:hAnsi="宋体" w:cs="宋体"/>
          <w:color w:val="auto"/>
          <w:sz w:val="24"/>
        </w:rPr>
      </w:pPr>
      <w:r>
        <w:rPr>
          <w:rFonts w:hint="eastAsia" w:ascii="宋体" w:hAnsi="宋体" w:cs="宋体"/>
          <w:bCs/>
          <w:color w:val="auto"/>
          <w:sz w:val="24"/>
        </w:rPr>
        <w:t>6.4.2合同履行期限：</w:t>
      </w:r>
      <w:r>
        <w:rPr>
          <w:rFonts w:hint="eastAsia" w:ascii="宋体" w:hAnsi="宋体" w:cs="宋体"/>
          <w:color w:val="auto"/>
          <w:sz w:val="24"/>
        </w:rPr>
        <w:t>合同签订生效后100日历天完成安装、调试和验收。</w:t>
      </w:r>
    </w:p>
    <w:p w14:paraId="018FF9A2">
      <w:pPr>
        <w:spacing w:line="500" w:lineRule="exact"/>
        <w:ind w:firstLine="484" w:firstLineChars="202"/>
        <w:rPr>
          <w:rFonts w:ascii="宋体" w:hAnsi="宋体" w:cs="宋体"/>
          <w:bCs/>
          <w:color w:val="auto"/>
          <w:sz w:val="24"/>
        </w:rPr>
      </w:pPr>
      <w:r>
        <w:rPr>
          <w:rFonts w:hint="eastAsia" w:ascii="宋体" w:hAnsi="宋体" w:cs="宋体"/>
          <w:bCs/>
          <w:color w:val="auto"/>
          <w:sz w:val="24"/>
        </w:rPr>
        <w:t>6.4.3中标人发货到采购人指定地点前应先告知采购人。</w:t>
      </w:r>
    </w:p>
    <w:p w14:paraId="0B6861D8">
      <w:pPr>
        <w:spacing w:line="500" w:lineRule="exact"/>
        <w:ind w:firstLine="484" w:firstLineChars="202"/>
        <w:rPr>
          <w:rFonts w:ascii="宋体" w:hAnsi="宋体" w:cs="宋体"/>
          <w:bCs/>
          <w:color w:val="auto"/>
          <w:sz w:val="24"/>
        </w:rPr>
      </w:pPr>
      <w:r>
        <w:rPr>
          <w:rFonts w:hint="eastAsia" w:ascii="宋体" w:hAnsi="宋体" w:cs="宋体"/>
          <w:bCs/>
          <w:color w:val="auto"/>
          <w:sz w:val="24"/>
        </w:rPr>
        <w:t>6.4.4全部货物的外包装必须采用防漏、防潮、防震、防锈、防盗和考虑到可能会发生的野蛮装卸等长途运输及多次装卸之需要。如因供方包装不当以及其它原因造成损坏或丢失，应由供方负一切责任。</w:t>
      </w:r>
    </w:p>
    <w:p w14:paraId="3E7E5278">
      <w:pPr>
        <w:snapToGrid w:val="0"/>
        <w:spacing w:line="500" w:lineRule="exact"/>
        <w:ind w:firstLine="573"/>
        <w:rPr>
          <w:rFonts w:ascii="宋体" w:hAnsi="宋体" w:cs="宋体"/>
          <w:color w:val="auto"/>
          <w:sz w:val="24"/>
        </w:rPr>
      </w:pPr>
      <w:r>
        <w:rPr>
          <w:rFonts w:hint="eastAsia" w:ascii="宋体" w:hAnsi="宋体" w:cs="宋体"/>
          <w:color w:val="auto"/>
          <w:sz w:val="24"/>
        </w:rPr>
        <w:t>七、伴随服务</w:t>
      </w:r>
    </w:p>
    <w:p w14:paraId="0F2E9103">
      <w:pPr>
        <w:snapToGrid w:val="0"/>
        <w:spacing w:line="500" w:lineRule="exact"/>
        <w:ind w:firstLine="573"/>
        <w:rPr>
          <w:rFonts w:ascii="宋体" w:hAnsi="宋体" w:cs="宋体"/>
          <w:color w:val="auto"/>
          <w:sz w:val="24"/>
        </w:rPr>
      </w:pPr>
      <w:r>
        <w:rPr>
          <w:rFonts w:hint="eastAsia" w:ascii="宋体" w:hAnsi="宋体" w:cs="宋体"/>
          <w:color w:val="auto"/>
          <w:sz w:val="24"/>
        </w:rPr>
        <w:t>7.1 乙方除应履行按期按量交付合格标的物的义务外，还应当提供下列服务：</w:t>
      </w:r>
    </w:p>
    <w:p w14:paraId="087DDFEF">
      <w:pPr>
        <w:snapToGrid w:val="0"/>
        <w:spacing w:line="500" w:lineRule="exact"/>
        <w:ind w:firstLine="573"/>
        <w:rPr>
          <w:rFonts w:ascii="宋体" w:hAnsi="宋体" w:cs="宋体"/>
          <w:color w:val="auto"/>
          <w:sz w:val="24"/>
        </w:rPr>
      </w:pPr>
      <w:r>
        <w:rPr>
          <w:rFonts w:hint="eastAsia" w:ascii="宋体" w:hAnsi="宋体" w:cs="宋体"/>
          <w:color w:val="auto"/>
          <w:sz w:val="24"/>
        </w:rPr>
        <w:t>7.1.1 标的物的现场安装、启动、调试、监督（如果必须安装、调试的话）；</w:t>
      </w:r>
    </w:p>
    <w:p w14:paraId="60047E02">
      <w:pPr>
        <w:snapToGrid w:val="0"/>
        <w:spacing w:line="500" w:lineRule="exact"/>
        <w:ind w:firstLine="573"/>
        <w:rPr>
          <w:rFonts w:ascii="宋体" w:hAnsi="宋体" w:cs="宋体"/>
          <w:color w:val="auto"/>
          <w:sz w:val="24"/>
        </w:rPr>
      </w:pPr>
      <w:r>
        <w:rPr>
          <w:rFonts w:hint="eastAsia" w:ascii="宋体" w:hAnsi="宋体" w:cs="宋体"/>
          <w:color w:val="auto"/>
          <w:sz w:val="24"/>
        </w:rPr>
        <w:t>7.1.2 提供标的物组装和一般维修所必需的工具；</w:t>
      </w:r>
    </w:p>
    <w:p w14:paraId="2762F6AF">
      <w:pPr>
        <w:snapToGrid w:val="0"/>
        <w:spacing w:line="500" w:lineRule="exact"/>
        <w:ind w:firstLine="573"/>
        <w:rPr>
          <w:rFonts w:ascii="宋体" w:hAnsi="宋体" w:cs="宋体"/>
          <w:color w:val="auto"/>
          <w:sz w:val="24"/>
        </w:rPr>
      </w:pPr>
      <w:r>
        <w:rPr>
          <w:rFonts w:hint="eastAsia" w:ascii="宋体" w:hAnsi="宋体" w:cs="宋体"/>
          <w:color w:val="auto"/>
          <w:sz w:val="24"/>
        </w:rPr>
        <w:t>7.1.3 在合同规定的期限内对所提供的标的物实行运行监督、维修服务的前提条件是该服务并不能免除乙方在质量保证期内所承担的义务；</w:t>
      </w:r>
    </w:p>
    <w:p w14:paraId="1A9E56E4">
      <w:pPr>
        <w:snapToGrid w:val="0"/>
        <w:spacing w:line="500" w:lineRule="exact"/>
        <w:ind w:firstLine="573"/>
        <w:rPr>
          <w:rFonts w:ascii="宋体" w:hAnsi="宋体" w:cs="宋体"/>
          <w:color w:val="auto"/>
          <w:sz w:val="24"/>
        </w:rPr>
      </w:pPr>
      <w:r>
        <w:rPr>
          <w:rFonts w:hint="eastAsia" w:ascii="宋体" w:hAnsi="宋体" w:cs="宋体"/>
          <w:color w:val="auto"/>
          <w:sz w:val="24"/>
        </w:rPr>
        <w:t>7.1.4 对甲方技术人员的技术指导或培训。</w:t>
      </w:r>
    </w:p>
    <w:p w14:paraId="47782EF6">
      <w:pPr>
        <w:snapToGrid w:val="0"/>
        <w:spacing w:line="500" w:lineRule="exact"/>
        <w:ind w:firstLine="573"/>
        <w:rPr>
          <w:rFonts w:ascii="宋体" w:hAnsi="宋体" w:cs="宋体"/>
          <w:color w:val="auto"/>
          <w:sz w:val="24"/>
        </w:rPr>
      </w:pPr>
      <w:r>
        <w:rPr>
          <w:rFonts w:hint="eastAsia" w:ascii="宋体" w:hAnsi="宋体" w:cs="宋体"/>
          <w:color w:val="auto"/>
          <w:sz w:val="24"/>
        </w:rPr>
        <w:t>7.2 除合同另有规定之外，伴随服务的费用均已含在合同价款中，甲方不再另行支付。</w:t>
      </w:r>
    </w:p>
    <w:p w14:paraId="68AE6DCE">
      <w:pPr>
        <w:snapToGrid w:val="0"/>
        <w:spacing w:line="500" w:lineRule="exact"/>
        <w:ind w:firstLine="573"/>
        <w:rPr>
          <w:rFonts w:ascii="宋体" w:hAnsi="宋体" w:cs="宋体"/>
          <w:color w:val="auto"/>
          <w:sz w:val="24"/>
        </w:rPr>
      </w:pPr>
      <w:r>
        <w:rPr>
          <w:rFonts w:hint="eastAsia" w:ascii="宋体" w:hAnsi="宋体" w:cs="宋体"/>
          <w:color w:val="auto"/>
          <w:sz w:val="24"/>
        </w:rPr>
        <w:t>八、标的物的检验和验收</w:t>
      </w:r>
    </w:p>
    <w:p w14:paraId="06B75AE5">
      <w:pPr>
        <w:snapToGrid w:val="0"/>
        <w:spacing w:line="500" w:lineRule="exact"/>
        <w:ind w:firstLine="573"/>
        <w:rPr>
          <w:rFonts w:ascii="宋体" w:hAnsi="宋体" w:cs="宋体"/>
          <w:color w:val="auto"/>
          <w:sz w:val="24"/>
        </w:rPr>
      </w:pPr>
      <w:r>
        <w:rPr>
          <w:rFonts w:hint="eastAsia" w:ascii="宋体" w:hAnsi="宋体" w:cs="宋体"/>
          <w:color w:val="auto"/>
          <w:sz w:val="24"/>
        </w:rPr>
        <w:t>1、项目完成安装调试任务后，不排除采购人对主要产品或部件提交盱眙县市场监督管理局进行检测的可能，供应商须承担因此涉及到的费用。如检测不合格，供应商承担所有产品无条件退回的责任。</w:t>
      </w:r>
    </w:p>
    <w:p w14:paraId="4326BB9D">
      <w:pPr>
        <w:snapToGrid w:val="0"/>
        <w:spacing w:line="500" w:lineRule="exact"/>
        <w:ind w:firstLine="573"/>
        <w:rPr>
          <w:rFonts w:ascii="宋体" w:hAnsi="宋体" w:cs="宋体"/>
          <w:color w:val="auto"/>
          <w:sz w:val="24"/>
        </w:rPr>
      </w:pPr>
      <w:r>
        <w:rPr>
          <w:rFonts w:hint="eastAsia" w:ascii="宋体" w:hAnsi="宋体" w:cs="宋体"/>
          <w:color w:val="auto"/>
          <w:sz w:val="24"/>
        </w:rPr>
        <w:t>2、项目安装调试完成后，采购人原则上在5个工作日内组织有关部门和专业人员根据项目“技术要求”载明的条款，对项目整体进行专项验收，并出具验收报告，该验收报告将作为本项目合同价款支付的依据。</w:t>
      </w:r>
    </w:p>
    <w:p w14:paraId="3FF84742">
      <w:pPr>
        <w:snapToGrid w:val="0"/>
        <w:spacing w:line="500" w:lineRule="exact"/>
        <w:ind w:firstLine="573"/>
        <w:rPr>
          <w:rFonts w:ascii="宋体" w:hAnsi="宋体" w:cs="宋体"/>
          <w:color w:val="auto"/>
          <w:sz w:val="24"/>
        </w:rPr>
      </w:pPr>
      <w:r>
        <w:rPr>
          <w:rFonts w:hint="eastAsia" w:ascii="宋体" w:hAnsi="宋体" w:cs="宋体"/>
          <w:color w:val="auto"/>
          <w:sz w:val="24"/>
        </w:rPr>
        <w:t>3、项目在通过专项验收时，供应商应对其中的产品设备由于设计、工艺或材料的缺陷而发生的任何不足或故障负责，并承担由此引起的一切后果。</w:t>
      </w:r>
    </w:p>
    <w:p w14:paraId="32D284EC">
      <w:pPr>
        <w:snapToGrid w:val="0"/>
        <w:spacing w:line="500" w:lineRule="exact"/>
        <w:ind w:firstLine="573"/>
        <w:rPr>
          <w:rFonts w:ascii="宋体" w:hAnsi="宋体" w:cs="宋体"/>
          <w:color w:val="auto"/>
          <w:sz w:val="24"/>
        </w:rPr>
      </w:pPr>
      <w:r>
        <w:rPr>
          <w:rFonts w:hint="eastAsia" w:ascii="宋体" w:hAnsi="宋体" w:cs="宋体"/>
          <w:color w:val="auto"/>
          <w:sz w:val="24"/>
        </w:rPr>
        <w:t>4、采购人有权拒收未通过专项验收而涉及到的所有货物。</w:t>
      </w:r>
    </w:p>
    <w:p w14:paraId="51421252">
      <w:pPr>
        <w:snapToGrid w:val="0"/>
        <w:spacing w:line="500" w:lineRule="exact"/>
        <w:ind w:firstLine="573"/>
        <w:rPr>
          <w:rFonts w:ascii="宋体" w:hAnsi="宋体" w:cs="宋体"/>
          <w:color w:val="auto"/>
          <w:sz w:val="24"/>
        </w:rPr>
      </w:pPr>
      <w:r>
        <w:rPr>
          <w:rFonts w:hint="eastAsia" w:ascii="宋体" w:hAnsi="宋体" w:cs="宋体"/>
          <w:color w:val="auto"/>
          <w:sz w:val="24"/>
        </w:rPr>
        <w:t>5、项目整体经验收合格的同时，供应商需提供项目货物的质保书、保修证明等书面资料。</w:t>
      </w:r>
    </w:p>
    <w:p w14:paraId="6EC5C3A8">
      <w:pPr>
        <w:snapToGrid w:val="0"/>
        <w:spacing w:line="500" w:lineRule="exact"/>
        <w:ind w:firstLine="573"/>
        <w:rPr>
          <w:rFonts w:ascii="宋体" w:hAnsi="宋体" w:cs="宋体"/>
          <w:color w:val="auto"/>
          <w:sz w:val="24"/>
        </w:rPr>
      </w:pPr>
      <w:r>
        <w:rPr>
          <w:rFonts w:hint="eastAsia" w:ascii="宋体" w:hAnsi="宋体" w:cs="宋体"/>
          <w:color w:val="auto"/>
          <w:sz w:val="24"/>
        </w:rPr>
        <w:t>6、如双方对项目货物的验收结果有分歧，而原因是由货物的质量原因导致，则以盱眙县市场监督管理局对可能有缺陷、故障的货物检测结果为准，检验费由有过失的一方支付。</w:t>
      </w:r>
    </w:p>
    <w:p w14:paraId="33EFE524">
      <w:pPr>
        <w:snapToGrid w:val="0"/>
        <w:spacing w:line="500" w:lineRule="exact"/>
        <w:ind w:firstLine="573"/>
        <w:rPr>
          <w:rFonts w:ascii="宋体" w:hAnsi="宋体" w:cs="宋体"/>
          <w:bCs/>
          <w:color w:val="auto"/>
          <w:sz w:val="24"/>
        </w:rPr>
      </w:pPr>
      <w:r>
        <w:rPr>
          <w:rFonts w:hint="eastAsia" w:ascii="宋体" w:hAnsi="宋体" w:cs="宋体"/>
          <w:color w:val="auto"/>
          <w:sz w:val="24"/>
        </w:rPr>
        <w:t>7、对于专项验收不合格，采购人有权据此认定为是供应商自身的原因而导致该结果，采购人有权单方面解除采购合同。</w:t>
      </w:r>
    </w:p>
    <w:p w14:paraId="15365924">
      <w:pPr>
        <w:snapToGrid w:val="0"/>
        <w:spacing w:line="500" w:lineRule="exact"/>
        <w:ind w:firstLine="573"/>
        <w:rPr>
          <w:rFonts w:ascii="宋体" w:hAnsi="宋体" w:cs="宋体"/>
          <w:color w:val="auto"/>
          <w:sz w:val="24"/>
        </w:rPr>
      </w:pPr>
      <w:r>
        <w:rPr>
          <w:rFonts w:hint="eastAsia" w:ascii="宋体" w:hAnsi="宋体" w:cs="宋体"/>
          <w:color w:val="auto"/>
          <w:sz w:val="24"/>
        </w:rPr>
        <w:t>九、售后服务</w:t>
      </w:r>
    </w:p>
    <w:p w14:paraId="74AD7A60">
      <w:pPr>
        <w:snapToGrid w:val="0"/>
        <w:spacing w:line="500" w:lineRule="exact"/>
        <w:ind w:firstLine="573"/>
        <w:rPr>
          <w:rFonts w:ascii="宋体" w:hAnsi="宋体" w:cs="宋体"/>
          <w:bCs/>
          <w:color w:val="auto"/>
          <w:sz w:val="24"/>
        </w:rPr>
      </w:pPr>
      <w:r>
        <w:rPr>
          <w:rFonts w:hint="eastAsia" w:ascii="宋体" w:hAnsi="宋体" w:cs="宋体"/>
          <w:bCs/>
          <w:color w:val="auto"/>
          <w:sz w:val="24"/>
        </w:rPr>
        <w:t>1.在质保期限内，免费维护维修（含维修的产品整件、零部件、辅配件）及技术支持，质保期限外提供免费维护和技术支持以及有偿的维修只收材料成本费（商检、计量、运输等费用由供应商承担）。</w:t>
      </w:r>
    </w:p>
    <w:p w14:paraId="52CA39B1">
      <w:pPr>
        <w:snapToGrid w:val="0"/>
        <w:spacing w:line="500" w:lineRule="exact"/>
        <w:ind w:firstLine="573"/>
        <w:rPr>
          <w:rFonts w:ascii="宋体" w:hAnsi="宋体" w:cs="宋体"/>
          <w:bCs/>
          <w:color w:val="auto"/>
          <w:sz w:val="24"/>
        </w:rPr>
      </w:pPr>
      <w:r>
        <w:rPr>
          <w:rFonts w:hint="eastAsia" w:ascii="宋体" w:hAnsi="宋体" w:cs="宋体"/>
          <w:bCs/>
          <w:color w:val="auto"/>
          <w:sz w:val="24"/>
        </w:rPr>
        <w:t>2.质保期内应免费提供7x24小时技术支撑服务，项目货物产品发生质量问题时或出现设备故障问题时，1小时内进行电话或即时通信等远程支持方式排查解决；当远程无法解决时，技术人员须2小时内到达现场排除故障，不能排除的需提供恢复系统运行的备品备件，并在</w:t>
      </w:r>
      <w:r>
        <w:rPr>
          <w:rFonts w:ascii="宋体" w:hAnsi="宋体" w:cs="宋体"/>
          <w:bCs/>
          <w:color w:val="auto"/>
          <w:sz w:val="24"/>
        </w:rPr>
        <w:t>48</w:t>
      </w:r>
      <w:r>
        <w:rPr>
          <w:rFonts w:hint="eastAsia" w:ascii="宋体" w:hAnsi="宋体" w:cs="宋体"/>
          <w:bCs/>
          <w:color w:val="auto"/>
          <w:sz w:val="24"/>
        </w:rPr>
        <w:t>小时之内解决故障，恢复运行。</w:t>
      </w:r>
    </w:p>
    <w:p w14:paraId="3985B764">
      <w:pPr>
        <w:snapToGrid w:val="0"/>
        <w:spacing w:line="500" w:lineRule="exact"/>
        <w:ind w:firstLine="573"/>
        <w:rPr>
          <w:rFonts w:ascii="宋体" w:hAnsi="宋体" w:cs="宋体"/>
          <w:bCs/>
          <w:color w:val="auto"/>
          <w:sz w:val="24"/>
        </w:rPr>
      </w:pPr>
      <w:r>
        <w:rPr>
          <w:rFonts w:hint="eastAsia" w:ascii="宋体" w:hAnsi="宋体" w:cs="宋体"/>
          <w:bCs/>
          <w:color w:val="auto"/>
          <w:sz w:val="24"/>
        </w:rPr>
        <w:t>3.质保期间或过质保期后，如设备发生非人为操作原因的重大故障，采购人保留追溯供应商责任的权利。</w:t>
      </w:r>
    </w:p>
    <w:p w14:paraId="59D947CD">
      <w:pPr>
        <w:snapToGrid w:val="0"/>
        <w:spacing w:line="500" w:lineRule="exact"/>
        <w:ind w:firstLine="573"/>
        <w:rPr>
          <w:rFonts w:ascii="宋体" w:hAnsi="宋体" w:cs="宋体"/>
          <w:bCs/>
          <w:color w:val="auto"/>
          <w:sz w:val="24"/>
        </w:rPr>
      </w:pPr>
      <w:r>
        <w:rPr>
          <w:rFonts w:hint="eastAsia" w:ascii="宋体" w:hAnsi="宋体" w:cs="宋体"/>
          <w:bCs/>
          <w:color w:val="auto"/>
          <w:sz w:val="24"/>
        </w:rPr>
        <w:t>4.供应商应提供现场技术培训支持，保证采购人的使用人员正常操作项目货物产品的各种使用功能。</w:t>
      </w:r>
    </w:p>
    <w:p w14:paraId="7FA46075">
      <w:pPr>
        <w:snapToGrid w:val="0"/>
        <w:spacing w:line="500" w:lineRule="exact"/>
        <w:ind w:firstLine="573"/>
        <w:rPr>
          <w:rFonts w:ascii="宋体" w:hAnsi="宋体" w:cs="宋体"/>
          <w:color w:val="auto"/>
          <w:sz w:val="24"/>
        </w:rPr>
      </w:pPr>
      <w:r>
        <w:rPr>
          <w:rFonts w:hint="eastAsia" w:ascii="宋体" w:hAnsi="宋体" w:cs="宋体"/>
          <w:color w:val="auto"/>
          <w:sz w:val="24"/>
        </w:rPr>
        <w:t>十、违约责任</w:t>
      </w:r>
    </w:p>
    <w:p w14:paraId="6015524D">
      <w:pPr>
        <w:snapToGrid w:val="0"/>
        <w:spacing w:line="500" w:lineRule="exact"/>
        <w:ind w:firstLine="573"/>
        <w:rPr>
          <w:rFonts w:ascii="宋体" w:hAnsi="宋体" w:cs="宋体"/>
          <w:color w:val="auto"/>
          <w:sz w:val="24"/>
        </w:rPr>
      </w:pPr>
      <w:r>
        <w:rPr>
          <w:rFonts w:hint="eastAsia" w:ascii="宋体" w:hAnsi="宋体" w:cs="宋体"/>
          <w:color w:val="auto"/>
          <w:sz w:val="24"/>
        </w:rPr>
        <w:t>合同一方不履行合同义务或者履行合同义务不符合约定的，应当承担继续履行、采取补救措施或赔偿损失等违约责任。</w:t>
      </w:r>
    </w:p>
    <w:p w14:paraId="2D034018">
      <w:pPr>
        <w:snapToGrid w:val="0"/>
        <w:spacing w:line="500" w:lineRule="exact"/>
        <w:ind w:firstLine="573"/>
        <w:rPr>
          <w:rFonts w:ascii="宋体" w:hAnsi="宋体" w:cs="宋体"/>
          <w:color w:val="auto"/>
          <w:sz w:val="24"/>
        </w:rPr>
      </w:pPr>
      <w:r>
        <w:rPr>
          <w:rFonts w:hint="eastAsia" w:ascii="宋体" w:hAnsi="宋体" w:cs="宋体"/>
          <w:color w:val="auto"/>
          <w:sz w:val="24"/>
        </w:rPr>
        <w:t>10.1 甲方违约责任</w:t>
      </w:r>
    </w:p>
    <w:p w14:paraId="70BEB6AD">
      <w:pPr>
        <w:snapToGrid w:val="0"/>
        <w:spacing w:line="500" w:lineRule="exact"/>
        <w:ind w:firstLine="573"/>
        <w:rPr>
          <w:rFonts w:ascii="宋体" w:hAnsi="宋体" w:cs="宋体"/>
          <w:color w:val="auto"/>
          <w:sz w:val="24"/>
        </w:rPr>
      </w:pPr>
      <w:r>
        <w:rPr>
          <w:rFonts w:hint="eastAsia" w:ascii="宋体" w:hAnsi="宋体" w:cs="宋体"/>
          <w:color w:val="auto"/>
          <w:sz w:val="24"/>
        </w:rPr>
        <w:t>10.1.1在合同生效后，非乙方原因甲方要求退货的，应向乙方偿付合同总价款的</w:t>
      </w:r>
      <w:r>
        <w:rPr>
          <w:rFonts w:hint="eastAsia" w:ascii="宋体" w:hAnsi="宋体" w:cs="宋体"/>
          <w:color w:val="auto"/>
          <w:sz w:val="24"/>
          <w:u w:val="single"/>
        </w:rPr>
        <w:t xml:space="preserve"> 5 </w:t>
      </w:r>
      <w:r>
        <w:rPr>
          <w:rFonts w:hint="eastAsia" w:ascii="宋体" w:hAnsi="宋体" w:cs="宋体"/>
          <w:color w:val="auto"/>
          <w:sz w:val="24"/>
        </w:rPr>
        <w:t xml:space="preserve">%，作为违约金，违约金不足以补偿损失的，乙方有权要求甲方补足。 </w:t>
      </w:r>
    </w:p>
    <w:p w14:paraId="5F730282">
      <w:pPr>
        <w:snapToGrid w:val="0"/>
        <w:spacing w:line="500" w:lineRule="exact"/>
        <w:ind w:firstLine="573"/>
        <w:rPr>
          <w:rFonts w:ascii="宋体" w:hAnsi="宋体" w:cs="宋体"/>
          <w:color w:val="auto"/>
          <w:sz w:val="24"/>
        </w:rPr>
      </w:pPr>
      <w:r>
        <w:rPr>
          <w:rFonts w:hint="eastAsia" w:ascii="宋体" w:hAnsi="宋体" w:cs="宋体"/>
          <w:color w:val="auto"/>
          <w:sz w:val="24"/>
        </w:rPr>
        <w:t>10.1.2 甲方无故逾期支付货款的应按照逾期付款金额的每天</w:t>
      </w:r>
      <w:r>
        <w:rPr>
          <w:rFonts w:hint="eastAsia" w:ascii="宋体" w:hAnsi="宋体" w:cs="宋体"/>
          <w:color w:val="auto"/>
          <w:sz w:val="24"/>
          <w:u w:val="single"/>
        </w:rPr>
        <w:t xml:space="preserve"> 0.1% </w:t>
      </w:r>
      <w:r>
        <w:rPr>
          <w:rFonts w:hint="eastAsia" w:ascii="宋体" w:hAnsi="宋体" w:cs="宋体"/>
          <w:color w:val="auto"/>
          <w:sz w:val="24"/>
        </w:rPr>
        <w:t>支付逾期付款违约金。</w:t>
      </w:r>
    </w:p>
    <w:p w14:paraId="5A341236">
      <w:pPr>
        <w:snapToGrid w:val="0"/>
        <w:spacing w:line="500" w:lineRule="exact"/>
        <w:ind w:firstLine="573"/>
        <w:rPr>
          <w:rFonts w:ascii="宋体" w:hAnsi="宋体" w:cs="宋体"/>
          <w:color w:val="auto"/>
          <w:sz w:val="24"/>
        </w:rPr>
      </w:pPr>
      <w:r>
        <w:rPr>
          <w:rFonts w:hint="eastAsia" w:ascii="宋体" w:hAnsi="宋体" w:cs="宋体"/>
          <w:color w:val="auto"/>
          <w:sz w:val="24"/>
        </w:rPr>
        <w:t>10.1.3 甲方违反合同规定，拒绝接收乙方交付的合格标的物，应当承担乙方由此造成的损失。</w:t>
      </w:r>
    </w:p>
    <w:p w14:paraId="1AAB8B6B">
      <w:pPr>
        <w:snapToGrid w:val="0"/>
        <w:spacing w:line="500" w:lineRule="exact"/>
        <w:ind w:firstLine="573"/>
        <w:rPr>
          <w:rFonts w:ascii="宋体" w:hAnsi="宋体" w:cs="宋体"/>
          <w:color w:val="auto"/>
          <w:sz w:val="24"/>
        </w:rPr>
      </w:pPr>
      <w:r>
        <w:rPr>
          <w:rFonts w:hint="eastAsia" w:ascii="宋体" w:hAnsi="宋体" w:cs="宋体"/>
          <w:color w:val="auto"/>
          <w:sz w:val="24"/>
        </w:rPr>
        <w:t>10.2 乙方违约责任</w:t>
      </w:r>
    </w:p>
    <w:p w14:paraId="42104DA1">
      <w:pPr>
        <w:snapToGrid w:val="0"/>
        <w:spacing w:line="500" w:lineRule="exact"/>
        <w:ind w:firstLine="573"/>
        <w:rPr>
          <w:rFonts w:ascii="宋体" w:hAnsi="宋体" w:cs="宋体"/>
          <w:color w:val="auto"/>
          <w:sz w:val="24"/>
        </w:rPr>
      </w:pPr>
      <w:r>
        <w:rPr>
          <w:rFonts w:hint="eastAsia" w:ascii="宋体" w:hAnsi="宋体" w:cs="宋体"/>
          <w:color w:val="auto"/>
          <w:sz w:val="24"/>
        </w:rPr>
        <w:t>10.2.1 乙方不能交货，或交货不合格从而影响甲方按期正常使用的，应向甲方偿付合同总价款</w:t>
      </w:r>
      <w:r>
        <w:rPr>
          <w:rFonts w:hint="eastAsia" w:ascii="宋体" w:hAnsi="宋体" w:cs="宋体"/>
          <w:color w:val="auto"/>
          <w:sz w:val="24"/>
          <w:u w:val="single"/>
        </w:rPr>
        <w:t xml:space="preserve"> 5% </w:t>
      </w:r>
      <w:r>
        <w:rPr>
          <w:rFonts w:hint="eastAsia" w:ascii="宋体" w:hAnsi="宋体" w:cs="宋体"/>
          <w:color w:val="auto"/>
          <w:sz w:val="24"/>
        </w:rPr>
        <w:t>的违约金，违约金不足以补偿损失的，甲方有权要求乙方补足。</w:t>
      </w:r>
    </w:p>
    <w:p w14:paraId="067EF774">
      <w:pPr>
        <w:snapToGrid w:val="0"/>
        <w:spacing w:line="500" w:lineRule="exact"/>
        <w:ind w:firstLine="573"/>
        <w:rPr>
          <w:rFonts w:ascii="宋体" w:hAnsi="宋体" w:cs="宋体"/>
          <w:color w:val="auto"/>
          <w:sz w:val="24"/>
        </w:rPr>
      </w:pPr>
      <w:r>
        <w:rPr>
          <w:rFonts w:hint="eastAsia" w:ascii="宋体" w:hAnsi="宋体" w:cs="宋体"/>
          <w:color w:val="auto"/>
          <w:sz w:val="24"/>
        </w:rPr>
        <w:t>10.2.2 乙方逾期交货的 ，应在发货前与甲方和政府采购管理部门协商，甲方仍需求的，乙方应立即发货，按照逾期交货部分货款的每天</w:t>
      </w:r>
      <w:r>
        <w:rPr>
          <w:rFonts w:hint="eastAsia" w:ascii="宋体" w:hAnsi="宋体" w:cs="宋体"/>
          <w:color w:val="auto"/>
          <w:sz w:val="24"/>
          <w:u w:val="single"/>
        </w:rPr>
        <w:t xml:space="preserve"> 0.1% </w:t>
      </w:r>
      <w:r>
        <w:rPr>
          <w:rFonts w:hint="eastAsia" w:ascii="宋体" w:hAnsi="宋体" w:cs="宋体"/>
          <w:color w:val="auto"/>
          <w:sz w:val="24"/>
        </w:rPr>
        <w:t>支付逾期交货违约金，同时承担甲方因此遭致的损失费用。</w:t>
      </w:r>
    </w:p>
    <w:p w14:paraId="4FE7C813">
      <w:pPr>
        <w:snapToGrid w:val="0"/>
        <w:spacing w:line="500" w:lineRule="exact"/>
        <w:ind w:firstLine="573"/>
        <w:rPr>
          <w:rFonts w:ascii="宋体" w:hAnsi="宋体" w:cs="宋体"/>
          <w:color w:val="auto"/>
          <w:sz w:val="24"/>
        </w:rPr>
      </w:pPr>
      <w:r>
        <w:rPr>
          <w:rFonts w:hint="eastAsia" w:ascii="宋体" w:hAnsi="宋体" w:cs="宋体"/>
          <w:color w:val="auto"/>
          <w:sz w:val="24"/>
        </w:rPr>
        <w:t>十一、不可抗力</w:t>
      </w:r>
    </w:p>
    <w:p w14:paraId="09F35DD1">
      <w:pPr>
        <w:snapToGrid w:val="0"/>
        <w:spacing w:line="500" w:lineRule="exact"/>
        <w:ind w:firstLine="573"/>
        <w:rPr>
          <w:rFonts w:ascii="宋体" w:hAnsi="宋体" w:cs="宋体"/>
          <w:color w:val="auto"/>
          <w:sz w:val="24"/>
        </w:rPr>
      </w:pPr>
      <w:r>
        <w:rPr>
          <w:rFonts w:hint="eastAsia" w:ascii="宋体" w:hAnsi="宋体" w:cs="宋体"/>
          <w:color w:val="auto"/>
          <w:sz w:val="24"/>
        </w:rPr>
        <w:t>11.1 因不可抗力不能履行合同的，根据不可抗力的影响，部分或者全部免除责任。但合同一方延迟履行后发生不可抗力的，不能免除责任。</w:t>
      </w:r>
    </w:p>
    <w:p w14:paraId="5862D764">
      <w:pPr>
        <w:snapToGrid w:val="0"/>
        <w:spacing w:line="500" w:lineRule="exact"/>
        <w:ind w:firstLine="573"/>
        <w:rPr>
          <w:rFonts w:ascii="宋体" w:hAnsi="宋体" w:cs="宋体"/>
          <w:color w:val="auto"/>
          <w:sz w:val="24"/>
        </w:rPr>
      </w:pPr>
      <w:r>
        <w:rPr>
          <w:rFonts w:hint="eastAsia" w:ascii="宋体" w:hAnsi="宋体" w:cs="宋体"/>
          <w:color w:val="auto"/>
          <w:sz w:val="24"/>
        </w:rPr>
        <w:t>11.2 合同一方因不可抗力不能履行合同的，应当及时通知对方，以减轻可能给对方造成的损失，并应当在合理期限内提供证明。</w:t>
      </w:r>
    </w:p>
    <w:p w14:paraId="62EE0792">
      <w:pPr>
        <w:snapToGrid w:val="0"/>
        <w:spacing w:line="500" w:lineRule="exact"/>
        <w:ind w:firstLine="573"/>
        <w:rPr>
          <w:rFonts w:ascii="宋体" w:hAnsi="宋体" w:cs="宋体"/>
          <w:color w:val="auto"/>
          <w:sz w:val="24"/>
        </w:rPr>
      </w:pPr>
      <w:r>
        <w:rPr>
          <w:rFonts w:hint="eastAsia" w:ascii="宋体" w:hAnsi="宋体" w:cs="宋体"/>
          <w:color w:val="auto"/>
          <w:sz w:val="24"/>
        </w:rPr>
        <w:t>十二、索赔</w:t>
      </w:r>
    </w:p>
    <w:p w14:paraId="60A5499F">
      <w:pPr>
        <w:snapToGrid w:val="0"/>
        <w:spacing w:line="500" w:lineRule="exact"/>
        <w:ind w:firstLine="573"/>
        <w:rPr>
          <w:rFonts w:ascii="宋体" w:hAnsi="宋体" w:cs="宋体"/>
          <w:color w:val="auto"/>
          <w:sz w:val="24"/>
        </w:rPr>
      </w:pPr>
      <w:r>
        <w:rPr>
          <w:rFonts w:hint="eastAsia" w:ascii="宋体" w:hAnsi="宋体" w:cs="宋体"/>
          <w:color w:val="auto"/>
          <w:sz w:val="24"/>
        </w:rPr>
        <w:t>12.1 甲方有权根据当地产品质量检验机构或其他有权部门出具的检验证书向乙方提出索赔。</w:t>
      </w:r>
    </w:p>
    <w:p w14:paraId="400653F2">
      <w:pPr>
        <w:snapToGrid w:val="0"/>
        <w:spacing w:line="500" w:lineRule="exact"/>
        <w:ind w:firstLine="573"/>
        <w:rPr>
          <w:rFonts w:ascii="宋体" w:hAnsi="宋体" w:cs="宋体"/>
          <w:color w:val="auto"/>
          <w:sz w:val="24"/>
        </w:rPr>
      </w:pPr>
      <w:r>
        <w:rPr>
          <w:rFonts w:hint="eastAsia" w:ascii="宋体" w:hAnsi="宋体" w:cs="宋体"/>
          <w:color w:val="auto"/>
          <w:sz w:val="24"/>
        </w:rPr>
        <w:t>12.2 在本合同规定的检验期限和质量保证期内，如果乙方对甲方提出的索赔或差异有责任，则乙方应按甲方同意的下列一种或多种方式解决索赔事宜：</w:t>
      </w:r>
    </w:p>
    <w:p w14:paraId="4DCF3611">
      <w:pPr>
        <w:snapToGrid w:val="0"/>
        <w:spacing w:line="500" w:lineRule="exact"/>
        <w:ind w:firstLine="573"/>
        <w:rPr>
          <w:rFonts w:ascii="宋体" w:hAnsi="宋体" w:cs="宋体"/>
          <w:color w:val="auto"/>
          <w:sz w:val="24"/>
        </w:rPr>
      </w:pPr>
      <w:r>
        <w:rPr>
          <w:rFonts w:hint="eastAsia" w:ascii="宋体" w:hAnsi="宋体" w:cs="宋体"/>
          <w:color w:val="auto"/>
          <w:sz w:val="24"/>
        </w:rPr>
        <w:t>12.2.1 乙方同意退货，并按合同规定的货币将货款退还给甲方，并且承担由此发生的一切损失和费用，包括利息、银行手续费、运费、保险费、检验费、仓储费、装卸费以及为保护退回标的物所需的其他必要费用。</w:t>
      </w:r>
    </w:p>
    <w:p w14:paraId="215A0B23">
      <w:pPr>
        <w:snapToGrid w:val="0"/>
        <w:spacing w:line="500" w:lineRule="exact"/>
        <w:ind w:firstLine="573"/>
        <w:rPr>
          <w:rFonts w:ascii="宋体" w:hAnsi="宋体" w:cs="宋体"/>
          <w:color w:val="auto"/>
          <w:sz w:val="24"/>
        </w:rPr>
      </w:pPr>
      <w:r>
        <w:rPr>
          <w:rFonts w:hint="eastAsia" w:ascii="宋体" w:hAnsi="宋体" w:cs="宋体"/>
          <w:color w:val="auto"/>
          <w:sz w:val="24"/>
        </w:rPr>
        <w:t>12.2.2 根据标的物的低劣程度、损坏程度以及甲方遭受损失的数额，经双方协商确定降低标的物的价格。</w:t>
      </w:r>
    </w:p>
    <w:p w14:paraId="1669F2D8">
      <w:pPr>
        <w:snapToGrid w:val="0"/>
        <w:spacing w:line="500" w:lineRule="exact"/>
        <w:ind w:firstLine="573"/>
        <w:rPr>
          <w:rFonts w:ascii="宋体" w:hAnsi="宋体" w:cs="宋体"/>
          <w:color w:val="auto"/>
          <w:sz w:val="24"/>
        </w:rPr>
      </w:pPr>
      <w:r>
        <w:rPr>
          <w:rFonts w:hint="eastAsia" w:ascii="宋体" w:hAnsi="宋体" w:cs="宋体"/>
          <w:color w:val="auto"/>
          <w:sz w:val="24"/>
        </w:rPr>
        <w:t>12.2.3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995F3A0">
      <w:pPr>
        <w:snapToGrid w:val="0"/>
        <w:spacing w:line="500" w:lineRule="exact"/>
        <w:ind w:firstLine="573"/>
        <w:rPr>
          <w:rFonts w:ascii="宋体" w:hAnsi="宋体" w:cs="宋体"/>
          <w:color w:val="auto"/>
          <w:sz w:val="24"/>
        </w:rPr>
      </w:pPr>
      <w:r>
        <w:rPr>
          <w:rFonts w:hint="eastAsia" w:ascii="宋体" w:hAnsi="宋体" w:cs="宋体"/>
          <w:color w:val="auto"/>
          <w:sz w:val="24"/>
        </w:rPr>
        <w:t xml:space="preserve">12.3 如果在甲方发出索赔通知后七天内，乙方未能答复，上述索赔应视为已被乙方接受。若乙方未在甲方提出索赔通知后七天内或甲方同意的更长时间内，按照合同规定的任何一种方法解决索赔事宜，甲方将从未付款、履约保证金中扣回索赔金额，如果这些金额不足以补偿索赔金额，甲方有权向乙方提出对不足部分的补偿。 </w:t>
      </w:r>
    </w:p>
    <w:p w14:paraId="08B032F2">
      <w:pPr>
        <w:snapToGrid w:val="0"/>
        <w:spacing w:line="500" w:lineRule="exact"/>
        <w:ind w:firstLine="573"/>
        <w:rPr>
          <w:rFonts w:ascii="宋体" w:hAnsi="宋体" w:cs="宋体"/>
          <w:color w:val="auto"/>
          <w:sz w:val="24"/>
        </w:rPr>
      </w:pPr>
      <w:r>
        <w:rPr>
          <w:rFonts w:hint="eastAsia" w:ascii="宋体" w:hAnsi="宋体" w:cs="宋体"/>
          <w:color w:val="auto"/>
          <w:sz w:val="24"/>
        </w:rPr>
        <w:t>十三、合同的解除和转让</w:t>
      </w:r>
    </w:p>
    <w:p w14:paraId="6A9F1E17">
      <w:pPr>
        <w:snapToGrid w:val="0"/>
        <w:spacing w:line="500" w:lineRule="exact"/>
        <w:ind w:firstLine="573"/>
        <w:rPr>
          <w:rFonts w:ascii="宋体" w:hAnsi="宋体" w:cs="宋体"/>
          <w:color w:val="auto"/>
          <w:sz w:val="24"/>
        </w:rPr>
      </w:pPr>
      <w:r>
        <w:rPr>
          <w:rFonts w:hint="eastAsia" w:ascii="宋体" w:hAnsi="宋体" w:cs="宋体"/>
          <w:color w:val="auto"/>
          <w:sz w:val="24"/>
        </w:rPr>
        <w:t>13.1 甲方和乙方协商一致，可以解除合同。</w:t>
      </w:r>
    </w:p>
    <w:p w14:paraId="755250B0">
      <w:pPr>
        <w:snapToGrid w:val="0"/>
        <w:spacing w:line="500" w:lineRule="exact"/>
        <w:ind w:firstLine="573"/>
        <w:rPr>
          <w:rFonts w:ascii="宋体" w:hAnsi="宋体" w:cs="宋体"/>
          <w:color w:val="auto"/>
          <w:sz w:val="24"/>
        </w:rPr>
      </w:pPr>
      <w:r>
        <w:rPr>
          <w:rFonts w:hint="eastAsia" w:ascii="宋体" w:hAnsi="宋体" w:cs="宋体"/>
          <w:color w:val="auto"/>
          <w:sz w:val="24"/>
        </w:rPr>
        <w:t>13.2 有下列情形之一，合同一方可以解除合同：</w:t>
      </w:r>
    </w:p>
    <w:p w14:paraId="71EE6533">
      <w:pPr>
        <w:snapToGrid w:val="0"/>
        <w:spacing w:line="500" w:lineRule="exact"/>
        <w:ind w:firstLine="573"/>
        <w:rPr>
          <w:rFonts w:ascii="宋体" w:hAnsi="宋体" w:cs="宋体"/>
          <w:color w:val="auto"/>
          <w:sz w:val="24"/>
        </w:rPr>
      </w:pPr>
      <w:r>
        <w:rPr>
          <w:rFonts w:hint="eastAsia" w:ascii="宋体" w:hAnsi="宋体" w:cs="宋体"/>
          <w:color w:val="auto"/>
          <w:sz w:val="24"/>
        </w:rPr>
        <w:t>13.2.1 因不可抗力致使不能实现合同目的，未受不可抗力影响的一方有权解除合同；</w:t>
      </w:r>
    </w:p>
    <w:p w14:paraId="61AD39B4">
      <w:pPr>
        <w:snapToGrid w:val="0"/>
        <w:spacing w:line="500" w:lineRule="exact"/>
        <w:ind w:firstLine="573"/>
        <w:rPr>
          <w:rFonts w:ascii="宋体" w:hAnsi="宋体" w:cs="宋体"/>
          <w:color w:val="auto"/>
          <w:sz w:val="24"/>
        </w:rPr>
      </w:pPr>
      <w:r>
        <w:rPr>
          <w:rFonts w:hint="eastAsia" w:ascii="宋体" w:hAnsi="宋体" w:cs="宋体"/>
          <w:color w:val="auto"/>
          <w:sz w:val="24"/>
        </w:rPr>
        <w:t>13.2.2 因合同一方违约导致合同不能履行，另一方有权解除合同；</w:t>
      </w:r>
    </w:p>
    <w:p w14:paraId="4D8BA90C">
      <w:pPr>
        <w:snapToGrid w:val="0"/>
        <w:spacing w:line="500" w:lineRule="exact"/>
        <w:ind w:firstLine="573"/>
        <w:rPr>
          <w:rFonts w:ascii="宋体" w:hAnsi="宋体" w:cs="宋体"/>
          <w:color w:val="auto"/>
          <w:sz w:val="24"/>
        </w:rPr>
      </w:pPr>
      <w:r>
        <w:rPr>
          <w:rFonts w:hint="eastAsia" w:ascii="宋体" w:hAnsi="宋体" w:cs="宋体"/>
          <w:color w:val="auto"/>
          <w:sz w:val="24"/>
        </w:rPr>
        <w:t>13.2.3 有权解除合同的一方，应当在违约事实或不可抗力发生之后三十天内书面通知对方以主张解除合同，合同在书面通知到达对方时解除。</w:t>
      </w:r>
    </w:p>
    <w:p w14:paraId="01E11877">
      <w:pPr>
        <w:snapToGrid w:val="0"/>
        <w:spacing w:line="500" w:lineRule="exact"/>
        <w:ind w:firstLine="573"/>
        <w:rPr>
          <w:rFonts w:ascii="宋体" w:hAnsi="宋体" w:cs="宋体"/>
          <w:color w:val="auto"/>
          <w:sz w:val="24"/>
        </w:rPr>
      </w:pPr>
      <w:r>
        <w:rPr>
          <w:rFonts w:hint="eastAsia" w:ascii="宋体" w:hAnsi="宋体" w:cs="宋体"/>
          <w:color w:val="auto"/>
          <w:sz w:val="24"/>
        </w:rPr>
        <w:t>13.3 合同的部分和全部都不得转让。</w:t>
      </w:r>
    </w:p>
    <w:p w14:paraId="33743E4F">
      <w:pPr>
        <w:snapToGrid w:val="0"/>
        <w:spacing w:line="500" w:lineRule="exact"/>
        <w:ind w:firstLine="573"/>
        <w:rPr>
          <w:rFonts w:ascii="宋体" w:hAnsi="宋体" w:cs="宋体"/>
          <w:color w:val="auto"/>
          <w:sz w:val="24"/>
        </w:rPr>
      </w:pPr>
      <w:r>
        <w:rPr>
          <w:rFonts w:hint="eastAsia" w:ascii="宋体" w:hAnsi="宋体" w:cs="宋体"/>
          <w:color w:val="auto"/>
          <w:sz w:val="24"/>
        </w:rPr>
        <w:t xml:space="preserve">十四、合同的生效  </w:t>
      </w:r>
    </w:p>
    <w:p w14:paraId="0D873592">
      <w:pPr>
        <w:snapToGrid w:val="0"/>
        <w:spacing w:line="500" w:lineRule="exact"/>
        <w:ind w:firstLine="573"/>
        <w:rPr>
          <w:rFonts w:ascii="宋体" w:hAnsi="宋体" w:cs="宋体"/>
          <w:color w:val="auto"/>
          <w:sz w:val="24"/>
        </w:rPr>
      </w:pPr>
      <w:r>
        <w:rPr>
          <w:rFonts w:hint="eastAsia" w:ascii="宋体" w:hAnsi="宋体" w:cs="宋体"/>
          <w:color w:val="auto"/>
          <w:sz w:val="24"/>
        </w:rPr>
        <w:t>本合同在乙方根据招标文件要求缴纳履约保证金且甲乙双方签字盖章后生效。</w:t>
      </w:r>
    </w:p>
    <w:p w14:paraId="171ED67E">
      <w:pPr>
        <w:snapToGrid w:val="0"/>
        <w:spacing w:line="500" w:lineRule="exact"/>
        <w:ind w:firstLine="573"/>
        <w:rPr>
          <w:rFonts w:ascii="宋体" w:hAnsi="宋体" w:cs="宋体"/>
          <w:color w:val="auto"/>
          <w:sz w:val="24"/>
        </w:rPr>
      </w:pPr>
      <w:r>
        <w:rPr>
          <w:rFonts w:hint="eastAsia" w:ascii="宋体" w:hAnsi="宋体" w:cs="宋体"/>
          <w:color w:val="auto"/>
          <w:sz w:val="24"/>
        </w:rPr>
        <w:t>十五、争议的解决</w:t>
      </w:r>
    </w:p>
    <w:p w14:paraId="151758F2">
      <w:pPr>
        <w:snapToGrid w:val="0"/>
        <w:spacing w:line="500" w:lineRule="exact"/>
        <w:ind w:firstLine="573"/>
        <w:rPr>
          <w:rFonts w:ascii="宋体" w:hAnsi="宋体" w:cs="宋体"/>
          <w:color w:val="auto"/>
          <w:sz w:val="24"/>
        </w:rPr>
      </w:pPr>
      <w:r>
        <w:rPr>
          <w:rFonts w:hint="eastAsia" w:ascii="宋体" w:hAnsi="宋体" w:cs="宋体"/>
          <w:color w:val="auto"/>
          <w:sz w:val="24"/>
        </w:rPr>
        <w:t>甲乙双方因合同发生争议，应在采购人的主持下进行调解，协商不成，任何一方可以向甲方所在地人民法院起诉。</w:t>
      </w:r>
    </w:p>
    <w:p w14:paraId="3BBC0618">
      <w:pPr>
        <w:snapToGrid w:val="0"/>
        <w:spacing w:line="500" w:lineRule="exact"/>
        <w:ind w:firstLine="573"/>
        <w:rPr>
          <w:rFonts w:ascii="宋体" w:hAnsi="宋体" w:cs="宋体"/>
          <w:color w:val="auto"/>
          <w:sz w:val="24"/>
        </w:rPr>
      </w:pPr>
      <w:r>
        <w:rPr>
          <w:rFonts w:hint="eastAsia" w:ascii="宋体" w:hAnsi="宋体" w:cs="宋体"/>
          <w:color w:val="auto"/>
          <w:sz w:val="24"/>
        </w:rPr>
        <w:t>十六、附则</w:t>
      </w:r>
    </w:p>
    <w:p w14:paraId="374299D1">
      <w:pPr>
        <w:snapToGrid w:val="0"/>
        <w:spacing w:line="500" w:lineRule="exact"/>
        <w:ind w:firstLine="573"/>
        <w:rPr>
          <w:rFonts w:ascii="宋体" w:hAnsi="宋体" w:cs="宋体"/>
          <w:color w:val="auto"/>
          <w:sz w:val="24"/>
        </w:rPr>
      </w:pPr>
      <w:r>
        <w:rPr>
          <w:rFonts w:hint="eastAsia" w:ascii="宋体" w:hAnsi="宋体" w:cs="宋体"/>
          <w:color w:val="auto"/>
          <w:sz w:val="24"/>
        </w:rPr>
        <w:t>16.1 合同份数：本合同一式六份，买方、卖方各执两份、采购代理留存二份。</w:t>
      </w:r>
    </w:p>
    <w:p w14:paraId="1113AB43">
      <w:pPr>
        <w:snapToGrid w:val="0"/>
        <w:spacing w:line="500" w:lineRule="exact"/>
        <w:ind w:firstLine="573"/>
        <w:rPr>
          <w:rFonts w:ascii="宋体" w:hAnsi="宋体" w:cs="宋体"/>
          <w:color w:val="auto"/>
          <w:sz w:val="24"/>
        </w:rPr>
      </w:pPr>
      <w:r>
        <w:rPr>
          <w:rFonts w:hint="eastAsia" w:ascii="宋体" w:hAnsi="宋体" w:cs="宋体"/>
          <w:color w:val="auto"/>
          <w:sz w:val="24"/>
        </w:rPr>
        <w:t>16.2 本合同文件使用中文书写、解释和说明。</w:t>
      </w:r>
    </w:p>
    <w:p w14:paraId="3A9DF5FE">
      <w:pPr>
        <w:snapToGrid w:val="0"/>
        <w:spacing w:line="500" w:lineRule="exact"/>
        <w:ind w:firstLine="573"/>
        <w:rPr>
          <w:rFonts w:ascii="宋体" w:hAnsi="宋体" w:cs="宋体"/>
          <w:color w:val="auto"/>
          <w:sz w:val="24"/>
        </w:rPr>
      </w:pPr>
      <w:r>
        <w:rPr>
          <w:rFonts w:hint="eastAsia" w:ascii="宋体" w:hAnsi="宋体" w:cs="宋体"/>
          <w:color w:val="auto"/>
          <w:sz w:val="24"/>
        </w:rPr>
        <w:t>16.3 本合同履行过程中产生的纪要、协议以及中标通知书、采购响应文件和采购文件为本合同的附件，与合同具有同等效力。</w:t>
      </w:r>
    </w:p>
    <w:p w14:paraId="58F2E425">
      <w:pPr>
        <w:snapToGrid w:val="0"/>
        <w:spacing w:line="500" w:lineRule="exact"/>
        <w:ind w:firstLine="573"/>
        <w:rPr>
          <w:rFonts w:ascii="宋体" w:hAnsi="宋体" w:cs="宋体"/>
          <w:color w:val="auto"/>
          <w:sz w:val="24"/>
        </w:rPr>
      </w:pPr>
      <w:r>
        <w:rPr>
          <w:rFonts w:hint="eastAsia" w:ascii="宋体" w:hAnsi="宋体" w:cs="宋体"/>
          <w:color w:val="auto"/>
          <w:sz w:val="24"/>
        </w:rPr>
        <w:t>16.4 未尽事宜</w:t>
      </w:r>
    </w:p>
    <w:p w14:paraId="7927353B">
      <w:pPr>
        <w:snapToGrid w:val="0"/>
        <w:spacing w:line="500" w:lineRule="exact"/>
        <w:ind w:firstLine="573"/>
        <w:rPr>
          <w:rFonts w:ascii="宋体" w:hAnsi="宋体" w:cs="宋体"/>
          <w:color w:val="auto"/>
          <w:sz w:val="24"/>
        </w:rPr>
      </w:pPr>
      <w:r>
        <w:rPr>
          <w:rFonts w:hint="eastAsia" w:ascii="宋体" w:hAnsi="宋体" w:cs="宋体"/>
          <w:color w:val="auto"/>
          <w:sz w:val="24"/>
        </w:rPr>
        <w:t>本合同未尽事宜，由双方协商处理。</w:t>
      </w:r>
    </w:p>
    <w:p w14:paraId="703217CF">
      <w:pPr>
        <w:snapToGrid w:val="0"/>
        <w:spacing w:line="360" w:lineRule="auto"/>
        <w:rPr>
          <w:rFonts w:ascii="宋体" w:hAnsi="宋体" w:cs="宋体"/>
          <w:color w:val="auto"/>
          <w:sz w:val="24"/>
        </w:rPr>
      </w:pPr>
    </w:p>
    <w:p w14:paraId="4CC8584F">
      <w:pPr>
        <w:snapToGrid w:val="0"/>
        <w:spacing w:line="360" w:lineRule="auto"/>
        <w:rPr>
          <w:rFonts w:ascii="宋体" w:hAnsi="宋体" w:cs="宋体"/>
          <w:color w:val="auto"/>
          <w:sz w:val="24"/>
        </w:rPr>
      </w:pPr>
    </w:p>
    <w:p w14:paraId="3CF0AF22">
      <w:pPr>
        <w:snapToGrid w:val="0"/>
        <w:spacing w:line="500" w:lineRule="exact"/>
        <w:ind w:firstLine="573"/>
        <w:rPr>
          <w:rFonts w:ascii="宋体" w:hAnsi="宋体" w:cs="宋体"/>
          <w:color w:val="auto"/>
          <w:sz w:val="24"/>
        </w:rPr>
      </w:pPr>
      <w:r>
        <w:rPr>
          <w:rFonts w:hint="eastAsia" w:ascii="宋体" w:hAnsi="宋体" w:cs="宋体"/>
          <w:color w:val="auto"/>
          <w:sz w:val="24"/>
        </w:rPr>
        <w:t xml:space="preserve">甲方（盖章）：                     乙方（盖章）： </w:t>
      </w:r>
    </w:p>
    <w:p w14:paraId="787B7C6C">
      <w:pPr>
        <w:snapToGrid w:val="0"/>
        <w:spacing w:line="500" w:lineRule="exact"/>
        <w:ind w:firstLine="573"/>
        <w:rPr>
          <w:rFonts w:ascii="宋体" w:hAnsi="宋体" w:cs="宋体"/>
          <w:color w:val="auto"/>
          <w:sz w:val="24"/>
        </w:rPr>
      </w:pPr>
      <w:r>
        <w:rPr>
          <w:rFonts w:hint="eastAsia" w:ascii="宋体" w:hAnsi="宋体" w:cs="宋体"/>
          <w:color w:val="auto"/>
          <w:sz w:val="24"/>
        </w:rPr>
        <w:t>甲方法定代表人（签字）：           乙方法定代表人（签字）：</w:t>
      </w:r>
    </w:p>
    <w:p w14:paraId="3461299B">
      <w:pPr>
        <w:snapToGrid w:val="0"/>
        <w:spacing w:line="500" w:lineRule="exact"/>
        <w:ind w:firstLine="573"/>
        <w:rPr>
          <w:rFonts w:ascii="宋体" w:hAnsi="宋体" w:cs="宋体"/>
          <w:color w:val="auto"/>
          <w:sz w:val="24"/>
        </w:rPr>
      </w:pPr>
      <w:r>
        <w:rPr>
          <w:rFonts w:hint="eastAsia" w:ascii="宋体" w:hAnsi="宋体" w:cs="宋体"/>
          <w:color w:val="auto"/>
          <w:sz w:val="24"/>
        </w:rPr>
        <w:t>委托代理人（签字）：               委托代理人（签字）：</w:t>
      </w:r>
    </w:p>
    <w:p w14:paraId="6D26BE6B">
      <w:pPr>
        <w:snapToGrid w:val="0"/>
        <w:spacing w:line="500" w:lineRule="exact"/>
        <w:rPr>
          <w:rFonts w:ascii="宋体" w:hAnsi="宋体" w:cs="宋体"/>
          <w:color w:val="auto"/>
          <w:sz w:val="24"/>
        </w:rPr>
      </w:pPr>
    </w:p>
    <w:p w14:paraId="7FB39A44">
      <w:pPr>
        <w:snapToGrid w:val="0"/>
        <w:spacing w:line="480" w:lineRule="exact"/>
        <w:ind w:firstLine="482" w:firstLineChars="200"/>
        <w:contextualSpacing/>
        <w:rPr>
          <w:rFonts w:ascii="宋体" w:hAnsi="宋体" w:cs="宋体"/>
          <w:b/>
          <w:color w:val="auto"/>
          <w:sz w:val="24"/>
        </w:rPr>
      </w:pPr>
    </w:p>
    <w:p w14:paraId="4D3D0923">
      <w:pPr>
        <w:snapToGrid w:val="0"/>
        <w:spacing w:line="480" w:lineRule="exact"/>
        <w:ind w:firstLine="482" w:firstLineChars="200"/>
        <w:contextualSpacing/>
        <w:rPr>
          <w:rFonts w:ascii="宋体" w:hAnsi="宋体" w:cs="宋体"/>
          <w:b/>
          <w:color w:val="auto"/>
          <w:sz w:val="24"/>
        </w:rPr>
      </w:pPr>
    </w:p>
    <w:p w14:paraId="73D465B0">
      <w:pPr>
        <w:snapToGrid w:val="0"/>
        <w:spacing w:line="480" w:lineRule="exact"/>
        <w:ind w:firstLine="482" w:firstLineChars="200"/>
        <w:contextualSpacing/>
        <w:rPr>
          <w:rFonts w:ascii="宋体" w:hAnsi="宋体" w:cs="宋体"/>
          <w:b/>
          <w:color w:val="auto"/>
          <w:sz w:val="24"/>
        </w:rPr>
      </w:pPr>
    </w:p>
    <w:p w14:paraId="33BC39BD">
      <w:pPr>
        <w:snapToGrid w:val="0"/>
        <w:spacing w:line="480" w:lineRule="exact"/>
        <w:ind w:firstLine="482" w:firstLineChars="200"/>
        <w:contextualSpacing/>
        <w:rPr>
          <w:rFonts w:ascii="宋体" w:hAnsi="宋体" w:cs="宋体"/>
          <w:b/>
          <w:color w:val="auto"/>
          <w:sz w:val="24"/>
        </w:rPr>
      </w:pPr>
    </w:p>
    <w:p w14:paraId="030A6438">
      <w:pPr>
        <w:snapToGrid w:val="0"/>
        <w:spacing w:line="480" w:lineRule="exact"/>
        <w:ind w:firstLine="482" w:firstLineChars="200"/>
        <w:contextualSpacing/>
        <w:rPr>
          <w:rFonts w:ascii="宋体" w:hAnsi="宋体" w:cs="宋体"/>
          <w:b/>
          <w:color w:val="auto"/>
          <w:sz w:val="24"/>
        </w:rPr>
      </w:pPr>
    </w:p>
    <w:p w14:paraId="0263FB85">
      <w:pPr>
        <w:snapToGrid w:val="0"/>
        <w:spacing w:line="480" w:lineRule="exact"/>
        <w:ind w:firstLine="482" w:firstLineChars="200"/>
        <w:contextualSpacing/>
        <w:rPr>
          <w:rFonts w:ascii="宋体" w:hAnsi="宋体" w:cs="宋体"/>
          <w:b/>
          <w:color w:val="auto"/>
          <w:sz w:val="24"/>
        </w:rPr>
      </w:pPr>
      <w:r>
        <w:rPr>
          <w:rFonts w:hint="eastAsia" w:ascii="宋体" w:hAnsi="宋体" w:cs="宋体"/>
          <w:b/>
          <w:color w:val="auto"/>
          <w:sz w:val="24"/>
        </w:rPr>
        <w:t>采购人保留对合同文本的修改和完善的权利。</w:t>
      </w:r>
    </w:p>
    <w:p w14:paraId="6F31564B">
      <w:pPr>
        <w:snapToGrid w:val="0"/>
        <w:spacing w:line="480" w:lineRule="exact"/>
        <w:ind w:firstLine="482" w:firstLineChars="200"/>
        <w:contextualSpacing/>
        <w:rPr>
          <w:rFonts w:ascii="宋体" w:hAnsi="宋体" w:cs="宋体"/>
          <w:b/>
          <w:color w:val="auto"/>
          <w:sz w:val="24"/>
        </w:rPr>
      </w:pPr>
    </w:p>
    <w:p w14:paraId="45EE3413">
      <w:pPr>
        <w:pStyle w:val="2"/>
        <w:rPr>
          <w:color w:val="auto"/>
        </w:rPr>
      </w:pPr>
      <w:r>
        <w:rPr>
          <w:rFonts w:hint="eastAsia"/>
          <w:color w:val="auto"/>
        </w:rPr>
        <w:t>第五章  项目采购需求</w:t>
      </w:r>
    </w:p>
    <w:p w14:paraId="2EC00CF3">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项目要求</w:t>
      </w:r>
    </w:p>
    <w:p w14:paraId="79D7D5A0">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为深入贯彻习近平总书记关于提高自然灾害防治能力的重要指示批示精神，落实《中共中央国务院关于推进防灾减灾救灾体制机制改革的意见》《中共中央办公厅国务院办公厅关于进一步提升基层应急管理能力的意见》等相关部署要求，按照应急管理部、财政部及江苏省有关部门的相关要求，结合盱眙县防灾能力现状，开展本次综合防灾能力建设项目，强化地方防灾工作统筹和各项能力建设系统集成，提高防范化解重大自然灾害的精准性和系统性。</w:t>
      </w:r>
    </w:p>
    <w:p w14:paraId="175AE125">
      <w:pPr>
        <w:numPr>
          <w:ilvl w:val="0"/>
          <w:numId w:val="5"/>
        </w:numPr>
        <w:spacing w:line="360" w:lineRule="auto"/>
        <w:ind w:left="424" w:leftChars="202" w:firstLine="200"/>
        <w:rPr>
          <w:rFonts w:ascii="宋体" w:hAnsi="宋体"/>
          <w:color w:val="auto"/>
          <w:kern w:val="2"/>
          <w:sz w:val="24"/>
        </w:rPr>
      </w:pPr>
      <w:r>
        <w:rPr>
          <w:rFonts w:ascii="宋体" w:hAnsi="宋体"/>
          <w:color w:val="auto"/>
          <w:kern w:val="2"/>
          <w:sz w:val="24"/>
        </w:rPr>
        <w:t>建强应急指挥体系</w:t>
      </w:r>
    </w:p>
    <w:p w14:paraId="0FEC487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聚焦“贯通指挥链路、强化基层覆盖、提升实战能力”三大核心目标， 重点推进通信网络基础、指挥中枢升级、基层覆盖保障三大任务。通过系统化部 署空天地一体化通信网络，补齐卫星电话、应急通信等关键装备短板，实现复杂 灾害环境下通信链路不间断;同步升级县级指挥中心基础保障能力，新建多网融 合通信平台，对多种不同通信网络下终端融合，打破信息孤岛，强化信息采集传 输效能;着力构建覆盖乡镇村的音视频指挥调度系统，消除基层指挥盲区，实现 部、省、市、县、乡五级视频指挥调度贯通联动，应急指令快速能直达基层单位， 响应精准高效。</w:t>
      </w:r>
    </w:p>
    <w:p w14:paraId="77BDA706">
      <w:pPr>
        <w:numPr>
          <w:ilvl w:val="0"/>
          <w:numId w:val="5"/>
        </w:numPr>
        <w:spacing w:line="360" w:lineRule="auto"/>
        <w:ind w:left="424" w:leftChars="202" w:firstLine="200"/>
        <w:rPr>
          <w:rFonts w:ascii="宋体" w:hAnsi="宋体"/>
          <w:color w:val="auto"/>
          <w:kern w:val="2"/>
          <w:sz w:val="24"/>
        </w:rPr>
      </w:pPr>
      <w:r>
        <w:rPr>
          <w:rFonts w:ascii="宋体" w:hAnsi="宋体"/>
          <w:color w:val="auto"/>
          <w:kern w:val="2"/>
          <w:sz w:val="24"/>
        </w:rPr>
        <w:t>强化前端灾害监测预警能力</w:t>
      </w:r>
    </w:p>
    <w:p w14:paraId="41BD9BF2">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支持县域合理布局灾害监测预警站网，配备必要的监测预警装备设备，完善灾害感知预警网络和系统，实现重点部位灾害监测预警全覆盖。支持建设灾害风险评估系统，具备风险预警评估、预警与响应联动等功能，提高灾害预警的精准化水平。</w:t>
      </w:r>
    </w:p>
    <w:p w14:paraId="7543CF1A">
      <w:pPr>
        <w:numPr>
          <w:ilvl w:val="0"/>
          <w:numId w:val="5"/>
        </w:numPr>
        <w:spacing w:line="360" w:lineRule="auto"/>
        <w:ind w:left="424" w:leftChars="202" w:firstLine="200"/>
        <w:rPr>
          <w:rFonts w:ascii="宋体" w:hAnsi="宋体"/>
          <w:color w:val="auto"/>
          <w:kern w:val="2"/>
          <w:sz w:val="24"/>
        </w:rPr>
      </w:pPr>
      <w:r>
        <w:rPr>
          <w:rFonts w:ascii="宋体" w:hAnsi="宋体"/>
          <w:color w:val="auto"/>
          <w:kern w:val="2"/>
          <w:sz w:val="24"/>
        </w:rPr>
        <w:t>提升宣教培训和应急演练能力</w:t>
      </w:r>
    </w:p>
    <w:p w14:paraId="456D0CBC">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支持依托公共场所、各类场馆等因地制宜建设县级防灾减灾科普宣教基地，推动科普宣教常态化开展。支持县、乡镇（街道）、村（社区）常态化开展预案演练，乡镇（街道）和村（社区）每年至少组织1次综合演练，高风险地区加强防汛、防台风、避险自救、山洪和地质灾害避险等专项演练。</w:t>
      </w:r>
    </w:p>
    <w:p w14:paraId="038E5E8B">
      <w:pPr>
        <w:numPr>
          <w:ilvl w:val="0"/>
          <w:numId w:val="5"/>
        </w:numPr>
        <w:spacing w:line="360" w:lineRule="auto"/>
        <w:ind w:left="424" w:leftChars="202" w:firstLine="200"/>
        <w:rPr>
          <w:rFonts w:ascii="宋体" w:hAnsi="宋体"/>
          <w:color w:val="auto"/>
          <w:kern w:val="2"/>
          <w:sz w:val="24"/>
        </w:rPr>
      </w:pPr>
      <w:r>
        <w:rPr>
          <w:rFonts w:hint="eastAsia" w:ascii="宋体" w:hAnsi="宋体"/>
          <w:color w:val="auto"/>
          <w:kern w:val="2"/>
          <w:sz w:val="24"/>
        </w:rPr>
        <w:t>提升</w:t>
      </w:r>
      <w:r>
        <w:rPr>
          <w:rFonts w:ascii="宋体" w:hAnsi="宋体"/>
          <w:color w:val="auto"/>
          <w:kern w:val="2"/>
          <w:sz w:val="24"/>
        </w:rPr>
        <w:t>普查数据更新及成果应用能力</w:t>
      </w:r>
    </w:p>
    <w:p w14:paraId="07CDB099">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围绕自然灾害综合风险数据采集和更新，支持加强县级应急管理部门数据汇聚，提升风险调查数据采集能力和数据质量。支持建设本地化县级基础数据库并稳定运行，建立风险隐患“一张图”，提高风险隐患排查治理的精准性。支持开展县级精细化灾害综合风险评估，划设灾害综合风险防控区，优化防灾减灾救灾资源空间布局，积极引导人口、产业等向更安全区域集中。</w:t>
      </w:r>
    </w:p>
    <w:p w14:paraId="1C0085DD">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建设内容</w:t>
      </w:r>
    </w:p>
    <w:p w14:paraId="6D152664">
      <w:pPr>
        <w:numPr>
          <w:ilvl w:val="0"/>
          <w:numId w:val="6"/>
        </w:numPr>
        <w:spacing w:line="360" w:lineRule="auto"/>
        <w:ind w:left="0" w:firstLine="442"/>
        <w:rPr>
          <w:rFonts w:ascii="宋体" w:hAnsi="宋体"/>
          <w:color w:val="auto"/>
          <w:kern w:val="2"/>
          <w:sz w:val="24"/>
        </w:rPr>
      </w:pPr>
      <w:r>
        <w:rPr>
          <w:rFonts w:ascii="宋体" w:hAnsi="宋体"/>
          <w:color w:val="auto"/>
          <w:kern w:val="2"/>
          <w:sz w:val="24"/>
        </w:rPr>
        <w:t>建强应急指挥体系</w:t>
      </w:r>
    </w:p>
    <w:p w14:paraId="5F6EC954">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构建空天地一体化通信网络，配备天通卫星智能手机、5G单兵终端、370MHz集群等应急通信设备。升级县级指挥中枢，改造基础配套环境，</w:t>
      </w:r>
      <w:r>
        <w:rPr>
          <w:rFonts w:hint="eastAsia" w:ascii="宋体" w:hAnsi="宋体" w:cs="宋体"/>
          <w:color w:val="auto"/>
          <w:sz w:val="24"/>
        </w:rPr>
        <w:t>部署</w:t>
      </w:r>
      <w:r>
        <w:rPr>
          <w:rFonts w:ascii="宋体" w:hAnsi="宋体" w:cs="宋体"/>
          <w:color w:val="auto"/>
          <w:sz w:val="24"/>
        </w:rPr>
        <w:t>显示大屏、</w:t>
      </w:r>
      <w:r>
        <w:rPr>
          <w:rFonts w:hint="eastAsia" w:ascii="宋体" w:hAnsi="宋体" w:cs="宋体"/>
          <w:color w:val="auto"/>
          <w:sz w:val="24"/>
        </w:rPr>
        <w:t>融合通信系统</w:t>
      </w:r>
      <w:r>
        <w:rPr>
          <w:rFonts w:ascii="宋体" w:hAnsi="宋体" w:cs="宋体"/>
          <w:color w:val="auto"/>
          <w:sz w:val="24"/>
        </w:rPr>
        <w:t>及各类接入网关</w:t>
      </w:r>
      <w:r>
        <w:rPr>
          <w:rFonts w:hint="eastAsia" w:ascii="宋体" w:hAnsi="宋体" w:cs="宋体"/>
          <w:color w:val="auto"/>
          <w:sz w:val="24"/>
        </w:rPr>
        <w:t>、网络基础设施</w:t>
      </w:r>
      <w:r>
        <w:rPr>
          <w:rFonts w:ascii="宋体" w:hAnsi="宋体" w:cs="宋体"/>
          <w:color w:val="auto"/>
          <w:sz w:val="24"/>
        </w:rPr>
        <w:t>等。搭建覆盖各乡镇的音视频指挥调度系统，部署约56台智能调度屏。组建应急指挥专用服务器集群，配套部署万兆交换机、网络存储设备、计算节点工作站等硬件。</w:t>
      </w:r>
    </w:p>
    <w:p w14:paraId="382E9739">
      <w:pPr>
        <w:numPr>
          <w:ilvl w:val="0"/>
          <w:numId w:val="6"/>
        </w:numPr>
        <w:spacing w:line="360" w:lineRule="auto"/>
        <w:ind w:left="0" w:firstLine="442"/>
        <w:rPr>
          <w:rFonts w:ascii="宋体" w:hAnsi="宋体"/>
          <w:color w:val="auto"/>
          <w:kern w:val="2"/>
          <w:sz w:val="24"/>
        </w:rPr>
      </w:pPr>
      <w:r>
        <w:rPr>
          <w:rFonts w:ascii="宋体" w:hAnsi="宋体"/>
          <w:color w:val="auto"/>
          <w:kern w:val="2"/>
          <w:sz w:val="24"/>
        </w:rPr>
        <w:t>强化前端灾害监测预警能力</w:t>
      </w:r>
    </w:p>
    <w:p w14:paraId="6E6C3B46">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部署20台多灾种智能感知预警终端，集成地质、气象、水文、视频辅助监测模块；建设自然灾害风险监测预警感知数据分析系统，包括智能感知信息接入、临灾分析评估功能。</w:t>
      </w:r>
    </w:p>
    <w:p w14:paraId="7750DFFD">
      <w:pPr>
        <w:numPr>
          <w:ilvl w:val="0"/>
          <w:numId w:val="6"/>
        </w:numPr>
        <w:spacing w:line="360" w:lineRule="auto"/>
        <w:ind w:left="0" w:firstLine="442"/>
        <w:rPr>
          <w:rFonts w:ascii="宋体" w:hAnsi="宋体"/>
          <w:color w:val="auto"/>
          <w:kern w:val="2"/>
          <w:sz w:val="24"/>
        </w:rPr>
      </w:pPr>
      <w:r>
        <w:rPr>
          <w:rFonts w:ascii="宋体" w:hAnsi="宋体"/>
          <w:color w:val="auto"/>
          <w:kern w:val="2"/>
          <w:sz w:val="24"/>
        </w:rPr>
        <w:t>提升宣教培训和应急演练能力</w:t>
      </w:r>
    </w:p>
    <w:p w14:paraId="0F38D628">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建设县级减灾科普场馆，设置</w:t>
      </w:r>
      <w:r>
        <w:rPr>
          <w:rFonts w:hint="eastAsia" w:ascii="宋体" w:hAnsi="宋体" w:cs="宋体"/>
          <w:color w:val="auto"/>
          <w:sz w:val="24"/>
        </w:rPr>
        <w:t>灾害认知科普厅、沉浸式灾害体验区、应急技能实训工坊、智慧防灾科技展区和安全教育体验区等</w:t>
      </w:r>
      <w:r>
        <w:rPr>
          <w:rFonts w:ascii="宋体" w:hAnsi="宋体" w:cs="宋体"/>
          <w:color w:val="auto"/>
          <w:sz w:val="24"/>
        </w:rPr>
        <w:t>功能区</w:t>
      </w:r>
      <w:r>
        <w:rPr>
          <w:rFonts w:hint="eastAsia" w:ascii="宋体" w:hAnsi="宋体" w:cs="宋体"/>
          <w:color w:val="auto"/>
          <w:sz w:val="24"/>
        </w:rPr>
        <w:t>，实现科普宣传及实景培训</w:t>
      </w:r>
      <w:r>
        <w:rPr>
          <w:rFonts w:ascii="宋体" w:hAnsi="宋体" w:cs="宋体"/>
          <w:color w:val="auto"/>
          <w:sz w:val="24"/>
        </w:rPr>
        <w:t>；开展常态化应急演练与培训活动</w:t>
      </w:r>
      <w:r>
        <w:rPr>
          <w:rFonts w:hint="eastAsia" w:ascii="宋体" w:hAnsi="宋体" w:cs="宋体"/>
          <w:color w:val="auto"/>
          <w:sz w:val="24"/>
        </w:rPr>
        <w:t>，提升灾害避险能力</w:t>
      </w:r>
      <w:r>
        <w:rPr>
          <w:rFonts w:ascii="宋体" w:hAnsi="宋体" w:cs="宋体"/>
          <w:color w:val="auto"/>
          <w:sz w:val="24"/>
        </w:rPr>
        <w:t>。</w:t>
      </w:r>
    </w:p>
    <w:p w14:paraId="74ADDE6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对现有部分避难场所改造升级，如山水广场</w:t>
      </w:r>
      <w:r>
        <w:rPr>
          <w:rFonts w:ascii="宋体" w:hAnsi="宋体" w:cs="宋体"/>
          <w:color w:val="auto"/>
          <w:sz w:val="24"/>
        </w:rPr>
        <w:t>/奥体中心应急避难场</w:t>
      </w:r>
      <w:r>
        <w:rPr>
          <w:rFonts w:hint="eastAsia" w:ascii="宋体" w:hAnsi="宋体" w:cs="宋体"/>
          <w:color w:val="auto"/>
          <w:sz w:val="24"/>
        </w:rPr>
        <w:t>和</w:t>
      </w:r>
      <w:r>
        <w:rPr>
          <w:rFonts w:ascii="宋体" w:hAnsi="宋体" w:cs="宋体"/>
          <w:color w:val="auto"/>
          <w:sz w:val="24"/>
        </w:rPr>
        <w:t>4处学校应急避难场所</w:t>
      </w:r>
      <w:r>
        <w:rPr>
          <w:rFonts w:hint="eastAsia" w:ascii="宋体" w:hAnsi="宋体" w:cs="宋体"/>
          <w:color w:val="auto"/>
          <w:sz w:val="24"/>
        </w:rPr>
        <w:t>，修缮损坏设备，升级标志标识牌。</w:t>
      </w:r>
    </w:p>
    <w:p w14:paraId="4D3ADCA1">
      <w:pPr>
        <w:numPr>
          <w:ilvl w:val="0"/>
          <w:numId w:val="6"/>
        </w:numPr>
        <w:spacing w:line="360" w:lineRule="auto"/>
        <w:ind w:left="0" w:firstLine="442"/>
        <w:rPr>
          <w:rFonts w:ascii="宋体" w:hAnsi="宋体"/>
          <w:color w:val="auto"/>
          <w:kern w:val="2"/>
          <w:sz w:val="24"/>
        </w:rPr>
      </w:pPr>
      <w:r>
        <w:rPr>
          <w:rFonts w:ascii="宋体" w:hAnsi="宋体"/>
          <w:color w:val="auto"/>
          <w:kern w:val="2"/>
          <w:sz w:val="24"/>
        </w:rPr>
        <w:t>提升普查数据更新及成果应用能力</w:t>
      </w:r>
    </w:p>
    <w:p w14:paraId="009A9F97">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建设县级风险普查基础数据库，整合多行业普查数据；开展承灾体、减灾能力（资源）数据动态更新；编制自然灾害风险隐患“一张图”及“一村一图”；开展洪涝、森林火灾、地质灾害、重要承灾体脆弱性等精细化评估；推动普查成果在城市规划、动态风险评估、防控区划等方面的应用。</w:t>
      </w:r>
    </w:p>
    <w:p w14:paraId="6DA0D94C">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真实性要求</w:t>
      </w:r>
    </w:p>
    <w:p w14:paraId="4EBD31B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3.1 中标人必须对投标文件中提供的产品资料的有效性负责，包括：产品彩页、检测报告、产品证书、软件证书等。投标人须提供承诺：若中标人提供虚假文件，采购人有权报财政监管部门终止合同，追究相应的法律责任，并列入政府采购黑名单。</w:t>
      </w:r>
    </w:p>
    <w:p w14:paraId="648E53B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3.2 中标公示结束后5个日历日内，采购人会对所有设备的关键功能性参数进行性能测试，如若测试不通过，则视为虚假应标。招标人有权取消其中标资格，并报请相关部门按相关法律法规进行处理并追究其责任。</w:t>
      </w:r>
    </w:p>
    <w:p w14:paraId="0A8483F5">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报价要求</w:t>
      </w:r>
    </w:p>
    <w:p w14:paraId="3E7B4AF5">
      <w:pPr>
        <w:adjustRightInd w:val="0"/>
        <w:snapToGrid w:val="0"/>
        <w:spacing w:line="360" w:lineRule="auto"/>
        <w:ind w:firstLine="480" w:firstLineChars="200"/>
        <w:rPr>
          <w:rFonts w:ascii="宋体" w:hAnsi="宋体" w:cs="宋体"/>
          <w:color w:val="auto"/>
          <w:sz w:val="24"/>
        </w:rPr>
      </w:pPr>
      <w:r>
        <w:rPr>
          <w:rFonts w:hint="eastAsia" w:ascii="宋体" w:hAnsi="宋体" w:cs="Arial"/>
          <w:color w:val="auto"/>
          <w:sz w:val="24"/>
        </w:rPr>
        <w:t>4.1</w:t>
      </w:r>
      <w:r>
        <w:rPr>
          <w:rFonts w:hint="eastAsia" w:ascii="宋体" w:hAnsi="宋体" w:cs="Arial"/>
          <w:color w:val="auto"/>
          <w:szCs w:val="21"/>
        </w:rPr>
        <w:t xml:space="preserve"> </w:t>
      </w:r>
      <w:r>
        <w:rPr>
          <w:rFonts w:ascii="宋体" w:hAnsi="宋体" w:cs="宋体"/>
          <w:color w:val="auto"/>
          <w:sz w:val="24"/>
        </w:rPr>
        <w:t>投标人</w:t>
      </w:r>
      <w:r>
        <w:rPr>
          <w:rFonts w:hint="eastAsia" w:ascii="宋体" w:hAnsi="宋体" w:cs="宋体"/>
          <w:color w:val="auto"/>
          <w:sz w:val="24"/>
        </w:rPr>
        <w:t>的报价</w:t>
      </w:r>
      <w:r>
        <w:rPr>
          <w:rFonts w:ascii="宋体" w:hAnsi="宋体" w:cs="宋体"/>
          <w:color w:val="auto"/>
          <w:sz w:val="24"/>
        </w:rPr>
        <w:t>包括但不仅限于</w:t>
      </w:r>
      <w:r>
        <w:rPr>
          <w:rFonts w:hint="eastAsia" w:ascii="宋体" w:hAnsi="宋体" w:cs="宋体"/>
          <w:color w:val="auto"/>
          <w:sz w:val="24"/>
        </w:rPr>
        <w:t>采购</w:t>
      </w:r>
      <w:r>
        <w:rPr>
          <w:rFonts w:ascii="宋体" w:hAnsi="宋体" w:cs="宋体"/>
          <w:color w:val="auto"/>
          <w:sz w:val="24"/>
        </w:rPr>
        <w:t>清单中设备、系统和工程的采购、运输、安装、改造、培训、检测、审图、验收、集成、调试、</w:t>
      </w:r>
      <w:r>
        <w:rPr>
          <w:rFonts w:hint="eastAsia" w:ascii="宋体" w:hAnsi="宋体" w:cs="宋体"/>
          <w:color w:val="auto"/>
          <w:sz w:val="24"/>
        </w:rPr>
        <w:t>测试、</w:t>
      </w:r>
      <w:r>
        <w:rPr>
          <w:rFonts w:ascii="宋体" w:hAnsi="宋体" w:cs="宋体"/>
          <w:color w:val="auto"/>
          <w:sz w:val="24"/>
        </w:rPr>
        <w:t>对接、联调、</w:t>
      </w:r>
      <w:r>
        <w:rPr>
          <w:rFonts w:hint="eastAsia" w:ascii="宋体" w:hAnsi="宋体" w:cs="宋体"/>
          <w:color w:val="auto"/>
          <w:sz w:val="24"/>
        </w:rPr>
        <w:t>驻场</w:t>
      </w:r>
      <w:r>
        <w:rPr>
          <w:rFonts w:ascii="宋体" w:hAnsi="宋体" w:cs="宋体"/>
          <w:color w:val="auto"/>
          <w:sz w:val="24"/>
        </w:rPr>
        <w:t>、</w:t>
      </w:r>
      <w:r>
        <w:rPr>
          <w:rFonts w:hint="eastAsia" w:ascii="宋体" w:hAnsi="宋体" w:cs="宋体"/>
          <w:color w:val="auto"/>
          <w:sz w:val="24"/>
        </w:rPr>
        <w:t>维保</w:t>
      </w:r>
      <w:r>
        <w:rPr>
          <w:rFonts w:ascii="宋体" w:hAnsi="宋体" w:cs="宋体"/>
          <w:color w:val="auto"/>
          <w:sz w:val="24"/>
        </w:rPr>
        <w:t>等，即为完成招标文件</w:t>
      </w:r>
      <w:r>
        <w:rPr>
          <w:rFonts w:hint="eastAsia" w:ascii="宋体" w:hAnsi="宋体" w:cs="宋体"/>
          <w:color w:val="auto"/>
          <w:sz w:val="24"/>
        </w:rPr>
        <w:t>及采购人</w:t>
      </w:r>
      <w:r>
        <w:rPr>
          <w:rFonts w:ascii="宋体" w:hAnsi="宋体" w:cs="宋体"/>
          <w:color w:val="auto"/>
          <w:sz w:val="24"/>
        </w:rPr>
        <w:t>要求内容所包含的一切应有费用。</w:t>
      </w:r>
    </w:p>
    <w:p w14:paraId="352A589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4.2 </w:t>
      </w:r>
      <w:r>
        <w:rPr>
          <w:rFonts w:ascii="宋体" w:hAnsi="宋体" w:cs="宋体"/>
          <w:color w:val="auto"/>
          <w:sz w:val="24"/>
        </w:rPr>
        <w:t>投标人</w:t>
      </w:r>
      <w:r>
        <w:rPr>
          <w:rFonts w:hint="eastAsia" w:ascii="宋体" w:hAnsi="宋体" w:cs="宋体"/>
          <w:color w:val="auto"/>
          <w:sz w:val="24"/>
        </w:rPr>
        <w:t>需按照招标文件中采购清单的数量严谨报价，不得缺项、漏项，凡缺项、漏项的视作赠送。</w:t>
      </w:r>
    </w:p>
    <w:p w14:paraId="19D727E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4.3 </w:t>
      </w:r>
      <w:r>
        <w:rPr>
          <w:rFonts w:ascii="宋体" w:hAnsi="宋体" w:cs="宋体"/>
          <w:color w:val="auto"/>
          <w:sz w:val="24"/>
        </w:rPr>
        <w:t>中标人所</w:t>
      </w:r>
      <w:r>
        <w:rPr>
          <w:rFonts w:hint="eastAsia" w:ascii="宋体" w:hAnsi="宋体" w:cs="宋体"/>
          <w:color w:val="auto"/>
          <w:sz w:val="24"/>
        </w:rPr>
        <w:t>提供的</w:t>
      </w:r>
      <w:r>
        <w:rPr>
          <w:rFonts w:ascii="宋体" w:hAnsi="宋体" w:cs="宋体"/>
          <w:color w:val="auto"/>
          <w:sz w:val="24"/>
        </w:rPr>
        <w:t>软硬件产品须配套齐全形成功能完整、可投入使用的系统。项目实施中出现</w:t>
      </w:r>
      <w:r>
        <w:rPr>
          <w:rFonts w:hint="eastAsia" w:ascii="宋体" w:hAnsi="宋体" w:cs="宋体"/>
          <w:color w:val="auto"/>
          <w:sz w:val="24"/>
        </w:rPr>
        <w:t>的</w:t>
      </w:r>
      <w:r>
        <w:rPr>
          <w:rFonts w:ascii="宋体" w:hAnsi="宋体" w:cs="宋体"/>
          <w:color w:val="auto"/>
          <w:sz w:val="24"/>
        </w:rPr>
        <w:t>任何缺漏项，均由中标人</w:t>
      </w:r>
      <w:r>
        <w:rPr>
          <w:rFonts w:hint="eastAsia" w:ascii="宋体" w:hAnsi="宋体" w:cs="宋体"/>
          <w:color w:val="auto"/>
          <w:sz w:val="24"/>
        </w:rPr>
        <w:t>免费提供</w:t>
      </w:r>
      <w:r>
        <w:rPr>
          <w:rFonts w:ascii="宋体" w:hAnsi="宋体" w:cs="宋体"/>
          <w:color w:val="auto"/>
          <w:sz w:val="24"/>
        </w:rPr>
        <w:t>，项目履约期间采购人不予增加任何费用，投标人</w:t>
      </w:r>
      <w:r>
        <w:rPr>
          <w:rFonts w:hint="eastAsia" w:ascii="宋体" w:hAnsi="宋体" w:cs="宋体"/>
          <w:color w:val="auto"/>
          <w:sz w:val="24"/>
        </w:rPr>
        <w:t>需</w:t>
      </w:r>
      <w:r>
        <w:rPr>
          <w:rFonts w:ascii="宋体" w:hAnsi="宋体" w:cs="宋体"/>
          <w:color w:val="auto"/>
          <w:sz w:val="24"/>
        </w:rPr>
        <w:t>自行考虑投标风险。除非特别要求，本项目只允许有一个方案、一个报价。</w:t>
      </w:r>
    </w:p>
    <w:p w14:paraId="5D2BE1FE">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人员要求</w:t>
      </w:r>
    </w:p>
    <w:p w14:paraId="6584BE2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5.1 投标人应按招标要求，安排具有相应资格的项目负责人、技术负责人和实施人员组建合理健全的项目团队承担本项目建设，</w:t>
      </w:r>
      <w:r>
        <w:rPr>
          <w:rFonts w:ascii="宋体" w:hAnsi="宋体" w:cs="宋体"/>
          <w:color w:val="auto"/>
          <w:sz w:val="24"/>
        </w:rPr>
        <w:t>进场前</w:t>
      </w:r>
      <w:r>
        <w:rPr>
          <w:rFonts w:hint="eastAsia" w:ascii="宋体" w:hAnsi="宋体" w:cs="宋体"/>
          <w:color w:val="auto"/>
          <w:sz w:val="24"/>
        </w:rPr>
        <w:t>团队成员需由</w:t>
      </w:r>
      <w:r>
        <w:rPr>
          <w:rFonts w:ascii="宋体" w:hAnsi="宋体" w:cs="宋体"/>
          <w:color w:val="auto"/>
          <w:sz w:val="24"/>
        </w:rPr>
        <w:t>招标人核查确认后</w:t>
      </w:r>
      <w:r>
        <w:rPr>
          <w:rFonts w:hint="eastAsia" w:ascii="宋体" w:hAnsi="宋体" w:cs="宋体"/>
          <w:color w:val="auto"/>
          <w:sz w:val="24"/>
        </w:rPr>
        <w:t>方可</w:t>
      </w:r>
      <w:r>
        <w:rPr>
          <w:rFonts w:ascii="宋体" w:hAnsi="宋体" w:cs="宋体"/>
          <w:color w:val="auto"/>
          <w:sz w:val="24"/>
        </w:rPr>
        <w:t>进场</w:t>
      </w:r>
      <w:r>
        <w:rPr>
          <w:rFonts w:hint="eastAsia" w:ascii="宋体" w:hAnsi="宋体" w:cs="宋体"/>
          <w:color w:val="auto"/>
          <w:sz w:val="24"/>
        </w:rPr>
        <w:t>。</w:t>
      </w:r>
    </w:p>
    <w:p w14:paraId="4D2DFCA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5.2 项目团队在本项目实施期间，</w:t>
      </w:r>
      <w:r>
        <w:rPr>
          <w:rFonts w:ascii="宋体" w:hAnsi="宋体" w:cs="宋体"/>
          <w:color w:val="auto"/>
          <w:sz w:val="24"/>
        </w:rPr>
        <w:t>不得兼职其他项目及本项目内其他职务</w:t>
      </w:r>
      <w:r>
        <w:rPr>
          <w:rFonts w:hint="eastAsia" w:ascii="宋体" w:hAnsi="宋体" w:cs="宋体"/>
          <w:color w:val="auto"/>
          <w:sz w:val="24"/>
        </w:rPr>
        <w:t>，</w:t>
      </w:r>
      <w:r>
        <w:rPr>
          <w:rFonts w:ascii="宋体" w:hAnsi="宋体" w:cs="宋体"/>
          <w:color w:val="auto"/>
          <w:sz w:val="24"/>
        </w:rPr>
        <w:t>在此期间人员不得更换。</w:t>
      </w:r>
    </w:p>
    <w:p w14:paraId="3DDB0C39">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5.3 项目团队需</w:t>
      </w:r>
      <w:r>
        <w:rPr>
          <w:rFonts w:ascii="宋体" w:hAnsi="宋体" w:cs="宋体"/>
          <w:color w:val="auto"/>
          <w:sz w:val="24"/>
        </w:rPr>
        <w:t>按</w:t>
      </w:r>
      <w:r>
        <w:rPr>
          <w:rFonts w:hint="eastAsia" w:ascii="宋体" w:hAnsi="宋体" w:cs="宋体"/>
          <w:color w:val="auto"/>
          <w:sz w:val="24"/>
        </w:rPr>
        <w:t>采购人</w:t>
      </w:r>
      <w:r>
        <w:rPr>
          <w:rFonts w:ascii="宋体" w:hAnsi="宋体" w:cs="宋体"/>
          <w:color w:val="auto"/>
          <w:sz w:val="24"/>
        </w:rPr>
        <w:t>要求</w:t>
      </w:r>
      <w:r>
        <w:rPr>
          <w:rFonts w:hint="eastAsia" w:ascii="宋体" w:hAnsi="宋体" w:cs="宋体"/>
          <w:color w:val="auto"/>
          <w:sz w:val="24"/>
        </w:rPr>
        <w:t>驻场开展相关工作，</w:t>
      </w:r>
      <w:r>
        <w:rPr>
          <w:rFonts w:ascii="宋体" w:hAnsi="宋体" w:cs="宋体"/>
          <w:color w:val="auto"/>
          <w:sz w:val="24"/>
        </w:rPr>
        <w:t>并完成日常考勤打卡。</w:t>
      </w:r>
      <w:r>
        <w:rPr>
          <w:rFonts w:hint="eastAsia" w:ascii="宋体" w:hAnsi="宋体" w:cs="宋体"/>
          <w:color w:val="auto"/>
          <w:sz w:val="24"/>
        </w:rPr>
        <w:t>采购人将对考勤情况进行考核，</w:t>
      </w:r>
      <w:r>
        <w:rPr>
          <w:rFonts w:ascii="宋体" w:hAnsi="宋体" w:cs="宋体"/>
          <w:color w:val="auto"/>
          <w:sz w:val="24"/>
        </w:rPr>
        <w:t>考核不合格</w:t>
      </w:r>
      <w:r>
        <w:rPr>
          <w:rFonts w:hint="eastAsia" w:ascii="宋体" w:hAnsi="宋体" w:cs="宋体"/>
          <w:color w:val="auto"/>
          <w:sz w:val="24"/>
        </w:rPr>
        <w:t>的，将罚款</w:t>
      </w:r>
      <w:r>
        <w:rPr>
          <w:rFonts w:ascii="宋体" w:hAnsi="宋体" w:cs="宋体"/>
          <w:color w:val="auto"/>
          <w:sz w:val="24"/>
        </w:rPr>
        <w:t>并出具整改意见</w:t>
      </w:r>
      <w:r>
        <w:rPr>
          <w:rFonts w:hint="eastAsia" w:ascii="宋体" w:hAnsi="宋体" w:cs="宋体"/>
          <w:color w:val="auto"/>
          <w:sz w:val="24"/>
        </w:rPr>
        <w:t>，同时</w:t>
      </w:r>
      <w:r>
        <w:rPr>
          <w:rFonts w:ascii="宋体" w:hAnsi="宋体" w:cs="宋体"/>
          <w:color w:val="auto"/>
          <w:sz w:val="24"/>
        </w:rPr>
        <w:t>更换不合格成员。</w:t>
      </w:r>
    </w:p>
    <w:p w14:paraId="73BAA9BB">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交货要求</w:t>
      </w:r>
    </w:p>
    <w:p w14:paraId="5204C79A">
      <w:pPr>
        <w:adjustRightInd w:val="0"/>
        <w:snapToGrid w:val="0"/>
        <w:spacing w:line="360" w:lineRule="auto"/>
        <w:ind w:firstLine="420" w:firstLineChars="200"/>
        <w:rPr>
          <w:rFonts w:ascii="宋体" w:hAnsi="宋体" w:cs="宋体"/>
          <w:color w:val="auto"/>
          <w:sz w:val="24"/>
        </w:rPr>
      </w:pPr>
      <w:r>
        <w:rPr>
          <w:rFonts w:hint="eastAsia" w:ascii="宋体" w:hAnsi="宋体" w:cs="Arial"/>
          <w:color w:val="auto"/>
          <w:szCs w:val="21"/>
        </w:rPr>
        <w:t>★</w:t>
      </w:r>
      <w:r>
        <w:rPr>
          <w:rFonts w:hint="eastAsia" w:ascii="宋体" w:hAnsi="宋体" w:cs="宋体"/>
          <w:color w:val="auto"/>
          <w:sz w:val="24"/>
        </w:rPr>
        <w:t>6.1 交付时间：自合同签订后100日历天内完成全部供货及交付工作</w:t>
      </w:r>
      <w:r>
        <w:rPr>
          <w:rFonts w:ascii="宋体" w:hAnsi="宋体" w:cs="宋体"/>
          <w:color w:val="auto"/>
          <w:sz w:val="24"/>
        </w:rPr>
        <w:t>。</w:t>
      </w:r>
    </w:p>
    <w:p w14:paraId="52F0120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6.2 交付地点：</w:t>
      </w:r>
      <w:r>
        <w:rPr>
          <w:rFonts w:ascii="宋体" w:hAnsi="宋体" w:cs="宋体"/>
          <w:color w:val="auto"/>
          <w:sz w:val="24"/>
        </w:rPr>
        <w:t>采购人指定地点。</w:t>
      </w:r>
    </w:p>
    <w:p w14:paraId="27728988">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付款方式</w:t>
      </w:r>
    </w:p>
    <w:p w14:paraId="42DD892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7.1 合同签订生效后，甲方自收到发票后的7个工作日内支付合同总价款的</w:t>
      </w:r>
      <w:r>
        <w:rPr>
          <w:rFonts w:ascii="宋体" w:hAnsi="宋体" w:cs="宋体"/>
          <w:color w:val="auto"/>
          <w:sz w:val="24"/>
        </w:rPr>
        <w:t>5</w:t>
      </w:r>
      <w:r>
        <w:rPr>
          <w:rFonts w:hint="eastAsia" w:ascii="宋体" w:hAnsi="宋体" w:cs="宋体"/>
          <w:color w:val="auto"/>
          <w:sz w:val="24"/>
        </w:rPr>
        <w:t>0%作为项目采购实施的预付款；</w:t>
      </w:r>
    </w:p>
    <w:p w14:paraId="47E49A7A">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7.2 项目安装、调试完成并经初步验收合格后（采购人验收报告出具之日。），甲方自收到发票后的7个工作日内，支付至合同总价的70％；</w:t>
      </w:r>
    </w:p>
    <w:p w14:paraId="748020E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7.3 项目最终验收合格且审计后（采购人验收报告出具之日），甲方自收到发票后的</w:t>
      </w:r>
      <w:r>
        <w:rPr>
          <w:rFonts w:ascii="宋体" w:hAnsi="宋体" w:cs="宋体"/>
          <w:color w:val="auto"/>
          <w:sz w:val="24"/>
        </w:rPr>
        <w:t>7</w:t>
      </w:r>
      <w:r>
        <w:rPr>
          <w:rFonts w:hint="eastAsia" w:ascii="宋体" w:hAnsi="宋体" w:cs="宋体"/>
          <w:color w:val="auto"/>
          <w:sz w:val="24"/>
        </w:rPr>
        <w:t>个工作日内，支付至审定价的97％；质保满一年后支付至审定价的9</w:t>
      </w:r>
      <w:r>
        <w:rPr>
          <w:rFonts w:ascii="宋体" w:hAnsi="宋体" w:cs="宋体"/>
          <w:color w:val="auto"/>
          <w:sz w:val="24"/>
        </w:rPr>
        <w:t>8</w:t>
      </w:r>
      <w:r>
        <w:rPr>
          <w:rFonts w:hint="eastAsia" w:ascii="宋体" w:hAnsi="宋体" w:cs="宋体"/>
          <w:color w:val="auto"/>
          <w:sz w:val="24"/>
        </w:rPr>
        <w:t>%，质保满二年时，投标人提供持续保障第三年售后和运维的承诺函以及发票后付清余款，甲方自收到发票后的15日内支付款项。</w:t>
      </w:r>
    </w:p>
    <w:p w14:paraId="704B3FE9">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验收要求</w:t>
      </w:r>
    </w:p>
    <w:p w14:paraId="57724133">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8.1 采购标的须严格执行国家、行业、地方及现行相关标准规范。</w:t>
      </w:r>
    </w:p>
    <w:p w14:paraId="0CA4FDD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8.2 设备到达采购人现场，应提前通知采购人。安装开始前，中标人应委派技术人员和采购单位的代表，根据有关清单共同对设备进行开箱验收，一旦清单与采购要求不符或发现缺损，中标人须立即予以更换，有关费用全部由中标人承担。</w:t>
      </w:r>
    </w:p>
    <w:p w14:paraId="66225AB6">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8.3 采购人依据采购文件技术规格、国家现行相关质量标准开展现场初步验收。产品外观、数量、型号、参数、说明书等均符合采购文件技术要求及投标承诺的，予以签收；初步验收不合格的，不予签收。若所供产品与投标承诺不符或存在虚假承诺情形的，采购人有权按规定作退货及违约处理，由此产生的一切责任、费用及损失均由中标人承担，采购人保留进一步追究相关责任的权利。</w:t>
      </w:r>
    </w:p>
    <w:p w14:paraId="66CF1AA5">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8.4 最终验收按双方签订的合同条款逐项进行；若本招标项目另有要求的，从其规定。</w:t>
      </w:r>
    </w:p>
    <w:p w14:paraId="5C7D822F">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培训要求</w:t>
      </w:r>
    </w:p>
    <w:p w14:paraId="2A62EA5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9.1 </w:t>
      </w:r>
      <w:r>
        <w:rPr>
          <w:rFonts w:ascii="宋体" w:hAnsi="宋体" w:cs="宋体"/>
          <w:color w:val="auto"/>
          <w:sz w:val="24"/>
        </w:rPr>
        <w:t>中标人应提供培训</w:t>
      </w:r>
      <w:r>
        <w:rPr>
          <w:rFonts w:hint="eastAsia" w:ascii="宋体" w:hAnsi="宋体" w:cs="宋体"/>
          <w:color w:val="auto"/>
          <w:sz w:val="24"/>
        </w:rPr>
        <w:t>服务</w:t>
      </w:r>
      <w:r>
        <w:rPr>
          <w:rFonts w:ascii="宋体" w:hAnsi="宋体" w:cs="宋体"/>
          <w:color w:val="auto"/>
          <w:sz w:val="24"/>
        </w:rPr>
        <w:t>，培训时间</w:t>
      </w:r>
      <w:r>
        <w:rPr>
          <w:rFonts w:hint="eastAsia" w:ascii="宋体" w:hAnsi="宋体" w:cs="宋体"/>
          <w:color w:val="auto"/>
          <w:sz w:val="24"/>
        </w:rPr>
        <w:t>、培训</w:t>
      </w:r>
      <w:r>
        <w:rPr>
          <w:rFonts w:ascii="宋体" w:hAnsi="宋体" w:cs="宋体"/>
          <w:color w:val="auto"/>
          <w:sz w:val="24"/>
        </w:rPr>
        <w:t>形式由采购人确定，相关培训费用由中标人全额承担，采购人无需另行支付任何费用。</w:t>
      </w:r>
    </w:p>
    <w:p w14:paraId="6ACDFA1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9.2 中标人</w:t>
      </w:r>
      <w:r>
        <w:rPr>
          <w:rFonts w:ascii="宋体" w:hAnsi="宋体" w:cs="宋体"/>
          <w:color w:val="auto"/>
          <w:sz w:val="24"/>
        </w:rPr>
        <w:t>需在培训开始7天前</w:t>
      </w:r>
      <w:r>
        <w:rPr>
          <w:rFonts w:hint="eastAsia" w:ascii="宋体" w:hAnsi="宋体" w:cs="宋体"/>
          <w:color w:val="auto"/>
          <w:sz w:val="24"/>
        </w:rPr>
        <w:t>，</w:t>
      </w:r>
      <w:r>
        <w:rPr>
          <w:rFonts w:ascii="宋体" w:hAnsi="宋体" w:cs="宋体"/>
          <w:color w:val="auto"/>
          <w:sz w:val="24"/>
        </w:rPr>
        <w:t>将全部培训资料报送采购人审核确认，未经采购人审核通过不得开展培训</w:t>
      </w:r>
      <w:r>
        <w:rPr>
          <w:rFonts w:hint="eastAsia" w:ascii="宋体" w:hAnsi="宋体" w:cs="宋体"/>
          <w:color w:val="auto"/>
          <w:sz w:val="24"/>
        </w:rPr>
        <w:t>，</w:t>
      </w:r>
      <w:r>
        <w:rPr>
          <w:rFonts w:ascii="宋体" w:hAnsi="宋体" w:cs="宋体"/>
          <w:color w:val="auto"/>
          <w:sz w:val="24"/>
        </w:rPr>
        <w:t>所有</w:t>
      </w:r>
      <w:r>
        <w:rPr>
          <w:rFonts w:hint="eastAsia" w:ascii="宋体" w:hAnsi="宋体" w:cs="宋体"/>
          <w:color w:val="auto"/>
          <w:sz w:val="24"/>
        </w:rPr>
        <w:t>培训资料</w:t>
      </w:r>
      <w:r>
        <w:rPr>
          <w:rFonts w:ascii="宋体" w:hAnsi="宋体" w:cs="宋体"/>
          <w:color w:val="auto"/>
          <w:sz w:val="24"/>
        </w:rPr>
        <w:t>均以中文书写</w:t>
      </w:r>
      <w:r>
        <w:rPr>
          <w:rFonts w:hint="eastAsia" w:ascii="宋体" w:hAnsi="宋体" w:cs="宋体"/>
          <w:color w:val="auto"/>
          <w:sz w:val="24"/>
        </w:rPr>
        <w:t>。</w:t>
      </w:r>
    </w:p>
    <w:p w14:paraId="536244C0">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售后要求</w:t>
      </w:r>
    </w:p>
    <w:p w14:paraId="201F0E29">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10.1 按国家有关规定实行产品“三包”，所有产品质保期不少于三年，质保期自产品验收合格之日算起。</w:t>
      </w:r>
    </w:p>
    <w:p w14:paraId="37C1658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▲10.2 投标单位承诺中标后质保期内应免费提供7x24小时技术支撑服务，项目货物产品发生质量问题时或出现设备故障问题时，1小时内进行电话或即时通信等远程支持方式排查解决；当远程无法解决时，技术人员须2小时内到达现场排除故障，不能排除的需提供恢复系统运行的备品备件，并在</w:t>
      </w:r>
      <w:r>
        <w:rPr>
          <w:rFonts w:ascii="宋体" w:hAnsi="宋体" w:cs="宋体"/>
          <w:color w:val="auto"/>
          <w:sz w:val="24"/>
        </w:rPr>
        <w:t>48</w:t>
      </w:r>
      <w:r>
        <w:rPr>
          <w:rFonts w:hint="eastAsia" w:ascii="宋体" w:hAnsi="宋体" w:cs="宋体"/>
          <w:color w:val="auto"/>
          <w:sz w:val="24"/>
        </w:rPr>
        <w:t>小时之内解决故障，恢复运行（承诺书自拟）。</w:t>
      </w:r>
    </w:p>
    <w:p w14:paraId="5F58430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10.3 质保期内免费</w:t>
      </w:r>
      <w:r>
        <w:rPr>
          <w:rFonts w:ascii="宋体" w:hAnsi="宋体" w:cs="宋体"/>
          <w:color w:val="auto"/>
          <w:sz w:val="24"/>
        </w:rPr>
        <w:t>服务包含但不限于：运维保障</w:t>
      </w:r>
      <w:r>
        <w:rPr>
          <w:rFonts w:hint="eastAsia" w:ascii="宋体" w:hAnsi="宋体" w:cs="宋体"/>
          <w:color w:val="auto"/>
          <w:sz w:val="24"/>
        </w:rPr>
        <w:t>、</w:t>
      </w:r>
      <w:r>
        <w:rPr>
          <w:rFonts w:ascii="宋体" w:hAnsi="宋体" w:cs="宋体"/>
          <w:color w:val="auto"/>
          <w:sz w:val="24"/>
        </w:rPr>
        <w:t>培训</w:t>
      </w:r>
      <w:r>
        <w:rPr>
          <w:rFonts w:hint="eastAsia" w:ascii="宋体" w:hAnsi="宋体" w:cs="宋体"/>
          <w:color w:val="auto"/>
          <w:sz w:val="24"/>
        </w:rPr>
        <w:t>指导、定期回访等。</w:t>
      </w:r>
    </w:p>
    <w:p w14:paraId="581114BA">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 xml:space="preserve">10.4 </w:t>
      </w:r>
      <w:r>
        <w:rPr>
          <w:rFonts w:ascii="宋体" w:hAnsi="宋体" w:cs="宋体"/>
          <w:color w:val="auto"/>
          <w:sz w:val="24"/>
        </w:rPr>
        <w:t>本项目须</w:t>
      </w:r>
      <w:r>
        <w:rPr>
          <w:rFonts w:hint="eastAsia" w:ascii="宋体" w:hAnsi="宋体" w:cs="宋体"/>
          <w:color w:val="auto"/>
          <w:sz w:val="24"/>
        </w:rPr>
        <w:t>提</w:t>
      </w:r>
      <w:r>
        <w:rPr>
          <w:rFonts w:ascii="宋体" w:hAnsi="宋体" w:cs="宋体"/>
          <w:color w:val="auto"/>
          <w:sz w:val="24"/>
        </w:rPr>
        <w:t>供</w:t>
      </w:r>
      <w:r>
        <w:rPr>
          <w:rFonts w:hint="eastAsia" w:ascii="宋体" w:hAnsi="宋体" w:cs="宋体"/>
          <w:color w:val="auto"/>
          <w:sz w:val="24"/>
        </w:rPr>
        <w:t xml:space="preserve"> </w:t>
      </w:r>
      <w:r>
        <w:rPr>
          <w:rFonts w:ascii="宋体" w:hAnsi="宋体" w:cs="宋体"/>
          <w:color w:val="auto"/>
          <w:sz w:val="24"/>
        </w:rPr>
        <w:t>12 个月驻点运维</w:t>
      </w:r>
      <w:r>
        <w:rPr>
          <w:rFonts w:hint="eastAsia" w:ascii="宋体" w:hAnsi="宋体" w:cs="宋体"/>
          <w:color w:val="auto"/>
          <w:sz w:val="24"/>
        </w:rPr>
        <w:t>服务。</w:t>
      </w:r>
    </w:p>
    <w:p w14:paraId="462EF9D7">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其他要求</w:t>
      </w:r>
    </w:p>
    <w:p w14:paraId="2009AD0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11.1 本项目建设须落实</w:t>
      </w:r>
      <w:r>
        <w:rPr>
          <w:rFonts w:ascii="宋体" w:hAnsi="宋体" w:cs="宋体"/>
          <w:color w:val="auto"/>
          <w:sz w:val="24"/>
        </w:rPr>
        <w:t>等保2.0</w:t>
      </w:r>
      <w:r>
        <w:rPr>
          <w:rFonts w:hint="eastAsia" w:ascii="宋体" w:hAnsi="宋体" w:cs="宋体"/>
          <w:color w:val="auto"/>
          <w:sz w:val="24"/>
        </w:rPr>
        <w:t>二级要求</w:t>
      </w:r>
      <w:r>
        <w:rPr>
          <w:rFonts w:ascii="宋体" w:hAnsi="宋体" w:cs="宋体"/>
          <w:color w:val="auto"/>
          <w:sz w:val="24"/>
        </w:rPr>
        <w:t>以及商用密码安全</w:t>
      </w:r>
      <w:r>
        <w:rPr>
          <w:rFonts w:hint="eastAsia" w:ascii="宋体" w:hAnsi="宋体" w:cs="宋体"/>
          <w:color w:val="auto"/>
          <w:sz w:val="24"/>
        </w:rPr>
        <w:t>建设要求，</w:t>
      </w:r>
      <w:r>
        <w:rPr>
          <w:rFonts w:ascii="宋体" w:hAnsi="宋体" w:cs="宋体"/>
          <w:color w:val="auto"/>
          <w:sz w:val="24"/>
        </w:rPr>
        <w:t>完成对应配套体系搭建、设备部署等工作，</w:t>
      </w:r>
      <w:r>
        <w:rPr>
          <w:rFonts w:hint="eastAsia" w:ascii="宋体" w:hAnsi="宋体" w:cs="宋体"/>
          <w:color w:val="auto"/>
          <w:sz w:val="24"/>
        </w:rPr>
        <w:t>并通过</w:t>
      </w:r>
      <w:r>
        <w:rPr>
          <w:rFonts w:ascii="宋体" w:hAnsi="宋体" w:cs="宋体"/>
          <w:color w:val="auto"/>
          <w:sz w:val="24"/>
        </w:rPr>
        <w:t>等保测评以及商用密码安全应用评估</w:t>
      </w:r>
      <w:r>
        <w:rPr>
          <w:rFonts w:hint="eastAsia" w:ascii="宋体" w:hAnsi="宋体" w:cs="宋体"/>
          <w:color w:val="auto"/>
          <w:sz w:val="24"/>
        </w:rPr>
        <w:t>。</w:t>
      </w:r>
    </w:p>
    <w:p w14:paraId="0BA984DE">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 xml:space="preserve">11.2 </w:t>
      </w:r>
      <w:r>
        <w:rPr>
          <w:rFonts w:ascii="宋体" w:hAnsi="宋体" w:cs="宋体"/>
          <w:color w:val="auto"/>
          <w:sz w:val="24"/>
        </w:rPr>
        <w:t>本项目</w:t>
      </w:r>
      <w:r>
        <w:rPr>
          <w:rFonts w:hint="eastAsia" w:ascii="宋体" w:hAnsi="宋体" w:cs="宋体"/>
          <w:color w:val="auto"/>
          <w:sz w:val="24"/>
        </w:rPr>
        <w:t>须提供托管机房用于部署相关设备。部署环境及配套设施须符合等保及商密要求，同时搭建连接盱眙县应急管理局的专用通信链路。</w:t>
      </w:r>
      <w:r>
        <w:rPr>
          <w:rFonts w:ascii="宋体" w:hAnsi="宋体" w:cs="宋体"/>
          <w:color w:val="auto"/>
          <w:sz w:val="24"/>
        </w:rPr>
        <w:t>上述所有服务产生的全部费用，均由中标人自行承担</w:t>
      </w:r>
      <w:r>
        <w:rPr>
          <w:rFonts w:hint="eastAsia" w:ascii="宋体" w:hAnsi="宋体" w:cs="宋体"/>
          <w:color w:val="auto"/>
          <w:sz w:val="24"/>
        </w:rPr>
        <w:t>。</w:t>
      </w:r>
    </w:p>
    <w:p w14:paraId="7AF6D79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11.3 </w:t>
      </w:r>
      <w:r>
        <w:rPr>
          <w:rFonts w:ascii="宋体" w:hAnsi="宋体" w:cs="宋体"/>
          <w:color w:val="auto"/>
          <w:sz w:val="24"/>
        </w:rPr>
        <w:t>投标人应自行前往项目现场进行实地踏勘，充分了解项目场地现状、周边环境、配套条件、施工限制</w:t>
      </w:r>
      <w:r>
        <w:rPr>
          <w:rFonts w:hint="eastAsia" w:ascii="宋体" w:hAnsi="宋体" w:cs="宋体"/>
          <w:color w:val="auto"/>
          <w:sz w:val="24"/>
        </w:rPr>
        <w:t>等一切</w:t>
      </w:r>
      <w:r>
        <w:rPr>
          <w:rFonts w:ascii="宋体" w:hAnsi="宋体" w:cs="宋体"/>
          <w:color w:val="auto"/>
          <w:sz w:val="24"/>
        </w:rPr>
        <w:t>与本项目实施相关的现场情况。投标人递交投标文件，即视为已完全知悉并认可现场全部实际条件，后续不得以不了解现场情况为由提出工期、价款、变更、索赔等相关诉求。</w:t>
      </w:r>
    </w:p>
    <w:p w14:paraId="052C3FE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11.4 </w:t>
      </w:r>
      <w:r>
        <w:rPr>
          <w:rFonts w:ascii="宋体" w:hAnsi="宋体" w:cs="宋体"/>
          <w:color w:val="auto"/>
          <w:sz w:val="24"/>
        </w:rPr>
        <w:t>投标人应自行调研、收集</w:t>
      </w:r>
      <w:r>
        <w:rPr>
          <w:rFonts w:hint="eastAsia" w:ascii="宋体" w:hAnsi="宋体" w:cs="宋体"/>
          <w:color w:val="auto"/>
          <w:sz w:val="24"/>
        </w:rPr>
        <w:t>并掌握</w:t>
      </w:r>
      <w:r>
        <w:rPr>
          <w:rFonts w:ascii="宋体" w:hAnsi="宋体" w:cs="宋体"/>
          <w:color w:val="auto"/>
          <w:sz w:val="24"/>
        </w:rPr>
        <w:t>本项目涉及</w:t>
      </w:r>
      <w:r>
        <w:rPr>
          <w:rFonts w:hint="eastAsia" w:ascii="宋体" w:hAnsi="宋体" w:cs="宋体"/>
          <w:color w:val="auto"/>
          <w:sz w:val="24"/>
        </w:rPr>
        <w:t>的</w:t>
      </w:r>
      <w:r>
        <w:rPr>
          <w:rFonts w:ascii="宋体" w:hAnsi="宋体" w:cs="宋体"/>
          <w:color w:val="auto"/>
          <w:sz w:val="24"/>
        </w:rPr>
        <w:t>所有系统对接、平台接入、数据互通</w:t>
      </w:r>
      <w:r>
        <w:rPr>
          <w:rFonts w:hint="eastAsia" w:ascii="宋体" w:hAnsi="宋体" w:cs="宋体"/>
          <w:color w:val="auto"/>
          <w:sz w:val="24"/>
        </w:rPr>
        <w:t>的</w:t>
      </w:r>
      <w:r>
        <w:rPr>
          <w:rFonts w:ascii="宋体" w:hAnsi="宋体" w:cs="宋体"/>
          <w:color w:val="auto"/>
          <w:sz w:val="24"/>
        </w:rPr>
        <w:t>相关国家、行业、地方现行标准、技术规范、接口协议及管理要求，充分研判各类对接约束条件、技术限制与合规细则。</w:t>
      </w:r>
      <w:r>
        <w:rPr>
          <w:rFonts w:hint="eastAsia" w:ascii="宋体" w:hAnsi="宋体" w:cs="宋体"/>
          <w:color w:val="auto"/>
          <w:sz w:val="24"/>
        </w:rPr>
        <w:t>若</w:t>
      </w:r>
      <w:r>
        <w:rPr>
          <w:rFonts w:ascii="宋体" w:hAnsi="宋体" w:cs="宋体"/>
          <w:color w:val="auto"/>
          <w:sz w:val="24"/>
        </w:rPr>
        <w:t>投标人因未充分</w:t>
      </w:r>
      <w:r>
        <w:rPr>
          <w:rFonts w:hint="eastAsia" w:ascii="宋体" w:hAnsi="宋体" w:cs="宋体"/>
          <w:color w:val="auto"/>
          <w:sz w:val="24"/>
        </w:rPr>
        <w:t>了解</w:t>
      </w:r>
      <w:r>
        <w:rPr>
          <w:rFonts w:ascii="宋体" w:hAnsi="宋体" w:cs="宋体"/>
          <w:color w:val="auto"/>
          <w:sz w:val="24"/>
        </w:rPr>
        <w:t>相关规范、标准</w:t>
      </w:r>
      <w:r>
        <w:rPr>
          <w:rFonts w:hint="eastAsia" w:ascii="宋体" w:hAnsi="宋体" w:cs="宋体"/>
          <w:color w:val="auto"/>
          <w:sz w:val="24"/>
        </w:rPr>
        <w:t>，在中标公示结束后5个日历日内，出现</w:t>
      </w:r>
      <w:r>
        <w:rPr>
          <w:rFonts w:ascii="宋体" w:hAnsi="宋体" w:cs="宋体"/>
          <w:color w:val="auto"/>
          <w:sz w:val="24"/>
        </w:rPr>
        <w:t>对接</w:t>
      </w:r>
      <w:r>
        <w:rPr>
          <w:rFonts w:hint="eastAsia" w:ascii="宋体" w:hAnsi="宋体" w:cs="宋体"/>
          <w:color w:val="auto"/>
          <w:sz w:val="24"/>
        </w:rPr>
        <w:t>或接入</w:t>
      </w:r>
      <w:r>
        <w:rPr>
          <w:rFonts w:ascii="宋体" w:hAnsi="宋体" w:cs="宋体"/>
          <w:color w:val="auto"/>
          <w:sz w:val="24"/>
        </w:rPr>
        <w:t>失败等</w:t>
      </w:r>
      <w:r>
        <w:rPr>
          <w:rFonts w:hint="eastAsia" w:ascii="宋体" w:hAnsi="宋体" w:cs="宋体"/>
          <w:color w:val="auto"/>
          <w:sz w:val="24"/>
        </w:rPr>
        <w:t>问题</w:t>
      </w:r>
      <w:r>
        <w:rPr>
          <w:rFonts w:ascii="宋体" w:hAnsi="宋体" w:cs="宋体"/>
          <w:color w:val="auto"/>
          <w:sz w:val="24"/>
        </w:rPr>
        <w:t>，</w:t>
      </w:r>
      <w:r>
        <w:rPr>
          <w:rFonts w:hint="eastAsia" w:ascii="宋体" w:hAnsi="宋体" w:cs="宋体"/>
          <w:color w:val="auto"/>
          <w:sz w:val="24"/>
        </w:rPr>
        <w:t>投标人自愿放弃中标。相关后果由投</w:t>
      </w:r>
      <w:r>
        <w:rPr>
          <w:rFonts w:ascii="宋体" w:hAnsi="宋体" w:cs="宋体"/>
          <w:color w:val="auto"/>
          <w:sz w:val="24"/>
        </w:rPr>
        <w:t>标人自行承担，招标人不承担任何补偿及</w:t>
      </w:r>
      <w:r>
        <w:rPr>
          <w:rFonts w:hint="eastAsia" w:ascii="宋体" w:hAnsi="宋体" w:cs="宋体"/>
          <w:color w:val="auto"/>
          <w:sz w:val="24"/>
        </w:rPr>
        <w:t>相关</w:t>
      </w:r>
      <w:r>
        <w:rPr>
          <w:rFonts w:ascii="宋体" w:hAnsi="宋体" w:cs="宋体"/>
          <w:color w:val="auto"/>
          <w:sz w:val="24"/>
        </w:rPr>
        <w:t>责任。</w:t>
      </w:r>
    </w:p>
    <w:p w14:paraId="11FD2EE0">
      <w:pPr>
        <w:adjustRightInd w:val="0"/>
        <w:snapToGrid w:val="0"/>
        <w:spacing w:line="360" w:lineRule="auto"/>
        <w:ind w:firstLine="480" w:firstLineChars="200"/>
        <w:rPr>
          <w:rFonts w:ascii="宋体" w:hAnsi="宋体" w:cs="宋体"/>
          <w:color w:val="auto"/>
          <w:sz w:val="24"/>
        </w:rPr>
      </w:pPr>
    </w:p>
    <w:p w14:paraId="692D53E5">
      <w:pPr>
        <w:pStyle w:val="3"/>
        <w:numPr>
          <w:ilvl w:val="0"/>
          <w:numId w:val="4"/>
        </w:numPr>
        <w:spacing w:before="0" w:beforeLines="0"/>
        <w:ind w:left="0" w:firstLine="0"/>
        <w:rPr>
          <w:rFonts w:ascii="宋体" w:hAnsi="宋体" w:eastAsia="宋体"/>
          <w:color w:val="auto"/>
        </w:rPr>
      </w:pPr>
      <w:r>
        <w:rPr>
          <w:rFonts w:hint="eastAsia" w:ascii="宋体" w:hAnsi="宋体" w:eastAsia="宋体"/>
          <w:color w:val="auto"/>
        </w:rPr>
        <w:t>技术要求</w:t>
      </w:r>
    </w:p>
    <w:p w14:paraId="4BBD4758">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12.1 盱眙县综合防灾能力建设项目采购清单</w:t>
      </w:r>
    </w:p>
    <w:tbl>
      <w:tblPr>
        <w:tblStyle w:val="44"/>
        <w:tblW w:w="9682" w:type="dxa"/>
        <w:jc w:val="center"/>
        <w:tblLayout w:type="fixed"/>
        <w:tblCellMar>
          <w:top w:w="0" w:type="dxa"/>
          <w:left w:w="108" w:type="dxa"/>
          <w:bottom w:w="0" w:type="dxa"/>
          <w:right w:w="108" w:type="dxa"/>
        </w:tblCellMar>
      </w:tblPr>
      <w:tblGrid>
        <w:gridCol w:w="819"/>
        <w:gridCol w:w="1397"/>
        <w:gridCol w:w="5717"/>
        <w:gridCol w:w="900"/>
        <w:gridCol w:w="243"/>
        <w:gridCol w:w="606"/>
      </w:tblGrid>
      <w:tr w14:paraId="6342CA6E">
        <w:tblPrEx>
          <w:tblCellMar>
            <w:top w:w="0" w:type="dxa"/>
            <w:left w:w="108" w:type="dxa"/>
            <w:bottom w:w="0" w:type="dxa"/>
            <w:right w:w="108" w:type="dxa"/>
          </w:tblCellMar>
        </w:tblPrEx>
        <w:trPr>
          <w:tblHeader/>
          <w:jc w:val="center"/>
        </w:trPr>
        <w:tc>
          <w:tcPr>
            <w:tcW w:w="819" w:type="dxa"/>
            <w:tcBorders>
              <w:top w:val="single" w:color="auto" w:sz="4" w:space="0"/>
              <w:left w:val="single" w:color="auto" w:sz="4" w:space="0"/>
              <w:bottom w:val="single" w:color="auto" w:sz="4" w:space="0"/>
              <w:right w:val="single" w:color="auto" w:sz="4" w:space="0"/>
            </w:tcBorders>
            <w:vAlign w:val="center"/>
          </w:tcPr>
          <w:p w14:paraId="50E42144">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序号</w:t>
            </w:r>
          </w:p>
        </w:tc>
        <w:tc>
          <w:tcPr>
            <w:tcW w:w="1397" w:type="dxa"/>
            <w:tcBorders>
              <w:top w:val="single" w:color="auto" w:sz="4" w:space="0"/>
              <w:left w:val="nil"/>
              <w:bottom w:val="single" w:color="auto" w:sz="4" w:space="0"/>
              <w:right w:val="single" w:color="auto" w:sz="4" w:space="0"/>
            </w:tcBorders>
            <w:vAlign w:val="center"/>
          </w:tcPr>
          <w:p w14:paraId="5ADD05D1">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产品名称</w:t>
            </w:r>
          </w:p>
        </w:tc>
        <w:tc>
          <w:tcPr>
            <w:tcW w:w="5717" w:type="dxa"/>
            <w:tcBorders>
              <w:top w:val="single" w:color="auto" w:sz="4" w:space="0"/>
              <w:left w:val="nil"/>
              <w:bottom w:val="single" w:color="auto" w:sz="4" w:space="0"/>
              <w:right w:val="single" w:color="auto" w:sz="4" w:space="0"/>
            </w:tcBorders>
            <w:vAlign w:val="center"/>
          </w:tcPr>
          <w:p w14:paraId="6C351424">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参数规格</w:t>
            </w:r>
          </w:p>
        </w:tc>
        <w:tc>
          <w:tcPr>
            <w:tcW w:w="900" w:type="dxa"/>
            <w:tcBorders>
              <w:top w:val="single" w:color="auto" w:sz="4" w:space="0"/>
              <w:left w:val="nil"/>
              <w:bottom w:val="single" w:color="auto" w:sz="4" w:space="0"/>
              <w:right w:val="single" w:color="auto" w:sz="4" w:space="0"/>
            </w:tcBorders>
            <w:vAlign w:val="center"/>
          </w:tcPr>
          <w:p w14:paraId="4B529486">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数量</w:t>
            </w:r>
          </w:p>
        </w:tc>
        <w:tc>
          <w:tcPr>
            <w:tcW w:w="849" w:type="dxa"/>
            <w:gridSpan w:val="2"/>
            <w:tcBorders>
              <w:top w:val="single" w:color="auto" w:sz="4" w:space="0"/>
              <w:left w:val="nil"/>
              <w:bottom w:val="single" w:color="auto" w:sz="4" w:space="0"/>
              <w:right w:val="single" w:color="auto" w:sz="4" w:space="0"/>
            </w:tcBorders>
            <w:vAlign w:val="center"/>
          </w:tcPr>
          <w:p w14:paraId="3A18C4CD">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单位</w:t>
            </w:r>
          </w:p>
        </w:tc>
      </w:tr>
      <w:tr w14:paraId="2C6D0810">
        <w:tblPrEx>
          <w:tblCellMar>
            <w:top w:w="0" w:type="dxa"/>
            <w:left w:w="108" w:type="dxa"/>
            <w:bottom w:w="0" w:type="dxa"/>
            <w:right w:w="108" w:type="dxa"/>
          </w:tblCellMar>
        </w:tblPrEx>
        <w:trPr>
          <w:jc w:val="center"/>
        </w:trPr>
        <w:tc>
          <w:tcPr>
            <w:tcW w:w="9682" w:type="dxa"/>
            <w:gridSpan w:val="6"/>
            <w:tcBorders>
              <w:top w:val="nil"/>
              <w:left w:val="single" w:color="auto" w:sz="4" w:space="0"/>
              <w:bottom w:val="single" w:color="auto" w:sz="4" w:space="0"/>
              <w:right w:val="single" w:color="auto" w:sz="4" w:space="0"/>
            </w:tcBorders>
            <w:vAlign w:val="center"/>
          </w:tcPr>
          <w:p w14:paraId="11CACED2">
            <w:pPr>
              <w:widowControl/>
              <w:spacing w:line="400" w:lineRule="exact"/>
              <w:jc w:val="left"/>
              <w:rPr>
                <w:rFonts w:ascii="宋体" w:hAnsi="宋体" w:cs="Arial"/>
                <w:b/>
                <w:bCs/>
                <w:color w:val="auto"/>
                <w:sz w:val="18"/>
                <w:szCs w:val="18"/>
              </w:rPr>
            </w:pPr>
            <w:r>
              <w:rPr>
                <w:rFonts w:ascii="宋体" w:hAnsi="宋体" w:cs="Arial"/>
                <w:b/>
                <w:bCs/>
                <w:color w:val="auto"/>
                <w:sz w:val="18"/>
                <w:szCs w:val="18"/>
              </w:rPr>
              <w:t>建强应急指挥体系</w:t>
            </w:r>
          </w:p>
        </w:tc>
      </w:tr>
      <w:tr w14:paraId="5ABED650">
        <w:tblPrEx>
          <w:tblCellMar>
            <w:top w:w="0" w:type="dxa"/>
            <w:left w:w="108" w:type="dxa"/>
            <w:bottom w:w="0" w:type="dxa"/>
            <w:right w:w="108" w:type="dxa"/>
          </w:tblCellMar>
        </w:tblPrEx>
        <w:trPr>
          <w:jc w:val="center"/>
        </w:trPr>
        <w:tc>
          <w:tcPr>
            <w:tcW w:w="9682" w:type="dxa"/>
            <w:gridSpan w:val="6"/>
            <w:tcBorders>
              <w:top w:val="nil"/>
              <w:left w:val="single" w:color="auto" w:sz="4" w:space="0"/>
              <w:bottom w:val="single" w:color="auto" w:sz="4" w:space="0"/>
              <w:right w:val="single" w:color="auto" w:sz="4" w:space="0"/>
            </w:tcBorders>
            <w:vAlign w:val="center"/>
          </w:tcPr>
          <w:p w14:paraId="487C11AC">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应急指挥设备</w:t>
            </w:r>
          </w:p>
        </w:tc>
      </w:tr>
      <w:tr w14:paraId="112197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30AB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428AC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天通卫星智能手机</w:t>
            </w:r>
          </w:p>
        </w:tc>
        <w:tc>
          <w:tcPr>
            <w:tcW w:w="5717" w:type="dxa"/>
            <w:tcBorders>
              <w:top w:val="nil"/>
              <w:left w:val="nil"/>
              <w:bottom w:val="single" w:color="auto" w:sz="4" w:space="0"/>
              <w:right w:val="single" w:color="auto" w:sz="4" w:space="0"/>
            </w:tcBorders>
            <w:vAlign w:val="center"/>
          </w:tcPr>
          <w:p w14:paraId="228BC983">
            <w:pPr>
              <w:widowControl/>
              <w:spacing w:line="400" w:lineRule="exact"/>
              <w:rPr>
                <w:rFonts w:ascii="宋体" w:hAnsi="宋体" w:cs="Arial"/>
                <w:color w:val="auto"/>
                <w:sz w:val="18"/>
                <w:szCs w:val="18"/>
              </w:rPr>
            </w:pPr>
            <w:r>
              <w:rPr>
                <w:rFonts w:hint="eastAsia" w:ascii="宋体" w:hAnsi="宋体" w:cs="Arial"/>
                <w:color w:val="auto"/>
                <w:sz w:val="18"/>
                <w:szCs w:val="18"/>
              </w:rPr>
              <w:t>1.支持天通卫星电话，短信，支持4G全网通信；</w:t>
            </w:r>
          </w:p>
          <w:p w14:paraId="11073C82">
            <w:pPr>
              <w:widowControl/>
              <w:spacing w:line="400" w:lineRule="exact"/>
              <w:rPr>
                <w:rFonts w:ascii="宋体" w:hAnsi="宋体" w:cs="Arial"/>
                <w:color w:val="auto"/>
                <w:sz w:val="18"/>
                <w:szCs w:val="18"/>
              </w:rPr>
            </w:pPr>
            <w:r>
              <w:rPr>
                <w:rFonts w:hint="eastAsia" w:ascii="宋体" w:hAnsi="宋体" w:cs="Arial"/>
                <w:color w:val="auto"/>
                <w:sz w:val="18"/>
                <w:szCs w:val="18"/>
              </w:rPr>
              <w:t>2.支持定位；</w:t>
            </w:r>
          </w:p>
          <w:p w14:paraId="389DA66E">
            <w:pPr>
              <w:widowControl/>
              <w:spacing w:line="400" w:lineRule="exact"/>
              <w:rPr>
                <w:rFonts w:ascii="宋体" w:hAnsi="宋体" w:cs="Arial"/>
                <w:color w:val="auto"/>
                <w:sz w:val="18"/>
                <w:szCs w:val="18"/>
              </w:rPr>
            </w:pPr>
            <w:r>
              <w:rPr>
                <w:rFonts w:hint="eastAsia" w:ascii="宋体" w:hAnsi="宋体" w:cs="Arial"/>
                <w:color w:val="auto"/>
                <w:sz w:val="18"/>
                <w:szCs w:val="18"/>
              </w:rPr>
              <w:t>3.配备后置摄像头、实体按键(如音量键、对讲键、SOS按键)、强光手电筒等；</w:t>
            </w:r>
          </w:p>
          <w:p w14:paraId="01DD949B">
            <w:pPr>
              <w:widowControl/>
              <w:spacing w:line="400" w:lineRule="exact"/>
              <w:rPr>
                <w:rFonts w:ascii="宋体" w:hAnsi="宋体" w:cs="Arial"/>
                <w:color w:val="auto"/>
                <w:sz w:val="18"/>
                <w:szCs w:val="18"/>
              </w:rPr>
            </w:pPr>
            <w:r>
              <w:rPr>
                <w:rFonts w:hint="eastAsia" w:ascii="宋体" w:hAnsi="宋体" w:cs="Arial"/>
                <w:color w:val="auto"/>
                <w:sz w:val="18"/>
                <w:szCs w:val="18"/>
              </w:rPr>
              <w:t>4.配备可拆卸更换电池；</w:t>
            </w:r>
          </w:p>
          <w:p w14:paraId="4327FA46">
            <w:pPr>
              <w:widowControl/>
              <w:spacing w:line="400" w:lineRule="exact"/>
              <w:rPr>
                <w:rFonts w:ascii="宋体" w:hAnsi="宋体" w:cs="Arial"/>
                <w:color w:val="auto"/>
                <w:sz w:val="18"/>
                <w:szCs w:val="18"/>
              </w:rPr>
            </w:pPr>
            <w:r>
              <w:rPr>
                <w:rFonts w:hint="eastAsia" w:ascii="宋体" w:hAnsi="宋体" w:cs="Arial"/>
                <w:color w:val="auto"/>
                <w:sz w:val="18"/>
                <w:szCs w:val="18"/>
              </w:rPr>
              <w:t>5.国产CPU≥8核2GHz，内存≥3GB，存储≥32GB，支持扩展存储卡；</w:t>
            </w:r>
          </w:p>
          <w:p w14:paraId="2F53F803">
            <w:pPr>
              <w:widowControl/>
              <w:spacing w:line="400" w:lineRule="exact"/>
              <w:rPr>
                <w:rFonts w:ascii="宋体" w:hAnsi="宋体" w:cs="Arial"/>
                <w:color w:val="auto"/>
                <w:sz w:val="18"/>
                <w:szCs w:val="18"/>
              </w:rPr>
            </w:pPr>
            <w:r>
              <w:rPr>
                <w:rFonts w:hint="eastAsia" w:ascii="宋体" w:hAnsi="宋体" w:cs="Arial"/>
                <w:color w:val="auto"/>
                <w:sz w:val="18"/>
                <w:szCs w:val="18"/>
              </w:rPr>
              <w:t>▲6.显示屏≥3英寸，分辨率≥480*800，亮度≥450cd/m2；(提供带有CMA 或CNAS 标识的第三方权威检测机构出具的检测报告扫描件证明)</w:t>
            </w:r>
          </w:p>
          <w:p w14:paraId="170253C2">
            <w:pPr>
              <w:widowControl/>
              <w:spacing w:line="400" w:lineRule="exact"/>
              <w:rPr>
                <w:rFonts w:ascii="宋体" w:hAnsi="宋体" w:cs="Arial"/>
                <w:color w:val="auto"/>
                <w:sz w:val="18"/>
                <w:szCs w:val="18"/>
              </w:rPr>
            </w:pPr>
            <w:r>
              <w:rPr>
                <w:rFonts w:hint="eastAsia" w:ascii="宋体" w:hAnsi="宋体" w:cs="Arial"/>
                <w:color w:val="auto"/>
                <w:sz w:val="18"/>
                <w:szCs w:val="18"/>
              </w:rPr>
              <w:t>7.配备WiFi(支持2.4GHz、5GHz频段)、≥蓝牙5.0、Type-c接口(支持充电和数据传输)；</w:t>
            </w:r>
          </w:p>
          <w:p w14:paraId="61B05E92">
            <w:pPr>
              <w:widowControl/>
              <w:spacing w:line="400" w:lineRule="exact"/>
              <w:rPr>
                <w:rFonts w:ascii="宋体" w:hAnsi="宋体" w:cs="Arial"/>
                <w:color w:val="auto"/>
                <w:sz w:val="18"/>
                <w:szCs w:val="18"/>
              </w:rPr>
            </w:pPr>
            <w:r>
              <w:rPr>
                <w:rFonts w:hint="eastAsia" w:ascii="宋体" w:hAnsi="宋体" w:cs="Arial"/>
                <w:color w:val="auto"/>
                <w:sz w:val="18"/>
                <w:szCs w:val="18"/>
              </w:rPr>
              <w:t>▲8.待机时间≥180小时，支持快充；支持FM调频应急广播；(提供带有CMA 或CNAS 标识的第三方权威检测机构出具的检测报告扫描件证明)</w:t>
            </w:r>
          </w:p>
          <w:p w14:paraId="2A72DBF6">
            <w:pPr>
              <w:widowControl/>
              <w:spacing w:line="400" w:lineRule="exact"/>
              <w:rPr>
                <w:rFonts w:ascii="宋体" w:hAnsi="宋体" w:cs="Arial"/>
                <w:color w:val="auto"/>
                <w:sz w:val="18"/>
                <w:szCs w:val="18"/>
              </w:rPr>
            </w:pPr>
            <w:r>
              <w:rPr>
                <w:rFonts w:hint="eastAsia" w:ascii="宋体" w:hAnsi="宋体" w:cs="Arial"/>
                <w:color w:val="auto"/>
                <w:sz w:val="18"/>
                <w:szCs w:val="18"/>
              </w:rPr>
              <w:t>9.工作温度不低于-30~+50℃，防护特性≥IP68，跌落试验高度≥1.6米；</w:t>
            </w:r>
          </w:p>
          <w:p w14:paraId="611CFD15">
            <w:pPr>
              <w:widowControl/>
              <w:spacing w:line="400" w:lineRule="exact"/>
              <w:rPr>
                <w:rFonts w:ascii="宋体" w:hAnsi="宋体" w:cs="Arial"/>
                <w:color w:val="auto"/>
                <w:sz w:val="18"/>
                <w:szCs w:val="18"/>
              </w:rPr>
            </w:pPr>
            <w:r>
              <w:rPr>
                <w:rFonts w:hint="eastAsia" w:ascii="宋体" w:hAnsi="宋体" w:cs="Arial"/>
                <w:color w:val="auto"/>
                <w:sz w:val="18"/>
                <w:szCs w:val="18"/>
              </w:rPr>
              <w:t>▲10.支持北斗定位；(需符合《卫星定位导航授时设备单北斗测试技术规范》要求，并提交由国家认可的权威检测机构出具的认证材料扫描件)</w:t>
            </w:r>
          </w:p>
          <w:p w14:paraId="577EAE8D">
            <w:pPr>
              <w:widowControl/>
              <w:spacing w:line="400" w:lineRule="exact"/>
              <w:rPr>
                <w:rFonts w:ascii="宋体" w:hAnsi="宋体" w:cs="Arial"/>
                <w:color w:val="auto"/>
                <w:sz w:val="18"/>
                <w:szCs w:val="18"/>
              </w:rPr>
            </w:pPr>
            <w:r>
              <w:rPr>
                <w:rFonts w:hint="eastAsia" w:ascii="宋体" w:hAnsi="宋体" w:cs="Arial"/>
                <w:color w:val="auto"/>
                <w:sz w:val="18"/>
                <w:szCs w:val="18"/>
              </w:rPr>
              <w:t>11.具备电信设备进网批文/许可，无线电发射设备型号核准证。</w:t>
            </w:r>
          </w:p>
        </w:tc>
        <w:tc>
          <w:tcPr>
            <w:tcW w:w="900" w:type="dxa"/>
            <w:tcBorders>
              <w:top w:val="nil"/>
              <w:left w:val="nil"/>
              <w:bottom w:val="single" w:color="auto" w:sz="4" w:space="0"/>
              <w:right w:val="single" w:color="auto" w:sz="4" w:space="0"/>
            </w:tcBorders>
            <w:vAlign w:val="center"/>
          </w:tcPr>
          <w:p w14:paraId="31FB48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156.00 </w:t>
            </w:r>
          </w:p>
        </w:tc>
        <w:tc>
          <w:tcPr>
            <w:tcW w:w="849" w:type="dxa"/>
            <w:gridSpan w:val="2"/>
            <w:tcBorders>
              <w:top w:val="nil"/>
              <w:left w:val="nil"/>
              <w:bottom w:val="single" w:color="auto" w:sz="4" w:space="0"/>
              <w:right w:val="single" w:color="auto" w:sz="4" w:space="0"/>
            </w:tcBorders>
            <w:vAlign w:val="center"/>
          </w:tcPr>
          <w:p w14:paraId="10225B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5FA5C7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0CCB0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7AEA5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5G 单兵</w:t>
            </w:r>
          </w:p>
        </w:tc>
        <w:tc>
          <w:tcPr>
            <w:tcW w:w="5717" w:type="dxa"/>
            <w:tcBorders>
              <w:top w:val="nil"/>
              <w:left w:val="nil"/>
              <w:bottom w:val="single" w:color="auto" w:sz="4" w:space="0"/>
              <w:right w:val="single" w:color="auto" w:sz="4" w:space="0"/>
            </w:tcBorders>
            <w:vAlign w:val="center"/>
          </w:tcPr>
          <w:p w14:paraId="39D28F93">
            <w:pPr>
              <w:widowControl/>
              <w:spacing w:line="400" w:lineRule="exact"/>
              <w:rPr>
                <w:rFonts w:ascii="宋体" w:hAnsi="宋体" w:cs="Arial"/>
                <w:color w:val="auto"/>
                <w:sz w:val="18"/>
                <w:szCs w:val="18"/>
              </w:rPr>
            </w:pPr>
            <w:r>
              <w:rPr>
                <w:rFonts w:hint="eastAsia" w:ascii="宋体" w:hAnsi="宋体" w:cs="Arial"/>
                <w:color w:val="auto"/>
                <w:sz w:val="18"/>
                <w:szCs w:val="18"/>
              </w:rPr>
              <w:t>1.触摸显示屏≥6.5英寸，CPU≥8核2.0GHz，内存≥12GB，存储≥256GB，支持拓展存储卡；</w:t>
            </w:r>
          </w:p>
          <w:p w14:paraId="308E4EDE">
            <w:pPr>
              <w:widowControl/>
              <w:spacing w:line="400" w:lineRule="exact"/>
              <w:rPr>
                <w:rFonts w:ascii="宋体" w:hAnsi="宋体" w:cs="Arial"/>
                <w:color w:val="auto"/>
                <w:sz w:val="18"/>
                <w:szCs w:val="18"/>
              </w:rPr>
            </w:pPr>
            <w:r>
              <w:rPr>
                <w:rFonts w:hint="eastAsia" w:ascii="宋体" w:hAnsi="宋体" w:cs="Arial"/>
                <w:color w:val="auto"/>
                <w:sz w:val="18"/>
                <w:szCs w:val="18"/>
              </w:rPr>
              <w:t>2.支持5G全网通(向下兼容4G/3G/2G)，支持双卡双待；</w:t>
            </w:r>
          </w:p>
          <w:p w14:paraId="324FCBFC">
            <w:pPr>
              <w:widowControl/>
              <w:spacing w:line="400" w:lineRule="exact"/>
              <w:rPr>
                <w:rFonts w:ascii="宋体" w:hAnsi="宋体" w:cs="Arial"/>
                <w:color w:val="auto"/>
                <w:sz w:val="18"/>
                <w:szCs w:val="18"/>
              </w:rPr>
            </w:pPr>
            <w:r>
              <w:rPr>
                <w:rFonts w:hint="eastAsia" w:ascii="宋体" w:hAnsi="宋体" w:cs="Arial"/>
                <w:color w:val="auto"/>
                <w:sz w:val="18"/>
                <w:szCs w:val="18"/>
              </w:rPr>
              <w:t>3.配备前置摄像头，后置摄像头；</w:t>
            </w:r>
          </w:p>
          <w:p w14:paraId="5A7AFFDD">
            <w:pPr>
              <w:widowControl/>
              <w:spacing w:line="400" w:lineRule="exact"/>
              <w:rPr>
                <w:rFonts w:ascii="宋体" w:hAnsi="宋体" w:cs="Arial"/>
                <w:color w:val="auto"/>
                <w:sz w:val="18"/>
                <w:szCs w:val="18"/>
              </w:rPr>
            </w:pPr>
            <w:r>
              <w:rPr>
                <w:rFonts w:hint="eastAsia" w:ascii="宋体" w:hAnsi="宋体" w:cs="Arial"/>
                <w:color w:val="auto"/>
                <w:sz w:val="18"/>
                <w:szCs w:val="18"/>
              </w:rPr>
              <w:t>▲4.支持热成像功能；(提供厂家官网公布技术参数截图并加盖厂家公章，以及对应的官网链接)</w:t>
            </w:r>
          </w:p>
          <w:p w14:paraId="6B973C2F">
            <w:pPr>
              <w:widowControl/>
              <w:spacing w:line="400" w:lineRule="exact"/>
              <w:rPr>
                <w:rFonts w:ascii="宋体" w:hAnsi="宋体" w:cs="Arial"/>
                <w:color w:val="auto"/>
                <w:sz w:val="18"/>
                <w:szCs w:val="18"/>
              </w:rPr>
            </w:pPr>
            <w:r>
              <w:rPr>
                <w:rFonts w:hint="eastAsia" w:ascii="宋体" w:hAnsi="宋体" w:cs="Arial"/>
                <w:color w:val="auto"/>
                <w:sz w:val="18"/>
                <w:szCs w:val="18"/>
              </w:rPr>
              <w:t>5.配备实体按键(如音量键、对讲键、开关机键)，WiFi，≥蓝牙5.0，Type-C接口(支持充电和数据传输)；</w:t>
            </w:r>
          </w:p>
          <w:p w14:paraId="5033CEBA">
            <w:pPr>
              <w:widowControl/>
              <w:spacing w:line="400" w:lineRule="exact"/>
              <w:rPr>
                <w:rFonts w:ascii="宋体" w:hAnsi="宋体" w:cs="Arial"/>
                <w:color w:val="auto"/>
                <w:sz w:val="18"/>
                <w:szCs w:val="18"/>
              </w:rPr>
            </w:pPr>
            <w:r>
              <w:rPr>
                <w:rFonts w:hint="eastAsia" w:ascii="宋体" w:hAnsi="宋体" w:cs="Arial"/>
                <w:color w:val="auto"/>
                <w:sz w:val="18"/>
                <w:szCs w:val="18"/>
              </w:rPr>
              <w:t>6.具备NFC，防水指纹识别功能；</w:t>
            </w:r>
          </w:p>
          <w:p w14:paraId="71F4B4B7">
            <w:pPr>
              <w:widowControl/>
              <w:spacing w:line="400" w:lineRule="exact"/>
              <w:rPr>
                <w:rFonts w:ascii="宋体" w:hAnsi="宋体" w:cs="Arial"/>
                <w:color w:val="auto"/>
                <w:sz w:val="18"/>
                <w:szCs w:val="18"/>
              </w:rPr>
            </w:pPr>
            <w:r>
              <w:rPr>
                <w:rFonts w:hint="eastAsia" w:ascii="宋体" w:hAnsi="宋体" w:cs="Arial"/>
                <w:color w:val="auto"/>
                <w:sz w:val="18"/>
                <w:szCs w:val="18"/>
              </w:rPr>
              <w:t>7.防护等级≥IP68；</w:t>
            </w:r>
          </w:p>
          <w:p w14:paraId="6334C5BD">
            <w:pPr>
              <w:widowControl/>
              <w:spacing w:line="400" w:lineRule="exact"/>
              <w:rPr>
                <w:rFonts w:ascii="宋体" w:hAnsi="宋体" w:cs="Arial"/>
                <w:color w:val="auto"/>
                <w:sz w:val="18"/>
                <w:szCs w:val="18"/>
              </w:rPr>
            </w:pPr>
            <w:r>
              <w:rPr>
                <w:rFonts w:hint="eastAsia" w:ascii="宋体" w:hAnsi="宋体" w:cs="Arial"/>
                <w:color w:val="auto"/>
                <w:sz w:val="18"/>
                <w:szCs w:val="18"/>
              </w:rPr>
              <w:t>▲8.防爆等级不低于 Ex ib IIC T4 Gb / Ex ib IIIC T130℃ Db；(提供防爆合格证扫描件证明)</w:t>
            </w:r>
          </w:p>
          <w:p w14:paraId="6CCFAE66">
            <w:pPr>
              <w:widowControl/>
              <w:spacing w:line="400" w:lineRule="exact"/>
              <w:rPr>
                <w:rFonts w:ascii="宋体" w:hAnsi="宋体" w:cs="Arial"/>
                <w:color w:val="auto"/>
                <w:sz w:val="18"/>
                <w:szCs w:val="18"/>
              </w:rPr>
            </w:pPr>
            <w:r>
              <w:rPr>
                <w:rFonts w:hint="eastAsia" w:ascii="宋体" w:hAnsi="宋体" w:cs="Arial"/>
                <w:color w:val="auto"/>
                <w:sz w:val="18"/>
                <w:szCs w:val="18"/>
              </w:rPr>
              <w:t>▲9.支持北斗定位；(需符合《卫星定位导航授时设备单北斗测试技术规范》要求，并提交由国家认可的权威检测机构出具的认证材料扫描件)</w:t>
            </w:r>
          </w:p>
          <w:p w14:paraId="620AB740">
            <w:pPr>
              <w:widowControl/>
              <w:spacing w:line="400" w:lineRule="exact"/>
              <w:rPr>
                <w:rFonts w:ascii="宋体" w:hAnsi="宋体" w:cs="Arial"/>
                <w:color w:val="auto"/>
                <w:sz w:val="18"/>
                <w:szCs w:val="18"/>
              </w:rPr>
            </w:pPr>
            <w:r>
              <w:rPr>
                <w:rFonts w:hint="eastAsia" w:ascii="宋体" w:hAnsi="宋体" w:cs="Arial"/>
                <w:color w:val="auto"/>
                <w:sz w:val="18"/>
                <w:szCs w:val="18"/>
              </w:rPr>
              <w:t>10.具备电信设备进网批文/许可，无线电发射设备型号核准证。</w:t>
            </w:r>
          </w:p>
        </w:tc>
        <w:tc>
          <w:tcPr>
            <w:tcW w:w="900" w:type="dxa"/>
            <w:tcBorders>
              <w:top w:val="nil"/>
              <w:left w:val="nil"/>
              <w:bottom w:val="single" w:color="auto" w:sz="4" w:space="0"/>
              <w:right w:val="single" w:color="auto" w:sz="4" w:space="0"/>
            </w:tcBorders>
            <w:vAlign w:val="center"/>
          </w:tcPr>
          <w:p w14:paraId="502503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18.00 </w:t>
            </w:r>
          </w:p>
        </w:tc>
        <w:tc>
          <w:tcPr>
            <w:tcW w:w="849" w:type="dxa"/>
            <w:gridSpan w:val="2"/>
            <w:tcBorders>
              <w:top w:val="nil"/>
              <w:left w:val="nil"/>
              <w:bottom w:val="single" w:color="auto" w:sz="4" w:space="0"/>
              <w:right w:val="single" w:color="auto" w:sz="4" w:space="0"/>
            </w:tcBorders>
            <w:vAlign w:val="center"/>
          </w:tcPr>
          <w:p w14:paraId="370897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3EB3D3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E72F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11E78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370MHz 集群固定站</w:t>
            </w:r>
          </w:p>
        </w:tc>
        <w:tc>
          <w:tcPr>
            <w:tcW w:w="5717" w:type="dxa"/>
            <w:tcBorders>
              <w:top w:val="nil"/>
              <w:left w:val="nil"/>
              <w:bottom w:val="single" w:color="auto" w:sz="4" w:space="0"/>
              <w:right w:val="single" w:color="auto" w:sz="4" w:space="0"/>
            </w:tcBorders>
            <w:vAlign w:val="center"/>
          </w:tcPr>
          <w:p w14:paraId="3A4EA905">
            <w:pPr>
              <w:widowControl/>
              <w:spacing w:line="400" w:lineRule="exact"/>
              <w:rPr>
                <w:rFonts w:ascii="宋体" w:hAnsi="宋体" w:cs="Arial"/>
                <w:color w:val="auto"/>
                <w:sz w:val="18"/>
                <w:szCs w:val="18"/>
              </w:rPr>
            </w:pPr>
            <w:r>
              <w:rPr>
                <w:rFonts w:hint="eastAsia" w:ascii="宋体" w:hAnsi="宋体" w:cs="Arial"/>
                <w:color w:val="auto"/>
                <w:sz w:val="18"/>
                <w:szCs w:val="18"/>
              </w:rPr>
              <w:t>1.PDT制式，频率上行372~376MHz；频率下行382~386MHz；</w:t>
            </w:r>
          </w:p>
          <w:p w14:paraId="63A5181A">
            <w:pPr>
              <w:widowControl/>
              <w:spacing w:line="400" w:lineRule="exact"/>
              <w:rPr>
                <w:rFonts w:ascii="宋体" w:hAnsi="宋体" w:cs="Arial"/>
                <w:color w:val="auto"/>
                <w:sz w:val="18"/>
                <w:szCs w:val="18"/>
              </w:rPr>
            </w:pPr>
            <w:r>
              <w:rPr>
                <w:rFonts w:hint="eastAsia" w:ascii="宋体" w:hAnsi="宋体" w:cs="Arial"/>
                <w:color w:val="auto"/>
                <w:sz w:val="18"/>
                <w:szCs w:val="18"/>
              </w:rPr>
              <w:t>2.载频数量≥2(可远程扩容载频数量)；</w:t>
            </w:r>
          </w:p>
          <w:p w14:paraId="74747677">
            <w:pPr>
              <w:widowControl/>
              <w:spacing w:line="400" w:lineRule="exact"/>
              <w:rPr>
                <w:rFonts w:ascii="宋体" w:hAnsi="宋体" w:cs="Arial"/>
                <w:color w:val="auto"/>
                <w:sz w:val="18"/>
                <w:szCs w:val="18"/>
              </w:rPr>
            </w:pPr>
            <w:r>
              <w:rPr>
                <w:rFonts w:hint="eastAsia" w:ascii="宋体" w:hAnsi="宋体" w:cs="Arial"/>
                <w:color w:val="auto"/>
                <w:sz w:val="18"/>
                <w:szCs w:val="18"/>
              </w:rPr>
              <w:t>3.多址方式TDMA；调制方式4FSK；语音编码支持NVOC；双工间隔10MHz；</w:t>
            </w:r>
          </w:p>
          <w:p w14:paraId="7A0DE2A4">
            <w:pPr>
              <w:widowControl/>
              <w:spacing w:line="400" w:lineRule="exact"/>
              <w:rPr>
                <w:rFonts w:ascii="宋体" w:hAnsi="宋体" w:cs="Arial"/>
                <w:color w:val="auto"/>
                <w:sz w:val="18"/>
                <w:szCs w:val="18"/>
              </w:rPr>
            </w:pPr>
            <w:r>
              <w:rPr>
                <w:rFonts w:hint="eastAsia" w:ascii="宋体" w:hAnsi="宋体" w:cs="Arial"/>
                <w:color w:val="auto"/>
                <w:sz w:val="18"/>
                <w:szCs w:val="18"/>
              </w:rPr>
              <w:t>4.工作温度不低于-40℃~55℃；</w:t>
            </w:r>
          </w:p>
          <w:p w14:paraId="3EA0009D">
            <w:pPr>
              <w:widowControl/>
              <w:spacing w:line="400" w:lineRule="exact"/>
              <w:rPr>
                <w:rFonts w:ascii="宋体" w:hAnsi="宋体" w:cs="Arial"/>
                <w:color w:val="auto"/>
                <w:sz w:val="18"/>
                <w:szCs w:val="18"/>
              </w:rPr>
            </w:pPr>
            <w:r>
              <w:rPr>
                <w:rFonts w:hint="eastAsia" w:ascii="宋体" w:hAnsi="宋体" w:cs="Arial"/>
                <w:color w:val="auto"/>
                <w:sz w:val="18"/>
                <w:szCs w:val="18"/>
              </w:rPr>
              <w:t>▲5.基站接收灵敏度≤-125dBm@BER5%；(提供带有CMA 或CNAS 标识的第三方权威检测机构出具的检测报告扫描件证明)</w:t>
            </w:r>
          </w:p>
          <w:p w14:paraId="27BB8BC5">
            <w:pPr>
              <w:widowControl/>
              <w:spacing w:line="400" w:lineRule="exact"/>
              <w:rPr>
                <w:rFonts w:ascii="宋体" w:hAnsi="宋体" w:cs="Arial"/>
                <w:color w:val="auto"/>
                <w:sz w:val="18"/>
                <w:szCs w:val="18"/>
              </w:rPr>
            </w:pPr>
            <w:r>
              <w:rPr>
                <w:rFonts w:hint="eastAsia" w:ascii="宋体" w:hAnsi="宋体" w:cs="Arial"/>
                <w:color w:val="auto"/>
                <w:sz w:val="18"/>
                <w:szCs w:val="18"/>
              </w:rPr>
              <w:t>▲6.基站整体防护等级≥IP68；(提供带有CMA 或CNAS 标识的第三方权威检测机构出具的检测报告扫描件证明)</w:t>
            </w:r>
          </w:p>
          <w:p w14:paraId="1D6C30A2">
            <w:pPr>
              <w:widowControl/>
              <w:spacing w:line="400" w:lineRule="exact"/>
              <w:rPr>
                <w:rFonts w:ascii="宋体" w:hAnsi="宋体" w:cs="Arial"/>
                <w:color w:val="auto"/>
                <w:sz w:val="18"/>
                <w:szCs w:val="18"/>
              </w:rPr>
            </w:pPr>
            <w:r>
              <w:rPr>
                <w:rFonts w:hint="eastAsia" w:ascii="宋体" w:hAnsi="宋体" w:cs="Arial"/>
                <w:color w:val="auto"/>
                <w:sz w:val="18"/>
                <w:szCs w:val="18"/>
              </w:rPr>
              <w:t>▲7.支持控制信道数量检验，单基站最大支持4个控制信道，终端可根据集群基站的控制信道和辅助控制信道数量自动适配登记到相应的控制信道或辅助控制信道；(提供带有CMA 或CNAS 标识的第三方权威检测机构出具的检测报告扫描件证明)</w:t>
            </w:r>
          </w:p>
          <w:p w14:paraId="3F369C7B">
            <w:pPr>
              <w:widowControl/>
              <w:spacing w:line="400" w:lineRule="exact"/>
              <w:rPr>
                <w:rFonts w:ascii="宋体" w:hAnsi="宋体" w:cs="Arial"/>
                <w:color w:val="auto"/>
                <w:sz w:val="18"/>
                <w:szCs w:val="18"/>
              </w:rPr>
            </w:pPr>
            <w:r>
              <w:rPr>
                <w:rFonts w:hint="eastAsia" w:ascii="宋体" w:hAnsi="宋体" w:cs="Arial"/>
                <w:color w:val="auto"/>
                <w:sz w:val="18"/>
                <w:szCs w:val="18"/>
              </w:rPr>
              <w:t>▲8.支持远程修改频点功能检验，可通过网管客户端增加、删除、修改基站的信道频点，支持修改发射功率(提供带有CMA 或CNAS 标识的第三方权威检测机构出具的检测报告扫描件证明)</w:t>
            </w:r>
          </w:p>
          <w:p w14:paraId="6EF024BB">
            <w:pPr>
              <w:widowControl/>
              <w:spacing w:line="400" w:lineRule="exact"/>
              <w:rPr>
                <w:rFonts w:ascii="宋体" w:hAnsi="宋体" w:cs="Arial"/>
                <w:color w:val="auto"/>
                <w:sz w:val="18"/>
                <w:szCs w:val="18"/>
              </w:rPr>
            </w:pPr>
            <w:r>
              <w:rPr>
                <w:rFonts w:hint="eastAsia" w:ascii="宋体" w:hAnsi="宋体" w:cs="Arial"/>
                <w:color w:val="auto"/>
                <w:sz w:val="18"/>
                <w:szCs w:val="18"/>
              </w:rPr>
              <w:t>▲9.支持链路备份功能检验，基站与交换控制中心之间具有主备2条链路，当主链路断开后，可自动切换到备用链路，链路切换时间应≤30S；(提供带有CMA 或CNAS 标识的第三方权威检测机构出具的检测报告扫描件证明)</w:t>
            </w:r>
          </w:p>
          <w:p w14:paraId="506DC8ED">
            <w:pPr>
              <w:widowControl/>
              <w:spacing w:line="400" w:lineRule="exact"/>
              <w:rPr>
                <w:rFonts w:ascii="宋体" w:hAnsi="宋体" w:cs="Arial"/>
                <w:color w:val="auto"/>
                <w:sz w:val="18"/>
                <w:szCs w:val="18"/>
              </w:rPr>
            </w:pPr>
            <w:r>
              <w:rPr>
                <w:rFonts w:hint="eastAsia" w:ascii="宋体" w:hAnsi="宋体" w:cs="Arial"/>
                <w:color w:val="auto"/>
                <w:sz w:val="18"/>
                <w:szCs w:val="18"/>
              </w:rPr>
              <w:t>10.支持指定基站扫描功能检验，下发目标基站扫描信令后，终端可自动到指定基站登记；</w:t>
            </w:r>
          </w:p>
          <w:p w14:paraId="1786D60A">
            <w:pPr>
              <w:widowControl/>
              <w:spacing w:line="400" w:lineRule="exact"/>
              <w:rPr>
                <w:rFonts w:ascii="宋体" w:hAnsi="宋体" w:cs="Arial"/>
                <w:color w:val="auto"/>
                <w:sz w:val="18"/>
                <w:szCs w:val="18"/>
              </w:rPr>
            </w:pPr>
            <w:r>
              <w:rPr>
                <w:rFonts w:hint="eastAsia" w:ascii="宋体" w:hAnsi="宋体" w:cs="Arial"/>
                <w:color w:val="auto"/>
                <w:sz w:val="18"/>
                <w:szCs w:val="18"/>
              </w:rPr>
              <w:t>11.支持控制信道热备功能检验，当主控制信道关闭后，可自动切换到备用控制信道，切换完成后该控制信道可正常工作；</w:t>
            </w:r>
          </w:p>
          <w:p w14:paraId="3AFDA174">
            <w:pPr>
              <w:widowControl/>
              <w:spacing w:line="400" w:lineRule="exact"/>
              <w:rPr>
                <w:rFonts w:ascii="宋体" w:hAnsi="宋体" w:cs="Arial"/>
                <w:color w:val="auto"/>
                <w:sz w:val="18"/>
                <w:szCs w:val="18"/>
              </w:rPr>
            </w:pPr>
            <w:r>
              <w:rPr>
                <w:rFonts w:hint="eastAsia" w:ascii="宋体" w:hAnsi="宋体" w:cs="Arial"/>
                <w:color w:val="auto"/>
                <w:sz w:val="18"/>
                <w:szCs w:val="18"/>
              </w:rPr>
              <w:t>12.当信道遇到无线干扰不能正常解码时，会自动关闭该信道；当干扰消失时，信道会自动启动；</w:t>
            </w:r>
          </w:p>
          <w:p w14:paraId="231E1947">
            <w:pPr>
              <w:widowControl/>
              <w:spacing w:line="400" w:lineRule="exact"/>
              <w:rPr>
                <w:rFonts w:ascii="宋体" w:hAnsi="宋体" w:cs="Arial"/>
                <w:color w:val="auto"/>
                <w:sz w:val="18"/>
                <w:szCs w:val="18"/>
              </w:rPr>
            </w:pPr>
            <w:r>
              <w:rPr>
                <w:rFonts w:hint="eastAsia" w:ascii="宋体" w:hAnsi="宋体" w:cs="Arial"/>
                <w:color w:val="auto"/>
                <w:sz w:val="18"/>
                <w:szCs w:val="18"/>
              </w:rPr>
              <w:t>13.当基站与核心网交换机之间的链路断开超过设定的时间时，该基站自动进入到单基站工作模式，当链路恢复时，可自动恢复到集群工作模式；</w:t>
            </w:r>
          </w:p>
          <w:p w14:paraId="5FA5D5CB">
            <w:pPr>
              <w:widowControl/>
              <w:spacing w:line="400" w:lineRule="exact"/>
              <w:rPr>
                <w:rFonts w:ascii="宋体" w:hAnsi="宋体" w:cs="Arial"/>
                <w:color w:val="auto"/>
                <w:sz w:val="18"/>
                <w:szCs w:val="18"/>
              </w:rPr>
            </w:pPr>
            <w:r>
              <w:rPr>
                <w:rFonts w:hint="eastAsia" w:ascii="宋体" w:hAnsi="宋体" w:cs="Arial"/>
                <w:color w:val="auto"/>
                <w:sz w:val="18"/>
                <w:szCs w:val="18"/>
              </w:rPr>
              <w:t>14.具备无线电发射设备型号核准证；</w:t>
            </w:r>
          </w:p>
          <w:p w14:paraId="4BE55304">
            <w:pPr>
              <w:widowControl/>
              <w:spacing w:line="400" w:lineRule="exact"/>
              <w:rPr>
                <w:rFonts w:ascii="宋体" w:hAnsi="宋体" w:cs="Arial"/>
                <w:color w:val="auto"/>
                <w:sz w:val="18"/>
                <w:szCs w:val="18"/>
              </w:rPr>
            </w:pPr>
            <w:r>
              <w:rPr>
                <w:rFonts w:hint="eastAsia" w:ascii="宋体" w:hAnsi="宋体" w:cs="Arial"/>
                <w:color w:val="auto"/>
                <w:sz w:val="18"/>
                <w:szCs w:val="18"/>
              </w:rPr>
              <w:t>★15.支持接入江苏省应急管理厅和淮安市应急管理局370MHz窄带无线通信系统，并自行承担具体对接实施工作(需提供承诺函，格式自拟)。</w:t>
            </w:r>
          </w:p>
          <w:p w14:paraId="48FB7AFF">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72AA56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BD328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B8940A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CCC8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231CD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370MHz 集群移动站</w:t>
            </w:r>
          </w:p>
        </w:tc>
        <w:tc>
          <w:tcPr>
            <w:tcW w:w="5717" w:type="dxa"/>
            <w:tcBorders>
              <w:top w:val="nil"/>
              <w:left w:val="nil"/>
              <w:bottom w:val="single" w:color="auto" w:sz="4" w:space="0"/>
              <w:right w:val="single" w:color="auto" w:sz="4" w:space="0"/>
            </w:tcBorders>
            <w:vAlign w:val="center"/>
          </w:tcPr>
          <w:p w14:paraId="5885FA8D">
            <w:pPr>
              <w:widowControl/>
              <w:spacing w:line="400" w:lineRule="exact"/>
              <w:rPr>
                <w:rFonts w:ascii="宋体" w:hAnsi="宋体" w:cs="Arial"/>
                <w:color w:val="auto"/>
                <w:sz w:val="18"/>
                <w:szCs w:val="18"/>
              </w:rPr>
            </w:pPr>
            <w:r>
              <w:rPr>
                <w:rFonts w:hint="eastAsia" w:ascii="宋体" w:hAnsi="宋体" w:cs="Arial"/>
                <w:color w:val="auto"/>
                <w:sz w:val="18"/>
                <w:szCs w:val="18"/>
              </w:rPr>
              <w:t>1.PDT制式，频率上行372~376MHz；频率下行382~386MHz；</w:t>
            </w:r>
          </w:p>
          <w:p w14:paraId="74389BCA">
            <w:pPr>
              <w:widowControl/>
              <w:spacing w:line="400" w:lineRule="exact"/>
              <w:rPr>
                <w:rFonts w:ascii="宋体" w:hAnsi="宋体" w:cs="Arial"/>
                <w:color w:val="auto"/>
                <w:sz w:val="18"/>
                <w:szCs w:val="18"/>
              </w:rPr>
            </w:pPr>
            <w:r>
              <w:rPr>
                <w:rFonts w:hint="eastAsia" w:ascii="宋体" w:hAnsi="宋体" w:cs="Arial"/>
                <w:color w:val="auto"/>
                <w:sz w:val="18"/>
                <w:szCs w:val="18"/>
              </w:rPr>
              <w:t>2.载频数量≥2(可调节载频数量)；</w:t>
            </w:r>
          </w:p>
          <w:p w14:paraId="14D4DD6F">
            <w:pPr>
              <w:widowControl/>
              <w:spacing w:line="400" w:lineRule="exact"/>
              <w:rPr>
                <w:rFonts w:ascii="宋体" w:hAnsi="宋体" w:cs="Arial"/>
                <w:color w:val="auto"/>
                <w:sz w:val="18"/>
                <w:szCs w:val="18"/>
              </w:rPr>
            </w:pPr>
            <w:r>
              <w:rPr>
                <w:rFonts w:hint="eastAsia" w:ascii="宋体" w:hAnsi="宋体" w:cs="Arial"/>
                <w:color w:val="auto"/>
                <w:sz w:val="18"/>
                <w:szCs w:val="18"/>
              </w:rPr>
              <w:t>3.多址方式TDMA；调制方式4FSK；双工间隔10MHz；</w:t>
            </w:r>
          </w:p>
          <w:p w14:paraId="3576C7BD">
            <w:pPr>
              <w:widowControl/>
              <w:spacing w:line="400" w:lineRule="exact"/>
              <w:rPr>
                <w:rFonts w:ascii="宋体" w:hAnsi="宋体" w:cs="Arial"/>
                <w:color w:val="auto"/>
                <w:sz w:val="18"/>
                <w:szCs w:val="18"/>
              </w:rPr>
            </w:pPr>
            <w:r>
              <w:rPr>
                <w:rFonts w:hint="eastAsia" w:ascii="宋体" w:hAnsi="宋体" w:cs="Arial"/>
                <w:color w:val="auto"/>
                <w:sz w:val="18"/>
                <w:szCs w:val="18"/>
              </w:rPr>
              <w:t>4.邻道选择性≥60dB，互调响应抑制≥70dB，杂散响应抑制≥70dB，阻塞≥84dB，共信道抑制≤-12dB；</w:t>
            </w:r>
          </w:p>
          <w:p w14:paraId="39D2DAC9">
            <w:pPr>
              <w:widowControl/>
              <w:spacing w:line="400" w:lineRule="exact"/>
              <w:rPr>
                <w:rFonts w:ascii="宋体" w:hAnsi="宋体" w:cs="Arial"/>
                <w:color w:val="auto"/>
                <w:sz w:val="18"/>
                <w:szCs w:val="18"/>
              </w:rPr>
            </w:pPr>
            <w:r>
              <w:rPr>
                <w:rFonts w:hint="eastAsia" w:ascii="宋体" w:hAnsi="宋体" w:cs="Arial"/>
                <w:color w:val="auto"/>
                <w:sz w:val="18"/>
                <w:szCs w:val="18"/>
              </w:rPr>
              <w:t>5.工作温度不低于-40℃~55℃；</w:t>
            </w:r>
          </w:p>
          <w:p w14:paraId="102D81B6">
            <w:pPr>
              <w:widowControl/>
              <w:spacing w:line="400" w:lineRule="exact"/>
              <w:rPr>
                <w:rFonts w:ascii="宋体" w:hAnsi="宋体" w:cs="Arial"/>
                <w:color w:val="auto"/>
                <w:sz w:val="18"/>
                <w:szCs w:val="18"/>
              </w:rPr>
            </w:pPr>
            <w:r>
              <w:rPr>
                <w:rFonts w:hint="eastAsia" w:ascii="宋体" w:hAnsi="宋体" w:cs="Arial"/>
                <w:color w:val="auto"/>
                <w:sz w:val="18"/>
                <w:szCs w:val="18"/>
              </w:rPr>
              <w:t>▲6.基站接收灵敏度≤-125dBm@BER5%；(提供带有CMA 或CNAS 标识的第三方权威检测机构出具的检测报告扫描件证明)</w:t>
            </w:r>
          </w:p>
          <w:p w14:paraId="74A45F39">
            <w:pPr>
              <w:widowControl/>
              <w:spacing w:line="400" w:lineRule="exact"/>
              <w:rPr>
                <w:rFonts w:ascii="宋体" w:hAnsi="宋体" w:cs="Arial"/>
                <w:color w:val="auto"/>
                <w:sz w:val="18"/>
                <w:szCs w:val="18"/>
              </w:rPr>
            </w:pPr>
            <w:r>
              <w:rPr>
                <w:rFonts w:hint="eastAsia" w:ascii="宋体" w:hAnsi="宋体" w:cs="Arial"/>
                <w:color w:val="auto"/>
                <w:sz w:val="18"/>
                <w:szCs w:val="18"/>
              </w:rPr>
              <w:t>▲7.基站整体防护等级≥IP68；(提供带有CMA 或CNAS 标识的第三方权威检测机构出具的检测报告扫描件证明)</w:t>
            </w:r>
          </w:p>
          <w:p w14:paraId="70D681AC">
            <w:pPr>
              <w:widowControl/>
              <w:spacing w:line="400" w:lineRule="exact"/>
              <w:rPr>
                <w:rFonts w:ascii="宋体" w:hAnsi="宋体" w:cs="Arial"/>
                <w:color w:val="auto"/>
                <w:sz w:val="18"/>
                <w:szCs w:val="18"/>
              </w:rPr>
            </w:pPr>
            <w:r>
              <w:rPr>
                <w:rFonts w:hint="eastAsia" w:ascii="宋体" w:hAnsi="宋体" w:cs="Arial"/>
                <w:color w:val="auto"/>
                <w:sz w:val="18"/>
                <w:szCs w:val="18"/>
              </w:rPr>
              <w:t>▲8.基站自带显示屏幕，可显示发射功率、信道号、IP、温度、告警、无线链路告警等信息；(提供带有CMA 或CNAS 标识的第三方权威检测机构出具的检测报告扫描件证明)</w:t>
            </w:r>
          </w:p>
          <w:p w14:paraId="6D5513C0">
            <w:pPr>
              <w:widowControl/>
              <w:spacing w:line="400" w:lineRule="exact"/>
              <w:rPr>
                <w:rFonts w:ascii="宋体" w:hAnsi="宋体" w:cs="Arial"/>
                <w:color w:val="auto"/>
                <w:sz w:val="18"/>
                <w:szCs w:val="18"/>
              </w:rPr>
            </w:pPr>
            <w:r>
              <w:rPr>
                <w:rFonts w:hint="eastAsia" w:ascii="宋体" w:hAnsi="宋体" w:cs="Arial"/>
                <w:color w:val="auto"/>
                <w:sz w:val="18"/>
                <w:szCs w:val="18"/>
              </w:rPr>
              <w:t>▲9.基站支持链路自动切换功能，支持无线链路和有线链路自动切换，可通过手动设置链路优先级，当主链路故障时，自动切换到备链路，切换时间&lt;60S；(提供带有CMA 或CNAS 标识的第三方权威检测机构出具的检测报告扫描件证明)</w:t>
            </w:r>
          </w:p>
          <w:p w14:paraId="7D780087">
            <w:pPr>
              <w:widowControl/>
              <w:spacing w:line="400" w:lineRule="exact"/>
              <w:rPr>
                <w:rFonts w:ascii="宋体" w:hAnsi="宋体" w:cs="Arial"/>
                <w:color w:val="auto"/>
                <w:sz w:val="18"/>
                <w:szCs w:val="18"/>
              </w:rPr>
            </w:pPr>
            <w:r>
              <w:rPr>
                <w:rFonts w:hint="eastAsia" w:ascii="宋体" w:hAnsi="宋体" w:cs="Arial"/>
                <w:color w:val="auto"/>
                <w:sz w:val="18"/>
                <w:szCs w:val="18"/>
              </w:rPr>
              <w:t>▲10.基站支持可拆卸电池，电池续航≥6h；为减轻人员负重，移动基站(含电池)重量≤8kg；(提供带有CMA 或CNAS 标识的第三方权威检测机构出具的检测报告扫描件证明)</w:t>
            </w:r>
          </w:p>
          <w:p w14:paraId="7D70D0AB">
            <w:pPr>
              <w:widowControl/>
              <w:spacing w:line="400" w:lineRule="exact"/>
              <w:rPr>
                <w:rFonts w:ascii="宋体" w:hAnsi="宋体" w:cs="Arial"/>
                <w:color w:val="auto"/>
                <w:sz w:val="18"/>
                <w:szCs w:val="18"/>
              </w:rPr>
            </w:pPr>
            <w:r>
              <w:rPr>
                <w:rFonts w:hint="eastAsia" w:ascii="宋体" w:hAnsi="宋体" w:cs="Arial"/>
                <w:color w:val="auto"/>
                <w:sz w:val="18"/>
                <w:szCs w:val="18"/>
              </w:rPr>
              <w:t>11.基站可与交换中心、其它移动基站、同播控制器互联互通；</w:t>
            </w:r>
          </w:p>
          <w:p w14:paraId="2ABFB501">
            <w:pPr>
              <w:widowControl/>
              <w:spacing w:line="400" w:lineRule="exact"/>
              <w:rPr>
                <w:rFonts w:ascii="宋体" w:hAnsi="宋体" w:cs="Arial"/>
                <w:color w:val="auto"/>
                <w:sz w:val="18"/>
                <w:szCs w:val="18"/>
              </w:rPr>
            </w:pPr>
            <w:r>
              <w:rPr>
                <w:rFonts w:hint="eastAsia" w:ascii="宋体" w:hAnsi="宋体" w:cs="Arial"/>
                <w:color w:val="auto"/>
                <w:sz w:val="18"/>
                <w:szCs w:val="18"/>
              </w:rPr>
              <w:t>12.可查看告警信息，如链路断开告警、驻波比告警等；</w:t>
            </w:r>
          </w:p>
          <w:p w14:paraId="7F83CA1D">
            <w:pPr>
              <w:widowControl/>
              <w:spacing w:line="400" w:lineRule="exact"/>
              <w:rPr>
                <w:rFonts w:ascii="宋体" w:hAnsi="宋体" w:cs="Arial"/>
                <w:color w:val="auto"/>
                <w:sz w:val="18"/>
                <w:szCs w:val="18"/>
              </w:rPr>
            </w:pPr>
            <w:r>
              <w:rPr>
                <w:rFonts w:hint="eastAsia" w:ascii="宋体" w:hAnsi="宋体" w:cs="Arial"/>
                <w:color w:val="auto"/>
                <w:sz w:val="18"/>
                <w:szCs w:val="18"/>
              </w:rPr>
              <w:t>13.基站发射功率可调节，最大发射功率≥20W；</w:t>
            </w:r>
          </w:p>
          <w:p w14:paraId="22A087BD">
            <w:pPr>
              <w:widowControl/>
              <w:spacing w:line="400" w:lineRule="exact"/>
              <w:rPr>
                <w:rFonts w:ascii="宋体" w:hAnsi="宋体" w:cs="Arial"/>
                <w:color w:val="auto"/>
                <w:sz w:val="18"/>
                <w:szCs w:val="18"/>
              </w:rPr>
            </w:pPr>
            <w:r>
              <w:rPr>
                <w:rFonts w:hint="eastAsia" w:ascii="宋体" w:hAnsi="宋体" w:cs="Arial"/>
                <w:color w:val="auto"/>
                <w:sz w:val="18"/>
                <w:szCs w:val="18"/>
              </w:rPr>
              <w:t>14.基站频率可切换，切换方式：(1)遇到外界干扰自动切换频率；(2)通过按键手动切换频率；</w:t>
            </w:r>
          </w:p>
          <w:p w14:paraId="5DBAB753">
            <w:pPr>
              <w:widowControl/>
              <w:spacing w:line="400" w:lineRule="exact"/>
              <w:rPr>
                <w:rFonts w:ascii="宋体" w:hAnsi="宋体" w:cs="Arial"/>
                <w:color w:val="auto"/>
                <w:sz w:val="18"/>
                <w:szCs w:val="18"/>
              </w:rPr>
            </w:pPr>
            <w:r>
              <w:rPr>
                <w:rFonts w:hint="eastAsia" w:ascii="宋体" w:hAnsi="宋体" w:cs="Arial"/>
                <w:color w:val="auto"/>
                <w:sz w:val="18"/>
                <w:szCs w:val="18"/>
              </w:rPr>
              <w:t>★15.支持接入江苏省应急管理厅和淮安市应急管理局370MHz窄带无线通信系统，并自行承担具体对接实施工作(需提供承诺函，格式自拟)。</w:t>
            </w:r>
          </w:p>
          <w:p w14:paraId="3BB885A8">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30EC45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33677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A3A2BA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81B9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2AB85E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370MHz 集群基地台</w:t>
            </w:r>
          </w:p>
        </w:tc>
        <w:tc>
          <w:tcPr>
            <w:tcW w:w="5717" w:type="dxa"/>
            <w:tcBorders>
              <w:top w:val="nil"/>
              <w:left w:val="nil"/>
              <w:bottom w:val="single" w:color="auto" w:sz="4" w:space="0"/>
              <w:right w:val="single" w:color="auto" w:sz="4" w:space="0"/>
            </w:tcBorders>
            <w:vAlign w:val="center"/>
          </w:tcPr>
          <w:p w14:paraId="7FD3D7E1">
            <w:pPr>
              <w:widowControl/>
              <w:spacing w:line="400" w:lineRule="exact"/>
              <w:rPr>
                <w:rFonts w:ascii="宋体" w:hAnsi="宋体" w:cs="Arial"/>
                <w:color w:val="auto"/>
                <w:sz w:val="18"/>
                <w:szCs w:val="18"/>
              </w:rPr>
            </w:pPr>
            <w:r>
              <w:rPr>
                <w:rFonts w:hint="eastAsia" w:ascii="宋体" w:hAnsi="宋体" w:cs="Arial"/>
                <w:color w:val="auto"/>
                <w:sz w:val="18"/>
                <w:szCs w:val="18"/>
              </w:rPr>
              <w:t>1.频率范围支持350~400MHz；信道容量≥1024，组群≥64；</w:t>
            </w:r>
          </w:p>
          <w:p w14:paraId="1570C42A">
            <w:pPr>
              <w:widowControl/>
              <w:spacing w:line="400" w:lineRule="exact"/>
              <w:rPr>
                <w:rFonts w:ascii="宋体" w:hAnsi="宋体" w:cs="Arial"/>
                <w:color w:val="auto"/>
                <w:sz w:val="18"/>
                <w:szCs w:val="18"/>
              </w:rPr>
            </w:pPr>
            <w:r>
              <w:rPr>
                <w:rFonts w:hint="eastAsia" w:ascii="宋体" w:hAnsi="宋体" w:cs="Arial"/>
                <w:color w:val="auto"/>
                <w:sz w:val="18"/>
                <w:szCs w:val="18"/>
              </w:rPr>
              <w:t>2.频率稳定度≤±0.5ppm；静态灵敏度≤-122dBm@BER5%；</w:t>
            </w:r>
          </w:p>
          <w:p w14:paraId="16209B0A">
            <w:pPr>
              <w:widowControl/>
              <w:spacing w:line="400" w:lineRule="exact"/>
              <w:rPr>
                <w:rFonts w:ascii="宋体" w:hAnsi="宋体" w:cs="Arial"/>
                <w:color w:val="auto"/>
                <w:sz w:val="18"/>
                <w:szCs w:val="18"/>
              </w:rPr>
            </w:pPr>
            <w:r>
              <w:rPr>
                <w:rFonts w:hint="eastAsia" w:ascii="宋体" w:hAnsi="宋体" w:cs="Arial"/>
                <w:color w:val="auto"/>
                <w:sz w:val="18"/>
                <w:szCs w:val="18"/>
              </w:rPr>
              <w:t>3.工作温度不低于-20℃~55℃；</w:t>
            </w:r>
          </w:p>
          <w:p w14:paraId="233E6D8D">
            <w:pPr>
              <w:widowControl/>
              <w:spacing w:line="400" w:lineRule="exact"/>
              <w:rPr>
                <w:rFonts w:ascii="宋体" w:hAnsi="宋体" w:cs="Arial"/>
                <w:color w:val="auto"/>
                <w:sz w:val="18"/>
                <w:szCs w:val="18"/>
              </w:rPr>
            </w:pPr>
            <w:r>
              <w:rPr>
                <w:rFonts w:hint="eastAsia" w:ascii="宋体" w:hAnsi="宋体" w:cs="Arial"/>
                <w:color w:val="auto"/>
                <w:sz w:val="18"/>
                <w:szCs w:val="18"/>
              </w:rPr>
              <w:t>4.防护等级≥IP54；</w:t>
            </w:r>
          </w:p>
          <w:p w14:paraId="14011FB3">
            <w:pPr>
              <w:widowControl/>
              <w:spacing w:line="400" w:lineRule="exact"/>
              <w:rPr>
                <w:rFonts w:ascii="宋体" w:hAnsi="宋体" w:cs="Arial"/>
                <w:color w:val="auto"/>
                <w:sz w:val="18"/>
                <w:szCs w:val="18"/>
              </w:rPr>
            </w:pPr>
            <w:r>
              <w:rPr>
                <w:rFonts w:hint="eastAsia" w:ascii="宋体" w:hAnsi="宋体" w:cs="Arial"/>
                <w:color w:val="auto"/>
                <w:sz w:val="18"/>
                <w:szCs w:val="18"/>
              </w:rPr>
              <w:t>5.屏幕尺寸≥2.4英寸；</w:t>
            </w:r>
          </w:p>
          <w:p w14:paraId="0085E724">
            <w:pPr>
              <w:widowControl/>
              <w:spacing w:line="400" w:lineRule="exact"/>
              <w:rPr>
                <w:rFonts w:ascii="宋体" w:hAnsi="宋体" w:cs="Arial"/>
                <w:color w:val="auto"/>
                <w:sz w:val="18"/>
                <w:szCs w:val="18"/>
              </w:rPr>
            </w:pPr>
            <w:r>
              <w:rPr>
                <w:rFonts w:hint="eastAsia" w:ascii="宋体" w:hAnsi="宋体" w:cs="Arial"/>
                <w:color w:val="auto"/>
                <w:sz w:val="18"/>
                <w:szCs w:val="18"/>
              </w:rPr>
              <w:t>6.直通模式下，在近距离1.2米的下通话，彼此不产生信号干扰；</w:t>
            </w:r>
          </w:p>
          <w:p w14:paraId="3FE09A04">
            <w:pPr>
              <w:widowControl/>
              <w:spacing w:line="400" w:lineRule="exact"/>
              <w:rPr>
                <w:rFonts w:ascii="宋体" w:hAnsi="宋体" w:cs="Arial"/>
                <w:color w:val="auto"/>
                <w:sz w:val="18"/>
                <w:szCs w:val="18"/>
              </w:rPr>
            </w:pPr>
            <w:r>
              <w:rPr>
                <w:rFonts w:hint="eastAsia" w:ascii="宋体" w:hAnsi="宋体" w:cs="Arial"/>
                <w:color w:val="auto"/>
                <w:sz w:val="18"/>
                <w:szCs w:val="18"/>
              </w:rPr>
              <w:t>7.内置蓝牙模块，不需要蓝牙适配器，蓝牙协议版本≥V5.0；</w:t>
            </w:r>
          </w:p>
          <w:p w14:paraId="4C025C6F">
            <w:pPr>
              <w:widowControl/>
              <w:spacing w:line="400" w:lineRule="exact"/>
              <w:rPr>
                <w:rFonts w:ascii="宋体" w:hAnsi="宋体" w:cs="Arial"/>
                <w:color w:val="auto"/>
                <w:sz w:val="18"/>
                <w:szCs w:val="18"/>
              </w:rPr>
            </w:pPr>
            <w:r>
              <w:rPr>
                <w:rFonts w:hint="eastAsia" w:ascii="宋体" w:hAnsi="宋体" w:cs="Arial"/>
                <w:color w:val="auto"/>
                <w:sz w:val="18"/>
                <w:szCs w:val="18"/>
              </w:rPr>
              <w:t>8.支持双集群，支持(1)可同时配置两套数字集群相互独立的参数；(2)支持通过旋钮在两套数字集群间切换，且不会重启；(3)支持两套集群之间自动切换，且不会重启；</w:t>
            </w:r>
          </w:p>
          <w:p w14:paraId="6786C771">
            <w:pPr>
              <w:widowControl/>
              <w:spacing w:line="400" w:lineRule="exact"/>
              <w:rPr>
                <w:rFonts w:ascii="宋体" w:hAnsi="宋体" w:cs="Arial"/>
                <w:color w:val="auto"/>
                <w:sz w:val="18"/>
                <w:szCs w:val="18"/>
              </w:rPr>
            </w:pPr>
            <w:r>
              <w:rPr>
                <w:rFonts w:hint="eastAsia" w:ascii="宋体" w:hAnsi="宋体" w:cs="Arial"/>
                <w:color w:val="auto"/>
                <w:sz w:val="18"/>
                <w:szCs w:val="18"/>
              </w:rPr>
              <w:t>9.支持噪声抑制功能；</w:t>
            </w:r>
          </w:p>
          <w:p w14:paraId="264802A7">
            <w:pPr>
              <w:widowControl/>
              <w:spacing w:line="400" w:lineRule="exact"/>
              <w:rPr>
                <w:rFonts w:ascii="宋体" w:hAnsi="宋体" w:cs="Arial"/>
                <w:color w:val="auto"/>
                <w:sz w:val="18"/>
                <w:szCs w:val="18"/>
              </w:rPr>
            </w:pPr>
            <w:r>
              <w:rPr>
                <w:rFonts w:hint="eastAsia" w:ascii="宋体" w:hAnsi="宋体" w:cs="Arial"/>
                <w:color w:val="auto"/>
                <w:sz w:val="18"/>
                <w:szCs w:val="18"/>
              </w:rPr>
              <w:t>10.支持功率自动调整功能；</w:t>
            </w:r>
          </w:p>
          <w:p w14:paraId="4B71528E">
            <w:pPr>
              <w:widowControl/>
              <w:spacing w:line="400" w:lineRule="exact"/>
              <w:rPr>
                <w:rFonts w:ascii="宋体" w:hAnsi="宋体" w:cs="Arial"/>
                <w:color w:val="auto"/>
                <w:sz w:val="18"/>
                <w:szCs w:val="18"/>
              </w:rPr>
            </w:pPr>
            <w:r>
              <w:rPr>
                <w:rFonts w:hint="eastAsia" w:ascii="宋体" w:hAnsi="宋体" w:cs="Arial"/>
                <w:color w:val="auto"/>
                <w:sz w:val="18"/>
                <w:szCs w:val="18"/>
              </w:rPr>
              <w:t>11.支持混合组群功能，常规信道(含数字直通、模拟直通、数字中转、模拟中转、自组网、增强型虚拟集群)和集群组呼可在同一个组群，通过信道旋钮进行切换，且不重启；</w:t>
            </w:r>
          </w:p>
          <w:p w14:paraId="1CBE3152">
            <w:pPr>
              <w:widowControl/>
              <w:spacing w:line="400" w:lineRule="exact"/>
              <w:rPr>
                <w:rFonts w:ascii="宋体" w:hAnsi="宋体" w:cs="Arial"/>
                <w:color w:val="auto"/>
                <w:sz w:val="18"/>
                <w:szCs w:val="18"/>
              </w:rPr>
            </w:pPr>
            <w:r>
              <w:rPr>
                <w:rFonts w:hint="eastAsia" w:ascii="宋体" w:hAnsi="宋体" w:cs="Arial"/>
                <w:color w:val="auto"/>
                <w:sz w:val="18"/>
                <w:szCs w:val="18"/>
              </w:rPr>
              <w:t>★12.支持接入江苏省应急管理厅和淮安市应急管理局370MHz窄带无线通信系统，并承担具体对接实施工作；(需提供相关承诺函，格式自拟)。中标公示结束后5个日历日内，中标人须前往盱眙县应急管理局自行搭建测试环境，完成对应产品的现场接入测试(需按附件7格式提供承诺函)。</w:t>
            </w:r>
          </w:p>
          <w:p w14:paraId="7E11B72B">
            <w:pPr>
              <w:widowControl/>
              <w:spacing w:line="400" w:lineRule="exact"/>
              <w:rPr>
                <w:rFonts w:ascii="宋体" w:hAnsi="宋体" w:cs="Arial"/>
                <w:color w:val="auto"/>
                <w:sz w:val="18"/>
                <w:szCs w:val="18"/>
              </w:rPr>
            </w:pPr>
            <w:r>
              <w:rPr>
                <w:rFonts w:hint="eastAsia" w:ascii="宋体" w:hAnsi="宋体" w:cs="Arial"/>
                <w:color w:val="auto"/>
                <w:sz w:val="18"/>
                <w:szCs w:val="18"/>
              </w:rPr>
              <w:t>13.需配备电源、机箱、天线、馈线等相关设备。</w:t>
            </w:r>
          </w:p>
        </w:tc>
        <w:tc>
          <w:tcPr>
            <w:tcW w:w="900" w:type="dxa"/>
            <w:tcBorders>
              <w:top w:val="nil"/>
              <w:left w:val="nil"/>
              <w:bottom w:val="single" w:color="auto" w:sz="4" w:space="0"/>
              <w:right w:val="single" w:color="auto" w:sz="4" w:space="0"/>
            </w:tcBorders>
            <w:vAlign w:val="center"/>
          </w:tcPr>
          <w:p w14:paraId="08ACF7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EA139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FC8F9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A954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F2139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多模融合终端</w:t>
            </w:r>
          </w:p>
        </w:tc>
        <w:tc>
          <w:tcPr>
            <w:tcW w:w="5717" w:type="dxa"/>
            <w:tcBorders>
              <w:top w:val="nil"/>
              <w:left w:val="nil"/>
              <w:bottom w:val="single" w:color="auto" w:sz="4" w:space="0"/>
              <w:right w:val="single" w:color="auto" w:sz="4" w:space="0"/>
            </w:tcBorders>
            <w:vAlign w:val="center"/>
          </w:tcPr>
          <w:p w14:paraId="3698BD94">
            <w:pPr>
              <w:widowControl/>
              <w:spacing w:line="400" w:lineRule="exact"/>
              <w:rPr>
                <w:rFonts w:ascii="宋体" w:hAnsi="宋体" w:cs="Arial"/>
                <w:color w:val="auto"/>
                <w:sz w:val="18"/>
                <w:szCs w:val="18"/>
              </w:rPr>
            </w:pPr>
            <w:r>
              <w:rPr>
                <w:rFonts w:hint="eastAsia" w:ascii="宋体" w:hAnsi="宋体" w:cs="Arial"/>
                <w:color w:val="auto"/>
                <w:sz w:val="18"/>
                <w:szCs w:val="18"/>
              </w:rPr>
              <w:t>1.频率范围支持350~400MHz；</w:t>
            </w:r>
          </w:p>
          <w:p w14:paraId="4CFE4BC2">
            <w:pPr>
              <w:widowControl/>
              <w:spacing w:line="400" w:lineRule="exact"/>
              <w:rPr>
                <w:rFonts w:ascii="宋体" w:hAnsi="宋体" w:cs="Arial"/>
                <w:color w:val="auto"/>
                <w:sz w:val="18"/>
                <w:szCs w:val="18"/>
              </w:rPr>
            </w:pPr>
            <w:r>
              <w:rPr>
                <w:rFonts w:hint="eastAsia" w:ascii="宋体" w:hAnsi="宋体" w:cs="Arial"/>
                <w:color w:val="auto"/>
                <w:sz w:val="18"/>
                <w:szCs w:val="18"/>
              </w:rPr>
              <w:t>2.支持标准PDT协议和LTE协议，并满足TDD-LTE/FDD-LTE/WCDMA/CDMA/CDMA2000/GSM通信制式，且支持模拟常规、模拟集群、数字常规、数字集群、公网PoC集群等工作模式；</w:t>
            </w:r>
          </w:p>
          <w:p w14:paraId="58ED8DE4">
            <w:pPr>
              <w:widowControl/>
              <w:spacing w:line="400" w:lineRule="exact"/>
              <w:rPr>
                <w:rFonts w:ascii="宋体" w:hAnsi="宋体" w:cs="Arial"/>
                <w:color w:val="auto"/>
                <w:sz w:val="18"/>
                <w:szCs w:val="18"/>
              </w:rPr>
            </w:pPr>
            <w:r>
              <w:rPr>
                <w:rFonts w:hint="eastAsia" w:ascii="宋体" w:hAnsi="宋体" w:cs="Arial"/>
                <w:color w:val="auto"/>
                <w:sz w:val="18"/>
                <w:szCs w:val="18"/>
              </w:rPr>
              <w:t>3.前置以及后置摄像头；配备双屏幕，主屏幕尺寸≥3.5英寸，小屏可显示通话组名、电量、时间、集群信号及定位图标等信息；</w:t>
            </w:r>
          </w:p>
          <w:p w14:paraId="5B7865EA">
            <w:pPr>
              <w:widowControl/>
              <w:spacing w:line="400" w:lineRule="exact"/>
              <w:rPr>
                <w:rFonts w:ascii="宋体" w:hAnsi="宋体" w:cs="Arial"/>
                <w:color w:val="auto"/>
                <w:sz w:val="18"/>
                <w:szCs w:val="18"/>
              </w:rPr>
            </w:pPr>
            <w:r>
              <w:rPr>
                <w:rFonts w:hint="eastAsia" w:ascii="宋体" w:hAnsi="宋体" w:cs="Arial"/>
                <w:color w:val="auto"/>
                <w:sz w:val="18"/>
                <w:szCs w:val="18"/>
              </w:rPr>
              <w:t>4.防护等级≥IP68；</w:t>
            </w:r>
          </w:p>
          <w:p w14:paraId="28B71681">
            <w:pPr>
              <w:widowControl/>
              <w:spacing w:line="400" w:lineRule="exact"/>
              <w:rPr>
                <w:rFonts w:ascii="宋体" w:hAnsi="宋体" w:cs="Arial"/>
                <w:color w:val="auto"/>
                <w:sz w:val="18"/>
                <w:szCs w:val="18"/>
              </w:rPr>
            </w:pPr>
            <w:r>
              <w:rPr>
                <w:rFonts w:hint="eastAsia" w:ascii="宋体" w:hAnsi="宋体" w:cs="Arial"/>
                <w:color w:val="auto"/>
                <w:sz w:val="18"/>
                <w:szCs w:val="18"/>
              </w:rPr>
              <w:t>5.卫星定位、网络定位，能自动整合定位数据；</w:t>
            </w:r>
          </w:p>
          <w:p w14:paraId="46F3265C">
            <w:pPr>
              <w:widowControl/>
              <w:spacing w:line="400" w:lineRule="exact"/>
              <w:rPr>
                <w:rFonts w:ascii="宋体" w:hAnsi="宋体" w:cs="Arial"/>
                <w:color w:val="auto"/>
                <w:sz w:val="18"/>
                <w:szCs w:val="18"/>
              </w:rPr>
            </w:pPr>
            <w:r>
              <w:rPr>
                <w:rFonts w:hint="eastAsia" w:ascii="宋体" w:hAnsi="宋体" w:cs="Arial"/>
                <w:color w:val="auto"/>
                <w:sz w:val="18"/>
                <w:szCs w:val="18"/>
              </w:rPr>
              <w:t>6.公网与PDT专网系统深度融合，实现公网与专网的互联互通；</w:t>
            </w:r>
          </w:p>
          <w:p w14:paraId="79D5EA0B">
            <w:pPr>
              <w:widowControl/>
              <w:spacing w:line="400" w:lineRule="exact"/>
              <w:rPr>
                <w:rFonts w:ascii="宋体" w:hAnsi="宋体" w:cs="Arial"/>
                <w:color w:val="auto"/>
                <w:sz w:val="18"/>
                <w:szCs w:val="18"/>
              </w:rPr>
            </w:pPr>
            <w:r>
              <w:rPr>
                <w:rFonts w:hint="eastAsia" w:ascii="宋体" w:hAnsi="宋体" w:cs="Arial"/>
                <w:color w:val="auto"/>
                <w:sz w:val="18"/>
                <w:szCs w:val="18"/>
              </w:rPr>
              <w:t>7.据网络质量自动优选单一网络(窄带网络或宽带网络)进行语音业务；</w:t>
            </w:r>
          </w:p>
          <w:p w14:paraId="47E7081A">
            <w:pPr>
              <w:widowControl/>
              <w:spacing w:line="400" w:lineRule="exact"/>
              <w:rPr>
                <w:rFonts w:ascii="宋体" w:hAnsi="宋体" w:cs="Arial"/>
                <w:color w:val="auto"/>
                <w:sz w:val="18"/>
                <w:szCs w:val="18"/>
              </w:rPr>
            </w:pPr>
            <w:r>
              <w:rPr>
                <w:rFonts w:hint="eastAsia" w:ascii="宋体" w:hAnsi="宋体" w:cs="Arial"/>
                <w:color w:val="auto"/>
                <w:sz w:val="18"/>
                <w:szCs w:val="18"/>
              </w:rPr>
              <w:t>8.双路发送，按压PTT键可向窄带集群和公网集群(PoC)通话组或窄带常规和公网集群(PoC)通话组同时发起呼叫；</w:t>
            </w:r>
          </w:p>
          <w:p w14:paraId="6BBFF713">
            <w:pPr>
              <w:widowControl/>
              <w:spacing w:line="400" w:lineRule="exact"/>
              <w:rPr>
                <w:rFonts w:ascii="宋体" w:hAnsi="宋体" w:cs="Arial"/>
                <w:color w:val="auto"/>
                <w:sz w:val="18"/>
                <w:szCs w:val="18"/>
              </w:rPr>
            </w:pPr>
            <w:r>
              <w:rPr>
                <w:rFonts w:hint="eastAsia" w:ascii="宋体" w:hAnsi="宋体" w:cs="Arial"/>
                <w:color w:val="auto"/>
                <w:sz w:val="18"/>
                <w:szCs w:val="18"/>
              </w:rPr>
              <w:t>▲9.多组守候，(1)注册在窄带集群和公网集群(PoC)网络时，可同时对32个通话组进行守候，当任意一个通话组发起呼叫时都可以接听和回复；用户可不用携带多个对讲机分别监听不同组；(2)支持通过点击屏幕守候的通话组完成当前组的快速切换；(提供带有CMA 或CNAS 标识的第三方权威检测机构出具的检测报告扫描件证明)</w:t>
            </w:r>
          </w:p>
          <w:p w14:paraId="63EC1AB2">
            <w:pPr>
              <w:widowControl/>
              <w:spacing w:line="400" w:lineRule="exact"/>
              <w:rPr>
                <w:rFonts w:ascii="宋体" w:hAnsi="宋体" w:cs="Arial"/>
                <w:color w:val="auto"/>
                <w:sz w:val="18"/>
                <w:szCs w:val="18"/>
              </w:rPr>
            </w:pPr>
            <w:r>
              <w:rPr>
                <w:rFonts w:hint="eastAsia" w:ascii="宋体" w:hAnsi="宋体" w:cs="Arial"/>
                <w:color w:val="auto"/>
                <w:sz w:val="18"/>
                <w:szCs w:val="18"/>
              </w:rPr>
              <w:t>▲10.降噪功能，背景噪声抑制度可达34dB，风噪抑制度可达32dB，在嘈杂的环境中发射语音会动降噪，将语音清晰的发送出去；(提供带有CMA 或CNAS 标识的第三方权威检测机构出具的检测报告扫描件证明)</w:t>
            </w:r>
          </w:p>
          <w:p w14:paraId="05532098">
            <w:pPr>
              <w:widowControl/>
              <w:spacing w:line="400" w:lineRule="exact"/>
              <w:rPr>
                <w:rFonts w:ascii="宋体" w:hAnsi="宋体" w:cs="Arial"/>
                <w:color w:val="auto"/>
                <w:sz w:val="18"/>
                <w:szCs w:val="18"/>
              </w:rPr>
            </w:pPr>
            <w:r>
              <w:rPr>
                <w:rFonts w:hint="eastAsia" w:ascii="宋体" w:hAnsi="宋体" w:cs="Arial"/>
                <w:color w:val="auto"/>
                <w:sz w:val="18"/>
                <w:szCs w:val="18"/>
              </w:rPr>
              <w:t>11.啸叫抑制，两台终端在近距离30厘米处发射呼叫过程中没有啸叫；</w:t>
            </w:r>
          </w:p>
          <w:p w14:paraId="255ECF1E">
            <w:pPr>
              <w:widowControl/>
              <w:spacing w:line="400" w:lineRule="exact"/>
              <w:rPr>
                <w:rFonts w:ascii="宋体" w:hAnsi="宋体" w:cs="Arial"/>
                <w:color w:val="auto"/>
                <w:sz w:val="18"/>
                <w:szCs w:val="18"/>
              </w:rPr>
            </w:pPr>
            <w:r>
              <w:rPr>
                <w:rFonts w:hint="eastAsia" w:ascii="宋体" w:hAnsi="宋体" w:cs="Arial"/>
                <w:color w:val="auto"/>
                <w:sz w:val="18"/>
                <w:szCs w:val="18"/>
              </w:rPr>
              <w:t>▲12.防爆电池识别，终端插上非原装防爆电池时，支持以图标或文字提示；(提供带有CMA 或CNAS 标识的第三方权威检测机构出具的检测报告扫描件证明)</w:t>
            </w:r>
          </w:p>
          <w:p w14:paraId="483A40D1">
            <w:pPr>
              <w:widowControl/>
              <w:spacing w:line="400" w:lineRule="exact"/>
              <w:rPr>
                <w:rFonts w:ascii="宋体" w:hAnsi="宋体" w:cs="Arial"/>
                <w:color w:val="auto"/>
                <w:sz w:val="18"/>
                <w:szCs w:val="18"/>
              </w:rPr>
            </w:pPr>
            <w:r>
              <w:rPr>
                <w:rFonts w:hint="eastAsia" w:ascii="宋体" w:hAnsi="宋体" w:cs="Arial"/>
                <w:color w:val="auto"/>
                <w:sz w:val="18"/>
                <w:szCs w:val="18"/>
              </w:rPr>
              <w:t>▲13.防爆等级不低于 Ex ib IIB T4 Gb / Ex ib IIIC T130℃ Db；(提供防爆合格证扫描件证明)</w:t>
            </w:r>
          </w:p>
          <w:p w14:paraId="02573011">
            <w:pPr>
              <w:widowControl/>
              <w:spacing w:line="400" w:lineRule="exact"/>
              <w:rPr>
                <w:rFonts w:ascii="宋体" w:hAnsi="宋体" w:cs="Arial"/>
                <w:color w:val="auto"/>
                <w:sz w:val="18"/>
                <w:szCs w:val="18"/>
              </w:rPr>
            </w:pPr>
            <w:r>
              <w:rPr>
                <w:rFonts w:hint="eastAsia" w:ascii="宋体" w:hAnsi="宋体" w:cs="Arial"/>
                <w:color w:val="auto"/>
                <w:sz w:val="18"/>
                <w:szCs w:val="18"/>
              </w:rPr>
              <w:t>14.具备发射设备型号核准证；</w:t>
            </w:r>
          </w:p>
          <w:p w14:paraId="22DABA9A">
            <w:pPr>
              <w:widowControl/>
              <w:spacing w:line="400" w:lineRule="exact"/>
              <w:rPr>
                <w:rFonts w:ascii="宋体" w:hAnsi="宋体" w:cs="Arial"/>
                <w:color w:val="auto"/>
                <w:sz w:val="18"/>
                <w:szCs w:val="18"/>
              </w:rPr>
            </w:pPr>
            <w:r>
              <w:rPr>
                <w:rFonts w:hint="eastAsia" w:ascii="宋体" w:hAnsi="宋体" w:cs="Arial"/>
                <w:color w:val="auto"/>
                <w:sz w:val="18"/>
                <w:szCs w:val="18"/>
              </w:rPr>
              <w:t>★15.能无缝接入江苏省应急管理厅和淮安市应急管理局370MHz窄带无线通信系统以及公专融合平台(需提供相关承诺函，格式自拟)。</w:t>
            </w:r>
          </w:p>
          <w:p w14:paraId="48B60A7C">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0ABD15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45.00 </w:t>
            </w:r>
          </w:p>
        </w:tc>
        <w:tc>
          <w:tcPr>
            <w:tcW w:w="849" w:type="dxa"/>
            <w:gridSpan w:val="2"/>
            <w:tcBorders>
              <w:top w:val="nil"/>
              <w:left w:val="nil"/>
              <w:bottom w:val="single" w:color="auto" w:sz="4" w:space="0"/>
              <w:right w:val="single" w:color="auto" w:sz="4" w:space="0"/>
            </w:tcBorders>
            <w:vAlign w:val="center"/>
          </w:tcPr>
          <w:p w14:paraId="12E17E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46CED0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26C3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62A61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可视电台</w:t>
            </w:r>
          </w:p>
        </w:tc>
        <w:tc>
          <w:tcPr>
            <w:tcW w:w="5717" w:type="dxa"/>
            <w:tcBorders>
              <w:top w:val="nil"/>
              <w:left w:val="nil"/>
              <w:bottom w:val="single" w:color="auto" w:sz="4" w:space="0"/>
              <w:right w:val="single" w:color="auto" w:sz="4" w:space="0"/>
            </w:tcBorders>
            <w:vAlign w:val="center"/>
          </w:tcPr>
          <w:p w14:paraId="356A8850">
            <w:pPr>
              <w:widowControl/>
              <w:spacing w:line="400" w:lineRule="exact"/>
              <w:rPr>
                <w:rFonts w:ascii="宋体" w:hAnsi="宋体" w:cs="Arial"/>
                <w:color w:val="auto"/>
                <w:sz w:val="18"/>
                <w:szCs w:val="18"/>
              </w:rPr>
            </w:pPr>
            <w:r>
              <w:rPr>
                <w:rFonts w:hint="eastAsia" w:ascii="宋体" w:hAnsi="宋体" w:cs="Arial"/>
                <w:color w:val="auto"/>
                <w:sz w:val="18"/>
                <w:szCs w:val="18"/>
              </w:rPr>
              <w:t>1.频率范围支持350~400MHz；</w:t>
            </w:r>
          </w:p>
          <w:p w14:paraId="30036CBE">
            <w:pPr>
              <w:widowControl/>
              <w:spacing w:line="400" w:lineRule="exact"/>
              <w:rPr>
                <w:rFonts w:ascii="宋体" w:hAnsi="宋体" w:cs="Arial"/>
                <w:color w:val="auto"/>
                <w:sz w:val="18"/>
                <w:szCs w:val="18"/>
              </w:rPr>
            </w:pPr>
            <w:r>
              <w:rPr>
                <w:rFonts w:hint="eastAsia" w:ascii="宋体" w:hAnsi="宋体" w:cs="Arial"/>
                <w:color w:val="auto"/>
                <w:sz w:val="18"/>
                <w:szCs w:val="18"/>
              </w:rPr>
              <w:t>2.支持标准PDT协议和LTE协议，并满足TDD-LTE/FDD-LTE/WCDMA/CDMA/CDMA2000/GSM通信制式，且支持模拟常规、模拟集群、数字常规、数字集群、公网PoC集群等工作模式；</w:t>
            </w:r>
          </w:p>
          <w:p w14:paraId="6447D9D1">
            <w:pPr>
              <w:widowControl/>
              <w:spacing w:line="400" w:lineRule="exact"/>
              <w:rPr>
                <w:rFonts w:ascii="宋体" w:hAnsi="宋体" w:cs="Arial"/>
                <w:color w:val="auto"/>
                <w:sz w:val="18"/>
                <w:szCs w:val="18"/>
              </w:rPr>
            </w:pPr>
            <w:r>
              <w:rPr>
                <w:rFonts w:hint="eastAsia" w:ascii="宋体" w:hAnsi="宋体" w:cs="Arial"/>
                <w:color w:val="auto"/>
                <w:sz w:val="18"/>
                <w:szCs w:val="18"/>
              </w:rPr>
              <w:t>3.前置以及后置摄像头；配备双屏幕，主屏幕尺寸≥3.5英寸，小屏可显示通话组名、电量、时间、集群信号及定位图标等信息；</w:t>
            </w:r>
          </w:p>
          <w:p w14:paraId="37950C9C">
            <w:pPr>
              <w:widowControl/>
              <w:spacing w:line="400" w:lineRule="exact"/>
              <w:rPr>
                <w:rFonts w:ascii="宋体" w:hAnsi="宋体" w:cs="Arial"/>
                <w:color w:val="auto"/>
                <w:sz w:val="18"/>
                <w:szCs w:val="18"/>
              </w:rPr>
            </w:pPr>
            <w:r>
              <w:rPr>
                <w:rFonts w:hint="eastAsia" w:ascii="宋体" w:hAnsi="宋体" w:cs="Arial"/>
                <w:color w:val="auto"/>
                <w:sz w:val="18"/>
                <w:szCs w:val="18"/>
              </w:rPr>
              <w:t>4.防护等级≥IP68；</w:t>
            </w:r>
          </w:p>
          <w:p w14:paraId="7694B61E">
            <w:pPr>
              <w:widowControl/>
              <w:spacing w:line="400" w:lineRule="exact"/>
              <w:rPr>
                <w:rFonts w:ascii="宋体" w:hAnsi="宋体" w:cs="Arial"/>
                <w:color w:val="auto"/>
                <w:sz w:val="18"/>
                <w:szCs w:val="18"/>
              </w:rPr>
            </w:pPr>
            <w:r>
              <w:rPr>
                <w:rFonts w:hint="eastAsia" w:ascii="宋体" w:hAnsi="宋体" w:cs="Arial"/>
                <w:color w:val="auto"/>
                <w:sz w:val="18"/>
                <w:szCs w:val="18"/>
              </w:rPr>
              <w:t>5.卫星定位、网络定位，能自动整合定位数据；</w:t>
            </w:r>
          </w:p>
          <w:p w14:paraId="36221A51">
            <w:pPr>
              <w:widowControl/>
              <w:spacing w:line="400" w:lineRule="exact"/>
              <w:rPr>
                <w:rFonts w:ascii="宋体" w:hAnsi="宋体" w:cs="Arial"/>
                <w:color w:val="auto"/>
                <w:sz w:val="18"/>
                <w:szCs w:val="18"/>
              </w:rPr>
            </w:pPr>
            <w:r>
              <w:rPr>
                <w:rFonts w:hint="eastAsia" w:ascii="宋体" w:hAnsi="宋体" w:cs="Arial"/>
                <w:color w:val="auto"/>
                <w:sz w:val="18"/>
                <w:szCs w:val="18"/>
              </w:rPr>
              <w:t>6.公网与PDT专网系统深度融合，实现公网与专网的互联互通；</w:t>
            </w:r>
          </w:p>
          <w:p w14:paraId="3BF0BE0A">
            <w:pPr>
              <w:widowControl/>
              <w:spacing w:line="400" w:lineRule="exact"/>
              <w:rPr>
                <w:rFonts w:ascii="宋体" w:hAnsi="宋体" w:cs="Arial"/>
                <w:color w:val="auto"/>
                <w:sz w:val="18"/>
                <w:szCs w:val="18"/>
              </w:rPr>
            </w:pPr>
            <w:r>
              <w:rPr>
                <w:rFonts w:hint="eastAsia" w:ascii="宋体" w:hAnsi="宋体" w:cs="Arial"/>
                <w:color w:val="auto"/>
                <w:sz w:val="18"/>
                <w:szCs w:val="18"/>
              </w:rPr>
              <w:t>7.据网络质量自动优选单一网络(窄带网络或宽带网络)进行语音业务；</w:t>
            </w:r>
          </w:p>
          <w:p w14:paraId="1FE78A58">
            <w:pPr>
              <w:widowControl/>
              <w:spacing w:line="400" w:lineRule="exact"/>
              <w:rPr>
                <w:rFonts w:ascii="宋体" w:hAnsi="宋体" w:cs="Arial"/>
                <w:color w:val="auto"/>
                <w:sz w:val="18"/>
                <w:szCs w:val="18"/>
              </w:rPr>
            </w:pPr>
            <w:r>
              <w:rPr>
                <w:rFonts w:hint="eastAsia" w:ascii="宋体" w:hAnsi="宋体" w:cs="Arial"/>
                <w:color w:val="auto"/>
                <w:sz w:val="18"/>
                <w:szCs w:val="18"/>
              </w:rPr>
              <w:t>8.双路发送，按压PTT键可向窄带集群和公网集群(PoC)通话组或窄带常规和公网集群(PoC)通话组同时发起呼叫；</w:t>
            </w:r>
          </w:p>
          <w:p w14:paraId="4365643A">
            <w:pPr>
              <w:widowControl/>
              <w:spacing w:line="400" w:lineRule="exact"/>
              <w:rPr>
                <w:rFonts w:ascii="宋体" w:hAnsi="宋体" w:cs="Arial"/>
                <w:color w:val="auto"/>
                <w:sz w:val="18"/>
                <w:szCs w:val="18"/>
              </w:rPr>
            </w:pPr>
            <w:r>
              <w:rPr>
                <w:rFonts w:hint="eastAsia" w:ascii="宋体" w:hAnsi="宋体" w:cs="Arial"/>
                <w:color w:val="auto"/>
                <w:sz w:val="18"/>
                <w:szCs w:val="18"/>
              </w:rPr>
              <w:t>9.多组守候，(1)注册在窄带集群和公网集群(PoC)网络时，可同时对32个通话组进行守候，当任意一个通话组发起呼叫时都可以接听和回复；用户可不用携带多个对讲机分别监听不同组；(2)支持通过点击屏幕守候的通话组完成当前组的快速切换；</w:t>
            </w:r>
          </w:p>
          <w:p w14:paraId="056D0824">
            <w:pPr>
              <w:widowControl/>
              <w:spacing w:line="400" w:lineRule="exact"/>
              <w:rPr>
                <w:rFonts w:ascii="宋体" w:hAnsi="宋体" w:cs="Arial"/>
                <w:color w:val="auto"/>
                <w:sz w:val="18"/>
                <w:szCs w:val="18"/>
              </w:rPr>
            </w:pPr>
            <w:r>
              <w:rPr>
                <w:rFonts w:hint="eastAsia" w:ascii="宋体" w:hAnsi="宋体" w:cs="Arial"/>
                <w:color w:val="auto"/>
                <w:sz w:val="18"/>
                <w:szCs w:val="18"/>
              </w:rPr>
              <w:t>10.降噪功能，背景噪声抑制度可达34dB，风噪抑制度可达32dB，在嘈杂的环境中发射语音会动降噪，将语音清晰的发送出去；</w:t>
            </w:r>
          </w:p>
          <w:p w14:paraId="58C28506">
            <w:pPr>
              <w:widowControl/>
              <w:spacing w:line="400" w:lineRule="exact"/>
              <w:rPr>
                <w:rFonts w:ascii="宋体" w:hAnsi="宋体" w:cs="Arial"/>
                <w:color w:val="auto"/>
                <w:sz w:val="18"/>
                <w:szCs w:val="18"/>
              </w:rPr>
            </w:pPr>
            <w:r>
              <w:rPr>
                <w:rFonts w:hint="eastAsia" w:ascii="宋体" w:hAnsi="宋体" w:cs="Arial"/>
                <w:color w:val="auto"/>
                <w:sz w:val="18"/>
                <w:szCs w:val="18"/>
              </w:rPr>
              <w:t>11.啸叫抑制，两台终端在近距离30厘米处发射呼叫过程中没有啸叫；</w:t>
            </w:r>
          </w:p>
          <w:p w14:paraId="05DBABED">
            <w:pPr>
              <w:widowControl/>
              <w:spacing w:line="400" w:lineRule="exact"/>
              <w:rPr>
                <w:rFonts w:ascii="宋体" w:hAnsi="宋体" w:cs="Arial"/>
                <w:color w:val="auto"/>
                <w:sz w:val="18"/>
                <w:szCs w:val="18"/>
              </w:rPr>
            </w:pPr>
            <w:r>
              <w:rPr>
                <w:rFonts w:hint="eastAsia" w:ascii="宋体" w:hAnsi="宋体" w:cs="Arial"/>
                <w:color w:val="auto"/>
                <w:sz w:val="18"/>
                <w:szCs w:val="18"/>
              </w:rPr>
              <w:t>12.具备发射设备型号核准证；</w:t>
            </w:r>
          </w:p>
          <w:p w14:paraId="62DD10B1">
            <w:pPr>
              <w:widowControl/>
              <w:spacing w:line="400" w:lineRule="exact"/>
              <w:rPr>
                <w:rFonts w:ascii="宋体" w:hAnsi="宋体" w:cs="Arial"/>
                <w:color w:val="auto"/>
                <w:sz w:val="18"/>
                <w:szCs w:val="18"/>
              </w:rPr>
            </w:pPr>
            <w:r>
              <w:rPr>
                <w:rFonts w:hint="eastAsia" w:ascii="宋体" w:hAnsi="宋体" w:cs="Arial"/>
                <w:color w:val="auto"/>
                <w:sz w:val="18"/>
                <w:szCs w:val="18"/>
              </w:rPr>
              <w:t>★13.能无缝接入江苏省应急管理厅和淮安市应急管理局370MHz窄带无线通信系统以及公专融合平台。(需提供相关承诺函，格式自拟) 中标公示结束后5个日历日内，中标人须前往盱眙县应急管理局自行搭建测试环境，完成对应产品的现场接入测试(需按附件7格式提供承诺函)。</w:t>
            </w:r>
          </w:p>
        </w:tc>
        <w:tc>
          <w:tcPr>
            <w:tcW w:w="900" w:type="dxa"/>
            <w:tcBorders>
              <w:top w:val="nil"/>
              <w:left w:val="nil"/>
              <w:bottom w:val="single" w:color="auto" w:sz="4" w:space="0"/>
              <w:right w:val="single" w:color="auto" w:sz="4" w:space="0"/>
            </w:tcBorders>
            <w:vAlign w:val="center"/>
          </w:tcPr>
          <w:p w14:paraId="55D651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101.00 </w:t>
            </w:r>
          </w:p>
        </w:tc>
        <w:tc>
          <w:tcPr>
            <w:tcW w:w="849" w:type="dxa"/>
            <w:gridSpan w:val="2"/>
            <w:tcBorders>
              <w:top w:val="nil"/>
              <w:left w:val="nil"/>
              <w:bottom w:val="single" w:color="auto" w:sz="4" w:space="0"/>
              <w:right w:val="single" w:color="auto" w:sz="4" w:space="0"/>
            </w:tcBorders>
            <w:vAlign w:val="center"/>
          </w:tcPr>
          <w:p w14:paraId="19F26D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A8F41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1CE25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 </w:t>
            </w:r>
          </w:p>
        </w:tc>
        <w:tc>
          <w:tcPr>
            <w:tcW w:w="1397" w:type="dxa"/>
            <w:tcBorders>
              <w:top w:val="nil"/>
              <w:left w:val="nil"/>
              <w:bottom w:val="single" w:color="auto" w:sz="4" w:space="0"/>
              <w:right w:val="single" w:color="auto" w:sz="4" w:space="0"/>
            </w:tcBorders>
            <w:vAlign w:val="center"/>
          </w:tcPr>
          <w:p w14:paraId="3C8242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卫星便携站</w:t>
            </w:r>
          </w:p>
        </w:tc>
        <w:tc>
          <w:tcPr>
            <w:tcW w:w="5717" w:type="dxa"/>
            <w:tcBorders>
              <w:top w:val="nil"/>
              <w:left w:val="nil"/>
              <w:bottom w:val="single" w:color="auto" w:sz="4" w:space="0"/>
              <w:right w:val="single" w:color="auto" w:sz="4" w:space="0"/>
            </w:tcBorders>
            <w:vAlign w:val="center"/>
          </w:tcPr>
          <w:p w14:paraId="7F74F7FA">
            <w:pPr>
              <w:widowControl/>
              <w:spacing w:line="400" w:lineRule="exact"/>
              <w:rPr>
                <w:rFonts w:ascii="宋体" w:hAnsi="宋体" w:cs="Arial"/>
                <w:color w:val="auto"/>
                <w:sz w:val="18"/>
                <w:szCs w:val="18"/>
              </w:rPr>
            </w:pPr>
            <w:r>
              <w:rPr>
                <w:rFonts w:hint="eastAsia" w:ascii="宋体" w:hAnsi="宋体" w:cs="Arial"/>
                <w:color w:val="auto"/>
                <w:sz w:val="18"/>
                <w:szCs w:val="18"/>
              </w:rPr>
              <w:t>1.一体化设计，含卫星天线与底座、收发信一体机、调制解调器、天线控制单元、电机，电池等部件，无外接线缆；</w:t>
            </w:r>
          </w:p>
          <w:p w14:paraId="2EBF9334">
            <w:pPr>
              <w:widowControl/>
              <w:spacing w:line="400" w:lineRule="exact"/>
              <w:rPr>
                <w:rFonts w:ascii="宋体" w:hAnsi="宋体" w:cs="Arial"/>
                <w:color w:val="auto"/>
                <w:sz w:val="18"/>
                <w:szCs w:val="18"/>
              </w:rPr>
            </w:pPr>
            <w:r>
              <w:rPr>
                <w:rFonts w:hint="eastAsia" w:ascii="宋体" w:hAnsi="宋体" w:cs="Arial"/>
                <w:color w:val="auto"/>
                <w:sz w:val="18"/>
                <w:szCs w:val="18"/>
              </w:rPr>
              <w:t>2.可接入国产高通量平台及应急管理部卫星通信系统，高通量模式带宽上行速度≥5Mbps、下行速度≥10Mbps；专网模式支持上下行≥2Mbps；</w:t>
            </w:r>
          </w:p>
          <w:p w14:paraId="50DE0E88">
            <w:pPr>
              <w:widowControl/>
              <w:spacing w:line="400" w:lineRule="exact"/>
              <w:rPr>
                <w:rFonts w:ascii="宋体" w:hAnsi="宋体" w:cs="Arial"/>
                <w:color w:val="auto"/>
                <w:sz w:val="18"/>
                <w:szCs w:val="18"/>
              </w:rPr>
            </w:pPr>
            <w:r>
              <w:rPr>
                <w:rFonts w:hint="eastAsia" w:ascii="宋体" w:hAnsi="宋体" w:cs="Arial"/>
                <w:color w:val="auto"/>
                <w:sz w:val="18"/>
                <w:szCs w:val="18"/>
              </w:rPr>
              <w:t>3.供电电源支持交流90~264V；直流24V；</w:t>
            </w:r>
          </w:p>
          <w:p w14:paraId="44CD98BE">
            <w:pPr>
              <w:widowControl/>
              <w:spacing w:line="400" w:lineRule="exact"/>
              <w:rPr>
                <w:rFonts w:ascii="宋体" w:hAnsi="宋体" w:cs="Arial"/>
                <w:color w:val="auto"/>
                <w:sz w:val="18"/>
                <w:szCs w:val="18"/>
              </w:rPr>
            </w:pPr>
            <w:r>
              <w:rPr>
                <w:rFonts w:hint="eastAsia" w:ascii="宋体" w:hAnsi="宋体" w:cs="Arial"/>
                <w:color w:val="auto"/>
                <w:sz w:val="18"/>
                <w:szCs w:val="18"/>
              </w:rPr>
              <w:t>▲4.天线类型为抛物面，等效口径≥0.35m；(提供带有CMA 或CNAS 标识的第三方权威检测机构出具的检测报告扫描件证明)</w:t>
            </w:r>
          </w:p>
          <w:p w14:paraId="4FCDAB4E">
            <w:pPr>
              <w:widowControl/>
              <w:spacing w:line="400" w:lineRule="exact"/>
              <w:rPr>
                <w:rFonts w:ascii="宋体" w:hAnsi="宋体" w:cs="Arial"/>
                <w:color w:val="auto"/>
                <w:sz w:val="18"/>
                <w:szCs w:val="18"/>
              </w:rPr>
            </w:pPr>
            <w:r>
              <w:rPr>
                <w:rFonts w:hint="eastAsia" w:ascii="宋体" w:hAnsi="宋体" w:cs="Arial"/>
                <w:color w:val="auto"/>
                <w:sz w:val="18"/>
                <w:szCs w:val="18"/>
              </w:rPr>
              <w:t>5.调节范围：方位：自动无限制；极化：自动0~70°；俯仰：自动±70°；</w:t>
            </w:r>
          </w:p>
          <w:p w14:paraId="2C73322D">
            <w:pPr>
              <w:widowControl/>
              <w:spacing w:line="400" w:lineRule="exact"/>
              <w:rPr>
                <w:rFonts w:ascii="宋体" w:hAnsi="宋体" w:cs="Arial"/>
                <w:color w:val="auto"/>
                <w:sz w:val="18"/>
                <w:szCs w:val="18"/>
              </w:rPr>
            </w:pPr>
            <w:r>
              <w:rPr>
                <w:rFonts w:hint="eastAsia" w:ascii="宋体" w:hAnsi="宋体" w:cs="Arial"/>
                <w:color w:val="auto"/>
                <w:sz w:val="18"/>
                <w:szCs w:val="18"/>
              </w:rPr>
              <w:t>6.收发频率(上行)13.75~14.50GHz，(下行)10.70~12.75GHz；</w:t>
            </w:r>
          </w:p>
          <w:p w14:paraId="17F695F1">
            <w:pPr>
              <w:widowControl/>
              <w:spacing w:line="400" w:lineRule="exact"/>
              <w:rPr>
                <w:rFonts w:ascii="宋体" w:hAnsi="宋体" w:cs="Arial"/>
                <w:color w:val="auto"/>
                <w:sz w:val="18"/>
                <w:szCs w:val="18"/>
              </w:rPr>
            </w:pPr>
            <w:r>
              <w:rPr>
                <w:rFonts w:hint="eastAsia" w:ascii="宋体" w:hAnsi="宋体" w:cs="Arial"/>
                <w:color w:val="auto"/>
                <w:sz w:val="18"/>
                <w:szCs w:val="18"/>
              </w:rPr>
              <w:t>7.天线增益(发射)≥37.3dBi@14.5GHz；(接收)≥35.9dBi@12.75GHz；(或等效值)</w:t>
            </w:r>
          </w:p>
          <w:p w14:paraId="45F25F9B">
            <w:pPr>
              <w:widowControl/>
              <w:spacing w:line="400" w:lineRule="exact"/>
              <w:rPr>
                <w:rFonts w:ascii="宋体" w:hAnsi="宋体" w:cs="Arial"/>
                <w:color w:val="auto"/>
                <w:sz w:val="18"/>
                <w:szCs w:val="18"/>
              </w:rPr>
            </w:pPr>
            <w:r>
              <w:rPr>
                <w:rFonts w:hint="eastAsia" w:ascii="宋体" w:hAnsi="宋体" w:cs="Arial"/>
                <w:color w:val="auto"/>
                <w:sz w:val="18"/>
                <w:szCs w:val="18"/>
              </w:rPr>
              <w:t>8.对星方式一键开机并寻星，2分钟内自动入网；</w:t>
            </w:r>
          </w:p>
          <w:p w14:paraId="1010CD69">
            <w:pPr>
              <w:widowControl/>
              <w:spacing w:line="400" w:lineRule="exact"/>
              <w:rPr>
                <w:rFonts w:ascii="宋体" w:hAnsi="宋体" w:cs="Arial"/>
                <w:color w:val="auto"/>
                <w:sz w:val="18"/>
                <w:szCs w:val="18"/>
              </w:rPr>
            </w:pPr>
            <w:r>
              <w:rPr>
                <w:rFonts w:hint="eastAsia" w:ascii="宋体" w:hAnsi="宋体" w:cs="Arial"/>
                <w:color w:val="auto"/>
                <w:sz w:val="18"/>
                <w:szCs w:val="18"/>
              </w:rPr>
              <w:t>9.寻星模式支持调制解调器模式、DVB模式等，可通过APP切换寻星模式；</w:t>
            </w:r>
          </w:p>
          <w:p w14:paraId="2368F9DA">
            <w:pPr>
              <w:widowControl/>
              <w:spacing w:line="400" w:lineRule="exact"/>
              <w:rPr>
                <w:rFonts w:ascii="宋体" w:hAnsi="宋体" w:cs="Arial"/>
                <w:color w:val="auto"/>
                <w:sz w:val="18"/>
                <w:szCs w:val="18"/>
              </w:rPr>
            </w:pPr>
            <w:r>
              <w:rPr>
                <w:rFonts w:hint="eastAsia" w:ascii="宋体" w:hAnsi="宋体" w:cs="Arial"/>
                <w:color w:val="auto"/>
                <w:sz w:val="18"/>
                <w:szCs w:val="18"/>
              </w:rPr>
              <w:t>10.射频单元≥16W；</w:t>
            </w:r>
          </w:p>
          <w:p w14:paraId="4C96AAFB">
            <w:pPr>
              <w:widowControl/>
              <w:spacing w:line="400" w:lineRule="exact"/>
              <w:rPr>
                <w:rFonts w:ascii="宋体" w:hAnsi="宋体" w:cs="Arial"/>
                <w:color w:val="auto"/>
                <w:sz w:val="18"/>
                <w:szCs w:val="18"/>
              </w:rPr>
            </w:pPr>
            <w:r>
              <w:rPr>
                <w:rFonts w:hint="eastAsia" w:ascii="宋体" w:hAnsi="宋体" w:cs="Arial"/>
                <w:color w:val="auto"/>
                <w:sz w:val="18"/>
                <w:szCs w:val="18"/>
              </w:rPr>
              <w:t>11.维护接口支持WiFi、网口、蓝牙；配备APP/Web管理界面；</w:t>
            </w:r>
          </w:p>
          <w:p w14:paraId="2F2D9D98">
            <w:pPr>
              <w:widowControl/>
              <w:spacing w:line="400" w:lineRule="exact"/>
              <w:rPr>
                <w:rFonts w:ascii="宋体" w:hAnsi="宋体" w:cs="Arial"/>
                <w:color w:val="auto"/>
                <w:sz w:val="18"/>
                <w:szCs w:val="18"/>
              </w:rPr>
            </w:pPr>
            <w:r>
              <w:rPr>
                <w:rFonts w:hint="eastAsia" w:ascii="宋体" w:hAnsi="宋体" w:cs="Arial"/>
                <w:color w:val="auto"/>
                <w:sz w:val="18"/>
                <w:szCs w:val="18"/>
              </w:rPr>
              <w:t>▲12.支持北斗定位；(需符合《卫星定位导航授时设备单北斗测试技术规范》要求，并提交由国家认可的权威检测机构出具的认证材料扫描件)</w:t>
            </w:r>
          </w:p>
          <w:p w14:paraId="17AC00A6">
            <w:pPr>
              <w:widowControl/>
              <w:spacing w:line="400" w:lineRule="exact"/>
              <w:rPr>
                <w:rFonts w:ascii="宋体" w:hAnsi="宋体" w:cs="Arial"/>
                <w:color w:val="auto"/>
                <w:sz w:val="18"/>
                <w:szCs w:val="18"/>
              </w:rPr>
            </w:pPr>
            <w:r>
              <w:rPr>
                <w:rFonts w:hint="eastAsia" w:ascii="宋体" w:hAnsi="宋体" w:cs="Arial"/>
                <w:color w:val="auto"/>
                <w:sz w:val="18"/>
                <w:szCs w:val="18"/>
              </w:rPr>
              <w:t>13.数据接口支持千兆网口；</w:t>
            </w:r>
          </w:p>
          <w:p w14:paraId="1C89FE86">
            <w:pPr>
              <w:widowControl/>
              <w:spacing w:line="400" w:lineRule="exact"/>
              <w:rPr>
                <w:rFonts w:ascii="宋体" w:hAnsi="宋体" w:cs="Arial"/>
                <w:color w:val="auto"/>
                <w:sz w:val="18"/>
                <w:szCs w:val="18"/>
              </w:rPr>
            </w:pPr>
            <w:r>
              <w:rPr>
                <w:rFonts w:hint="eastAsia" w:ascii="宋体" w:hAnsi="宋体" w:cs="Arial"/>
                <w:color w:val="auto"/>
                <w:sz w:val="18"/>
                <w:szCs w:val="18"/>
              </w:rPr>
              <w:t>▲14.设备总重量≤10kg；(提供带有CMA 或CNAS 标识的第三方权威检测机构出具的检测报告扫描件证明)</w:t>
            </w:r>
          </w:p>
          <w:p w14:paraId="1E3969D4">
            <w:pPr>
              <w:widowControl/>
              <w:spacing w:line="400" w:lineRule="exact"/>
              <w:jc w:val="left"/>
              <w:rPr>
                <w:rFonts w:ascii="宋体" w:hAnsi="宋体" w:cs="Arial"/>
                <w:color w:val="auto"/>
                <w:sz w:val="18"/>
                <w:szCs w:val="18"/>
              </w:rPr>
            </w:pPr>
            <w:r>
              <w:rPr>
                <w:rFonts w:hint="eastAsia" w:ascii="宋体" w:hAnsi="宋体" w:cs="Arial"/>
                <w:color w:val="auto"/>
                <w:sz w:val="18"/>
                <w:szCs w:val="18"/>
              </w:rPr>
              <w:t>15.支持协议TCP，UDP，ICMP，DHCP，NAT/PAT，DNS，ROHCv2，RIPv2，IGMPv2，IGMPv3，IPv4 (IPv6overL2oS)，L3等；</w:t>
            </w:r>
          </w:p>
          <w:p w14:paraId="6C3BF52A">
            <w:pPr>
              <w:widowControl/>
              <w:spacing w:line="400" w:lineRule="exact"/>
              <w:rPr>
                <w:rFonts w:ascii="宋体" w:hAnsi="宋体" w:cs="Arial"/>
                <w:color w:val="auto"/>
                <w:sz w:val="18"/>
                <w:szCs w:val="18"/>
              </w:rPr>
            </w:pPr>
            <w:r>
              <w:rPr>
                <w:rFonts w:hint="eastAsia" w:ascii="宋体" w:hAnsi="宋体" w:cs="Arial"/>
                <w:color w:val="auto"/>
                <w:sz w:val="18"/>
                <w:szCs w:val="18"/>
              </w:rPr>
              <w:t>▲16.包含卫星终端首次入网服务费和3年互联网流量费用(每年不少于30GB流量)(提供相关承诺函，格式自拟)。</w:t>
            </w:r>
          </w:p>
        </w:tc>
        <w:tc>
          <w:tcPr>
            <w:tcW w:w="900" w:type="dxa"/>
            <w:tcBorders>
              <w:top w:val="nil"/>
              <w:left w:val="nil"/>
              <w:bottom w:val="single" w:color="auto" w:sz="4" w:space="0"/>
              <w:right w:val="single" w:color="auto" w:sz="4" w:space="0"/>
            </w:tcBorders>
            <w:vAlign w:val="center"/>
          </w:tcPr>
          <w:p w14:paraId="53393F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64E72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E7ACF85">
        <w:tblPrEx>
          <w:tblCellMar>
            <w:top w:w="0" w:type="dxa"/>
            <w:left w:w="108" w:type="dxa"/>
            <w:bottom w:w="0" w:type="dxa"/>
            <w:right w:w="108" w:type="dxa"/>
          </w:tblCellMar>
        </w:tblPrEx>
        <w:trPr>
          <w:jc w:val="center"/>
        </w:trPr>
        <w:tc>
          <w:tcPr>
            <w:tcW w:w="9682" w:type="dxa"/>
            <w:gridSpan w:val="6"/>
            <w:tcBorders>
              <w:top w:val="nil"/>
              <w:left w:val="single" w:color="auto" w:sz="4" w:space="0"/>
              <w:bottom w:val="single" w:color="auto" w:sz="4" w:space="0"/>
              <w:right w:val="single" w:color="auto" w:sz="4" w:space="0"/>
            </w:tcBorders>
            <w:vAlign w:val="center"/>
          </w:tcPr>
          <w:p w14:paraId="161C8083">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应急指挥大厅</w:t>
            </w:r>
          </w:p>
        </w:tc>
      </w:tr>
      <w:tr w14:paraId="5CC51B7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7808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FE7C8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台式计算机</w:t>
            </w:r>
          </w:p>
        </w:tc>
        <w:tc>
          <w:tcPr>
            <w:tcW w:w="5717" w:type="dxa"/>
            <w:tcBorders>
              <w:top w:val="nil"/>
              <w:left w:val="nil"/>
              <w:bottom w:val="single" w:color="auto" w:sz="4" w:space="0"/>
              <w:right w:val="single" w:color="auto" w:sz="4" w:space="0"/>
            </w:tcBorders>
            <w:vAlign w:val="center"/>
          </w:tcPr>
          <w:p w14:paraId="19FC7DEE">
            <w:pPr>
              <w:widowControl/>
              <w:spacing w:line="400" w:lineRule="exact"/>
              <w:rPr>
                <w:rFonts w:ascii="宋体" w:hAnsi="宋体" w:cs="Arial"/>
                <w:color w:val="auto"/>
                <w:sz w:val="18"/>
                <w:szCs w:val="18"/>
              </w:rPr>
            </w:pPr>
            <w:r>
              <w:rPr>
                <w:rFonts w:hint="eastAsia" w:ascii="宋体" w:hAnsi="宋体" w:cs="Arial"/>
                <w:color w:val="auto"/>
                <w:sz w:val="18"/>
                <w:szCs w:val="18"/>
              </w:rPr>
              <w:t>国产CPU≥6核3.0GHz(需通过安全可靠测评)，硬盘≥512GBSSD，内存≥16G，独立显卡，显存≥4G，包含键鼠，预装国产操作系统(需通过安全可靠测评)。</w:t>
            </w:r>
          </w:p>
        </w:tc>
        <w:tc>
          <w:tcPr>
            <w:tcW w:w="900" w:type="dxa"/>
            <w:tcBorders>
              <w:top w:val="nil"/>
              <w:left w:val="nil"/>
              <w:bottom w:val="single" w:color="auto" w:sz="4" w:space="0"/>
              <w:right w:val="single" w:color="auto" w:sz="4" w:space="0"/>
            </w:tcBorders>
            <w:vAlign w:val="center"/>
          </w:tcPr>
          <w:p w14:paraId="0677D7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E8A5A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7C5114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0BBEA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41FAF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专业监控显示屏</w:t>
            </w:r>
          </w:p>
        </w:tc>
        <w:tc>
          <w:tcPr>
            <w:tcW w:w="5717" w:type="dxa"/>
            <w:tcBorders>
              <w:top w:val="nil"/>
              <w:left w:val="nil"/>
              <w:bottom w:val="single" w:color="auto" w:sz="4" w:space="0"/>
              <w:right w:val="single" w:color="auto" w:sz="4" w:space="0"/>
            </w:tcBorders>
            <w:vAlign w:val="center"/>
          </w:tcPr>
          <w:p w14:paraId="1E8C5ACC">
            <w:pPr>
              <w:widowControl/>
              <w:spacing w:line="400" w:lineRule="exact"/>
              <w:rPr>
                <w:rFonts w:ascii="宋体" w:hAnsi="宋体" w:cs="Arial"/>
                <w:color w:val="auto"/>
                <w:sz w:val="18"/>
                <w:szCs w:val="18"/>
              </w:rPr>
            </w:pPr>
            <w:r>
              <w:rPr>
                <w:rFonts w:hint="eastAsia" w:ascii="宋体" w:hAnsi="宋体" w:cs="Arial"/>
                <w:color w:val="auto"/>
                <w:sz w:val="18"/>
                <w:szCs w:val="18"/>
              </w:rPr>
              <w:t>27英寸4K液晶显示器，刷新率≥100Hz，硬件蓝光护眼，含显示支架。</w:t>
            </w:r>
          </w:p>
        </w:tc>
        <w:tc>
          <w:tcPr>
            <w:tcW w:w="900" w:type="dxa"/>
            <w:tcBorders>
              <w:top w:val="nil"/>
              <w:left w:val="nil"/>
              <w:bottom w:val="single" w:color="auto" w:sz="4" w:space="0"/>
              <w:right w:val="single" w:color="auto" w:sz="4" w:space="0"/>
            </w:tcBorders>
            <w:vAlign w:val="center"/>
          </w:tcPr>
          <w:p w14:paraId="098417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2B80D0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9F2A40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E3517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5D37E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UPS 不间断电源</w:t>
            </w:r>
          </w:p>
        </w:tc>
        <w:tc>
          <w:tcPr>
            <w:tcW w:w="5717" w:type="dxa"/>
            <w:tcBorders>
              <w:top w:val="nil"/>
              <w:left w:val="nil"/>
              <w:bottom w:val="single" w:color="auto" w:sz="4" w:space="0"/>
              <w:right w:val="single" w:color="auto" w:sz="4" w:space="0"/>
            </w:tcBorders>
            <w:vAlign w:val="center"/>
          </w:tcPr>
          <w:p w14:paraId="08AFBC73">
            <w:pPr>
              <w:widowControl/>
              <w:spacing w:line="400" w:lineRule="exact"/>
              <w:rPr>
                <w:rFonts w:ascii="宋体" w:hAnsi="宋体" w:cs="Arial"/>
                <w:color w:val="auto"/>
                <w:sz w:val="18"/>
                <w:szCs w:val="18"/>
              </w:rPr>
            </w:pPr>
            <w:r>
              <w:rPr>
                <w:rFonts w:hint="eastAsia" w:ascii="宋体" w:hAnsi="宋体" w:cs="Arial"/>
                <w:color w:val="auto"/>
                <w:sz w:val="18"/>
                <w:szCs w:val="18"/>
              </w:rPr>
              <w:t>三相四线制，三进三出，容量≥120KVA；</w:t>
            </w:r>
          </w:p>
          <w:p w14:paraId="3A25BF10">
            <w:pPr>
              <w:widowControl/>
              <w:spacing w:line="400" w:lineRule="exact"/>
              <w:rPr>
                <w:rFonts w:ascii="宋体" w:hAnsi="宋体" w:cs="Arial"/>
                <w:color w:val="auto"/>
                <w:sz w:val="18"/>
                <w:szCs w:val="18"/>
              </w:rPr>
            </w:pPr>
            <w:r>
              <w:rPr>
                <w:rFonts w:hint="eastAsia" w:ascii="宋体" w:hAnsi="宋体" w:cs="Arial"/>
                <w:color w:val="auto"/>
                <w:sz w:val="18"/>
                <w:szCs w:val="18"/>
              </w:rPr>
              <w:t>1.输入参数：</w:t>
            </w:r>
          </w:p>
          <w:p w14:paraId="37934AA7">
            <w:pPr>
              <w:widowControl/>
              <w:spacing w:line="400" w:lineRule="exact"/>
              <w:rPr>
                <w:rFonts w:ascii="宋体" w:hAnsi="宋体" w:cs="Arial"/>
                <w:color w:val="auto"/>
                <w:sz w:val="18"/>
                <w:szCs w:val="18"/>
              </w:rPr>
            </w:pPr>
            <w:r>
              <w:rPr>
                <w:rFonts w:hint="eastAsia" w:ascii="宋体" w:hAnsi="宋体" w:cs="Arial"/>
                <w:color w:val="auto"/>
                <w:sz w:val="18"/>
                <w:szCs w:val="18"/>
              </w:rPr>
              <w:t>额定电压：支持3×360/380/400/415VAC(3相+N+PE)；</w:t>
            </w:r>
          </w:p>
          <w:p w14:paraId="2E77FABE">
            <w:pPr>
              <w:widowControl/>
              <w:spacing w:line="400" w:lineRule="exact"/>
              <w:rPr>
                <w:rFonts w:ascii="宋体" w:hAnsi="宋体" w:cs="Arial"/>
                <w:color w:val="auto"/>
                <w:sz w:val="18"/>
                <w:szCs w:val="18"/>
              </w:rPr>
            </w:pPr>
            <w:r>
              <w:rPr>
                <w:rFonts w:hint="eastAsia" w:ascii="宋体" w:hAnsi="宋体" w:cs="Arial"/>
                <w:color w:val="auto"/>
                <w:sz w:val="18"/>
                <w:szCs w:val="18"/>
              </w:rPr>
              <w:t>频率范围：40~70Hz；</w:t>
            </w:r>
          </w:p>
          <w:p w14:paraId="30810B33">
            <w:pPr>
              <w:widowControl/>
              <w:spacing w:line="400" w:lineRule="exact"/>
              <w:rPr>
                <w:rFonts w:ascii="宋体" w:hAnsi="宋体" w:cs="Arial"/>
                <w:color w:val="auto"/>
                <w:sz w:val="18"/>
                <w:szCs w:val="18"/>
              </w:rPr>
            </w:pPr>
            <w:r>
              <w:rPr>
                <w:rFonts w:hint="eastAsia" w:ascii="宋体" w:hAnsi="宋体" w:cs="Arial"/>
                <w:color w:val="auto"/>
                <w:sz w:val="18"/>
                <w:szCs w:val="18"/>
              </w:rPr>
              <w:t>功率因数：≥0.99@100%负载；</w:t>
            </w:r>
          </w:p>
          <w:p w14:paraId="0BB71091">
            <w:pPr>
              <w:widowControl/>
              <w:spacing w:line="400" w:lineRule="exact"/>
              <w:rPr>
                <w:rFonts w:ascii="宋体" w:hAnsi="宋体" w:cs="Arial"/>
                <w:color w:val="auto"/>
                <w:sz w:val="18"/>
                <w:szCs w:val="18"/>
              </w:rPr>
            </w:pPr>
            <w:r>
              <w:rPr>
                <w:rFonts w:hint="eastAsia" w:ascii="宋体" w:hAnsi="宋体" w:cs="Arial"/>
                <w:color w:val="auto"/>
                <w:sz w:val="18"/>
                <w:szCs w:val="18"/>
              </w:rPr>
              <w:t>2.输出参数：</w:t>
            </w:r>
          </w:p>
          <w:p w14:paraId="5B26BED7">
            <w:pPr>
              <w:widowControl/>
              <w:spacing w:line="400" w:lineRule="exact"/>
              <w:rPr>
                <w:rFonts w:ascii="宋体" w:hAnsi="宋体" w:cs="Arial"/>
                <w:color w:val="auto"/>
                <w:sz w:val="18"/>
                <w:szCs w:val="18"/>
              </w:rPr>
            </w:pPr>
            <w:r>
              <w:rPr>
                <w:rFonts w:hint="eastAsia" w:ascii="宋体" w:hAnsi="宋体" w:cs="Arial"/>
                <w:color w:val="auto"/>
                <w:sz w:val="18"/>
                <w:szCs w:val="18"/>
              </w:rPr>
              <w:t>额定电压：支持3×360/380/400/415VAC(3相+N)；</w:t>
            </w:r>
          </w:p>
          <w:p w14:paraId="1B5C92D8">
            <w:pPr>
              <w:widowControl/>
              <w:spacing w:line="400" w:lineRule="exact"/>
              <w:rPr>
                <w:rFonts w:ascii="宋体" w:hAnsi="宋体" w:cs="Arial"/>
                <w:color w:val="auto"/>
                <w:sz w:val="18"/>
                <w:szCs w:val="18"/>
              </w:rPr>
            </w:pPr>
            <w:r>
              <w:rPr>
                <w:rFonts w:hint="eastAsia" w:ascii="宋体" w:hAnsi="宋体" w:cs="Arial"/>
                <w:color w:val="auto"/>
                <w:sz w:val="18"/>
                <w:szCs w:val="18"/>
              </w:rPr>
              <w:t>频率范围：50/60Hz±1%；</w:t>
            </w:r>
          </w:p>
          <w:p w14:paraId="6E2CD1F6">
            <w:pPr>
              <w:widowControl/>
              <w:spacing w:line="400" w:lineRule="exact"/>
              <w:rPr>
                <w:rFonts w:ascii="宋体" w:hAnsi="宋体" w:cs="Arial"/>
                <w:color w:val="auto"/>
                <w:sz w:val="18"/>
                <w:szCs w:val="18"/>
              </w:rPr>
            </w:pPr>
            <w:r>
              <w:rPr>
                <w:rFonts w:hint="eastAsia" w:ascii="宋体" w:hAnsi="宋体" w:cs="Arial"/>
                <w:color w:val="auto"/>
                <w:sz w:val="18"/>
                <w:szCs w:val="18"/>
              </w:rPr>
              <w:t>过载能力：100-110%≥60分钟；</w:t>
            </w:r>
          </w:p>
          <w:p w14:paraId="66C7F499">
            <w:pPr>
              <w:widowControl/>
              <w:spacing w:line="400" w:lineRule="exact"/>
              <w:rPr>
                <w:rFonts w:ascii="宋体" w:hAnsi="宋体" w:cs="Arial"/>
                <w:color w:val="auto"/>
                <w:sz w:val="18"/>
                <w:szCs w:val="18"/>
              </w:rPr>
            </w:pPr>
            <w:r>
              <w:rPr>
                <w:rFonts w:hint="eastAsia" w:ascii="宋体" w:hAnsi="宋体" w:cs="Arial"/>
                <w:color w:val="auto"/>
                <w:sz w:val="18"/>
                <w:szCs w:val="18"/>
              </w:rPr>
              <w:t>3.其他功能：</w:t>
            </w:r>
          </w:p>
          <w:p w14:paraId="28359877">
            <w:pPr>
              <w:widowControl/>
              <w:spacing w:line="400" w:lineRule="exact"/>
              <w:rPr>
                <w:rFonts w:ascii="宋体" w:hAnsi="宋体" w:cs="Arial"/>
                <w:color w:val="auto"/>
                <w:sz w:val="18"/>
                <w:szCs w:val="18"/>
              </w:rPr>
            </w:pPr>
            <w:r>
              <w:rPr>
                <w:rFonts w:hint="eastAsia" w:ascii="宋体" w:hAnsi="宋体" w:cs="Arial"/>
                <w:color w:val="auto"/>
                <w:sz w:val="18"/>
                <w:szCs w:val="18"/>
              </w:rPr>
              <w:t>在线切换：市电输出纯正弦波，全程隔离电网干扰；市电中断时，电池经逆变器供电，切换时间≤2ms；</w:t>
            </w:r>
          </w:p>
          <w:p w14:paraId="0A06428F">
            <w:pPr>
              <w:widowControl/>
              <w:spacing w:line="400" w:lineRule="exact"/>
              <w:rPr>
                <w:rFonts w:ascii="宋体" w:hAnsi="宋体" w:cs="Arial"/>
                <w:color w:val="auto"/>
                <w:sz w:val="18"/>
                <w:szCs w:val="18"/>
              </w:rPr>
            </w:pPr>
            <w:r>
              <w:rPr>
                <w:rFonts w:hint="eastAsia" w:ascii="宋体" w:hAnsi="宋体" w:cs="Arial"/>
                <w:color w:val="auto"/>
                <w:sz w:val="18"/>
                <w:szCs w:val="18"/>
              </w:rPr>
              <w:t>旁路切换：过载/故障时自动切换至旁路(≤5ms)，维修时手动切换至旁路；</w:t>
            </w:r>
          </w:p>
          <w:p w14:paraId="5DAD2334">
            <w:pPr>
              <w:widowControl/>
              <w:spacing w:line="400" w:lineRule="exact"/>
              <w:rPr>
                <w:rFonts w:ascii="宋体" w:hAnsi="宋体" w:cs="Arial"/>
                <w:color w:val="auto"/>
                <w:sz w:val="18"/>
                <w:szCs w:val="18"/>
              </w:rPr>
            </w:pPr>
            <w:r>
              <w:rPr>
                <w:rFonts w:hint="eastAsia" w:ascii="宋体" w:hAnsi="宋体" w:cs="Arial"/>
                <w:color w:val="auto"/>
                <w:sz w:val="18"/>
                <w:szCs w:val="18"/>
              </w:rPr>
              <w:t>配备免维护铅酸蓄电池(按实际负载可后备约2小时)，同时配备电池柜/支架、电池连接线，电源连接线(需从地下室布线至办公楼层)，以及配电箱(容量≥250A，需更换办公楼层的主断路器)，需包含现场安装施工。</w:t>
            </w:r>
          </w:p>
        </w:tc>
        <w:tc>
          <w:tcPr>
            <w:tcW w:w="900" w:type="dxa"/>
            <w:tcBorders>
              <w:top w:val="nil"/>
              <w:left w:val="nil"/>
              <w:bottom w:val="single" w:color="auto" w:sz="4" w:space="0"/>
              <w:right w:val="single" w:color="auto" w:sz="4" w:space="0"/>
            </w:tcBorders>
            <w:vAlign w:val="center"/>
          </w:tcPr>
          <w:p w14:paraId="562C57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E212E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9B36FB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8BF2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FE583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调度台 (三联屏应急指挥箱)</w:t>
            </w:r>
          </w:p>
        </w:tc>
        <w:tc>
          <w:tcPr>
            <w:tcW w:w="5717" w:type="dxa"/>
            <w:tcBorders>
              <w:top w:val="nil"/>
              <w:left w:val="nil"/>
              <w:bottom w:val="single" w:color="auto" w:sz="4" w:space="0"/>
              <w:right w:val="single" w:color="auto" w:sz="4" w:space="0"/>
            </w:tcBorders>
            <w:vAlign w:val="center"/>
          </w:tcPr>
          <w:p w14:paraId="40F36E74">
            <w:pPr>
              <w:widowControl/>
              <w:spacing w:line="400" w:lineRule="exact"/>
              <w:rPr>
                <w:rFonts w:ascii="宋体" w:hAnsi="宋体" w:cs="Arial"/>
                <w:color w:val="auto"/>
                <w:sz w:val="18"/>
                <w:szCs w:val="18"/>
              </w:rPr>
            </w:pPr>
            <w:r>
              <w:rPr>
                <w:rFonts w:hint="eastAsia" w:ascii="宋体" w:hAnsi="宋体" w:cs="Arial"/>
                <w:color w:val="auto"/>
                <w:sz w:val="18"/>
                <w:szCs w:val="18"/>
              </w:rPr>
              <w:t>1.指挥箱需便于携带(如手提箱形式)，配备≥3块15.6寸显示屏，亮度≥500nit；设备重量≤15KG；电池供电时间≥2小时；</w:t>
            </w:r>
          </w:p>
          <w:p w14:paraId="3BB756D0">
            <w:pPr>
              <w:widowControl/>
              <w:spacing w:line="400" w:lineRule="exact"/>
              <w:rPr>
                <w:rFonts w:ascii="宋体" w:hAnsi="宋体" w:cs="Arial"/>
                <w:color w:val="auto"/>
                <w:sz w:val="18"/>
                <w:szCs w:val="18"/>
              </w:rPr>
            </w:pPr>
            <w:r>
              <w:rPr>
                <w:rFonts w:hint="eastAsia" w:ascii="宋体" w:hAnsi="宋体" w:cs="Arial"/>
                <w:color w:val="auto"/>
                <w:sz w:val="18"/>
                <w:szCs w:val="18"/>
              </w:rPr>
              <w:t>2.箱内集成双路工控机：工控机1：CPU≥4核1.9GHz，内存≥32GB，硬盘≥1TB；工控机2：CPU≥8核1.4GHz，内存≥32GB，硬盘≥1TB；</w:t>
            </w:r>
          </w:p>
          <w:p w14:paraId="69208568">
            <w:pPr>
              <w:widowControl/>
              <w:spacing w:line="400" w:lineRule="exact"/>
              <w:rPr>
                <w:rFonts w:ascii="宋体" w:hAnsi="宋体" w:cs="Arial"/>
                <w:color w:val="auto"/>
                <w:sz w:val="18"/>
                <w:szCs w:val="18"/>
              </w:rPr>
            </w:pPr>
            <w:r>
              <w:rPr>
                <w:rFonts w:hint="eastAsia" w:ascii="宋体" w:hAnsi="宋体" w:cs="Arial"/>
                <w:color w:val="auto"/>
                <w:sz w:val="18"/>
                <w:szCs w:val="18"/>
              </w:rPr>
              <w:t>3.采用模块化板卡，不能采用明线、跳线的方式与其他模块连接；</w:t>
            </w:r>
          </w:p>
          <w:p w14:paraId="7AB9BFB9">
            <w:pPr>
              <w:widowControl/>
              <w:spacing w:line="400" w:lineRule="exact"/>
              <w:rPr>
                <w:rFonts w:ascii="宋体" w:hAnsi="宋体" w:cs="Arial"/>
                <w:color w:val="auto"/>
                <w:sz w:val="18"/>
                <w:szCs w:val="18"/>
              </w:rPr>
            </w:pPr>
            <w:r>
              <w:rPr>
                <w:rFonts w:hint="eastAsia" w:ascii="宋体" w:hAnsi="宋体" w:cs="Arial"/>
                <w:color w:val="auto"/>
                <w:sz w:val="18"/>
                <w:szCs w:val="18"/>
              </w:rPr>
              <w:t>4.配备电容触控板，可一键快速触发改变设置，包括：开关机、音量调节、显示切换等，还可显示剩余电量、供电状态；</w:t>
            </w:r>
          </w:p>
          <w:p w14:paraId="03B91400">
            <w:pPr>
              <w:widowControl/>
              <w:spacing w:line="400" w:lineRule="exact"/>
              <w:rPr>
                <w:rFonts w:ascii="宋体" w:hAnsi="宋体" w:cs="Arial"/>
                <w:color w:val="auto"/>
                <w:sz w:val="18"/>
                <w:szCs w:val="18"/>
              </w:rPr>
            </w:pPr>
            <w:r>
              <w:rPr>
                <w:rFonts w:hint="eastAsia" w:ascii="宋体" w:hAnsi="宋体" w:cs="Arial"/>
                <w:color w:val="auto"/>
                <w:sz w:val="18"/>
                <w:szCs w:val="18"/>
              </w:rPr>
              <w:t>5.配备鹅颈话筒与麦克风，其中麦克风为全向，拾音距离≥5米，支持环境噪声消除；</w:t>
            </w:r>
          </w:p>
          <w:p w14:paraId="4E45EAC6">
            <w:pPr>
              <w:widowControl/>
              <w:spacing w:line="400" w:lineRule="exact"/>
              <w:rPr>
                <w:rFonts w:ascii="宋体" w:hAnsi="宋体" w:cs="Arial"/>
                <w:color w:val="auto"/>
                <w:sz w:val="18"/>
                <w:szCs w:val="18"/>
              </w:rPr>
            </w:pPr>
            <w:r>
              <w:rPr>
                <w:rFonts w:hint="eastAsia" w:ascii="宋体" w:hAnsi="宋体" w:cs="Arial"/>
                <w:color w:val="auto"/>
                <w:sz w:val="18"/>
                <w:szCs w:val="18"/>
              </w:rPr>
              <w:t>6.支持一键开机关机；支持断电防护，即开机状态下关闭开关，将在后台自动执行关机动作；</w:t>
            </w:r>
          </w:p>
          <w:p w14:paraId="74E700DF">
            <w:pPr>
              <w:widowControl/>
              <w:spacing w:line="400" w:lineRule="exact"/>
              <w:rPr>
                <w:rFonts w:ascii="宋体" w:hAnsi="宋体" w:cs="Arial"/>
                <w:color w:val="auto"/>
                <w:sz w:val="18"/>
                <w:szCs w:val="18"/>
              </w:rPr>
            </w:pPr>
            <w:r>
              <w:rPr>
                <w:rFonts w:hint="eastAsia" w:ascii="宋体" w:hAnsi="宋体" w:cs="Arial"/>
                <w:color w:val="auto"/>
                <w:sz w:val="18"/>
                <w:szCs w:val="18"/>
              </w:rPr>
              <w:t>7.配备≥1个音频输入3.5mmTRS接口、≥1个音频输出3.5mmTRS接口、≥1个视频输出HDMI接口、≥1个视频输入HDMI接口、≥3个RJ45网口、≥2个USB口；</w:t>
            </w:r>
          </w:p>
          <w:p w14:paraId="2F059ED6">
            <w:pPr>
              <w:widowControl/>
              <w:spacing w:line="400" w:lineRule="exact"/>
              <w:rPr>
                <w:rFonts w:ascii="宋体" w:hAnsi="宋体" w:cs="Arial"/>
                <w:color w:val="auto"/>
                <w:sz w:val="18"/>
                <w:szCs w:val="18"/>
              </w:rPr>
            </w:pPr>
            <w:r>
              <w:rPr>
                <w:rFonts w:hint="eastAsia" w:ascii="宋体" w:hAnsi="宋体" w:cs="Arial"/>
                <w:color w:val="auto"/>
                <w:sz w:val="18"/>
                <w:szCs w:val="18"/>
              </w:rPr>
              <w:t>8.配备摄像头、扬声器、通信模块(支持5G)、集群网关(含集群对讲接口)等；</w:t>
            </w:r>
          </w:p>
          <w:p w14:paraId="19262A23">
            <w:pPr>
              <w:widowControl/>
              <w:spacing w:line="400" w:lineRule="exact"/>
              <w:rPr>
                <w:rFonts w:ascii="宋体" w:hAnsi="宋体" w:cs="Arial"/>
                <w:color w:val="auto"/>
                <w:sz w:val="18"/>
                <w:szCs w:val="18"/>
              </w:rPr>
            </w:pPr>
            <w:r>
              <w:rPr>
                <w:rFonts w:hint="eastAsia" w:ascii="宋体" w:hAnsi="宋体" w:cs="Arial"/>
                <w:color w:val="auto"/>
                <w:sz w:val="18"/>
                <w:szCs w:val="18"/>
              </w:rPr>
              <w:t>9.防护等级≥IP66；</w:t>
            </w:r>
          </w:p>
          <w:p w14:paraId="610A3918">
            <w:pPr>
              <w:widowControl/>
              <w:spacing w:line="400" w:lineRule="exact"/>
              <w:rPr>
                <w:rFonts w:ascii="宋体" w:hAnsi="宋体" w:cs="Arial"/>
                <w:color w:val="auto"/>
                <w:sz w:val="18"/>
                <w:szCs w:val="18"/>
              </w:rPr>
            </w:pPr>
            <w:r>
              <w:rPr>
                <w:rFonts w:hint="eastAsia" w:ascii="宋体" w:hAnsi="宋体" w:cs="Arial"/>
                <w:color w:val="auto"/>
                <w:sz w:val="18"/>
                <w:szCs w:val="18"/>
              </w:rPr>
              <w:t>10.考虑到户外使用，设备工作温度不低于-20℃~45℃，存储温度不低于-25℃~60℃；</w:t>
            </w:r>
          </w:p>
          <w:p w14:paraId="27E96AAE">
            <w:pPr>
              <w:widowControl/>
              <w:spacing w:line="400" w:lineRule="exact"/>
              <w:rPr>
                <w:rFonts w:ascii="宋体" w:hAnsi="宋体" w:cs="Arial"/>
                <w:color w:val="auto"/>
                <w:sz w:val="18"/>
                <w:szCs w:val="18"/>
              </w:rPr>
            </w:pPr>
            <w:r>
              <w:rPr>
                <w:rFonts w:hint="eastAsia" w:ascii="宋体" w:hAnsi="宋体" w:cs="Arial"/>
                <w:color w:val="auto"/>
                <w:sz w:val="18"/>
                <w:szCs w:val="18"/>
              </w:rPr>
              <w:t>▲11.考虑到应急运输，设备需通过GJB 150.16A振动试验、GJB 150.18A冲击试验。(提供带有CMA 或CNAS 标识的第三方权威检测机构出具的检测报告扫描件证明)</w:t>
            </w:r>
          </w:p>
          <w:p w14:paraId="7BC51B79">
            <w:pPr>
              <w:widowControl/>
              <w:spacing w:line="400" w:lineRule="exact"/>
              <w:rPr>
                <w:rFonts w:ascii="宋体" w:hAnsi="宋体" w:cs="Arial"/>
                <w:color w:val="auto"/>
                <w:sz w:val="18"/>
                <w:szCs w:val="18"/>
              </w:rPr>
            </w:pPr>
            <w:r>
              <w:rPr>
                <w:rFonts w:hint="eastAsia" w:ascii="宋体" w:hAnsi="宋体" w:cs="Arial"/>
                <w:color w:val="auto"/>
                <w:sz w:val="18"/>
                <w:szCs w:val="18"/>
              </w:rPr>
              <w:t>12.功能配置：</w:t>
            </w:r>
          </w:p>
          <w:p w14:paraId="6BE3266E">
            <w:pPr>
              <w:widowControl/>
              <w:spacing w:line="400" w:lineRule="exact"/>
              <w:rPr>
                <w:rFonts w:ascii="宋体" w:hAnsi="宋体" w:cs="Arial"/>
                <w:color w:val="auto"/>
                <w:sz w:val="18"/>
                <w:szCs w:val="18"/>
              </w:rPr>
            </w:pPr>
            <w:r>
              <w:rPr>
                <w:rFonts w:hint="eastAsia" w:ascii="宋体" w:hAnsi="宋体" w:cs="Arial"/>
                <w:color w:val="auto"/>
                <w:sz w:val="18"/>
                <w:szCs w:val="18"/>
              </w:rPr>
              <w:t>（1）支持本地化部署，在和指挥中心没有网络时，仍可实现现场调度；</w:t>
            </w:r>
          </w:p>
          <w:p w14:paraId="15563914">
            <w:pPr>
              <w:widowControl/>
              <w:spacing w:line="400" w:lineRule="exact"/>
              <w:rPr>
                <w:rFonts w:ascii="宋体" w:hAnsi="宋体" w:cs="Arial"/>
                <w:color w:val="auto"/>
                <w:sz w:val="18"/>
                <w:szCs w:val="18"/>
              </w:rPr>
            </w:pPr>
            <w:r>
              <w:rPr>
                <w:rFonts w:hint="eastAsia" w:ascii="宋体" w:hAnsi="宋体" w:cs="Arial"/>
                <w:color w:val="auto"/>
                <w:sz w:val="18"/>
                <w:szCs w:val="18"/>
              </w:rPr>
              <w:t>（2）支持BS客户端；内置媒体流丢包、抖动处理算法；支持码率自适应；</w:t>
            </w:r>
          </w:p>
          <w:p w14:paraId="33BD5972">
            <w:pPr>
              <w:widowControl/>
              <w:spacing w:line="400" w:lineRule="exact"/>
              <w:rPr>
                <w:rFonts w:ascii="宋体" w:hAnsi="宋体" w:cs="Arial"/>
                <w:color w:val="auto"/>
                <w:sz w:val="18"/>
                <w:szCs w:val="18"/>
              </w:rPr>
            </w:pPr>
            <w:r>
              <w:rPr>
                <w:rFonts w:hint="eastAsia" w:ascii="宋体" w:hAnsi="宋体" w:cs="Arial"/>
                <w:color w:val="auto"/>
                <w:sz w:val="18"/>
                <w:szCs w:val="18"/>
              </w:rPr>
              <w:t>（3）支持多终端(如视频会议终端、监控终端、单兵终端、布控球、IP话机等)注册接入管理；对注册终端可视频呼叫；终端注册数≥256；</w:t>
            </w:r>
          </w:p>
          <w:p w14:paraId="38689C6E">
            <w:pPr>
              <w:widowControl/>
              <w:spacing w:line="400" w:lineRule="exact"/>
              <w:rPr>
                <w:rFonts w:ascii="宋体" w:hAnsi="宋体" w:cs="Arial"/>
                <w:color w:val="auto"/>
                <w:sz w:val="18"/>
                <w:szCs w:val="18"/>
              </w:rPr>
            </w:pPr>
            <w:r>
              <w:rPr>
                <w:rFonts w:hint="eastAsia" w:ascii="宋体" w:hAnsi="宋体" w:cs="Arial"/>
                <w:color w:val="auto"/>
                <w:sz w:val="18"/>
                <w:szCs w:val="18"/>
              </w:rPr>
              <w:t>（4）支持在会议中加入不同成员、IP视频话机、视频监控等设备；</w:t>
            </w:r>
          </w:p>
          <w:p w14:paraId="3A720A9F">
            <w:pPr>
              <w:widowControl/>
              <w:spacing w:line="400" w:lineRule="exact"/>
              <w:rPr>
                <w:rFonts w:ascii="宋体" w:hAnsi="宋体" w:cs="Arial"/>
                <w:color w:val="auto"/>
                <w:sz w:val="18"/>
                <w:szCs w:val="18"/>
              </w:rPr>
            </w:pPr>
            <w:r>
              <w:rPr>
                <w:rFonts w:hint="eastAsia" w:ascii="宋体" w:hAnsi="宋体" w:cs="Arial"/>
                <w:color w:val="auto"/>
                <w:sz w:val="18"/>
                <w:szCs w:val="18"/>
              </w:rPr>
              <w:t>（5）支持多媒体信号(音、视频和计算机桌面)接入，支持播放视频媒体文件；</w:t>
            </w:r>
          </w:p>
          <w:p w14:paraId="715EB7A7">
            <w:pPr>
              <w:widowControl/>
              <w:spacing w:line="400" w:lineRule="exact"/>
              <w:rPr>
                <w:rFonts w:ascii="宋体" w:hAnsi="宋体" w:cs="Arial"/>
                <w:color w:val="auto"/>
                <w:sz w:val="18"/>
                <w:szCs w:val="18"/>
              </w:rPr>
            </w:pPr>
            <w:r>
              <w:rPr>
                <w:rFonts w:hint="eastAsia" w:ascii="宋体" w:hAnsi="宋体" w:cs="Arial"/>
                <w:color w:val="auto"/>
                <w:sz w:val="18"/>
                <w:szCs w:val="18"/>
              </w:rPr>
              <w:t>（6）支持高清语音编码SILK与729、711转码，支持H.265编解码；</w:t>
            </w:r>
          </w:p>
          <w:p w14:paraId="1507E906">
            <w:pPr>
              <w:widowControl/>
              <w:spacing w:line="400" w:lineRule="exact"/>
              <w:rPr>
                <w:rFonts w:ascii="宋体" w:hAnsi="宋体" w:cs="Arial"/>
                <w:color w:val="auto"/>
                <w:sz w:val="18"/>
                <w:szCs w:val="18"/>
              </w:rPr>
            </w:pPr>
            <w:r>
              <w:rPr>
                <w:rFonts w:hint="eastAsia" w:ascii="宋体" w:hAnsi="宋体" w:cs="Arial"/>
                <w:color w:val="auto"/>
                <w:sz w:val="18"/>
                <w:szCs w:val="18"/>
              </w:rPr>
              <w:t>（7）支持不同客户端间即时聊天，可发起呼叫和视频呼叫；</w:t>
            </w:r>
          </w:p>
          <w:p w14:paraId="24246EEC">
            <w:pPr>
              <w:widowControl/>
              <w:spacing w:line="400" w:lineRule="exact"/>
              <w:rPr>
                <w:rFonts w:ascii="宋体" w:hAnsi="宋体" w:cs="Arial"/>
                <w:color w:val="auto"/>
                <w:sz w:val="18"/>
                <w:szCs w:val="18"/>
              </w:rPr>
            </w:pPr>
            <w:r>
              <w:rPr>
                <w:rFonts w:hint="eastAsia" w:ascii="宋体" w:hAnsi="宋体" w:cs="Arial"/>
                <w:color w:val="auto"/>
                <w:sz w:val="18"/>
                <w:szCs w:val="18"/>
              </w:rPr>
              <w:t>（8）支持通讯录分组；通信界面可显示成员的姓名、职务、号码等信息；</w:t>
            </w:r>
          </w:p>
          <w:p w14:paraId="789ED4BB">
            <w:pPr>
              <w:widowControl/>
              <w:spacing w:line="400" w:lineRule="exact"/>
              <w:rPr>
                <w:rFonts w:ascii="宋体" w:hAnsi="宋体" w:cs="Arial"/>
                <w:color w:val="auto"/>
                <w:sz w:val="18"/>
                <w:szCs w:val="18"/>
              </w:rPr>
            </w:pPr>
            <w:r>
              <w:rPr>
                <w:rFonts w:hint="eastAsia" w:ascii="宋体" w:hAnsi="宋体" w:cs="Arial"/>
                <w:color w:val="auto"/>
                <w:sz w:val="18"/>
                <w:szCs w:val="18"/>
              </w:rPr>
              <w:t>（9）支持强拆、强插、强抢、转接、转外线、保持、挂断、置忙等调度业务；</w:t>
            </w:r>
          </w:p>
          <w:p w14:paraId="31CE0135">
            <w:pPr>
              <w:widowControl/>
              <w:spacing w:line="400" w:lineRule="exact"/>
              <w:rPr>
                <w:rFonts w:ascii="宋体" w:hAnsi="宋体" w:cs="Arial"/>
                <w:color w:val="auto"/>
                <w:sz w:val="18"/>
                <w:szCs w:val="18"/>
              </w:rPr>
            </w:pPr>
            <w:r>
              <w:rPr>
                <w:rFonts w:hint="eastAsia" w:ascii="宋体" w:hAnsi="宋体" w:cs="Arial"/>
                <w:color w:val="auto"/>
                <w:sz w:val="18"/>
                <w:szCs w:val="18"/>
              </w:rPr>
              <w:t>（10）支持分屏显示控制功能，可设置多个画布，每个画布显示不同视频，选择让成员观看不同画布；</w:t>
            </w:r>
          </w:p>
          <w:p w14:paraId="74E08771">
            <w:pPr>
              <w:widowControl/>
              <w:spacing w:line="400" w:lineRule="exact"/>
              <w:rPr>
                <w:rFonts w:ascii="宋体" w:hAnsi="宋体" w:cs="Arial"/>
                <w:color w:val="auto"/>
                <w:sz w:val="18"/>
                <w:szCs w:val="18"/>
              </w:rPr>
            </w:pPr>
            <w:r>
              <w:rPr>
                <w:rFonts w:hint="eastAsia" w:ascii="宋体" w:hAnsi="宋体" w:cs="Arial"/>
                <w:color w:val="auto"/>
                <w:sz w:val="18"/>
                <w:szCs w:val="18"/>
              </w:rPr>
              <w:t>（11）支持图片、视频、文字分享功能；</w:t>
            </w:r>
          </w:p>
          <w:p w14:paraId="12FF7672">
            <w:pPr>
              <w:widowControl/>
              <w:spacing w:line="400" w:lineRule="exact"/>
              <w:rPr>
                <w:rFonts w:ascii="宋体" w:hAnsi="宋体" w:cs="Arial"/>
                <w:color w:val="auto"/>
                <w:sz w:val="18"/>
                <w:szCs w:val="18"/>
              </w:rPr>
            </w:pPr>
            <w:r>
              <w:rPr>
                <w:rFonts w:hint="eastAsia" w:ascii="宋体" w:hAnsi="宋体" w:cs="Arial"/>
                <w:color w:val="auto"/>
                <w:sz w:val="18"/>
                <w:szCs w:val="18"/>
              </w:rPr>
              <w:t>（12）支持调度员设置；支持分机管理功能；支持通话管理。</w:t>
            </w:r>
          </w:p>
        </w:tc>
        <w:tc>
          <w:tcPr>
            <w:tcW w:w="900" w:type="dxa"/>
            <w:tcBorders>
              <w:top w:val="nil"/>
              <w:left w:val="nil"/>
              <w:bottom w:val="single" w:color="auto" w:sz="4" w:space="0"/>
              <w:right w:val="single" w:color="auto" w:sz="4" w:space="0"/>
            </w:tcBorders>
            <w:vAlign w:val="center"/>
          </w:tcPr>
          <w:p w14:paraId="6D6FB4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17612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5F42D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D273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BA637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便携式应急处置操作终端</w:t>
            </w:r>
          </w:p>
        </w:tc>
        <w:tc>
          <w:tcPr>
            <w:tcW w:w="5717" w:type="dxa"/>
            <w:tcBorders>
              <w:top w:val="nil"/>
              <w:left w:val="nil"/>
              <w:bottom w:val="single" w:color="auto" w:sz="4" w:space="0"/>
              <w:right w:val="single" w:color="auto" w:sz="4" w:space="0"/>
            </w:tcBorders>
            <w:vAlign w:val="center"/>
          </w:tcPr>
          <w:p w14:paraId="274B829A">
            <w:pPr>
              <w:widowControl/>
              <w:spacing w:line="400" w:lineRule="exact"/>
              <w:rPr>
                <w:rFonts w:ascii="宋体" w:hAnsi="宋体" w:cs="Arial"/>
                <w:color w:val="auto"/>
                <w:sz w:val="18"/>
                <w:szCs w:val="18"/>
              </w:rPr>
            </w:pPr>
            <w:r>
              <w:rPr>
                <w:rFonts w:hint="eastAsia" w:ascii="宋体" w:hAnsi="宋体" w:cs="Arial"/>
                <w:color w:val="auto"/>
                <w:sz w:val="18"/>
                <w:szCs w:val="18"/>
              </w:rPr>
              <w:t>1.屏幕≥10英寸，配备前置及后置摄像头、喇叭、麦克风；</w:t>
            </w:r>
          </w:p>
          <w:p w14:paraId="5FBDE8D3">
            <w:pPr>
              <w:widowControl/>
              <w:spacing w:line="400" w:lineRule="exact"/>
              <w:rPr>
                <w:rFonts w:ascii="宋体" w:hAnsi="宋体" w:cs="Arial"/>
                <w:color w:val="auto"/>
                <w:sz w:val="18"/>
                <w:szCs w:val="18"/>
              </w:rPr>
            </w:pPr>
            <w:r>
              <w:rPr>
                <w:rFonts w:hint="eastAsia" w:ascii="宋体" w:hAnsi="宋体" w:cs="Arial"/>
                <w:color w:val="auto"/>
                <w:sz w:val="18"/>
                <w:szCs w:val="18"/>
              </w:rPr>
              <w:t>2.具备视频连通功能，能与指挥中心视频系统连通，进行音视频会商；</w:t>
            </w:r>
          </w:p>
          <w:p w14:paraId="0F3AB3C4">
            <w:pPr>
              <w:widowControl/>
              <w:spacing w:line="400" w:lineRule="exact"/>
              <w:rPr>
                <w:rFonts w:ascii="宋体" w:hAnsi="宋体" w:cs="Arial"/>
                <w:color w:val="auto"/>
                <w:sz w:val="18"/>
                <w:szCs w:val="18"/>
              </w:rPr>
            </w:pPr>
            <w:r>
              <w:rPr>
                <w:rFonts w:hint="eastAsia" w:ascii="宋体" w:hAnsi="宋体" w:cs="Arial"/>
                <w:color w:val="auto"/>
                <w:sz w:val="18"/>
                <w:szCs w:val="18"/>
              </w:rPr>
              <w:t>3.HDMI接口≥1；</w:t>
            </w:r>
          </w:p>
          <w:p w14:paraId="0E732FBE">
            <w:pPr>
              <w:widowControl/>
              <w:spacing w:line="400" w:lineRule="exact"/>
              <w:rPr>
                <w:rFonts w:ascii="宋体" w:hAnsi="宋体" w:cs="Arial"/>
                <w:color w:val="auto"/>
                <w:sz w:val="18"/>
                <w:szCs w:val="18"/>
              </w:rPr>
            </w:pPr>
            <w:r>
              <w:rPr>
                <w:rFonts w:hint="eastAsia" w:ascii="宋体" w:hAnsi="宋体" w:cs="Arial"/>
                <w:color w:val="auto"/>
                <w:sz w:val="18"/>
                <w:szCs w:val="18"/>
              </w:rPr>
              <w:t>4.支持4G/5G、WiFi、蓝牙、北斗定位等；</w:t>
            </w:r>
          </w:p>
          <w:p w14:paraId="0991B9BC">
            <w:pPr>
              <w:widowControl/>
              <w:spacing w:line="400" w:lineRule="exact"/>
              <w:rPr>
                <w:rFonts w:ascii="宋体" w:hAnsi="宋体" w:cs="Arial"/>
                <w:color w:val="auto"/>
                <w:sz w:val="18"/>
                <w:szCs w:val="18"/>
              </w:rPr>
            </w:pPr>
            <w:r>
              <w:rPr>
                <w:rFonts w:hint="eastAsia" w:ascii="宋体" w:hAnsi="宋体" w:cs="Arial"/>
                <w:color w:val="auto"/>
                <w:sz w:val="18"/>
                <w:szCs w:val="18"/>
              </w:rPr>
              <w:t>5.防护等级≥IP68。</w:t>
            </w:r>
          </w:p>
          <w:p w14:paraId="2AF737C6">
            <w:pPr>
              <w:widowControl/>
              <w:spacing w:line="400" w:lineRule="exact"/>
              <w:rPr>
                <w:rFonts w:ascii="宋体" w:hAnsi="宋体" w:cs="Arial"/>
                <w:color w:val="auto"/>
                <w:sz w:val="18"/>
                <w:szCs w:val="18"/>
              </w:rPr>
            </w:pPr>
            <w:r>
              <w:rPr>
                <w:rFonts w:hint="eastAsia" w:ascii="宋体" w:hAnsi="宋体" w:cs="Arial"/>
                <w:color w:val="auto"/>
                <w:sz w:val="18"/>
                <w:szCs w:val="18"/>
              </w:rPr>
              <w:t>具备以下功能：</w:t>
            </w:r>
          </w:p>
          <w:p w14:paraId="110D22E1">
            <w:pPr>
              <w:widowControl/>
              <w:spacing w:line="400" w:lineRule="exact"/>
              <w:rPr>
                <w:rFonts w:ascii="宋体" w:hAnsi="宋体" w:cs="Arial"/>
                <w:color w:val="auto"/>
                <w:sz w:val="18"/>
                <w:szCs w:val="18"/>
              </w:rPr>
            </w:pPr>
            <w:r>
              <w:rPr>
                <w:rFonts w:hint="eastAsia" w:ascii="宋体" w:hAnsi="宋体" w:cs="Arial"/>
                <w:color w:val="auto"/>
                <w:sz w:val="18"/>
                <w:szCs w:val="18"/>
              </w:rPr>
              <w:t>通讯录：支持从服务器获取通讯录或者本地创建联系人信息。</w:t>
            </w:r>
          </w:p>
          <w:p w14:paraId="56037533">
            <w:pPr>
              <w:widowControl/>
              <w:spacing w:line="400" w:lineRule="exact"/>
              <w:rPr>
                <w:rFonts w:ascii="宋体" w:hAnsi="宋体" w:cs="Arial"/>
                <w:color w:val="auto"/>
                <w:sz w:val="18"/>
                <w:szCs w:val="18"/>
              </w:rPr>
            </w:pPr>
            <w:r>
              <w:rPr>
                <w:rFonts w:hint="eastAsia" w:ascii="宋体" w:hAnsi="宋体" w:cs="Arial"/>
                <w:color w:val="auto"/>
                <w:sz w:val="18"/>
                <w:szCs w:val="18"/>
              </w:rPr>
              <w:t>音视频通话：包括：1、WEB与WEB间音视频通话;2、WEB与APP间音视频通话;3、APP与APP间音视频通话；</w:t>
            </w:r>
          </w:p>
          <w:p w14:paraId="5CBD51CD">
            <w:pPr>
              <w:widowControl/>
              <w:spacing w:line="400" w:lineRule="exact"/>
              <w:rPr>
                <w:rFonts w:ascii="宋体" w:hAnsi="宋体" w:cs="Arial"/>
                <w:color w:val="auto"/>
                <w:sz w:val="18"/>
                <w:szCs w:val="18"/>
              </w:rPr>
            </w:pPr>
            <w:r>
              <w:rPr>
                <w:rFonts w:hint="eastAsia" w:ascii="宋体" w:hAnsi="宋体" w:cs="Arial"/>
                <w:color w:val="auto"/>
                <w:sz w:val="18"/>
                <w:szCs w:val="18"/>
              </w:rPr>
              <w:t>图片消息：包括：1、web与web互发图片2、web与APP互发图片3、APP与APP互发图片：</w:t>
            </w:r>
          </w:p>
          <w:p w14:paraId="7A93BD7C">
            <w:pPr>
              <w:widowControl/>
              <w:spacing w:line="400" w:lineRule="exact"/>
              <w:rPr>
                <w:rFonts w:ascii="宋体" w:hAnsi="宋体" w:cs="Arial"/>
                <w:color w:val="auto"/>
                <w:sz w:val="18"/>
                <w:szCs w:val="18"/>
              </w:rPr>
            </w:pPr>
            <w:r>
              <w:rPr>
                <w:rFonts w:hint="eastAsia" w:ascii="宋体" w:hAnsi="宋体" w:cs="Arial"/>
                <w:color w:val="auto"/>
                <w:sz w:val="18"/>
                <w:szCs w:val="18"/>
              </w:rPr>
              <w:t>短视频消息：包括：1、web与web互发短视频;2、web与APP互发短视频;3、APP与APP互发短视频;</w:t>
            </w:r>
          </w:p>
          <w:p w14:paraId="76DA4A27">
            <w:pPr>
              <w:widowControl/>
              <w:spacing w:line="400" w:lineRule="exact"/>
              <w:rPr>
                <w:rFonts w:ascii="宋体" w:hAnsi="宋体" w:cs="Arial"/>
                <w:color w:val="auto"/>
                <w:sz w:val="18"/>
                <w:szCs w:val="18"/>
              </w:rPr>
            </w:pPr>
            <w:r>
              <w:rPr>
                <w:rFonts w:hint="eastAsia" w:ascii="宋体" w:hAnsi="宋体" w:cs="Arial"/>
                <w:color w:val="auto"/>
                <w:sz w:val="18"/>
                <w:szCs w:val="18"/>
              </w:rPr>
              <w:t>语音文件消息：包括：1、web与web互发语音文件：2、web与APP互发语音文件：3、APP与APP互发语音文件：</w:t>
            </w:r>
          </w:p>
          <w:p w14:paraId="6B7A1228">
            <w:pPr>
              <w:widowControl/>
              <w:spacing w:line="400" w:lineRule="exact"/>
              <w:rPr>
                <w:rFonts w:ascii="宋体" w:hAnsi="宋体" w:cs="Arial"/>
                <w:color w:val="auto"/>
                <w:sz w:val="18"/>
                <w:szCs w:val="18"/>
              </w:rPr>
            </w:pPr>
            <w:r>
              <w:rPr>
                <w:rFonts w:hint="eastAsia" w:ascii="宋体" w:hAnsi="宋体" w:cs="Arial"/>
                <w:color w:val="auto"/>
                <w:sz w:val="18"/>
                <w:szCs w:val="18"/>
              </w:rPr>
              <w:t>分享位置：包括：1、web与web互发地图位置信息;2、web与APP互发地图位置信息;3、APP与APP互发地图位置信息</w:t>
            </w:r>
          </w:p>
          <w:p w14:paraId="42B9F9DE">
            <w:pPr>
              <w:widowControl/>
              <w:spacing w:line="400" w:lineRule="exact"/>
              <w:rPr>
                <w:rFonts w:ascii="宋体" w:hAnsi="宋体" w:cs="Arial"/>
                <w:color w:val="auto"/>
                <w:sz w:val="18"/>
                <w:szCs w:val="18"/>
              </w:rPr>
            </w:pPr>
            <w:r>
              <w:rPr>
                <w:rFonts w:hint="eastAsia" w:ascii="宋体" w:hAnsi="宋体" w:cs="Arial"/>
                <w:color w:val="auto"/>
                <w:sz w:val="18"/>
                <w:szCs w:val="18"/>
              </w:rPr>
              <w:t>事件分享：以文字、图片、视频等方式，将现场事件情况分享给其它团队成员和指挥中心调度员。</w:t>
            </w:r>
          </w:p>
        </w:tc>
        <w:tc>
          <w:tcPr>
            <w:tcW w:w="900" w:type="dxa"/>
            <w:tcBorders>
              <w:top w:val="nil"/>
              <w:left w:val="nil"/>
              <w:bottom w:val="single" w:color="auto" w:sz="4" w:space="0"/>
              <w:right w:val="single" w:color="auto" w:sz="4" w:space="0"/>
            </w:tcBorders>
            <w:vAlign w:val="center"/>
          </w:tcPr>
          <w:p w14:paraId="73B398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4BF44B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5CE30C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8442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740779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音视频指挥调度服务器</w:t>
            </w:r>
          </w:p>
        </w:tc>
        <w:tc>
          <w:tcPr>
            <w:tcW w:w="5717" w:type="dxa"/>
            <w:tcBorders>
              <w:top w:val="nil"/>
              <w:left w:val="nil"/>
              <w:bottom w:val="single" w:color="auto" w:sz="4" w:space="0"/>
              <w:right w:val="single" w:color="auto" w:sz="4" w:space="0"/>
            </w:tcBorders>
          </w:tcPr>
          <w:p w14:paraId="326F8B6C">
            <w:pPr>
              <w:widowControl/>
              <w:spacing w:line="400" w:lineRule="exact"/>
              <w:jc w:val="left"/>
              <w:rPr>
                <w:rFonts w:ascii="宋体" w:hAnsi="宋体" w:cs="Arial"/>
                <w:color w:val="auto"/>
                <w:sz w:val="18"/>
                <w:szCs w:val="18"/>
              </w:rPr>
            </w:pPr>
            <w:r>
              <w:rPr>
                <w:rFonts w:hint="eastAsia" w:ascii="宋体" w:hAnsi="宋体" w:cs="Arial"/>
                <w:color w:val="auto"/>
                <w:sz w:val="18"/>
                <w:szCs w:val="18"/>
              </w:rPr>
              <w:t>标准机架式服务器，国产操作系统，国产CPU≥8核3.0GHz，内存≥16G，硬盘≥4T，≥2个千兆网口，≥4个USB接口，≥1个VGA口。</w:t>
            </w:r>
          </w:p>
          <w:p w14:paraId="6ABDC2BD">
            <w:pPr>
              <w:widowControl/>
              <w:spacing w:line="400" w:lineRule="exact"/>
              <w:jc w:val="left"/>
              <w:rPr>
                <w:rFonts w:ascii="宋体" w:hAnsi="宋体" w:cs="Arial"/>
                <w:color w:val="auto"/>
                <w:sz w:val="18"/>
                <w:szCs w:val="18"/>
              </w:rPr>
            </w:pPr>
            <w:r>
              <w:rPr>
                <w:rFonts w:hint="eastAsia" w:ascii="宋体" w:hAnsi="宋体" w:cs="Arial"/>
                <w:color w:val="auto"/>
                <w:sz w:val="18"/>
                <w:szCs w:val="18"/>
              </w:rPr>
              <w:t>1.语音调度功能</w:t>
            </w:r>
          </w:p>
          <w:p w14:paraId="3D3B727F">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(1).支持分布式部署、集群化部署，支持BS客户端；支持接入市话、移动电话、PDT对讲、卫星电话等；可对接入终端发起群呼；</w:t>
            </w:r>
          </w:p>
          <w:p w14:paraId="3603877E">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(2).支持录入乡镇(街道)相关单位和应急联系人通讯录，建立应急管理通讯录；</w:t>
            </w:r>
          </w:p>
          <w:p w14:paraId="67CC077B">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(3).支持对联系人和单位进行点呼、广播呼叫、电话会议等调度；</w:t>
            </w:r>
          </w:p>
          <w:p w14:paraId="772DE37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(4).支持调度功能，如禁用通话、启用通话、无人值守、代接等；</w:t>
            </w:r>
          </w:p>
          <w:p w14:paraId="3DDC8EFD">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(5).支持分机调度，如呼叫、挂断、保持、转移、转外线、置忙等；</w:t>
            </w:r>
          </w:p>
          <w:p w14:paraId="5EF847A3">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(6).支持对值班电话设置统一接听号码；支持设置双调度员；支持将来电呼转至值班员手机；</w:t>
            </w:r>
          </w:p>
          <w:p w14:paraId="569293DA">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(7).支持语音录制，录制后可试听；</w:t>
            </w:r>
          </w:p>
          <w:p w14:paraId="1A50972B">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(8).支持定时广播，可选择播放分机，可设定播放次数，播放时间；支持广播管理功能；</w:t>
            </w:r>
          </w:p>
          <w:p w14:paraId="19981884">
            <w:pPr>
              <w:widowControl/>
              <w:spacing w:line="400" w:lineRule="exact"/>
              <w:jc w:val="left"/>
              <w:rPr>
                <w:rFonts w:ascii="宋体" w:hAnsi="宋体" w:cs="Arial"/>
                <w:color w:val="auto"/>
                <w:sz w:val="18"/>
                <w:szCs w:val="18"/>
              </w:rPr>
            </w:pPr>
            <w:r>
              <w:rPr>
                <w:rFonts w:hint="eastAsia" w:ascii="宋体" w:hAnsi="宋体" w:cs="Arial"/>
                <w:color w:val="auto"/>
                <w:sz w:val="18"/>
                <w:szCs w:val="18"/>
              </w:rPr>
              <w:t>▲(9).具有流量优先级管控功能，支持QoS(服务质量保障)；(设备供应商需提供“QoS(服务质量保障)”相关内容的软件著作权登记证书扫描件并加盖原厂公章）</w:t>
            </w:r>
          </w:p>
          <w:p w14:paraId="14CCF7ED">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▲(10).支持微服务架构；(设备供应商需提供“融合通信微服务”相关内容的软件著作权登记证书扫描件并加盖原厂公章）</w:t>
            </w:r>
          </w:p>
          <w:p w14:paraId="14E8B9C4">
            <w:pPr>
              <w:widowControl/>
              <w:spacing w:line="400" w:lineRule="exact"/>
              <w:jc w:val="left"/>
              <w:rPr>
                <w:rFonts w:ascii="宋体" w:hAnsi="宋体" w:cs="Arial"/>
                <w:color w:val="auto"/>
                <w:sz w:val="18"/>
                <w:szCs w:val="18"/>
              </w:rPr>
            </w:pPr>
            <w:r>
              <w:rPr>
                <w:rFonts w:hint="eastAsia" w:ascii="宋体" w:hAnsi="宋体" w:cs="Arial"/>
                <w:color w:val="auto"/>
                <w:sz w:val="18"/>
                <w:szCs w:val="18"/>
              </w:rPr>
              <w:t>2.视频调度功能</w:t>
            </w:r>
          </w:p>
          <w:p w14:paraId="7BDF5F11">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对视频监控、视频会议、公网图传、单兵、布控球、无人机等音视频融合处理(支持不同码率、不同分辨率视频源接入，支持第三方视频会议系统接入，支持视频监控平台的视频源接入，支持SIP协议IP视频话机加入视频会商，支持移动视频终端接入)，可将不同系统终端综合会商组会，具备会议录像、会议截图、屏幕共享等功能；</w:t>
            </w:r>
          </w:p>
          <w:p w14:paraId="4B304C6F">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(2).支持WEB视频会商调度，支持谷歌、火狐、IE等多种浏览器，支持VP8与H.264不同编解码间转换；</w:t>
            </w:r>
          </w:p>
          <w:p w14:paraId="39897CD2">
            <w:pPr>
              <w:widowControl/>
              <w:spacing w:line="400" w:lineRule="exact"/>
              <w:jc w:val="left"/>
              <w:rPr>
                <w:rFonts w:ascii="宋体" w:hAnsi="宋体" w:cs="Arial"/>
                <w:color w:val="auto"/>
                <w:sz w:val="18"/>
                <w:szCs w:val="18"/>
              </w:rPr>
            </w:pPr>
            <w:r>
              <w:rPr>
                <w:rFonts w:hint="eastAsia" w:ascii="宋体" w:hAnsi="宋体" w:cs="Arial"/>
                <w:color w:val="auto"/>
                <w:sz w:val="18"/>
                <w:szCs w:val="18"/>
              </w:rPr>
              <w:t>3.TTS服务功能</w:t>
            </w:r>
          </w:p>
          <w:p w14:paraId="3D32680D">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支持输入文本信息，通过文本语音实时转换(≥50路并发调用)，任意选择广播成员进行呼叫广播(被呼叫的用户只能听不能讲)，实现自动语音通知等功能；</w:t>
            </w:r>
          </w:p>
          <w:p w14:paraId="7E7C3A97">
            <w:pPr>
              <w:widowControl/>
              <w:spacing w:line="400" w:lineRule="exact"/>
              <w:jc w:val="left"/>
              <w:rPr>
                <w:rFonts w:ascii="宋体" w:hAnsi="宋体" w:cs="Arial"/>
                <w:color w:val="auto"/>
                <w:sz w:val="18"/>
                <w:szCs w:val="18"/>
              </w:rPr>
            </w:pPr>
            <w:r>
              <w:rPr>
                <w:rFonts w:hint="eastAsia" w:ascii="宋体" w:hAnsi="宋体" w:cs="Arial"/>
                <w:color w:val="auto"/>
                <w:sz w:val="18"/>
                <w:szCs w:val="18"/>
              </w:rPr>
              <w:t>4.单兵接入功能</w:t>
            </w:r>
          </w:p>
          <w:p w14:paraId="0E6FEA8C">
            <w:pPr>
              <w:widowControl/>
              <w:spacing w:line="400" w:lineRule="exact"/>
              <w:jc w:val="left"/>
              <w:rPr>
                <w:rFonts w:ascii="宋体" w:hAnsi="宋体" w:cs="Arial"/>
                <w:color w:val="auto"/>
                <w:sz w:val="18"/>
                <w:szCs w:val="18"/>
              </w:rPr>
            </w:pPr>
            <w:r>
              <w:rPr>
                <w:rFonts w:hint="eastAsia" w:ascii="宋体" w:hAnsi="宋体" w:cs="Arial"/>
                <w:color w:val="auto"/>
                <w:sz w:val="18"/>
                <w:szCs w:val="18"/>
              </w:rPr>
              <w:t>(1).可为移动端提供公网对讲、文件传输、注册鉴权、分组管理、呼叫建立、音视频会议、业务支撑等功能支撑；</w:t>
            </w:r>
          </w:p>
          <w:p w14:paraId="0021380F">
            <w:pPr>
              <w:widowControl/>
              <w:spacing w:line="400" w:lineRule="exact"/>
              <w:jc w:val="left"/>
              <w:rPr>
                <w:rFonts w:ascii="宋体" w:hAnsi="宋体" w:cs="Arial"/>
                <w:color w:val="auto"/>
                <w:sz w:val="18"/>
                <w:szCs w:val="18"/>
              </w:rPr>
            </w:pPr>
            <w:r>
              <w:rPr>
                <w:rFonts w:hint="eastAsia" w:ascii="宋体" w:hAnsi="宋体" w:cs="Arial"/>
                <w:color w:val="auto"/>
                <w:sz w:val="18"/>
                <w:szCs w:val="18"/>
              </w:rPr>
              <w:t>(2).可在调度台或移动端上分享图片、视频、文字等，并且可对分享点评；</w:t>
            </w:r>
          </w:p>
          <w:p w14:paraId="0F563F04">
            <w:pPr>
              <w:widowControl/>
              <w:spacing w:line="400" w:lineRule="exact"/>
              <w:jc w:val="left"/>
              <w:rPr>
                <w:rFonts w:ascii="宋体" w:hAnsi="宋体" w:cs="Arial"/>
                <w:color w:val="auto"/>
                <w:sz w:val="18"/>
                <w:szCs w:val="18"/>
              </w:rPr>
            </w:pPr>
            <w:r>
              <w:rPr>
                <w:rFonts w:hint="eastAsia" w:ascii="宋体" w:hAnsi="宋体" w:cs="Arial"/>
                <w:color w:val="auto"/>
                <w:sz w:val="18"/>
                <w:szCs w:val="18"/>
              </w:rPr>
              <w:t>(3).移动端可分享自身位置信息；</w:t>
            </w:r>
          </w:p>
          <w:p w14:paraId="22B47E14">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(4).支持即时通讯，支持客户端之间文字聊天、发送表情、发送文件等；支持群聊，可发起呼叫和群组会议；</w:t>
            </w:r>
          </w:p>
          <w:p w14:paraId="4978868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▲(5).支持富媒体消息；(设备供应商需提供“富媒体消息”相关内容的软件著作权登记证书扫描件并加盖原厂公章）</w:t>
            </w:r>
          </w:p>
          <w:p w14:paraId="5EC35EFA">
            <w:pPr>
              <w:widowControl/>
              <w:spacing w:line="400" w:lineRule="exact"/>
              <w:jc w:val="left"/>
              <w:rPr>
                <w:rFonts w:ascii="宋体" w:hAnsi="宋体" w:cs="Arial"/>
                <w:color w:val="auto"/>
                <w:sz w:val="18"/>
                <w:szCs w:val="18"/>
              </w:rPr>
            </w:pPr>
            <w:r>
              <w:rPr>
                <w:rFonts w:hint="eastAsia" w:ascii="宋体" w:hAnsi="宋体" w:cs="Arial"/>
                <w:color w:val="auto"/>
                <w:sz w:val="18"/>
                <w:szCs w:val="18"/>
              </w:rPr>
              <w:t>5.录音录像功能</w:t>
            </w:r>
          </w:p>
          <w:p w14:paraId="3C7687C7">
            <w:pPr>
              <w:widowControl/>
              <w:spacing w:line="400" w:lineRule="exact"/>
              <w:jc w:val="left"/>
              <w:rPr>
                <w:rFonts w:ascii="宋体" w:hAnsi="宋体" w:cs="Arial"/>
                <w:color w:val="auto"/>
                <w:sz w:val="18"/>
                <w:szCs w:val="18"/>
              </w:rPr>
            </w:pPr>
            <w:r>
              <w:rPr>
                <w:rFonts w:hint="eastAsia" w:ascii="宋体" w:hAnsi="宋体" w:cs="Arial"/>
                <w:color w:val="auto"/>
                <w:sz w:val="18"/>
                <w:szCs w:val="18"/>
              </w:rPr>
              <w:t>(1).编码支持G.711A、G.711U、G.729、PCM；帧率支持30~60FPS；码率支持512k~10Mbps；</w:t>
            </w:r>
          </w:p>
          <w:p w14:paraId="04AFAFB0">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(2).支持自动增益；支持语音通话，视频通话录制；</w:t>
            </w:r>
          </w:p>
          <w:p w14:paraId="39C810B9">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(3).支持查询通话记录；</w:t>
            </w:r>
          </w:p>
          <w:p w14:paraId="7D8E970A">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(4).支持在线播放和下载后播放；</w:t>
            </w:r>
          </w:p>
          <w:p w14:paraId="1B1C25A9">
            <w:pPr>
              <w:widowControl/>
              <w:spacing w:line="400" w:lineRule="exact"/>
              <w:jc w:val="left"/>
              <w:rPr>
                <w:rFonts w:ascii="宋体" w:hAnsi="宋体" w:cs="Arial"/>
                <w:color w:val="auto"/>
                <w:sz w:val="18"/>
                <w:szCs w:val="18"/>
              </w:rPr>
            </w:pPr>
            <w:r>
              <w:rPr>
                <w:rFonts w:hint="eastAsia" w:ascii="宋体" w:hAnsi="宋体" w:cs="Arial"/>
                <w:color w:val="auto"/>
                <w:sz w:val="18"/>
                <w:szCs w:val="18"/>
              </w:rPr>
              <w:t>6.设备管理功能</w:t>
            </w:r>
          </w:p>
          <w:p w14:paraId="49188E80">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(1).支持录入单兵、无人机、布控球、PDT终端、卫星电话、北斗短报文终端等设备信息，包括设备厂家、设备配置、购买时间、维保时间、使用人、技术支持等信息；</w:t>
            </w:r>
          </w:p>
          <w:p w14:paraId="301E095A">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(2).支持记录维修时间、维修人员等相关信息；到期设备具有提醒功能；</w:t>
            </w:r>
          </w:p>
          <w:p w14:paraId="085A40D1">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(3).支持设备状态记录更新；(如在用、故障、未派发、报废、维修、借用等状态)；</w:t>
            </w:r>
          </w:p>
          <w:p w14:paraId="70F1C93D">
            <w:pPr>
              <w:widowControl/>
              <w:spacing w:line="400" w:lineRule="exact"/>
              <w:jc w:val="left"/>
              <w:rPr>
                <w:rFonts w:ascii="宋体" w:hAnsi="宋体" w:cs="Arial"/>
                <w:color w:val="auto"/>
                <w:sz w:val="18"/>
                <w:szCs w:val="18"/>
              </w:rPr>
            </w:pPr>
            <w:r>
              <w:rPr>
                <w:rFonts w:hint="eastAsia" w:ascii="宋体" w:hAnsi="宋体" w:cs="Arial"/>
                <w:color w:val="auto"/>
                <w:sz w:val="18"/>
                <w:szCs w:val="18"/>
              </w:rPr>
              <w:t>7.地图调度功能</w:t>
            </w:r>
          </w:p>
          <w:p w14:paraId="5D38FA77">
            <w:pPr>
              <w:widowControl/>
              <w:spacing w:line="400" w:lineRule="exact"/>
              <w:jc w:val="left"/>
              <w:rPr>
                <w:rFonts w:ascii="宋体" w:hAnsi="宋体" w:cs="Arial"/>
                <w:color w:val="auto"/>
                <w:sz w:val="18"/>
                <w:szCs w:val="18"/>
              </w:rPr>
            </w:pPr>
            <w:r>
              <w:rPr>
                <w:rFonts w:hint="eastAsia" w:ascii="宋体" w:hAnsi="宋体" w:cs="Arial"/>
                <w:color w:val="auto"/>
                <w:sz w:val="18"/>
                <w:szCs w:val="18"/>
              </w:rPr>
              <w:t>(1).提供GIS服务和多媒体服务，可将终端GIS数据上报，实现语音、视频、定位融合协同；</w:t>
            </w:r>
          </w:p>
          <w:p w14:paraId="4DF2E4E3">
            <w:pPr>
              <w:widowControl/>
              <w:spacing w:line="400" w:lineRule="exact"/>
              <w:jc w:val="left"/>
              <w:rPr>
                <w:rFonts w:ascii="宋体" w:hAnsi="宋体" w:cs="Arial"/>
                <w:color w:val="auto"/>
                <w:sz w:val="18"/>
                <w:szCs w:val="18"/>
              </w:rPr>
            </w:pPr>
            <w:r>
              <w:rPr>
                <w:rFonts w:hint="eastAsia" w:ascii="宋体" w:hAnsi="宋体" w:cs="Arial"/>
                <w:color w:val="auto"/>
                <w:sz w:val="18"/>
                <w:szCs w:val="18"/>
              </w:rPr>
              <w:t>(2).可对地图中任意空闲用户呼叫，支持单击、圈选等操作；</w:t>
            </w:r>
          </w:p>
          <w:p w14:paraId="14C84D3B">
            <w:pPr>
              <w:widowControl/>
              <w:spacing w:line="400" w:lineRule="exact"/>
              <w:jc w:val="left"/>
              <w:rPr>
                <w:rFonts w:ascii="宋体" w:hAnsi="宋体" w:cs="Arial"/>
                <w:color w:val="auto"/>
                <w:sz w:val="18"/>
                <w:szCs w:val="18"/>
              </w:rPr>
            </w:pPr>
            <w:r>
              <w:rPr>
                <w:rFonts w:hint="eastAsia" w:ascii="宋体" w:hAnsi="宋体" w:cs="Arial"/>
                <w:color w:val="auto"/>
                <w:sz w:val="18"/>
                <w:szCs w:val="18"/>
              </w:rPr>
              <w:t>(3).可对地图中多个被选中的终端发起语音呼叫并建立会议通话；</w:t>
            </w:r>
          </w:p>
          <w:p w14:paraId="4C093762">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(4).可查看终端的运行轨迹，具备回放轨迹功能；</w:t>
            </w:r>
          </w:p>
          <w:p w14:paraId="130F82F4">
            <w:pPr>
              <w:widowControl/>
              <w:spacing w:line="400" w:lineRule="exact"/>
              <w:jc w:val="left"/>
              <w:rPr>
                <w:rFonts w:ascii="宋体" w:hAnsi="宋体" w:cs="Arial"/>
                <w:color w:val="auto"/>
                <w:sz w:val="18"/>
                <w:szCs w:val="18"/>
              </w:rPr>
            </w:pPr>
            <w:r>
              <w:rPr>
                <w:rFonts w:hint="eastAsia" w:ascii="宋体" w:hAnsi="宋体" w:cs="Arial"/>
                <w:color w:val="auto"/>
                <w:sz w:val="18"/>
                <w:szCs w:val="18"/>
              </w:rPr>
              <w:t>8.VOTLE接入功能</w:t>
            </w:r>
          </w:p>
          <w:p w14:paraId="3316A381">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(1).支持通过运营线IMS线路，接入VOLTE手机视频通话；</w:t>
            </w:r>
          </w:p>
          <w:p w14:paraId="5DC36437">
            <w:pPr>
              <w:widowControl/>
              <w:spacing w:line="400" w:lineRule="exact"/>
              <w:jc w:val="left"/>
              <w:rPr>
                <w:rFonts w:ascii="宋体" w:hAnsi="宋体" w:cs="Arial"/>
                <w:color w:val="auto"/>
                <w:sz w:val="18"/>
                <w:szCs w:val="18"/>
              </w:rPr>
            </w:pPr>
            <w:r>
              <w:rPr>
                <w:rFonts w:hint="eastAsia" w:ascii="宋体" w:hAnsi="宋体" w:cs="Arial"/>
                <w:color w:val="auto"/>
                <w:sz w:val="18"/>
                <w:szCs w:val="18"/>
              </w:rPr>
              <w:t>(2).提供短信群发通道和短信群发服务(包含≥30000条短信服务)，并提供短信二次发送接口。</w:t>
            </w:r>
          </w:p>
        </w:tc>
        <w:tc>
          <w:tcPr>
            <w:tcW w:w="900" w:type="dxa"/>
            <w:tcBorders>
              <w:top w:val="nil"/>
              <w:left w:val="nil"/>
              <w:bottom w:val="single" w:color="auto" w:sz="4" w:space="0"/>
              <w:right w:val="single" w:color="auto" w:sz="4" w:space="0"/>
            </w:tcBorders>
            <w:vAlign w:val="center"/>
          </w:tcPr>
          <w:p w14:paraId="2BE875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FED18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EA4B51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3180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602182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视频监控接入网关</w:t>
            </w:r>
          </w:p>
        </w:tc>
        <w:tc>
          <w:tcPr>
            <w:tcW w:w="5717" w:type="dxa"/>
            <w:tcBorders>
              <w:top w:val="nil"/>
              <w:left w:val="nil"/>
              <w:bottom w:val="single" w:color="auto" w:sz="4" w:space="0"/>
              <w:right w:val="single" w:color="auto" w:sz="4" w:space="0"/>
            </w:tcBorders>
          </w:tcPr>
          <w:p w14:paraId="2B3CCDE9">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1.机架式标准机箱，≥2个千兆网□；</w:t>
            </w:r>
          </w:p>
          <w:p w14:paraId="5A939C22">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2.支持接入市场上主流厂家的监控设备；支持通过GB 28181、Onvif等标准协议与视频监控平台对接；</w:t>
            </w:r>
          </w:p>
          <w:p w14:paraId="18513B8F">
            <w:pPr>
              <w:widowControl/>
              <w:spacing w:line="400" w:lineRule="exact"/>
              <w:jc w:val="left"/>
              <w:rPr>
                <w:rFonts w:ascii="宋体" w:hAnsi="宋体" w:cs="Arial"/>
                <w:color w:val="auto"/>
                <w:sz w:val="18"/>
                <w:szCs w:val="18"/>
              </w:rPr>
            </w:pPr>
            <w:r>
              <w:rPr>
                <w:rFonts w:hint="eastAsia" w:ascii="宋体" w:hAnsi="宋体" w:cs="Arial"/>
                <w:color w:val="auto"/>
                <w:sz w:val="18"/>
                <w:szCs w:val="18"/>
              </w:rPr>
              <w:t>3.兼容主流数字监控设备，如DVR、编解码器、IP摄像机等，以及支持国标的执法记录仪、车载监控；</w:t>
            </w:r>
          </w:p>
          <w:p w14:paraId="1F4ED9C9">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4.支持CIF、4CIF、D1、720p、1080p、2k等多种分辨率；视频编解码并发数≥32路，支持通过增加板卡扩容并发数；</w:t>
            </w:r>
          </w:p>
          <w:p w14:paraId="09D763B4">
            <w:pPr>
              <w:widowControl/>
              <w:spacing w:line="400" w:lineRule="exact"/>
              <w:jc w:val="left"/>
              <w:rPr>
                <w:rFonts w:ascii="宋体" w:hAnsi="宋体" w:cs="Arial"/>
                <w:color w:val="auto"/>
                <w:sz w:val="18"/>
                <w:szCs w:val="18"/>
              </w:rPr>
            </w:pPr>
            <w:r>
              <w:rPr>
                <w:rFonts w:hint="eastAsia" w:ascii="宋体" w:hAnsi="宋体" w:cs="Arial"/>
                <w:color w:val="auto"/>
                <w:sz w:val="18"/>
                <w:szCs w:val="18"/>
              </w:rPr>
              <w:t>▲5.配有USB接口以及TF卡槽，用于数据存储或离线升级；配备USB和TF卡状态指示灯；(提供带有CMA 或CNAS 标识的第三方权威检测机构出具的检测报告扫描件证明)</w:t>
            </w:r>
          </w:p>
          <w:p w14:paraId="00937273">
            <w:pPr>
              <w:widowControl/>
              <w:spacing w:line="400" w:lineRule="exact"/>
              <w:jc w:val="left"/>
              <w:rPr>
                <w:rFonts w:ascii="宋体" w:hAnsi="宋体" w:cs="Arial"/>
                <w:color w:val="auto"/>
                <w:sz w:val="18"/>
                <w:szCs w:val="18"/>
              </w:rPr>
            </w:pPr>
            <w:r>
              <w:rPr>
                <w:rFonts w:hint="eastAsia" w:ascii="宋体" w:hAnsi="宋体" w:cs="Arial"/>
                <w:color w:val="auto"/>
                <w:sz w:val="18"/>
                <w:szCs w:val="18"/>
              </w:rPr>
              <w:t>▲6.配备RESET按键，可一键恢复出厂设置。(提供带有CMA 或CNAS 标识的第三方权威检测机构出具的检测报告扫描件证明)</w:t>
            </w:r>
          </w:p>
        </w:tc>
        <w:tc>
          <w:tcPr>
            <w:tcW w:w="900" w:type="dxa"/>
            <w:tcBorders>
              <w:top w:val="nil"/>
              <w:left w:val="nil"/>
              <w:bottom w:val="single" w:color="auto" w:sz="4" w:space="0"/>
              <w:right w:val="single" w:color="auto" w:sz="4" w:space="0"/>
            </w:tcBorders>
            <w:vAlign w:val="center"/>
          </w:tcPr>
          <w:p w14:paraId="339A43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1D49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BECC6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FC523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58E648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专网视频网闸</w:t>
            </w:r>
          </w:p>
        </w:tc>
        <w:tc>
          <w:tcPr>
            <w:tcW w:w="5717" w:type="dxa"/>
            <w:tcBorders>
              <w:top w:val="nil"/>
              <w:left w:val="nil"/>
              <w:bottom w:val="single" w:color="auto" w:sz="4" w:space="0"/>
              <w:right w:val="single" w:color="auto" w:sz="4" w:space="0"/>
            </w:tcBorders>
          </w:tcPr>
          <w:p w14:paraId="7A21ECFC">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1.标准机箱，配备双电源；内网接口配备：≥2个千兆电口，≥1个管理口，≥1个HA接口；外网接口配备：≥2个千兆电口，≥1个管理口，≥1个HA接口；最大吞吐≥300M，视频并发(4Mbps)≥40路，延时＜1ms；</w:t>
            </w:r>
          </w:p>
          <w:p w14:paraId="0A2E31B5">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2.支持文件交换、FTP访问、数据库交换、邮件传输、安全浏览、安全传输、消息传输、视频传输等功能；</w:t>
            </w:r>
          </w:p>
          <w:p w14:paraId="088A8907">
            <w:pPr>
              <w:widowControl/>
              <w:spacing w:line="400" w:lineRule="exact"/>
              <w:jc w:val="left"/>
              <w:rPr>
                <w:rFonts w:ascii="宋体" w:hAnsi="宋体" w:cs="Arial"/>
                <w:color w:val="auto"/>
                <w:sz w:val="18"/>
                <w:szCs w:val="18"/>
              </w:rPr>
            </w:pPr>
            <w:r>
              <w:rPr>
                <w:rFonts w:hint="eastAsia" w:ascii="宋体" w:hAnsi="宋体" w:cs="Arial"/>
                <w:color w:val="auto"/>
                <w:sz w:val="18"/>
                <w:szCs w:val="18"/>
              </w:rPr>
              <w:t>3.内、外网主机分别具备三系统，即系统A、系统B和备份系统；支持在WEB界面上配置启动顺序，若A系统发生故障，可以切换到B系统；支持对当前运行系统备份；</w:t>
            </w:r>
          </w:p>
          <w:p w14:paraId="2B1F61F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4.支持数据容错处理，当数据同步失败时，用户可以查询、恢复、删除未能正常传输的数据；</w:t>
            </w:r>
          </w:p>
          <w:p w14:paraId="27AFBC68">
            <w:pPr>
              <w:widowControl/>
              <w:spacing w:line="400" w:lineRule="exact"/>
              <w:jc w:val="left"/>
              <w:rPr>
                <w:rFonts w:ascii="宋体" w:hAnsi="宋体" w:cs="Arial"/>
                <w:color w:val="auto"/>
                <w:sz w:val="18"/>
                <w:szCs w:val="18"/>
              </w:rPr>
            </w:pPr>
            <w:r>
              <w:rPr>
                <w:rFonts w:hint="eastAsia" w:ascii="宋体" w:hAnsi="宋体" w:cs="Arial"/>
                <w:color w:val="auto"/>
                <w:sz w:val="18"/>
                <w:szCs w:val="18"/>
              </w:rPr>
              <w:t>5.实现特定TCP、UDP协议的数据隔离交换；</w:t>
            </w:r>
          </w:p>
          <w:p w14:paraId="52449349">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6.支持SIP、GB35114、GB/T28181、DB33、H.323、ONVIF、RTSP、国电B类接口等通用协议；</w:t>
            </w:r>
          </w:p>
          <w:p w14:paraId="6138DB29">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7.支持多个视频厂商，如海康、大华、科达、中兴、迪威、宇视、贝尔、东方网力等；</w:t>
            </w:r>
          </w:p>
          <w:p w14:paraId="788066AC">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8.支持流媒体格式过滤，如G.711、G.729、H.264、H.263、MP4、PS等；</w:t>
            </w:r>
          </w:p>
          <w:p w14:paraId="1587D363">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9.支持视频功能类型过滤，如实时点播、历史回放、录像下载、云台控制、回放控制、录像检索、设备查询等。</w:t>
            </w:r>
          </w:p>
        </w:tc>
        <w:tc>
          <w:tcPr>
            <w:tcW w:w="900" w:type="dxa"/>
            <w:tcBorders>
              <w:top w:val="nil"/>
              <w:left w:val="nil"/>
              <w:bottom w:val="single" w:color="auto" w:sz="4" w:space="0"/>
              <w:right w:val="single" w:color="auto" w:sz="4" w:space="0"/>
            </w:tcBorders>
            <w:vAlign w:val="center"/>
          </w:tcPr>
          <w:p w14:paraId="16C52E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58434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B99D9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786F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85366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视频会议网关</w:t>
            </w:r>
          </w:p>
        </w:tc>
        <w:tc>
          <w:tcPr>
            <w:tcW w:w="5717" w:type="dxa"/>
            <w:tcBorders>
              <w:top w:val="nil"/>
              <w:left w:val="nil"/>
              <w:bottom w:val="single" w:color="auto" w:sz="4" w:space="0"/>
              <w:right w:val="single" w:color="auto" w:sz="4" w:space="0"/>
            </w:tcBorders>
          </w:tcPr>
          <w:p w14:paraId="389A59E5">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1.机架式标准机箱，高度≤1U；支持7*24小时工作；</w:t>
            </w:r>
          </w:p>
          <w:p w14:paraId="48E77406">
            <w:pPr>
              <w:widowControl/>
              <w:spacing w:line="400" w:lineRule="exact"/>
              <w:jc w:val="left"/>
              <w:rPr>
                <w:rFonts w:ascii="宋体" w:hAnsi="宋体" w:cs="Arial"/>
                <w:color w:val="auto"/>
                <w:sz w:val="18"/>
                <w:szCs w:val="18"/>
              </w:rPr>
            </w:pPr>
            <w:r>
              <w:rPr>
                <w:rFonts w:hint="eastAsia" w:ascii="宋体" w:hAnsi="宋体" w:cs="Arial"/>
                <w:color w:val="auto"/>
                <w:sz w:val="18"/>
                <w:szCs w:val="18"/>
              </w:rPr>
              <w:t>2.考虑到延迟和效率，需采用DSP纯硬件架构，支持编码、解码、录制、存储、无缝切换等；</w:t>
            </w:r>
          </w:p>
          <w:p w14:paraId="254915B6">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3.支持4K编码及合成(可通过HDMI输出)；</w:t>
            </w:r>
          </w:p>
          <w:p w14:paraId="5294D06F">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4.支持TCP/UDP/RTSP/RTP/RTMP/ONVIF/H.323/SIP/TS等流媒体协议；</w:t>
            </w:r>
          </w:p>
          <w:p w14:paraId="3C1C5BF6">
            <w:pPr>
              <w:widowControl/>
              <w:spacing w:line="400" w:lineRule="exact"/>
              <w:jc w:val="left"/>
              <w:rPr>
                <w:rFonts w:ascii="宋体" w:hAnsi="宋体" w:cs="Arial"/>
                <w:color w:val="auto"/>
                <w:sz w:val="18"/>
                <w:szCs w:val="18"/>
              </w:rPr>
            </w:pPr>
            <w:r>
              <w:rPr>
                <w:rFonts w:hint="eastAsia" w:ascii="宋体" w:hAnsi="宋体" w:cs="Arial"/>
                <w:color w:val="auto"/>
                <w:sz w:val="18"/>
                <w:szCs w:val="18"/>
              </w:rPr>
              <w:t>5.解码分辨率支持720P、1080P、1920x1200、1280x800、1440x900、1366x768、1280x1024、1024x768、800x600；</w:t>
            </w:r>
          </w:p>
          <w:p w14:paraId="635375D7">
            <w:pPr>
              <w:widowControl/>
              <w:spacing w:line="400" w:lineRule="exact"/>
              <w:jc w:val="left"/>
              <w:rPr>
                <w:rFonts w:ascii="宋体" w:hAnsi="宋体" w:cs="Arial"/>
                <w:color w:val="auto"/>
                <w:sz w:val="18"/>
                <w:szCs w:val="18"/>
              </w:rPr>
            </w:pPr>
            <w:r>
              <w:rPr>
                <w:rFonts w:hint="eastAsia" w:ascii="宋体" w:hAnsi="宋体" w:cs="Arial"/>
                <w:color w:val="auto"/>
                <w:sz w:val="18"/>
                <w:szCs w:val="18"/>
              </w:rPr>
              <w:t>▲6.带液晶显示屏，支持对视频输出画面预览；(提供带有CMA 或CNAS 标识的第三方权威检测机构出具的检测报告扫描件证明)</w:t>
            </w:r>
          </w:p>
          <w:p w14:paraId="10659AEF">
            <w:pPr>
              <w:widowControl/>
              <w:spacing w:line="400" w:lineRule="exact"/>
              <w:jc w:val="left"/>
              <w:rPr>
                <w:rFonts w:ascii="宋体" w:hAnsi="宋体" w:cs="Arial"/>
                <w:color w:val="auto"/>
                <w:sz w:val="18"/>
                <w:szCs w:val="18"/>
              </w:rPr>
            </w:pPr>
            <w:r>
              <w:rPr>
                <w:rFonts w:hint="eastAsia" w:ascii="宋体" w:hAnsi="宋体" w:cs="Arial"/>
                <w:color w:val="auto"/>
                <w:sz w:val="18"/>
                <w:szCs w:val="18"/>
              </w:rPr>
              <w:t>▲7.配备≥6路SDI输入接口，≥2路HDMI输入接口，≥2路HDMI输出，≥1路VGA输出，≥3路音频输入接口，≥3路音频输出接口；≥8路RS232/RS485/RS422控制接口，≥4路USB接口(提供带有CMA 或CNAS 标识的第三方权威检测机构出具的检测报告扫描件证明)</w:t>
            </w:r>
          </w:p>
          <w:p w14:paraId="787A71A0">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8.支持会议视频录制，可实时显示录制信息(如录制时长、视频分辨率、主机IP等)；存储空间≥1TB，可对录制文件查看、下载、删除等功能，支持多人同时点播录像文件；</w:t>
            </w:r>
          </w:p>
          <w:p w14:paraId="3D571FC0">
            <w:pPr>
              <w:widowControl/>
              <w:spacing w:line="400" w:lineRule="exact"/>
              <w:jc w:val="left"/>
              <w:rPr>
                <w:rFonts w:ascii="宋体" w:hAnsi="宋体" w:cs="Arial"/>
                <w:color w:val="auto"/>
                <w:sz w:val="18"/>
                <w:szCs w:val="18"/>
              </w:rPr>
            </w:pPr>
            <w:r>
              <w:rPr>
                <w:rFonts w:hint="eastAsia" w:ascii="宋体" w:hAnsi="宋体" w:cs="Arial"/>
                <w:color w:val="auto"/>
                <w:sz w:val="18"/>
                <w:szCs w:val="18"/>
              </w:rPr>
              <w:t>9.可全自动录制，画面可通过人工导播切换控制、或者由自动跟踪系统控制；</w:t>
            </w:r>
          </w:p>
          <w:p w14:paraId="52826C9C">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10.支持视频监视、视频切换、音频调整等功能。</w:t>
            </w:r>
          </w:p>
        </w:tc>
        <w:tc>
          <w:tcPr>
            <w:tcW w:w="900" w:type="dxa"/>
            <w:tcBorders>
              <w:top w:val="nil"/>
              <w:left w:val="nil"/>
              <w:bottom w:val="single" w:color="auto" w:sz="4" w:space="0"/>
              <w:right w:val="single" w:color="auto" w:sz="4" w:space="0"/>
            </w:tcBorders>
            <w:vAlign w:val="center"/>
          </w:tcPr>
          <w:p w14:paraId="708D8E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9A68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554E3F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84B84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042C57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数字中继网关</w:t>
            </w:r>
          </w:p>
        </w:tc>
        <w:tc>
          <w:tcPr>
            <w:tcW w:w="5717" w:type="dxa"/>
            <w:tcBorders>
              <w:top w:val="nil"/>
              <w:left w:val="nil"/>
              <w:bottom w:val="single" w:color="auto" w:sz="4" w:space="0"/>
              <w:right w:val="single" w:color="auto" w:sz="4" w:space="0"/>
            </w:tcBorders>
          </w:tcPr>
          <w:p w14:paraId="43DBA461">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1.机架式标准机箱，高度≤1U；采用嵌入式系统；</w:t>
            </w:r>
          </w:p>
          <w:p w14:paraId="51815D53">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2.支持PRI信令；支持G.711、G.729、G.723、G.726、iLBC、AMR等编码；</w:t>
            </w:r>
          </w:p>
          <w:p w14:paraId="169615E8">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3.支持电显示功能；</w:t>
            </w:r>
          </w:p>
          <w:p w14:paraId="3CEACAD2">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4.可根据不同国家和地区定制拨号的规则和数量；</w:t>
            </w:r>
          </w:p>
          <w:p w14:paraId="6D7C428F">
            <w:pPr>
              <w:widowControl/>
              <w:spacing w:line="400" w:lineRule="exact"/>
              <w:jc w:val="left"/>
              <w:rPr>
                <w:rFonts w:ascii="宋体" w:hAnsi="宋体" w:cs="Arial"/>
                <w:color w:val="auto"/>
                <w:sz w:val="18"/>
                <w:szCs w:val="18"/>
              </w:rPr>
            </w:pPr>
            <w:r>
              <w:rPr>
                <w:rFonts w:hint="eastAsia" w:ascii="宋体" w:hAnsi="宋体" w:cs="Arial"/>
                <w:color w:val="auto"/>
                <w:sz w:val="18"/>
                <w:szCs w:val="18"/>
              </w:rPr>
              <w:t>5.路由方式支持PSTN-PSTN、PSTN-IP、IP-IP、IP-PSTN；支持冗余路由；</w:t>
            </w:r>
          </w:p>
          <w:p w14:paraId="005B5E26">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6.支持信令、媒体、传真加密，如SIP TLS、SRTP等加密方式；</w:t>
            </w:r>
          </w:p>
          <w:p w14:paraId="096000E9">
            <w:pPr>
              <w:widowControl/>
              <w:spacing w:line="400" w:lineRule="exact"/>
              <w:jc w:val="left"/>
              <w:rPr>
                <w:rFonts w:ascii="宋体" w:hAnsi="宋体" w:cs="Arial"/>
                <w:color w:val="auto"/>
                <w:sz w:val="18"/>
                <w:szCs w:val="18"/>
              </w:rPr>
            </w:pPr>
            <w:r>
              <w:rPr>
                <w:rFonts w:hint="eastAsia" w:ascii="宋体" w:hAnsi="宋体" w:cs="Arial"/>
                <w:color w:val="auto"/>
                <w:sz w:val="18"/>
                <w:szCs w:val="18"/>
              </w:rPr>
              <w:t>7.可通过T.30、T.38协议实现IP网络上的传输传真业务；</w:t>
            </w:r>
          </w:p>
          <w:p w14:paraId="4B9061A5">
            <w:pPr>
              <w:widowControl/>
              <w:spacing w:line="400" w:lineRule="exact"/>
              <w:jc w:val="left"/>
              <w:rPr>
                <w:rFonts w:ascii="宋体" w:hAnsi="宋体" w:cs="Arial"/>
                <w:color w:val="auto"/>
                <w:sz w:val="18"/>
                <w:szCs w:val="18"/>
              </w:rPr>
            </w:pPr>
            <w:r>
              <w:rPr>
                <w:rFonts w:hint="eastAsia" w:ascii="宋体" w:hAnsi="宋体" w:cs="Arial"/>
                <w:color w:val="auto"/>
                <w:sz w:val="18"/>
                <w:szCs w:val="18"/>
              </w:rPr>
              <w:t>8.可通过RTP/RTCP协议实现实时语音包封装和语音播放；</w:t>
            </w:r>
          </w:p>
          <w:p w14:paraId="5876A4FD">
            <w:pPr>
              <w:widowControl/>
              <w:spacing w:line="400" w:lineRule="exact"/>
              <w:jc w:val="left"/>
              <w:rPr>
                <w:rFonts w:ascii="宋体" w:hAnsi="宋体" w:cs="Arial"/>
                <w:color w:val="auto"/>
                <w:sz w:val="18"/>
                <w:szCs w:val="18"/>
              </w:rPr>
            </w:pPr>
            <w:r>
              <w:rPr>
                <w:rFonts w:hint="eastAsia" w:ascii="宋体" w:hAnsi="宋体" w:cs="Arial"/>
                <w:color w:val="auto"/>
                <w:sz w:val="18"/>
                <w:szCs w:val="18"/>
              </w:rPr>
              <w:t>9.可通过RFC2833协议实现DTMF信号在IP网络的传输；</w:t>
            </w:r>
          </w:p>
          <w:p w14:paraId="6F4E20D5">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10.支持语音活动检测、舒适噪音生成、回声消除等；</w:t>
            </w:r>
          </w:p>
          <w:p w14:paraId="13BB8E01">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11.支持双音多频信号生成/检测、主叫号码生成检测等；</w:t>
            </w:r>
          </w:p>
          <w:p w14:paraId="410C26EC">
            <w:pPr>
              <w:widowControl/>
              <w:spacing w:line="400" w:lineRule="exact"/>
              <w:jc w:val="left"/>
              <w:rPr>
                <w:rFonts w:ascii="宋体" w:hAnsi="宋体" w:cs="Arial"/>
                <w:color w:val="auto"/>
                <w:sz w:val="18"/>
                <w:szCs w:val="18"/>
              </w:rPr>
            </w:pPr>
            <w:r>
              <w:rPr>
                <w:rFonts w:hint="eastAsia" w:ascii="宋体" w:hAnsi="宋体" w:cs="Arial"/>
                <w:color w:val="auto"/>
                <w:sz w:val="18"/>
                <w:szCs w:val="18"/>
              </w:rPr>
              <w:t>12.支持输入/输出增益控制；</w:t>
            </w:r>
          </w:p>
          <w:p w14:paraId="07745512">
            <w:pPr>
              <w:widowControl/>
              <w:spacing w:line="400" w:lineRule="exact"/>
              <w:jc w:val="left"/>
              <w:rPr>
                <w:rFonts w:ascii="宋体" w:hAnsi="宋体" w:cs="Arial"/>
                <w:color w:val="auto"/>
                <w:sz w:val="18"/>
                <w:szCs w:val="18"/>
              </w:rPr>
            </w:pPr>
            <w:r>
              <w:rPr>
                <w:rFonts w:hint="eastAsia" w:ascii="宋体" w:hAnsi="宋体" w:cs="Arial"/>
                <w:color w:val="auto"/>
                <w:sz w:val="18"/>
                <w:szCs w:val="18"/>
              </w:rPr>
              <w:t>13.支持本地、远程的WEB管理、Telnet管理；</w:t>
            </w:r>
          </w:p>
          <w:p w14:paraId="342538CB">
            <w:pPr>
              <w:widowControl/>
              <w:spacing w:line="400" w:lineRule="exact"/>
              <w:jc w:val="left"/>
              <w:rPr>
                <w:rFonts w:ascii="宋体" w:hAnsi="宋体" w:cs="Arial"/>
                <w:color w:val="auto"/>
                <w:sz w:val="18"/>
                <w:szCs w:val="18"/>
              </w:rPr>
            </w:pPr>
            <w:r>
              <w:rPr>
                <w:rFonts w:hint="eastAsia" w:ascii="宋体" w:hAnsi="宋体" w:cs="Arial"/>
                <w:color w:val="auto"/>
                <w:sz w:val="18"/>
                <w:szCs w:val="18"/>
              </w:rPr>
              <w:t>▲14.支持手机接入，可插入≥8张SIM卡，每张SIM卡都有对应的电源指示灯、状态指示灯、无线信号强度指示灯、物理开关按键(共计≥8组)；同时提供≥16路RJ11电话接口(每路SIM卡对应≥2路RJ11有线接口)。(提供带有CMA 或CNAS 标识的第三方权威检测机构出具的检测报告扫描件证明)</w:t>
            </w:r>
          </w:p>
        </w:tc>
        <w:tc>
          <w:tcPr>
            <w:tcW w:w="900" w:type="dxa"/>
            <w:tcBorders>
              <w:top w:val="nil"/>
              <w:left w:val="nil"/>
              <w:bottom w:val="single" w:color="auto" w:sz="4" w:space="0"/>
              <w:right w:val="single" w:color="auto" w:sz="4" w:space="0"/>
            </w:tcBorders>
            <w:vAlign w:val="center"/>
          </w:tcPr>
          <w:p w14:paraId="13008A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C1D6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38DF22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BA5B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3C426B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音频接入网关</w:t>
            </w:r>
          </w:p>
        </w:tc>
        <w:tc>
          <w:tcPr>
            <w:tcW w:w="5717" w:type="dxa"/>
            <w:tcBorders>
              <w:top w:val="nil"/>
              <w:left w:val="nil"/>
              <w:bottom w:val="single" w:color="auto" w:sz="4" w:space="0"/>
              <w:right w:val="single" w:color="auto" w:sz="4" w:space="0"/>
            </w:tcBorders>
          </w:tcPr>
          <w:p w14:paraId="61908E3C">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1.机架式标准机箱，高度≤1U；配备≥4路音频接口，≥2路莲花输入(左右声道)，≥2路莲花输出(左右声道)，≥2路6.35输入，≥2路6.35输出；≥2路卡农头输入，≥2路卡农头输出；</w:t>
            </w:r>
          </w:p>
          <w:p w14:paraId="5B26501A">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2.支持多设备堆叠扩展，且使用时互不干扰。</w:t>
            </w:r>
          </w:p>
        </w:tc>
        <w:tc>
          <w:tcPr>
            <w:tcW w:w="900" w:type="dxa"/>
            <w:tcBorders>
              <w:top w:val="nil"/>
              <w:left w:val="nil"/>
              <w:bottom w:val="single" w:color="auto" w:sz="4" w:space="0"/>
              <w:right w:val="single" w:color="auto" w:sz="4" w:space="0"/>
            </w:tcBorders>
            <w:vAlign w:val="center"/>
          </w:tcPr>
          <w:p w14:paraId="67DBE3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9C271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95993D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8E77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5F9642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集群对讲网关</w:t>
            </w:r>
          </w:p>
        </w:tc>
        <w:tc>
          <w:tcPr>
            <w:tcW w:w="5717" w:type="dxa"/>
            <w:tcBorders>
              <w:top w:val="nil"/>
              <w:left w:val="nil"/>
              <w:bottom w:val="single" w:color="auto" w:sz="4" w:space="0"/>
              <w:right w:val="single" w:color="auto" w:sz="4" w:space="0"/>
            </w:tcBorders>
          </w:tcPr>
          <w:p w14:paraId="77D4DB0B">
            <w:pPr>
              <w:widowControl/>
              <w:spacing w:line="400" w:lineRule="exact"/>
              <w:jc w:val="left"/>
              <w:rPr>
                <w:rFonts w:ascii="宋体" w:hAnsi="宋体" w:cs="Arial"/>
                <w:color w:val="auto"/>
                <w:sz w:val="18"/>
                <w:szCs w:val="18"/>
              </w:rPr>
            </w:pPr>
            <w:r>
              <w:rPr>
                <w:rFonts w:hint="eastAsia" w:ascii="宋体" w:hAnsi="宋体" w:cs="Arial"/>
                <w:color w:val="auto"/>
                <w:sz w:val="18"/>
                <w:szCs w:val="18"/>
              </w:rPr>
              <w:t>1.机架式标准机箱，高度≤1U；支持接入PDT集群系统，支持SIP协议；</w:t>
            </w:r>
          </w:p>
          <w:p w14:paraId="3D0AAC14">
            <w:pPr>
              <w:widowControl/>
              <w:spacing w:line="400" w:lineRule="exact"/>
              <w:jc w:val="left"/>
              <w:rPr>
                <w:rFonts w:ascii="宋体" w:hAnsi="宋体" w:cs="Arial"/>
                <w:color w:val="auto"/>
                <w:sz w:val="18"/>
                <w:szCs w:val="18"/>
              </w:rPr>
            </w:pPr>
            <w:r>
              <w:rPr>
                <w:rFonts w:hint="eastAsia" w:ascii="宋体" w:hAnsi="宋体" w:cs="Arial"/>
                <w:color w:val="auto"/>
                <w:sz w:val="18"/>
                <w:szCs w:val="18"/>
              </w:rPr>
              <w:t>2.窄带编码：G.711A/U、G.729A/B、iLBC、G.723.1、G.726—32K；</w:t>
            </w:r>
          </w:p>
          <w:p w14:paraId="6D03D75D">
            <w:pPr>
              <w:widowControl/>
              <w:spacing w:line="400" w:lineRule="exact"/>
              <w:jc w:val="left"/>
              <w:rPr>
                <w:rFonts w:ascii="宋体" w:hAnsi="宋体" w:cs="Arial"/>
                <w:color w:val="auto"/>
                <w:sz w:val="18"/>
                <w:szCs w:val="18"/>
              </w:rPr>
            </w:pPr>
            <w:r>
              <w:rPr>
                <w:rFonts w:hint="eastAsia" w:ascii="宋体" w:hAnsi="宋体" w:cs="Arial"/>
                <w:color w:val="auto"/>
                <w:sz w:val="18"/>
                <w:szCs w:val="18"/>
              </w:rPr>
              <w:t>3.宽带编码：G.722，Opus；</w:t>
            </w:r>
          </w:p>
          <w:p w14:paraId="4AAA3848">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4.支持自动接听通话(自动应答)；支持快速拨号；</w:t>
            </w:r>
          </w:p>
          <w:p w14:paraId="0594F2DC">
            <w:pPr>
              <w:widowControl/>
              <w:spacing w:line="400" w:lineRule="exact"/>
              <w:jc w:val="left"/>
              <w:rPr>
                <w:rFonts w:ascii="宋体" w:hAnsi="宋体" w:cs="Arial"/>
                <w:color w:val="auto"/>
                <w:sz w:val="18"/>
                <w:szCs w:val="18"/>
              </w:rPr>
            </w:pPr>
            <w:r>
              <w:rPr>
                <w:rFonts w:hint="eastAsia" w:ascii="宋体" w:hAnsi="宋体" w:cs="Arial"/>
                <w:color w:val="auto"/>
                <w:sz w:val="18"/>
                <w:szCs w:val="18"/>
              </w:rPr>
              <w:t>5.可通过WEB界面管理配置；</w:t>
            </w:r>
          </w:p>
          <w:p w14:paraId="27F38444">
            <w:pPr>
              <w:widowControl/>
              <w:spacing w:line="400" w:lineRule="exact"/>
              <w:jc w:val="left"/>
              <w:rPr>
                <w:rFonts w:ascii="宋体" w:hAnsi="宋体" w:cs="Arial"/>
                <w:color w:val="auto"/>
                <w:sz w:val="18"/>
                <w:szCs w:val="18"/>
              </w:rPr>
            </w:pPr>
            <w:r>
              <w:rPr>
                <w:rFonts w:hint="eastAsia" w:ascii="宋体" w:hAnsi="宋体" w:cs="Arial"/>
                <w:color w:val="auto"/>
                <w:sz w:val="18"/>
                <w:szCs w:val="18"/>
              </w:rPr>
              <w:t>6.配有USB接口以及TF卡槽，用于数据存储或离线升级；</w:t>
            </w:r>
          </w:p>
          <w:p w14:paraId="7B562935">
            <w:pPr>
              <w:widowControl/>
              <w:spacing w:line="400" w:lineRule="exact"/>
              <w:jc w:val="left"/>
              <w:rPr>
                <w:rFonts w:ascii="宋体" w:hAnsi="宋体" w:cs="Arial"/>
                <w:color w:val="auto"/>
                <w:sz w:val="18"/>
                <w:szCs w:val="18"/>
              </w:rPr>
            </w:pPr>
            <w:r>
              <w:rPr>
                <w:rFonts w:hint="eastAsia" w:ascii="宋体" w:hAnsi="宋体" w:cs="Arial"/>
                <w:color w:val="auto"/>
                <w:sz w:val="18"/>
                <w:szCs w:val="18"/>
              </w:rPr>
              <w:t>7.配有SMA集群对讲天线接口及配套天线；机箱面板配有状态指示灯(如电源指示、SIP 通话状态、对讲机通话状态等)；</w:t>
            </w:r>
          </w:p>
          <w:p w14:paraId="228C56DC">
            <w:pPr>
              <w:widowControl/>
              <w:spacing w:line="400" w:lineRule="exact"/>
              <w:jc w:val="left"/>
              <w:rPr>
                <w:rFonts w:ascii="宋体" w:hAnsi="宋体" w:cs="Arial"/>
                <w:color w:val="auto"/>
                <w:sz w:val="18"/>
                <w:szCs w:val="18"/>
              </w:rPr>
            </w:pPr>
            <w:r>
              <w:rPr>
                <w:rFonts w:hint="eastAsia" w:ascii="宋体" w:hAnsi="宋体" w:cs="Arial"/>
                <w:color w:val="auto"/>
                <w:sz w:val="18"/>
                <w:szCs w:val="18"/>
              </w:rPr>
              <w:t>8.需配备≥32G存储卡。</w:t>
            </w:r>
          </w:p>
        </w:tc>
        <w:tc>
          <w:tcPr>
            <w:tcW w:w="900" w:type="dxa"/>
            <w:tcBorders>
              <w:top w:val="nil"/>
              <w:left w:val="nil"/>
              <w:bottom w:val="single" w:color="auto" w:sz="4" w:space="0"/>
              <w:right w:val="single" w:color="auto" w:sz="4" w:space="0"/>
            </w:tcBorders>
            <w:vAlign w:val="center"/>
          </w:tcPr>
          <w:p w14:paraId="7CED00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B4677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717547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8869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6854A1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 IP 话机</w:t>
            </w:r>
          </w:p>
        </w:tc>
        <w:tc>
          <w:tcPr>
            <w:tcW w:w="5717" w:type="dxa"/>
            <w:tcBorders>
              <w:top w:val="nil"/>
              <w:left w:val="nil"/>
              <w:bottom w:val="single" w:color="auto" w:sz="4" w:space="0"/>
              <w:right w:val="single" w:color="auto" w:sz="4" w:space="0"/>
            </w:tcBorders>
            <w:vAlign w:val="center"/>
          </w:tcPr>
          <w:p w14:paraId="15A4ECB0">
            <w:pPr>
              <w:widowControl/>
              <w:spacing w:line="400" w:lineRule="exact"/>
              <w:jc w:val="left"/>
              <w:rPr>
                <w:rFonts w:ascii="宋体" w:hAnsi="宋体" w:cs="Arial"/>
                <w:color w:val="auto"/>
                <w:sz w:val="18"/>
                <w:szCs w:val="18"/>
              </w:rPr>
            </w:pPr>
            <w:r>
              <w:rPr>
                <w:rFonts w:hint="eastAsia" w:ascii="宋体" w:hAnsi="宋体" w:cs="Arial"/>
                <w:color w:val="auto"/>
                <w:sz w:val="18"/>
                <w:szCs w:val="18"/>
              </w:rPr>
              <w:t>1.视频格式支持720P/VGA/QCIF/CIF，视频编解码支持H.264；图片格式支持JPEG、PNG、BMP；语音编解码支持G.711(A/µ)、G.729A/B、G.726、G.723.1、iLBC；</w:t>
            </w:r>
          </w:p>
          <w:p w14:paraId="1AABBDBE">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2.配备≥7英寸彩色触控显示屏；配备≥2个USB接口；≥2个千兆网口；≥1个RJ—9手柄接口；≥1个耳机接口；</w:t>
            </w:r>
          </w:p>
          <w:p w14:paraId="54D7D758">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3.支持POE供电；支持蓝牙(可接入无线耳机)；</w:t>
            </w:r>
          </w:p>
          <w:p w14:paraId="30273683">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4.支持通话录音；支持音频通话、视频通话、呼叫保持、呼叫转移、通话排队(如来电呼叫、去电呼叫、通话中呼叫)等；</w:t>
            </w:r>
          </w:p>
          <w:p w14:paraId="11BF0E5B">
            <w:pPr>
              <w:widowControl/>
              <w:spacing w:line="400" w:lineRule="exact"/>
              <w:jc w:val="left"/>
              <w:rPr>
                <w:rFonts w:ascii="宋体" w:hAnsi="宋体" w:cs="Arial"/>
                <w:color w:val="auto"/>
                <w:sz w:val="18"/>
                <w:szCs w:val="18"/>
              </w:rPr>
            </w:pPr>
            <w:r>
              <w:rPr>
                <w:rFonts w:hint="eastAsia" w:ascii="宋体" w:hAnsi="宋体" w:cs="Arial"/>
                <w:color w:val="auto"/>
                <w:sz w:val="18"/>
                <w:szCs w:val="18"/>
              </w:rPr>
              <w:t>5.配备1080p高清视频摄像头；支持插拔，即插即用；摄像头角度可调整。</w:t>
            </w:r>
          </w:p>
        </w:tc>
        <w:tc>
          <w:tcPr>
            <w:tcW w:w="900" w:type="dxa"/>
            <w:tcBorders>
              <w:top w:val="nil"/>
              <w:left w:val="nil"/>
              <w:bottom w:val="single" w:color="auto" w:sz="4" w:space="0"/>
              <w:right w:val="single" w:color="auto" w:sz="4" w:space="0"/>
            </w:tcBorders>
            <w:vAlign w:val="center"/>
          </w:tcPr>
          <w:p w14:paraId="69967A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CF67C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02339D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00F9066">
            <w:pPr>
              <w:widowControl/>
              <w:spacing w:line="400" w:lineRule="exact"/>
              <w:rPr>
                <w:rFonts w:ascii="宋体" w:hAnsi="宋体" w:cs="Arial"/>
                <w:color w:val="auto"/>
                <w:sz w:val="18"/>
                <w:szCs w:val="18"/>
              </w:rPr>
            </w:pPr>
            <w:r>
              <w:rPr>
                <w:rFonts w:hint="eastAsia" w:ascii="宋体" w:hAnsi="宋体" w:cs="Arial"/>
                <w:color w:val="auto"/>
                <w:sz w:val="18"/>
                <w:szCs w:val="18"/>
              </w:rPr>
              <w:t>显示大屏</w:t>
            </w:r>
          </w:p>
        </w:tc>
      </w:tr>
      <w:tr w14:paraId="5273E36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700F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0071A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显示大屏</w:t>
            </w:r>
          </w:p>
        </w:tc>
        <w:tc>
          <w:tcPr>
            <w:tcW w:w="5717" w:type="dxa"/>
            <w:tcBorders>
              <w:top w:val="nil"/>
              <w:left w:val="nil"/>
              <w:bottom w:val="single" w:color="auto" w:sz="4" w:space="0"/>
              <w:right w:val="single" w:color="auto" w:sz="4" w:space="0"/>
            </w:tcBorders>
            <w:vAlign w:val="center"/>
          </w:tcPr>
          <w:p w14:paraId="51D97965">
            <w:pPr>
              <w:widowControl/>
              <w:spacing w:line="400" w:lineRule="exact"/>
              <w:rPr>
                <w:rFonts w:ascii="宋体" w:hAnsi="宋体" w:cs="Arial"/>
                <w:color w:val="auto"/>
                <w:sz w:val="18"/>
                <w:szCs w:val="18"/>
              </w:rPr>
            </w:pPr>
            <w:r>
              <w:rPr>
                <w:rFonts w:hint="eastAsia" w:ascii="宋体" w:hAnsi="宋体" w:cs="Arial"/>
                <w:color w:val="auto"/>
                <w:sz w:val="18"/>
                <w:szCs w:val="18"/>
              </w:rPr>
              <w:t>▲1.采用表贴三合一纯黑灯技术，像素点间距≤1.25mm，像素密度≥640000点/㎡；(提供带有CMA或CNAS标识的第三方权威检测机构出具的检测报告扫描件证明)</w:t>
            </w:r>
          </w:p>
          <w:p w14:paraId="343346CE">
            <w:pPr>
              <w:widowControl/>
              <w:spacing w:line="400" w:lineRule="exact"/>
              <w:rPr>
                <w:rFonts w:ascii="宋体" w:hAnsi="宋体" w:cs="Arial"/>
                <w:color w:val="auto"/>
                <w:sz w:val="18"/>
                <w:szCs w:val="18"/>
              </w:rPr>
            </w:pPr>
            <w:r>
              <w:rPr>
                <w:rFonts w:hint="eastAsia" w:ascii="宋体" w:hAnsi="宋体" w:cs="Arial"/>
                <w:color w:val="auto"/>
                <w:sz w:val="18"/>
                <w:szCs w:val="18"/>
              </w:rPr>
              <w:t>2.LED主动式发光，1R1G1B像素组成排列，竖向线性排列；</w:t>
            </w:r>
          </w:p>
          <w:p w14:paraId="05D5E8B7">
            <w:pPr>
              <w:widowControl/>
              <w:spacing w:line="400" w:lineRule="exact"/>
              <w:rPr>
                <w:rFonts w:ascii="宋体" w:hAnsi="宋体" w:cs="Arial"/>
                <w:color w:val="auto"/>
                <w:sz w:val="18"/>
                <w:szCs w:val="18"/>
              </w:rPr>
            </w:pPr>
            <w:r>
              <w:rPr>
                <w:rFonts w:hint="eastAsia" w:ascii="宋体" w:hAnsi="宋体" w:cs="Arial"/>
                <w:color w:val="auto"/>
                <w:sz w:val="18"/>
                <w:szCs w:val="18"/>
              </w:rPr>
              <w:t>3.平整度≤0.05mm；亮度≥600cd/㎡，支持0~100%可调；亮度均匀性≥98%；色温范围2000K~9000K(可调)，色域≥110%NTSC；</w:t>
            </w:r>
          </w:p>
          <w:p w14:paraId="08EFD8C8">
            <w:pPr>
              <w:widowControl/>
              <w:spacing w:line="400" w:lineRule="exact"/>
              <w:rPr>
                <w:rFonts w:ascii="宋体" w:hAnsi="宋体" w:cs="Arial"/>
                <w:color w:val="auto"/>
                <w:sz w:val="18"/>
                <w:szCs w:val="18"/>
              </w:rPr>
            </w:pPr>
            <w:r>
              <w:rPr>
                <w:rFonts w:hint="eastAsia" w:ascii="宋体" w:hAnsi="宋体" w:cs="Arial"/>
                <w:color w:val="auto"/>
                <w:sz w:val="18"/>
                <w:szCs w:val="18"/>
              </w:rPr>
              <w:t>4.支持低亮高灰显示，灰度等级可自动调节，最高可达16bits；</w:t>
            </w:r>
          </w:p>
          <w:p w14:paraId="0BDD954E">
            <w:pPr>
              <w:widowControl/>
              <w:spacing w:line="400" w:lineRule="exact"/>
              <w:rPr>
                <w:rFonts w:ascii="宋体" w:hAnsi="宋体" w:cs="Arial"/>
                <w:color w:val="auto"/>
                <w:sz w:val="18"/>
                <w:szCs w:val="18"/>
              </w:rPr>
            </w:pPr>
            <w:r>
              <w:rPr>
                <w:rFonts w:hint="eastAsia" w:ascii="宋体" w:hAnsi="宋体" w:cs="Arial"/>
                <w:color w:val="auto"/>
                <w:sz w:val="18"/>
                <w:szCs w:val="18"/>
              </w:rPr>
              <w:t>▲5.刷新率≥3840Hz，支持通过控制软件调节刷新率；对比度≥8000：1；画面延时≤1ms；响应时间为纳秒级，不拖尾无鬼影；(提供带有CMA或CNAS标识的第三方权威检测机构出具的检测报告扫描件证明)</w:t>
            </w:r>
          </w:p>
          <w:p w14:paraId="2697DB82">
            <w:pPr>
              <w:widowControl/>
              <w:spacing w:line="400" w:lineRule="exact"/>
              <w:rPr>
                <w:rFonts w:ascii="宋体" w:hAnsi="宋体" w:cs="Arial"/>
                <w:color w:val="auto"/>
                <w:sz w:val="18"/>
                <w:szCs w:val="18"/>
              </w:rPr>
            </w:pPr>
            <w:r>
              <w:rPr>
                <w:rFonts w:hint="eastAsia" w:ascii="宋体" w:hAnsi="宋体" w:cs="Arial"/>
                <w:color w:val="auto"/>
                <w:sz w:val="18"/>
                <w:szCs w:val="18"/>
              </w:rPr>
              <w:t>▲6.支持HDR显示；支持防蓝光护眼光，生物安全及蓝光危害评估测试符合无危害类要求(豁免级)；坏点率≤1/100000，具有坏点监测功能，支持自动告警；防护等级≥IP68；(提供带有CMA或CNAS标识的第三方权威检测机构出具的检测报告扫描件证明)</w:t>
            </w:r>
          </w:p>
          <w:p w14:paraId="10FFF5BB">
            <w:pPr>
              <w:widowControl/>
              <w:spacing w:line="400" w:lineRule="exact"/>
              <w:rPr>
                <w:rFonts w:ascii="宋体" w:hAnsi="宋体" w:cs="Arial"/>
                <w:color w:val="auto"/>
                <w:sz w:val="18"/>
                <w:szCs w:val="18"/>
              </w:rPr>
            </w:pPr>
            <w:r>
              <w:rPr>
                <w:rFonts w:hint="eastAsia" w:ascii="宋体" w:hAnsi="宋体" w:cs="Arial"/>
                <w:color w:val="auto"/>
                <w:sz w:val="18"/>
                <w:szCs w:val="18"/>
              </w:rPr>
              <w:t>7.平均无故障工作时间≥20万小时，平均修复时间≤5分钟；</w:t>
            </w:r>
          </w:p>
          <w:p w14:paraId="216C91DA">
            <w:pPr>
              <w:widowControl/>
              <w:spacing w:line="400" w:lineRule="exact"/>
              <w:rPr>
                <w:rFonts w:ascii="宋体" w:hAnsi="宋体" w:cs="Arial"/>
                <w:color w:val="auto"/>
                <w:sz w:val="18"/>
                <w:szCs w:val="18"/>
              </w:rPr>
            </w:pPr>
            <w:r>
              <w:rPr>
                <w:rFonts w:hint="eastAsia" w:ascii="宋体" w:hAnsi="宋体" w:cs="Arial"/>
                <w:color w:val="auto"/>
                <w:sz w:val="18"/>
                <w:szCs w:val="18"/>
              </w:rPr>
              <w:t>8.采用无风扇静音电源，可7×24h连续工作；</w:t>
            </w:r>
          </w:p>
          <w:p w14:paraId="4D19BD8D">
            <w:pPr>
              <w:widowControl/>
              <w:spacing w:line="400" w:lineRule="exact"/>
              <w:rPr>
                <w:rFonts w:ascii="宋体" w:hAnsi="宋体" w:cs="Arial"/>
                <w:color w:val="auto"/>
                <w:sz w:val="18"/>
                <w:szCs w:val="18"/>
              </w:rPr>
            </w:pPr>
            <w:r>
              <w:rPr>
                <w:rFonts w:hint="eastAsia" w:ascii="宋体" w:hAnsi="宋体" w:cs="Arial"/>
                <w:color w:val="auto"/>
                <w:sz w:val="18"/>
                <w:szCs w:val="18"/>
              </w:rPr>
              <w:t>9.盐雾测试无锈蚀；通过振动试验、冲击测试；通过着火危险试验；</w:t>
            </w:r>
          </w:p>
          <w:p w14:paraId="0CC9DE1C">
            <w:pPr>
              <w:widowControl/>
              <w:spacing w:line="400" w:lineRule="exact"/>
              <w:rPr>
                <w:rFonts w:ascii="宋体" w:hAnsi="宋体" w:cs="Arial"/>
                <w:color w:val="auto"/>
                <w:sz w:val="18"/>
                <w:szCs w:val="18"/>
              </w:rPr>
            </w:pPr>
            <w:r>
              <w:rPr>
                <w:rFonts w:hint="eastAsia" w:ascii="宋体" w:hAnsi="宋体" w:cs="Arial"/>
                <w:color w:val="auto"/>
                <w:sz w:val="18"/>
                <w:szCs w:val="18"/>
              </w:rPr>
              <w:t>▲10.通过节能产品认证(提供认证证书扫描件证明)；通过国家强制性产品认证（提供3C认证证书扫描件证明）；</w:t>
            </w:r>
          </w:p>
          <w:p w14:paraId="2A529275">
            <w:pPr>
              <w:widowControl/>
              <w:spacing w:line="400" w:lineRule="exact"/>
              <w:rPr>
                <w:rFonts w:ascii="宋体" w:hAnsi="宋体" w:cs="Arial"/>
                <w:color w:val="auto"/>
                <w:sz w:val="18"/>
                <w:szCs w:val="18"/>
              </w:rPr>
            </w:pPr>
            <w:r>
              <w:rPr>
                <w:rFonts w:hint="eastAsia" w:ascii="宋体" w:hAnsi="宋体" w:cs="Arial"/>
                <w:color w:val="auto"/>
                <w:sz w:val="18"/>
                <w:szCs w:val="18"/>
              </w:rPr>
              <w:t>▲11.投标产品制造商需具有商品售后服务认证证书(符合标准GB/T 27922要求)、信息技术服务管理体系认证证书(符合标准ISO/IEC 20000-1要求)。(提供认证证书扫描件证明)</w:t>
            </w:r>
          </w:p>
          <w:p w14:paraId="6B5941DD">
            <w:pPr>
              <w:widowControl/>
              <w:spacing w:line="400" w:lineRule="exact"/>
              <w:rPr>
                <w:rFonts w:ascii="宋体" w:hAnsi="宋体" w:cs="Arial"/>
                <w:color w:val="auto"/>
                <w:sz w:val="18"/>
                <w:szCs w:val="18"/>
              </w:rPr>
            </w:pPr>
          </w:p>
          <w:p w14:paraId="5B940019">
            <w:pPr>
              <w:widowControl/>
              <w:spacing w:line="400" w:lineRule="exact"/>
              <w:rPr>
                <w:rFonts w:ascii="宋体" w:hAnsi="宋体" w:cs="Arial"/>
                <w:color w:val="auto"/>
                <w:sz w:val="18"/>
                <w:szCs w:val="18"/>
              </w:rPr>
            </w:pPr>
            <w:r>
              <w:rPr>
                <w:rFonts w:hint="eastAsia" w:ascii="宋体" w:hAnsi="宋体" w:cs="Arial"/>
                <w:color w:val="auto"/>
                <w:sz w:val="18"/>
                <w:szCs w:val="18"/>
              </w:rPr>
              <w:t>需包含壁挂安装、系统调试等服务。</w:t>
            </w:r>
          </w:p>
        </w:tc>
        <w:tc>
          <w:tcPr>
            <w:tcW w:w="900" w:type="dxa"/>
            <w:tcBorders>
              <w:top w:val="nil"/>
              <w:left w:val="nil"/>
              <w:bottom w:val="single" w:color="auto" w:sz="4" w:space="0"/>
              <w:right w:val="single" w:color="auto" w:sz="4" w:space="0"/>
            </w:tcBorders>
            <w:vAlign w:val="center"/>
          </w:tcPr>
          <w:p w14:paraId="57D4B8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22.94 </w:t>
            </w:r>
          </w:p>
        </w:tc>
        <w:tc>
          <w:tcPr>
            <w:tcW w:w="849" w:type="dxa"/>
            <w:gridSpan w:val="2"/>
            <w:tcBorders>
              <w:top w:val="nil"/>
              <w:left w:val="nil"/>
              <w:bottom w:val="single" w:color="auto" w:sz="4" w:space="0"/>
              <w:right w:val="single" w:color="auto" w:sz="4" w:space="0"/>
            </w:tcBorders>
            <w:vAlign w:val="center"/>
          </w:tcPr>
          <w:p w14:paraId="16C9B0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m2</w:t>
            </w:r>
          </w:p>
        </w:tc>
      </w:tr>
      <w:tr w14:paraId="0522425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E6AE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6D42D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接收卡</w:t>
            </w:r>
          </w:p>
        </w:tc>
        <w:tc>
          <w:tcPr>
            <w:tcW w:w="5717" w:type="dxa"/>
            <w:tcBorders>
              <w:top w:val="nil"/>
              <w:left w:val="nil"/>
              <w:bottom w:val="single" w:color="auto" w:sz="4" w:space="0"/>
              <w:right w:val="single" w:color="auto" w:sz="4" w:space="0"/>
            </w:tcBorders>
            <w:vAlign w:val="center"/>
          </w:tcPr>
          <w:p w14:paraId="143795B3">
            <w:pPr>
              <w:widowControl/>
              <w:spacing w:line="400" w:lineRule="exact"/>
              <w:rPr>
                <w:rFonts w:ascii="宋体" w:hAnsi="宋体" w:cs="Arial"/>
                <w:color w:val="auto"/>
                <w:sz w:val="18"/>
                <w:szCs w:val="18"/>
              </w:rPr>
            </w:pPr>
            <w:r>
              <w:rPr>
                <w:rFonts w:hint="eastAsia" w:ascii="宋体" w:hAnsi="宋体" w:cs="Arial"/>
                <w:color w:val="auto"/>
                <w:sz w:val="18"/>
                <w:szCs w:val="18"/>
              </w:rPr>
              <w:t>1.单卡带载≥512×512像素，支持≥24组RGB并行数据；</w:t>
            </w:r>
          </w:p>
          <w:p w14:paraId="69D6D39A">
            <w:pPr>
              <w:widowControl/>
              <w:spacing w:line="400" w:lineRule="exact"/>
              <w:rPr>
                <w:rFonts w:ascii="宋体" w:hAnsi="宋体" w:cs="Arial"/>
                <w:color w:val="auto"/>
                <w:sz w:val="18"/>
                <w:szCs w:val="18"/>
              </w:rPr>
            </w:pPr>
            <w:r>
              <w:rPr>
                <w:rFonts w:hint="eastAsia" w:ascii="宋体" w:hAnsi="宋体" w:cs="Arial"/>
                <w:color w:val="auto"/>
                <w:sz w:val="18"/>
                <w:szCs w:val="18"/>
              </w:rPr>
              <w:t>2.支持色彩管理，可在多个色域间切换；</w:t>
            </w:r>
          </w:p>
          <w:p w14:paraId="70E945DF">
            <w:pPr>
              <w:widowControl/>
              <w:spacing w:line="400" w:lineRule="exact"/>
              <w:rPr>
                <w:rFonts w:ascii="宋体" w:hAnsi="宋体" w:cs="Arial"/>
                <w:color w:val="auto"/>
                <w:sz w:val="18"/>
                <w:szCs w:val="18"/>
              </w:rPr>
            </w:pPr>
            <w:r>
              <w:rPr>
                <w:rFonts w:hint="eastAsia" w:ascii="宋体" w:hAnsi="宋体" w:cs="Arial"/>
                <w:color w:val="auto"/>
                <w:sz w:val="18"/>
                <w:szCs w:val="18"/>
              </w:rPr>
              <w:t>3.配备≥12个HUB75接口；</w:t>
            </w:r>
          </w:p>
          <w:p w14:paraId="39819501">
            <w:pPr>
              <w:widowControl/>
              <w:spacing w:line="400" w:lineRule="exact"/>
              <w:rPr>
                <w:rFonts w:ascii="宋体" w:hAnsi="宋体" w:cs="Arial"/>
                <w:color w:val="auto"/>
                <w:sz w:val="18"/>
                <w:szCs w:val="18"/>
              </w:rPr>
            </w:pPr>
            <w:r>
              <w:rPr>
                <w:rFonts w:hint="eastAsia" w:ascii="宋体" w:hAnsi="宋体" w:cs="Arial"/>
                <w:color w:val="auto"/>
                <w:sz w:val="18"/>
                <w:szCs w:val="18"/>
              </w:rPr>
              <w:t>4.支持逐点亮色度校正；支持亮暗线调节；</w:t>
            </w:r>
          </w:p>
          <w:p w14:paraId="5728551C">
            <w:pPr>
              <w:widowControl/>
              <w:spacing w:line="400" w:lineRule="exact"/>
              <w:rPr>
                <w:rFonts w:ascii="宋体" w:hAnsi="宋体" w:cs="Arial"/>
                <w:color w:val="auto"/>
                <w:sz w:val="18"/>
                <w:szCs w:val="18"/>
              </w:rPr>
            </w:pPr>
            <w:r>
              <w:rPr>
                <w:rFonts w:hint="eastAsia" w:ascii="宋体" w:hAnsi="宋体" w:cs="Arial"/>
                <w:color w:val="auto"/>
                <w:sz w:val="18"/>
                <w:szCs w:val="18"/>
              </w:rPr>
              <w:t>5.支持裸眼3D功能；</w:t>
            </w:r>
          </w:p>
          <w:p w14:paraId="17B1C66E">
            <w:pPr>
              <w:widowControl/>
              <w:spacing w:line="400" w:lineRule="exact"/>
              <w:rPr>
                <w:rFonts w:ascii="宋体" w:hAnsi="宋体" w:cs="Arial"/>
                <w:color w:val="auto"/>
                <w:sz w:val="18"/>
                <w:szCs w:val="18"/>
              </w:rPr>
            </w:pPr>
            <w:r>
              <w:rPr>
                <w:rFonts w:hint="eastAsia" w:ascii="宋体" w:hAnsi="宋体" w:cs="Arial"/>
                <w:color w:val="auto"/>
                <w:sz w:val="18"/>
                <w:szCs w:val="18"/>
              </w:rPr>
              <w:t>6.支持预存画面设置，可将指定图片设为开机、断网或无信号时的画面；</w:t>
            </w:r>
          </w:p>
          <w:p w14:paraId="5E853712">
            <w:pPr>
              <w:widowControl/>
              <w:spacing w:line="400" w:lineRule="exact"/>
              <w:rPr>
                <w:rFonts w:ascii="宋体" w:hAnsi="宋体" w:cs="Arial"/>
                <w:color w:val="auto"/>
                <w:sz w:val="18"/>
                <w:szCs w:val="18"/>
              </w:rPr>
            </w:pPr>
            <w:r>
              <w:rPr>
                <w:rFonts w:hint="eastAsia" w:ascii="宋体" w:hAnsi="宋体" w:cs="Arial"/>
                <w:color w:val="auto"/>
                <w:sz w:val="18"/>
                <w:szCs w:val="18"/>
              </w:rPr>
              <w:t>7.可监测自身的温度和电压；</w:t>
            </w:r>
          </w:p>
          <w:p w14:paraId="5C3D120D">
            <w:pPr>
              <w:widowControl/>
              <w:spacing w:line="400" w:lineRule="exact"/>
              <w:rPr>
                <w:rFonts w:ascii="宋体" w:hAnsi="宋体" w:cs="Arial"/>
                <w:color w:val="auto"/>
                <w:sz w:val="18"/>
                <w:szCs w:val="18"/>
              </w:rPr>
            </w:pPr>
            <w:r>
              <w:rPr>
                <w:rFonts w:hint="eastAsia" w:ascii="宋体" w:hAnsi="宋体" w:cs="Arial"/>
                <w:color w:val="auto"/>
                <w:sz w:val="18"/>
                <w:szCs w:val="18"/>
              </w:rPr>
              <w:t>8.可检测发送设备与接收卡间或接收卡与接收卡间的通讯质量；</w:t>
            </w:r>
          </w:p>
          <w:p w14:paraId="34DAB372">
            <w:pPr>
              <w:widowControl/>
              <w:spacing w:line="400" w:lineRule="exact"/>
              <w:rPr>
                <w:rFonts w:ascii="宋体" w:hAnsi="宋体" w:cs="Arial"/>
                <w:color w:val="auto"/>
                <w:sz w:val="18"/>
                <w:szCs w:val="18"/>
              </w:rPr>
            </w:pPr>
            <w:r>
              <w:rPr>
                <w:rFonts w:hint="eastAsia" w:ascii="宋体" w:hAnsi="宋体" w:cs="Arial"/>
                <w:color w:val="auto"/>
                <w:sz w:val="18"/>
                <w:szCs w:val="18"/>
              </w:rPr>
              <w:t>9.支持主备网络冗余，遇到故障可自动切换。</w:t>
            </w:r>
          </w:p>
        </w:tc>
        <w:tc>
          <w:tcPr>
            <w:tcW w:w="900" w:type="dxa"/>
            <w:tcBorders>
              <w:top w:val="nil"/>
              <w:left w:val="nil"/>
              <w:bottom w:val="single" w:color="auto" w:sz="4" w:space="0"/>
              <w:right w:val="single" w:color="auto" w:sz="4" w:space="0"/>
            </w:tcBorders>
            <w:vAlign w:val="center"/>
          </w:tcPr>
          <w:p w14:paraId="4522F9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84.00 </w:t>
            </w:r>
          </w:p>
        </w:tc>
        <w:tc>
          <w:tcPr>
            <w:tcW w:w="849" w:type="dxa"/>
            <w:gridSpan w:val="2"/>
            <w:tcBorders>
              <w:top w:val="nil"/>
              <w:left w:val="nil"/>
              <w:bottom w:val="single" w:color="auto" w:sz="4" w:space="0"/>
              <w:right w:val="single" w:color="auto" w:sz="4" w:space="0"/>
            </w:tcBorders>
            <w:vAlign w:val="center"/>
          </w:tcPr>
          <w:p w14:paraId="69C6A7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张</w:t>
            </w:r>
          </w:p>
        </w:tc>
      </w:tr>
      <w:tr w14:paraId="63A52E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E56FB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9F6D6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LED 电源模块</w:t>
            </w:r>
          </w:p>
        </w:tc>
        <w:tc>
          <w:tcPr>
            <w:tcW w:w="5717" w:type="dxa"/>
            <w:tcBorders>
              <w:top w:val="nil"/>
              <w:left w:val="nil"/>
              <w:bottom w:val="single" w:color="auto" w:sz="4" w:space="0"/>
              <w:right w:val="single" w:color="auto" w:sz="4" w:space="0"/>
            </w:tcBorders>
            <w:vAlign w:val="center"/>
          </w:tcPr>
          <w:p w14:paraId="118649CF">
            <w:pPr>
              <w:widowControl/>
              <w:spacing w:line="400" w:lineRule="exact"/>
              <w:rPr>
                <w:rFonts w:ascii="宋体" w:hAnsi="宋体" w:cs="Arial"/>
                <w:color w:val="auto"/>
                <w:sz w:val="18"/>
                <w:szCs w:val="18"/>
              </w:rPr>
            </w:pPr>
            <w:r>
              <w:rPr>
                <w:rFonts w:hint="eastAsia" w:ascii="宋体" w:hAnsi="宋体" w:cs="Arial"/>
                <w:color w:val="auto"/>
                <w:sz w:val="18"/>
                <w:szCs w:val="18"/>
              </w:rPr>
              <w:t>1.输入电压支持100-240V(AC)；</w:t>
            </w:r>
          </w:p>
          <w:p w14:paraId="53A7534A">
            <w:pPr>
              <w:widowControl/>
              <w:spacing w:line="400" w:lineRule="exact"/>
              <w:rPr>
                <w:rFonts w:ascii="宋体" w:hAnsi="宋体" w:cs="Arial"/>
                <w:color w:val="auto"/>
                <w:sz w:val="18"/>
                <w:szCs w:val="18"/>
              </w:rPr>
            </w:pPr>
            <w:r>
              <w:rPr>
                <w:rFonts w:hint="eastAsia" w:ascii="宋体" w:hAnsi="宋体" w:cs="Arial"/>
                <w:color w:val="auto"/>
                <w:sz w:val="18"/>
                <w:szCs w:val="18"/>
              </w:rPr>
              <w:t>2.支持输入欠压，过温，过载，短路，过压等保护；</w:t>
            </w:r>
          </w:p>
          <w:p w14:paraId="4D86A540">
            <w:pPr>
              <w:widowControl/>
              <w:spacing w:line="400" w:lineRule="exact"/>
              <w:rPr>
                <w:rFonts w:ascii="宋体" w:hAnsi="宋体" w:cs="Arial"/>
                <w:color w:val="auto"/>
                <w:sz w:val="18"/>
                <w:szCs w:val="18"/>
              </w:rPr>
            </w:pPr>
            <w:r>
              <w:rPr>
                <w:rFonts w:hint="eastAsia" w:ascii="宋体" w:hAnsi="宋体" w:cs="Arial"/>
                <w:color w:val="auto"/>
                <w:sz w:val="18"/>
                <w:szCs w:val="18"/>
              </w:rPr>
              <w:t>3.通过风冷散热。</w:t>
            </w:r>
          </w:p>
        </w:tc>
        <w:tc>
          <w:tcPr>
            <w:tcW w:w="900" w:type="dxa"/>
            <w:tcBorders>
              <w:top w:val="nil"/>
              <w:left w:val="nil"/>
              <w:bottom w:val="single" w:color="auto" w:sz="4" w:space="0"/>
              <w:right w:val="single" w:color="auto" w:sz="4" w:space="0"/>
            </w:tcBorders>
            <w:vAlign w:val="center"/>
          </w:tcPr>
          <w:p w14:paraId="417E6B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112.00 </w:t>
            </w:r>
          </w:p>
        </w:tc>
        <w:tc>
          <w:tcPr>
            <w:tcW w:w="849" w:type="dxa"/>
            <w:gridSpan w:val="2"/>
            <w:tcBorders>
              <w:top w:val="nil"/>
              <w:left w:val="nil"/>
              <w:bottom w:val="single" w:color="auto" w:sz="4" w:space="0"/>
              <w:right w:val="single" w:color="auto" w:sz="4" w:space="0"/>
            </w:tcBorders>
            <w:vAlign w:val="center"/>
          </w:tcPr>
          <w:p w14:paraId="29DECE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FD494A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01B6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3BE98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大屏图像处理系统</w:t>
            </w:r>
          </w:p>
        </w:tc>
        <w:tc>
          <w:tcPr>
            <w:tcW w:w="5717" w:type="dxa"/>
            <w:tcBorders>
              <w:top w:val="nil"/>
              <w:left w:val="nil"/>
              <w:bottom w:val="single" w:color="auto" w:sz="4" w:space="0"/>
              <w:right w:val="single" w:color="auto" w:sz="4" w:space="0"/>
            </w:tcBorders>
            <w:vAlign w:val="center"/>
          </w:tcPr>
          <w:p w14:paraId="22C61588">
            <w:pPr>
              <w:widowControl/>
              <w:spacing w:line="400" w:lineRule="exact"/>
              <w:rPr>
                <w:rFonts w:ascii="宋体" w:hAnsi="宋体" w:cs="Arial"/>
                <w:color w:val="auto"/>
                <w:sz w:val="18"/>
                <w:szCs w:val="18"/>
              </w:rPr>
            </w:pPr>
            <w:r>
              <w:rPr>
                <w:rFonts w:hint="eastAsia" w:ascii="宋体" w:hAnsi="宋体" w:cs="Arial"/>
                <w:color w:val="auto"/>
                <w:sz w:val="18"/>
                <w:szCs w:val="18"/>
              </w:rPr>
              <w:t>1.标准机架式机箱，采用纯硬件插卡式结构；</w:t>
            </w:r>
          </w:p>
          <w:p w14:paraId="151E51AE">
            <w:pPr>
              <w:widowControl/>
              <w:spacing w:line="400" w:lineRule="exact"/>
              <w:rPr>
                <w:rFonts w:ascii="宋体" w:hAnsi="宋体" w:cs="Arial"/>
                <w:color w:val="auto"/>
                <w:sz w:val="18"/>
                <w:szCs w:val="18"/>
              </w:rPr>
            </w:pPr>
            <w:r>
              <w:rPr>
                <w:rFonts w:hint="eastAsia" w:ascii="宋体" w:hAnsi="宋体" w:cs="Arial"/>
                <w:color w:val="auto"/>
                <w:sz w:val="18"/>
                <w:szCs w:val="18"/>
              </w:rPr>
              <w:t>2.内置液晶屏，可实现设备状态监测；</w:t>
            </w:r>
          </w:p>
          <w:p w14:paraId="237D2799">
            <w:pPr>
              <w:widowControl/>
              <w:spacing w:line="400" w:lineRule="exact"/>
              <w:rPr>
                <w:rFonts w:ascii="宋体" w:hAnsi="宋体" w:cs="Arial"/>
                <w:color w:val="auto"/>
                <w:sz w:val="18"/>
                <w:szCs w:val="18"/>
              </w:rPr>
            </w:pPr>
            <w:r>
              <w:rPr>
                <w:rFonts w:hint="eastAsia" w:ascii="宋体" w:hAnsi="宋体" w:cs="Arial"/>
                <w:color w:val="auto"/>
                <w:sz w:val="18"/>
                <w:szCs w:val="18"/>
              </w:rPr>
              <w:t>3.支持图层在输出接口间漫游且规格不减，并支持图层参数设置；</w:t>
            </w:r>
          </w:p>
          <w:p w14:paraId="1E8A7AE3">
            <w:pPr>
              <w:widowControl/>
              <w:spacing w:line="400" w:lineRule="exact"/>
              <w:rPr>
                <w:rFonts w:ascii="宋体" w:hAnsi="宋体" w:cs="Arial"/>
                <w:color w:val="auto"/>
                <w:sz w:val="18"/>
                <w:szCs w:val="18"/>
              </w:rPr>
            </w:pPr>
            <w:r>
              <w:rPr>
                <w:rFonts w:hint="eastAsia" w:ascii="宋体" w:hAnsi="宋体" w:cs="Arial"/>
                <w:color w:val="auto"/>
                <w:sz w:val="18"/>
                <w:szCs w:val="18"/>
              </w:rPr>
              <w:t>4.支持屏幕背景图显示；</w:t>
            </w:r>
          </w:p>
          <w:p w14:paraId="2BF61C7C">
            <w:pPr>
              <w:widowControl/>
              <w:spacing w:line="400" w:lineRule="exact"/>
              <w:rPr>
                <w:rFonts w:ascii="宋体" w:hAnsi="宋体" w:cs="Arial"/>
                <w:color w:val="auto"/>
                <w:sz w:val="18"/>
                <w:szCs w:val="18"/>
              </w:rPr>
            </w:pPr>
            <w:r>
              <w:rPr>
                <w:rFonts w:hint="eastAsia" w:ascii="宋体" w:hAnsi="宋体" w:cs="Arial"/>
                <w:color w:val="auto"/>
                <w:sz w:val="18"/>
                <w:szCs w:val="18"/>
              </w:rPr>
              <w:t>5.支持在输入源上添加文字或图片；支持添加OSD文字或图片，属性可调；</w:t>
            </w:r>
          </w:p>
          <w:p w14:paraId="390CBCB3">
            <w:pPr>
              <w:widowControl/>
              <w:spacing w:line="400" w:lineRule="exact"/>
              <w:rPr>
                <w:rFonts w:ascii="宋体" w:hAnsi="宋体" w:cs="Arial"/>
                <w:color w:val="auto"/>
                <w:sz w:val="18"/>
                <w:szCs w:val="18"/>
              </w:rPr>
            </w:pPr>
            <w:r>
              <w:rPr>
                <w:rFonts w:hint="eastAsia" w:ascii="宋体" w:hAnsi="宋体" w:cs="Arial"/>
                <w:color w:val="auto"/>
                <w:sz w:val="18"/>
                <w:szCs w:val="18"/>
              </w:rPr>
              <w:t>6.支持实时和预编模式，实时模式可实现画面控制实时上屏显示，预编模式支持在对显示内容预编辑后再上屏显示；</w:t>
            </w:r>
          </w:p>
          <w:p w14:paraId="524FC9CB">
            <w:pPr>
              <w:widowControl/>
              <w:spacing w:line="400" w:lineRule="exact"/>
              <w:rPr>
                <w:rFonts w:ascii="宋体" w:hAnsi="宋体" w:cs="Arial"/>
                <w:color w:val="auto"/>
                <w:sz w:val="18"/>
                <w:szCs w:val="18"/>
              </w:rPr>
            </w:pPr>
            <w:r>
              <w:rPr>
                <w:rFonts w:hint="eastAsia" w:ascii="宋体" w:hAnsi="宋体" w:cs="Arial"/>
                <w:color w:val="auto"/>
                <w:sz w:val="18"/>
                <w:szCs w:val="18"/>
              </w:rPr>
              <w:t>7.支持用户权限分级管控，支持多用户同时编辑、控制、上屏，可预览其他用户操作；</w:t>
            </w:r>
          </w:p>
          <w:p w14:paraId="41F70512">
            <w:pPr>
              <w:widowControl/>
              <w:spacing w:line="400" w:lineRule="exact"/>
              <w:rPr>
                <w:rFonts w:ascii="宋体" w:hAnsi="宋体" w:cs="Arial"/>
                <w:color w:val="auto"/>
                <w:sz w:val="18"/>
                <w:szCs w:val="18"/>
              </w:rPr>
            </w:pPr>
            <w:r>
              <w:rPr>
                <w:rFonts w:hint="eastAsia" w:ascii="宋体" w:hAnsi="宋体" w:cs="Arial"/>
                <w:color w:val="auto"/>
                <w:sz w:val="18"/>
                <w:szCs w:val="18"/>
              </w:rPr>
              <w:t>8.支持网口输出，输出无需其它设备可直接连接LED显示屏显示，并支持LED屏亮度调节。</w:t>
            </w:r>
          </w:p>
        </w:tc>
        <w:tc>
          <w:tcPr>
            <w:tcW w:w="900" w:type="dxa"/>
            <w:tcBorders>
              <w:top w:val="nil"/>
              <w:left w:val="nil"/>
              <w:bottom w:val="single" w:color="auto" w:sz="4" w:space="0"/>
              <w:right w:val="single" w:color="auto" w:sz="4" w:space="0"/>
            </w:tcBorders>
            <w:vAlign w:val="center"/>
          </w:tcPr>
          <w:p w14:paraId="3C8A5F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36C61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D8E15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56BA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F4F1402">
            <w:pPr>
              <w:widowControl/>
              <w:spacing w:line="400" w:lineRule="exact"/>
              <w:jc w:val="center"/>
              <w:rPr>
                <w:rFonts w:ascii="宋体" w:hAnsi="宋体" w:cs="Arial"/>
                <w:color w:val="auto"/>
                <w:sz w:val="18"/>
                <w:szCs w:val="18"/>
              </w:rPr>
            </w:pPr>
            <w:r>
              <w:rPr>
                <w:rFonts w:ascii="宋体" w:hAnsi="宋体" w:cs="Arial"/>
                <w:color w:val="auto"/>
                <w:sz w:val="18"/>
                <w:szCs w:val="18"/>
              </w:rPr>
              <w:t>输入输出卡</w:t>
            </w:r>
          </w:p>
        </w:tc>
        <w:tc>
          <w:tcPr>
            <w:tcW w:w="5717" w:type="dxa"/>
            <w:tcBorders>
              <w:top w:val="nil"/>
              <w:left w:val="nil"/>
              <w:bottom w:val="single" w:color="auto" w:sz="4" w:space="0"/>
              <w:right w:val="single" w:color="auto" w:sz="4" w:space="0"/>
            </w:tcBorders>
            <w:vAlign w:val="center"/>
          </w:tcPr>
          <w:p w14:paraId="66737F08">
            <w:pPr>
              <w:widowControl/>
              <w:spacing w:line="400" w:lineRule="exact"/>
              <w:rPr>
                <w:rFonts w:ascii="宋体" w:hAnsi="宋体" w:cs="Arial"/>
                <w:color w:val="auto"/>
                <w:sz w:val="18"/>
                <w:szCs w:val="18"/>
              </w:rPr>
            </w:pPr>
            <w:r>
              <w:rPr>
                <w:rFonts w:hint="eastAsia" w:ascii="宋体" w:hAnsi="宋体" w:cs="Arial"/>
                <w:color w:val="auto"/>
                <w:sz w:val="18"/>
                <w:szCs w:val="18"/>
              </w:rPr>
              <w:t>包含1张输入卡、1张输出卡，配置如下：</w:t>
            </w:r>
          </w:p>
          <w:p w14:paraId="7DE78840">
            <w:pPr>
              <w:widowControl/>
              <w:spacing w:line="400" w:lineRule="exact"/>
              <w:rPr>
                <w:rFonts w:ascii="宋体" w:hAnsi="宋体" w:cs="Arial"/>
                <w:color w:val="auto"/>
                <w:sz w:val="18"/>
                <w:szCs w:val="18"/>
              </w:rPr>
            </w:pPr>
            <w:r>
              <w:rPr>
                <w:rFonts w:hint="eastAsia" w:ascii="宋体" w:hAnsi="宋体" w:cs="Arial"/>
                <w:color w:val="auto"/>
                <w:sz w:val="18"/>
                <w:szCs w:val="18"/>
              </w:rPr>
              <w:t>输入卡：</w:t>
            </w:r>
          </w:p>
          <w:p w14:paraId="0E539DE0">
            <w:pPr>
              <w:widowControl/>
              <w:spacing w:line="400" w:lineRule="exact"/>
              <w:rPr>
                <w:rFonts w:ascii="宋体" w:hAnsi="宋体" w:cs="Arial"/>
                <w:color w:val="auto"/>
                <w:sz w:val="18"/>
                <w:szCs w:val="18"/>
              </w:rPr>
            </w:pPr>
            <w:r>
              <w:rPr>
                <w:rFonts w:hint="eastAsia" w:ascii="宋体" w:hAnsi="宋体" w:cs="Arial"/>
                <w:color w:val="auto"/>
                <w:sz w:val="18"/>
                <w:szCs w:val="18"/>
              </w:rPr>
              <w:t>1.支持≥2路HDMI2.0视频输入，兼容HDMI1.4和HDMI1.3；</w:t>
            </w:r>
          </w:p>
          <w:p w14:paraId="767857CE">
            <w:pPr>
              <w:widowControl/>
              <w:spacing w:line="400" w:lineRule="exact"/>
              <w:rPr>
                <w:rFonts w:ascii="宋体" w:hAnsi="宋体" w:cs="Arial"/>
                <w:color w:val="auto"/>
                <w:sz w:val="18"/>
                <w:szCs w:val="18"/>
              </w:rPr>
            </w:pPr>
            <w:r>
              <w:rPr>
                <w:rFonts w:hint="eastAsia" w:ascii="宋体" w:hAnsi="宋体" w:cs="Arial"/>
                <w:color w:val="auto"/>
                <w:sz w:val="18"/>
                <w:szCs w:val="18"/>
              </w:rPr>
              <w:t>2.支持3840*2160@60Hz视频输入并向下兼容；</w:t>
            </w:r>
          </w:p>
          <w:p w14:paraId="40825DF7">
            <w:pPr>
              <w:widowControl/>
              <w:spacing w:line="400" w:lineRule="exact"/>
              <w:rPr>
                <w:rFonts w:ascii="宋体" w:hAnsi="宋体" w:cs="Arial"/>
                <w:color w:val="auto"/>
                <w:sz w:val="18"/>
                <w:szCs w:val="18"/>
              </w:rPr>
            </w:pPr>
            <w:r>
              <w:rPr>
                <w:rFonts w:hint="eastAsia" w:ascii="宋体" w:hAnsi="宋体" w:cs="Arial"/>
                <w:color w:val="auto"/>
                <w:sz w:val="18"/>
                <w:szCs w:val="18"/>
              </w:rPr>
              <w:t>3.支持两路4K视频源同时接入；</w:t>
            </w:r>
          </w:p>
          <w:p w14:paraId="2D371F04">
            <w:pPr>
              <w:widowControl/>
              <w:spacing w:line="400" w:lineRule="exact"/>
              <w:rPr>
                <w:rFonts w:ascii="宋体" w:hAnsi="宋体" w:cs="Arial"/>
                <w:color w:val="auto"/>
                <w:sz w:val="18"/>
                <w:szCs w:val="18"/>
              </w:rPr>
            </w:pPr>
            <w:r>
              <w:rPr>
                <w:rFonts w:hint="eastAsia" w:ascii="宋体" w:hAnsi="宋体" w:cs="Arial"/>
                <w:color w:val="auto"/>
                <w:sz w:val="18"/>
                <w:szCs w:val="18"/>
              </w:rPr>
              <w:t>4.支持HDCP2.2协议；</w:t>
            </w:r>
          </w:p>
          <w:p w14:paraId="3CD05F9D">
            <w:pPr>
              <w:widowControl/>
              <w:spacing w:line="400" w:lineRule="exact"/>
              <w:rPr>
                <w:rFonts w:ascii="宋体" w:hAnsi="宋体" w:cs="Arial"/>
                <w:color w:val="auto"/>
                <w:sz w:val="18"/>
                <w:szCs w:val="18"/>
              </w:rPr>
            </w:pPr>
            <w:r>
              <w:rPr>
                <w:rFonts w:hint="eastAsia" w:ascii="宋体" w:hAnsi="宋体" w:cs="Arial"/>
                <w:color w:val="auto"/>
                <w:sz w:val="18"/>
                <w:szCs w:val="18"/>
              </w:rPr>
              <w:t>5.支持伴随音频输入。</w:t>
            </w:r>
          </w:p>
          <w:p w14:paraId="54F29394">
            <w:pPr>
              <w:widowControl/>
              <w:spacing w:line="400" w:lineRule="exact"/>
              <w:rPr>
                <w:rFonts w:ascii="宋体" w:hAnsi="宋体" w:cs="Arial"/>
                <w:color w:val="auto"/>
                <w:sz w:val="18"/>
                <w:szCs w:val="18"/>
              </w:rPr>
            </w:pPr>
            <w:r>
              <w:rPr>
                <w:rFonts w:hint="eastAsia" w:ascii="宋体" w:hAnsi="宋体" w:cs="Arial"/>
                <w:color w:val="auto"/>
                <w:sz w:val="18"/>
                <w:szCs w:val="18"/>
              </w:rPr>
              <w:t>6.支持144Hz输入。</w:t>
            </w:r>
          </w:p>
          <w:p w14:paraId="2370591E">
            <w:pPr>
              <w:widowControl/>
              <w:spacing w:line="400" w:lineRule="exact"/>
              <w:rPr>
                <w:rFonts w:ascii="宋体" w:hAnsi="宋体" w:cs="Arial"/>
                <w:color w:val="auto"/>
                <w:sz w:val="18"/>
                <w:szCs w:val="18"/>
              </w:rPr>
            </w:pPr>
            <w:r>
              <w:rPr>
                <w:rFonts w:hint="eastAsia" w:ascii="宋体" w:hAnsi="宋体" w:cs="Arial"/>
                <w:color w:val="auto"/>
                <w:sz w:val="18"/>
                <w:szCs w:val="18"/>
              </w:rPr>
              <w:t>输出卡：</w:t>
            </w:r>
          </w:p>
          <w:p w14:paraId="29F63C72">
            <w:pPr>
              <w:widowControl/>
              <w:spacing w:line="400" w:lineRule="exact"/>
              <w:rPr>
                <w:rFonts w:ascii="宋体" w:hAnsi="宋体" w:cs="Arial"/>
                <w:color w:val="auto"/>
                <w:sz w:val="18"/>
                <w:szCs w:val="18"/>
              </w:rPr>
            </w:pPr>
            <w:r>
              <w:rPr>
                <w:rFonts w:hint="eastAsia" w:ascii="宋体" w:hAnsi="宋体" w:cs="Arial"/>
                <w:color w:val="auto"/>
                <w:sz w:val="18"/>
                <w:szCs w:val="18"/>
              </w:rPr>
              <w:t>1.最大带载≥1040万像素点；</w:t>
            </w:r>
          </w:p>
          <w:p w14:paraId="63AD6557">
            <w:pPr>
              <w:widowControl/>
              <w:spacing w:line="400" w:lineRule="exact"/>
              <w:rPr>
                <w:rFonts w:ascii="宋体" w:hAnsi="宋体" w:cs="Arial"/>
                <w:color w:val="auto"/>
                <w:sz w:val="18"/>
                <w:szCs w:val="18"/>
              </w:rPr>
            </w:pPr>
            <w:r>
              <w:rPr>
                <w:rFonts w:hint="eastAsia" w:ascii="宋体" w:hAnsi="宋体" w:cs="Arial"/>
                <w:color w:val="auto"/>
                <w:sz w:val="18"/>
                <w:szCs w:val="18"/>
              </w:rPr>
              <w:t>2.配备≥16个RJ45千兆网口；当输出位深为8bit时，单网口最大带载≥65万像素点，当输出位深为10bit时，单网口最大带载≥32万像素点；</w:t>
            </w:r>
          </w:p>
          <w:p w14:paraId="6F650EA2">
            <w:pPr>
              <w:widowControl/>
              <w:spacing w:line="400" w:lineRule="exact"/>
              <w:rPr>
                <w:rFonts w:ascii="宋体" w:hAnsi="宋体" w:cs="Arial"/>
                <w:color w:val="auto"/>
                <w:sz w:val="18"/>
                <w:szCs w:val="18"/>
              </w:rPr>
            </w:pPr>
            <w:r>
              <w:rPr>
                <w:rFonts w:hint="eastAsia" w:ascii="宋体" w:hAnsi="宋体" w:cs="Arial"/>
                <w:color w:val="auto"/>
                <w:sz w:val="18"/>
                <w:szCs w:val="18"/>
              </w:rPr>
              <w:t>3.支持网口间备份；</w:t>
            </w:r>
          </w:p>
          <w:p w14:paraId="57BF63BF">
            <w:pPr>
              <w:widowControl/>
              <w:spacing w:line="400" w:lineRule="exact"/>
              <w:rPr>
                <w:rFonts w:ascii="宋体" w:hAnsi="宋体" w:cs="Arial"/>
                <w:color w:val="auto"/>
                <w:sz w:val="18"/>
                <w:szCs w:val="18"/>
              </w:rPr>
            </w:pPr>
            <w:r>
              <w:rPr>
                <w:rFonts w:hint="eastAsia" w:ascii="宋体" w:hAnsi="宋体" w:cs="Arial"/>
                <w:color w:val="auto"/>
                <w:sz w:val="18"/>
                <w:szCs w:val="18"/>
              </w:rPr>
              <w:t>4.支持144Hz输出。</w:t>
            </w:r>
          </w:p>
        </w:tc>
        <w:tc>
          <w:tcPr>
            <w:tcW w:w="900" w:type="dxa"/>
            <w:tcBorders>
              <w:top w:val="nil"/>
              <w:left w:val="nil"/>
              <w:bottom w:val="single" w:color="auto" w:sz="4" w:space="0"/>
              <w:right w:val="single" w:color="auto" w:sz="4" w:space="0"/>
            </w:tcBorders>
            <w:vAlign w:val="center"/>
          </w:tcPr>
          <w:p w14:paraId="64627A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0F3A1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8B7A62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EE17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F0850C2">
            <w:pPr>
              <w:widowControl/>
              <w:spacing w:line="400" w:lineRule="exact"/>
              <w:jc w:val="center"/>
              <w:rPr>
                <w:rFonts w:ascii="宋体" w:hAnsi="宋体" w:cs="Arial"/>
                <w:color w:val="auto"/>
                <w:sz w:val="18"/>
                <w:szCs w:val="18"/>
              </w:rPr>
            </w:pPr>
            <w:r>
              <w:rPr>
                <w:rFonts w:ascii="宋体" w:hAnsi="宋体" w:cs="Arial"/>
                <w:color w:val="auto"/>
                <w:sz w:val="18"/>
                <w:szCs w:val="18"/>
              </w:rPr>
              <w:t>PLC智能配电柜</w:t>
            </w:r>
          </w:p>
        </w:tc>
        <w:tc>
          <w:tcPr>
            <w:tcW w:w="5717" w:type="dxa"/>
            <w:tcBorders>
              <w:top w:val="nil"/>
              <w:left w:val="nil"/>
              <w:bottom w:val="single" w:color="auto" w:sz="4" w:space="0"/>
              <w:right w:val="single" w:color="auto" w:sz="4" w:space="0"/>
            </w:tcBorders>
            <w:vAlign w:val="center"/>
          </w:tcPr>
          <w:p w14:paraId="001D1E84">
            <w:pPr>
              <w:widowControl/>
              <w:spacing w:line="400" w:lineRule="exact"/>
              <w:rPr>
                <w:rFonts w:ascii="宋体" w:hAnsi="宋体" w:cs="Arial"/>
                <w:color w:val="auto"/>
                <w:sz w:val="18"/>
                <w:szCs w:val="18"/>
              </w:rPr>
            </w:pPr>
            <w:r>
              <w:rPr>
                <w:rFonts w:hint="eastAsia" w:ascii="宋体" w:hAnsi="宋体" w:cs="Arial"/>
                <w:color w:val="auto"/>
                <w:sz w:val="18"/>
                <w:szCs w:val="18"/>
              </w:rPr>
              <w:t>1.交流配电柜(PLC控制)，额定荷载≥25KW；</w:t>
            </w:r>
          </w:p>
          <w:p w14:paraId="3DFE03DA">
            <w:pPr>
              <w:widowControl/>
              <w:spacing w:line="400" w:lineRule="exact"/>
              <w:rPr>
                <w:rFonts w:ascii="宋体" w:hAnsi="宋体" w:cs="Arial"/>
                <w:color w:val="auto"/>
                <w:sz w:val="18"/>
                <w:szCs w:val="18"/>
              </w:rPr>
            </w:pPr>
            <w:r>
              <w:rPr>
                <w:rFonts w:hint="eastAsia" w:ascii="宋体" w:hAnsi="宋体" w:cs="Arial"/>
                <w:color w:val="auto"/>
                <w:sz w:val="18"/>
                <w:szCs w:val="18"/>
              </w:rPr>
              <w:t>2.三相五线制供电，具备过流、短路、断路、过压、欠压、高温等保护功能，以及故障指示；</w:t>
            </w:r>
          </w:p>
          <w:p w14:paraId="6D0EF259">
            <w:pPr>
              <w:widowControl/>
              <w:spacing w:line="400" w:lineRule="exact"/>
              <w:rPr>
                <w:rFonts w:ascii="宋体" w:hAnsi="宋体" w:cs="Arial"/>
                <w:color w:val="auto"/>
                <w:sz w:val="18"/>
                <w:szCs w:val="18"/>
              </w:rPr>
            </w:pPr>
            <w:r>
              <w:rPr>
                <w:rFonts w:hint="eastAsia" w:ascii="宋体" w:hAnsi="宋体" w:cs="Arial"/>
                <w:color w:val="auto"/>
                <w:sz w:val="18"/>
                <w:szCs w:val="18"/>
              </w:rPr>
              <w:t>3.支持远程开关机功能。</w:t>
            </w:r>
          </w:p>
        </w:tc>
        <w:tc>
          <w:tcPr>
            <w:tcW w:w="900" w:type="dxa"/>
            <w:tcBorders>
              <w:top w:val="nil"/>
              <w:left w:val="nil"/>
              <w:bottom w:val="single" w:color="auto" w:sz="4" w:space="0"/>
              <w:right w:val="single" w:color="auto" w:sz="4" w:space="0"/>
            </w:tcBorders>
            <w:vAlign w:val="center"/>
          </w:tcPr>
          <w:p w14:paraId="717432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1BA72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9BA22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86E4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3A06FF88">
            <w:pPr>
              <w:widowControl/>
              <w:spacing w:line="400" w:lineRule="exact"/>
              <w:jc w:val="center"/>
              <w:rPr>
                <w:rFonts w:ascii="宋体" w:hAnsi="宋体" w:cs="Arial"/>
                <w:color w:val="auto"/>
                <w:sz w:val="18"/>
                <w:szCs w:val="18"/>
              </w:rPr>
            </w:pPr>
            <w:r>
              <w:rPr>
                <w:rFonts w:ascii="宋体" w:hAnsi="宋体" w:cs="Arial"/>
                <w:color w:val="auto"/>
                <w:sz w:val="18"/>
                <w:szCs w:val="18"/>
              </w:rPr>
              <w:t>多媒体服务器</w:t>
            </w:r>
          </w:p>
        </w:tc>
        <w:tc>
          <w:tcPr>
            <w:tcW w:w="5717" w:type="dxa"/>
            <w:tcBorders>
              <w:top w:val="nil"/>
              <w:left w:val="nil"/>
              <w:bottom w:val="single" w:color="auto" w:sz="4" w:space="0"/>
              <w:right w:val="single" w:color="auto" w:sz="4" w:space="0"/>
            </w:tcBorders>
            <w:vAlign w:val="center"/>
          </w:tcPr>
          <w:p w14:paraId="2FC8C240">
            <w:pPr>
              <w:widowControl/>
              <w:spacing w:line="400" w:lineRule="exact"/>
              <w:rPr>
                <w:rFonts w:ascii="宋体" w:hAnsi="宋体" w:cs="Arial"/>
                <w:color w:val="auto"/>
                <w:sz w:val="18"/>
                <w:szCs w:val="18"/>
              </w:rPr>
            </w:pPr>
            <w:r>
              <w:rPr>
                <w:rFonts w:hint="eastAsia" w:ascii="宋体" w:hAnsi="宋体" w:cs="Arial"/>
                <w:color w:val="auto"/>
                <w:sz w:val="18"/>
                <w:szCs w:val="18"/>
              </w:rPr>
              <w:t>1.标准机架式机箱，输出接口配备≥1个DP1.2接口、≥2路HDMI2.0接口，单路输出最大支持≥4096*2160@60Hz；</w:t>
            </w:r>
          </w:p>
          <w:p w14:paraId="3FB27038">
            <w:pPr>
              <w:widowControl/>
              <w:spacing w:line="400" w:lineRule="exact"/>
              <w:rPr>
                <w:rFonts w:ascii="宋体" w:hAnsi="宋体" w:cs="Arial"/>
                <w:color w:val="auto"/>
                <w:sz w:val="18"/>
                <w:szCs w:val="18"/>
              </w:rPr>
            </w:pPr>
            <w:r>
              <w:rPr>
                <w:rFonts w:hint="eastAsia" w:ascii="宋体" w:hAnsi="宋体" w:cs="Arial"/>
                <w:color w:val="auto"/>
                <w:sz w:val="18"/>
                <w:szCs w:val="18"/>
              </w:rPr>
              <w:t>2.音频接口配备≥2路3.5mm音频输入、≥1路3.5mm音频输出；</w:t>
            </w:r>
          </w:p>
          <w:p w14:paraId="6878D65D">
            <w:pPr>
              <w:widowControl/>
              <w:spacing w:line="400" w:lineRule="exact"/>
              <w:rPr>
                <w:rFonts w:ascii="宋体" w:hAnsi="宋体" w:cs="Arial"/>
                <w:color w:val="auto"/>
                <w:sz w:val="18"/>
                <w:szCs w:val="18"/>
              </w:rPr>
            </w:pPr>
            <w:r>
              <w:rPr>
                <w:rFonts w:hint="eastAsia" w:ascii="宋体" w:hAnsi="宋体" w:cs="Arial"/>
                <w:color w:val="auto"/>
                <w:sz w:val="18"/>
                <w:szCs w:val="18"/>
              </w:rPr>
              <w:t>3.单机最高支持≥8K*2K输出带载，同时支持超大分辨率视频解码和点对点显示；</w:t>
            </w:r>
          </w:p>
          <w:p w14:paraId="5A4DD4D7">
            <w:pPr>
              <w:widowControl/>
              <w:spacing w:line="400" w:lineRule="exact"/>
              <w:rPr>
                <w:rFonts w:ascii="宋体" w:hAnsi="宋体" w:cs="Arial"/>
                <w:color w:val="auto"/>
                <w:sz w:val="18"/>
                <w:szCs w:val="18"/>
              </w:rPr>
            </w:pPr>
            <w:r>
              <w:rPr>
                <w:rFonts w:hint="eastAsia" w:ascii="宋体" w:hAnsi="宋体" w:cs="Arial"/>
                <w:color w:val="auto"/>
                <w:sz w:val="18"/>
                <w:szCs w:val="18"/>
              </w:rPr>
              <w:t>4.支持≥8图层、≥1个音频图层同时播放；</w:t>
            </w:r>
          </w:p>
          <w:p w14:paraId="34E0A923">
            <w:pPr>
              <w:widowControl/>
              <w:spacing w:line="400" w:lineRule="exact"/>
              <w:rPr>
                <w:rFonts w:ascii="宋体" w:hAnsi="宋体" w:cs="Arial"/>
                <w:color w:val="auto"/>
                <w:sz w:val="18"/>
                <w:szCs w:val="18"/>
              </w:rPr>
            </w:pPr>
            <w:r>
              <w:rPr>
                <w:rFonts w:hint="eastAsia" w:ascii="宋体" w:hAnsi="宋体" w:cs="Arial"/>
                <w:color w:val="auto"/>
                <w:sz w:val="18"/>
                <w:szCs w:val="18"/>
              </w:rPr>
              <w:t>5.支持播放画面实时预览，也可后台编辑预览完成后再输出播放；</w:t>
            </w:r>
          </w:p>
          <w:p w14:paraId="3985CF43">
            <w:pPr>
              <w:widowControl/>
              <w:spacing w:line="400" w:lineRule="exact"/>
              <w:rPr>
                <w:rFonts w:ascii="宋体" w:hAnsi="宋体" w:cs="Arial"/>
                <w:color w:val="auto"/>
                <w:sz w:val="18"/>
                <w:szCs w:val="18"/>
              </w:rPr>
            </w:pPr>
            <w:r>
              <w:rPr>
                <w:rFonts w:hint="eastAsia" w:ascii="宋体" w:hAnsi="宋体" w:cs="Arial"/>
                <w:color w:val="auto"/>
                <w:sz w:val="18"/>
                <w:szCs w:val="18"/>
              </w:rPr>
              <w:t>6.支持同一节目的同一图层中音频属性继承，替换媒体时，音频属性保持不变。</w:t>
            </w:r>
          </w:p>
        </w:tc>
        <w:tc>
          <w:tcPr>
            <w:tcW w:w="900" w:type="dxa"/>
            <w:tcBorders>
              <w:top w:val="nil"/>
              <w:left w:val="nil"/>
              <w:bottom w:val="single" w:color="auto" w:sz="4" w:space="0"/>
              <w:right w:val="single" w:color="auto" w:sz="4" w:space="0"/>
            </w:tcBorders>
            <w:vAlign w:val="center"/>
          </w:tcPr>
          <w:p w14:paraId="5D6D02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A02D5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DF4EC3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C1D7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6B6EB4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钢结构与屏体线材</w:t>
            </w:r>
          </w:p>
        </w:tc>
        <w:tc>
          <w:tcPr>
            <w:tcW w:w="5717" w:type="dxa"/>
            <w:tcBorders>
              <w:top w:val="nil"/>
              <w:left w:val="nil"/>
              <w:bottom w:val="single" w:color="auto" w:sz="4" w:space="0"/>
              <w:right w:val="single" w:color="auto" w:sz="4" w:space="0"/>
            </w:tcBorders>
            <w:vAlign w:val="center"/>
          </w:tcPr>
          <w:p w14:paraId="17660E29">
            <w:pPr>
              <w:widowControl/>
              <w:spacing w:line="400" w:lineRule="exact"/>
              <w:rPr>
                <w:rFonts w:ascii="宋体" w:hAnsi="宋体" w:cs="Arial"/>
                <w:color w:val="auto"/>
                <w:sz w:val="18"/>
                <w:szCs w:val="18"/>
              </w:rPr>
            </w:pPr>
            <w:r>
              <w:rPr>
                <w:rFonts w:hint="eastAsia" w:ascii="宋体" w:hAnsi="宋体" w:cs="Arial"/>
                <w:color w:val="auto"/>
                <w:sz w:val="18"/>
                <w:szCs w:val="18"/>
              </w:rPr>
              <w:t>1.大屏上墙壁挂所需的钢结构支架，以及显示屏包边(按需选择不锈钢、铝型材)等配套；</w:t>
            </w:r>
          </w:p>
          <w:p w14:paraId="65BCCCB8">
            <w:pPr>
              <w:widowControl/>
              <w:spacing w:line="400" w:lineRule="exact"/>
              <w:rPr>
                <w:rFonts w:ascii="宋体" w:hAnsi="宋体" w:cs="Arial"/>
                <w:color w:val="auto"/>
                <w:sz w:val="18"/>
                <w:szCs w:val="18"/>
              </w:rPr>
            </w:pPr>
            <w:r>
              <w:rPr>
                <w:rFonts w:hint="eastAsia" w:ascii="宋体" w:hAnsi="宋体" w:cs="Arial"/>
                <w:color w:val="auto"/>
                <w:sz w:val="18"/>
                <w:szCs w:val="18"/>
              </w:rPr>
              <w:t>2.网线、供电线、屏蔽线、线槽等相关配套辅材；</w:t>
            </w:r>
          </w:p>
          <w:p w14:paraId="10FDCD82">
            <w:pPr>
              <w:widowControl/>
              <w:spacing w:line="400" w:lineRule="exact"/>
              <w:rPr>
                <w:rFonts w:ascii="宋体" w:hAnsi="宋体" w:cs="Arial"/>
                <w:color w:val="auto"/>
                <w:sz w:val="18"/>
                <w:szCs w:val="18"/>
              </w:rPr>
            </w:pPr>
            <w:r>
              <w:rPr>
                <w:rFonts w:hint="eastAsia" w:ascii="宋体" w:hAnsi="宋体" w:cs="Arial"/>
                <w:color w:val="auto"/>
                <w:sz w:val="18"/>
                <w:szCs w:val="18"/>
              </w:rPr>
              <w:t>以上需符合相关标准规范要求。</w:t>
            </w:r>
          </w:p>
        </w:tc>
        <w:tc>
          <w:tcPr>
            <w:tcW w:w="900" w:type="dxa"/>
            <w:tcBorders>
              <w:top w:val="nil"/>
              <w:left w:val="nil"/>
              <w:bottom w:val="single" w:color="auto" w:sz="4" w:space="0"/>
              <w:right w:val="single" w:color="auto" w:sz="4" w:space="0"/>
            </w:tcBorders>
            <w:vAlign w:val="center"/>
          </w:tcPr>
          <w:p w14:paraId="73C1C1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22.94 </w:t>
            </w:r>
          </w:p>
        </w:tc>
        <w:tc>
          <w:tcPr>
            <w:tcW w:w="849" w:type="dxa"/>
            <w:gridSpan w:val="2"/>
            <w:tcBorders>
              <w:top w:val="nil"/>
              <w:left w:val="nil"/>
              <w:bottom w:val="single" w:color="auto" w:sz="4" w:space="0"/>
              <w:right w:val="single" w:color="auto" w:sz="4" w:space="0"/>
            </w:tcBorders>
            <w:vAlign w:val="center"/>
          </w:tcPr>
          <w:p w14:paraId="6B170A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w:t>
            </w:r>
          </w:p>
        </w:tc>
      </w:tr>
      <w:tr w14:paraId="1027523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1806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7CC6DF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备品备件</w:t>
            </w:r>
          </w:p>
        </w:tc>
        <w:tc>
          <w:tcPr>
            <w:tcW w:w="5717" w:type="dxa"/>
            <w:tcBorders>
              <w:top w:val="nil"/>
              <w:left w:val="nil"/>
              <w:bottom w:val="single" w:color="auto" w:sz="4" w:space="0"/>
              <w:right w:val="single" w:color="auto" w:sz="4" w:space="0"/>
            </w:tcBorders>
            <w:vAlign w:val="center"/>
          </w:tcPr>
          <w:p w14:paraId="71296E12">
            <w:pPr>
              <w:widowControl/>
              <w:spacing w:line="400" w:lineRule="exact"/>
              <w:rPr>
                <w:rFonts w:ascii="宋体" w:hAnsi="宋体" w:cs="Arial"/>
                <w:color w:val="auto"/>
                <w:sz w:val="18"/>
                <w:szCs w:val="18"/>
              </w:rPr>
            </w:pPr>
            <w:r>
              <w:rPr>
                <w:rFonts w:hint="eastAsia" w:ascii="宋体" w:hAnsi="宋体" w:cs="Arial"/>
                <w:color w:val="auto"/>
                <w:sz w:val="18"/>
                <w:szCs w:val="18"/>
              </w:rPr>
              <w:t>1.采用表贴三合一纯黑灯技术，像素点间距≤1.25mm，像素密度≥640000点/㎡；</w:t>
            </w:r>
          </w:p>
          <w:p w14:paraId="44402734">
            <w:pPr>
              <w:widowControl/>
              <w:spacing w:line="400" w:lineRule="exact"/>
              <w:rPr>
                <w:rFonts w:ascii="宋体" w:hAnsi="宋体" w:cs="Arial"/>
                <w:color w:val="auto"/>
                <w:sz w:val="18"/>
                <w:szCs w:val="18"/>
              </w:rPr>
            </w:pPr>
            <w:r>
              <w:rPr>
                <w:rFonts w:hint="eastAsia" w:ascii="宋体" w:hAnsi="宋体" w:cs="Arial"/>
                <w:color w:val="auto"/>
                <w:sz w:val="18"/>
                <w:szCs w:val="18"/>
              </w:rPr>
              <w:t>2.LED主动式发光，1R1G1B像素组成排列，竖向线性排列；</w:t>
            </w:r>
          </w:p>
          <w:p w14:paraId="0EFBE12B">
            <w:pPr>
              <w:widowControl/>
              <w:spacing w:line="400" w:lineRule="exact"/>
              <w:rPr>
                <w:rFonts w:ascii="宋体" w:hAnsi="宋体" w:cs="Arial"/>
                <w:color w:val="auto"/>
                <w:sz w:val="18"/>
                <w:szCs w:val="18"/>
              </w:rPr>
            </w:pPr>
            <w:r>
              <w:rPr>
                <w:rFonts w:hint="eastAsia" w:ascii="宋体" w:hAnsi="宋体" w:cs="Arial"/>
                <w:color w:val="auto"/>
                <w:sz w:val="18"/>
                <w:szCs w:val="18"/>
              </w:rPr>
              <w:t>3.平整度≤0.05mm；亮度≥600cd/㎡，支持0~100%可调；亮度均匀性≥98%；色温范围2000K~9000K(可调)，色域≥110%NTSC；</w:t>
            </w:r>
          </w:p>
          <w:p w14:paraId="613E20EC">
            <w:pPr>
              <w:widowControl/>
              <w:spacing w:line="400" w:lineRule="exact"/>
              <w:rPr>
                <w:rFonts w:ascii="宋体" w:hAnsi="宋体" w:cs="Arial"/>
                <w:color w:val="auto"/>
                <w:sz w:val="18"/>
                <w:szCs w:val="18"/>
              </w:rPr>
            </w:pPr>
            <w:r>
              <w:rPr>
                <w:rFonts w:hint="eastAsia" w:ascii="宋体" w:hAnsi="宋体" w:cs="Arial"/>
                <w:color w:val="auto"/>
                <w:sz w:val="18"/>
                <w:szCs w:val="18"/>
              </w:rPr>
              <w:t>4.支持低亮高灰显示，灰度等级可自动调节，最高可达16bits；</w:t>
            </w:r>
          </w:p>
          <w:p w14:paraId="747206C8">
            <w:pPr>
              <w:widowControl/>
              <w:spacing w:line="400" w:lineRule="exact"/>
              <w:rPr>
                <w:rFonts w:ascii="宋体" w:hAnsi="宋体" w:cs="Arial"/>
                <w:color w:val="auto"/>
                <w:sz w:val="18"/>
                <w:szCs w:val="18"/>
              </w:rPr>
            </w:pPr>
            <w:r>
              <w:rPr>
                <w:rFonts w:hint="eastAsia" w:ascii="宋体" w:hAnsi="宋体" w:cs="Arial"/>
                <w:color w:val="auto"/>
                <w:sz w:val="18"/>
                <w:szCs w:val="18"/>
              </w:rPr>
              <w:t>5.刷新率≥3840Hz，支持通过控制软件调节刷新率；对比度≥8000：1；画面延时≤1ms；响应时间为纳秒级，不拖尾无鬼影。</w:t>
            </w:r>
          </w:p>
        </w:tc>
        <w:tc>
          <w:tcPr>
            <w:tcW w:w="900" w:type="dxa"/>
            <w:tcBorders>
              <w:top w:val="nil"/>
              <w:left w:val="nil"/>
              <w:bottom w:val="single" w:color="auto" w:sz="4" w:space="0"/>
              <w:right w:val="single" w:color="auto" w:sz="4" w:space="0"/>
            </w:tcBorders>
            <w:vAlign w:val="center"/>
          </w:tcPr>
          <w:p w14:paraId="557B17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6E38B2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DD1D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F8A1D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00A49F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视频会议终端（分体式）</w:t>
            </w:r>
          </w:p>
        </w:tc>
        <w:tc>
          <w:tcPr>
            <w:tcW w:w="5717" w:type="dxa"/>
            <w:tcBorders>
              <w:top w:val="nil"/>
              <w:left w:val="nil"/>
              <w:bottom w:val="single" w:color="auto" w:sz="4" w:space="0"/>
              <w:right w:val="single" w:color="auto" w:sz="4" w:space="0"/>
            </w:tcBorders>
            <w:vAlign w:val="center"/>
          </w:tcPr>
          <w:p w14:paraId="4D1CE089">
            <w:pPr>
              <w:widowControl/>
              <w:spacing w:line="400" w:lineRule="exact"/>
              <w:rPr>
                <w:rFonts w:ascii="宋体" w:hAnsi="宋体" w:cs="Arial"/>
                <w:color w:val="auto"/>
                <w:sz w:val="18"/>
                <w:szCs w:val="18"/>
              </w:rPr>
            </w:pPr>
            <w:r>
              <w:rPr>
                <w:rFonts w:hint="eastAsia" w:ascii="宋体" w:hAnsi="宋体" w:cs="Arial"/>
                <w:color w:val="auto"/>
                <w:sz w:val="18"/>
                <w:szCs w:val="18"/>
              </w:rPr>
              <w:t>1.硬件分体式结构，非PC架构、非工控机架构；</w:t>
            </w:r>
          </w:p>
          <w:p w14:paraId="65B3C67E">
            <w:pPr>
              <w:widowControl/>
              <w:spacing w:line="400" w:lineRule="exact"/>
              <w:rPr>
                <w:rFonts w:ascii="宋体" w:hAnsi="宋体" w:cs="Arial"/>
                <w:color w:val="auto"/>
                <w:sz w:val="18"/>
                <w:szCs w:val="18"/>
              </w:rPr>
            </w:pPr>
            <w:r>
              <w:rPr>
                <w:rFonts w:hint="eastAsia" w:ascii="宋体" w:hAnsi="宋体" w:cs="Arial"/>
                <w:color w:val="auto"/>
                <w:sz w:val="18"/>
                <w:szCs w:val="18"/>
              </w:rPr>
              <w:t>▲2.采用国产嵌入式操作系统，核心芯片采用国产化元器件，至少包括音视频编解码单元、CPU处理单元、内存存储芯片、闪存存储芯片等；(提供带有CMA或CNAS标识的第三方权威检测机构出具的检测报告扫描件证明)</w:t>
            </w:r>
          </w:p>
          <w:p w14:paraId="7A00CF59">
            <w:pPr>
              <w:widowControl/>
              <w:spacing w:line="400" w:lineRule="exact"/>
              <w:rPr>
                <w:rFonts w:ascii="宋体" w:hAnsi="宋体" w:cs="Arial"/>
                <w:color w:val="auto"/>
                <w:sz w:val="18"/>
                <w:szCs w:val="18"/>
              </w:rPr>
            </w:pPr>
            <w:r>
              <w:rPr>
                <w:rFonts w:hint="eastAsia" w:ascii="宋体" w:hAnsi="宋体" w:cs="Arial"/>
                <w:color w:val="auto"/>
                <w:sz w:val="18"/>
                <w:szCs w:val="18"/>
              </w:rPr>
              <w:t>3.支持ITU-TH.320、H.323和IETFSIP、RTC通信标准，会议速率支持128Kbps~8Mbps；</w:t>
            </w:r>
          </w:p>
          <w:p w14:paraId="314AFA2D">
            <w:pPr>
              <w:widowControl/>
              <w:spacing w:line="400" w:lineRule="exact"/>
              <w:rPr>
                <w:rFonts w:ascii="宋体" w:hAnsi="宋体" w:cs="Arial"/>
                <w:color w:val="auto"/>
                <w:sz w:val="18"/>
                <w:szCs w:val="18"/>
              </w:rPr>
            </w:pPr>
            <w:r>
              <w:rPr>
                <w:rFonts w:hint="eastAsia" w:ascii="宋体" w:hAnsi="宋体" w:cs="Arial"/>
                <w:color w:val="auto"/>
                <w:sz w:val="18"/>
                <w:szCs w:val="18"/>
              </w:rPr>
              <w:t>4.支持4K30、1080p60、1080p30、720p60、720p30高清分辨率，并向下兼容低分辨率图像；</w:t>
            </w:r>
          </w:p>
          <w:p w14:paraId="6AFF49F7">
            <w:pPr>
              <w:widowControl/>
              <w:spacing w:line="400" w:lineRule="exact"/>
              <w:rPr>
                <w:rFonts w:ascii="宋体" w:hAnsi="宋体" w:cs="Arial"/>
                <w:color w:val="auto"/>
                <w:sz w:val="18"/>
                <w:szCs w:val="18"/>
              </w:rPr>
            </w:pPr>
            <w:r>
              <w:rPr>
                <w:rFonts w:hint="eastAsia" w:ascii="宋体" w:hAnsi="宋体" w:cs="Arial"/>
                <w:color w:val="auto"/>
                <w:sz w:val="18"/>
                <w:szCs w:val="18"/>
              </w:rPr>
              <w:t>5.配备≥3路高清视频输入接口(≥2个HDMI输入口)、≥2路高清视频输出接口；</w:t>
            </w:r>
          </w:p>
          <w:p w14:paraId="58DB84BF">
            <w:pPr>
              <w:widowControl/>
              <w:spacing w:line="400" w:lineRule="exact"/>
              <w:rPr>
                <w:rFonts w:ascii="宋体" w:hAnsi="宋体" w:cs="Arial"/>
                <w:color w:val="auto"/>
                <w:sz w:val="18"/>
                <w:szCs w:val="18"/>
              </w:rPr>
            </w:pPr>
            <w:r>
              <w:rPr>
                <w:rFonts w:hint="eastAsia" w:ascii="宋体" w:hAnsi="宋体" w:cs="Arial"/>
                <w:color w:val="auto"/>
                <w:sz w:val="18"/>
                <w:szCs w:val="18"/>
              </w:rPr>
              <w:t>6.配备≥6路音频输入接口、≥3路独立的音频输出接口、≥2个10/100/1000M以太网接口(支持网口热备份)；</w:t>
            </w:r>
          </w:p>
          <w:p w14:paraId="767D071B">
            <w:pPr>
              <w:widowControl/>
              <w:spacing w:line="400" w:lineRule="exact"/>
              <w:rPr>
                <w:rFonts w:ascii="宋体" w:hAnsi="宋体" w:cs="Arial"/>
                <w:color w:val="auto"/>
                <w:sz w:val="18"/>
                <w:szCs w:val="18"/>
              </w:rPr>
            </w:pPr>
            <w:r>
              <w:rPr>
                <w:rFonts w:hint="eastAsia" w:ascii="宋体" w:hAnsi="宋体" w:cs="Arial"/>
                <w:color w:val="auto"/>
                <w:sz w:val="18"/>
                <w:szCs w:val="18"/>
              </w:rPr>
              <w:t>▲7.支持内置视频矩阵功能，可配置任意视频输入和输出接口之间的对应关系；(提供带有CMA或CNAS标识的第三方权威检测机构出具的检测报告扫描件证明)</w:t>
            </w:r>
          </w:p>
          <w:p w14:paraId="03291035">
            <w:pPr>
              <w:widowControl/>
              <w:spacing w:line="400" w:lineRule="exact"/>
              <w:rPr>
                <w:rFonts w:ascii="宋体" w:hAnsi="宋体" w:cs="Arial"/>
                <w:color w:val="auto"/>
                <w:sz w:val="18"/>
                <w:szCs w:val="18"/>
              </w:rPr>
            </w:pPr>
            <w:r>
              <w:rPr>
                <w:rFonts w:hint="eastAsia" w:ascii="宋体" w:hAnsi="宋体" w:cs="Arial"/>
                <w:color w:val="auto"/>
                <w:sz w:val="18"/>
                <w:szCs w:val="18"/>
              </w:rPr>
              <w:t>8.支持将多路本地视频输入合成1路视频，在本地显示或发送到远端(合成风格可设置)；</w:t>
            </w:r>
          </w:p>
          <w:p w14:paraId="400AC4B8">
            <w:pPr>
              <w:widowControl/>
              <w:spacing w:line="400" w:lineRule="exact"/>
              <w:rPr>
                <w:rFonts w:ascii="宋体" w:hAnsi="宋体" w:cs="Arial"/>
                <w:color w:val="auto"/>
                <w:sz w:val="18"/>
                <w:szCs w:val="18"/>
              </w:rPr>
            </w:pPr>
            <w:r>
              <w:rPr>
                <w:rFonts w:hint="eastAsia" w:ascii="宋体" w:hAnsi="宋体" w:cs="Arial"/>
                <w:color w:val="auto"/>
                <w:sz w:val="18"/>
                <w:szCs w:val="18"/>
              </w:rPr>
              <w:t>9.支持美颜功能，支持通过人脸检测对与会方人员进行面部美白、磨皮，优化显示效果；</w:t>
            </w:r>
          </w:p>
          <w:p w14:paraId="6D938770">
            <w:pPr>
              <w:widowControl/>
              <w:spacing w:line="400" w:lineRule="exact"/>
              <w:rPr>
                <w:rFonts w:ascii="宋体" w:hAnsi="宋体" w:cs="Arial"/>
                <w:color w:val="auto"/>
                <w:sz w:val="18"/>
                <w:szCs w:val="18"/>
              </w:rPr>
            </w:pPr>
            <w:r>
              <w:rPr>
                <w:rFonts w:hint="eastAsia" w:ascii="宋体" w:hAnsi="宋体" w:cs="Arial"/>
                <w:color w:val="auto"/>
                <w:sz w:val="18"/>
                <w:szCs w:val="18"/>
              </w:rPr>
              <w:t>10.终端控制台支持本地录像，可直接录制在电脑本机(格式支持MP4)；</w:t>
            </w:r>
          </w:p>
          <w:p w14:paraId="09C6CAE5">
            <w:pPr>
              <w:widowControl/>
              <w:spacing w:line="400" w:lineRule="exact"/>
              <w:rPr>
                <w:rFonts w:ascii="宋体" w:hAnsi="宋体" w:cs="Arial"/>
                <w:color w:val="auto"/>
                <w:sz w:val="18"/>
                <w:szCs w:val="18"/>
              </w:rPr>
            </w:pPr>
            <w:r>
              <w:rPr>
                <w:rFonts w:hint="eastAsia" w:ascii="宋体" w:hAnsi="宋体" w:cs="Arial"/>
                <w:color w:val="auto"/>
                <w:sz w:val="18"/>
                <w:szCs w:val="18"/>
              </w:rPr>
              <w:t>11.支持演讲者追踪；可手动指定某区域，智能跟踪指定区域内的发言人，并居中显示；</w:t>
            </w:r>
          </w:p>
          <w:p w14:paraId="1B09AB4E">
            <w:pPr>
              <w:widowControl/>
              <w:spacing w:line="400" w:lineRule="exact"/>
              <w:rPr>
                <w:rFonts w:ascii="宋体" w:hAnsi="宋体" w:cs="Arial"/>
                <w:color w:val="auto"/>
                <w:sz w:val="18"/>
                <w:szCs w:val="18"/>
              </w:rPr>
            </w:pPr>
            <w:r>
              <w:rPr>
                <w:rFonts w:hint="eastAsia" w:ascii="宋体" w:hAnsi="宋体" w:cs="Arial"/>
                <w:color w:val="auto"/>
                <w:sz w:val="18"/>
                <w:szCs w:val="18"/>
              </w:rPr>
              <w:t>▲12.支持智能视频编码，可对感兴趣与会方区域增强编码，其他区域弱化编码，节省带宽并提高与会方图像显示效果；(提供带有CMA或CNAS标识的第三方权威检测机构出具的检测报告扫描件证明)</w:t>
            </w:r>
          </w:p>
          <w:p w14:paraId="07B7F2E6">
            <w:pPr>
              <w:widowControl/>
              <w:spacing w:line="400" w:lineRule="exact"/>
              <w:rPr>
                <w:rFonts w:ascii="宋体" w:hAnsi="宋体" w:cs="Arial"/>
                <w:color w:val="auto"/>
                <w:sz w:val="18"/>
                <w:szCs w:val="18"/>
              </w:rPr>
            </w:pPr>
            <w:r>
              <w:rPr>
                <w:rFonts w:hint="eastAsia" w:ascii="宋体" w:hAnsi="宋体" w:cs="Arial"/>
                <w:color w:val="auto"/>
                <w:sz w:val="18"/>
                <w:szCs w:val="18"/>
              </w:rPr>
              <w:t>13.支持云虚拟会议室功能，终端注册入网后，可实时获取当前已创建的虚拟会议室列表及状态(预约或会议中)，可直接选择需要参加的虚拟会议室加入；</w:t>
            </w:r>
          </w:p>
          <w:p w14:paraId="658752A3">
            <w:pPr>
              <w:widowControl/>
              <w:spacing w:line="400" w:lineRule="exact"/>
              <w:rPr>
                <w:rFonts w:ascii="宋体" w:hAnsi="宋体" w:cs="Arial"/>
                <w:color w:val="auto"/>
                <w:sz w:val="18"/>
                <w:szCs w:val="18"/>
              </w:rPr>
            </w:pPr>
            <w:r>
              <w:rPr>
                <w:rFonts w:hint="eastAsia" w:ascii="宋体" w:hAnsi="宋体" w:cs="Arial"/>
                <w:color w:val="auto"/>
                <w:sz w:val="18"/>
                <w:szCs w:val="18"/>
              </w:rPr>
              <w:t>14.支持双流共享叠加人像功能，基于人像检测技术技术，可将与会方与背景分离，实现与会方图像叠加到共享图像上合成显示；</w:t>
            </w:r>
          </w:p>
          <w:p w14:paraId="51BE4047">
            <w:pPr>
              <w:widowControl/>
              <w:spacing w:line="400" w:lineRule="exact"/>
              <w:rPr>
                <w:rFonts w:ascii="宋体" w:hAnsi="宋体" w:cs="Arial"/>
                <w:color w:val="auto"/>
                <w:sz w:val="18"/>
                <w:szCs w:val="18"/>
              </w:rPr>
            </w:pPr>
            <w:r>
              <w:rPr>
                <w:rFonts w:hint="eastAsia" w:ascii="宋体" w:hAnsi="宋体" w:cs="Arial"/>
                <w:color w:val="auto"/>
                <w:sz w:val="18"/>
                <w:szCs w:val="18"/>
              </w:rPr>
              <w:t>15.支持多人特写功能，把会议室中的与会方的人像裁剪出来拼接成一个多宫格画面，作为一路图像显示；</w:t>
            </w:r>
          </w:p>
          <w:p w14:paraId="5CC5EBAD">
            <w:pPr>
              <w:widowControl/>
              <w:spacing w:line="400" w:lineRule="exact"/>
              <w:rPr>
                <w:rFonts w:ascii="宋体" w:hAnsi="宋体" w:cs="Arial"/>
                <w:color w:val="auto"/>
                <w:sz w:val="18"/>
                <w:szCs w:val="18"/>
              </w:rPr>
            </w:pPr>
          </w:p>
          <w:p w14:paraId="524EE7DC">
            <w:pPr>
              <w:widowControl/>
              <w:spacing w:line="400" w:lineRule="exact"/>
              <w:rPr>
                <w:rFonts w:ascii="宋体" w:hAnsi="宋体" w:cs="Arial"/>
                <w:color w:val="auto"/>
                <w:sz w:val="18"/>
                <w:szCs w:val="18"/>
              </w:rPr>
            </w:pPr>
            <w:r>
              <w:rPr>
                <w:rFonts w:hint="eastAsia" w:ascii="宋体" w:hAnsi="宋体" w:cs="Arial"/>
                <w:color w:val="auto"/>
                <w:sz w:val="18"/>
                <w:szCs w:val="18"/>
              </w:rPr>
              <w:t>配套摄像机配置：</w:t>
            </w:r>
          </w:p>
          <w:p w14:paraId="02C625D5">
            <w:pPr>
              <w:widowControl/>
              <w:spacing w:line="400" w:lineRule="exact"/>
              <w:rPr>
                <w:rFonts w:ascii="宋体" w:hAnsi="宋体" w:cs="Arial"/>
                <w:color w:val="auto"/>
                <w:sz w:val="18"/>
                <w:szCs w:val="18"/>
              </w:rPr>
            </w:pPr>
            <w:r>
              <w:rPr>
                <w:rFonts w:hint="eastAsia" w:ascii="宋体" w:hAnsi="宋体" w:cs="Arial"/>
                <w:color w:val="auto"/>
                <w:sz w:val="18"/>
                <w:szCs w:val="18"/>
              </w:rPr>
              <w:t>1.配置≥1/2.8"CMOS 图像传感器；支持≥12倍光学变倍，支持≥16倍数字变焦；</w:t>
            </w:r>
          </w:p>
          <w:p w14:paraId="2C7BAD92">
            <w:pPr>
              <w:widowControl/>
              <w:spacing w:line="400" w:lineRule="exact"/>
              <w:rPr>
                <w:rFonts w:ascii="宋体" w:hAnsi="宋体" w:cs="Arial"/>
                <w:color w:val="auto"/>
                <w:sz w:val="18"/>
                <w:szCs w:val="18"/>
              </w:rPr>
            </w:pPr>
            <w:r>
              <w:rPr>
                <w:rFonts w:hint="eastAsia" w:ascii="宋体" w:hAnsi="宋体" w:cs="Arial"/>
                <w:color w:val="auto"/>
                <w:sz w:val="18"/>
                <w:szCs w:val="18"/>
              </w:rPr>
              <w:t>2.支持广角镜头，水平视角≥80º；</w:t>
            </w:r>
          </w:p>
          <w:p w14:paraId="69BABCC8">
            <w:pPr>
              <w:widowControl/>
              <w:spacing w:line="400" w:lineRule="exact"/>
              <w:rPr>
                <w:rFonts w:ascii="宋体" w:hAnsi="宋体" w:cs="Arial"/>
                <w:color w:val="auto"/>
                <w:sz w:val="18"/>
                <w:szCs w:val="18"/>
              </w:rPr>
            </w:pPr>
            <w:r>
              <w:rPr>
                <w:rFonts w:hint="eastAsia" w:ascii="宋体" w:hAnsi="宋体" w:cs="Arial"/>
                <w:color w:val="auto"/>
                <w:sz w:val="18"/>
                <w:szCs w:val="18"/>
              </w:rPr>
              <w:t>3.支持水平转动范围：≥ ±170º，垂直转动范围：≥ -30º~30º；</w:t>
            </w:r>
          </w:p>
          <w:p w14:paraId="7F3E6AE7">
            <w:pPr>
              <w:widowControl/>
              <w:spacing w:line="400" w:lineRule="exact"/>
              <w:rPr>
                <w:rFonts w:ascii="宋体" w:hAnsi="宋体" w:cs="Arial"/>
                <w:color w:val="auto"/>
                <w:sz w:val="18"/>
                <w:szCs w:val="18"/>
              </w:rPr>
            </w:pPr>
            <w:r>
              <w:rPr>
                <w:rFonts w:hint="eastAsia" w:ascii="宋体" w:hAnsi="宋体" w:cs="Arial"/>
                <w:color w:val="auto"/>
                <w:sz w:val="18"/>
                <w:szCs w:val="18"/>
              </w:rPr>
              <w:t>4.支持4K(3840×2160p)30Hz、4K(3840×2160p)25Hz、1080i/60Hz、1080i/50Hz、1080p60、1080p50、1080p30、1080p25、720p60、720p50等视频信号输出；</w:t>
            </w:r>
          </w:p>
          <w:p w14:paraId="1D54AB30">
            <w:pPr>
              <w:widowControl/>
              <w:spacing w:line="400" w:lineRule="exact"/>
              <w:rPr>
                <w:rFonts w:ascii="宋体" w:hAnsi="宋体" w:cs="Arial"/>
                <w:color w:val="auto"/>
                <w:sz w:val="18"/>
                <w:szCs w:val="18"/>
              </w:rPr>
            </w:pPr>
            <w:r>
              <w:rPr>
                <w:rFonts w:hint="eastAsia" w:ascii="宋体" w:hAnsi="宋体" w:cs="Arial"/>
                <w:color w:val="auto"/>
                <w:sz w:val="18"/>
                <w:szCs w:val="18"/>
              </w:rPr>
              <w:t>5.配备HDMI、USB等输出接口；支持RS422控制(接口可通过菊花链进行控制)，支持标准VISCA和PELCO协议；</w:t>
            </w:r>
          </w:p>
          <w:p w14:paraId="03909E78">
            <w:pPr>
              <w:widowControl/>
              <w:spacing w:line="400" w:lineRule="exact"/>
              <w:rPr>
                <w:rFonts w:ascii="宋体" w:hAnsi="宋体" w:cs="Arial"/>
                <w:color w:val="auto"/>
                <w:sz w:val="18"/>
                <w:szCs w:val="18"/>
              </w:rPr>
            </w:pPr>
            <w:r>
              <w:rPr>
                <w:rFonts w:hint="eastAsia" w:ascii="宋体" w:hAnsi="宋体" w:cs="Arial"/>
                <w:color w:val="auto"/>
                <w:sz w:val="18"/>
                <w:szCs w:val="18"/>
              </w:rPr>
              <w:t>6.支持保存≥255个预置位；</w:t>
            </w:r>
          </w:p>
          <w:p w14:paraId="762A87AA">
            <w:pPr>
              <w:widowControl/>
              <w:spacing w:line="400" w:lineRule="exact"/>
              <w:rPr>
                <w:rFonts w:ascii="宋体" w:hAnsi="宋体" w:cs="Arial"/>
                <w:color w:val="auto"/>
                <w:sz w:val="18"/>
                <w:szCs w:val="18"/>
              </w:rPr>
            </w:pPr>
            <w:r>
              <w:rPr>
                <w:rFonts w:hint="eastAsia" w:ascii="宋体" w:hAnsi="宋体" w:cs="Arial"/>
                <w:color w:val="auto"/>
                <w:sz w:val="18"/>
                <w:szCs w:val="18"/>
              </w:rPr>
              <w:t>7.支持HDR高动态功能，支持图像抗闪烁功能；</w:t>
            </w:r>
          </w:p>
          <w:p w14:paraId="4687CD49">
            <w:pPr>
              <w:widowControl/>
              <w:spacing w:line="400" w:lineRule="exact"/>
              <w:rPr>
                <w:rFonts w:ascii="宋体" w:hAnsi="宋体" w:cs="Arial"/>
                <w:color w:val="auto"/>
                <w:sz w:val="18"/>
                <w:szCs w:val="18"/>
              </w:rPr>
            </w:pPr>
            <w:r>
              <w:rPr>
                <w:rFonts w:hint="eastAsia" w:ascii="宋体" w:hAnsi="宋体" w:cs="Arial"/>
                <w:color w:val="auto"/>
                <w:sz w:val="18"/>
                <w:szCs w:val="18"/>
              </w:rPr>
              <w:t>8.支持通过摄像机反向控制会议终端。</w:t>
            </w:r>
          </w:p>
        </w:tc>
        <w:tc>
          <w:tcPr>
            <w:tcW w:w="900" w:type="dxa"/>
            <w:tcBorders>
              <w:top w:val="nil"/>
              <w:left w:val="nil"/>
              <w:bottom w:val="single" w:color="auto" w:sz="4" w:space="0"/>
              <w:right w:val="single" w:color="auto" w:sz="4" w:space="0"/>
            </w:tcBorders>
            <w:vAlign w:val="center"/>
          </w:tcPr>
          <w:p w14:paraId="62DB56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13A23BC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E8E2FF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CC7A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0187D3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值班室调度智慧屏</w:t>
            </w:r>
          </w:p>
        </w:tc>
        <w:tc>
          <w:tcPr>
            <w:tcW w:w="5717" w:type="dxa"/>
            <w:tcBorders>
              <w:top w:val="nil"/>
              <w:left w:val="nil"/>
              <w:bottom w:val="single" w:color="auto" w:sz="4" w:space="0"/>
              <w:right w:val="single" w:color="auto" w:sz="4" w:space="0"/>
            </w:tcBorders>
            <w:vAlign w:val="center"/>
          </w:tcPr>
          <w:p w14:paraId="145BC141">
            <w:pPr>
              <w:widowControl/>
              <w:spacing w:line="400" w:lineRule="exact"/>
              <w:rPr>
                <w:rFonts w:ascii="宋体" w:hAnsi="宋体" w:cs="Arial"/>
                <w:color w:val="auto"/>
                <w:sz w:val="18"/>
                <w:szCs w:val="18"/>
              </w:rPr>
            </w:pPr>
            <w:r>
              <w:rPr>
                <w:rFonts w:hint="eastAsia" w:ascii="宋体" w:hAnsi="宋体" w:cs="Arial"/>
                <w:color w:val="auto"/>
                <w:sz w:val="18"/>
                <w:szCs w:val="18"/>
              </w:rPr>
              <w:t>1.一体化集成设计，金属机身；内置摄像机、麦克风、扬声器、硬件视频会议编解码器；支持遥控器控制(配备红外遥控器)；支持OPS电脑接入；配备≥2支触控笔；</w:t>
            </w:r>
          </w:p>
          <w:p w14:paraId="7E068B39">
            <w:pPr>
              <w:widowControl/>
              <w:spacing w:line="400" w:lineRule="exact"/>
              <w:rPr>
                <w:rFonts w:ascii="宋体" w:hAnsi="宋体" w:cs="Arial"/>
                <w:color w:val="auto"/>
                <w:sz w:val="18"/>
                <w:szCs w:val="18"/>
              </w:rPr>
            </w:pPr>
            <w:r>
              <w:rPr>
                <w:rFonts w:hint="eastAsia" w:ascii="宋体" w:hAnsi="宋体" w:cs="Arial"/>
                <w:color w:val="auto"/>
                <w:sz w:val="18"/>
                <w:szCs w:val="18"/>
              </w:rPr>
              <w:t>2.屏幕尺寸≥86英寸，分辨率≥4K(3840*2160)；比例支持16：9；可视角度：水平≥178º、垂直≥178º；支持触控，触控点数≥40，支持物理防误触；支持DC调光(无频闪)、PWM调光；</w:t>
            </w:r>
          </w:p>
          <w:p w14:paraId="22D64F15">
            <w:pPr>
              <w:widowControl/>
              <w:spacing w:line="400" w:lineRule="exact"/>
              <w:rPr>
                <w:rFonts w:ascii="宋体" w:hAnsi="宋体" w:cs="Arial"/>
                <w:color w:val="auto"/>
                <w:sz w:val="18"/>
                <w:szCs w:val="18"/>
              </w:rPr>
            </w:pPr>
            <w:r>
              <w:rPr>
                <w:rFonts w:hint="eastAsia" w:ascii="宋体" w:hAnsi="宋体" w:cs="Arial"/>
                <w:color w:val="auto"/>
                <w:sz w:val="18"/>
                <w:szCs w:val="18"/>
              </w:rPr>
              <w:t>3.CPU≥8核2.4GHz，内存≥8G，存储≥64G；</w:t>
            </w:r>
          </w:p>
          <w:p w14:paraId="5276A1BD">
            <w:pPr>
              <w:widowControl/>
              <w:spacing w:line="400" w:lineRule="exact"/>
              <w:rPr>
                <w:rFonts w:ascii="宋体" w:hAnsi="宋体" w:cs="Arial"/>
                <w:color w:val="auto"/>
                <w:sz w:val="18"/>
                <w:szCs w:val="18"/>
              </w:rPr>
            </w:pPr>
            <w:r>
              <w:rPr>
                <w:rFonts w:hint="eastAsia" w:ascii="宋体" w:hAnsi="宋体" w:cs="Arial"/>
                <w:color w:val="auto"/>
                <w:sz w:val="18"/>
                <w:szCs w:val="18"/>
              </w:rPr>
              <w:t>4.集成内置摄像机，传感器≥1/2.5"CMOS、≥800万像素，采集分辨率≥4K30fps；</w:t>
            </w:r>
          </w:p>
          <w:p w14:paraId="0C951786">
            <w:pPr>
              <w:widowControl/>
              <w:spacing w:line="400" w:lineRule="exact"/>
              <w:rPr>
                <w:rFonts w:ascii="宋体" w:hAnsi="宋体" w:cs="Arial"/>
                <w:color w:val="auto"/>
                <w:sz w:val="18"/>
                <w:szCs w:val="18"/>
              </w:rPr>
            </w:pPr>
            <w:r>
              <w:rPr>
                <w:rFonts w:hint="eastAsia" w:ascii="宋体" w:hAnsi="宋体" w:cs="Arial"/>
                <w:color w:val="auto"/>
                <w:sz w:val="18"/>
                <w:szCs w:val="18"/>
              </w:rPr>
              <w:t>▲5.内置摄像机≥4倍数字变焦，清晰度≥1800线，水平视角≥82º；内置麦克风咪头≥16，拾音范围≥前向180º，拾音距离≥12米；(提供带有CMA 或CNAS 标识的第三方权威检测机构出具的检测报告扫描件证明)</w:t>
            </w:r>
          </w:p>
          <w:p w14:paraId="701A22AD">
            <w:pPr>
              <w:widowControl/>
              <w:spacing w:line="400" w:lineRule="exact"/>
              <w:rPr>
                <w:rFonts w:ascii="宋体" w:hAnsi="宋体" w:cs="Arial"/>
                <w:color w:val="auto"/>
                <w:sz w:val="18"/>
                <w:szCs w:val="18"/>
              </w:rPr>
            </w:pPr>
            <w:r>
              <w:rPr>
                <w:rFonts w:hint="eastAsia" w:ascii="宋体" w:hAnsi="宋体" w:cs="Arial"/>
                <w:color w:val="auto"/>
                <w:sz w:val="18"/>
                <w:szCs w:val="18"/>
              </w:rPr>
              <w:t>6.会议支持ITU-T H.323、IETF SIP协议，速率不低于64Kbps~8Mbps；会议视频分辨率支持1080p30、720p60、720p30，并向下兼容4CIF、CIF；视频支持H.264 Baseline Profile、H.264 High Profile、H.265；</w:t>
            </w:r>
          </w:p>
          <w:p w14:paraId="6890227A">
            <w:pPr>
              <w:widowControl/>
              <w:spacing w:line="400" w:lineRule="exact"/>
              <w:rPr>
                <w:rFonts w:ascii="宋体" w:hAnsi="宋体" w:cs="Arial"/>
                <w:color w:val="auto"/>
                <w:sz w:val="18"/>
                <w:szCs w:val="18"/>
              </w:rPr>
            </w:pPr>
            <w:r>
              <w:rPr>
                <w:rFonts w:hint="eastAsia" w:ascii="宋体" w:hAnsi="宋体" w:cs="Arial"/>
                <w:color w:val="auto"/>
                <w:sz w:val="18"/>
                <w:szCs w:val="18"/>
              </w:rPr>
              <w:t>▲7.主要元器件为国产化，如CPU处理单元、可编程逻辑芯片、音视频编解码单元等；(提供带有CMA 或CNAS 标识的第三方权威检测机构出具的检测报告扫描件证明)</w:t>
            </w:r>
          </w:p>
          <w:p w14:paraId="771D06C2">
            <w:pPr>
              <w:widowControl/>
              <w:spacing w:line="400" w:lineRule="exact"/>
              <w:rPr>
                <w:rFonts w:ascii="宋体" w:hAnsi="宋体" w:cs="Arial"/>
                <w:color w:val="auto"/>
                <w:sz w:val="18"/>
                <w:szCs w:val="18"/>
              </w:rPr>
            </w:pPr>
            <w:r>
              <w:rPr>
                <w:rFonts w:hint="eastAsia" w:ascii="宋体" w:hAnsi="宋体" w:cs="Arial"/>
                <w:color w:val="auto"/>
                <w:sz w:val="18"/>
                <w:szCs w:val="18"/>
              </w:rPr>
              <w:t>8.支持TCP/IP、DNS、SSH、HTTP、HTTPS、RTP、RTCP、SMTP网络传输协议；</w:t>
            </w:r>
          </w:p>
          <w:p w14:paraId="24B7EBF1">
            <w:pPr>
              <w:widowControl/>
              <w:spacing w:line="400" w:lineRule="exact"/>
              <w:rPr>
                <w:rFonts w:ascii="宋体" w:hAnsi="宋体" w:cs="Arial"/>
                <w:color w:val="auto"/>
                <w:sz w:val="18"/>
                <w:szCs w:val="18"/>
              </w:rPr>
            </w:pPr>
            <w:r>
              <w:rPr>
                <w:rFonts w:hint="eastAsia" w:ascii="宋体" w:hAnsi="宋体" w:cs="Arial"/>
                <w:color w:val="auto"/>
                <w:sz w:val="18"/>
                <w:szCs w:val="18"/>
              </w:rPr>
              <w:t>9.配备≥2路HDMI视频输入接口(HDMI版本≥2.0)、≥1路HDMI视频输出接口(HDMI版本≥2.0)、≥1路TOUCH 接口(支持对外POE供电)、≥3路USB接口；</w:t>
            </w:r>
          </w:p>
          <w:p w14:paraId="324AEDF1">
            <w:pPr>
              <w:widowControl/>
              <w:spacing w:line="400" w:lineRule="exact"/>
              <w:rPr>
                <w:rFonts w:ascii="宋体" w:hAnsi="宋体" w:cs="Arial"/>
                <w:color w:val="auto"/>
                <w:sz w:val="18"/>
                <w:szCs w:val="18"/>
              </w:rPr>
            </w:pPr>
            <w:r>
              <w:rPr>
                <w:rFonts w:hint="eastAsia" w:ascii="宋体" w:hAnsi="宋体" w:cs="Arial"/>
                <w:color w:val="auto"/>
                <w:sz w:val="18"/>
                <w:szCs w:val="18"/>
              </w:rPr>
              <w:t>10.支持H.239、BFCP标准双流协议；在主流1080p30编码情况下，辅流支持1080p30编码，同时支持主流4K60解码；</w:t>
            </w:r>
          </w:p>
          <w:p w14:paraId="5F0F5883">
            <w:pPr>
              <w:widowControl/>
              <w:spacing w:line="400" w:lineRule="exact"/>
              <w:rPr>
                <w:rFonts w:ascii="宋体" w:hAnsi="宋体" w:cs="Arial"/>
                <w:color w:val="auto"/>
                <w:sz w:val="18"/>
                <w:szCs w:val="18"/>
              </w:rPr>
            </w:pPr>
            <w:r>
              <w:rPr>
                <w:rFonts w:hint="eastAsia" w:ascii="宋体" w:hAnsi="宋体" w:cs="Arial"/>
                <w:color w:val="auto"/>
                <w:sz w:val="18"/>
                <w:szCs w:val="18"/>
              </w:rPr>
              <w:t>11.支持Web控制台，可进行终端控制，支持信息查看、配置管理、接口管理、显示及音效管理、安全配置、用户管理、终端诊断等；</w:t>
            </w:r>
          </w:p>
          <w:p w14:paraId="674153DB">
            <w:pPr>
              <w:widowControl/>
              <w:spacing w:line="400" w:lineRule="exact"/>
              <w:rPr>
                <w:rFonts w:ascii="宋体" w:hAnsi="宋体" w:cs="Arial"/>
                <w:color w:val="auto"/>
                <w:sz w:val="18"/>
                <w:szCs w:val="18"/>
              </w:rPr>
            </w:pPr>
            <w:r>
              <w:rPr>
                <w:rFonts w:hint="eastAsia" w:ascii="宋体" w:hAnsi="宋体" w:cs="Arial"/>
                <w:color w:val="auto"/>
                <w:sz w:val="18"/>
                <w:szCs w:val="18"/>
              </w:rPr>
              <w:t>▲12.支持SM1、SM2、SM3、SM4国密加密算法；(提供带有CMA 或CNAS 标识的第三方权威检测机构出具的检测报告扫描件证明)</w:t>
            </w:r>
          </w:p>
          <w:p w14:paraId="52BBCF37">
            <w:pPr>
              <w:widowControl/>
              <w:spacing w:line="400" w:lineRule="exact"/>
              <w:rPr>
                <w:rFonts w:ascii="宋体" w:hAnsi="宋体" w:cs="Arial"/>
                <w:color w:val="auto"/>
                <w:sz w:val="18"/>
                <w:szCs w:val="18"/>
              </w:rPr>
            </w:pPr>
            <w:r>
              <w:rPr>
                <w:rFonts w:hint="eastAsia" w:ascii="宋体" w:hAnsi="宋体" w:cs="Arial"/>
                <w:color w:val="auto"/>
                <w:sz w:val="18"/>
                <w:szCs w:val="18"/>
              </w:rPr>
              <w:t>▲13.通过国家强制性产品认证。（提供3C 认证证书扫描件证明）</w:t>
            </w:r>
          </w:p>
        </w:tc>
        <w:tc>
          <w:tcPr>
            <w:tcW w:w="900" w:type="dxa"/>
            <w:tcBorders>
              <w:top w:val="nil"/>
              <w:left w:val="nil"/>
              <w:bottom w:val="single" w:color="auto" w:sz="4" w:space="0"/>
              <w:right w:val="single" w:color="auto" w:sz="4" w:space="0"/>
            </w:tcBorders>
            <w:vAlign w:val="center"/>
          </w:tcPr>
          <w:p w14:paraId="0A0941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20184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A7521F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FD2F106">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指挥大厅及值班室所需桌椅等</w:t>
            </w:r>
          </w:p>
        </w:tc>
      </w:tr>
      <w:tr w14:paraId="2BD904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A3B4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55DDF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7 人组指挥席</w:t>
            </w:r>
          </w:p>
        </w:tc>
        <w:tc>
          <w:tcPr>
            <w:tcW w:w="5717" w:type="dxa"/>
            <w:tcBorders>
              <w:top w:val="nil"/>
              <w:left w:val="nil"/>
              <w:bottom w:val="single" w:color="auto" w:sz="4" w:space="0"/>
              <w:right w:val="single" w:color="auto" w:sz="4" w:space="0"/>
            </w:tcBorders>
            <w:vAlign w:val="center"/>
          </w:tcPr>
          <w:p w14:paraId="7DA04DF6">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1.风格需与装修风格匹配，配备透明亚克力、冰蓝色灯带；</w:t>
            </w:r>
          </w:p>
          <w:p w14:paraId="523C2B5A">
            <w:pPr>
              <w:widowControl/>
              <w:spacing w:line="400" w:lineRule="exact"/>
              <w:jc w:val="left"/>
              <w:rPr>
                <w:rFonts w:ascii="宋体" w:hAnsi="宋体" w:cs="Arial"/>
                <w:color w:val="auto"/>
                <w:sz w:val="18"/>
                <w:szCs w:val="18"/>
              </w:rPr>
            </w:pPr>
            <w:r>
              <w:rPr>
                <w:rFonts w:hint="eastAsia" w:ascii="宋体" w:hAnsi="宋体" w:cs="Arial"/>
                <w:color w:val="auto"/>
                <w:sz w:val="18"/>
                <w:szCs w:val="18"/>
              </w:rPr>
              <w:t>2.台面与侧板采用E1级实木颗粒板，具有耐潮、耐热、抗刮、耐烟灼、不滋生霉菌、易清理、寿命长等特点；</w:t>
            </w:r>
          </w:p>
          <w:p w14:paraId="723C0EDB">
            <w:pPr>
              <w:widowControl/>
              <w:spacing w:line="400" w:lineRule="exact"/>
              <w:jc w:val="left"/>
              <w:rPr>
                <w:rFonts w:ascii="宋体" w:hAnsi="宋体" w:cs="Arial"/>
                <w:color w:val="auto"/>
                <w:sz w:val="18"/>
                <w:szCs w:val="18"/>
              </w:rPr>
            </w:pPr>
            <w:r>
              <w:rPr>
                <w:rFonts w:hint="eastAsia" w:ascii="宋体" w:hAnsi="宋体" w:cs="Arial"/>
                <w:color w:val="auto"/>
                <w:sz w:val="18"/>
                <w:szCs w:val="18"/>
              </w:rPr>
              <w:t>3.各部件使用优质冷轧钢板冲压折弯成型，主体框架采用厚度≥1.2mm的一级冷轧钢板，承重梁部件使用厚度≥1.2mm的冷轧钢板；铆接拼装，外表面静电塑粉喷涂；</w:t>
            </w:r>
          </w:p>
          <w:p w14:paraId="4018A3C2">
            <w:pPr>
              <w:widowControl/>
              <w:spacing w:line="400" w:lineRule="exact"/>
              <w:jc w:val="left"/>
              <w:rPr>
                <w:rFonts w:ascii="宋体" w:hAnsi="宋体" w:cs="Arial"/>
                <w:color w:val="auto"/>
                <w:sz w:val="18"/>
                <w:szCs w:val="18"/>
              </w:rPr>
            </w:pPr>
            <w:r>
              <w:rPr>
                <w:rFonts w:hint="eastAsia" w:ascii="宋体" w:hAnsi="宋体" w:cs="Arial"/>
                <w:color w:val="auto"/>
                <w:sz w:val="18"/>
                <w:szCs w:val="18"/>
              </w:rPr>
              <w:t>4.门板使用厚度≥1.0mm的冷轧钢板，冲压成型；门板均可以打开；</w:t>
            </w:r>
          </w:p>
          <w:p w14:paraId="1D5A801C">
            <w:pPr>
              <w:widowControl/>
              <w:spacing w:line="400" w:lineRule="exact"/>
              <w:jc w:val="left"/>
              <w:rPr>
                <w:rFonts w:ascii="宋体" w:hAnsi="宋体" w:cs="Arial"/>
                <w:color w:val="auto"/>
                <w:sz w:val="18"/>
                <w:szCs w:val="18"/>
              </w:rPr>
            </w:pPr>
            <w:r>
              <w:rPr>
                <w:rFonts w:hint="eastAsia" w:ascii="宋体" w:hAnsi="宋体" w:cs="Arial"/>
                <w:color w:val="auto"/>
                <w:sz w:val="18"/>
                <w:szCs w:val="18"/>
              </w:rPr>
              <w:t>5.可容纳≥7人席位。</w:t>
            </w:r>
          </w:p>
        </w:tc>
        <w:tc>
          <w:tcPr>
            <w:tcW w:w="900" w:type="dxa"/>
            <w:tcBorders>
              <w:top w:val="nil"/>
              <w:left w:val="nil"/>
              <w:bottom w:val="single" w:color="auto" w:sz="4" w:space="0"/>
              <w:right w:val="single" w:color="auto" w:sz="4" w:space="0"/>
            </w:tcBorders>
            <w:vAlign w:val="center"/>
          </w:tcPr>
          <w:p w14:paraId="33F175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139A7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CA0F4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F9EA3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3E146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6 人位操作席</w:t>
            </w:r>
          </w:p>
        </w:tc>
        <w:tc>
          <w:tcPr>
            <w:tcW w:w="5717" w:type="dxa"/>
            <w:tcBorders>
              <w:top w:val="nil"/>
              <w:left w:val="nil"/>
              <w:bottom w:val="single" w:color="auto" w:sz="4" w:space="0"/>
              <w:right w:val="single" w:color="auto" w:sz="4" w:space="0"/>
            </w:tcBorders>
            <w:vAlign w:val="center"/>
          </w:tcPr>
          <w:p w14:paraId="5363C816">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1.风格需与装修风格匹配，配备透明亚克力、冰蓝色灯带；</w:t>
            </w:r>
          </w:p>
          <w:p w14:paraId="3550EA78">
            <w:pPr>
              <w:widowControl/>
              <w:spacing w:line="400" w:lineRule="exact"/>
              <w:jc w:val="left"/>
              <w:rPr>
                <w:rFonts w:ascii="宋体" w:hAnsi="宋体" w:cs="Arial"/>
                <w:color w:val="auto"/>
                <w:sz w:val="18"/>
                <w:szCs w:val="18"/>
              </w:rPr>
            </w:pPr>
            <w:r>
              <w:rPr>
                <w:rFonts w:hint="eastAsia" w:ascii="宋体" w:hAnsi="宋体" w:cs="Arial"/>
                <w:color w:val="auto"/>
                <w:sz w:val="18"/>
                <w:szCs w:val="18"/>
              </w:rPr>
              <w:t>2.台面与侧板采用E1级实木颗粒板，具有耐潮、耐热、抗刮、耐烟灼、不滋生霉菌、易清理、寿命长等特点；</w:t>
            </w:r>
          </w:p>
          <w:p w14:paraId="36FF3D18">
            <w:pPr>
              <w:widowControl/>
              <w:spacing w:line="400" w:lineRule="exact"/>
              <w:jc w:val="left"/>
              <w:rPr>
                <w:rFonts w:ascii="宋体" w:hAnsi="宋体" w:cs="Arial"/>
                <w:color w:val="auto"/>
                <w:sz w:val="18"/>
                <w:szCs w:val="18"/>
              </w:rPr>
            </w:pPr>
            <w:r>
              <w:rPr>
                <w:rFonts w:hint="eastAsia" w:ascii="宋体" w:hAnsi="宋体" w:cs="Arial"/>
                <w:color w:val="auto"/>
                <w:sz w:val="18"/>
                <w:szCs w:val="18"/>
              </w:rPr>
              <w:t>3.各部件使用优质冷轧钢板冲压折弯成型，主体框架采用厚度≥1.2mm的一级冷轧钢板，承重梁部件使用厚度≥1.2mm的冷轧钢板；铆接拼装，外表面静电塑粉喷涂；</w:t>
            </w:r>
          </w:p>
          <w:p w14:paraId="00BCE28B">
            <w:pPr>
              <w:widowControl/>
              <w:spacing w:line="400" w:lineRule="exact"/>
              <w:jc w:val="left"/>
              <w:rPr>
                <w:rFonts w:ascii="宋体" w:hAnsi="宋体" w:cs="Arial"/>
                <w:color w:val="auto"/>
                <w:sz w:val="18"/>
                <w:szCs w:val="18"/>
              </w:rPr>
            </w:pPr>
            <w:r>
              <w:rPr>
                <w:rFonts w:hint="eastAsia" w:ascii="宋体" w:hAnsi="宋体" w:cs="Arial"/>
                <w:color w:val="auto"/>
                <w:sz w:val="18"/>
                <w:szCs w:val="18"/>
              </w:rPr>
              <w:t>4.门板使用厚度≥1.0mm的冷轧钢板，冲压成型；门板均可以打开；</w:t>
            </w:r>
          </w:p>
          <w:p w14:paraId="3466A2C2">
            <w:pPr>
              <w:widowControl/>
              <w:spacing w:line="400" w:lineRule="exact"/>
              <w:jc w:val="left"/>
              <w:rPr>
                <w:rFonts w:ascii="宋体" w:hAnsi="宋体" w:cs="Arial"/>
                <w:color w:val="auto"/>
                <w:sz w:val="18"/>
                <w:szCs w:val="18"/>
              </w:rPr>
            </w:pPr>
            <w:r>
              <w:rPr>
                <w:rFonts w:hint="eastAsia" w:ascii="宋体" w:hAnsi="宋体" w:cs="Arial"/>
                <w:color w:val="auto"/>
                <w:sz w:val="18"/>
                <w:szCs w:val="18"/>
              </w:rPr>
              <w:t>5.可容纳≥6人席位。</w:t>
            </w:r>
          </w:p>
        </w:tc>
        <w:tc>
          <w:tcPr>
            <w:tcW w:w="900" w:type="dxa"/>
            <w:tcBorders>
              <w:top w:val="nil"/>
              <w:left w:val="nil"/>
              <w:bottom w:val="single" w:color="auto" w:sz="4" w:space="0"/>
              <w:right w:val="single" w:color="auto" w:sz="4" w:space="0"/>
            </w:tcBorders>
            <w:vAlign w:val="center"/>
          </w:tcPr>
          <w:p w14:paraId="607EB6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8269E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4282D7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DAA7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06B9C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指挥和操作席座椅</w:t>
            </w:r>
          </w:p>
        </w:tc>
        <w:tc>
          <w:tcPr>
            <w:tcW w:w="5717" w:type="dxa"/>
            <w:tcBorders>
              <w:top w:val="nil"/>
              <w:left w:val="nil"/>
              <w:bottom w:val="single" w:color="auto" w:sz="4" w:space="0"/>
              <w:right w:val="single" w:color="auto" w:sz="4" w:space="0"/>
            </w:tcBorders>
            <w:vAlign w:val="center"/>
          </w:tcPr>
          <w:p w14:paraId="12DFBE2C">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11998904">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2.配备固定宽边棉头枕；加纤背框透气网布；加纤宽边大扶手；</w:t>
            </w:r>
          </w:p>
          <w:p w14:paraId="4C4EFA00">
            <w:pPr>
              <w:widowControl/>
              <w:spacing w:line="400" w:lineRule="exact"/>
              <w:jc w:val="left"/>
              <w:rPr>
                <w:rFonts w:ascii="宋体" w:hAnsi="宋体" w:cs="Arial"/>
                <w:color w:val="auto"/>
                <w:sz w:val="18"/>
                <w:szCs w:val="18"/>
              </w:rPr>
            </w:pPr>
            <w:r>
              <w:rPr>
                <w:rFonts w:hint="eastAsia" w:ascii="宋体" w:hAnsi="宋体" w:cs="Arial"/>
                <w:color w:val="auto"/>
                <w:sz w:val="18"/>
                <w:szCs w:val="18"/>
              </w:rPr>
              <w:t>3.高密度纯绵坐垫，防尘底壳，透气网布；</w:t>
            </w:r>
          </w:p>
          <w:p w14:paraId="180C2CFA">
            <w:pPr>
              <w:widowControl/>
              <w:spacing w:line="400" w:lineRule="exact"/>
              <w:jc w:val="left"/>
              <w:rPr>
                <w:rFonts w:ascii="宋体" w:hAnsi="宋体" w:cs="Arial"/>
                <w:color w:val="auto"/>
                <w:sz w:val="18"/>
                <w:szCs w:val="18"/>
              </w:rPr>
            </w:pPr>
            <w:r>
              <w:rPr>
                <w:rFonts w:hint="eastAsia" w:ascii="宋体" w:hAnsi="宋体" w:cs="Arial"/>
                <w:color w:val="auto"/>
                <w:sz w:val="18"/>
                <w:szCs w:val="18"/>
              </w:rPr>
              <w:t>4.中班蝴蝶底盘，可倾仰；三级气杆；</w:t>
            </w:r>
          </w:p>
          <w:p w14:paraId="6B583ECA">
            <w:pPr>
              <w:widowControl/>
              <w:spacing w:line="400" w:lineRule="exact"/>
              <w:jc w:val="left"/>
              <w:rPr>
                <w:rFonts w:ascii="宋体" w:hAnsi="宋体" w:cs="Arial"/>
                <w:color w:val="auto"/>
                <w:sz w:val="18"/>
                <w:szCs w:val="18"/>
              </w:rPr>
            </w:pPr>
            <w:r>
              <w:rPr>
                <w:rFonts w:hint="eastAsia" w:ascii="宋体" w:hAnsi="宋体" w:cs="Arial"/>
                <w:color w:val="auto"/>
                <w:sz w:val="18"/>
                <w:szCs w:val="18"/>
              </w:rPr>
              <w:t>5.八爪脚，静压≥1000KG；静音脚轮。</w:t>
            </w:r>
          </w:p>
        </w:tc>
        <w:tc>
          <w:tcPr>
            <w:tcW w:w="900" w:type="dxa"/>
            <w:tcBorders>
              <w:top w:val="nil"/>
              <w:left w:val="nil"/>
              <w:bottom w:val="single" w:color="auto" w:sz="4" w:space="0"/>
              <w:right w:val="single" w:color="auto" w:sz="4" w:space="0"/>
            </w:tcBorders>
            <w:vAlign w:val="center"/>
          </w:tcPr>
          <w:p w14:paraId="336DBF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13.00 </w:t>
            </w:r>
          </w:p>
        </w:tc>
        <w:tc>
          <w:tcPr>
            <w:tcW w:w="849" w:type="dxa"/>
            <w:gridSpan w:val="2"/>
            <w:tcBorders>
              <w:top w:val="nil"/>
              <w:left w:val="nil"/>
              <w:bottom w:val="single" w:color="auto" w:sz="4" w:space="0"/>
              <w:right w:val="single" w:color="auto" w:sz="4" w:space="0"/>
            </w:tcBorders>
            <w:vAlign w:val="center"/>
          </w:tcPr>
          <w:p w14:paraId="1450A0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131AB3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646E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BE335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列席区五人位</w:t>
            </w:r>
          </w:p>
        </w:tc>
        <w:tc>
          <w:tcPr>
            <w:tcW w:w="5717" w:type="dxa"/>
            <w:tcBorders>
              <w:top w:val="nil"/>
              <w:left w:val="nil"/>
              <w:bottom w:val="single" w:color="auto" w:sz="4" w:space="0"/>
              <w:right w:val="single" w:color="auto" w:sz="4" w:space="0"/>
            </w:tcBorders>
            <w:vAlign w:val="center"/>
          </w:tcPr>
          <w:p w14:paraId="1FF9EA65">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4E161FEF">
            <w:pPr>
              <w:widowControl/>
              <w:spacing w:line="400" w:lineRule="exact"/>
              <w:jc w:val="left"/>
              <w:rPr>
                <w:rFonts w:ascii="宋体" w:hAnsi="宋体" w:cs="Arial"/>
                <w:color w:val="auto"/>
                <w:sz w:val="18"/>
                <w:szCs w:val="18"/>
              </w:rPr>
            </w:pPr>
            <w:r>
              <w:rPr>
                <w:rFonts w:hint="eastAsia" w:ascii="宋体" w:hAnsi="宋体" w:cs="Arial"/>
                <w:color w:val="auto"/>
                <w:sz w:val="18"/>
                <w:szCs w:val="18"/>
              </w:rPr>
              <w:t>2.烤漆面材；水性油漆，采用五层底漆五层面漆；</w:t>
            </w:r>
          </w:p>
          <w:p w14:paraId="787CD982">
            <w:pPr>
              <w:widowControl/>
              <w:spacing w:line="400" w:lineRule="exact"/>
              <w:jc w:val="left"/>
              <w:rPr>
                <w:rFonts w:ascii="宋体" w:hAnsi="宋体" w:cs="Arial"/>
                <w:color w:val="auto"/>
                <w:sz w:val="18"/>
                <w:szCs w:val="18"/>
              </w:rPr>
            </w:pPr>
            <w:r>
              <w:rPr>
                <w:rFonts w:hint="eastAsia" w:ascii="宋体" w:hAnsi="宋体" w:cs="Arial"/>
                <w:color w:val="auto"/>
                <w:sz w:val="18"/>
                <w:szCs w:val="18"/>
              </w:rPr>
              <w:t>3.基材采用E1级环保型纤维板，使用环保胶水；</w:t>
            </w:r>
          </w:p>
          <w:p w14:paraId="36987175">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4.可容纳≥5人席位。</w:t>
            </w:r>
          </w:p>
        </w:tc>
        <w:tc>
          <w:tcPr>
            <w:tcW w:w="900" w:type="dxa"/>
            <w:tcBorders>
              <w:top w:val="nil"/>
              <w:left w:val="nil"/>
              <w:bottom w:val="single" w:color="auto" w:sz="4" w:space="0"/>
              <w:right w:val="single" w:color="auto" w:sz="4" w:space="0"/>
            </w:tcBorders>
            <w:vAlign w:val="center"/>
          </w:tcPr>
          <w:p w14:paraId="11455D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D1B73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72B7B2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81F7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A06B4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列席区六人位</w:t>
            </w:r>
          </w:p>
        </w:tc>
        <w:tc>
          <w:tcPr>
            <w:tcW w:w="5717" w:type="dxa"/>
            <w:tcBorders>
              <w:top w:val="nil"/>
              <w:left w:val="nil"/>
              <w:bottom w:val="single" w:color="auto" w:sz="4" w:space="0"/>
              <w:right w:val="single" w:color="auto" w:sz="4" w:space="0"/>
            </w:tcBorders>
            <w:vAlign w:val="center"/>
          </w:tcPr>
          <w:p w14:paraId="72849F04">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68140D91">
            <w:pPr>
              <w:widowControl/>
              <w:spacing w:line="400" w:lineRule="exact"/>
              <w:jc w:val="left"/>
              <w:rPr>
                <w:rFonts w:ascii="宋体" w:hAnsi="宋体" w:cs="Arial"/>
                <w:color w:val="auto"/>
                <w:sz w:val="18"/>
                <w:szCs w:val="18"/>
              </w:rPr>
            </w:pPr>
            <w:r>
              <w:rPr>
                <w:rFonts w:hint="eastAsia" w:ascii="宋体" w:hAnsi="宋体" w:cs="Arial"/>
                <w:color w:val="auto"/>
                <w:sz w:val="18"/>
                <w:szCs w:val="18"/>
              </w:rPr>
              <w:t>2.烤漆面材；水性油漆，采用五层底漆五层面漆；</w:t>
            </w:r>
          </w:p>
          <w:p w14:paraId="547D8A67">
            <w:pPr>
              <w:widowControl/>
              <w:spacing w:line="400" w:lineRule="exact"/>
              <w:jc w:val="left"/>
              <w:rPr>
                <w:rFonts w:ascii="宋体" w:hAnsi="宋体" w:cs="Arial"/>
                <w:color w:val="auto"/>
                <w:sz w:val="18"/>
                <w:szCs w:val="18"/>
              </w:rPr>
            </w:pPr>
            <w:r>
              <w:rPr>
                <w:rFonts w:hint="eastAsia" w:ascii="宋体" w:hAnsi="宋体" w:cs="Arial"/>
                <w:color w:val="auto"/>
                <w:sz w:val="18"/>
                <w:szCs w:val="18"/>
              </w:rPr>
              <w:t>3.基材采用E1级环保型纤维板，使用环保胶水；</w:t>
            </w:r>
          </w:p>
          <w:p w14:paraId="7E59EFED">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4.可容纳≥6人席位。</w:t>
            </w:r>
          </w:p>
        </w:tc>
        <w:tc>
          <w:tcPr>
            <w:tcW w:w="900" w:type="dxa"/>
            <w:tcBorders>
              <w:top w:val="nil"/>
              <w:left w:val="nil"/>
              <w:bottom w:val="single" w:color="auto" w:sz="4" w:space="0"/>
              <w:right w:val="single" w:color="auto" w:sz="4" w:space="0"/>
            </w:tcBorders>
            <w:vAlign w:val="center"/>
          </w:tcPr>
          <w:p w14:paraId="5B5642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74C5A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D675C2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A20AA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2375C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列席区四人位</w:t>
            </w:r>
          </w:p>
        </w:tc>
        <w:tc>
          <w:tcPr>
            <w:tcW w:w="5717" w:type="dxa"/>
            <w:tcBorders>
              <w:top w:val="nil"/>
              <w:left w:val="nil"/>
              <w:bottom w:val="single" w:color="auto" w:sz="4" w:space="0"/>
              <w:right w:val="single" w:color="auto" w:sz="4" w:space="0"/>
            </w:tcBorders>
            <w:vAlign w:val="center"/>
          </w:tcPr>
          <w:p w14:paraId="25FC4E3E">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00EBCFFC">
            <w:pPr>
              <w:widowControl/>
              <w:spacing w:line="400" w:lineRule="exact"/>
              <w:jc w:val="left"/>
              <w:rPr>
                <w:rFonts w:ascii="宋体" w:hAnsi="宋体" w:cs="Arial"/>
                <w:color w:val="auto"/>
                <w:sz w:val="18"/>
                <w:szCs w:val="18"/>
              </w:rPr>
            </w:pPr>
            <w:r>
              <w:rPr>
                <w:rFonts w:hint="eastAsia" w:ascii="宋体" w:hAnsi="宋体" w:cs="Arial"/>
                <w:color w:val="auto"/>
                <w:sz w:val="18"/>
                <w:szCs w:val="18"/>
              </w:rPr>
              <w:t>2.烤漆面材；水性油漆，采用五层底漆五层面漆；</w:t>
            </w:r>
          </w:p>
          <w:p w14:paraId="3D86A886">
            <w:pPr>
              <w:widowControl/>
              <w:spacing w:line="400" w:lineRule="exact"/>
              <w:jc w:val="left"/>
              <w:rPr>
                <w:rFonts w:ascii="宋体" w:hAnsi="宋体" w:cs="Arial"/>
                <w:color w:val="auto"/>
                <w:sz w:val="18"/>
                <w:szCs w:val="18"/>
              </w:rPr>
            </w:pPr>
            <w:r>
              <w:rPr>
                <w:rFonts w:hint="eastAsia" w:ascii="宋体" w:hAnsi="宋体" w:cs="Arial"/>
                <w:color w:val="auto"/>
                <w:sz w:val="18"/>
                <w:szCs w:val="18"/>
              </w:rPr>
              <w:t>3.基材采用E1级环保型纤维板，使用环保胶水；</w:t>
            </w:r>
          </w:p>
          <w:p w14:paraId="40EA8E4B">
            <w:pPr>
              <w:widowControl/>
              <w:spacing w:line="400" w:lineRule="exact"/>
              <w:jc w:val="left"/>
              <w:rPr>
                <w:rFonts w:ascii="宋体" w:hAnsi="宋体" w:cs="Arial"/>
                <w:color w:val="auto"/>
                <w:sz w:val="18"/>
                <w:szCs w:val="18"/>
              </w:rPr>
            </w:pPr>
            <w:r>
              <w:rPr>
                <w:rFonts w:hint="eastAsia" w:ascii="宋体" w:hAnsi="宋体" w:cs="Arial"/>
                <w:color w:val="auto"/>
                <w:sz w:val="18"/>
                <w:szCs w:val="18"/>
              </w:rPr>
              <w:t>4.可容纳≥4人席位。</w:t>
            </w:r>
          </w:p>
        </w:tc>
        <w:tc>
          <w:tcPr>
            <w:tcW w:w="900" w:type="dxa"/>
            <w:tcBorders>
              <w:top w:val="nil"/>
              <w:left w:val="nil"/>
              <w:bottom w:val="single" w:color="auto" w:sz="4" w:space="0"/>
              <w:right w:val="single" w:color="auto" w:sz="4" w:space="0"/>
            </w:tcBorders>
            <w:vAlign w:val="center"/>
          </w:tcPr>
          <w:p w14:paraId="0161B7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CC3C4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75A3C6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147C4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5942F5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列席区办公椅</w:t>
            </w:r>
          </w:p>
        </w:tc>
        <w:tc>
          <w:tcPr>
            <w:tcW w:w="5717" w:type="dxa"/>
            <w:tcBorders>
              <w:top w:val="nil"/>
              <w:left w:val="nil"/>
              <w:bottom w:val="single" w:color="auto" w:sz="4" w:space="0"/>
              <w:right w:val="single" w:color="auto" w:sz="4" w:space="0"/>
            </w:tcBorders>
            <w:vAlign w:val="center"/>
          </w:tcPr>
          <w:p w14:paraId="6991E4F8">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22370940">
            <w:pPr>
              <w:widowControl/>
              <w:spacing w:line="400" w:lineRule="exact"/>
              <w:jc w:val="left"/>
              <w:rPr>
                <w:rFonts w:ascii="宋体" w:hAnsi="宋体" w:cs="Arial"/>
                <w:color w:val="auto"/>
                <w:sz w:val="18"/>
                <w:szCs w:val="18"/>
              </w:rPr>
            </w:pPr>
            <w:r>
              <w:rPr>
                <w:rFonts w:hint="eastAsia" w:ascii="宋体" w:hAnsi="宋体" w:cs="Arial"/>
                <w:color w:val="auto"/>
                <w:sz w:val="18"/>
                <w:szCs w:val="18"/>
              </w:rPr>
              <w:t>2.带头枕、尼龙脚、固定扶手、脚架；</w:t>
            </w:r>
          </w:p>
          <w:p w14:paraId="78CBA6C5">
            <w:pPr>
              <w:widowControl/>
              <w:spacing w:line="400" w:lineRule="exact"/>
              <w:jc w:val="left"/>
              <w:rPr>
                <w:rFonts w:ascii="宋体" w:hAnsi="宋体" w:cs="Arial"/>
                <w:color w:val="auto"/>
                <w:sz w:val="18"/>
                <w:szCs w:val="18"/>
              </w:rPr>
            </w:pPr>
            <w:r>
              <w:rPr>
                <w:rFonts w:hint="eastAsia" w:ascii="宋体" w:hAnsi="宋体" w:cs="Arial"/>
                <w:color w:val="auto"/>
                <w:sz w:val="18"/>
                <w:szCs w:val="18"/>
              </w:rPr>
              <w:t>3.优质网布，优质高弹泡棉。</w:t>
            </w:r>
          </w:p>
        </w:tc>
        <w:tc>
          <w:tcPr>
            <w:tcW w:w="900" w:type="dxa"/>
            <w:tcBorders>
              <w:top w:val="nil"/>
              <w:left w:val="nil"/>
              <w:bottom w:val="single" w:color="auto" w:sz="4" w:space="0"/>
              <w:right w:val="single" w:color="auto" w:sz="4" w:space="0"/>
            </w:tcBorders>
            <w:vAlign w:val="center"/>
          </w:tcPr>
          <w:p w14:paraId="37C9BB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513347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把</w:t>
            </w:r>
          </w:p>
        </w:tc>
      </w:tr>
      <w:tr w14:paraId="52CD1F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CB89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6A5908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值班室办公桌</w:t>
            </w:r>
          </w:p>
        </w:tc>
        <w:tc>
          <w:tcPr>
            <w:tcW w:w="5717" w:type="dxa"/>
            <w:tcBorders>
              <w:top w:val="nil"/>
              <w:left w:val="nil"/>
              <w:bottom w:val="single" w:color="auto" w:sz="4" w:space="0"/>
              <w:right w:val="single" w:color="auto" w:sz="4" w:space="0"/>
            </w:tcBorders>
            <w:vAlign w:val="center"/>
          </w:tcPr>
          <w:p w14:paraId="7A7CBD2F">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2EDFF78B">
            <w:pPr>
              <w:widowControl/>
              <w:spacing w:line="400" w:lineRule="exact"/>
              <w:jc w:val="left"/>
              <w:rPr>
                <w:rFonts w:ascii="宋体" w:hAnsi="宋体" w:cs="Arial"/>
                <w:color w:val="auto"/>
                <w:sz w:val="18"/>
                <w:szCs w:val="18"/>
              </w:rPr>
            </w:pPr>
            <w:r>
              <w:rPr>
                <w:rFonts w:hint="eastAsia" w:ascii="宋体" w:hAnsi="宋体" w:cs="Arial"/>
                <w:color w:val="auto"/>
                <w:sz w:val="18"/>
                <w:szCs w:val="18"/>
              </w:rPr>
              <w:t>2.单人位；E1级板材，饰面纹路清晰耐用；</w:t>
            </w:r>
          </w:p>
          <w:p w14:paraId="74A77827">
            <w:pPr>
              <w:widowControl/>
              <w:spacing w:line="400" w:lineRule="exact"/>
              <w:jc w:val="left"/>
              <w:rPr>
                <w:rFonts w:ascii="宋体" w:hAnsi="宋体" w:cs="Arial"/>
                <w:color w:val="auto"/>
                <w:sz w:val="18"/>
                <w:szCs w:val="18"/>
              </w:rPr>
            </w:pPr>
            <w:r>
              <w:rPr>
                <w:rFonts w:hint="eastAsia" w:ascii="宋体" w:hAnsi="宋体" w:cs="Arial"/>
                <w:color w:val="auto"/>
                <w:sz w:val="18"/>
                <w:szCs w:val="18"/>
              </w:rPr>
              <w:t>3.封边带采用PVC树脂挤塑成型。</w:t>
            </w:r>
          </w:p>
        </w:tc>
        <w:tc>
          <w:tcPr>
            <w:tcW w:w="900" w:type="dxa"/>
            <w:tcBorders>
              <w:top w:val="nil"/>
              <w:left w:val="nil"/>
              <w:bottom w:val="single" w:color="auto" w:sz="4" w:space="0"/>
              <w:right w:val="single" w:color="auto" w:sz="4" w:space="0"/>
            </w:tcBorders>
            <w:vAlign w:val="center"/>
          </w:tcPr>
          <w:p w14:paraId="57B95A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7CDA03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88E0C4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49EE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095A83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值班室办公椅</w:t>
            </w:r>
          </w:p>
        </w:tc>
        <w:tc>
          <w:tcPr>
            <w:tcW w:w="5717" w:type="dxa"/>
            <w:tcBorders>
              <w:top w:val="nil"/>
              <w:left w:val="nil"/>
              <w:bottom w:val="single" w:color="auto" w:sz="4" w:space="0"/>
              <w:right w:val="single" w:color="auto" w:sz="4" w:space="0"/>
            </w:tcBorders>
            <w:vAlign w:val="center"/>
          </w:tcPr>
          <w:p w14:paraId="66E4F3D5">
            <w:pPr>
              <w:widowControl/>
              <w:spacing w:line="400" w:lineRule="exact"/>
              <w:jc w:val="left"/>
              <w:rPr>
                <w:rFonts w:ascii="宋体" w:hAnsi="宋体" w:cs="Arial"/>
                <w:color w:val="auto"/>
                <w:sz w:val="18"/>
                <w:szCs w:val="18"/>
              </w:rPr>
            </w:pPr>
            <w:r>
              <w:rPr>
                <w:rFonts w:hint="eastAsia" w:ascii="宋体" w:hAnsi="宋体" w:cs="Arial"/>
                <w:color w:val="auto"/>
                <w:sz w:val="18"/>
                <w:szCs w:val="18"/>
              </w:rPr>
              <w:t>1.风格需与装修风格匹配；</w:t>
            </w:r>
          </w:p>
          <w:p w14:paraId="432733CF">
            <w:pPr>
              <w:widowControl/>
              <w:spacing w:line="400" w:lineRule="exact"/>
              <w:jc w:val="left"/>
              <w:rPr>
                <w:rFonts w:ascii="宋体" w:hAnsi="宋体" w:cs="Arial"/>
                <w:color w:val="auto"/>
                <w:sz w:val="18"/>
                <w:szCs w:val="18"/>
              </w:rPr>
            </w:pPr>
            <w:r>
              <w:rPr>
                <w:rFonts w:hint="eastAsia" w:ascii="宋体" w:hAnsi="宋体" w:cs="Arial"/>
                <w:color w:val="auto"/>
                <w:sz w:val="18"/>
                <w:szCs w:val="18"/>
              </w:rPr>
              <w:t>2.带头枕、尼龙脚、固定扶手、脚架；</w:t>
            </w:r>
          </w:p>
          <w:p w14:paraId="707DBB82">
            <w:pPr>
              <w:widowControl/>
              <w:spacing w:line="400" w:lineRule="exact"/>
              <w:jc w:val="left"/>
              <w:rPr>
                <w:rFonts w:ascii="宋体" w:hAnsi="宋体" w:cs="Arial"/>
                <w:color w:val="auto"/>
                <w:sz w:val="18"/>
                <w:szCs w:val="18"/>
              </w:rPr>
            </w:pPr>
            <w:r>
              <w:rPr>
                <w:rFonts w:hint="eastAsia" w:ascii="宋体" w:hAnsi="宋体" w:cs="Arial"/>
                <w:color w:val="auto"/>
                <w:sz w:val="18"/>
                <w:szCs w:val="18"/>
              </w:rPr>
              <w:t>3.优质网布，优质高弹泡棉。</w:t>
            </w:r>
          </w:p>
        </w:tc>
        <w:tc>
          <w:tcPr>
            <w:tcW w:w="900" w:type="dxa"/>
            <w:tcBorders>
              <w:top w:val="nil"/>
              <w:left w:val="nil"/>
              <w:bottom w:val="single" w:color="auto" w:sz="4" w:space="0"/>
              <w:right w:val="single" w:color="auto" w:sz="4" w:space="0"/>
            </w:tcBorders>
            <w:vAlign w:val="center"/>
          </w:tcPr>
          <w:p w14:paraId="228F6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730CAE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A581D9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7911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1BA9C6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PDU</w:t>
            </w:r>
          </w:p>
        </w:tc>
        <w:tc>
          <w:tcPr>
            <w:tcW w:w="5717" w:type="dxa"/>
            <w:tcBorders>
              <w:top w:val="nil"/>
              <w:left w:val="nil"/>
              <w:bottom w:val="single" w:color="auto" w:sz="4" w:space="0"/>
              <w:right w:val="single" w:color="auto" w:sz="4" w:space="0"/>
            </w:tcBorders>
            <w:vAlign w:val="center"/>
          </w:tcPr>
          <w:p w14:paraId="365DCA19">
            <w:pPr>
              <w:widowControl/>
              <w:spacing w:line="400" w:lineRule="exact"/>
              <w:jc w:val="left"/>
              <w:rPr>
                <w:rFonts w:ascii="宋体" w:hAnsi="宋体" w:cs="Arial"/>
                <w:color w:val="auto"/>
                <w:sz w:val="18"/>
                <w:szCs w:val="18"/>
              </w:rPr>
            </w:pPr>
            <w:r>
              <w:rPr>
                <w:rFonts w:hint="eastAsia" w:ascii="宋体" w:hAnsi="宋体" w:cs="Arial"/>
                <w:color w:val="auto"/>
                <w:sz w:val="18"/>
                <w:szCs w:val="18"/>
              </w:rPr>
              <w:t>1.金属外壳，内部模块采用绝缘材料，防火阻燃，具有耐磨、耐冲击、防潮性等特性；</w:t>
            </w:r>
          </w:p>
          <w:p w14:paraId="06EF6B0E">
            <w:pPr>
              <w:widowControl/>
              <w:spacing w:line="400" w:lineRule="exact"/>
              <w:jc w:val="left"/>
              <w:rPr>
                <w:rFonts w:ascii="宋体" w:hAnsi="宋体" w:cs="Arial"/>
                <w:color w:val="auto"/>
                <w:sz w:val="18"/>
                <w:szCs w:val="18"/>
              </w:rPr>
            </w:pPr>
            <w:r>
              <w:rPr>
                <w:rFonts w:hint="eastAsia" w:ascii="宋体" w:hAnsi="宋体" w:cs="Arial"/>
                <w:color w:val="auto"/>
                <w:sz w:val="18"/>
                <w:szCs w:val="18"/>
              </w:rPr>
              <w:t>2.插接簧片采用优质铜材，具有良好的导通性、弹性、耐磨性、抗磁性及耐腐蚀性；</w:t>
            </w:r>
          </w:p>
          <w:p w14:paraId="2857A0EC">
            <w:pPr>
              <w:widowControl/>
              <w:spacing w:line="400" w:lineRule="exact"/>
              <w:jc w:val="left"/>
              <w:rPr>
                <w:rFonts w:ascii="宋体" w:hAnsi="宋体" w:cs="Arial"/>
                <w:color w:val="auto"/>
                <w:sz w:val="18"/>
                <w:szCs w:val="18"/>
              </w:rPr>
            </w:pPr>
            <w:r>
              <w:rPr>
                <w:rFonts w:hint="eastAsia" w:ascii="宋体" w:hAnsi="宋体" w:cs="Arial"/>
                <w:color w:val="auto"/>
                <w:sz w:val="18"/>
                <w:szCs w:val="18"/>
              </w:rPr>
              <w:t>3.模块之间采用端子和母线连接方式，单点故障不影响其他点连接；</w:t>
            </w:r>
          </w:p>
          <w:p w14:paraId="5B3372C7">
            <w:pPr>
              <w:widowControl/>
              <w:spacing w:line="400" w:lineRule="exact"/>
              <w:jc w:val="left"/>
              <w:rPr>
                <w:rFonts w:ascii="宋体" w:hAnsi="宋体" w:cs="Arial"/>
                <w:color w:val="auto"/>
                <w:sz w:val="18"/>
                <w:szCs w:val="18"/>
              </w:rPr>
            </w:pPr>
            <w:r>
              <w:rPr>
                <w:rFonts w:hint="eastAsia" w:ascii="宋体" w:hAnsi="宋体" w:cs="Arial"/>
                <w:color w:val="auto"/>
                <w:sz w:val="18"/>
                <w:szCs w:val="18"/>
              </w:rPr>
              <w:t>4.输入线长≥2m，配备≥16A国标插头；配备≥8位三扁国标孔(10A)。</w:t>
            </w:r>
          </w:p>
        </w:tc>
        <w:tc>
          <w:tcPr>
            <w:tcW w:w="900" w:type="dxa"/>
            <w:tcBorders>
              <w:top w:val="nil"/>
              <w:left w:val="nil"/>
              <w:bottom w:val="single" w:color="auto" w:sz="4" w:space="0"/>
              <w:right w:val="single" w:color="auto" w:sz="4" w:space="0"/>
            </w:tcBorders>
            <w:vAlign w:val="center"/>
          </w:tcPr>
          <w:p w14:paraId="5FC72E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75A9D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42D64DE">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2013A7B">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指挥大厅改造（支撑环境升级改造土建部分）</w:t>
            </w:r>
          </w:p>
        </w:tc>
      </w:tr>
      <w:tr w14:paraId="0F3B390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55DEC33">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w:t>
            </w:r>
          </w:p>
        </w:tc>
      </w:tr>
      <w:tr w14:paraId="5EB4E8D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073C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69B54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拆除（吊顶）</w:t>
            </w:r>
          </w:p>
        </w:tc>
        <w:tc>
          <w:tcPr>
            <w:tcW w:w="5717" w:type="dxa"/>
            <w:tcBorders>
              <w:top w:val="nil"/>
              <w:left w:val="nil"/>
              <w:bottom w:val="single" w:color="auto" w:sz="4" w:space="0"/>
              <w:right w:val="single" w:color="auto" w:sz="4" w:space="0"/>
            </w:tcBorders>
            <w:vAlign w:val="center"/>
          </w:tcPr>
          <w:p w14:paraId="300B2BDD">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原有吊顶拆除，垃圾集中堆放</w:t>
            </w:r>
          </w:p>
        </w:tc>
        <w:tc>
          <w:tcPr>
            <w:tcW w:w="900" w:type="dxa"/>
            <w:tcBorders>
              <w:top w:val="nil"/>
              <w:left w:val="nil"/>
              <w:bottom w:val="single" w:color="auto" w:sz="4" w:space="0"/>
              <w:right w:val="single" w:color="auto" w:sz="4" w:space="0"/>
            </w:tcBorders>
            <w:vAlign w:val="center"/>
          </w:tcPr>
          <w:p w14:paraId="379E82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5707BB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759C0B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55A7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A15E4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石膏板平顶</w:t>
            </w:r>
          </w:p>
        </w:tc>
        <w:tc>
          <w:tcPr>
            <w:tcW w:w="5717" w:type="dxa"/>
            <w:tcBorders>
              <w:top w:val="nil"/>
              <w:left w:val="nil"/>
              <w:bottom w:val="single" w:color="auto" w:sz="4" w:space="0"/>
              <w:right w:val="single" w:color="auto" w:sz="4" w:space="0"/>
            </w:tcBorders>
            <w:vAlign w:val="center"/>
          </w:tcPr>
          <w:p w14:paraId="5D17699D">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轻钢龙骨/3*4（非标）木龙骨，石膏板造型；纸面石膏板：2440*1220*9MM</w:t>
            </w:r>
          </w:p>
          <w:p w14:paraId="74DC042B">
            <w:pPr>
              <w:widowControl/>
              <w:spacing w:line="400" w:lineRule="exact"/>
              <w:jc w:val="left"/>
              <w:rPr>
                <w:rFonts w:ascii="宋体" w:hAnsi="宋体" w:cs="Arial"/>
                <w:color w:val="auto"/>
                <w:sz w:val="18"/>
                <w:szCs w:val="18"/>
              </w:rPr>
            </w:pPr>
            <w:r>
              <w:rPr>
                <w:rFonts w:hint="eastAsia" w:ascii="宋体" w:hAnsi="宋体" w:cs="Arial"/>
                <w:color w:val="auto"/>
                <w:sz w:val="18"/>
                <w:szCs w:val="18"/>
              </w:rPr>
              <w:t>装吊灯处已吊顶面需加木工板，木工板：2440*1220*10MM</w:t>
            </w:r>
          </w:p>
        </w:tc>
        <w:tc>
          <w:tcPr>
            <w:tcW w:w="900" w:type="dxa"/>
            <w:tcBorders>
              <w:top w:val="nil"/>
              <w:left w:val="nil"/>
              <w:bottom w:val="single" w:color="auto" w:sz="4" w:space="0"/>
              <w:right w:val="single" w:color="auto" w:sz="4" w:space="0"/>
            </w:tcBorders>
            <w:vAlign w:val="center"/>
          </w:tcPr>
          <w:p w14:paraId="3798E0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7EDE0B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80D89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4411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3667C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顶面条形灯槽</w:t>
            </w:r>
          </w:p>
        </w:tc>
        <w:tc>
          <w:tcPr>
            <w:tcW w:w="5717" w:type="dxa"/>
            <w:tcBorders>
              <w:top w:val="nil"/>
              <w:left w:val="nil"/>
              <w:bottom w:val="single" w:color="auto" w:sz="4" w:space="0"/>
              <w:right w:val="single" w:color="auto" w:sz="4" w:space="0"/>
            </w:tcBorders>
            <w:vAlign w:val="center"/>
          </w:tcPr>
          <w:p w14:paraId="17321587">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轻钢龙骨/3*4（非标）木龙骨，木工板框架；内口刷白色乳胶漆</w:t>
            </w:r>
          </w:p>
          <w:p w14:paraId="0DB0E725">
            <w:pPr>
              <w:widowControl/>
              <w:spacing w:line="400" w:lineRule="exact"/>
              <w:jc w:val="left"/>
              <w:rPr>
                <w:rFonts w:ascii="宋体" w:hAnsi="宋体" w:cs="Arial"/>
                <w:color w:val="auto"/>
                <w:sz w:val="18"/>
                <w:szCs w:val="18"/>
              </w:rPr>
            </w:pPr>
            <w:r>
              <w:rPr>
                <w:rFonts w:hint="eastAsia" w:ascii="宋体" w:hAnsi="宋体" w:cs="Arial"/>
                <w:color w:val="auto"/>
                <w:sz w:val="18"/>
                <w:szCs w:val="18"/>
              </w:rPr>
              <w:t>木工板：2440*1220*10MM</w:t>
            </w:r>
          </w:p>
        </w:tc>
        <w:tc>
          <w:tcPr>
            <w:tcW w:w="900" w:type="dxa"/>
            <w:tcBorders>
              <w:top w:val="nil"/>
              <w:left w:val="nil"/>
              <w:bottom w:val="single" w:color="auto" w:sz="4" w:space="0"/>
              <w:right w:val="single" w:color="auto" w:sz="4" w:space="0"/>
            </w:tcBorders>
            <w:vAlign w:val="center"/>
          </w:tcPr>
          <w:p w14:paraId="56A03E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52.80 </w:t>
            </w:r>
          </w:p>
        </w:tc>
        <w:tc>
          <w:tcPr>
            <w:tcW w:w="849" w:type="dxa"/>
            <w:gridSpan w:val="2"/>
            <w:tcBorders>
              <w:top w:val="nil"/>
              <w:left w:val="nil"/>
              <w:bottom w:val="single" w:color="auto" w:sz="4" w:space="0"/>
              <w:right w:val="single" w:color="auto" w:sz="4" w:space="0"/>
            </w:tcBorders>
            <w:vAlign w:val="center"/>
          </w:tcPr>
          <w:p w14:paraId="5C912A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705B0F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516D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0DD1D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顶面条形灯膜</w:t>
            </w:r>
          </w:p>
        </w:tc>
        <w:tc>
          <w:tcPr>
            <w:tcW w:w="5717" w:type="dxa"/>
            <w:tcBorders>
              <w:top w:val="nil"/>
              <w:left w:val="nil"/>
              <w:bottom w:val="single" w:color="auto" w:sz="4" w:space="0"/>
              <w:right w:val="single" w:color="auto" w:sz="4" w:space="0"/>
            </w:tcBorders>
            <w:vAlign w:val="center"/>
          </w:tcPr>
          <w:p w14:paraId="2DCBBCA6">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铝合金型材边框，两排单根长度 900mm12w 白光泛光灯条并联PVC 灯膜</w:t>
            </w:r>
          </w:p>
        </w:tc>
        <w:tc>
          <w:tcPr>
            <w:tcW w:w="900" w:type="dxa"/>
            <w:tcBorders>
              <w:top w:val="nil"/>
              <w:left w:val="nil"/>
              <w:bottom w:val="single" w:color="auto" w:sz="4" w:space="0"/>
              <w:right w:val="single" w:color="auto" w:sz="4" w:space="0"/>
            </w:tcBorders>
            <w:vAlign w:val="center"/>
          </w:tcPr>
          <w:p w14:paraId="7C10FA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52.80 </w:t>
            </w:r>
          </w:p>
        </w:tc>
        <w:tc>
          <w:tcPr>
            <w:tcW w:w="849" w:type="dxa"/>
            <w:gridSpan w:val="2"/>
            <w:tcBorders>
              <w:top w:val="nil"/>
              <w:left w:val="nil"/>
              <w:bottom w:val="single" w:color="auto" w:sz="4" w:space="0"/>
              <w:right w:val="single" w:color="auto" w:sz="4" w:space="0"/>
            </w:tcBorders>
            <w:vAlign w:val="center"/>
          </w:tcPr>
          <w:p w14:paraId="32793E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401B2A2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06673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257C45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顶面白色乳胶漆</w:t>
            </w:r>
          </w:p>
        </w:tc>
        <w:tc>
          <w:tcPr>
            <w:tcW w:w="5717" w:type="dxa"/>
            <w:tcBorders>
              <w:top w:val="nil"/>
              <w:left w:val="nil"/>
              <w:bottom w:val="single" w:color="auto" w:sz="4" w:space="0"/>
              <w:right w:val="single" w:color="auto" w:sz="4" w:space="0"/>
            </w:tcBorders>
            <w:vAlign w:val="center"/>
          </w:tcPr>
          <w:p w14:paraId="37E7C8D4">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554D134C">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1D95B2A3">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07EC3340">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2B8F307A">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涂料：施工应在干燥、清洁、牢固的层表面上进行，喷涂一遍，涂层均匀，无漏涂；二次喷涂同上部分造型进行乳胶漆分色处理</w:t>
            </w:r>
          </w:p>
        </w:tc>
        <w:tc>
          <w:tcPr>
            <w:tcW w:w="900" w:type="dxa"/>
            <w:tcBorders>
              <w:top w:val="nil"/>
              <w:left w:val="nil"/>
              <w:bottom w:val="single" w:color="auto" w:sz="4" w:space="0"/>
              <w:right w:val="single" w:color="auto" w:sz="4" w:space="0"/>
            </w:tcBorders>
            <w:vAlign w:val="center"/>
          </w:tcPr>
          <w:p w14:paraId="2F4392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197.63 </w:t>
            </w:r>
          </w:p>
        </w:tc>
        <w:tc>
          <w:tcPr>
            <w:tcW w:w="849" w:type="dxa"/>
            <w:gridSpan w:val="2"/>
            <w:tcBorders>
              <w:top w:val="nil"/>
              <w:left w:val="nil"/>
              <w:bottom w:val="single" w:color="auto" w:sz="4" w:space="0"/>
              <w:right w:val="single" w:color="auto" w:sz="4" w:space="0"/>
            </w:tcBorders>
            <w:vAlign w:val="center"/>
          </w:tcPr>
          <w:p w14:paraId="4E4820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05902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2DCE32">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14C49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检修口</w:t>
            </w:r>
          </w:p>
        </w:tc>
        <w:tc>
          <w:tcPr>
            <w:tcW w:w="5717" w:type="dxa"/>
            <w:tcBorders>
              <w:top w:val="nil"/>
              <w:left w:val="nil"/>
              <w:bottom w:val="single" w:color="auto" w:sz="4" w:space="0"/>
              <w:right w:val="single" w:color="auto" w:sz="4" w:space="0"/>
            </w:tcBorders>
            <w:vAlign w:val="center"/>
          </w:tcPr>
          <w:p w14:paraId="6AA8C399">
            <w:pPr>
              <w:widowControl/>
              <w:spacing w:line="400" w:lineRule="exact"/>
              <w:jc w:val="left"/>
              <w:rPr>
                <w:rFonts w:ascii="宋体" w:hAnsi="宋体" w:cs="Arial"/>
                <w:color w:val="auto"/>
                <w:sz w:val="18"/>
                <w:szCs w:val="18"/>
              </w:rPr>
            </w:pPr>
            <w:r>
              <w:rPr>
                <w:rFonts w:hint="eastAsia" w:ascii="宋体" w:hAnsi="宋体" w:cs="Arial"/>
                <w:color w:val="auto"/>
                <w:sz w:val="18"/>
                <w:szCs w:val="18"/>
              </w:rPr>
              <w:t>尺寸：600*600mm</w:t>
            </w:r>
          </w:p>
          <w:p w14:paraId="1F0F2E01">
            <w:pPr>
              <w:widowControl/>
              <w:spacing w:line="400" w:lineRule="exact"/>
              <w:jc w:val="left"/>
              <w:rPr>
                <w:rFonts w:ascii="宋体" w:hAnsi="宋体" w:cs="Arial"/>
                <w:color w:val="auto"/>
                <w:sz w:val="18"/>
                <w:szCs w:val="18"/>
              </w:rPr>
            </w:pPr>
            <w:r>
              <w:rPr>
                <w:rFonts w:hint="eastAsia" w:ascii="宋体" w:hAnsi="宋体" w:cs="Arial"/>
                <w:color w:val="auto"/>
                <w:sz w:val="18"/>
                <w:szCs w:val="18"/>
              </w:rPr>
              <w:t>φ8 全丝吊筋+50 系列轻钢龙骨+18mm 木工板刷防火涂料三遍</w:t>
            </w:r>
          </w:p>
          <w:p w14:paraId="36B81E35">
            <w:pPr>
              <w:widowControl/>
              <w:spacing w:line="400" w:lineRule="exact"/>
              <w:jc w:val="left"/>
              <w:rPr>
                <w:rFonts w:ascii="宋体" w:hAnsi="宋体" w:cs="Arial"/>
                <w:color w:val="auto"/>
                <w:sz w:val="18"/>
                <w:szCs w:val="18"/>
              </w:rPr>
            </w:pPr>
            <w:r>
              <w:rPr>
                <w:rFonts w:hint="eastAsia" w:ascii="宋体" w:hAnsi="宋体" w:cs="Arial"/>
                <w:color w:val="auto"/>
                <w:sz w:val="18"/>
                <w:szCs w:val="18"/>
              </w:rPr>
              <w:t>纸面石膏板：2440*1220*9MM</w:t>
            </w:r>
          </w:p>
        </w:tc>
        <w:tc>
          <w:tcPr>
            <w:tcW w:w="900" w:type="dxa"/>
            <w:tcBorders>
              <w:top w:val="nil"/>
              <w:left w:val="nil"/>
              <w:bottom w:val="single" w:color="auto" w:sz="4" w:space="0"/>
              <w:right w:val="single" w:color="auto" w:sz="4" w:space="0"/>
            </w:tcBorders>
            <w:vAlign w:val="center"/>
          </w:tcPr>
          <w:p w14:paraId="506B9D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B92F8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346B27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CDEC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640855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套装门</w:t>
            </w:r>
          </w:p>
        </w:tc>
        <w:tc>
          <w:tcPr>
            <w:tcW w:w="5717" w:type="dxa"/>
            <w:tcBorders>
              <w:top w:val="nil"/>
              <w:left w:val="nil"/>
              <w:bottom w:val="single" w:color="auto" w:sz="4" w:space="0"/>
              <w:right w:val="single" w:color="auto" w:sz="4" w:space="0"/>
            </w:tcBorders>
            <w:vAlign w:val="center"/>
          </w:tcPr>
          <w:p w14:paraId="2EC35D45">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成品木门，款式颜色甲方确定</w:t>
            </w:r>
          </w:p>
        </w:tc>
        <w:tc>
          <w:tcPr>
            <w:tcW w:w="900" w:type="dxa"/>
            <w:tcBorders>
              <w:top w:val="nil"/>
              <w:left w:val="nil"/>
              <w:bottom w:val="single" w:color="auto" w:sz="4" w:space="0"/>
              <w:right w:val="single" w:color="auto" w:sz="4" w:space="0"/>
            </w:tcBorders>
            <w:vAlign w:val="center"/>
          </w:tcPr>
          <w:p w14:paraId="17DDEB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7AF83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94CD32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39C7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59C5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5A5FD148">
            <w:pPr>
              <w:widowControl/>
              <w:spacing w:line="400" w:lineRule="exact"/>
              <w:jc w:val="left"/>
              <w:rPr>
                <w:rFonts w:ascii="宋体" w:hAnsi="宋体" w:cs="Arial"/>
                <w:color w:val="auto"/>
                <w:sz w:val="18"/>
                <w:szCs w:val="18"/>
              </w:rPr>
            </w:pPr>
            <w:r>
              <w:rPr>
                <w:rFonts w:hint="eastAsia" w:ascii="宋体" w:hAnsi="宋体" w:cs="Arial"/>
                <w:color w:val="auto"/>
                <w:sz w:val="18"/>
                <w:szCs w:val="18"/>
              </w:rPr>
              <w:t>开门洞堆放，包含切缝及砌体拆除，垃圾集中</w:t>
            </w:r>
          </w:p>
        </w:tc>
        <w:tc>
          <w:tcPr>
            <w:tcW w:w="900" w:type="dxa"/>
            <w:tcBorders>
              <w:top w:val="nil"/>
              <w:left w:val="nil"/>
              <w:bottom w:val="single" w:color="auto" w:sz="4" w:space="0"/>
              <w:right w:val="single" w:color="auto" w:sz="4" w:space="0"/>
            </w:tcBorders>
            <w:vAlign w:val="center"/>
          </w:tcPr>
          <w:p w14:paraId="28EC93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4.20 </w:t>
            </w:r>
          </w:p>
        </w:tc>
        <w:tc>
          <w:tcPr>
            <w:tcW w:w="849" w:type="dxa"/>
            <w:gridSpan w:val="2"/>
            <w:tcBorders>
              <w:top w:val="nil"/>
              <w:left w:val="nil"/>
              <w:bottom w:val="single" w:color="auto" w:sz="4" w:space="0"/>
              <w:right w:val="single" w:color="auto" w:sz="4" w:space="0"/>
            </w:tcBorders>
            <w:vAlign w:val="center"/>
          </w:tcPr>
          <w:p w14:paraId="16D0F4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EE2C33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4CBE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7223FE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新建（墙体）</w:t>
            </w:r>
          </w:p>
        </w:tc>
        <w:tc>
          <w:tcPr>
            <w:tcW w:w="5717" w:type="dxa"/>
            <w:tcBorders>
              <w:top w:val="nil"/>
              <w:left w:val="nil"/>
              <w:bottom w:val="single" w:color="auto" w:sz="4" w:space="0"/>
              <w:right w:val="single" w:color="auto" w:sz="4" w:space="0"/>
            </w:tcBorders>
            <w:vAlign w:val="center"/>
          </w:tcPr>
          <w:p w14:paraId="69F4838D">
            <w:pPr>
              <w:widowControl/>
              <w:spacing w:line="400" w:lineRule="exact"/>
              <w:jc w:val="left"/>
              <w:rPr>
                <w:rFonts w:ascii="宋体" w:hAnsi="宋体" w:cs="Arial"/>
                <w:color w:val="auto"/>
                <w:sz w:val="18"/>
                <w:szCs w:val="18"/>
              </w:rPr>
            </w:pPr>
            <w:r>
              <w:rPr>
                <w:rFonts w:hint="eastAsia" w:ascii="宋体" w:hAnsi="宋体" w:cs="Arial"/>
                <w:color w:val="auto"/>
                <w:sz w:val="18"/>
                <w:szCs w:val="18"/>
              </w:rPr>
              <w:t>封门洞，加气砖砌筑，双面抹灰</w:t>
            </w:r>
          </w:p>
        </w:tc>
        <w:tc>
          <w:tcPr>
            <w:tcW w:w="900" w:type="dxa"/>
            <w:tcBorders>
              <w:top w:val="nil"/>
              <w:left w:val="nil"/>
              <w:bottom w:val="single" w:color="auto" w:sz="4" w:space="0"/>
              <w:right w:val="single" w:color="auto" w:sz="4" w:space="0"/>
            </w:tcBorders>
            <w:vAlign w:val="center"/>
          </w:tcPr>
          <w:p w14:paraId="6467A5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 </w:t>
            </w:r>
          </w:p>
        </w:tc>
        <w:tc>
          <w:tcPr>
            <w:tcW w:w="849" w:type="dxa"/>
            <w:gridSpan w:val="2"/>
            <w:tcBorders>
              <w:top w:val="nil"/>
              <w:left w:val="nil"/>
              <w:bottom w:val="single" w:color="auto" w:sz="4" w:space="0"/>
              <w:right w:val="single" w:color="auto" w:sz="4" w:space="0"/>
            </w:tcBorders>
            <w:vAlign w:val="center"/>
          </w:tcPr>
          <w:p w14:paraId="7740E0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400FB3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686A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3CC2EA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异形造型墙</w:t>
            </w:r>
          </w:p>
        </w:tc>
        <w:tc>
          <w:tcPr>
            <w:tcW w:w="5717" w:type="dxa"/>
            <w:tcBorders>
              <w:top w:val="nil"/>
              <w:left w:val="nil"/>
              <w:bottom w:val="single" w:color="auto" w:sz="4" w:space="0"/>
              <w:right w:val="single" w:color="auto" w:sz="4" w:space="0"/>
            </w:tcBorders>
            <w:vAlign w:val="center"/>
          </w:tcPr>
          <w:p w14:paraId="45168CED">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0304EDD4">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1CB7C592">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木龙骨基层石膏板饰面擦腻子处理</w:t>
            </w:r>
          </w:p>
        </w:tc>
        <w:tc>
          <w:tcPr>
            <w:tcW w:w="900" w:type="dxa"/>
            <w:tcBorders>
              <w:top w:val="nil"/>
              <w:left w:val="nil"/>
              <w:bottom w:val="single" w:color="auto" w:sz="4" w:space="0"/>
              <w:right w:val="single" w:color="auto" w:sz="4" w:space="0"/>
            </w:tcBorders>
            <w:vAlign w:val="center"/>
          </w:tcPr>
          <w:p w14:paraId="512343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121.16 </w:t>
            </w:r>
          </w:p>
        </w:tc>
        <w:tc>
          <w:tcPr>
            <w:tcW w:w="849" w:type="dxa"/>
            <w:gridSpan w:val="2"/>
            <w:tcBorders>
              <w:top w:val="nil"/>
              <w:left w:val="nil"/>
              <w:bottom w:val="single" w:color="auto" w:sz="4" w:space="0"/>
              <w:right w:val="single" w:color="auto" w:sz="4" w:space="0"/>
            </w:tcBorders>
            <w:vAlign w:val="center"/>
          </w:tcPr>
          <w:p w14:paraId="50EF36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EA8489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4B2F9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112C3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铝板墙面</w:t>
            </w:r>
          </w:p>
        </w:tc>
        <w:tc>
          <w:tcPr>
            <w:tcW w:w="5717" w:type="dxa"/>
            <w:tcBorders>
              <w:top w:val="nil"/>
              <w:left w:val="nil"/>
              <w:bottom w:val="single" w:color="auto" w:sz="4" w:space="0"/>
              <w:right w:val="single" w:color="auto" w:sz="4" w:space="0"/>
            </w:tcBorders>
            <w:vAlign w:val="center"/>
          </w:tcPr>
          <w:p w14:paraId="6705B66E">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393098C2">
            <w:pPr>
              <w:widowControl/>
              <w:spacing w:line="400" w:lineRule="exact"/>
              <w:jc w:val="left"/>
              <w:rPr>
                <w:rFonts w:ascii="宋体" w:hAnsi="宋体" w:cs="Arial"/>
                <w:color w:val="auto"/>
                <w:sz w:val="18"/>
                <w:szCs w:val="18"/>
              </w:rPr>
            </w:pPr>
            <w:r>
              <w:rPr>
                <w:rFonts w:hint="eastAsia" w:ascii="宋体" w:hAnsi="宋体" w:cs="Arial"/>
                <w:color w:val="auto"/>
                <w:sz w:val="18"/>
                <w:szCs w:val="18"/>
              </w:rPr>
              <w:t>规格：600*1200MM(现场实际尺寸)</w:t>
            </w:r>
          </w:p>
          <w:p w14:paraId="629B3F02">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57F27951">
            <w:pPr>
              <w:widowControl/>
              <w:spacing w:line="400" w:lineRule="exact"/>
              <w:jc w:val="left"/>
              <w:rPr>
                <w:rFonts w:ascii="宋体" w:hAnsi="宋体" w:cs="Arial"/>
                <w:color w:val="auto"/>
                <w:sz w:val="18"/>
                <w:szCs w:val="18"/>
              </w:rPr>
            </w:pPr>
            <w:r>
              <w:rPr>
                <w:rFonts w:hint="eastAsia" w:ascii="宋体" w:hAnsi="宋体" w:cs="Arial"/>
                <w:color w:val="auto"/>
                <w:sz w:val="18"/>
                <w:szCs w:val="18"/>
              </w:rPr>
              <w:t>白色/灰色铝板1.5mm</w:t>
            </w:r>
          </w:p>
        </w:tc>
        <w:tc>
          <w:tcPr>
            <w:tcW w:w="900" w:type="dxa"/>
            <w:tcBorders>
              <w:top w:val="nil"/>
              <w:left w:val="nil"/>
              <w:bottom w:val="single" w:color="auto" w:sz="4" w:space="0"/>
              <w:right w:val="single" w:color="auto" w:sz="4" w:space="0"/>
            </w:tcBorders>
            <w:vAlign w:val="center"/>
          </w:tcPr>
          <w:p w14:paraId="0C24F0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116.59 </w:t>
            </w:r>
          </w:p>
        </w:tc>
        <w:tc>
          <w:tcPr>
            <w:tcW w:w="849" w:type="dxa"/>
            <w:gridSpan w:val="2"/>
            <w:tcBorders>
              <w:top w:val="nil"/>
              <w:left w:val="nil"/>
              <w:bottom w:val="single" w:color="auto" w:sz="4" w:space="0"/>
              <w:right w:val="single" w:color="auto" w:sz="4" w:space="0"/>
            </w:tcBorders>
            <w:vAlign w:val="center"/>
          </w:tcPr>
          <w:p w14:paraId="00328F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C572E4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F482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745D7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 LED 灯带</w:t>
            </w:r>
          </w:p>
        </w:tc>
        <w:tc>
          <w:tcPr>
            <w:tcW w:w="5717" w:type="dxa"/>
            <w:tcBorders>
              <w:top w:val="nil"/>
              <w:left w:val="nil"/>
              <w:bottom w:val="single" w:color="auto" w:sz="4" w:space="0"/>
              <w:right w:val="single" w:color="auto" w:sz="4" w:space="0"/>
            </w:tcBorders>
            <w:vAlign w:val="center"/>
          </w:tcPr>
          <w:p w14:paraId="3D769818">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铝合金型材边框两排，单根长度 900mm，12w 白光泛光灯条并联</w:t>
            </w:r>
          </w:p>
        </w:tc>
        <w:tc>
          <w:tcPr>
            <w:tcW w:w="900" w:type="dxa"/>
            <w:tcBorders>
              <w:top w:val="nil"/>
              <w:left w:val="nil"/>
              <w:bottom w:val="single" w:color="auto" w:sz="4" w:space="0"/>
              <w:right w:val="single" w:color="auto" w:sz="4" w:space="0"/>
            </w:tcBorders>
            <w:vAlign w:val="center"/>
          </w:tcPr>
          <w:p w14:paraId="09B598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45.00 </w:t>
            </w:r>
          </w:p>
        </w:tc>
        <w:tc>
          <w:tcPr>
            <w:tcW w:w="849" w:type="dxa"/>
            <w:gridSpan w:val="2"/>
            <w:tcBorders>
              <w:top w:val="nil"/>
              <w:left w:val="nil"/>
              <w:bottom w:val="single" w:color="auto" w:sz="4" w:space="0"/>
              <w:right w:val="single" w:color="auto" w:sz="4" w:space="0"/>
            </w:tcBorders>
            <w:vAlign w:val="center"/>
          </w:tcPr>
          <w:p w14:paraId="16AE00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1D76909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79767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767B05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不锈钢发光字</w:t>
            </w:r>
          </w:p>
        </w:tc>
        <w:tc>
          <w:tcPr>
            <w:tcW w:w="5717" w:type="dxa"/>
            <w:tcBorders>
              <w:top w:val="nil"/>
              <w:left w:val="nil"/>
              <w:bottom w:val="single" w:color="auto" w:sz="4" w:space="0"/>
              <w:right w:val="single" w:color="auto" w:sz="4" w:space="0"/>
            </w:tcBorders>
            <w:vAlign w:val="center"/>
          </w:tcPr>
          <w:p w14:paraId="688568C0">
            <w:pPr>
              <w:widowControl/>
              <w:spacing w:line="400" w:lineRule="exact"/>
              <w:jc w:val="left"/>
              <w:rPr>
                <w:rFonts w:ascii="宋体" w:hAnsi="宋体" w:cs="Arial"/>
                <w:color w:val="auto"/>
                <w:sz w:val="18"/>
                <w:szCs w:val="18"/>
              </w:rPr>
            </w:pPr>
            <w:r>
              <w:rPr>
                <w:rFonts w:hint="eastAsia" w:ascii="宋体" w:hAnsi="宋体" w:cs="Arial"/>
                <w:color w:val="auto"/>
                <w:sz w:val="18"/>
                <w:szCs w:val="18"/>
              </w:rPr>
              <w:t>不锈钢发光字：400*400MM,字体，颜色满足甲方要求，包含安装及配件。</w:t>
            </w:r>
          </w:p>
        </w:tc>
        <w:tc>
          <w:tcPr>
            <w:tcW w:w="900" w:type="dxa"/>
            <w:tcBorders>
              <w:top w:val="nil"/>
              <w:left w:val="nil"/>
              <w:bottom w:val="single" w:color="auto" w:sz="4" w:space="0"/>
              <w:right w:val="single" w:color="auto" w:sz="4" w:space="0"/>
            </w:tcBorders>
            <w:vAlign w:val="center"/>
          </w:tcPr>
          <w:p w14:paraId="61107B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5059BB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D0F4D0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94EF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4A4BB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不锈钢包边</w:t>
            </w:r>
          </w:p>
        </w:tc>
        <w:tc>
          <w:tcPr>
            <w:tcW w:w="5717" w:type="dxa"/>
            <w:tcBorders>
              <w:top w:val="nil"/>
              <w:left w:val="nil"/>
              <w:bottom w:val="single" w:color="auto" w:sz="4" w:space="0"/>
              <w:right w:val="single" w:color="auto" w:sz="4" w:space="0"/>
            </w:tcBorders>
            <w:vAlign w:val="center"/>
          </w:tcPr>
          <w:p w14:paraId="7075A8FF">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15323284">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2EB5BF19">
            <w:pPr>
              <w:widowControl/>
              <w:spacing w:line="400" w:lineRule="exact"/>
              <w:jc w:val="left"/>
              <w:rPr>
                <w:rFonts w:ascii="宋体" w:hAnsi="宋体" w:cs="Arial"/>
                <w:color w:val="auto"/>
                <w:sz w:val="18"/>
                <w:szCs w:val="18"/>
              </w:rPr>
            </w:pPr>
            <w:r>
              <w:rPr>
                <w:rFonts w:hint="eastAsia" w:ascii="宋体" w:hAnsi="宋体" w:cs="Arial"/>
                <w:color w:val="auto"/>
                <w:sz w:val="18"/>
                <w:szCs w:val="18"/>
              </w:rPr>
              <w:t>3mm 镜面不锈钢</w:t>
            </w:r>
          </w:p>
        </w:tc>
        <w:tc>
          <w:tcPr>
            <w:tcW w:w="900" w:type="dxa"/>
            <w:tcBorders>
              <w:top w:val="nil"/>
              <w:left w:val="nil"/>
              <w:bottom w:val="single" w:color="auto" w:sz="4" w:space="0"/>
              <w:right w:val="single" w:color="auto" w:sz="4" w:space="0"/>
            </w:tcBorders>
            <w:vAlign w:val="center"/>
          </w:tcPr>
          <w:p w14:paraId="0D70FE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12.96 </w:t>
            </w:r>
          </w:p>
        </w:tc>
        <w:tc>
          <w:tcPr>
            <w:tcW w:w="849" w:type="dxa"/>
            <w:gridSpan w:val="2"/>
            <w:tcBorders>
              <w:top w:val="nil"/>
              <w:left w:val="nil"/>
              <w:bottom w:val="single" w:color="auto" w:sz="4" w:space="0"/>
              <w:right w:val="single" w:color="auto" w:sz="4" w:space="0"/>
            </w:tcBorders>
            <w:vAlign w:val="center"/>
          </w:tcPr>
          <w:p w14:paraId="42EA99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7D7E70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0A6E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1E4DE6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2D8C6CEF">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7F3BE8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384656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269B8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6A790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1567AC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455CF2BD">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防滑地胶基层3-5mm</w:t>
            </w:r>
          </w:p>
        </w:tc>
        <w:tc>
          <w:tcPr>
            <w:tcW w:w="900" w:type="dxa"/>
            <w:tcBorders>
              <w:top w:val="nil"/>
              <w:left w:val="nil"/>
              <w:bottom w:val="single" w:color="auto" w:sz="4" w:space="0"/>
              <w:right w:val="single" w:color="auto" w:sz="4" w:space="0"/>
            </w:tcBorders>
            <w:vAlign w:val="center"/>
          </w:tcPr>
          <w:p w14:paraId="19D914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37EDA1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A87E2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D996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6264C7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4F463538">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防滑 PVC 地胶铺设,造型，款式满足甲方要求</w:t>
            </w:r>
          </w:p>
        </w:tc>
        <w:tc>
          <w:tcPr>
            <w:tcW w:w="900" w:type="dxa"/>
            <w:tcBorders>
              <w:top w:val="nil"/>
              <w:left w:val="nil"/>
              <w:bottom w:val="single" w:color="auto" w:sz="4" w:space="0"/>
              <w:right w:val="single" w:color="auto" w:sz="4" w:space="0"/>
            </w:tcBorders>
            <w:vAlign w:val="center"/>
          </w:tcPr>
          <w:p w14:paraId="537476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145.69 </w:t>
            </w:r>
          </w:p>
        </w:tc>
        <w:tc>
          <w:tcPr>
            <w:tcW w:w="849" w:type="dxa"/>
            <w:gridSpan w:val="2"/>
            <w:tcBorders>
              <w:top w:val="nil"/>
              <w:left w:val="nil"/>
              <w:bottom w:val="single" w:color="auto" w:sz="4" w:space="0"/>
              <w:right w:val="single" w:color="auto" w:sz="4" w:space="0"/>
            </w:tcBorders>
            <w:vAlign w:val="center"/>
          </w:tcPr>
          <w:p w14:paraId="35E9EF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90D00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1427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7237F0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地台造型（地胶）</w:t>
            </w:r>
          </w:p>
        </w:tc>
        <w:tc>
          <w:tcPr>
            <w:tcW w:w="5717" w:type="dxa"/>
            <w:tcBorders>
              <w:top w:val="nil"/>
              <w:left w:val="nil"/>
              <w:bottom w:val="single" w:color="auto" w:sz="4" w:space="0"/>
              <w:right w:val="single" w:color="auto" w:sz="4" w:space="0"/>
            </w:tcBorders>
            <w:vAlign w:val="center"/>
          </w:tcPr>
          <w:p w14:paraId="4945C138">
            <w:pPr>
              <w:widowControl/>
              <w:spacing w:line="400" w:lineRule="exact"/>
              <w:jc w:val="left"/>
              <w:rPr>
                <w:rFonts w:ascii="宋体" w:hAnsi="宋体" w:cs="Arial"/>
                <w:color w:val="auto"/>
                <w:sz w:val="18"/>
                <w:szCs w:val="18"/>
              </w:rPr>
            </w:pPr>
            <w:r>
              <w:rPr>
                <w:rFonts w:hint="eastAsia" w:ascii="宋体" w:hAnsi="宋体" w:cs="Arial"/>
                <w:color w:val="auto"/>
                <w:sz w:val="18"/>
                <w:szCs w:val="18"/>
              </w:rPr>
              <w:t>50*50，厚度 6mm 角钢</w:t>
            </w:r>
          </w:p>
          <w:p w14:paraId="200A22B2">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厚细木工板，防火涂料</w:t>
            </w:r>
          </w:p>
          <w:p w14:paraId="67051DA6">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防滑 PVC 地胶铺设</w:t>
            </w:r>
          </w:p>
        </w:tc>
        <w:tc>
          <w:tcPr>
            <w:tcW w:w="900" w:type="dxa"/>
            <w:tcBorders>
              <w:top w:val="nil"/>
              <w:left w:val="nil"/>
              <w:bottom w:val="single" w:color="auto" w:sz="4" w:space="0"/>
              <w:right w:val="single" w:color="auto" w:sz="4" w:space="0"/>
            </w:tcBorders>
            <w:vAlign w:val="center"/>
          </w:tcPr>
          <w:p w14:paraId="4A4F51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19.00 </w:t>
            </w:r>
          </w:p>
        </w:tc>
        <w:tc>
          <w:tcPr>
            <w:tcW w:w="849" w:type="dxa"/>
            <w:gridSpan w:val="2"/>
            <w:tcBorders>
              <w:top w:val="nil"/>
              <w:left w:val="nil"/>
              <w:bottom w:val="single" w:color="auto" w:sz="4" w:space="0"/>
              <w:right w:val="single" w:color="auto" w:sz="4" w:space="0"/>
            </w:tcBorders>
            <w:vAlign w:val="center"/>
          </w:tcPr>
          <w:p w14:paraId="5FF79B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3148F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E99A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16CF89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32E4784C">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木龙骨结构刷防火涂料三遍、12mm 木工板造型刷防火涂料三遍、不锈钢折弯自攻丝、枪钉、结构胶安装</w:t>
            </w:r>
          </w:p>
        </w:tc>
        <w:tc>
          <w:tcPr>
            <w:tcW w:w="900" w:type="dxa"/>
            <w:tcBorders>
              <w:top w:val="nil"/>
              <w:left w:val="nil"/>
              <w:bottom w:val="single" w:color="auto" w:sz="4" w:space="0"/>
              <w:right w:val="single" w:color="auto" w:sz="4" w:space="0"/>
            </w:tcBorders>
            <w:vAlign w:val="center"/>
          </w:tcPr>
          <w:p w14:paraId="01E7C4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57.50 </w:t>
            </w:r>
          </w:p>
        </w:tc>
        <w:tc>
          <w:tcPr>
            <w:tcW w:w="849" w:type="dxa"/>
            <w:gridSpan w:val="2"/>
            <w:tcBorders>
              <w:top w:val="nil"/>
              <w:left w:val="nil"/>
              <w:bottom w:val="single" w:color="auto" w:sz="4" w:space="0"/>
              <w:right w:val="single" w:color="auto" w:sz="4" w:space="0"/>
            </w:tcBorders>
            <w:vAlign w:val="center"/>
          </w:tcPr>
          <w:p w14:paraId="336ACB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2F91277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E088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4ECF2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5460A9B6">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地面、墙面开槽及恢复</w:t>
            </w:r>
          </w:p>
          <w:p w14:paraId="22392EF8">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4E5E71E1">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7497ABE7">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22774A6E">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7D10F00B">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0DD5DB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166.30 </w:t>
            </w:r>
          </w:p>
        </w:tc>
        <w:tc>
          <w:tcPr>
            <w:tcW w:w="849" w:type="dxa"/>
            <w:gridSpan w:val="2"/>
            <w:tcBorders>
              <w:top w:val="nil"/>
              <w:left w:val="nil"/>
              <w:bottom w:val="single" w:color="auto" w:sz="4" w:space="0"/>
              <w:right w:val="single" w:color="auto" w:sz="4" w:space="0"/>
            </w:tcBorders>
            <w:vAlign w:val="center"/>
          </w:tcPr>
          <w:p w14:paraId="605ECA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C53462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A395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14AE6C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0281FEF2">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照明开关电流 10A,注塑面板，PC 阻燃 86 型，具体款式甲方确定</w:t>
            </w:r>
          </w:p>
        </w:tc>
        <w:tc>
          <w:tcPr>
            <w:tcW w:w="900" w:type="dxa"/>
            <w:tcBorders>
              <w:top w:val="nil"/>
              <w:left w:val="nil"/>
              <w:bottom w:val="single" w:color="auto" w:sz="4" w:space="0"/>
              <w:right w:val="single" w:color="auto" w:sz="4" w:space="0"/>
            </w:tcBorders>
            <w:vAlign w:val="center"/>
          </w:tcPr>
          <w:p w14:paraId="501E34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1D5A6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D4ED82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B85F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292637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3A359485">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 86 型二三插座，带保护门，具体款式甲方确定</w:t>
            </w:r>
          </w:p>
        </w:tc>
        <w:tc>
          <w:tcPr>
            <w:tcW w:w="900" w:type="dxa"/>
            <w:tcBorders>
              <w:top w:val="nil"/>
              <w:left w:val="nil"/>
              <w:bottom w:val="single" w:color="auto" w:sz="4" w:space="0"/>
              <w:right w:val="single" w:color="auto" w:sz="4" w:space="0"/>
            </w:tcBorders>
            <w:vAlign w:val="center"/>
          </w:tcPr>
          <w:p w14:paraId="348F8F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026DE7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D280C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C620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1FC9E2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1EFE7CC8">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五孔插座地插座全铜防水带保护门单相两极双用，具体款式甲方确定</w:t>
            </w:r>
          </w:p>
        </w:tc>
        <w:tc>
          <w:tcPr>
            <w:tcW w:w="900" w:type="dxa"/>
            <w:tcBorders>
              <w:top w:val="nil"/>
              <w:left w:val="nil"/>
              <w:bottom w:val="single" w:color="auto" w:sz="4" w:space="0"/>
              <w:right w:val="single" w:color="auto" w:sz="4" w:space="0"/>
            </w:tcBorders>
            <w:vAlign w:val="center"/>
          </w:tcPr>
          <w:p w14:paraId="2405BA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18.00 </w:t>
            </w:r>
          </w:p>
        </w:tc>
        <w:tc>
          <w:tcPr>
            <w:tcW w:w="849" w:type="dxa"/>
            <w:gridSpan w:val="2"/>
            <w:tcBorders>
              <w:top w:val="nil"/>
              <w:left w:val="nil"/>
              <w:bottom w:val="single" w:color="auto" w:sz="4" w:space="0"/>
              <w:right w:val="single" w:color="auto" w:sz="4" w:space="0"/>
            </w:tcBorders>
            <w:vAlign w:val="center"/>
          </w:tcPr>
          <w:p w14:paraId="0ACEDE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E12159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681A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68CF64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可调节 LED 射灯</w:t>
            </w:r>
          </w:p>
        </w:tc>
        <w:tc>
          <w:tcPr>
            <w:tcW w:w="5717" w:type="dxa"/>
            <w:tcBorders>
              <w:top w:val="nil"/>
              <w:left w:val="nil"/>
              <w:bottom w:val="single" w:color="auto" w:sz="4" w:space="0"/>
              <w:right w:val="single" w:color="auto" w:sz="4" w:space="0"/>
            </w:tcBorders>
            <w:vAlign w:val="center"/>
          </w:tcPr>
          <w:p w14:paraId="775E7E94">
            <w:pPr>
              <w:widowControl/>
              <w:spacing w:line="400" w:lineRule="exact"/>
              <w:jc w:val="left"/>
              <w:rPr>
                <w:rFonts w:ascii="宋体" w:hAnsi="宋体" w:cs="Arial"/>
                <w:color w:val="auto"/>
                <w:sz w:val="18"/>
                <w:szCs w:val="18"/>
              </w:rPr>
            </w:pPr>
            <w:r>
              <w:rPr>
                <w:rFonts w:hint="eastAsia" w:ascii="宋体" w:hAnsi="宋体" w:cs="Arial"/>
                <w:color w:val="auto"/>
                <w:sz w:val="18"/>
                <w:szCs w:val="18"/>
              </w:rPr>
              <w:t>LED 射灯 Ф75MM，高 58MM7W 正白光射灯嵌入式</w:t>
            </w:r>
          </w:p>
        </w:tc>
        <w:tc>
          <w:tcPr>
            <w:tcW w:w="900" w:type="dxa"/>
            <w:tcBorders>
              <w:top w:val="nil"/>
              <w:left w:val="nil"/>
              <w:bottom w:val="single" w:color="auto" w:sz="4" w:space="0"/>
              <w:right w:val="single" w:color="auto" w:sz="4" w:space="0"/>
            </w:tcBorders>
            <w:vAlign w:val="center"/>
          </w:tcPr>
          <w:p w14:paraId="7F2AE8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2C20B6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072480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6D40FE3">
            <w:pPr>
              <w:widowControl/>
              <w:spacing w:line="400" w:lineRule="exact"/>
              <w:jc w:val="left"/>
              <w:rPr>
                <w:rFonts w:ascii="宋体" w:hAnsi="宋体" w:cs="Arial"/>
                <w:color w:val="auto"/>
                <w:sz w:val="18"/>
                <w:szCs w:val="18"/>
              </w:rPr>
            </w:pPr>
            <w:r>
              <w:rPr>
                <w:rFonts w:hint="eastAsia" w:ascii="宋体" w:hAnsi="宋体" w:cs="Arial"/>
                <w:color w:val="auto"/>
                <w:sz w:val="18"/>
                <w:szCs w:val="18"/>
              </w:rPr>
              <w:t>视频会议室迁移改造</w:t>
            </w:r>
          </w:p>
        </w:tc>
      </w:tr>
      <w:tr w14:paraId="408545B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417F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AB3AE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2352AC76">
            <w:pPr>
              <w:widowControl/>
              <w:spacing w:line="400" w:lineRule="exact"/>
              <w:jc w:val="left"/>
              <w:rPr>
                <w:rFonts w:ascii="宋体" w:hAnsi="宋体" w:cs="Arial"/>
                <w:color w:val="auto"/>
                <w:sz w:val="18"/>
                <w:szCs w:val="18"/>
              </w:rPr>
            </w:pPr>
            <w:r>
              <w:rPr>
                <w:rFonts w:hint="eastAsia" w:ascii="宋体" w:hAnsi="宋体" w:cs="Arial"/>
                <w:color w:val="auto"/>
                <w:sz w:val="18"/>
                <w:szCs w:val="18"/>
              </w:rPr>
              <w:t>1.隔墙 75 系列轻钢龙骨中距竖 0.4m，中龙骨横 1m</w:t>
            </w:r>
          </w:p>
          <w:p w14:paraId="14493CF7">
            <w:pPr>
              <w:widowControl/>
              <w:spacing w:line="400" w:lineRule="exact"/>
              <w:jc w:val="left"/>
              <w:rPr>
                <w:rFonts w:ascii="宋体" w:hAnsi="宋体" w:cs="Arial"/>
                <w:color w:val="auto"/>
                <w:sz w:val="18"/>
                <w:szCs w:val="18"/>
              </w:rPr>
            </w:pPr>
            <w:r>
              <w:rPr>
                <w:rFonts w:hint="eastAsia" w:ascii="宋体" w:hAnsi="宋体" w:cs="Arial"/>
                <w:color w:val="auto"/>
                <w:sz w:val="18"/>
                <w:szCs w:val="18"/>
              </w:rPr>
              <w:t>2.100 厚超细玻璃棉</w:t>
            </w:r>
          </w:p>
          <w:p w14:paraId="6D62FADC">
            <w:pPr>
              <w:widowControl/>
              <w:spacing w:line="400" w:lineRule="exact"/>
              <w:jc w:val="left"/>
              <w:rPr>
                <w:rFonts w:ascii="宋体" w:hAnsi="宋体" w:cs="Arial"/>
                <w:color w:val="auto"/>
                <w:sz w:val="18"/>
                <w:szCs w:val="18"/>
              </w:rPr>
            </w:pPr>
            <w:r>
              <w:rPr>
                <w:rFonts w:hint="eastAsia" w:ascii="宋体" w:hAnsi="宋体" w:cs="Arial"/>
                <w:color w:val="auto"/>
                <w:sz w:val="18"/>
                <w:szCs w:val="18"/>
              </w:rPr>
              <w:t>3.双面 18mm 木工板造型刷防火涂料三遍 2440*1220MM</w:t>
            </w:r>
          </w:p>
          <w:p w14:paraId="1A40E8FC">
            <w:pPr>
              <w:widowControl/>
              <w:spacing w:line="400" w:lineRule="exact"/>
              <w:jc w:val="left"/>
              <w:rPr>
                <w:rFonts w:ascii="宋体" w:hAnsi="宋体" w:cs="Arial"/>
                <w:color w:val="auto"/>
                <w:sz w:val="18"/>
                <w:szCs w:val="18"/>
              </w:rPr>
            </w:pPr>
            <w:r>
              <w:rPr>
                <w:rFonts w:hint="eastAsia" w:ascii="宋体" w:hAnsi="宋体" w:cs="Arial"/>
                <w:color w:val="auto"/>
                <w:sz w:val="18"/>
                <w:szCs w:val="18"/>
              </w:rPr>
              <w:t>4.双面纸面石膏板 2440*1220*9MM</w:t>
            </w:r>
          </w:p>
        </w:tc>
        <w:tc>
          <w:tcPr>
            <w:tcW w:w="900" w:type="dxa"/>
            <w:tcBorders>
              <w:top w:val="nil"/>
              <w:left w:val="nil"/>
              <w:bottom w:val="single" w:color="auto" w:sz="4" w:space="0"/>
              <w:right w:val="single" w:color="auto" w:sz="4" w:space="0"/>
            </w:tcBorders>
            <w:vAlign w:val="center"/>
          </w:tcPr>
          <w:p w14:paraId="4736BF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21.06 </w:t>
            </w:r>
          </w:p>
        </w:tc>
        <w:tc>
          <w:tcPr>
            <w:tcW w:w="849" w:type="dxa"/>
            <w:gridSpan w:val="2"/>
            <w:tcBorders>
              <w:top w:val="nil"/>
              <w:left w:val="nil"/>
              <w:bottom w:val="single" w:color="auto" w:sz="4" w:space="0"/>
              <w:right w:val="single" w:color="auto" w:sz="4" w:space="0"/>
            </w:tcBorders>
            <w:vAlign w:val="center"/>
          </w:tcPr>
          <w:p w14:paraId="1A6219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B2FF98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D028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3A867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 (翻新)</w:t>
            </w:r>
          </w:p>
        </w:tc>
        <w:tc>
          <w:tcPr>
            <w:tcW w:w="5717" w:type="dxa"/>
            <w:tcBorders>
              <w:top w:val="nil"/>
              <w:left w:val="nil"/>
              <w:bottom w:val="single" w:color="auto" w:sz="4" w:space="0"/>
              <w:right w:val="single" w:color="auto" w:sz="4" w:space="0"/>
            </w:tcBorders>
            <w:vAlign w:val="center"/>
          </w:tcPr>
          <w:p w14:paraId="2333B63C">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1E994CD0">
            <w:pPr>
              <w:widowControl/>
              <w:spacing w:line="400" w:lineRule="exact"/>
              <w:jc w:val="left"/>
              <w:rPr>
                <w:rFonts w:ascii="宋体" w:hAnsi="宋体" w:cs="Arial"/>
                <w:color w:val="auto"/>
                <w:sz w:val="18"/>
                <w:szCs w:val="18"/>
              </w:rPr>
            </w:pPr>
            <w:r>
              <w:rPr>
                <w:rFonts w:hint="eastAsia" w:ascii="宋体" w:hAnsi="宋体" w:cs="Arial"/>
                <w:color w:val="auto"/>
                <w:sz w:val="18"/>
                <w:szCs w:val="18"/>
              </w:rPr>
              <w:t>2.刷三遍分色乳胶漆</w:t>
            </w:r>
          </w:p>
        </w:tc>
        <w:tc>
          <w:tcPr>
            <w:tcW w:w="900" w:type="dxa"/>
            <w:tcBorders>
              <w:top w:val="nil"/>
              <w:left w:val="nil"/>
              <w:bottom w:val="single" w:color="auto" w:sz="4" w:space="0"/>
              <w:right w:val="single" w:color="auto" w:sz="4" w:space="0"/>
            </w:tcBorders>
            <w:vAlign w:val="center"/>
          </w:tcPr>
          <w:p w14:paraId="7A2491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80.45 </w:t>
            </w:r>
          </w:p>
        </w:tc>
        <w:tc>
          <w:tcPr>
            <w:tcW w:w="849" w:type="dxa"/>
            <w:gridSpan w:val="2"/>
            <w:tcBorders>
              <w:top w:val="nil"/>
              <w:left w:val="nil"/>
              <w:bottom w:val="single" w:color="auto" w:sz="4" w:space="0"/>
              <w:right w:val="single" w:color="auto" w:sz="4" w:space="0"/>
            </w:tcBorders>
            <w:vAlign w:val="center"/>
          </w:tcPr>
          <w:p w14:paraId="67E3DA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4D9CA5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83EE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6263A0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背景墙</w:t>
            </w:r>
          </w:p>
        </w:tc>
        <w:tc>
          <w:tcPr>
            <w:tcW w:w="5717" w:type="dxa"/>
            <w:tcBorders>
              <w:top w:val="nil"/>
              <w:left w:val="nil"/>
              <w:bottom w:val="single" w:color="auto" w:sz="4" w:space="0"/>
              <w:right w:val="single" w:color="auto" w:sz="4" w:space="0"/>
            </w:tcBorders>
            <w:vAlign w:val="center"/>
          </w:tcPr>
          <w:p w14:paraId="472AAB99">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1.轻钢龙骨/木龙骨结构刷防火涂料三遍</w:t>
            </w:r>
          </w:p>
          <w:p w14:paraId="3E1A7B40">
            <w:pPr>
              <w:widowControl/>
              <w:spacing w:line="400" w:lineRule="exact"/>
              <w:jc w:val="left"/>
              <w:rPr>
                <w:rFonts w:ascii="宋体" w:hAnsi="宋体" w:cs="Arial"/>
                <w:color w:val="auto"/>
                <w:sz w:val="18"/>
                <w:szCs w:val="18"/>
              </w:rPr>
            </w:pPr>
            <w:r>
              <w:rPr>
                <w:rFonts w:hint="eastAsia" w:ascii="宋体" w:hAnsi="宋体" w:cs="Arial"/>
                <w:color w:val="auto"/>
                <w:sz w:val="18"/>
                <w:szCs w:val="18"/>
              </w:rPr>
              <w:t>2.造型规格：400*1200MM</w:t>
            </w:r>
          </w:p>
          <w:p w14:paraId="59A2BA87">
            <w:pPr>
              <w:widowControl/>
              <w:spacing w:line="400" w:lineRule="exact"/>
              <w:jc w:val="left"/>
              <w:rPr>
                <w:rFonts w:ascii="宋体" w:hAnsi="宋体" w:cs="Arial"/>
                <w:color w:val="auto"/>
                <w:sz w:val="18"/>
                <w:szCs w:val="18"/>
              </w:rPr>
            </w:pPr>
            <w:r>
              <w:rPr>
                <w:rFonts w:hint="eastAsia" w:ascii="宋体" w:hAnsi="宋体" w:cs="Arial"/>
                <w:color w:val="auto"/>
                <w:sz w:val="18"/>
                <w:szCs w:val="18"/>
              </w:rPr>
              <w:t>3.18mm 木工板造型刷防火涂料三遍</w:t>
            </w:r>
          </w:p>
          <w:p w14:paraId="231F31FA">
            <w:pPr>
              <w:widowControl/>
              <w:spacing w:line="400" w:lineRule="exact"/>
              <w:jc w:val="left"/>
              <w:rPr>
                <w:rFonts w:ascii="宋体" w:hAnsi="宋体" w:cs="Arial"/>
                <w:color w:val="auto"/>
                <w:sz w:val="18"/>
                <w:szCs w:val="18"/>
              </w:rPr>
            </w:pPr>
            <w:r>
              <w:rPr>
                <w:rFonts w:hint="eastAsia" w:ascii="宋体" w:hAnsi="宋体" w:cs="Arial"/>
                <w:color w:val="auto"/>
                <w:sz w:val="18"/>
                <w:szCs w:val="18"/>
              </w:rPr>
              <w:t>4.墙面硬包</w:t>
            </w:r>
          </w:p>
        </w:tc>
        <w:tc>
          <w:tcPr>
            <w:tcW w:w="900" w:type="dxa"/>
            <w:tcBorders>
              <w:top w:val="nil"/>
              <w:left w:val="nil"/>
              <w:bottom w:val="single" w:color="auto" w:sz="4" w:space="0"/>
              <w:right w:val="single" w:color="auto" w:sz="4" w:space="0"/>
            </w:tcBorders>
            <w:vAlign w:val="center"/>
          </w:tcPr>
          <w:p w14:paraId="7ECD08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18.76 </w:t>
            </w:r>
          </w:p>
        </w:tc>
        <w:tc>
          <w:tcPr>
            <w:tcW w:w="849" w:type="dxa"/>
            <w:gridSpan w:val="2"/>
            <w:tcBorders>
              <w:top w:val="nil"/>
              <w:left w:val="nil"/>
              <w:bottom w:val="single" w:color="auto" w:sz="4" w:space="0"/>
              <w:right w:val="single" w:color="auto" w:sz="4" w:space="0"/>
            </w:tcBorders>
            <w:vAlign w:val="center"/>
          </w:tcPr>
          <w:p w14:paraId="1AD2D2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5602CA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233DE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AF9C9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文化墙</w:t>
            </w:r>
          </w:p>
        </w:tc>
        <w:tc>
          <w:tcPr>
            <w:tcW w:w="5717" w:type="dxa"/>
            <w:tcBorders>
              <w:top w:val="nil"/>
              <w:left w:val="nil"/>
              <w:bottom w:val="single" w:color="auto" w:sz="4" w:space="0"/>
              <w:right w:val="single" w:color="auto" w:sz="4" w:space="0"/>
            </w:tcBorders>
            <w:vAlign w:val="center"/>
          </w:tcPr>
          <w:p w14:paraId="2D2950C5">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1.8mmPVC 基层 2mm 亚克力饰面</w:t>
            </w:r>
          </w:p>
          <w:p w14:paraId="4BA5F910">
            <w:pPr>
              <w:widowControl/>
              <w:spacing w:line="400" w:lineRule="exact"/>
              <w:jc w:val="left"/>
              <w:rPr>
                <w:rFonts w:ascii="宋体" w:hAnsi="宋体" w:cs="Arial"/>
                <w:color w:val="auto"/>
                <w:sz w:val="18"/>
                <w:szCs w:val="18"/>
              </w:rPr>
            </w:pPr>
            <w:r>
              <w:rPr>
                <w:rFonts w:hint="eastAsia" w:ascii="宋体" w:hAnsi="宋体" w:cs="Arial"/>
                <w:color w:val="auto"/>
                <w:sz w:val="18"/>
                <w:szCs w:val="18"/>
              </w:rPr>
              <w:t>2.暗藏灯带</w:t>
            </w:r>
          </w:p>
        </w:tc>
        <w:tc>
          <w:tcPr>
            <w:tcW w:w="900" w:type="dxa"/>
            <w:tcBorders>
              <w:top w:val="nil"/>
              <w:left w:val="nil"/>
              <w:bottom w:val="single" w:color="auto" w:sz="4" w:space="0"/>
              <w:right w:val="single" w:color="auto" w:sz="4" w:space="0"/>
            </w:tcBorders>
            <w:vAlign w:val="center"/>
          </w:tcPr>
          <w:p w14:paraId="3950C1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74.83 </w:t>
            </w:r>
          </w:p>
        </w:tc>
        <w:tc>
          <w:tcPr>
            <w:tcW w:w="849" w:type="dxa"/>
            <w:gridSpan w:val="2"/>
            <w:tcBorders>
              <w:top w:val="nil"/>
              <w:left w:val="nil"/>
              <w:bottom w:val="single" w:color="auto" w:sz="4" w:space="0"/>
              <w:right w:val="single" w:color="auto" w:sz="4" w:space="0"/>
            </w:tcBorders>
            <w:vAlign w:val="center"/>
          </w:tcPr>
          <w:p w14:paraId="6A1226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63F17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9CDC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DD452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玻璃门</w:t>
            </w:r>
          </w:p>
        </w:tc>
        <w:tc>
          <w:tcPr>
            <w:tcW w:w="5717" w:type="dxa"/>
            <w:tcBorders>
              <w:top w:val="nil"/>
              <w:left w:val="nil"/>
              <w:bottom w:val="single" w:color="auto" w:sz="4" w:space="0"/>
              <w:right w:val="single" w:color="auto" w:sz="4" w:space="0"/>
            </w:tcBorders>
            <w:vAlign w:val="center"/>
          </w:tcPr>
          <w:p w14:paraId="66D61493">
            <w:pPr>
              <w:widowControl/>
              <w:spacing w:line="400" w:lineRule="exact"/>
              <w:jc w:val="left"/>
              <w:rPr>
                <w:rFonts w:ascii="宋体" w:hAnsi="宋体" w:cs="Arial"/>
                <w:color w:val="auto"/>
                <w:sz w:val="18"/>
                <w:szCs w:val="18"/>
              </w:rPr>
            </w:pPr>
            <w:r>
              <w:rPr>
                <w:rFonts w:hint="eastAsia" w:ascii="宋体" w:hAnsi="宋体" w:cs="Arial"/>
                <w:color w:val="auto"/>
                <w:sz w:val="18"/>
                <w:szCs w:val="18"/>
              </w:rPr>
              <w:t>1.木工板（木龙骨）基层</w:t>
            </w:r>
          </w:p>
          <w:p w14:paraId="5EF55FAC">
            <w:pPr>
              <w:widowControl/>
              <w:spacing w:line="400" w:lineRule="exact"/>
              <w:jc w:val="left"/>
              <w:rPr>
                <w:rFonts w:ascii="宋体" w:hAnsi="宋体" w:cs="Arial"/>
                <w:color w:val="auto"/>
                <w:sz w:val="18"/>
                <w:szCs w:val="18"/>
              </w:rPr>
            </w:pPr>
            <w:r>
              <w:rPr>
                <w:rFonts w:hint="eastAsia" w:ascii="宋体" w:hAnsi="宋体" w:cs="Arial"/>
                <w:color w:val="auto"/>
                <w:sz w:val="18"/>
                <w:szCs w:val="18"/>
              </w:rPr>
              <w:t>2.不锈钢门套</w:t>
            </w:r>
          </w:p>
          <w:p w14:paraId="4BAEAD2F">
            <w:pPr>
              <w:widowControl/>
              <w:spacing w:line="400" w:lineRule="exact"/>
              <w:jc w:val="left"/>
              <w:rPr>
                <w:rFonts w:ascii="宋体" w:hAnsi="宋体" w:cs="Arial"/>
                <w:color w:val="auto"/>
                <w:sz w:val="18"/>
                <w:szCs w:val="18"/>
              </w:rPr>
            </w:pPr>
            <w:r>
              <w:rPr>
                <w:rFonts w:hint="eastAsia" w:ascii="宋体" w:hAnsi="宋体" w:cs="Arial"/>
                <w:color w:val="auto"/>
                <w:sz w:val="18"/>
                <w:szCs w:val="18"/>
              </w:rPr>
              <w:t>3.10mm 钢化玻璃</w:t>
            </w:r>
          </w:p>
          <w:p w14:paraId="655BBFE4">
            <w:pPr>
              <w:widowControl/>
              <w:spacing w:line="400" w:lineRule="exact"/>
              <w:jc w:val="left"/>
              <w:rPr>
                <w:rFonts w:ascii="宋体" w:hAnsi="宋体" w:cs="Arial"/>
                <w:color w:val="auto"/>
                <w:sz w:val="18"/>
                <w:szCs w:val="18"/>
              </w:rPr>
            </w:pPr>
            <w:r>
              <w:rPr>
                <w:rFonts w:hint="eastAsia" w:ascii="宋体" w:hAnsi="宋体" w:cs="Arial"/>
                <w:color w:val="auto"/>
                <w:sz w:val="18"/>
                <w:szCs w:val="18"/>
              </w:rPr>
              <w:t>4、具体款式甲方确定</w:t>
            </w:r>
          </w:p>
        </w:tc>
        <w:tc>
          <w:tcPr>
            <w:tcW w:w="900" w:type="dxa"/>
            <w:tcBorders>
              <w:top w:val="nil"/>
              <w:left w:val="nil"/>
              <w:bottom w:val="single" w:color="auto" w:sz="4" w:space="0"/>
              <w:right w:val="single" w:color="auto" w:sz="4" w:space="0"/>
            </w:tcBorders>
            <w:vAlign w:val="center"/>
          </w:tcPr>
          <w:p w14:paraId="0BDD76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4.32 </w:t>
            </w:r>
          </w:p>
        </w:tc>
        <w:tc>
          <w:tcPr>
            <w:tcW w:w="849" w:type="dxa"/>
            <w:gridSpan w:val="2"/>
            <w:tcBorders>
              <w:top w:val="nil"/>
              <w:left w:val="nil"/>
              <w:bottom w:val="single" w:color="auto" w:sz="4" w:space="0"/>
              <w:right w:val="single" w:color="auto" w:sz="4" w:space="0"/>
            </w:tcBorders>
            <w:vAlign w:val="center"/>
          </w:tcPr>
          <w:p w14:paraId="4A1803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B0DFAF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74E2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81251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屏风隔断</w:t>
            </w:r>
          </w:p>
        </w:tc>
        <w:tc>
          <w:tcPr>
            <w:tcW w:w="5717" w:type="dxa"/>
            <w:tcBorders>
              <w:top w:val="nil"/>
              <w:left w:val="nil"/>
              <w:bottom w:val="single" w:color="auto" w:sz="4" w:space="0"/>
              <w:right w:val="single" w:color="auto" w:sz="4" w:space="0"/>
            </w:tcBorders>
            <w:vAlign w:val="center"/>
          </w:tcPr>
          <w:p w14:paraId="51C841CA">
            <w:pPr>
              <w:widowControl/>
              <w:spacing w:line="400" w:lineRule="exact"/>
              <w:jc w:val="left"/>
              <w:rPr>
                <w:rFonts w:ascii="宋体" w:hAnsi="宋体" w:cs="Arial"/>
                <w:color w:val="auto"/>
                <w:sz w:val="18"/>
                <w:szCs w:val="18"/>
              </w:rPr>
            </w:pPr>
            <w:r>
              <w:rPr>
                <w:rFonts w:hint="eastAsia" w:ascii="宋体" w:hAnsi="宋体" w:cs="Arial"/>
                <w:color w:val="auto"/>
                <w:sz w:val="18"/>
                <w:szCs w:val="18"/>
              </w:rPr>
              <w:t>1.成品屏风隔断，具体款式甲方确定</w:t>
            </w:r>
          </w:p>
        </w:tc>
        <w:tc>
          <w:tcPr>
            <w:tcW w:w="900" w:type="dxa"/>
            <w:tcBorders>
              <w:top w:val="nil"/>
              <w:left w:val="nil"/>
              <w:bottom w:val="single" w:color="auto" w:sz="4" w:space="0"/>
              <w:right w:val="single" w:color="auto" w:sz="4" w:space="0"/>
            </w:tcBorders>
            <w:vAlign w:val="center"/>
          </w:tcPr>
          <w:p w14:paraId="0A90B6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10.92 </w:t>
            </w:r>
          </w:p>
        </w:tc>
        <w:tc>
          <w:tcPr>
            <w:tcW w:w="849" w:type="dxa"/>
            <w:gridSpan w:val="2"/>
            <w:tcBorders>
              <w:top w:val="nil"/>
              <w:left w:val="nil"/>
              <w:bottom w:val="single" w:color="auto" w:sz="4" w:space="0"/>
              <w:right w:val="single" w:color="auto" w:sz="4" w:space="0"/>
            </w:tcBorders>
            <w:vAlign w:val="center"/>
          </w:tcPr>
          <w:p w14:paraId="6CB732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7AC2DC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60A1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001BD8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亚克力字</w:t>
            </w:r>
          </w:p>
        </w:tc>
        <w:tc>
          <w:tcPr>
            <w:tcW w:w="5717" w:type="dxa"/>
            <w:tcBorders>
              <w:top w:val="nil"/>
              <w:left w:val="nil"/>
              <w:bottom w:val="single" w:color="auto" w:sz="4" w:space="0"/>
              <w:right w:val="single" w:color="auto" w:sz="4" w:space="0"/>
            </w:tcBorders>
            <w:vAlign w:val="center"/>
          </w:tcPr>
          <w:p w14:paraId="5BF7F678">
            <w:pPr>
              <w:widowControl/>
              <w:spacing w:line="400" w:lineRule="exact"/>
              <w:jc w:val="left"/>
              <w:rPr>
                <w:rFonts w:ascii="宋体" w:hAnsi="宋体" w:cs="Arial"/>
                <w:color w:val="auto"/>
                <w:sz w:val="18"/>
                <w:szCs w:val="18"/>
              </w:rPr>
            </w:pPr>
            <w:r>
              <w:rPr>
                <w:rFonts w:hint="eastAsia" w:ascii="宋体" w:hAnsi="宋体" w:cs="Arial"/>
                <w:color w:val="auto"/>
                <w:sz w:val="18"/>
                <w:szCs w:val="18"/>
              </w:rPr>
              <w:t>1.定制亚克力字 5mmPVC 基层 2mm 亚克力饰面</w:t>
            </w:r>
          </w:p>
          <w:p w14:paraId="5B5F226C">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2.规格：300*300MM</w:t>
            </w:r>
          </w:p>
          <w:p w14:paraId="473C9EC6">
            <w:pPr>
              <w:widowControl/>
              <w:spacing w:line="400" w:lineRule="exact"/>
              <w:jc w:val="left"/>
              <w:rPr>
                <w:rFonts w:ascii="宋体" w:hAnsi="宋体" w:cs="Arial"/>
                <w:color w:val="auto"/>
                <w:sz w:val="18"/>
                <w:szCs w:val="18"/>
              </w:rPr>
            </w:pPr>
            <w:r>
              <w:rPr>
                <w:rFonts w:hint="eastAsia" w:ascii="宋体" w:hAnsi="宋体" w:cs="Arial"/>
                <w:color w:val="auto"/>
                <w:sz w:val="18"/>
                <w:szCs w:val="18"/>
              </w:rPr>
              <w:t>3.颜色：白色，字体甲方确定</w:t>
            </w:r>
          </w:p>
        </w:tc>
        <w:tc>
          <w:tcPr>
            <w:tcW w:w="900" w:type="dxa"/>
            <w:tcBorders>
              <w:top w:val="nil"/>
              <w:left w:val="nil"/>
              <w:bottom w:val="single" w:color="auto" w:sz="4" w:space="0"/>
              <w:right w:val="single" w:color="auto" w:sz="4" w:space="0"/>
            </w:tcBorders>
            <w:vAlign w:val="center"/>
          </w:tcPr>
          <w:p w14:paraId="7BA3FE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5D5EC4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A056C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656B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24D66A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不锈钢发光字</w:t>
            </w:r>
          </w:p>
        </w:tc>
        <w:tc>
          <w:tcPr>
            <w:tcW w:w="5717" w:type="dxa"/>
            <w:tcBorders>
              <w:top w:val="nil"/>
              <w:left w:val="nil"/>
              <w:bottom w:val="single" w:color="auto" w:sz="4" w:space="0"/>
              <w:right w:val="single" w:color="auto" w:sz="4" w:space="0"/>
            </w:tcBorders>
            <w:vAlign w:val="center"/>
          </w:tcPr>
          <w:p w14:paraId="1F107B4C">
            <w:pPr>
              <w:widowControl/>
              <w:spacing w:line="400" w:lineRule="exact"/>
              <w:jc w:val="left"/>
              <w:rPr>
                <w:rFonts w:ascii="宋体" w:hAnsi="宋体" w:cs="Arial"/>
                <w:color w:val="auto"/>
                <w:sz w:val="18"/>
                <w:szCs w:val="18"/>
              </w:rPr>
            </w:pPr>
            <w:r>
              <w:rPr>
                <w:rFonts w:hint="eastAsia" w:ascii="宋体" w:hAnsi="宋体" w:cs="Arial"/>
                <w:color w:val="auto"/>
                <w:sz w:val="18"/>
                <w:szCs w:val="18"/>
              </w:rPr>
              <w:t>1.不锈钢发光字（颜色、字体甲方确定）</w:t>
            </w:r>
          </w:p>
          <w:p w14:paraId="50C04B53">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2.规格：400*400MM</w:t>
            </w:r>
          </w:p>
        </w:tc>
        <w:tc>
          <w:tcPr>
            <w:tcW w:w="900" w:type="dxa"/>
            <w:tcBorders>
              <w:top w:val="nil"/>
              <w:left w:val="nil"/>
              <w:bottom w:val="single" w:color="auto" w:sz="4" w:space="0"/>
              <w:right w:val="single" w:color="auto" w:sz="4" w:space="0"/>
            </w:tcBorders>
            <w:vAlign w:val="center"/>
          </w:tcPr>
          <w:p w14:paraId="7C168A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07BA88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32FCD5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2ABB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B641F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5B0EF8D8">
            <w:pPr>
              <w:widowControl/>
              <w:spacing w:line="400" w:lineRule="exact"/>
              <w:jc w:val="left"/>
              <w:rPr>
                <w:rFonts w:ascii="宋体" w:hAnsi="宋体" w:cs="Arial"/>
                <w:color w:val="auto"/>
                <w:sz w:val="18"/>
                <w:szCs w:val="18"/>
              </w:rPr>
            </w:pPr>
            <w:r>
              <w:rPr>
                <w:rFonts w:hint="eastAsia" w:ascii="宋体" w:hAnsi="宋体" w:cs="Arial"/>
                <w:color w:val="auto"/>
                <w:sz w:val="18"/>
                <w:szCs w:val="18"/>
              </w:rPr>
              <w:t>拆除墙体，包含切缝及砌体拆除，垃圾集中</w:t>
            </w:r>
          </w:p>
        </w:tc>
        <w:tc>
          <w:tcPr>
            <w:tcW w:w="900" w:type="dxa"/>
            <w:tcBorders>
              <w:top w:val="nil"/>
              <w:left w:val="nil"/>
              <w:bottom w:val="single" w:color="auto" w:sz="4" w:space="0"/>
              <w:right w:val="single" w:color="auto" w:sz="4" w:space="0"/>
            </w:tcBorders>
            <w:vAlign w:val="center"/>
          </w:tcPr>
          <w:p w14:paraId="686D4B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11.18 </w:t>
            </w:r>
          </w:p>
        </w:tc>
        <w:tc>
          <w:tcPr>
            <w:tcW w:w="849" w:type="dxa"/>
            <w:gridSpan w:val="2"/>
            <w:tcBorders>
              <w:top w:val="nil"/>
              <w:left w:val="nil"/>
              <w:bottom w:val="single" w:color="auto" w:sz="4" w:space="0"/>
              <w:right w:val="single" w:color="auto" w:sz="4" w:space="0"/>
            </w:tcBorders>
            <w:vAlign w:val="center"/>
          </w:tcPr>
          <w:p w14:paraId="43EB41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A56E3D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BE537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338973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不锈钢包边</w:t>
            </w:r>
          </w:p>
        </w:tc>
        <w:tc>
          <w:tcPr>
            <w:tcW w:w="5717" w:type="dxa"/>
            <w:tcBorders>
              <w:top w:val="nil"/>
              <w:left w:val="nil"/>
              <w:bottom w:val="single" w:color="auto" w:sz="4" w:space="0"/>
              <w:right w:val="single" w:color="auto" w:sz="4" w:space="0"/>
            </w:tcBorders>
            <w:vAlign w:val="center"/>
          </w:tcPr>
          <w:p w14:paraId="5B197EBB">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1.轻钢龙骨/木龙骨结构刷防火涂料三遍</w:t>
            </w:r>
          </w:p>
          <w:p w14:paraId="66919E4E">
            <w:pPr>
              <w:widowControl/>
              <w:spacing w:line="400" w:lineRule="exact"/>
              <w:jc w:val="left"/>
              <w:rPr>
                <w:rFonts w:ascii="宋体" w:hAnsi="宋体" w:cs="Arial"/>
                <w:color w:val="auto"/>
                <w:sz w:val="18"/>
                <w:szCs w:val="18"/>
              </w:rPr>
            </w:pPr>
            <w:r>
              <w:rPr>
                <w:rFonts w:hint="eastAsia" w:ascii="宋体" w:hAnsi="宋体" w:cs="Arial"/>
                <w:color w:val="auto"/>
                <w:sz w:val="18"/>
                <w:szCs w:val="18"/>
              </w:rPr>
              <w:t>2.18mm 木工板造型刷防火涂料三遍</w:t>
            </w:r>
          </w:p>
          <w:p w14:paraId="3B118C81">
            <w:pPr>
              <w:widowControl/>
              <w:spacing w:line="400" w:lineRule="exact"/>
              <w:jc w:val="left"/>
              <w:rPr>
                <w:rFonts w:ascii="宋体" w:hAnsi="宋体" w:cs="Arial"/>
                <w:color w:val="auto"/>
                <w:sz w:val="18"/>
                <w:szCs w:val="18"/>
              </w:rPr>
            </w:pPr>
            <w:r>
              <w:rPr>
                <w:rFonts w:hint="eastAsia" w:ascii="宋体" w:hAnsi="宋体" w:cs="Arial"/>
                <w:color w:val="auto"/>
                <w:sz w:val="18"/>
                <w:szCs w:val="18"/>
              </w:rPr>
              <w:t>3.2mm 镜面不锈钢</w:t>
            </w:r>
          </w:p>
        </w:tc>
        <w:tc>
          <w:tcPr>
            <w:tcW w:w="900" w:type="dxa"/>
            <w:tcBorders>
              <w:top w:val="nil"/>
              <w:left w:val="nil"/>
              <w:bottom w:val="single" w:color="auto" w:sz="4" w:space="0"/>
              <w:right w:val="single" w:color="auto" w:sz="4" w:space="0"/>
            </w:tcBorders>
            <w:vAlign w:val="center"/>
          </w:tcPr>
          <w:p w14:paraId="2B4805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11.18 </w:t>
            </w:r>
          </w:p>
        </w:tc>
        <w:tc>
          <w:tcPr>
            <w:tcW w:w="849" w:type="dxa"/>
            <w:gridSpan w:val="2"/>
            <w:tcBorders>
              <w:top w:val="nil"/>
              <w:left w:val="nil"/>
              <w:bottom w:val="single" w:color="auto" w:sz="4" w:space="0"/>
              <w:right w:val="single" w:color="auto" w:sz="4" w:space="0"/>
            </w:tcBorders>
            <w:vAlign w:val="center"/>
          </w:tcPr>
          <w:p w14:paraId="050636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A8E89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27022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32F893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054BC233">
            <w:pPr>
              <w:widowControl/>
              <w:spacing w:line="400" w:lineRule="exact"/>
              <w:jc w:val="left"/>
              <w:rPr>
                <w:rFonts w:ascii="宋体" w:hAnsi="宋体" w:cs="Arial"/>
                <w:color w:val="auto"/>
                <w:sz w:val="18"/>
                <w:szCs w:val="18"/>
              </w:rPr>
            </w:pPr>
            <w:r>
              <w:rPr>
                <w:rFonts w:hint="eastAsia" w:ascii="宋体" w:hAnsi="宋体" w:cs="Arial"/>
                <w:color w:val="auto"/>
                <w:sz w:val="18"/>
                <w:szCs w:val="18"/>
              </w:rPr>
              <w:t>1.素水泥浆一道， ≤50mm 厚 1：3 水泥砂浆找平</w:t>
            </w:r>
          </w:p>
        </w:tc>
        <w:tc>
          <w:tcPr>
            <w:tcW w:w="900" w:type="dxa"/>
            <w:tcBorders>
              <w:top w:val="nil"/>
              <w:left w:val="nil"/>
              <w:bottom w:val="single" w:color="auto" w:sz="4" w:space="0"/>
              <w:right w:val="single" w:color="auto" w:sz="4" w:space="0"/>
            </w:tcBorders>
            <w:vAlign w:val="center"/>
          </w:tcPr>
          <w:p w14:paraId="4665C9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147.21 </w:t>
            </w:r>
          </w:p>
        </w:tc>
        <w:tc>
          <w:tcPr>
            <w:tcW w:w="849" w:type="dxa"/>
            <w:gridSpan w:val="2"/>
            <w:tcBorders>
              <w:top w:val="nil"/>
              <w:left w:val="nil"/>
              <w:bottom w:val="single" w:color="auto" w:sz="4" w:space="0"/>
              <w:right w:val="single" w:color="auto" w:sz="4" w:space="0"/>
            </w:tcBorders>
            <w:vAlign w:val="center"/>
          </w:tcPr>
          <w:p w14:paraId="49DD51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311F75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4885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4E2E34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5D96BF28">
            <w:pPr>
              <w:widowControl/>
              <w:spacing w:line="400" w:lineRule="exact"/>
              <w:jc w:val="left"/>
              <w:rPr>
                <w:rFonts w:ascii="宋体" w:hAnsi="宋体" w:cs="Arial"/>
                <w:color w:val="auto"/>
                <w:sz w:val="18"/>
                <w:szCs w:val="18"/>
              </w:rPr>
            </w:pPr>
            <w:r>
              <w:rPr>
                <w:rFonts w:hint="eastAsia" w:ascii="宋体" w:hAnsi="宋体" w:cs="Arial"/>
                <w:color w:val="auto"/>
                <w:sz w:val="18"/>
                <w:szCs w:val="18"/>
              </w:rPr>
              <w:t>1.基层材料种类：防滑地胶基层3-5mm</w:t>
            </w:r>
          </w:p>
        </w:tc>
        <w:tc>
          <w:tcPr>
            <w:tcW w:w="900" w:type="dxa"/>
            <w:tcBorders>
              <w:top w:val="nil"/>
              <w:left w:val="nil"/>
              <w:bottom w:val="single" w:color="auto" w:sz="4" w:space="0"/>
              <w:right w:val="single" w:color="auto" w:sz="4" w:space="0"/>
            </w:tcBorders>
            <w:vAlign w:val="center"/>
          </w:tcPr>
          <w:p w14:paraId="7B3047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147.21 </w:t>
            </w:r>
          </w:p>
        </w:tc>
        <w:tc>
          <w:tcPr>
            <w:tcW w:w="849" w:type="dxa"/>
            <w:gridSpan w:val="2"/>
            <w:tcBorders>
              <w:top w:val="nil"/>
              <w:left w:val="nil"/>
              <w:bottom w:val="single" w:color="auto" w:sz="4" w:space="0"/>
              <w:right w:val="single" w:color="auto" w:sz="4" w:space="0"/>
            </w:tcBorders>
            <w:vAlign w:val="center"/>
          </w:tcPr>
          <w:p w14:paraId="063FA7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E0895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499E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6A43A7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407E1280">
            <w:pPr>
              <w:widowControl/>
              <w:spacing w:line="400" w:lineRule="exact"/>
              <w:jc w:val="left"/>
              <w:rPr>
                <w:rFonts w:ascii="宋体" w:hAnsi="宋体" w:cs="Arial"/>
                <w:color w:val="auto"/>
                <w:sz w:val="18"/>
                <w:szCs w:val="18"/>
              </w:rPr>
            </w:pPr>
            <w:r>
              <w:rPr>
                <w:rFonts w:hint="eastAsia" w:ascii="宋体" w:hAnsi="宋体" w:cs="Arial"/>
                <w:color w:val="auto"/>
                <w:sz w:val="18"/>
                <w:szCs w:val="18"/>
              </w:rPr>
              <w:t>1. ≥2.5MM 防滑 PVC 地胶铺设，造型，款式满足甲方要求</w:t>
            </w:r>
          </w:p>
        </w:tc>
        <w:tc>
          <w:tcPr>
            <w:tcW w:w="900" w:type="dxa"/>
            <w:tcBorders>
              <w:top w:val="nil"/>
              <w:left w:val="nil"/>
              <w:bottom w:val="single" w:color="auto" w:sz="4" w:space="0"/>
              <w:right w:val="single" w:color="auto" w:sz="4" w:space="0"/>
            </w:tcBorders>
            <w:vAlign w:val="center"/>
          </w:tcPr>
          <w:p w14:paraId="3F987E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137.21 </w:t>
            </w:r>
          </w:p>
        </w:tc>
        <w:tc>
          <w:tcPr>
            <w:tcW w:w="849" w:type="dxa"/>
            <w:gridSpan w:val="2"/>
            <w:tcBorders>
              <w:top w:val="nil"/>
              <w:left w:val="nil"/>
              <w:bottom w:val="single" w:color="auto" w:sz="4" w:space="0"/>
              <w:right w:val="single" w:color="auto" w:sz="4" w:space="0"/>
            </w:tcBorders>
            <w:vAlign w:val="center"/>
          </w:tcPr>
          <w:p w14:paraId="5827E8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75FF1E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6828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08E0CB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地台造型</w:t>
            </w:r>
          </w:p>
        </w:tc>
        <w:tc>
          <w:tcPr>
            <w:tcW w:w="5717" w:type="dxa"/>
            <w:tcBorders>
              <w:top w:val="nil"/>
              <w:left w:val="nil"/>
              <w:bottom w:val="single" w:color="auto" w:sz="4" w:space="0"/>
              <w:right w:val="single" w:color="auto" w:sz="4" w:space="0"/>
            </w:tcBorders>
            <w:vAlign w:val="center"/>
          </w:tcPr>
          <w:p w14:paraId="060FA205">
            <w:pPr>
              <w:widowControl/>
              <w:spacing w:line="400" w:lineRule="exact"/>
              <w:jc w:val="left"/>
              <w:rPr>
                <w:rFonts w:ascii="宋体" w:hAnsi="宋体" w:cs="Arial"/>
                <w:color w:val="auto"/>
                <w:sz w:val="18"/>
                <w:szCs w:val="18"/>
              </w:rPr>
            </w:pPr>
            <w:r>
              <w:rPr>
                <w:rFonts w:hint="eastAsia" w:ascii="宋体" w:hAnsi="宋体" w:cs="Arial"/>
                <w:color w:val="auto"/>
                <w:sz w:val="18"/>
                <w:szCs w:val="18"/>
              </w:rPr>
              <w:t>1.50*50@6mm 角钢</w:t>
            </w:r>
          </w:p>
          <w:p w14:paraId="19548344">
            <w:pPr>
              <w:widowControl/>
              <w:spacing w:line="400" w:lineRule="exact"/>
              <w:jc w:val="left"/>
              <w:rPr>
                <w:rFonts w:ascii="宋体" w:hAnsi="宋体" w:cs="Arial"/>
                <w:color w:val="auto"/>
                <w:sz w:val="18"/>
                <w:szCs w:val="18"/>
              </w:rPr>
            </w:pPr>
            <w:r>
              <w:rPr>
                <w:rFonts w:hint="eastAsia" w:ascii="宋体" w:hAnsi="宋体" w:cs="Arial"/>
                <w:color w:val="auto"/>
                <w:sz w:val="18"/>
                <w:szCs w:val="18"/>
              </w:rPr>
              <w:t>2.18mm 厚细木工板</w:t>
            </w:r>
          </w:p>
          <w:p w14:paraId="5E009D5D">
            <w:pPr>
              <w:widowControl/>
              <w:spacing w:line="400" w:lineRule="exact"/>
              <w:jc w:val="left"/>
              <w:rPr>
                <w:rFonts w:ascii="宋体" w:hAnsi="宋体" w:cs="Arial"/>
                <w:color w:val="auto"/>
                <w:sz w:val="18"/>
                <w:szCs w:val="18"/>
              </w:rPr>
            </w:pPr>
            <w:r>
              <w:rPr>
                <w:rFonts w:hint="eastAsia" w:ascii="宋体" w:hAnsi="宋体" w:cs="Arial"/>
                <w:color w:val="auto"/>
                <w:sz w:val="18"/>
                <w:szCs w:val="18"/>
              </w:rPr>
              <w:t>3.防火涂料</w:t>
            </w:r>
          </w:p>
          <w:p w14:paraId="54FD0012">
            <w:pPr>
              <w:widowControl/>
              <w:spacing w:line="400" w:lineRule="exact"/>
              <w:jc w:val="left"/>
              <w:rPr>
                <w:rFonts w:ascii="宋体" w:hAnsi="宋体" w:cs="Arial"/>
                <w:color w:val="auto"/>
                <w:sz w:val="18"/>
                <w:szCs w:val="18"/>
              </w:rPr>
            </w:pPr>
            <w:r>
              <w:rPr>
                <w:rFonts w:hint="eastAsia" w:ascii="宋体" w:hAnsi="宋体" w:cs="Arial"/>
                <w:color w:val="auto"/>
                <w:sz w:val="18"/>
                <w:szCs w:val="18"/>
              </w:rPr>
              <w:t>4.3000*3000*150MM</w:t>
            </w:r>
          </w:p>
          <w:p w14:paraId="32F47FE7">
            <w:pPr>
              <w:widowControl/>
              <w:spacing w:line="400" w:lineRule="exact"/>
              <w:jc w:val="left"/>
              <w:rPr>
                <w:rFonts w:ascii="宋体" w:hAnsi="宋体" w:cs="Arial"/>
                <w:color w:val="auto"/>
                <w:sz w:val="18"/>
                <w:szCs w:val="18"/>
              </w:rPr>
            </w:pPr>
            <w:r>
              <w:rPr>
                <w:rFonts w:hint="eastAsia" w:ascii="宋体" w:hAnsi="宋体" w:cs="Arial"/>
                <w:color w:val="auto"/>
                <w:sz w:val="18"/>
                <w:szCs w:val="18"/>
              </w:rPr>
              <w:t>5.12mm 强化复合地板</w:t>
            </w:r>
          </w:p>
        </w:tc>
        <w:tc>
          <w:tcPr>
            <w:tcW w:w="900" w:type="dxa"/>
            <w:tcBorders>
              <w:top w:val="nil"/>
              <w:left w:val="nil"/>
              <w:bottom w:val="single" w:color="auto" w:sz="4" w:space="0"/>
              <w:right w:val="single" w:color="auto" w:sz="4" w:space="0"/>
            </w:tcBorders>
            <w:vAlign w:val="center"/>
          </w:tcPr>
          <w:p w14:paraId="68DB98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4B84F9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51A57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6D0FC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5A6CAC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41D7FACA">
            <w:pPr>
              <w:widowControl/>
              <w:spacing w:line="400" w:lineRule="exact"/>
              <w:jc w:val="left"/>
              <w:rPr>
                <w:rFonts w:ascii="宋体" w:hAnsi="宋体" w:cs="Arial"/>
                <w:color w:val="auto"/>
                <w:sz w:val="18"/>
                <w:szCs w:val="18"/>
              </w:rPr>
            </w:pPr>
            <w:r>
              <w:rPr>
                <w:rFonts w:hint="eastAsia" w:ascii="宋体" w:hAnsi="宋体" w:cs="Arial"/>
                <w:color w:val="auto"/>
                <w:sz w:val="18"/>
                <w:szCs w:val="18"/>
              </w:rPr>
              <w:t>1.木龙骨结构刷防火涂料三遍</w:t>
            </w:r>
          </w:p>
          <w:p w14:paraId="0DB55B6A">
            <w:pPr>
              <w:widowControl/>
              <w:spacing w:line="400" w:lineRule="exact"/>
              <w:jc w:val="left"/>
              <w:rPr>
                <w:rFonts w:ascii="宋体" w:hAnsi="宋体" w:cs="Arial"/>
                <w:color w:val="auto"/>
                <w:sz w:val="18"/>
                <w:szCs w:val="18"/>
              </w:rPr>
            </w:pPr>
            <w:r>
              <w:rPr>
                <w:rFonts w:hint="eastAsia" w:ascii="宋体" w:hAnsi="宋体" w:cs="Arial"/>
                <w:color w:val="auto"/>
                <w:sz w:val="18"/>
                <w:szCs w:val="18"/>
              </w:rPr>
              <w:t>2.12mm 木工板造型刷防火涂料三遍</w:t>
            </w:r>
          </w:p>
          <w:p w14:paraId="417F4F9D">
            <w:pPr>
              <w:widowControl/>
              <w:spacing w:line="400" w:lineRule="exact"/>
              <w:jc w:val="left"/>
              <w:rPr>
                <w:rFonts w:ascii="宋体" w:hAnsi="宋体" w:cs="Arial"/>
                <w:color w:val="auto"/>
                <w:sz w:val="18"/>
                <w:szCs w:val="18"/>
              </w:rPr>
            </w:pPr>
            <w:r>
              <w:rPr>
                <w:rFonts w:hint="eastAsia" w:ascii="宋体" w:hAnsi="宋体" w:cs="Arial"/>
                <w:color w:val="auto"/>
                <w:sz w:val="18"/>
                <w:szCs w:val="18"/>
              </w:rPr>
              <w:t>3.不锈钢折弯</w:t>
            </w:r>
          </w:p>
          <w:p w14:paraId="163029F3">
            <w:pPr>
              <w:widowControl/>
              <w:spacing w:line="400" w:lineRule="exact"/>
              <w:jc w:val="left"/>
              <w:rPr>
                <w:rFonts w:ascii="宋体" w:hAnsi="宋体" w:cs="Arial"/>
                <w:color w:val="auto"/>
                <w:sz w:val="18"/>
                <w:szCs w:val="18"/>
              </w:rPr>
            </w:pPr>
            <w:r>
              <w:rPr>
                <w:rFonts w:hint="eastAsia" w:ascii="宋体" w:hAnsi="宋体" w:cs="Arial"/>
                <w:color w:val="auto"/>
                <w:sz w:val="18"/>
                <w:szCs w:val="18"/>
              </w:rPr>
              <w:t>4.自攻丝、枪钉、结构胶</w:t>
            </w:r>
          </w:p>
        </w:tc>
        <w:tc>
          <w:tcPr>
            <w:tcW w:w="900" w:type="dxa"/>
            <w:tcBorders>
              <w:top w:val="nil"/>
              <w:left w:val="nil"/>
              <w:bottom w:val="single" w:color="auto" w:sz="4" w:space="0"/>
              <w:right w:val="single" w:color="auto" w:sz="4" w:space="0"/>
            </w:tcBorders>
            <w:vAlign w:val="center"/>
          </w:tcPr>
          <w:p w14:paraId="50C601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50.08 </w:t>
            </w:r>
          </w:p>
        </w:tc>
        <w:tc>
          <w:tcPr>
            <w:tcW w:w="849" w:type="dxa"/>
            <w:gridSpan w:val="2"/>
            <w:tcBorders>
              <w:top w:val="nil"/>
              <w:left w:val="nil"/>
              <w:bottom w:val="single" w:color="auto" w:sz="4" w:space="0"/>
              <w:right w:val="single" w:color="auto" w:sz="4" w:space="0"/>
            </w:tcBorders>
            <w:vAlign w:val="center"/>
          </w:tcPr>
          <w:p w14:paraId="572DDA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521949A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E9B1D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0FC839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374F6822">
            <w:pPr>
              <w:widowControl/>
              <w:spacing w:line="400" w:lineRule="exact"/>
              <w:jc w:val="left"/>
              <w:rPr>
                <w:rFonts w:ascii="宋体" w:hAnsi="宋体" w:cs="Arial"/>
                <w:color w:val="auto"/>
                <w:sz w:val="18"/>
                <w:szCs w:val="18"/>
              </w:rPr>
            </w:pPr>
            <w:r>
              <w:rPr>
                <w:rFonts w:hint="eastAsia" w:ascii="宋体" w:hAnsi="宋体" w:cs="Arial"/>
                <w:color w:val="auto"/>
                <w:sz w:val="18"/>
                <w:szCs w:val="18"/>
              </w:rPr>
              <w:t>1 地面、墙面开槽及恢复</w:t>
            </w:r>
          </w:p>
          <w:p w14:paraId="4112CB0C">
            <w:pPr>
              <w:widowControl/>
              <w:spacing w:line="400" w:lineRule="exact"/>
              <w:jc w:val="left"/>
              <w:rPr>
                <w:rFonts w:ascii="宋体" w:hAnsi="宋体" w:cs="Arial"/>
                <w:color w:val="auto"/>
                <w:sz w:val="18"/>
                <w:szCs w:val="18"/>
              </w:rPr>
            </w:pPr>
            <w:r>
              <w:rPr>
                <w:rFonts w:hint="eastAsia" w:ascii="宋体" w:hAnsi="宋体" w:cs="Arial"/>
                <w:color w:val="auto"/>
                <w:sz w:val="18"/>
                <w:szCs w:val="18"/>
              </w:rPr>
              <w:t>2.预埋 2.0PVC 线管，2.5/4 平方单股铜芯线</w:t>
            </w:r>
          </w:p>
          <w:p w14:paraId="0AAAD02F">
            <w:pPr>
              <w:widowControl/>
              <w:spacing w:line="400" w:lineRule="exact"/>
              <w:jc w:val="left"/>
              <w:rPr>
                <w:rFonts w:ascii="宋体" w:hAnsi="宋体" w:cs="Arial"/>
                <w:color w:val="auto"/>
                <w:sz w:val="18"/>
                <w:szCs w:val="18"/>
              </w:rPr>
            </w:pPr>
            <w:r>
              <w:rPr>
                <w:rFonts w:hint="eastAsia" w:ascii="宋体" w:hAnsi="宋体" w:cs="Arial"/>
                <w:color w:val="auto"/>
                <w:sz w:val="18"/>
                <w:szCs w:val="18"/>
              </w:rPr>
              <w:t>3.强电改造</w:t>
            </w:r>
          </w:p>
          <w:p w14:paraId="0F494676">
            <w:pPr>
              <w:widowControl/>
              <w:spacing w:line="400" w:lineRule="exact"/>
              <w:jc w:val="left"/>
              <w:rPr>
                <w:rFonts w:ascii="宋体" w:hAnsi="宋体" w:cs="Arial"/>
                <w:color w:val="auto"/>
                <w:sz w:val="18"/>
                <w:szCs w:val="18"/>
              </w:rPr>
            </w:pPr>
            <w:r>
              <w:rPr>
                <w:rFonts w:hint="eastAsia" w:ascii="宋体" w:hAnsi="宋体" w:cs="Arial"/>
                <w:color w:val="auto"/>
                <w:sz w:val="18"/>
                <w:szCs w:val="18"/>
              </w:rPr>
              <w:t>4.地面切割，开槽，水泥砂浆找平，横平竖直，凿好管线槽排入专用阻燃型电线管，满足甲方使用要求</w:t>
            </w:r>
          </w:p>
        </w:tc>
        <w:tc>
          <w:tcPr>
            <w:tcW w:w="900" w:type="dxa"/>
            <w:tcBorders>
              <w:top w:val="nil"/>
              <w:left w:val="nil"/>
              <w:bottom w:val="single" w:color="auto" w:sz="4" w:space="0"/>
              <w:right w:val="single" w:color="auto" w:sz="4" w:space="0"/>
            </w:tcBorders>
            <w:vAlign w:val="center"/>
          </w:tcPr>
          <w:p w14:paraId="0920DA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147.21 </w:t>
            </w:r>
          </w:p>
        </w:tc>
        <w:tc>
          <w:tcPr>
            <w:tcW w:w="849" w:type="dxa"/>
            <w:gridSpan w:val="2"/>
            <w:tcBorders>
              <w:top w:val="nil"/>
              <w:left w:val="nil"/>
              <w:bottom w:val="single" w:color="auto" w:sz="4" w:space="0"/>
              <w:right w:val="single" w:color="auto" w:sz="4" w:space="0"/>
            </w:tcBorders>
            <w:vAlign w:val="center"/>
          </w:tcPr>
          <w:p w14:paraId="4C5E20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999A3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F2B17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234003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0A6BD1B1">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1.名称：照明开关，造型，款式满足甲方要求</w:t>
            </w:r>
          </w:p>
          <w:p w14:paraId="03839E92">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2.材质：电流 10A,注塑面板，PC 阻燃</w:t>
            </w:r>
          </w:p>
          <w:p w14:paraId="69E1B337">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3.规格：86 型</w:t>
            </w:r>
          </w:p>
        </w:tc>
        <w:tc>
          <w:tcPr>
            <w:tcW w:w="900" w:type="dxa"/>
            <w:tcBorders>
              <w:top w:val="nil"/>
              <w:left w:val="nil"/>
              <w:bottom w:val="single" w:color="auto" w:sz="4" w:space="0"/>
              <w:right w:val="single" w:color="auto" w:sz="4" w:space="0"/>
            </w:tcBorders>
            <w:vAlign w:val="center"/>
          </w:tcPr>
          <w:p w14:paraId="12A535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6F1E9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0F35A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619F1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6C62D2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67ED73E6">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1.名称：五孔插座，造型，款式满足甲方要求</w:t>
            </w:r>
          </w:p>
          <w:p w14:paraId="263B54A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2.规格：86 型二三插座，带保护门</w:t>
            </w:r>
          </w:p>
        </w:tc>
        <w:tc>
          <w:tcPr>
            <w:tcW w:w="900" w:type="dxa"/>
            <w:tcBorders>
              <w:top w:val="nil"/>
              <w:left w:val="nil"/>
              <w:bottom w:val="single" w:color="auto" w:sz="4" w:space="0"/>
              <w:right w:val="single" w:color="auto" w:sz="4" w:space="0"/>
            </w:tcBorders>
            <w:vAlign w:val="center"/>
          </w:tcPr>
          <w:p w14:paraId="4D2A98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763100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FB152F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DD9A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2A843F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3AA4F2F1">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w:t>
            </w:r>
          </w:p>
          <w:p w14:paraId="226AB79A">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2.材质：地插座全铜防水</w:t>
            </w:r>
          </w:p>
          <w:p w14:paraId="2E7301BB">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3.规格：带保护门单相两极双用</w:t>
            </w:r>
          </w:p>
        </w:tc>
        <w:tc>
          <w:tcPr>
            <w:tcW w:w="900" w:type="dxa"/>
            <w:tcBorders>
              <w:top w:val="nil"/>
              <w:left w:val="nil"/>
              <w:bottom w:val="single" w:color="auto" w:sz="4" w:space="0"/>
              <w:right w:val="single" w:color="auto" w:sz="4" w:space="0"/>
            </w:tcBorders>
            <w:vAlign w:val="center"/>
          </w:tcPr>
          <w:p w14:paraId="0D1625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59712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C1B7F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C9CB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1884E6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茶水柜组合</w:t>
            </w:r>
          </w:p>
        </w:tc>
        <w:tc>
          <w:tcPr>
            <w:tcW w:w="5717" w:type="dxa"/>
            <w:tcBorders>
              <w:top w:val="nil"/>
              <w:left w:val="nil"/>
              <w:bottom w:val="single" w:color="auto" w:sz="4" w:space="0"/>
              <w:right w:val="single" w:color="auto" w:sz="4" w:space="0"/>
            </w:tcBorders>
            <w:vAlign w:val="center"/>
          </w:tcPr>
          <w:p w14:paraId="3D86C6F8">
            <w:pPr>
              <w:widowControl/>
              <w:spacing w:line="400" w:lineRule="exact"/>
              <w:jc w:val="left"/>
              <w:rPr>
                <w:rFonts w:ascii="宋体" w:hAnsi="宋体" w:cs="Arial"/>
                <w:color w:val="auto"/>
                <w:sz w:val="18"/>
                <w:szCs w:val="18"/>
              </w:rPr>
            </w:pPr>
            <w:r>
              <w:rPr>
                <w:rFonts w:hint="eastAsia" w:ascii="宋体" w:hAnsi="宋体" w:cs="Arial"/>
                <w:color w:val="auto"/>
                <w:sz w:val="18"/>
                <w:szCs w:val="18"/>
              </w:rPr>
              <w:t>2800*400*800mm环保密度板木纹，造型，款式满足甲方要求</w:t>
            </w:r>
          </w:p>
        </w:tc>
        <w:tc>
          <w:tcPr>
            <w:tcW w:w="900" w:type="dxa"/>
            <w:tcBorders>
              <w:top w:val="nil"/>
              <w:left w:val="nil"/>
              <w:bottom w:val="single" w:color="auto" w:sz="4" w:space="0"/>
              <w:right w:val="single" w:color="auto" w:sz="4" w:space="0"/>
            </w:tcBorders>
            <w:vAlign w:val="center"/>
          </w:tcPr>
          <w:p w14:paraId="768BE6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01B23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1F60B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E83E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59B63C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保温瓶</w:t>
            </w:r>
          </w:p>
        </w:tc>
        <w:tc>
          <w:tcPr>
            <w:tcW w:w="5717" w:type="dxa"/>
            <w:tcBorders>
              <w:top w:val="nil"/>
              <w:left w:val="nil"/>
              <w:bottom w:val="single" w:color="auto" w:sz="4" w:space="0"/>
              <w:right w:val="single" w:color="auto" w:sz="4" w:space="0"/>
            </w:tcBorders>
            <w:vAlign w:val="center"/>
          </w:tcPr>
          <w:p w14:paraId="3F49B67D">
            <w:pPr>
              <w:widowControl/>
              <w:spacing w:line="400" w:lineRule="exact"/>
              <w:jc w:val="left"/>
              <w:rPr>
                <w:rFonts w:ascii="宋体" w:hAnsi="宋体" w:cs="Arial"/>
                <w:color w:val="auto"/>
                <w:sz w:val="18"/>
                <w:szCs w:val="18"/>
              </w:rPr>
            </w:pPr>
            <w:r>
              <w:rPr>
                <w:rFonts w:hint="eastAsia" w:ascii="宋体" w:hAnsi="宋体" w:cs="Arial"/>
                <w:color w:val="auto"/>
                <w:sz w:val="18"/>
                <w:szCs w:val="18"/>
              </w:rPr>
              <w:t>130*280mm，造型，款式满足甲方要求</w:t>
            </w:r>
          </w:p>
        </w:tc>
        <w:tc>
          <w:tcPr>
            <w:tcW w:w="900" w:type="dxa"/>
            <w:tcBorders>
              <w:top w:val="nil"/>
              <w:left w:val="nil"/>
              <w:bottom w:val="single" w:color="auto" w:sz="4" w:space="0"/>
              <w:right w:val="single" w:color="auto" w:sz="4" w:space="0"/>
            </w:tcBorders>
            <w:vAlign w:val="center"/>
          </w:tcPr>
          <w:p w14:paraId="09EAA8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A5BE1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D36E8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1D2F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15BA75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茶水杯</w:t>
            </w:r>
          </w:p>
        </w:tc>
        <w:tc>
          <w:tcPr>
            <w:tcW w:w="5717" w:type="dxa"/>
            <w:tcBorders>
              <w:top w:val="nil"/>
              <w:left w:val="nil"/>
              <w:bottom w:val="single" w:color="auto" w:sz="4" w:space="0"/>
              <w:right w:val="single" w:color="auto" w:sz="4" w:space="0"/>
            </w:tcBorders>
            <w:vAlign w:val="center"/>
          </w:tcPr>
          <w:p w14:paraId="2D40AA44">
            <w:pPr>
              <w:widowControl/>
              <w:spacing w:line="400" w:lineRule="exact"/>
              <w:jc w:val="left"/>
              <w:rPr>
                <w:rFonts w:ascii="宋体" w:hAnsi="宋体" w:cs="Arial"/>
                <w:color w:val="auto"/>
                <w:sz w:val="18"/>
                <w:szCs w:val="18"/>
              </w:rPr>
            </w:pPr>
            <w:r>
              <w:rPr>
                <w:rFonts w:hint="eastAsia" w:ascii="宋体" w:hAnsi="宋体" w:cs="Arial"/>
                <w:color w:val="auto"/>
                <w:sz w:val="18"/>
                <w:szCs w:val="18"/>
              </w:rPr>
              <w:t>85*137mm 陶瓷，造型，款式满足甲方要求</w:t>
            </w:r>
          </w:p>
        </w:tc>
        <w:tc>
          <w:tcPr>
            <w:tcW w:w="900" w:type="dxa"/>
            <w:tcBorders>
              <w:top w:val="nil"/>
              <w:left w:val="nil"/>
              <w:bottom w:val="single" w:color="auto" w:sz="4" w:space="0"/>
              <w:right w:val="single" w:color="auto" w:sz="4" w:space="0"/>
            </w:tcBorders>
            <w:vAlign w:val="center"/>
          </w:tcPr>
          <w:p w14:paraId="24D0AC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746FB9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DD0587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E701B33">
            <w:pPr>
              <w:widowControl/>
              <w:spacing w:line="400" w:lineRule="exact"/>
              <w:jc w:val="left"/>
              <w:rPr>
                <w:rFonts w:ascii="宋体" w:hAnsi="宋体" w:cs="Arial"/>
                <w:color w:val="auto"/>
                <w:sz w:val="18"/>
                <w:szCs w:val="18"/>
              </w:rPr>
            </w:pPr>
            <w:r>
              <w:rPr>
                <w:rFonts w:hint="eastAsia" w:ascii="宋体" w:hAnsi="宋体" w:cs="Arial"/>
                <w:color w:val="auto"/>
                <w:sz w:val="18"/>
                <w:szCs w:val="18"/>
              </w:rPr>
              <w:t>设备间基础改造</w:t>
            </w:r>
          </w:p>
        </w:tc>
      </w:tr>
      <w:tr w14:paraId="766A0C4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DE4D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756E9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2392C0F8">
            <w:pPr>
              <w:widowControl/>
              <w:spacing w:line="400" w:lineRule="exact"/>
              <w:jc w:val="left"/>
              <w:rPr>
                <w:rFonts w:ascii="宋体" w:hAnsi="宋体" w:cs="Arial"/>
                <w:color w:val="auto"/>
                <w:sz w:val="18"/>
                <w:szCs w:val="18"/>
              </w:rPr>
            </w:pPr>
            <w:r>
              <w:rPr>
                <w:rFonts w:hint="eastAsia" w:ascii="宋体" w:hAnsi="宋体" w:cs="Arial"/>
                <w:color w:val="auto"/>
                <w:sz w:val="18"/>
                <w:szCs w:val="18"/>
              </w:rPr>
              <w:t>隔墙 75 系列轻钢龙骨中距竖 0.4m，中龙骨横 1m 100 厚超细玻璃棉</w:t>
            </w:r>
          </w:p>
          <w:p w14:paraId="6E03024A">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 18mm 木工板造型刷防火涂料三遍：2440*1220MM</w:t>
            </w:r>
          </w:p>
          <w:p w14:paraId="4C4E4C43">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双面纸面石膏板：2440*1220*9MM</w:t>
            </w:r>
          </w:p>
        </w:tc>
        <w:tc>
          <w:tcPr>
            <w:tcW w:w="900" w:type="dxa"/>
            <w:tcBorders>
              <w:top w:val="nil"/>
              <w:left w:val="nil"/>
              <w:bottom w:val="single" w:color="auto" w:sz="4" w:space="0"/>
              <w:right w:val="single" w:color="auto" w:sz="4" w:space="0"/>
            </w:tcBorders>
            <w:vAlign w:val="center"/>
          </w:tcPr>
          <w:p w14:paraId="72D080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20.80 </w:t>
            </w:r>
          </w:p>
        </w:tc>
        <w:tc>
          <w:tcPr>
            <w:tcW w:w="849" w:type="dxa"/>
            <w:gridSpan w:val="2"/>
            <w:tcBorders>
              <w:top w:val="nil"/>
              <w:left w:val="nil"/>
              <w:bottom w:val="single" w:color="auto" w:sz="4" w:space="0"/>
              <w:right w:val="single" w:color="auto" w:sz="4" w:space="0"/>
            </w:tcBorders>
            <w:vAlign w:val="center"/>
          </w:tcPr>
          <w:p w14:paraId="43E655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6EF3A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66BD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98BC3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 (翻新)</w:t>
            </w:r>
          </w:p>
        </w:tc>
        <w:tc>
          <w:tcPr>
            <w:tcW w:w="5717" w:type="dxa"/>
            <w:tcBorders>
              <w:top w:val="nil"/>
              <w:left w:val="nil"/>
              <w:bottom w:val="single" w:color="auto" w:sz="4" w:space="0"/>
              <w:right w:val="single" w:color="auto" w:sz="4" w:space="0"/>
            </w:tcBorders>
            <w:vAlign w:val="center"/>
          </w:tcPr>
          <w:p w14:paraId="1900798F">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49708185">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4A82E99C">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558B3812">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11E08C24">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涂料：施工应在干燥、清洁、牢固的层表面上进行，喷涂一遍，涂层均匀，无漏涂；二次喷涂同上部分造型进行乳胶漆分色处理。</w:t>
            </w:r>
          </w:p>
        </w:tc>
        <w:tc>
          <w:tcPr>
            <w:tcW w:w="900" w:type="dxa"/>
            <w:tcBorders>
              <w:top w:val="nil"/>
              <w:left w:val="nil"/>
              <w:bottom w:val="single" w:color="auto" w:sz="4" w:space="0"/>
              <w:right w:val="single" w:color="auto" w:sz="4" w:space="0"/>
            </w:tcBorders>
            <w:vAlign w:val="center"/>
          </w:tcPr>
          <w:p w14:paraId="6E6D05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65.76 </w:t>
            </w:r>
          </w:p>
        </w:tc>
        <w:tc>
          <w:tcPr>
            <w:tcW w:w="849" w:type="dxa"/>
            <w:gridSpan w:val="2"/>
            <w:tcBorders>
              <w:top w:val="nil"/>
              <w:left w:val="nil"/>
              <w:bottom w:val="single" w:color="auto" w:sz="4" w:space="0"/>
              <w:right w:val="single" w:color="auto" w:sz="4" w:space="0"/>
            </w:tcBorders>
            <w:vAlign w:val="center"/>
          </w:tcPr>
          <w:p w14:paraId="676CE0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6D5A9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947F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5E7DC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防火门</w:t>
            </w:r>
          </w:p>
        </w:tc>
        <w:tc>
          <w:tcPr>
            <w:tcW w:w="5717" w:type="dxa"/>
            <w:tcBorders>
              <w:top w:val="nil"/>
              <w:left w:val="nil"/>
              <w:bottom w:val="single" w:color="auto" w:sz="4" w:space="0"/>
              <w:right w:val="single" w:color="auto" w:sz="4" w:space="0"/>
            </w:tcBorders>
            <w:vAlign w:val="center"/>
          </w:tcPr>
          <w:p w14:paraId="2B04A9B2">
            <w:pPr>
              <w:widowControl/>
              <w:spacing w:line="400" w:lineRule="exact"/>
              <w:jc w:val="left"/>
              <w:rPr>
                <w:rFonts w:ascii="宋体" w:hAnsi="宋体" w:cs="Arial"/>
                <w:color w:val="auto"/>
                <w:sz w:val="18"/>
                <w:szCs w:val="18"/>
              </w:rPr>
            </w:pPr>
            <w:r>
              <w:rPr>
                <w:rFonts w:hint="eastAsia" w:ascii="宋体" w:hAnsi="宋体" w:cs="Arial"/>
                <w:color w:val="auto"/>
                <w:sz w:val="18"/>
                <w:szCs w:val="18"/>
              </w:rPr>
              <w:t>甲级防火门</w:t>
            </w:r>
          </w:p>
        </w:tc>
        <w:tc>
          <w:tcPr>
            <w:tcW w:w="900" w:type="dxa"/>
            <w:tcBorders>
              <w:top w:val="nil"/>
              <w:left w:val="nil"/>
              <w:bottom w:val="single" w:color="auto" w:sz="4" w:space="0"/>
              <w:right w:val="single" w:color="auto" w:sz="4" w:space="0"/>
            </w:tcBorders>
            <w:vAlign w:val="center"/>
          </w:tcPr>
          <w:p w14:paraId="6CEEEC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4F003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樘</w:t>
            </w:r>
          </w:p>
        </w:tc>
      </w:tr>
      <w:tr w14:paraId="23AB4EA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C11F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4DA66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69907AC9">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原有墙体拆除，包含切缝及砌体拆除，垃圾集中</w:t>
            </w:r>
          </w:p>
        </w:tc>
        <w:tc>
          <w:tcPr>
            <w:tcW w:w="900" w:type="dxa"/>
            <w:tcBorders>
              <w:top w:val="nil"/>
              <w:left w:val="nil"/>
              <w:bottom w:val="single" w:color="auto" w:sz="4" w:space="0"/>
              <w:right w:val="single" w:color="auto" w:sz="4" w:space="0"/>
            </w:tcBorders>
            <w:vAlign w:val="center"/>
          </w:tcPr>
          <w:p w14:paraId="66C368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20.28 </w:t>
            </w:r>
          </w:p>
        </w:tc>
        <w:tc>
          <w:tcPr>
            <w:tcW w:w="849" w:type="dxa"/>
            <w:gridSpan w:val="2"/>
            <w:tcBorders>
              <w:top w:val="nil"/>
              <w:left w:val="nil"/>
              <w:bottom w:val="single" w:color="auto" w:sz="4" w:space="0"/>
              <w:right w:val="single" w:color="auto" w:sz="4" w:space="0"/>
            </w:tcBorders>
            <w:vAlign w:val="center"/>
          </w:tcPr>
          <w:p w14:paraId="718558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7E8465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F4B1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2F5350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吸音板墙面</w:t>
            </w:r>
          </w:p>
        </w:tc>
        <w:tc>
          <w:tcPr>
            <w:tcW w:w="5717" w:type="dxa"/>
            <w:tcBorders>
              <w:top w:val="nil"/>
              <w:left w:val="nil"/>
              <w:bottom w:val="single" w:color="auto" w:sz="4" w:space="0"/>
              <w:right w:val="single" w:color="auto" w:sz="4" w:space="0"/>
            </w:tcBorders>
            <w:vAlign w:val="center"/>
          </w:tcPr>
          <w:p w14:paraId="7C048E51">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轻钢龙骨双层</w:t>
            </w:r>
          </w:p>
          <w:p w14:paraId="2A335CD7">
            <w:pPr>
              <w:widowControl/>
              <w:spacing w:line="400" w:lineRule="exact"/>
              <w:jc w:val="left"/>
              <w:rPr>
                <w:rFonts w:ascii="宋体" w:hAnsi="宋体" w:cs="Arial"/>
                <w:color w:val="auto"/>
                <w:sz w:val="18"/>
                <w:szCs w:val="18"/>
              </w:rPr>
            </w:pPr>
            <w:r>
              <w:rPr>
                <w:rFonts w:hint="eastAsia" w:ascii="宋体" w:hAnsi="宋体" w:cs="Arial"/>
                <w:color w:val="auto"/>
                <w:sz w:val="18"/>
                <w:szCs w:val="18"/>
              </w:rPr>
              <w:t>龙骨内填 50 – 100mm 玻璃棉（密度 48 –64kg/m³ )外层覆穿孔吸音板+石膏板；错缝铺设，避免声桥管线穿墙处用柔性套管+岩棉密封</w:t>
            </w:r>
          </w:p>
        </w:tc>
        <w:tc>
          <w:tcPr>
            <w:tcW w:w="900" w:type="dxa"/>
            <w:tcBorders>
              <w:top w:val="nil"/>
              <w:left w:val="nil"/>
              <w:bottom w:val="single" w:color="auto" w:sz="4" w:space="0"/>
              <w:right w:val="single" w:color="auto" w:sz="4" w:space="0"/>
            </w:tcBorders>
            <w:vAlign w:val="center"/>
          </w:tcPr>
          <w:p w14:paraId="0F7D74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44.58 </w:t>
            </w:r>
          </w:p>
        </w:tc>
        <w:tc>
          <w:tcPr>
            <w:tcW w:w="849" w:type="dxa"/>
            <w:gridSpan w:val="2"/>
            <w:tcBorders>
              <w:top w:val="nil"/>
              <w:left w:val="nil"/>
              <w:bottom w:val="single" w:color="auto" w:sz="4" w:space="0"/>
              <w:right w:val="single" w:color="auto" w:sz="4" w:space="0"/>
            </w:tcBorders>
            <w:vAlign w:val="center"/>
          </w:tcPr>
          <w:p w14:paraId="5AEE2E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32EA00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389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E2B56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5C696CAA">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w:t>
            </w:r>
          </w:p>
          <w:p w14:paraId="23CEE51F">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3DE5E85B">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4DAE77FF">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272CEA1F">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0F977A9D">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41478B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20.38 </w:t>
            </w:r>
          </w:p>
        </w:tc>
        <w:tc>
          <w:tcPr>
            <w:tcW w:w="849" w:type="dxa"/>
            <w:gridSpan w:val="2"/>
            <w:tcBorders>
              <w:top w:val="nil"/>
              <w:left w:val="nil"/>
              <w:bottom w:val="single" w:color="auto" w:sz="4" w:space="0"/>
              <w:right w:val="single" w:color="auto" w:sz="4" w:space="0"/>
            </w:tcBorders>
            <w:vAlign w:val="center"/>
          </w:tcPr>
          <w:p w14:paraId="70C3D0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375920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BE8F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7F9F82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08320C4E">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照明开关，造型，款式满足甲方要求</w:t>
            </w:r>
          </w:p>
          <w:p w14:paraId="254E854C">
            <w:pPr>
              <w:widowControl/>
              <w:spacing w:line="400" w:lineRule="exact"/>
              <w:jc w:val="left"/>
              <w:rPr>
                <w:rFonts w:ascii="宋体" w:hAnsi="宋体" w:cs="Arial"/>
                <w:color w:val="auto"/>
                <w:sz w:val="18"/>
                <w:szCs w:val="18"/>
              </w:rPr>
            </w:pPr>
            <w:r>
              <w:rPr>
                <w:rFonts w:hint="eastAsia" w:ascii="宋体" w:hAnsi="宋体" w:cs="Arial"/>
                <w:color w:val="auto"/>
                <w:sz w:val="18"/>
                <w:szCs w:val="18"/>
              </w:rPr>
              <w:t>电流 10A,注塑面板，PC 阻燃 86 型</w:t>
            </w:r>
          </w:p>
        </w:tc>
        <w:tc>
          <w:tcPr>
            <w:tcW w:w="900" w:type="dxa"/>
            <w:tcBorders>
              <w:top w:val="nil"/>
              <w:left w:val="nil"/>
              <w:bottom w:val="single" w:color="auto" w:sz="4" w:space="0"/>
              <w:right w:val="single" w:color="auto" w:sz="4" w:space="0"/>
            </w:tcBorders>
            <w:vAlign w:val="center"/>
          </w:tcPr>
          <w:p w14:paraId="505C7F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92BD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E252B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07033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1B6C9D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30EE0442">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五孔插座，造型，款式满足甲方要求，86 型二三插座，带保护门</w:t>
            </w:r>
          </w:p>
        </w:tc>
        <w:tc>
          <w:tcPr>
            <w:tcW w:w="900" w:type="dxa"/>
            <w:tcBorders>
              <w:top w:val="nil"/>
              <w:left w:val="nil"/>
              <w:bottom w:val="single" w:color="auto" w:sz="4" w:space="0"/>
              <w:right w:val="single" w:color="auto" w:sz="4" w:space="0"/>
            </w:tcBorders>
            <w:vAlign w:val="center"/>
          </w:tcPr>
          <w:p w14:paraId="362622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7004A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F619AC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2FE431D">
            <w:pPr>
              <w:widowControl/>
              <w:spacing w:line="400" w:lineRule="exact"/>
              <w:jc w:val="left"/>
              <w:rPr>
                <w:rFonts w:ascii="宋体" w:hAnsi="宋体" w:cs="Arial"/>
                <w:color w:val="auto"/>
                <w:sz w:val="18"/>
                <w:szCs w:val="18"/>
              </w:rPr>
            </w:pPr>
            <w:r>
              <w:rPr>
                <w:rFonts w:hint="eastAsia" w:ascii="宋体" w:hAnsi="宋体" w:cs="Arial"/>
                <w:color w:val="auto"/>
                <w:sz w:val="18"/>
                <w:szCs w:val="18"/>
              </w:rPr>
              <w:t>值班室升级改造</w:t>
            </w:r>
          </w:p>
        </w:tc>
      </w:tr>
      <w:tr w14:paraId="34A479C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E7ADB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A481F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685186B1">
            <w:pPr>
              <w:widowControl/>
              <w:spacing w:line="400" w:lineRule="exact"/>
              <w:jc w:val="left"/>
              <w:rPr>
                <w:rFonts w:ascii="宋体" w:hAnsi="宋体" w:cs="Arial"/>
                <w:color w:val="auto"/>
                <w:sz w:val="18"/>
                <w:szCs w:val="18"/>
              </w:rPr>
            </w:pPr>
            <w:r>
              <w:rPr>
                <w:rFonts w:hint="eastAsia" w:ascii="宋体" w:hAnsi="宋体" w:cs="Arial"/>
                <w:color w:val="auto"/>
                <w:sz w:val="18"/>
                <w:szCs w:val="18"/>
              </w:rPr>
              <w:t>隔墙 75 系列轻钢龙骨中距竖 0.4m，中龙骨横 1m 100 厚超细玻璃棉</w:t>
            </w:r>
          </w:p>
          <w:p w14:paraId="639A47C0">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 18mm 木工板造型刷防火涂料三遍：2440*1220MM</w:t>
            </w:r>
          </w:p>
          <w:p w14:paraId="4BF7038F">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双面纸面石膏板：2440*1220*9MM</w:t>
            </w:r>
          </w:p>
        </w:tc>
        <w:tc>
          <w:tcPr>
            <w:tcW w:w="900" w:type="dxa"/>
            <w:tcBorders>
              <w:top w:val="nil"/>
              <w:left w:val="nil"/>
              <w:bottom w:val="single" w:color="auto" w:sz="4" w:space="0"/>
              <w:right w:val="single" w:color="auto" w:sz="4" w:space="0"/>
            </w:tcBorders>
            <w:vAlign w:val="center"/>
          </w:tcPr>
          <w:p w14:paraId="5E5053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14.04 </w:t>
            </w:r>
          </w:p>
        </w:tc>
        <w:tc>
          <w:tcPr>
            <w:tcW w:w="849" w:type="dxa"/>
            <w:gridSpan w:val="2"/>
            <w:tcBorders>
              <w:top w:val="nil"/>
              <w:left w:val="nil"/>
              <w:bottom w:val="single" w:color="auto" w:sz="4" w:space="0"/>
              <w:right w:val="single" w:color="auto" w:sz="4" w:space="0"/>
            </w:tcBorders>
            <w:vAlign w:val="center"/>
          </w:tcPr>
          <w:p w14:paraId="4AA4F0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AB9119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E037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8B79D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 (翻新)</w:t>
            </w:r>
          </w:p>
        </w:tc>
        <w:tc>
          <w:tcPr>
            <w:tcW w:w="5717" w:type="dxa"/>
            <w:tcBorders>
              <w:top w:val="nil"/>
              <w:left w:val="nil"/>
              <w:bottom w:val="single" w:color="auto" w:sz="4" w:space="0"/>
              <w:right w:val="single" w:color="auto" w:sz="4" w:space="0"/>
            </w:tcBorders>
            <w:vAlign w:val="center"/>
          </w:tcPr>
          <w:p w14:paraId="3E93648C">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0B3D83C7">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46AD7D16">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2DC01F44">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47271CF4">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涂料：施工应在干燥、清洁、牢固的层表面上进行，喷涂一遍，涂层均匀，无漏涂；二次喷涂同上部分造型进行乳胶漆分色处理。</w:t>
            </w:r>
          </w:p>
        </w:tc>
        <w:tc>
          <w:tcPr>
            <w:tcW w:w="900" w:type="dxa"/>
            <w:tcBorders>
              <w:top w:val="nil"/>
              <w:left w:val="nil"/>
              <w:bottom w:val="single" w:color="auto" w:sz="4" w:space="0"/>
              <w:right w:val="single" w:color="auto" w:sz="4" w:space="0"/>
            </w:tcBorders>
            <w:vAlign w:val="center"/>
          </w:tcPr>
          <w:p w14:paraId="428E92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39.28 </w:t>
            </w:r>
          </w:p>
        </w:tc>
        <w:tc>
          <w:tcPr>
            <w:tcW w:w="849" w:type="dxa"/>
            <w:gridSpan w:val="2"/>
            <w:tcBorders>
              <w:top w:val="nil"/>
              <w:left w:val="nil"/>
              <w:bottom w:val="single" w:color="auto" w:sz="4" w:space="0"/>
              <w:right w:val="single" w:color="auto" w:sz="4" w:space="0"/>
            </w:tcBorders>
            <w:vAlign w:val="center"/>
          </w:tcPr>
          <w:p w14:paraId="72A8A4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63085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E48A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2A6DB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文化墙展板</w:t>
            </w:r>
          </w:p>
        </w:tc>
        <w:tc>
          <w:tcPr>
            <w:tcW w:w="5717" w:type="dxa"/>
            <w:tcBorders>
              <w:top w:val="nil"/>
              <w:left w:val="nil"/>
              <w:bottom w:val="single" w:color="auto" w:sz="4" w:space="0"/>
              <w:right w:val="single" w:color="auto" w:sz="4" w:space="0"/>
            </w:tcBorders>
            <w:vAlign w:val="center"/>
          </w:tcPr>
          <w:p w14:paraId="4640240E">
            <w:pPr>
              <w:widowControl/>
              <w:spacing w:line="400" w:lineRule="exact"/>
              <w:jc w:val="left"/>
              <w:rPr>
                <w:rFonts w:ascii="宋体" w:hAnsi="宋体" w:cs="Arial"/>
                <w:color w:val="auto"/>
                <w:sz w:val="18"/>
                <w:szCs w:val="18"/>
              </w:rPr>
            </w:pPr>
            <w:r>
              <w:rPr>
                <w:rFonts w:hint="eastAsia" w:ascii="宋体" w:hAnsi="宋体" w:cs="Arial"/>
                <w:color w:val="auto"/>
                <w:sz w:val="18"/>
                <w:szCs w:val="18"/>
              </w:rPr>
              <w:t>8mmPVC 基层 2mm 亚克力饰面，造型，款式满足甲方要求</w:t>
            </w:r>
          </w:p>
        </w:tc>
        <w:tc>
          <w:tcPr>
            <w:tcW w:w="900" w:type="dxa"/>
            <w:tcBorders>
              <w:top w:val="nil"/>
              <w:left w:val="nil"/>
              <w:bottom w:val="single" w:color="auto" w:sz="4" w:space="0"/>
              <w:right w:val="single" w:color="auto" w:sz="4" w:space="0"/>
            </w:tcBorders>
            <w:vAlign w:val="center"/>
          </w:tcPr>
          <w:p w14:paraId="25B403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31.98 </w:t>
            </w:r>
          </w:p>
        </w:tc>
        <w:tc>
          <w:tcPr>
            <w:tcW w:w="849" w:type="dxa"/>
            <w:gridSpan w:val="2"/>
            <w:tcBorders>
              <w:top w:val="nil"/>
              <w:left w:val="nil"/>
              <w:bottom w:val="single" w:color="auto" w:sz="4" w:space="0"/>
              <w:right w:val="single" w:color="auto" w:sz="4" w:space="0"/>
            </w:tcBorders>
            <w:vAlign w:val="center"/>
          </w:tcPr>
          <w:p w14:paraId="05F369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C71E70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6ECC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BAFC6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亚克力字</w:t>
            </w:r>
          </w:p>
        </w:tc>
        <w:tc>
          <w:tcPr>
            <w:tcW w:w="5717" w:type="dxa"/>
            <w:tcBorders>
              <w:top w:val="nil"/>
              <w:left w:val="nil"/>
              <w:bottom w:val="single" w:color="auto" w:sz="4" w:space="0"/>
              <w:right w:val="single" w:color="auto" w:sz="4" w:space="0"/>
            </w:tcBorders>
            <w:vAlign w:val="center"/>
          </w:tcPr>
          <w:p w14:paraId="3F255CC9">
            <w:pPr>
              <w:widowControl/>
              <w:spacing w:line="400" w:lineRule="exact"/>
              <w:jc w:val="left"/>
              <w:rPr>
                <w:rFonts w:ascii="宋体" w:hAnsi="宋体" w:cs="Arial"/>
                <w:color w:val="auto"/>
                <w:sz w:val="18"/>
                <w:szCs w:val="18"/>
              </w:rPr>
            </w:pPr>
            <w:r>
              <w:rPr>
                <w:rFonts w:hint="eastAsia" w:ascii="宋体" w:hAnsi="宋体" w:cs="Arial"/>
                <w:color w:val="auto"/>
                <w:sz w:val="18"/>
                <w:szCs w:val="18"/>
              </w:rPr>
              <w:t>1.定制亚克力字 5mmPVC 基层 2mm 亚克力饰面</w:t>
            </w:r>
          </w:p>
          <w:p w14:paraId="257C98E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2.规格：300*300MM</w:t>
            </w:r>
          </w:p>
          <w:p w14:paraId="116C21D1">
            <w:pPr>
              <w:widowControl/>
              <w:spacing w:line="400" w:lineRule="exact"/>
              <w:jc w:val="left"/>
              <w:rPr>
                <w:rFonts w:ascii="宋体" w:hAnsi="宋体" w:cs="Arial"/>
                <w:color w:val="auto"/>
                <w:sz w:val="18"/>
                <w:szCs w:val="18"/>
              </w:rPr>
            </w:pPr>
            <w:r>
              <w:rPr>
                <w:rFonts w:hint="eastAsia" w:ascii="宋体" w:hAnsi="宋体" w:cs="Arial"/>
                <w:color w:val="auto"/>
                <w:sz w:val="18"/>
                <w:szCs w:val="18"/>
              </w:rPr>
              <w:t>3.颜色：白色，字体甲方确定</w:t>
            </w:r>
          </w:p>
        </w:tc>
        <w:tc>
          <w:tcPr>
            <w:tcW w:w="900" w:type="dxa"/>
            <w:tcBorders>
              <w:top w:val="nil"/>
              <w:left w:val="nil"/>
              <w:bottom w:val="single" w:color="auto" w:sz="4" w:space="0"/>
              <w:right w:val="single" w:color="auto" w:sz="4" w:space="0"/>
            </w:tcBorders>
            <w:vAlign w:val="center"/>
          </w:tcPr>
          <w:p w14:paraId="7C59FE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237722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E6E98A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B9C3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99E2B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套装门</w:t>
            </w:r>
          </w:p>
        </w:tc>
        <w:tc>
          <w:tcPr>
            <w:tcW w:w="5717" w:type="dxa"/>
            <w:tcBorders>
              <w:top w:val="nil"/>
              <w:left w:val="nil"/>
              <w:bottom w:val="single" w:color="auto" w:sz="4" w:space="0"/>
              <w:right w:val="single" w:color="auto" w:sz="4" w:space="0"/>
            </w:tcBorders>
            <w:vAlign w:val="center"/>
          </w:tcPr>
          <w:p w14:paraId="43FD3CE5">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成品套装门及门套900*2000mm，造型，款式满足甲方要求</w:t>
            </w:r>
          </w:p>
        </w:tc>
        <w:tc>
          <w:tcPr>
            <w:tcW w:w="900" w:type="dxa"/>
            <w:tcBorders>
              <w:top w:val="nil"/>
              <w:left w:val="nil"/>
              <w:bottom w:val="single" w:color="auto" w:sz="4" w:space="0"/>
              <w:right w:val="single" w:color="auto" w:sz="4" w:space="0"/>
            </w:tcBorders>
            <w:vAlign w:val="center"/>
          </w:tcPr>
          <w:p w14:paraId="651603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87EAA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樘</w:t>
            </w:r>
          </w:p>
        </w:tc>
      </w:tr>
      <w:tr w14:paraId="1D2180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E36F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72DCF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木纹铝板</w:t>
            </w:r>
          </w:p>
        </w:tc>
        <w:tc>
          <w:tcPr>
            <w:tcW w:w="5717" w:type="dxa"/>
            <w:tcBorders>
              <w:top w:val="nil"/>
              <w:left w:val="nil"/>
              <w:bottom w:val="single" w:color="auto" w:sz="4" w:space="0"/>
              <w:right w:val="single" w:color="auto" w:sz="4" w:space="0"/>
            </w:tcBorders>
            <w:vAlign w:val="center"/>
          </w:tcPr>
          <w:p w14:paraId="3B61F91D">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轻钢龙骨/木龙骨结构刷防火涂料三遍</w:t>
            </w:r>
          </w:p>
          <w:p w14:paraId="398ABF6B">
            <w:pPr>
              <w:widowControl/>
              <w:spacing w:line="400" w:lineRule="exact"/>
              <w:jc w:val="left"/>
              <w:rPr>
                <w:rFonts w:ascii="宋体" w:hAnsi="宋体" w:cs="Arial"/>
                <w:color w:val="auto"/>
                <w:sz w:val="18"/>
                <w:szCs w:val="18"/>
              </w:rPr>
            </w:pPr>
            <w:r>
              <w:rPr>
                <w:rFonts w:hint="eastAsia" w:ascii="宋体" w:hAnsi="宋体" w:cs="Arial"/>
                <w:color w:val="auto"/>
                <w:sz w:val="18"/>
                <w:szCs w:val="18"/>
              </w:rPr>
              <w:t>18mm 木工板造型刷防火涂料三遍</w:t>
            </w:r>
          </w:p>
          <w:p w14:paraId="5B75D0AD">
            <w:pPr>
              <w:widowControl/>
              <w:spacing w:line="400" w:lineRule="exact"/>
              <w:jc w:val="left"/>
              <w:rPr>
                <w:rFonts w:ascii="宋体" w:hAnsi="宋体" w:cs="Arial"/>
                <w:color w:val="auto"/>
                <w:sz w:val="18"/>
                <w:szCs w:val="18"/>
              </w:rPr>
            </w:pPr>
            <w:r>
              <w:rPr>
                <w:rFonts w:hint="eastAsia" w:ascii="宋体" w:hAnsi="宋体" w:cs="Arial"/>
                <w:color w:val="auto"/>
                <w:sz w:val="18"/>
                <w:szCs w:val="18"/>
              </w:rPr>
              <w:t>木纹铝板</w:t>
            </w:r>
          </w:p>
          <w:p w14:paraId="43755871">
            <w:pPr>
              <w:widowControl/>
              <w:spacing w:line="400" w:lineRule="exact"/>
              <w:jc w:val="left"/>
              <w:rPr>
                <w:rFonts w:ascii="宋体" w:hAnsi="宋体" w:cs="Arial"/>
                <w:color w:val="auto"/>
                <w:sz w:val="18"/>
                <w:szCs w:val="18"/>
              </w:rPr>
            </w:pPr>
            <w:r>
              <w:rPr>
                <w:rFonts w:hint="eastAsia" w:ascii="宋体" w:hAnsi="宋体" w:cs="Arial"/>
                <w:color w:val="auto"/>
                <w:sz w:val="18"/>
                <w:szCs w:val="18"/>
              </w:rPr>
              <w:t>枪钉固定做防锈处理</w:t>
            </w:r>
          </w:p>
        </w:tc>
        <w:tc>
          <w:tcPr>
            <w:tcW w:w="900" w:type="dxa"/>
            <w:tcBorders>
              <w:top w:val="nil"/>
              <w:left w:val="nil"/>
              <w:bottom w:val="single" w:color="auto" w:sz="4" w:space="0"/>
              <w:right w:val="single" w:color="auto" w:sz="4" w:space="0"/>
            </w:tcBorders>
            <w:vAlign w:val="center"/>
          </w:tcPr>
          <w:p w14:paraId="07CEC0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17.88 </w:t>
            </w:r>
          </w:p>
        </w:tc>
        <w:tc>
          <w:tcPr>
            <w:tcW w:w="849" w:type="dxa"/>
            <w:gridSpan w:val="2"/>
            <w:tcBorders>
              <w:top w:val="nil"/>
              <w:left w:val="nil"/>
              <w:bottom w:val="single" w:color="auto" w:sz="4" w:space="0"/>
              <w:right w:val="single" w:color="auto" w:sz="4" w:space="0"/>
            </w:tcBorders>
            <w:vAlign w:val="center"/>
          </w:tcPr>
          <w:p w14:paraId="21C4FC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45CA83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93C7F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0F9D6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5B977245">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原有墙体拆除，包含切缝及砌体拆除，垃圾集中</w:t>
            </w:r>
          </w:p>
        </w:tc>
        <w:tc>
          <w:tcPr>
            <w:tcW w:w="900" w:type="dxa"/>
            <w:tcBorders>
              <w:top w:val="nil"/>
              <w:left w:val="nil"/>
              <w:bottom w:val="single" w:color="auto" w:sz="4" w:space="0"/>
              <w:right w:val="single" w:color="auto" w:sz="4" w:space="0"/>
            </w:tcBorders>
            <w:vAlign w:val="center"/>
          </w:tcPr>
          <w:p w14:paraId="5C079E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15.60 </w:t>
            </w:r>
          </w:p>
        </w:tc>
        <w:tc>
          <w:tcPr>
            <w:tcW w:w="849" w:type="dxa"/>
            <w:gridSpan w:val="2"/>
            <w:tcBorders>
              <w:top w:val="nil"/>
              <w:left w:val="nil"/>
              <w:bottom w:val="single" w:color="auto" w:sz="4" w:space="0"/>
              <w:right w:val="single" w:color="auto" w:sz="4" w:space="0"/>
            </w:tcBorders>
            <w:vAlign w:val="center"/>
          </w:tcPr>
          <w:p w14:paraId="2B4D02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C266F6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AE4B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68222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496C3DAB">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5886AF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420F33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3704AA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8DDC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625F58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7EC9E8D7">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防滑地胶基层3-5mm</w:t>
            </w:r>
          </w:p>
        </w:tc>
        <w:tc>
          <w:tcPr>
            <w:tcW w:w="900" w:type="dxa"/>
            <w:tcBorders>
              <w:top w:val="nil"/>
              <w:left w:val="nil"/>
              <w:bottom w:val="single" w:color="auto" w:sz="4" w:space="0"/>
              <w:right w:val="single" w:color="auto" w:sz="4" w:space="0"/>
            </w:tcBorders>
            <w:vAlign w:val="center"/>
          </w:tcPr>
          <w:p w14:paraId="22F66C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62AE4A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F0DD06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EC2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0010E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63A89A35">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防滑 PVC 地胶铺设，造型，款式满足甲方要求</w:t>
            </w:r>
          </w:p>
        </w:tc>
        <w:tc>
          <w:tcPr>
            <w:tcW w:w="900" w:type="dxa"/>
            <w:tcBorders>
              <w:top w:val="nil"/>
              <w:left w:val="nil"/>
              <w:bottom w:val="single" w:color="auto" w:sz="4" w:space="0"/>
              <w:right w:val="single" w:color="auto" w:sz="4" w:space="0"/>
            </w:tcBorders>
            <w:vAlign w:val="center"/>
          </w:tcPr>
          <w:p w14:paraId="5630DA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2B2B81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C0554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000EB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0E58EB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36CDABC9">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木龙骨结构刷防火涂料三遍</w:t>
            </w:r>
          </w:p>
          <w:p w14:paraId="4FAA3534">
            <w:pPr>
              <w:widowControl/>
              <w:spacing w:line="400" w:lineRule="exact"/>
              <w:jc w:val="left"/>
              <w:rPr>
                <w:rFonts w:ascii="宋体" w:hAnsi="宋体" w:cs="Arial"/>
                <w:color w:val="auto"/>
                <w:sz w:val="18"/>
                <w:szCs w:val="18"/>
              </w:rPr>
            </w:pPr>
            <w:r>
              <w:rPr>
                <w:rFonts w:hint="eastAsia" w:ascii="宋体" w:hAnsi="宋体" w:cs="Arial"/>
                <w:color w:val="auto"/>
                <w:sz w:val="18"/>
                <w:szCs w:val="18"/>
              </w:rPr>
              <w:t>12mm 木工板造型刷防火涂料三遍</w:t>
            </w:r>
          </w:p>
          <w:p w14:paraId="43F2DB07">
            <w:pPr>
              <w:widowControl/>
              <w:spacing w:line="400" w:lineRule="exact"/>
              <w:jc w:val="left"/>
              <w:rPr>
                <w:rFonts w:ascii="宋体" w:hAnsi="宋体" w:cs="Arial"/>
                <w:color w:val="auto"/>
                <w:sz w:val="18"/>
                <w:szCs w:val="18"/>
              </w:rPr>
            </w:pPr>
            <w:r>
              <w:rPr>
                <w:rFonts w:hint="eastAsia" w:ascii="宋体" w:hAnsi="宋体" w:cs="Arial"/>
                <w:color w:val="auto"/>
                <w:sz w:val="18"/>
                <w:szCs w:val="18"/>
              </w:rPr>
              <w:t>不锈钢折弯</w:t>
            </w:r>
          </w:p>
          <w:p w14:paraId="043FC905">
            <w:pPr>
              <w:widowControl/>
              <w:spacing w:line="400" w:lineRule="exact"/>
              <w:jc w:val="left"/>
              <w:rPr>
                <w:rFonts w:ascii="宋体" w:hAnsi="宋体" w:cs="Arial"/>
                <w:color w:val="auto"/>
                <w:sz w:val="18"/>
                <w:szCs w:val="18"/>
              </w:rPr>
            </w:pPr>
            <w:r>
              <w:rPr>
                <w:rFonts w:hint="eastAsia" w:ascii="宋体" w:hAnsi="宋体" w:cs="Arial"/>
                <w:color w:val="auto"/>
                <w:sz w:val="18"/>
                <w:szCs w:val="18"/>
              </w:rPr>
              <w:t>自攻丝、枪钉、结构胶</w:t>
            </w:r>
          </w:p>
        </w:tc>
        <w:tc>
          <w:tcPr>
            <w:tcW w:w="900" w:type="dxa"/>
            <w:tcBorders>
              <w:top w:val="nil"/>
              <w:left w:val="nil"/>
              <w:bottom w:val="single" w:color="auto" w:sz="4" w:space="0"/>
              <w:right w:val="single" w:color="auto" w:sz="4" w:space="0"/>
            </w:tcBorders>
            <w:vAlign w:val="center"/>
          </w:tcPr>
          <w:p w14:paraId="1E0F7B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17.80 </w:t>
            </w:r>
          </w:p>
        </w:tc>
        <w:tc>
          <w:tcPr>
            <w:tcW w:w="849" w:type="dxa"/>
            <w:gridSpan w:val="2"/>
            <w:tcBorders>
              <w:top w:val="nil"/>
              <w:left w:val="nil"/>
              <w:bottom w:val="single" w:color="auto" w:sz="4" w:space="0"/>
              <w:right w:val="single" w:color="auto" w:sz="4" w:space="0"/>
            </w:tcBorders>
            <w:vAlign w:val="center"/>
          </w:tcPr>
          <w:p w14:paraId="52FC81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313E410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7F05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AFE2F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07FCB58C">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w:t>
            </w:r>
          </w:p>
          <w:p w14:paraId="582C684D">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2F28A7AC">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569066E7">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33F6D2B1">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74601D99">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265C7D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18.60 </w:t>
            </w:r>
          </w:p>
        </w:tc>
        <w:tc>
          <w:tcPr>
            <w:tcW w:w="849" w:type="dxa"/>
            <w:gridSpan w:val="2"/>
            <w:tcBorders>
              <w:top w:val="nil"/>
              <w:left w:val="nil"/>
              <w:bottom w:val="single" w:color="auto" w:sz="4" w:space="0"/>
              <w:right w:val="single" w:color="auto" w:sz="4" w:space="0"/>
            </w:tcBorders>
            <w:vAlign w:val="center"/>
          </w:tcPr>
          <w:p w14:paraId="4556E2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5EA713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522C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3784B4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79040BEF">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照明开关电流 10A,注塑面板，PC 阻燃 86 型，造型，款式满足甲方要求</w:t>
            </w:r>
          </w:p>
        </w:tc>
        <w:tc>
          <w:tcPr>
            <w:tcW w:w="900" w:type="dxa"/>
            <w:tcBorders>
              <w:top w:val="nil"/>
              <w:left w:val="nil"/>
              <w:bottom w:val="single" w:color="auto" w:sz="4" w:space="0"/>
              <w:right w:val="single" w:color="auto" w:sz="4" w:space="0"/>
            </w:tcBorders>
            <w:vAlign w:val="center"/>
          </w:tcPr>
          <w:p w14:paraId="2B4AC6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EA89F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171DE5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062D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6E0CCE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7C6C7B12">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 86 型二三插座，带保护门，造型，款式满足甲方要求</w:t>
            </w:r>
          </w:p>
        </w:tc>
        <w:tc>
          <w:tcPr>
            <w:tcW w:w="900" w:type="dxa"/>
            <w:tcBorders>
              <w:top w:val="nil"/>
              <w:left w:val="nil"/>
              <w:bottom w:val="single" w:color="auto" w:sz="4" w:space="0"/>
              <w:right w:val="single" w:color="auto" w:sz="4" w:space="0"/>
            </w:tcBorders>
            <w:vAlign w:val="center"/>
          </w:tcPr>
          <w:p w14:paraId="68BA5B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504D52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6A3074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6B0C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4DD583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131A5752">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五孔插座地插座全铜防水带保护门单相两极双用，造型，款式满足甲方要求</w:t>
            </w:r>
          </w:p>
        </w:tc>
        <w:tc>
          <w:tcPr>
            <w:tcW w:w="900" w:type="dxa"/>
            <w:tcBorders>
              <w:top w:val="nil"/>
              <w:left w:val="nil"/>
              <w:bottom w:val="single" w:color="auto" w:sz="4" w:space="0"/>
              <w:right w:val="single" w:color="auto" w:sz="4" w:space="0"/>
            </w:tcBorders>
            <w:vAlign w:val="center"/>
          </w:tcPr>
          <w:p w14:paraId="7494A9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06347C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1CD16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5BF3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7D8F0B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生活电器</w:t>
            </w:r>
          </w:p>
        </w:tc>
        <w:tc>
          <w:tcPr>
            <w:tcW w:w="5717" w:type="dxa"/>
            <w:tcBorders>
              <w:top w:val="nil"/>
              <w:left w:val="nil"/>
              <w:bottom w:val="single" w:color="auto" w:sz="4" w:space="0"/>
              <w:right w:val="single" w:color="auto" w:sz="4" w:space="0"/>
            </w:tcBorders>
            <w:vAlign w:val="center"/>
          </w:tcPr>
          <w:p w14:paraId="73BD05BC">
            <w:pPr>
              <w:widowControl/>
              <w:spacing w:line="400" w:lineRule="exact"/>
              <w:jc w:val="left"/>
              <w:rPr>
                <w:rFonts w:ascii="宋体" w:hAnsi="宋体" w:cs="Arial"/>
                <w:color w:val="auto"/>
                <w:sz w:val="18"/>
                <w:szCs w:val="18"/>
              </w:rPr>
            </w:pPr>
            <w:r>
              <w:rPr>
                <w:rFonts w:hint="eastAsia" w:ascii="宋体" w:hAnsi="宋体" w:cs="Arial"/>
                <w:color w:val="auto"/>
                <w:sz w:val="18"/>
                <w:szCs w:val="18"/>
              </w:rPr>
              <w:t>电冰箱、微波炉各 1 台，造型款式满足甲方要求</w:t>
            </w:r>
          </w:p>
        </w:tc>
        <w:tc>
          <w:tcPr>
            <w:tcW w:w="900" w:type="dxa"/>
            <w:tcBorders>
              <w:top w:val="nil"/>
              <w:left w:val="nil"/>
              <w:bottom w:val="single" w:color="auto" w:sz="4" w:space="0"/>
              <w:right w:val="single" w:color="auto" w:sz="4" w:space="0"/>
            </w:tcBorders>
            <w:vAlign w:val="center"/>
          </w:tcPr>
          <w:p w14:paraId="3591E1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88999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0975B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F50D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6B161F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办公设施</w:t>
            </w:r>
          </w:p>
        </w:tc>
        <w:tc>
          <w:tcPr>
            <w:tcW w:w="5717" w:type="dxa"/>
            <w:tcBorders>
              <w:top w:val="nil"/>
              <w:left w:val="nil"/>
              <w:bottom w:val="single" w:color="auto" w:sz="4" w:space="0"/>
              <w:right w:val="single" w:color="auto" w:sz="4" w:space="0"/>
            </w:tcBorders>
            <w:vAlign w:val="center"/>
          </w:tcPr>
          <w:p w14:paraId="4AB542AD">
            <w:pPr>
              <w:widowControl/>
              <w:spacing w:line="400" w:lineRule="exact"/>
              <w:jc w:val="left"/>
              <w:rPr>
                <w:rFonts w:ascii="宋体" w:hAnsi="宋体" w:cs="Arial"/>
                <w:color w:val="auto"/>
                <w:sz w:val="18"/>
                <w:szCs w:val="18"/>
              </w:rPr>
            </w:pPr>
            <w:r>
              <w:rPr>
                <w:rFonts w:hint="eastAsia" w:ascii="宋体" w:hAnsi="宋体" w:cs="Arial"/>
                <w:color w:val="auto"/>
                <w:sz w:val="18"/>
                <w:szCs w:val="18"/>
              </w:rPr>
              <w:t>固定电话、打印机各 2 台，传真机各 1 台，型号款式满足甲方要求</w:t>
            </w:r>
          </w:p>
        </w:tc>
        <w:tc>
          <w:tcPr>
            <w:tcW w:w="900" w:type="dxa"/>
            <w:tcBorders>
              <w:top w:val="nil"/>
              <w:left w:val="nil"/>
              <w:bottom w:val="single" w:color="auto" w:sz="4" w:space="0"/>
              <w:right w:val="single" w:color="auto" w:sz="4" w:space="0"/>
            </w:tcBorders>
            <w:vAlign w:val="center"/>
          </w:tcPr>
          <w:p w14:paraId="26CBD3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474D1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2106F1C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9AF3167">
            <w:pPr>
              <w:widowControl/>
              <w:spacing w:line="400" w:lineRule="exact"/>
              <w:jc w:val="left"/>
              <w:rPr>
                <w:rFonts w:ascii="宋体" w:hAnsi="宋体" w:cs="Arial"/>
                <w:color w:val="auto"/>
                <w:sz w:val="18"/>
                <w:szCs w:val="18"/>
              </w:rPr>
            </w:pPr>
            <w:r>
              <w:rPr>
                <w:rFonts w:hint="eastAsia" w:ascii="宋体" w:hAnsi="宋体" w:cs="Arial"/>
                <w:color w:val="auto"/>
                <w:sz w:val="18"/>
                <w:szCs w:val="18"/>
              </w:rPr>
              <w:t>休息室升级改造</w:t>
            </w:r>
          </w:p>
        </w:tc>
      </w:tr>
      <w:tr w14:paraId="2B6A49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75D2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D1E4F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石膏板平顶</w:t>
            </w:r>
          </w:p>
        </w:tc>
        <w:tc>
          <w:tcPr>
            <w:tcW w:w="5717" w:type="dxa"/>
            <w:tcBorders>
              <w:top w:val="nil"/>
              <w:left w:val="nil"/>
              <w:bottom w:val="single" w:color="auto" w:sz="4" w:space="0"/>
              <w:right w:val="single" w:color="auto" w:sz="4" w:space="0"/>
            </w:tcBorders>
            <w:vAlign w:val="center"/>
          </w:tcPr>
          <w:p w14:paraId="042A3C1E">
            <w:pPr>
              <w:widowControl/>
              <w:spacing w:line="400" w:lineRule="exact"/>
              <w:jc w:val="left"/>
              <w:rPr>
                <w:rFonts w:ascii="宋体" w:hAnsi="宋体" w:cs="Arial"/>
                <w:color w:val="auto"/>
                <w:sz w:val="18"/>
                <w:szCs w:val="18"/>
              </w:rPr>
            </w:pPr>
            <w:r>
              <w:rPr>
                <w:rFonts w:hint="eastAsia" w:ascii="宋体" w:hAnsi="宋体" w:cs="Arial"/>
                <w:color w:val="auto"/>
                <w:sz w:val="18"/>
                <w:szCs w:val="18"/>
              </w:rPr>
              <w:t>轻钢龙骨/3*4（非标）木龙骨，石膏板造型；纸面石膏板：2440*1220*9MM</w:t>
            </w:r>
          </w:p>
          <w:p w14:paraId="33F98908">
            <w:pPr>
              <w:widowControl/>
              <w:spacing w:line="400" w:lineRule="exact"/>
              <w:jc w:val="left"/>
              <w:rPr>
                <w:rFonts w:ascii="宋体" w:hAnsi="宋体" w:cs="Arial"/>
                <w:color w:val="auto"/>
                <w:sz w:val="18"/>
                <w:szCs w:val="18"/>
              </w:rPr>
            </w:pPr>
            <w:r>
              <w:rPr>
                <w:rFonts w:hint="eastAsia" w:ascii="宋体" w:hAnsi="宋体" w:cs="Arial"/>
                <w:color w:val="auto"/>
                <w:sz w:val="18"/>
                <w:szCs w:val="18"/>
              </w:rPr>
              <w:t>装吊灯处已吊顶面需加木工板</w:t>
            </w:r>
          </w:p>
          <w:p w14:paraId="2EEDA825">
            <w:pPr>
              <w:widowControl/>
              <w:spacing w:line="400" w:lineRule="exact"/>
              <w:jc w:val="left"/>
              <w:rPr>
                <w:rFonts w:ascii="宋体" w:hAnsi="宋体" w:cs="Arial"/>
                <w:color w:val="auto"/>
                <w:sz w:val="18"/>
                <w:szCs w:val="18"/>
              </w:rPr>
            </w:pPr>
            <w:r>
              <w:rPr>
                <w:rFonts w:hint="eastAsia" w:ascii="宋体" w:hAnsi="宋体" w:cs="Arial"/>
                <w:color w:val="auto"/>
                <w:sz w:val="18"/>
                <w:szCs w:val="18"/>
              </w:rPr>
              <w:t>木工板：2440*1220*12MM</w:t>
            </w:r>
          </w:p>
        </w:tc>
        <w:tc>
          <w:tcPr>
            <w:tcW w:w="900" w:type="dxa"/>
            <w:tcBorders>
              <w:top w:val="nil"/>
              <w:left w:val="nil"/>
              <w:bottom w:val="single" w:color="auto" w:sz="4" w:space="0"/>
              <w:right w:val="single" w:color="auto" w:sz="4" w:space="0"/>
            </w:tcBorders>
            <w:vAlign w:val="center"/>
          </w:tcPr>
          <w:p w14:paraId="6E5853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12.03 </w:t>
            </w:r>
          </w:p>
        </w:tc>
        <w:tc>
          <w:tcPr>
            <w:tcW w:w="849" w:type="dxa"/>
            <w:gridSpan w:val="2"/>
            <w:tcBorders>
              <w:top w:val="nil"/>
              <w:left w:val="nil"/>
              <w:bottom w:val="single" w:color="auto" w:sz="4" w:space="0"/>
              <w:right w:val="single" w:color="auto" w:sz="4" w:space="0"/>
            </w:tcBorders>
            <w:vAlign w:val="center"/>
          </w:tcPr>
          <w:p w14:paraId="4D96C0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DF4B18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79449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EC6B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卫生间吊顶</w:t>
            </w:r>
          </w:p>
        </w:tc>
        <w:tc>
          <w:tcPr>
            <w:tcW w:w="5717" w:type="dxa"/>
            <w:tcBorders>
              <w:top w:val="nil"/>
              <w:left w:val="nil"/>
              <w:bottom w:val="single" w:color="auto" w:sz="4" w:space="0"/>
              <w:right w:val="single" w:color="auto" w:sz="4" w:space="0"/>
            </w:tcBorders>
            <w:vAlign w:val="center"/>
          </w:tcPr>
          <w:p w14:paraId="453A1CC4">
            <w:pPr>
              <w:widowControl/>
              <w:spacing w:line="400" w:lineRule="exact"/>
              <w:jc w:val="left"/>
              <w:rPr>
                <w:rFonts w:ascii="宋体" w:hAnsi="宋体" w:cs="Arial"/>
                <w:color w:val="auto"/>
                <w:sz w:val="18"/>
                <w:szCs w:val="18"/>
              </w:rPr>
            </w:pPr>
            <w:r>
              <w:rPr>
                <w:rFonts w:hint="eastAsia" w:ascii="宋体" w:hAnsi="宋体" w:cs="Arial"/>
                <w:color w:val="auto"/>
                <w:sz w:val="18"/>
                <w:szCs w:val="18"/>
              </w:rPr>
              <w:t>φ8 全丝吊筋+轻钢龙骨</w:t>
            </w:r>
          </w:p>
          <w:p w14:paraId="284BB795">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 (嵌入式)天棚面层平板，厚度 0.8mm 300*300mm</w:t>
            </w:r>
          </w:p>
        </w:tc>
        <w:tc>
          <w:tcPr>
            <w:tcW w:w="900" w:type="dxa"/>
            <w:tcBorders>
              <w:top w:val="nil"/>
              <w:left w:val="nil"/>
              <w:bottom w:val="single" w:color="auto" w:sz="4" w:space="0"/>
              <w:right w:val="single" w:color="auto" w:sz="4" w:space="0"/>
            </w:tcBorders>
            <w:vAlign w:val="center"/>
          </w:tcPr>
          <w:p w14:paraId="7BCE97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2.78 </w:t>
            </w:r>
          </w:p>
        </w:tc>
        <w:tc>
          <w:tcPr>
            <w:tcW w:w="849" w:type="dxa"/>
            <w:gridSpan w:val="2"/>
            <w:tcBorders>
              <w:top w:val="nil"/>
              <w:left w:val="nil"/>
              <w:bottom w:val="single" w:color="auto" w:sz="4" w:space="0"/>
              <w:right w:val="single" w:color="auto" w:sz="4" w:space="0"/>
            </w:tcBorders>
            <w:vAlign w:val="center"/>
          </w:tcPr>
          <w:p w14:paraId="3F8EA2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7051F06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4C18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54E51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原顶面拆除</w:t>
            </w:r>
          </w:p>
        </w:tc>
        <w:tc>
          <w:tcPr>
            <w:tcW w:w="5717" w:type="dxa"/>
            <w:tcBorders>
              <w:top w:val="nil"/>
              <w:left w:val="nil"/>
              <w:bottom w:val="single" w:color="auto" w:sz="4" w:space="0"/>
              <w:right w:val="single" w:color="auto" w:sz="4" w:space="0"/>
            </w:tcBorders>
            <w:vAlign w:val="center"/>
          </w:tcPr>
          <w:p w14:paraId="58A77515">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原有顶面矿棉板拆除，垃圾集中堆放</w:t>
            </w:r>
          </w:p>
        </w:tc>
        <w:tc>
          <w:tcPr>
            <w:tcW w:w="900" w:type="dxa"/>
            <w:tcBorders>
              <w:top w:val="nil"/>
              <w:left w:val="nil"/>
              <w:bottom w:val="single" w:color="auto" w:sz="4" w:space="0"/>
              <w:right w:val="single" w:color="auto" w:sz="4" w:space="0"/>
            </w:tcBorders>
            <w:vAlign w:val="center"/>
          </w:tcPr>
          <w:p w14:paraId="2B4392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5A61AD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EB3AA7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80EF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776DBE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红砖隔墙</w:t>
            </w:r>
          </w:p>
        </w:tc>
        <w:tc>
          <w:tcPr>
            <w:tcW w:w="5717" w:type="dxa"/>
            <w:tcBorders>
              <w:top w:val="nil"/>
              <w:left w:val="nil"/>
              <w:bottom w:val="single" w:color="auto" w:sz="4" w:space="0"/>
              <w:right w:val="single" w:color="auto" w:sz="4" w:space="0"/>
            </w:tcBorders>
            <w:vAlign w:val="center"/>
          </w:tcPr>
          <w:p w14:paraId="4839C945">
            <w:pPr>
              <w:widowControl/>
              <w:spacing w:line="400" w:lineRule="exact"/>
              <w:jc w:val="left"/>
              <w:rPr>
                <w:rFonts w:ascii="宋体" w:hAnsi="宋体" w:cs="Arial"/>
                <w:color w:val="auto"/>
                <w:sz w:val="18"/>
                <w:szCs w:val="18"/>
              </w:rPr>
            </w:pPr>
            <w:r>
              <w:rPr>
                <w:rFonts w:hint="eastAsia" w:ascii="宋体" w:hAnsi="宋体" w:cs="Arial"/>
                <w:color w:val="auto"/>
                <w:sz w:val="18"/>
                <w:szCs w:val="18"/>
              </w:rPr>
              <w:t>标准红砖砌筑，双面挂网水泥砂浆找平抹灰，墙体砌筑厚度 240mm/120mm</w:t>
            </w:r>
          </w:p>
        </w:tc>
        <w:tc>
          <w:tcPr>
            <w:tcW w:w="900" w:type="dxa"/>
            <w:tcBorders>
              <w:top w:val="nil"/>
              <w:left w:val="nil"/>
              <w:bottom w:val="single" w:color="auto" w:sz="4" w:space="0"/>
              <w:right w:val="single" w:color="auto" w:sz="4" w:space="0"/>
            </w:tcBorders>
            <w:vAlign w:val="center"/>
          </w:tcPr>
          <w:p w14:paraId="6BEB39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35.00 </w:t>
            </w:r>
          </w:p>
        </w:tc>
        <w:tc>
          <w:tcPr>
            <w:tcW w:w="849" w:type="dxa"/>
            <w:gridSpan w:val="2"/>
            <w:tcBorders>
              <w:top w:val="nil"/>
              <w:left w:val="nil"/>
              <w:bottom w:val="single" w:color="auto" w:sz="4" w:space="0"/>
              <w:right w:val="single" w:color="auto" w:sz="4" w:space="0"/>
            </w:tcBorders>
            <w:vAlign w:val="center"/>
          </w:tcPr>
          <w:p w14:paraId="3A1550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123992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A093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4443C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墙面瓷砖</w:t>
            </w:r>
          </w:p>
        </w:tc>
        <w:tc>
          <w:tcPr>
            <w:tcW w:w="5717" w:type="dxa"/>
            <w:tcBorders>
              <w:top w:val="nil"/>
              <w:left w:val="nil"/>
              <w:bottom w:val="single" w:color="auto" w:sz="4" w:space="0"/>
              <w:right w:val="single" w:color="auto" w:sz="4" w:space="0"/>
            </w:tcBorders>
            <w:vAlign w:val="center"/>
          </w:tcPr>
          <w:p w14:paraId="48C17453">
            <w:pPr>
              <w:widowControl/>
              <w:spacing w:line="400" w:lineRule="exact"/>
              <w:jc w:val="left"/>
              <w:rPr>
                <w:rFonts w:ascii="宋体" w:hAnsi="宋体" w:cs="Arial"/>
                <w:color w:val="auto"/>
                <w:sz w:val="18"/>
                <w:szCs w:val="18"/>
              </w:rPr>
            </w:pPr>
            <w:r>
              <w:rPr>
                <w:rFonts w:hint="eastAsia" w:ascii="宋体" w:hAnsi="宋体" w:cs="Arial"/>
                <w:color w:val="auto"/>
                <w:sz w:val="18"/>
                <w:szCs w:val="18"/>
              </w:rPr>
              <w:t>水泥砂浆基层铺贴，300*600mm墙面砖，款式甲方确定</w:t>
            </w:r>
          </w:p>
        </w:tc>
        <w:tc>
          <w:tcPr>
            <w:tcW w:w="900" w:type="dxa"/>
            <w:tcBorders>
              <w:top w:val="nil"/>
              <w:left w:val="nil"/>
              <w:bottom w:val="single" w:color="auto" w:sz="4" w:space="0"/>
              <w:right w:val="single" w:color="auto" w:sz="4" w:space="0"/>
            </w:tcBorders>
            <w:vAlign w:val="center"/>
          </w:tcPr>
          <w:p w14:paraId="409882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15.77 </w:t>
            </w:r>
          </w:p>
        </w:tc>
        <w:tc>
          <w:tcPr>
            <w:tcW w:w="849" w:type="dxa"/>
            <w:gridSpan w:val="2"/>
            <w:tcBorders>
              <w:top w:val="nil"/>
              <w:left w:val="nil"/>
              <w:bottom w:val="single" w:color="auto" w:sz="4" w:space="0"/>
              <w:right w:val="single" w:color="auto" w:sz="4" w:space="0"/>
            </w:tcBorders>
            <w:vAlign w:val="center"/>
          </w:tcPr>
          <w:p w14:paraId="35D9D7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6C7F06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B649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52F7E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墙面防水</w:t>
            </w:r>
          </w:p>
        </w:tc>
        <w:tc>
          <w:tcPr>
            <w:tcW w:w="5717" w:type="dxa"/>
            <w:tcBorders>
              <w:top w:val="nil"/>
              <w:left w:val="nil"/>
              <w:bottom w:val="single" w:color="auto" w:sz="4" w:space="0"/>
              <w:right w:val="single" w:color="auto" w:sz="4" w:space="0"/>
            </w:tcBorders>
            <w:vAlign w:val="center"/>
          </w:tcPr>
          <w:p w14:paraId="6A247ECB">
            <w:pPr>
              <w:widowControl/>
              <w:spacing w:line="400" w:lineRule="exact"/>
              <w:jc w:val="left"/>
              <w:rPr>
                <w:rFonts w:ascii="宋体" w:hAnsi="宋体" w:cs="Arial"/>
                <w:color w:val="auto"/>
                <w:sz w:val="18"/>
                <w:szCs w:val="18"/>
              </w:rPr>
            </w:pPr>
            <w:r>
              <w:rPr>
                <w:rFonts w:hint="eastAsia" w:ascii="宋体" w:hAnsi="宋体" w:cs="Arial"/>
                <w:color w:val="auto"/>
                <w:sz w:val="18"/>
                <w:szCs w:val="18"/>
              </w:rPr>
              <w:t>墙面防水层高度不低于 1.8 米，需24 小时闭水实验</w:t>
            </w:r>
          </w:p>
        </w:tc>
        <w:tc>
          <w:tcPr>
            <w:tcW w:w="900" w:type="dxa"/>
            <w:tcBorders>
              <w:top w:val="nil"/>
              <w:left w:val="nil"/>
              <w:bottom w:val="single" w:color="auto" w:sz="4" w:space="0"/>
              <w:right w:val="single" w:color="auto" w:sz="4" w:space="0"/>
            </w:tcBorders>
            <w:vAlign w:val="center"/>
          </w:tcPr>
          <w:p w14:paraId="15211C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10.40 </w:t>
            </w:r>
          </w:p>
        </w:tc>
        <w:tc>
          <w:tcPr>
            <w:tcW w:w="849" w:type="dxa"/>
            <w:gridSpan w:val="2"/>
            <w:tcBorders>
              <w:top w:val="nil"/>
              <w:left w:val="nil"/>
              <w:bottom w:val="single" w:color="auto" w:sz="4" w:space="0"/>
              <w:right w:val="single" w:color="auto" w:sz="4" w:space="0"/>
            </w:tcBorders>
            <w:vAlign w:val="center"/>
          </w:tcPr>
          <w:p w14:paraId="325E4D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34DC42D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F5E04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74DA74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w:t>
            </w:r>
          </w:p>
        </w:tc>
        <w:tc>
          <w:tcPr>
            <w:tcW w:w="5717" w:type="dxa"/>
            <w:tcBorders>
              <w:top w:val="nil"/>
              <w:left w:val="nil"/>
              <w:bottom w:val="single" w:color="auto" w:sz="4" w:space="0"/>
              <w:right w:val="single" w:color="auto" w:sz="4" w:space="0"/>
            </w:tcBorders>
            <w:vAlign w:val="center"/>
          </w:tcPr>
          <w:p w14:paraId="62A8AE5B">
            <w:pPr>
              <w:widowControl/>
              <w:spacing w:line="400" w:lineRule="exact"/>
              <w:jc w:val="left"/>
              <w:rPr>
                <w:rFonts w:ascii="宋体" w:hAnsi="宋体" w:cs="Arial"/>
                <w:color w:val="auto"/>
                <w:sz w:val="18"/>
                <w:szCs w:val="18"/>
              </w:rPr>
            </w:pPr>
            <w:r>
              <w:rPr>
                <w:rFonts w:hint="eastAsia" w:ascii="宋体" w:hAnsi="宋体" w:cs="Arial"/>
                <w:color w:val="auto"/>
                <w:sz w:val="18"/>
                <w:szCs w:val="18"/>
              </w:rPr>
              <w:t>隔墙 75 系列轻钢龙骨中距竖 0.4m，中龙骨横 1m 100 厚超细玻璃棉</w:t>
            </w:r>
          </w:p>
          <w:p w14:paraId="373903E5">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 18mm 木工板造型刷防火涂料三遍：2440*1220MM</w:t>
            </w:r>
          </w:p>
          <w:p w14:paraId="7BB03642">
            <w:pPr>
              <w:widowControl/>
              <w:spacing w:line="400" w:lineRule="exact"/>
              <w:jc w:val="left"/>
              <w:rPr>
                <w:rFonts w:ascii="宋体" w:hAnsi="宋体" w:cs="Arial"/>
                <w:color w:val="auto"/>
                <w:sz w:val="18"/>
                <w:szCs w:val="18"/>
              </w:rPr>
            </w:pPr>
            <w:r>
              <w:rPr>
                <w:rFonts w:hint="eastAsia" w:ascii="宋体" w:hAnsi="宋体" w:cs="Arial"/>
                <w:color w:val="auto"/>
                <w:sz w:val="18"/>
                <w:szCs w:val="18"/>
              </w:rPr>
              <w:t>双面纸面石膏板：2440*1220*9MM</w:t>
            </w:r>
          </w:p>
        </w:tc>
        <w:tc>
          <w:tcPr>
            <w:tcW w:w="900" w:type="dxa"/>
            <w:tcBorders>
              <w:top w:val="nil"/>
              <w:left w:val="nil"/>
              <w:bottom w:val="single" w:color="auto" w:sz="4" w:space="0"/>
              <w:right w:val="single" w:color="auto" w:sz="4" w:space="0"/>
            </w:tcBorders>
            <w:vAlign w:val="center"/>
          </w:tcPr>
          <w:p w14:paraId="321E6D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7.02 </w:t>
            </w:r>
          </w:p>
        </w:tc>
        <w:tc>
          <w:tcPr>
            <w:tcW w:w="849" w:type="dxa"/>
            <w:gridSpan w:val="2"/>
            <w:tcBorders>
              <w:top w:val="nil"/>
              <w:left w:val="nil"/>
              <w:bottom w:val="single" w:color="auto" w:sz="4" w:space="0"/>
              <w:right w:val="single" w:color="auto" w:sz="4" w:space="0"/>
            </w:tcBorders>
            <w:vAlign w:val="center"/>
          </w:tcPr>
          <w:p w14:paraId="546153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4C674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0FC48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6982E5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w:t>
            </w:r>
          </w:p>
        </w:tc>
        <w:tc>
          <w:tcPr>
            <w:tcW w:w="5717" w:type="dxa"/>
            <w:tcBorders>
              <w:top w:val="nil"/>
              <w:left w:val="nil"/>
              <w:bottom w:val="single" w:color="auto" w:sz="4" w:space="0"/>
              <w:right w:val="single" w:color="auto" w:sz="4" w:space="0"/>
            </w:tcBorders>
            <w:vAlign w:val="center"/>
          </w:tcPr>
          <w:p w14:paraId="29AA144E">
            <w:pPr>
              <w:widowControl/>
              <w:spacing w:line="400" w:lineRule="exact"/>
              <w:jc w:val="left"/>
              <w:rPr>
                <w:rFonts w:ascii="宋体" w:hAnsi="宋体" w:cs="Arial"/>
                <w:color w:val="auto"/>
                <w:sz w:val="18"/>
                <w:szCs w:val="18"/>
              </w:rPr>
            </w:pPr>
            <w:r>
              <w:rPr>
                <w:rFonts w:hint="eastAsia" w:ascii="宋体" w:hAnsi="宋体" w:cs="Arial"/>
                <w:color w:val="auto"/>
                <w:sz w:val="18"/>
                <w:szCs w:val="18"/>
              </w:rPr>
              <w:t>腻子基层，两遍，打磨平整；</w:t>
            </w:r>
          </w:p>
          <w:p w14:paraId="4AFB23B1">
            <w:pPr>
              <w:widowControl/>
              <w:spacing w:line="400" w:lineRule="exact"/>
              <w:jc w:val="left"/>
              <w:rPr>
                <w:rFonts w:ascii="宋体" w:hAnsi="宋体" w:cs="Arial"/>
                <w:color w:val="auto"/>
                <w:sz w:val="18"/>
                <w:szCs w:val="18"/>
              </w:rPr>
            </w:pPr>
            <w:r>
              <w:rPr>
                <w:rFonts w:hint="eastAsia" w:ascii="宋体" w:hAnsi="宋体" w:cs="Arial"/>
                <w:color w:val="auto"/>
                <w:sz w:val="18"/>
                <w:szCs w:val="18"/>
              </w:rPr>
              <w:t>刷白色乳胶漆；</w:t>
            </w:r>
          </w:p>
          <w:p w14:paraId="35F60E21">
            <w:pPr>
              <w:widowControl/>
              <w:spacing w:line="400" w:lineRule="exact"/>
              <w:jc w:val="left"/>
              <w:rPr>
                <w:rFonts w:ascii="宋体" w:hAnsi="宋体" w:cs="Arial"/>
                <w:color w:val="auto"/>
                <w:sz w:val="18"/>
                <w:szCs w:val="18"/>
              </w:rPr>
            </w:pPr>
            <w:r>
              <w:rPr>
                <w:rFonts w:hint="eastAsia" w:ascii="宋体" w:hAnsi="宋体" w:cs="Arial"/>
                <w:color w:val="auto"/>
                <w:sz w:val="18"/>
                <w:szCs w:val="18"/>
              </w:rPr>
              <w:t>补墙面：用嵌缝膏将墙面磕碰处及坑洼缝隙等处找平，干燥后用砂纸凸出处磨掉，将浮尘扫净；</w:t>
            </w:r>
          </w:p>
          <w:p w14:paraId="0D2F94FC">
            <w:pPr>
              <w:widowControl/>
              <w:spacing w:line="400" w:lineRule="exact"/>
              <w:jc w:val="left"/>
              <w:rPr>
                <w:rFonts w:ascii="宋体" w:hAnsi="宋体" w:cs="Arial"/>
                <w:color w:val="auto"/>
                <w:sz w:val="18"/>
                <w:szCs w:val="18"/>
              </w:rPr>
            </w:pPr>
            <w:r>
              <w:rPr>
                <w:rFonts w:hint="eastAsia" w:ascii="宋体" w:hAnsi="宋体" w:cs="Arial"/>
                <w:color w:val="auto"/>
                <w:sz w:val="18"/>
                <w:szCs w:val="18"/>
              </w:rPr>
              <w:t>擦腻子，擦腻子遍数可由墙面平整程度决定，一般情况为2遍；</w:t>
            </w:r>
          </w:p>
          <w:p w14:paraId="610822B6">
            <w:pPr>
              <w:widowControl/>
              <w:spacing w:line="400" w:lineRule="exact"/>
              <w:jc w:val="left"/>
              <w:rPr>
                <w:rFonts w:ascii="宋体" w:hAnsi="宋体" w:cs="Arial"/>
                <w:color w:val="auto"/>
                <w:sz w:val="18"/>
                <w:szCs w:val="18"/>
              </w:rPr>
            </w:pPr>
            <w:r>
              <w:rPr>
                <w:rFonts w:hint="eastAsia" w:ascii="宋体" w:hAnsi="宋体" w:cs="Arial"/>
                <w:color w:val="auto"/>
                <w:sz w:val="18"/>
                <w:szCs w:val="18"/>
              </w:rPr>
              <w:t>涂料：施工应在干燥、清洁、牢固的层表面上进行，喷涂一遍，涂层均匀，无漏涂；二次喷涂同上。</w:t>
            </w:r>
          </w:p>
          <w:p w14:paraId="5DA57C98">
            <w:pPr>
              <w:widowControl/>
              <w:spacing w:line="400" w:lineRule="exact"/>
              <w:jc w:val="left"/>
              <w:rPr>
                <w:rFonts w:ascii="宋体" w:hAnsi="宋体" w:cs="Arial"/>
                <w:color w:val="auto"/>
                <w:sz w:val="18"/>
                <w:szCs w:val="18"/>
              </w:rPr>
            </w:pPr>
            <w:r>
              <w:rPr>
                <w:rFonts w:hint="eastAsia" w:ascii="宋体" w:hAnsi="宋体" w:cs="Arial"/>
                <w:color w:val="auto"/>
                <w:sz w:val="18"/>
                <w:szCs w:val="18"/>
              </w:rPr>
              <w:t>部分造型进行乳胶漆分色处理</w:t>
            </w:r>
          </w:p>
        </w:tc>
        <w:tc>
          <w:tcPr>
            <w:tcW w:w="900" w:type="dxa"/>
            <w:tcBorders>
              <w:top w:val="nil"/>
              <w:left w:val="nil"/>
              <w:bottom w:val="single" w:color="auto" w:sz="4" w:space="0"/>
              <w:right w:val="single" w:color="auto" w:sz="4" w:space="0"/>
            </w:tcBorders>
            <w:vAlign w:val="center"/>
          </w:tcPr>
          <w:p w14:paraId="30A9C2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35.73 </w:t>
            </w:r>
          </w:p>
        </w:tc>
        <w:tc>
          <w:tcPr>
            <w:tcW w:w="849" w:type="dxa"/>
            <w:gridSpan w:val="2"/>
            <w:tcBorders>
              <w:top w:val="nil"/>
              <w:left w:val="nil"/>
              <w:bottom w:val="single" w:color="auto" w:sz="4" w:space="0"/>
              <w:right w:val="single" w:color="auto" w:sz="4" w:space="0"/>
            </w:tcBorders>
            <w:vAlign w:val="center"/>
          </w:tcPr>
          <w:p w14:paraId="7BA284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637778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812F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31279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拆除（墙体）</w:t>
            </w:r>
          </w:p>
        </w:tc>
        <w:tc>
          <w:tcPr>
            <w:tcW w:w="5717" w:type="dxa"/>
            <w:tcBorders>
              <w:top w:val="nil"/>
              <w:left w:val="nil"/>
              <w:bottom w:val="single" w:color="auto" w:sz="4" w:space="0"/>
              <w:right w:val="single" w:color="auto" w:sz="4" w:space="0"/>
            </w:tcBorders>
            <w:vAlign w:val="center"/>
          </w:tcPr>
          <w:p w14:paraId="66D864CC">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原有墙体拆除，包含切缝及砌体拆除，垃圾集中</w:t>
            </w:r>
          </w:p>
        </w:tc>
        <w:tc>
          <w:tcPr>
            <w:tcW w:w="900" w:type="dxa"/>
            <w:tcBorders>
              <w:top w:val="nil"/>
              <w:left w:val="nil"/>
              <w:bottom w:val="single" w:color="auto" w:sz="4" w:space="0"/>
              <w:right w:val="single" w:color="auto" w:sz="4" w:space="0"/>
            </w:tcBorders>
            <w:vAlign w:val="center"/>
          </w:tcPr>
          <w:p w14:paraId="169FDB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14.90 </w:t>
            </w:r>
          </w:p>
        </w:tc>
        <w:tc>
          <w:tcPr>
            <w:tcW w:w="849" w:type="dxa"/>
            <w:gridSpan w:val="2"/>
            <w:tcBorders>
              <w:top w:val="nil"/>
              <w:left w:val="nil"/>
              <w:bottom w:val="single" w:color="auto" w:sz="4" w:space="0"/>
              <w:right w:val="single" w:color="auto" w:sz="4" w:space="0"/>
            </w:tcBorders>
            <w:vAlign w:val="center"/>
          </w:tcPr>
          <w:p w14:paraId="0DB28F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81FF42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F1CD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1F6F8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套装门</w:t>
            </w:r>
          </w:p>
        </w:tc>
        <w:tc>
          <w:tcPr>
            <w:tcW w:w="5717" w:type="dxa"/>
            <w:tcBorders>
              <w:top w:val="nil"/>
              <w:left w:val="nil"/>
              <w:bottom w:val="single" w:color="auto" w:sz="4" w:space="0"/>
              <w:right w:val="single" w:color="auto" w:sz="4" w:space="0"/>
            </w:tcBorders>
            <w:vAlign w:val="center"/>
          </w:tcPr>
          <w:p w14:paraId="14FB07A3">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成品套装门及门套800*2000mm，款式满足甲方要求</w:t>
            </w:r>
          </w:p>
        </w:tc>
        <w:tc>
          <w:tcPr>
            <w:tcW w:w="900" w:type="dxa"/>
            <w:tcBorders>
              <w:top w:val="nil"/>
              <w:left w:val="nil"/>
              <w:bottom w:val="single" w:color="auto" w:sz="4" w:space="0"/>
              <w:right w:val="single" w:color="auto" w:sz="4" w:space="0"/>
            </w:tcBorders>
            <w:vAlign w:val="center"/>
          </w:tcPr>
          <w:p w14:paraId="7D60AF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3FD0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樘</w:t>
            </w:r>
          </w:p>
        </w:tc>
      </w:tr>
      <w:tr w14:paraId="39A4B56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E558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1587BD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13704A4D">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55DF2A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6D643D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A8ED9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ED0CE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B8045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防滑瓷砖</w:t>
            </w:r>
          </w:p>
        </w:tc>
        <w:tc>
          <w:tcPr>
            <w:tcW w:w="5717" w:type="dxa"/>
            <w:tcBorders>
              <w:top w:val="nil"/>
              <w:left w:val="nil"/>
              <w:bottom w:val="single" w:color="auto" w:sz="4" w:space="0"/>
              <w:right w:val="single" w:color="auto" w:sz="4" w:space="0"/>
            </w:tcBorders>
            <w:vAlign w:val="center"/>
          </w:tcPr>
          <w:p w14:paraId="72FA92E3">
            <w:pPr>
              <w:widowControl/>
              <w:spacing w:line="400" w:lineRule="exact"/>
              <w:jc w:val="left"/>
              <w:rPr>
                <w:rFonts w:ascii="宋体" w:hAnsi="宋体" w:cs="Arial"/>
                <w:color w:val="auto"/>
                <w:sz w:val="18"/>
                <w:szCs w:val="18"/>
              </w:rPr>
            </w:pPr>
            <w:r>
              <w:rPr>
                <w:rFonts w:hint="eastAsia" w:ascii="宋体" w:hAnsi="宋体" w:cs="Arial"/>
                <w:color w:val="auto"/>
                <w:sz w:val="18"/>
                <w:szCs w:val="18"/>
              </w:rPr>
              <w:t>水泥砂浆基层普通600*600mm瓷砖，款式甲方确定</w:t>
            </w:r>
          </w:p>
        </w:tc>
        <w:tc>
          <w:tcPr>
            <w:tcW w:w="900" w:type="dxa"/>
            <w:tcBorders>
              <w:top w:val="nil"/>
              <w:left w:val="nil"/>
              <w:bottom w:val="single" w:color="auto" w:sz="4" w:space="0"/>
              <w:right w:val="single" w:color="auto" w:sz="4" w:space="0"/>
            </w:tcBorders>
            <w:vAlign w:val="center"/>
          </w:tcPr>
          <w:p w14:paraId="11E1F0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2.78 </w:t>
            </w:r>
          </w:p>
        </w:tc>
        <w:tc>
          <w:tcPr>
            <w:tcW w:w="849" w:type="dxa"/>
            <w:gridSpan w:val="2"/>
            <w:tcBorders>
              <w:top w:val="nil"/>
              <w:left w:val="nil"/>
              <w:bottom w:val="single" w:color="auto" w:sz="4" w:space="0"/>
              <w:right w:val="single" w:color="auto" w:sz="4" w:space="0"/>
            </w:tcBorders>
            <w:vAlign w:val="center"/>
          </w:tcPr>
          <w:p w14:paraId="23E45B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618421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3290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1FD3B8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地面防水</w:t>
            </w:r>
          </w:p>
        </w:tc>
        <w:tc>
          <w:tcPr>
            <w:tcW w:w="5717" w:type="dxa"/>
            <w:tcBorders>
              <w:top w:val="nil"/>
              <w:left w:val="nil"/>
              <w:bottom w:val="single" w:color="auto" w:sz="4" w:space="0"/>
              <w:right w:val="single" w:color="auto" w:sz="4" w:space="0"/>
            </w:tcBorders>
            <w:vAlign w:val="center"/>
          </w:tcPr>
          <w:p w14:paraId="184F0A32">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地面防水层不低于 1.5mm，24 小时闭水实验</w:t>
            </w:r>
          </w:p>
        </w:tc>
        <w:tc>
          <w:tcPr>
            <w:tcW w:w="900" w:type="dxa"/>
            <w:tcBorders>
              <w:top w:val="nil"/>
              <w:left w:val="nil"/>
              <w:bottom w:val="single" w:color="auto" w:sz="4" w:space="0"/>
              <w:right w:val="single" w:color="auto" w:sz="4" w:space="0"/>
            </w:tcBorders>
            <w:vAlign w:val="center"/>
          </w:tcPr>
          <w:p w14:paraId="2B46EF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2.78 </w:t>
            </w:r>
          </w:p>
        </w:tc>
        <w:tc>
          <w:tcPr>
            <w:tcW w:w="849" w:type="dxa"/>
            <w:gridSpan w:val="2"/>
            <w:tcBorders>
              <w:top w:val="nil"/>
              <w:left w:val="nil"/>
              <w:bottom w:val="single" w:color="auto" w:sz="4" w:space="0"/>
              <w:right w:val="single" w:color="auto" w:sz="4" w:space="0"/>
            </w:tcBorders>
            <w:vAlign w:val="center"/>
          </w:tcPr>
          <w:p w14:paraId="5B5C7C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D65E60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ABB9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5E631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复合地板</w:t>
            </w:r>
          </w:p>
        </w:tc>
        <w:tc>
          <w:tcPr>
            <w:tcW w:w="5717" w:type="dxa"/>
            <w:tcBorders>
              <w:top w:val="nil"/>
              <w:left w:val="nil"/>
              <w:bottom w:val="single" w:color="auto" w:sz="4" w:space="0"/>
              <w:right w:val="single" w:color="auto" w:sz="4" w:space="0"/>
            </w:tcBorders>
            <w:vAlign w:val="center"/>
          </w:tcPr>
          <w:p w14:paraId="5B054A45">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防潮垫，12mm 强化复合地板，款式甲方确定</w:t>
            </w:r>
          </w:p>
        </w:tc>
        <w:tc>
          <w:tcPr>
            <w:tcW w:w="900" w:type="dxa"/>
            <w:tcBorders>
              <w:top w:val="nil"/>
              <w:left w:val="nil"/>
              <w:bottom w:val="single" w:color="auto" w:sz="4" w:space="0"/>
              <w:right w:val="single" w:color="auto" w:sz="4" w:space="0"/>
            </w:tcBorders>
            <w:vAlign w:val="center"/>
          </w:tcPr>
          <w:p w14:paraId="74FF2C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12.03 </w:t>
            </w:r>
          </w:p>
        </w:tc>
        <w:tc>
          <w:tcPr>
            <w:tcW w:w="849" w:type="dxa"/>
            <w:gridSpan w:val="2"/>
            <w:tcBorders>
              <w:top w:val="nil"/>
              <w:left w:val="nil"/>
              <w:bottom w:val="single" w:color="auto" w:sz="4" w:space="0"/>
              <w:right w:val="single" w:color="auto" w:sz="4" w:space="0"/>
            </w:tcBorders>
            <w:vAlign w:val="center"/>
          </w:tcPr>
          <w:p w14:paraId="7C5394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B90B8D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36EE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0B7491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拆除（地面）</w:t>
            </w:r>
          </w:p>
        </w:tc>
        <w:tc>
          <w:tcPr>
            <w:tcW w:w="5717" w:type="dxa"/>
            <w:tcBorders>
              <w:top w:val="nil"/>
              <w:left w:val="nil"/>
              <w:bottom w:val="single" w:color="auto" w:sz="4" w:space="0"/>
              <w:right w:val="single" w:color="auto" w:sz="4" w:space="0"/>
            </w:tcBorders>
            <w:vAlign w:val="center"/>
          </w:tcPr>
          <w:p w14:paraId="1210292A">
            <w:pPr>
              <w:widowControl/>
              <w:spacing w:line="400" w:lineRule="exact"/>
              <w:jc w:val="left"/>
              <w:rPr>
                <w:rFonts w:ascii="宋体" w:hAnsi="宋体" w:cs="Arial"/>
                <w:color w:val="auto"/>
                <w:sz w:val="18"/>
                <w:szCs w:val="18"/>
              </w:rPr>
            </w:pPr>
            <w:r>
              <w:rPr>
                <w:rFonts w:hint="eastAsia" w:ascii="宋体" w:hAnsi="宋体" w:cs="Arial"/>
                <w:color w:val="auto"/>
                <w:sz w:val="18"/>
                <w:szCs w:val="18"/>
              </w:rPr>
              <w:t>原有瓷砖地面拆除，垃圾集中堆放</w:t>
            </w:r>
          </w:p>
        </w:tc>
        <w:tc>
          <w:tcPr>
            <w:tcW w:w="900" w:type="dxa"/>
            <w:tcBorders>
              <w:top w:val="nil"/>
              <w:left w:val="nil"/>
              <w:bottom w:val="single" w:color="auto" w:sz="4" w:space="0"/>
              <w:right w:val="single" w:color="auto" w:sz="4" w:space="0"/>
            </w:tcBorders>
            <w:vAlign w:val="center"/>
          </w:tcPr>
          <w:p w14:paraId="1107FC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7A7B69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4B52B4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1082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565FB3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7F0BD8F2">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地面、墙面开槽及恢复</w:t>
            </w:r>
          </w:p>
          <w:p w14:paraId="6FD6FF0B">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室内强电改造，2.0PVC 线管</w:t>
            </w:r>
          </w:p>
          <w:p w14:paraId="65A36C24">
            <w:pPr>
              <w:widowControl/>
              <w:spacing w:line="400" w:lineRule="exact"/>
              <w:jc w:val="left"/>
              <w:rPr>
                <w:rFonts w:ascii="宋体" w:hAnsi="宋体" w:cs="Arial"/>
                <w:color w:val="auto"/>
                <w:sz w:val="18"/>
                <w:szCs w:val="18"/>
              </w:rPr>
            </w:pPr>
            <w:r>
              <w:rPr>
                <w:rFonts w:hint="eastAsia" w:ascii="宋体" w:hAnsi="宋体" w:cs="Arial"/>
                <w:color w:val="auto"/>
                <w:sz w:val="18"/>
                <w:szCs w:val="18"/>
              </w:rPr>
              <w:t>2.5/4 平方单股铜芯线</w:t>
            </w:r>
          </w:p>
          <w:p w14:paraId="2E697709">
            <w:pPr>
              <w:widowControl/>
              <w:spacing w:line="400" w:lineRule="exact"/>
              <w:jc w:val="left"/>
              <w:rPr>
                <w:rFonts w:ascii="宋体" w:hAnsi="宋体" w:cs="Arial"/>
                <w:color w:val="auto"/>
                <w:sz w:val="18"/>
                <w:szCs w:val="18"/>
              </w:rPr>
            </w:pPr>
            <w:r>
              <w:rPr>
                <w:rFonts w:hint="eastAsia" w:ascii="宋体" w:hAnsi="宋体" w:cs="Arial"/>
                <w:color w:val="auto"/>
                <w:sz w:val="18"/>
                <w:szCs w:val="18"/>
              </w:rPr>
              <w:t>底面切割，开槽，水泥砂浆找平，横平竖直，凿好管线槽排入专用阻燃型电线管</w:t>
            </w:r>
          </w:p>
          <w:p w14:paraId="1F7DF07A">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线进入线盒必须保证有一定的长度，不得＜150mm 以便进行开关、插座的安装维修及今后的导线更换</w:t>
            </w:r>
          </w:p>
          <w:p w14:paraId="30844795">
            <w:pPr>
              <w:widowControl/>
              <w:spacing w:line="400" w:lineRule="exact"/>
              <w:jc w:val="left"/>
              <w:rPr>
                <w:rFonts w:ascii="宋体" w:hAnsi="宋体" w:cs="Arial"/>
                <w:color w:val="auto"/>
                <w:sz w:val="18"/>
                <w:szCs w:val="18"/>
              </w:rPr>
            </w:pPr>
            <w:r>
              <w:rPr>
                <w:rFonts w:hint="eastAsia" w:ascii="宋体" w:hAnsi="宋体" w:cs="Arial"/>
                <w:color w:val="auto"/>
                <w:sz w:val="18"/>
                <w:szCs w:val="18"/>
              </w:rPr>
              <w:t>线色标：配电箱及各回路配线均需按要求进行分色，接地线（PE）为黄绿双色线，满足甲方使用要求</w:t>
            </w:r>
          </w:p>
        </w:tc>
        <w:tc>
          <w:tcPr>
            <w:tcW w:w="900" w:type="dxa"/>
            <w:tcBorders>
              <w:top w:val="nil"/>
              <w:left w:val="nil"/>
              <w:bottom w:val="single" w:color="auto" w:sz="4" w:space="0"/>
              <w:right w:val="single" w:color="auto" w:sz="4" w:space="0"/>
            </w:tcBorders>
            <w:vAlign w:val="center"/>
          </w:tcPr>
          <w:p w14:paraId="5DBAE3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65AC79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FAE47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4AFD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38F160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水路改造</w:t>
            </w:r>
          </w:p>
        </w:tc>
        <w:tc>
          <w:tcPr>
            <w:tcW w:w="5717" w:type="dxa"/>
            <w:tcBorders>
              <w:top w:val="nil"/>
              <w:left w:val="nil"/>
              <w:bottom w:val="single" w:color="auto" w:sz="4" w:space="0"/>
              <w:right w:val="single" w:color="auto" w:sz="4" w:space="0"/>
            </w:tcBorders>
            <w:vAlign w:val="center"/>
          </w:tcPr>
          <w:p w14:paraId="1F02C7BC">
            <w:pPr>
              <w:widowControl/>
              <w:spacing w:line="400" w:lineRule="exact"/>
              <w:jc w:val="left"/>
              <w:rPr>
                <w:rFonts w:ascii="宋体" w:hAnsi="宋体" w:cs="Arial"/>
                <w:color w:val="auto"/>
                <w:sz w:val="18"/>
                <w:szCs w:val="18"/>
              </w:rPr>
            </w:pPr>
            <w:r>
              <w:rPr>
                <w:rFonts w:hint="eastAsia" w:ascii="宋体" w:hAnsi="宋体" w:cs="Arial"/>
                <w:color w:val="auto"/>
                <w:sz w:val="18"/>
                <w:szCs w:val="18"/>
              </w:rPr>
              <w:t>地面、墙面开槽预埋 PVC 线管及墙地面恢复</w:t>
            </w:r>
          </w:p>
        </w:tc>
        <w:tc>
          <w:tcPr>
            <w:tcW w:w="900" w:type="dxa"/>
            <w:tcBorders>
              <w:top w:val="nil"/>
              <w:left w:val="nil"/>
              <w:bottom w:val="single" w:color="auto" w:sz="4" w:space="0"/>
              <w:right w:val="single" w:color="auto" w:sz="4" w:space="0"/>
            </w:tcBorders>
            <w:vAlign w:val="center"/>
          </w:tcPr>
          <w:p w14:paraId="48B52B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15.43 </w:t>
            </w:r>
          </w:p>
        </w:tc>
        <w:tc>
          <w:tcPr>
            <w:tcW w:w="849" w:type="dxa"/>
            <w:gridSpan w:val="2"/>
            <w:tcBorders>
              <w:top w:val="nil"/>
              <w:left w:val="nil"/>
              <w:bottom w:val="single" w:color="auto" w:sz="4" w:space="0"/>
              <w:right w:val="single" w:color="auto" w:sz="4" w:space="0"/>
            </w:tcBorders>
            <w:vAlign w:val="center"/>
          </w:tcPr>
          <w:p w14:paraId="69593E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72D81A7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E783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7BBBFC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75DD1942">
            <w:pPr>
              <w:widowControl/>
              <w:spacing w:line="400" w:lineRule="exact"/>
              <w:jc w:val="left"/>
              <w:rPr>
                <w:rFonts w:ascii="宋体" w:hAnsi="宋体" w:cs="Arial"/>
                <w:color w:val="auto"/>
                <w:sz w:val="18"/>
                <w:szCs w:val="18"/>
              </w:rPr>
            </w:pPr>
            <w:r>
              <w:rPr>
                <w:rFonts w:hint="eastAsia" w:ascii="宋体" w:hAnsi="宋体" w:cs="Arial"/>
                <w:color w:val="auto"/>
                <w:sz w:val="18"/>
                <w:szCs w:val="18"/>
              </w:rPr>
              <w:t>照明开关，电流 10A,注塑面板，PC 阻燃 86 型，款式甲方确定</w:t>
            </w:r>
          </w:p>
        </w:tc>
        <w:tc>
          <w:tcPr>
            <w:tcW w:w="900" w:type="dxa"/>
            <w:tcBorders>
              <w:top w:val="nil"/>
              <w:left w:val="nil"/>
              <w:bottom w:val="single" w:color="auto" w:sz="4" w:space="0"/>
              <w:right w:val="single" w:color="auto" w:sz="4" w:space="0"/>
            </w:tcBorders>
            <w:vAlign w:val="center"/>
          </w:tcPr>
          <w:p w14:paraId="3E1EF7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5052E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DBD437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7CEE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3ED75E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6757DE13">
            <w:pPr>
              <w:widowControl/>
              <w:spacing w:line="400" w:lineRule="exact"/>
              <w:jc w:val="left"/>
              <w:rPr>
                <w:rFonts w:ascii="宋体" w:hAnsi="宋体" w:cs="Arial"/>
                <w:color w:val="auto"/>
                <w:sz w:val="18"/>
                <w:szCs w:val="18"/>
              </w:rPr>
            </w:pPr>
            <w:r>
              <w:rPr>
                <w:rFonts w:hint="eastAsia" w:ascii="宋体" w:hAnsi="宋体" w:cs="Arial"/>
                <w:color w:val="auto"/>
                <w:sz w:val="18"/>
                <w:szCs w:val="18"/>
              </w:rPr>
              <w:t>五孔插座，86 型二三插座，带保护门，款式甲方确定</w:t>
            </w:r>
          </w:p>
        </w:tc>
        <w:tc>
          <w:tcPr>
            <w:tcW w:w="900" w:type="dxa"/>
            <w:tcBorders>
              <w:top w:val="nil"/>
              <w:left w:val="nil"/>
              <w:bottom w:val="single" w:color="auto" w:sz="4" w:space="0"/>
              <w:right w:val="single" w:color="auto" w:sz="4" w:space="0"/>
            </w:tcBorders>
            <w:vAlign w:val="center"/>
          </w:tcPr>
          <w:p w14:paraId="30EF66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6B48AA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01EE8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D34D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05513D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吸顶灯</w:t>
            </w:r>
          </w:p>
        </w:tc>
        <w:tc>
          <w:tcPr>
            <w:tcW w:w="5717" w:type="dxa"/>
            <w:tcBorders>
              <w:top w:val="nil"/>
              <w:left w:val="nil"/>
              <w:bottom w:val="single" w:color="auto" w:sz="4" w:space="0"/>
              <w:right w:val="single" w:color="auto" w:sz="4" w:space="0"/>
            </w:tcBorders>
            <w:vAlign w:val="center"/>
          </w:tcPr>
          <w:p w14:paraId="18A03135">
            <w:pPr>
              <w:widowControl/>
              <w:spacing w:line="400" w:lineRule="exact"/>
              <w:jc w:val="left"/>
              <w:rPr>
                <w:rFonts w:ascii="宋体" w:hAnsi="宋体" w:cs="Arial"/>
                <w:color w:val="auto"/>
                <w:sz w:val="18"/>
                <w:szCs w:val="18"/>
              </w:rPr>
            </w:pPr>
            <w:r>
              <w:rPr>
                <w:rFonts w:hint="eastAsia" w:ascii="宋体" w:hAnsi="宋体" w:cs="Arial"/>
                <w:color w:val="auto"/>
                <w:sz w:val="18"/>
                <w:szCs w:val="18"/>
              </w:rPr>
              <w:t>成品吸顶灯1200*600mm，款式甲方确定</w:t>
            </w:r>
          </w:p>
        </w:tc>
        <w:tc>
          <w:tcPr>
            <w:tcW w:w="900" w:type="dxa"/>
            <w:tcBorders>
              <w:top w:val="nil"/>
              <w:left w:val="nil"/>
              <w:bottom w:val="single" w:color="auto" w:sz="4" w:space="0"/>
              <w:right w:val="single" w:color="auto" w:sz="4" w:space="0"/>
            </w:tcBorders>
            <w:vAlign w:val="center"/>
          </w:tcPr>
          <w:p w14:paraId="548C80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D18EB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6A686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D662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7A014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可调节 LED 射灯</w:t>
            </w:r>
          </w:p>
        </w:tc>
        <w:tc>
          <w:tcPr>
            <w:tcW w:w="5717" w:type="dxa"/>
            <w:tcBorders>
              <w:top w:val="nil"/>
              <w:left w:val="nil"/>
              <w:bottom w:val="single" w:color="auto" w:sz="4" w:space="0"/>
              <w:right w:val="single" w:color="auto" w:sz="4" w:space="0"/>
            </w:tcBorders>
            <w:vAlign w:val="center"/>
          </w:tcPr>
          <w:p w14:paraId="134C7E42">
            <w:pPr>
              <w:widowControl/>
              <w:spacing w:line="400" w:lineRule="exact"/>
              <w:jc w:val="left"/>
              <w:rPr>
                <w:rFonts w:ascii="宋体" w:hAnsi="宋体" w:cs="Arial"/>
                <w:color w:val="auto"/>
                <w:sz w:val="18"/>
                <w:szCs w:val="18"/>
              </w:rPr>
            </w:pPr>
            <w:r>
              <w:rPr>
                <w:rFonts w:hint="eastAsia" w:ascii="宋体" w:hAnsi="宋体" w:cs="Arial"/>
                <w:color w:val="auto"/>
                <w:sz w:val="18"/>
                <w:szCs w:val="18"/>
              </w:rPr>
              <w:t>LED 射灯Ф75MM，高 58MM、7W 正白光射灯嵌入式，款式甲方确定</w:t>
            </w:r>
          </w:p>
        </w:tc>
        <w:tc>
          <w:tcPr>
            <w:tcW w:w="900" w:type="dxa"/>
            <w:tcBorders>
              <w:top w:val="nil"/>
              <w:left w:val="nil"/>
              <w:bottom w:val="single" w:color="auto" w:sz="4" w:space="0"/>
              <w:right w:val="single" w:color="auto" w:sz="4" w:space="0"/>
            </w:tcBorders>
            <w:vAlign w:val="center"/>
          </w:tcPr>
          <w:p w14:paraId="789471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71C03B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FA5DE5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8253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3BD323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淋浴隔断</w:t>
            </w:r>
          </w:p>
        </w:tc>
        <w:tc>
          <w:tcPr>
            <w:tcW w:w="5717" w:type="dxa"/>
            <w:tcBorders>
              <w:top w:val="nil"/>
              <w:left w:val="nil"/>
              <w:bottom w:val="single" w:color="auto" w:sz="4" w:space="0"/>
              <w:right w:val="single" w:color="auto" w:sz="4" w:space="0"/>
            </w:tcBorders>
            <w:vAlign w:val="center"/>
          </w:tcPr>
          <w:p w14:paraId="2E077A04">
            <w:pPr>
              <w:widowControl/>
              <w:spacing w:line="400" w:lineRule="exact"/>
              <w:jc w:val="left"/>
              <w:rPr>
                <w:rFonts w:ascii="宋体" w:hAnsi="宋体" w:cs="Arial"/>
                <w:color w:val="auto"/>
                <w:sz w:val="18"/>
                <w:szCs w:val="18"/>
              </w:rPr>
            </w:pPr>
            <w:r>
              <w:rPr>
                <w:rFonts w:hint="eastAsia" w:ascii="宋体" w:hAnsi="宋体" w:cs="Arial"/>
                <w:color w:val="auto"/>
                <w:sz w:val="18"/>
                <w:szCs w:val="18"/>
              </w:rPr>
              <w:t>规格尺寸：1200*2000mmPVC 防水板，不锈钢配件+浴帘，款式甲方确定</w:t>
            </w:r>
          </w:p>
        </w:tc>
        <w:tc>
          <w:tcPr>
            <w:tcW w:w="900" w:type="dxa"/>
            <w:tcBorders>
              <w:top w:val="nil"/>
              <w:left w:val="nil"/>
              <w:bottom w:val="single" w:color="auto" w:sz="4" w:space="0"/>
              <w:right w:val="single" w:color="auto" w:sz="4" w:space="0"/>
            </w:tcBorders>
            <w:vAlign w:val="center"/>
          </w:tcPr>
          <w:p w14:paraId="6FE0C2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C87C5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125130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4EB5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1B9A79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淋浴花洒</w:t>
            </w:r>
          </w:p>
        </w:tc>
        <w:tc>
          <w:tcPr>
            <w:tcW w:w="5717" w:type="dxa"/>
            <w:tcBorders>
              <w:top w:val="nil"/>
              <w:left w:val="nil"/>
              <w:bottom w:val="single" w:color="auto" w:sz="4" w:space="0"/>
              <w:right w:val="single" w:color="auto" w:sz="4" w:space="0"/>
            </w:tcBorders>
            <w:vAlign w:val="center"/>
          </w:tcPr>
          <w:p w14:paraId="103B487B">
            <w:pPr>
              <w:widowControl/>
              <w:spacing w:line="400" w:lineRule="exact"/>
              <w:jc w:val="left"/>
              <w:rPr>
                <w:rFonts w:ascii="宋体" w:hAnsi="宋体" w:cs="Arial"/>
                <w:color w:val="auto"/>
                <w:sz w:val="18"/>
                <w:szCs w:val="18"/>
              </w:rPr>
            </w:pPr>
            <w:r>
              <w:rPr>
                <w:rFonts w:hint="eastAsia" w:ascii="宋体" w:hAnsi="宋体" w:cs="Arial"/>
                <w:color w:val="auto"/>
                <w:sz w:val="18"/>
                <w:szCs w:val="18"/>
              </w:rPr>
              <w:t>1250*220mm壁挂式，不锈钢花洒，款式甲方确定</w:t>
            </w:r>
          </w:p>
        </w:tc>
        <w:tc>
          <w:tcPr>
            <w:tcW w:w="900" w:type="dxa"/>
            <w:tcBorders>
              <w:top w:val="nil"/>
              <w:left w:val="nil"/>
              <w:bottom w:val="single" w:color="auto" w:sz="4" w:space="0"/>
              <w:right w:val="single" w:color="auto" w:sz="4" w:space="0"/>
            </w:tcBorders>
            <w:vAlign w:val="center"/>
          </w:tcPr>
          <w:p w14:paraId="4D584D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FA612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4629B1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6581F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2DC60C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地漏</w:t>
            </w:r>
          </w:p>
        </w:tc>
        <w:tc>
          <w:tcPr>
            <w:tcW w:w="5717" w:type="dxa"/>
            <w:tcBorders>
              <w:top w:val="nil"/>
              <w:left w:val="nil"/>
              <w:bottom w:val="single" w:color="auto" w:sz="4" w:space="0"/>
              <w:right w:val="single" w:color="auto" w:sz="4" w:space="0"/>
            </w:tcBorders>
            <w:vAlign w:val="center"/>
          </w:tcPr>
          <w:p w14:paraId="21CCBEBC">
            <w:pPr>
              <w:widowControl/>
              <w:spacing w:line="400" w:lineRule="exact"/>
              <w:jc w:val="left"/>
              <w:rPr>
                <w:rFonts w:ascii="宋体" w:hAnsi="宋体" w:cs="Arial"/>
                <w:color w:val="auto"/>
                <w:sz w:val="18"/>
                <w:szCs w:val="18"/>
              </w:rPr>
            </w:pPr>
            <w:r>
              <w:rPr>
                <w:rFonts w:hint="eastAsia" w:ascii="宋体" w:hAnsi="宋体" w:cs="Arial"/>
                <w:color w:val="auto"/>
                <w:sz w:val="18"/>
                <w:szCs w:val="18"/>
              </w:rPr>
              <w:t>100*100mm不锈钢地漏</w:t>
            </w:r>
          </w:p>
        </w:tc>
        <w:tc>
          <w:tcPr>
            <w:tcW w:w="900" w:type="dxa"/>
            <w:tcBorders>
              <w:top w:val="nil"/>
              <w:left w:val="nil"/>
              <w:bottom w:val="single" w:color="auto" w:sz="4" w:space="0"/>
              <w:right w:val="single" w:color="auto" w:sz="4" w:space="0"/>
            </w:tcBorders>
            <w:vAlign w:val="center"/>
          </w:tcPr>
          <w:p w14:paraId="46BDFD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A866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28D47B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E577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0F36ED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洗手台</w:t>
            </w:r>
          </w:p>
        </w:tc>
        <w:tc>
          <w:tcPr>
            <w:tcW w:w="5717" w:type="dxa"/>
            <w:tcBorders>
              <w:top w:val="nil"/>
              <w:left w:val="nil"/>
              <w:bottom w:val="single" w:color="auto" w:sz="4" w:space="0"/>
              <w:right w:val="single" w:color="auto" w:sz="4" w:space="0"/>
            </w:tcBorders>
            <w:vAlign w:val="center"/>
          </w:tcPr>
          <w:p w14:paraId="493C1F23">
            <w:pPr>
              <w:widowControl/>
              <w:spacing w:line="400" w:lineRule="exact"/>
              <w:jc w:val="left"/>
              <w:rPr>
                <w:rFonts w:ascii="宋体" w:hAnsi="宋体" w:cs="Arial"/>
                <w:color w:val="auto"/>
                <w:sz w:val="18"/>
                <w:szCs w:val="18"/>
              </w:rPr>
            </w:pPr>
            <w:r>
              <w:rPr>
                <w:rFonts w:hint="eastAsia" w:ascii="宋体" w:hAnsi="宋体" w:cs="Arial"/>
                <w:color w:val="auto"/>
                <w:sz w:val="18"/>
                <w:szCs w:val="18"/>
              </w:rPr>
              <w:t>现代风格成品洗手台800*480mm，款式甲方确定</w:t>
            </w:r>
          </w:p>
        </w:tc>
        <w:tc>
          <w:tcPr>
            <w:tcW w:w="900" w:type="dxa"/>
            <w:tcBorders>
              <w:top w:val="nil"/>
              <w:left w:val="nil"/>
              <w:bottom w:val="single" w:color="auto" w:sz="4" w:space="0"/>
              <w:right w:val="single" w:color="auto" w:sz="4" w:space="0"/>
            </w:tcBorders>
            <w:vAlign w:val="center"/>
          </w:tcPr>
          <w:p w14:paraId="228357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3B56F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A2CF9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04C9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center"/>
          </w:tcPr>
          <w:p w14:paraId="2FB764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挂衣架</w:t>
            </w:r>
          </w:p>
        </w:tc>
        <w:tc>
          <w:tcPr>
            <w:tcW w:w="5717" w:type="dxa"/>
            <w:tcBorders>
              <w:top w:val="nil"/>
              <w:left w:val="nil"/>
              <w:bottom w:val="single" w:color="auto" w:sz="4" w:space="0"/>
              <w:right w:val="single" w:color="auto" w:sz="4" w:space="0"/>
            </w:tcBorders>
            <w:vAlign w:val="center"/>
          </w:tcPr>
          <w:p w14:paraId="298CEDE4">
            <w:pPr>
              <w:widowControl/>
              <w:spacing w:line="400" w:lineRule="exact"/>
              <w:jc w:val="left"/>
              <w:rPr>
                <w:rFonts w:ascii="宋体" w:hAnsi="宋体" w:cs="Arial"/>
                <w:color w:val="auto"/>
                <w:sz w:val="18"/>
                <w:szCs w:val="18"/>
              </w:rPr>
            </w:pPr>
            <w:r>
              <w:rPr>
                <w:rFonts w:hint="eastAsia" w:ascii="宋体" w:hAnsi="宋体" w:cs="Arial"/>
                <w:color w:val="auto"/>
                <w:sz w:val="18"/>
                <w:szCs w:val="18"/>
              </w:rPr>
              <w:t>380*380*1720mm木纹挂衣架，款式甲方确定</w:t>
            </w:r>
          </w:p>
        </w:tc>
        <w:tc>
          <w:tcPr>
            <w:tcW w:w="900" w:type="dxa"/>
            <w:tcBorders>
              <w:top w:val="nil"/>
              <w:left w:val="nil"/>
              <w:bottom w:val="single" w:color="auto" w:sz="4" w:space="0"/>
              <w:right w:val="single" w:color="auto" w:sz="4" w:space="0"/>
            </w:tcBorders>
            <w:vAlign w:val="center"/>
          </w:tcPr>
          <w:p w14:paraId="1E8F0E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13D24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48A541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E03D835">
            <w:pPr>
              <w:widowControl/>
              <w:spacing w:line="400" w:lineRule="exact"/>
              <w:jc w:val="left"/>
              <w:rPr>
                <w:rFonts w:ascii="宋体" w:hAnsi="宋体" w:cs="Arial"/>
                <w:color w:val="auto"/>
                <w:sz w:val="18"/>
                <w:szCs w:val="18"/>
              </w:rPr>
            </w:pPr>
            <w:r>
              <w:rPr>
                <w:rFonts w:hint="eastAsia" w:ascii="宋体" w:hAnsi="宋体" w:cs="Arial"/>
                <w:color w:val="auto"/>
                <w:sz w:val="18"/>
                <w:szCs w:val="18"/>
              </w:rPr>
              <w:t>综合部分</w:t>
            </w:r>
          </w:p>
        </w:tc>
      </w:tr>
      <w:tr w14:paraId="4381FE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C944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94997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配电箱</w:t>
            </w:r>
          </w:p>
        </w:tc>
        <w:tc>
          <w:tcPr>
            <w:tcW w:w="5717" w:type="dxa"/>
            <w:tcBorders>
              <w:top w:val="nil"/>
              <w:left w:val="nil"/>
              <w:bottom w:val="single" w:color="auto" w:sz="4" w:space="0"/>
              <w:right w:val="single" w:color="auto" w:sz="4" w:space="0"/>
            </w:tcBorders>
            <w:vAlign w:val="center"/>
          </w:tcPr>
          <w:p w14:paraId="57466EA9">
            <w:pPr>
              <w:widowControl/>
              <w:spacing w:line="400" w:lineRule="exact"/>
              <w:jc w:val="left"/>
              <w:rPr>
                <w:rFonts w:ascii="宋体" w:hAnsi="宋体" w:cs="Arial"/>
                <w:color w:val="auto"/>
                <w:sz w:val="18"/>
                <w:szCs w:val="18"/>
              </w:rPr>
            </w:pPr>
            <w:r>
              <w:rPr>
                <w:rFonts w:hint="eastAsia" w:ascii="宋体" w:hAnsi="宋体" w:cs="Arial"/>
                <w:color w:val="auto"/>
                <w:sz w:val="18"/>
                <w:szCs w:val="18"/>
              </w:rPr>
              <w:t>配电箱：16 –20 回路暗装箱</w:t>
            </w:r>
          </w:p>
          <w:p w14:paraId="3E26B84D">
            <w:pPr>
              <w:widowControl/>
              <w:spacing w:line="400" w:lineRule="exact"/>
              <w:jc w:val="left"/>
              <w:rPr>
                <w:rFonts w:ascii="宋体" w:hAnsi="宋体" w:cs="Arial"/>
                <w:color w:val="auto"/>
                <w:sz w:val="18"/>
                <w:szCs w:val="18"/>
              </w:rPr>
            </w:pPr>
            <w:r>
              <w:rPr>
                <w:rFonts w:hint="eastAsia" w:ascii="宋体" w:hAnsi="宋体" w:cs="Arial"/>
                <w:color w:val="auto"/>
                <w:sz w:val="18"/>
                <w:szCs w:val="18"/>
              </w:rPr>
              <w:t>总开关：2P63A</w:t>
            </w:r>
          </w:p>
          <w:p w14:paraId="39E4A429">
            <w:pPr>
              <w:widowControl/>
              <w:spacing w:line="400" w:lineRule="exact"/>
              <w:jc w:val="left"/>
              <w:rPr>
                <w:rFonts w:ascii="宋体" w:hAnsi="宋体" w:cs="Arial"/>
                <w:color w:val="auto"/>
                <w:sz w:val="18"/>
                <w:szCs w:val="18"/>
              </w:rPr>
            </w:pPr>
            <w:r>
              <w:rPr>
                <w:rFonts w:hint="eastAsia" w:ascii="宋体" w:hAnsi="宋体" w:cs="Arial"/>
                <w:color w:val="auto"/>
                <w:sz w:val="18"/>
                <w:szCs w:val="18"/>
              </w:rPr>
              <w:t>分路空开：10A/16A/20A 若干</w:t>
            </w:r>
          </w:p>
          <w:p w14:paraId="474B3CE1">
            <w:pPr>
              <w:widowControl/>
              <w:spacing w:line="400" w:lineRule="exact"/>
              <w:jc w:val="left"/>
              <w:rPr>
                <w:rFonts w:ascii="宋体" w:hAnsi="宋体" w:cs="Arial"/>
                <w:color w:val="auto"/>
                <w:sz w:val="18"/>
                <w:szCs w:val="18"/>
              </w:rPr>
            </w:pPr>
            <w:r>
              <w:rPr>
                <w:rFonts w:hint="eastAsia" w:ascii="宋体" w:hAnsi="宋体" w:cs="Arial"/>
                <w:color w:val="auto"/>
                <w:sz w:val="18"/>
                <w:szCs w:val="18"/>
              </w:rPr>
              <w:t>漏保：30mA 插座</w:t>
            </w:r>
          </w:p>
        </w:tc>
        <w:tc>
          <w:tcPr>
            <w:tcW w:w="900" w:type="dxa"/>
            <w:tcBorders>
              <w:top w:val="nil"/>
              <w:left w:val="nil"/>
              <w:bottom w:val="single" w:color="auto" w:sz="4" w:space="0"/>
              <w:right w:val="single" w:color="auto" w:sz="4" w:space="0"/>
            </w:tcBorders>
            <w:vAlign w:val="center"/>
          </w:tcPr>
          <w:p w14:paraId="2C6B56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2CE0B4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CC6A1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0BEC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D7254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施工垃圾清运</w:t>
            </w:r>
          </w:p>
        </w:tc>
        <w:tc>
          <w:tcPr>
            <w:tcW w:w="5717" w:type="dxa"/>
            <w:tcBorders>
              <w:top w:val="nil"/>
              <w:left w:val="nil"/>
              <w:bottom w:val="single" w:color="auto" w:sz="4" w:space="0"/>
              <w:right w:val="single" w:color="auto" w:sz="4" w:space="0"/>
            </w:tcBorders>
            <w:vAlign w:val="center"/>
          </w:tcPr>
          <w:p w14:paraId="5F92D105">
            <w:pPr>
              <w:widowControl/>
              <w:spacing w:line="400" w:lineRule="exact"/>
              <w:jc w:val="left"/>
              <w:rPr>
                <w:rFonts w:ascii="宋体" w:hAnsi="宋体" w:cs="Arial"/>
                <w:color w:val="auto"/>
                <w:sz w:val="18"/>
                <w:szCs w:val="18"/>
              </w:rPr>
            </w:pPr>
            <w:r>
              <w:rPr>
                <w:rFonts w:hint="eastAsia" w:ascii="宋体" w:hAnsi="宋体" w:cs="Arial"/>
                <w:color w:val="auto"/>
                <w:sz w:val="18"/>
                <w:szCs w:val="18"/>
              </w:rPr>
              <w:t>装修垃圾运输至指点堆放点；</w:t>
            </w:r>
          </w:p>
          <w:p w14:paraId="261F72E9">
            <w:pPr>
              <w:widowControl/>
              <w:spacing w:line="400" w:lineRule="exact"/>
              <w:jc w:val="left"/>
              <w:rPr>
                <w:rFonts w:ascii="宋体" w:hAnsi="宋体" w:cs="Arial"/>
                <w:color w:val="auto"/>
                <w:sz w:val="18"/>
                <w:szCs w:val="18"/>
              </w:rPr>
            </w:pPr>
            <w:r>
              <w:rPr>
                <w:rFonts w:hint="eastAsia" w:ascii="宋体" w:hAnsi="宋体" w:cs="Arial"/>
                <w:color w:val="auto"/>
                <w:sz w:val="18"/>
                <w:szCs w:val="18"/>
              </w:rPr>
              <w:t>不包含外运费用</w:t>
            </w:r>
          </w:p>
        </w:tc>
        <w:tc>
          <w:tcPr>
            <w:tcW w:w="900" w:type="dxa"/>
            <w:tcBorders>
              <w:top w:val="nil"/>
              <w:left w:val="nil"/>
              <w:bottom w:val="single" w:color="auto" w:sz="4" w:space="0"/>
              <w:right w:val="single" w:color="auto" w:sz="4" w:space="0"/>
            </w:tcBorders>
            <w:vAlign w:val="center"/>
          </w:tcPr>
          <w:p w14:paraId="1F881D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43D13A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620AF8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325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4F2F8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材料运输费</w:t>
            </w:r>
          </w:p>
        </w:tc>
        <w:tc>
          <w:tcPr>
            <w:tcW w:w="5717" w:type="dxa"/>
            <w:tcBorders>
              <w:top w:val="nil"/>
              <w:left w:val="nil"/>
              <w:bottom w:val="single" w:color="auto" w:sz="4" w:space="0"/>
              <w:right w:val="single" w:color="auto" w:sz="4" w:space="0"/>
            </w:tcBorders>
            <w:vAlign w:val="center"/>
          </w:tcPr>
          <w:p w14:paraId="082D6B96">
            <w:pPr>
              <w:widowControl/>
              <w:spacing w:line="400" w:lineRule="exact"/>
              <w:jc w:val="left"/>
              <w:rPr>
                <w:rFonts w:ascii="宋体" w:hAnsi="宋体" w:cs="Arial"/>
                <w:color w:val="auto"/>
                <w:sz w:val="18"/>
                <w:szCs w:val="18"/>
              </w:rPr>
            </w:pPr>
            <w:r>
              <w:rPr>
                <w:rFonts w:hint="eastAsia" w:ascii="宋体" w:hAnsi="宋体" w:cs="Arial"/>
                <w:color w:val="auto"/>
                <w:sz w:val="18"/>
                <w:szCs w:val="18"/>
              </w:rPr>
              <w:t>材料运输搬运上楼费用</w:t>
            </w:r>
          </w:p>
        </w:tc>
        <w:tc>
          <w:tcPr>
            <w:tcW w:w="900" w:type="dxa"/>
            <w:tcBorders>
              <w:top w:val="nil"/>
              <w:left w:val="nil"/>
              <w:bottom w:val="single" w:color="auto" w:sz="4" w:space="0"/>
              <w:right w:val="single" w:color="auto" w:sz="4" w:space="0"/>
            </w:tcBorders>
            <w:vAlign w:val="center"/>
          </w:tcPr>
          <w:p w14:paraId="51850E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7885F5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55EDAF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FA30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F1BA9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脚手架租赁费用</w:t>
            </w:r>
          </w:p>
        </w:tc>
        <w:tc>
          <w:tcPr>
            <w:tcW w:w="5717" w:type="dxa"/>
            <w:tcBorders>
              <w:top w:val="nil"/>
              <w:left w:val="nil"/>
              <w:bottom w:val="single" w:color="auto" w:sz="4" w:space="0"/>
              <w:right w:val="single" w:color="auto" w:sz="4" w:space="0"/>
            </w:tcBorders>
            <w:vAlign w:val="center"/>
          </w:tcPr>
          <w:p w14:paraId="33360DF9">
            <w:pPr>
              <w:widowControl/>
              <w:spacing w:line="400" w:lineRule="exact"/>
              <w:jc w:val="left"/>
              <w:rPr>
                <w:rFonts w:ascii="宋体" w:hAnsi="宋体" w:cs="Arial"/>
                <w:color w:val="auto"/>
                <w:sz w:val="18"/>
                <w:szCs w:val="18"/>
              </w:rPr>
            </w:pPr>
            <w:r>
              <w:rPr>
                <w:rFonts w:hint="eastAsia" w:ascii="宋体" w:hAnsi="宋体" w:cs="Arial"/>
                <w:color w:val="auto"/>
                <w:sz w:val="18"/>
                <w:szCs w:val="18"/>
              </w:rPr>
              <w:t>移动门式脚手架1.7m×0.95m/片，带踏板、拉杆、脚轮</w:t>
            </w:r>
          </w:p>
        </w:tc>
        <w:tc>
          <w:tcPr>
            <w:tcW w:w="900" w:type="dxa"/>
            <w:tcBorders>
              <w:top w:val="nil"/>
              <w:left w:val="nil"/>
              <w:bottom w:val="single" w:color="auto" w:sz="4" w:space="0"/>
              <w:right w:val="single" w:color="auto" w:sz="4" w:space="0"/>
            </w:tcBorders>
            <w:vAlign w:val="center"/>
          </w:tcPr>
          <w:p w14:paraId="3BC2CF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3B916F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3325F9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02C5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C6125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完工保洁</w:t>
            </w:r>
          </w:p>
        </w:tc>
        <w:tc>
          <w:tcPr>
            <w:tcW w:w="5717" w:type="dxa"/>
            <w:tcBorders>
              <w:top w:val="nil"/>
              <w:left w:val="nil"/>
              <w:bottom w:val="single" w:color="auto" w:sz="4" w:space="0"/>
              <w:right w:val="single" w:color="auto" w:sz="4" w:space="0"/>
            </w:tcBorders>
            <w:vAlign w:val="center"/>
          </w:tcPr>
          <w:p w14:paraId="05E7E489">
            <w:pPr>
              <w:widowControl/>
              <w:spacing w:line="400" w:lineRule="exact"/>
              <w:jc w:val="left"/>
              <w:rPr>
                <w:rFonts w:ascii="宋体" w:hAnsi="宋体" w:cs="Arial"/>
                <w:color w:val="auto"/>
                <w:sz w:val="18"/>
                <w:szCs w:val="18"/>
              </w:rPr>
            </w:pPr>
            <w:r>
              <w:rPr>
                <w:rFonts w:hint="eastAsia" w:ascii="宋体" w:hAnsi="宋体" w:cs="Arial"/>
                <w:color w:val="auto"/>
                <w:sz w:val="18"/>
                <w:szCs w:val="18"/>
              </w:rPr>
              <w:t>完工开荒保洁费用</w:t>
            </w:r>
          </w:p>
        </w:tc>
        <w:tc>
          <w:tcPr>
            <w:tcW w:w="900" w:type="dxa"/>
            <w:tcBorders>
              <w:top w:val="nil"/>
              <w:left w:val="nil"/>
              <w:bottom w:val="single" w:color="auto" w:sz="4" w:space="0"/>
              <w:right w:val="single" w:color="auto" w:sz="4" w:space="0"/>
            </w:tcBorders>
            <w:vAlign w:val="center"/>
          </w:tcPr>
          <w:p w14:paraId="2C3711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366.31 </w:t>
            </w:r>
          </w:p>
        </w:tc>
        <w:tc>
          <w:tcPr>
            <w:tcW w:w="849" w:type="dxa"/>
            <w:gridSpan w:val="2"/>
            <w:tcBorders>
              <w:top w:val="nil"/>
              <w:left w:val="nil"/>
              <w:bottom w:val="single" w:color="auto" w:sz="4" w:space="0"/>
              <w:right w:val="single" w:color="auto" w:sz="4" w:space="0"/>
            </w:tcBorders>
            <w:vAlign w:val="center"/>
          </w:tcPr>
          <w:p w14:paraId="579892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EC85DE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E8A94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757F22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垃圾清运</w:t>
            </w:r>
          </w:p>
        </w:tc>
        <w:tc>
          <w:tcPr>
            <w:tcW w:w="5717" w:type="dxa"/>
            <w:tcBorders>
              <w:top w:val="nil"/>
              <w:left w:val="nil"/>
              <w:bottom w:val="single" w:color="auto" w:sz="4" w:space="0"/>
              <w:right w:val="single" w:color="auto" w:sz="4" w:space="0"/>
            </w:tcBorders>
            <w:vAlign w:val="center"/>
          </w:tcPr>
          <w:p w14:paraId="2955DEFE">
            <w:pPr>
              <w:widowControl/>
              <w:spacing w:line="400" w:lineRule="exact"/>
              <w:jc w:val="left"/>
              <w:rPr>
                <w:rFonts w:ascii="宋体" w:hAnsi="宋体" w:cs="Arial"/>
                <w:color w:val="auto"/>
                <w:sz w:val="18"/>
                <w:szCs w:val="18"/>
              </w:rPr>
            </w:pPr>
            <w:r>
              <w:rPr>
                <w:rFonts w:hint="eastAsia" w:ascii="宋体" w:hAnsi="宋体" w:cs="Arial"/>
                <w:color w:val="auto"/>
                <w:sz w:val="18"/>
                <w:szCs w:val="18"/>
              </w:rPr>
              <w:t>现场拆除垃圾装车外运4-8 立方/车</w:t>
            </w:r>
          </w:p>
        </w:tc>
        <w:tc>
          <w:tcPr>
            <w:tcW w:w="900" w:type="dxa"/>
            <w:tcBorders>
              <w:top w:val="nil"/>
              <w:left w:val="nil"/>
              <w:bottom w:val="single" w:color="auto" w:sz="4" w:space="0"/>
              <w:right w:val="single" w:color="auto" w:sz="4" w:space="0"/>
            </w:tcBorders>
            <w:vAlign w:val="center"/>
          </w:tcPr>
          <w:p w14:paraId="5E5879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0333A1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车</w:t>
            </w:r>
          </w:p>
        </w:tc>
      </w:tr>
      <w:tr w14:paraId="33BDF84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7C67688">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指挥大厅改造（设备间升级改造安装部分）</w:t>
            </w:r>
          </w:p>
        </w:tc>
      </w:tr>
      <w:tr w14:paraId="259D19C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460189C">
            <w:pPr>
              <w:widowControl/>
              <w:spacing w:line="400" w:lineRule="exact"/>
              <w:jc w:val="left"/>
              <w:rPr>
                <w:rFonts w:ascii="宋体" w:hAnsi="宋体" w:cs="Arial"/>
                <w:color w:val="auto"/>
                <w:sz w:val="18"/>
                <w:szCs w:val="18"/>
              </w:rPr>
            </w:pPr>
            <w:r>
              <w:rPr>
                <w:rFonts w:hint="eastAsia" w:ascii="宋体" w:hAnsi="宋体" w:cs="Arial"/>
                <w:color w:val="auto"/>
                <w:sz w:val="18"/>
                <w:szCs w:val="18"/>
              </w:rPr>
              <w:t>装修配电及消防应急改造</w:t>
            </w:r>
          </w:p>
        </w:tc>
      </w:tr>
      <w:tr w14:paraId="646624C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6F299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3FA4B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无边钢质防静电活动地板</w:t>
            </w:r>
          </w:p>
        </w:tc>
        <w:tc>
          <w:tcPr>
            <w:tcW w:w="5717" w:type="dxa"/>
            <w:tcBorders>
              <w:top w:val="nil"/>
              <w:left w:val="nil"/>
              <w:bottom w:val="single" w:color="auto" w:sz="4" w:space="0"/>
              <w:right w:val="single" w:color="auto" w:sz="4" w:space="0"/>
            </w:tcBorders>
            <w:vAlign w:val="center"/>
          </w:tcPr>
          <w:p w14:paraId="6427E44C">
            <w:pPr>
              <w:widowControl/>
              <w:spacing w:line="400" w:lineRule="exact"/>
              <w:jc w:val="left"/>
              <w:rPr>
                <w:rFonts w:ascii="宋体" w:hAnsi="宋体" w:cs="Arial"/>
                <w:color w:val="auto"/>
                <w:sz w:val="18"/>
                <w:szCs w:val="18"/>
              </w:rPr>
            </w:pPr>
            <w:r>
              <w:rPr>
                <w:rFonts w:hint="eastAsia" w:ascii="宋体" w:hAnsi="宋体" w:cs="Arial"/>
                <w:color w:val="auto"/>
                <w:sz w:val="18"/>
                <w:szCs w:val="18"/>
              </w:rPr>
              <w:t>全钢无边防静电地板；地板支架 300mm 高； 600×600×35mm，款式甲方确定</w:t>
            </w:r>
          </w:p>
        </w:tc>
        <w:tc>
          <w:tcPr>
            <w:tcW w:w="900" w:type="dxa"/>
            <w:tcBorders>
              <w:top w:val="nil"/>
              <w:left w:val="nil"/>
              <w:bottom w:val="single" w:color="auto" w:sz="4" w:space="0"/>
              <w:right w:val="single" w:color="auto" w:sz="4" w:space="0"/>
            </w:tcBorders>
            <w:vAlign w:val="center"/>
          </w:tcPr>
          <w:p w14:paraId="696E2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41BF56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m2</w:t>
            </w:r>
          </w:p>
        </w:tc>
      </w:tr>
      <w:tr w14:paraId="0DDC316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9D83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EBFB3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空调防漏水不锈钢盆</w:t>
            </w:r>
          </w:p>
        </w:tc>
        <w:tc>
          <w:tcPr>
            <w:tcW w:w="5717" w:type="dxa"/>
            <w:tcBorders>
              <w:top w:val="nil"/>
              <w:left w:val="nil"/>
              <w:bottom w:val="single" w:color="auto" w:sz="4" w:space="0"/>
              <w:right w:val="single" w:color="auto" w:sz="4" w:space="0"/>
            </w:tcBorders>
            <w:vAlign w:val="center"/>
          </w:tcPr>
          <w:p w14:paraId="7B493875">
            <w:pPr>
              <w:widowControl/>
              <w:spacing w:line="400" w:lineRule="exact"/>
              <w:jc w:val="left"/>
              <w:rPr>
                <w:rFonts w:ascii="宋体" w:hAnsi="宋体" w:cs="Arial"/>
                <w:color w:val="auto"/>
                <w:sz w:val="18"/>
                <w:szCs w:val="18"/>
              </w:rPr>
            </w:pPr>
            <w:r>
              <w:rPr>
                <w:rFonts w:hint="eastAsia" w:ascii="宋体" w:hAnsi="宋体" w:cs="Arial"/>
                <w:color w:val="auto"/>
                <w:sz w:val="18"/>
                <w:szCs w:val="18"/>
              </w:rPr>
              <w:t>混泥土现场制作，防漏水</w:t>
            </w:r>
          </w:p>
        </w:tc>
        <w:tc>
          <w:tcPr>
            <w:tcW w:w="900" w:type="dxa"/>
            <w:tcBorders>
              <w:top w:val="nil"/>
              <w:left w:val="nil"/>
              <w:bottom w:val="single" w:color="auto" w:sz="4" w:space="0"/>
              <w:right w:val="single" w:color="auto" w:sz="4" w:space="0"/>
            </w:tcBorders>
            <w:vAlign w:val="center"/>
          </w:tcPr>
          <w:p w14:paraId="4307D7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EDFE18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3952C4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6097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BAF93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发纹不锈钢踢脚线</w:t>
            </w:r>
          </w:p>
        </w:tc>
        <w:tc>
          <w:tcPr>
            <w:tcW w:w="5717" w:type="dxa"/>
            <w:tcBorders>
              <w:top w:val="nil"/>
              <w:left w:val="nil"/>
              <w:bottom w:val="single" w:color="auto" w:sz="4" w:space="0"/>
              <w:right w:val="single" w:color="auto" w:sz="4" w:space="0"/>
            </w:tcBorders>
            <w:vAlign w:val="center"/>
          </w:tcPr>
          <w:p w14:paraId="59CA578A">
            <w:pPr>
              <w:widowControl/>
              <w:spacing w:line="400" w:lineRule="exact"/>
              <w:jc w:val="left"/>
              <w:rPr>
                <w:rFonts w:ascii="宋体" w:hAnsi="宋体" w:cs="Arial"/>
                <w:color w:val="auto"/>
                <w:sz w:val="18"/>
                <w:szCs w:val="18"/>
              </w:rPr>
            </w:pPr>
            <w:r>
              <w:rPr>
                <w:rFonts w:hint="eastAsia" w:ascii="宋体" w:hAnsi="宋体" w:cs="Arial"/>
                <w:color w:val="auto"/>
                <w:sz w:val="18"/>
                <w:szCs w:val="18"/>
              </w:rPr>
              <w:t>不锈钢踢脚线；1.0mm 厚/100mm 高， (含密度板基层)，款式甲方确定</w:t>
            </w:r>
          </w:p>
        </w:tc>
        <w:tc>
          <w:tcPr>
            <w:tcW w:w="900" w:type="dxa"/>
            <w:tcBorders>
              <w:top w:val="nil"/>
              <w:left w:val="nil"/>
              <w:bottom w:val="single" w:color="auto" w:sz="4" w:space="0"/>
              <w:right w:val="single" w:color="auto" w:sz="4" w:space="0"/>
            </w:tcBorders>
            <w:vAlign w:val="center"/>
          </w:tcPr>
          <w:p w14:paraId="428D39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3EEA74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3D4D7C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CF5F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A9EF3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设备承重散力架</w:t>
            </w:r>
          </w:p>
        </w:tc>
        <w:tc>
          <w:tcPr>
            <w:tcW w:w="5717" w:type="dxa"/>
            <w:tcBorders>
              <w:top w:val="nil"/>
              <w:left w:val="nil"/>
              <w:bottom w:val="single" w:color="auto" w:sz="4" w:space="0"/>
              <w:right w:val="single" w:color="auto" w:sz="4" w:space="0"/>
            </w:tcBorders>
            <w:vAlign w:val="center"/>
          </w:tcPr>
          <w:p w14:paraId="4EFB622D">
            <w:pPr>
              <w:widowControl/>
              <w:spacing w:line="400" w:lineRule="exact"/>
              <w:jc w:val="left"/>
              <w:rPr>
                <w:rFonts w:ascii="宋体" w:hAnsi="宋体" w:cs="Arial"/>
                <w:color w:val="auto"/>
                <w:sz w:val="18"/>
                <w:szCs w:val="18"/>
              </w:rPr>
            </w:pPr>
            <w:r>
              <w:rPr>
                <w:rFonts w:hint="eastAsia" w:ascii="宋体" w:hAnsi="宋体" w:cs="Arial"/>
                <w:color w:val="auto"/>
                <w:sz w:val="18"/>
                <w:szCs w:val="18"/>
              </w:rPr>
              <w:t>5#角钢现场焊接</w:t>
            </w:r>
          </w:p>
        </w:tc>
        <w:tc>
          <w:tcPr>
            <w:tcW w:w="900" w:type="dxa"/>
            <w:tcBorders>
              <w:top w:val="nil"/>
              <w:left w:val="nil"/>
              <w:bottom w:val="single" w:color="auto" w:sz="4" w:space="0"/>
              <w:right w:val="single" w:color="auto" w:sz="4" w:space="0"/>
            </w:tcBorders>
            <w:vAlign w:val="center"/>
          </w:tcPr>
          <w:p w14:paraId="1CF231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125C8E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366F4D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6644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95756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入口台阶</w:t>
            </w:r>
          </w:p>
        </w:tc>
        <w:tc>
          <w:tcPr>
            <w:tcW w:w="5717" w:type="dxa"/>
            <w:tcBorders>
              <w:top w:val="nil"/>
              <w:left w:val="nil"/>
              <w:bottom w:val="single" w:color="auto" w:sz="4" w:space="0"/>
              <w:right w:val="single" w:color="auto" w:sz="4" w:space="0"/>
            </w:tcBorders>
            <w:vAlign w:val="center"/>
          </w:tcPr>
          <w:p w14:paraId="36AACB79">
            <w:pPr>
              <w:widowControl/>
              <w:spacing w:line="400" w:lineRule="exact"/>
              <w:jc w:val="left"/>
              <w:rPr>
                <w:rFonts w:ascii="宋体" w:hAnsi="宋体" w:cs="Arial"/>
                <w:color w:val="auto"/>
                <w:sz w:val="18"/>
                <w:szCs w:val="18"/>
              </w:rPr>
            </w:pPr>
            <w:r>
              <w:rPr>
                <w:rFonts w:hint="eastAsia" w:ascii="宋体" w:hAnsi="宋体" w:cs="Arial"/>
                <w:color w:val="auto"/>
                <w:sz w:val="18"/>
                <w:szCs w:val="18"/>
              </w:rPr>
              <w:t>台阶制安； ∠40 角钢+抗静电地板饰面</w:t>
            </w:r>
          </w:p>
        </w:tc>
        <w:tc>
          <w:tcPr>
            <w:tcW w:w="900" w:type="dxa"/>
            <w:tcBorders>
              <w:top w:val="nil"/>
              <w:left w:val="nil"/>
              <w:bottom w:val="single" w:color="auto" w:sz="4" w:space="0"/>
              <w:right w:val="single" w:color="auto" w:sz="4" w:space="0"/>
            </w:tcBorders>
            <w:vAlign w:val="center"/>
          </w:tcPr>
          <w:p w14:paraId="514CAD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59EAD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825E55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CB8C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0EE89D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地面工程辅材</w:t>
            </w:r>
          </w:p>
        </w:tc>
        <w:tc>
          <w:tcPr>
            <w:tcW w:w="5717" w:type="dxa"/>
            <w:tcBorders>
              <w:top w:val="nil"/>
              <w:left w:val="nil"/>
              <w:bottom w:val="single" w:color="auto" w:sz="4" w:space="0"/>
              <w:right w:val="single" w:color="auto" w:sz="4" w:space="0"/>
            </w:tcBorders>
            <w:vAlign w:val="center"/>
          </w:tcPr>
          <w:p w14:paraId="0CED65CD">
            <w:pPr>
              <w:widowControl/>
              <w:spacing w:line="400" w:lineRule="exact"/>
              <w:jc w:val="left"/>
              <w:rPr>
                <w:rFonts w:ascii="宋体" w:hAnsi="宋体" w:cs="Arial"/>
                <w:color w:val="auto"/>
                <w:sz w:val="18"/>
                <w:szCs w:val="18"/>
              </w:rPr>
            </w:pPr>
            <w:r>
              <w:rPr>
                <w:rFonts w:hint="eastAsia" w:ascii="宋体" w:hAnsi="宋体" w:cs="Arial"/>
                <w:color w:val="auto"/>
                <w:sz w:val="18"/>
                <w:szCs w:val="18"/>
              </w:rPr>
              <w:t>安装相关配套辅材</w:t>
            </w:r>
          </w:p>
        </w:tc>
        <w:tc>
          <w:tcPr>
            <w:tcW w:w="900" w:type="dxa"/>
            <w:tcBorders>
              <w:top w:val="nil"/>
              <w:left w:val="nil"/>
              <w:bottom w:val="single" w:color="auto" w:sz="4" w:space="0"/>
              <w:right w:val="single" w:color="auto" w:sz="4" w:space="0"/>
            </w:tcBorders>
            <w:vAlign w:val="center"/>
          </w:tcPr>
          <w:p w14:paraId="0A672A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2CB31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F06E3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DB18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03D9E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安全出口指示灯</w:t>
            </w:r>
          </w:p>
        </w:tc>
        <w:tc>
          <w:tcPr>
            <w:tcW w:w="5717" w:type="dxa"/>
            <w:tcBorders>
              <w:top w:val="nil"/>
              <w:left w:val="nil"/>
              <w:bottom w:val="single" w:color="auto" w:sz="4" w:space="0"/>
              <w:right w:val="single" w:color="auto" w:sz="4" w:space="0"/>
            </w:tcBorders>
            <w:vAlign w:val="center"/>
          </w:tcPr>
          <w:p w14:paraId="26F27869">
            <w:pPr>
              <w:widowControl/>
              <w:spacing w:line="400" w:lineRule="exact"/>
              <w:jc w:val="left"/>
              <w:rPr>
                <w:rFonts w:ascii="宋体" w:hAnsi="宋体" w:cs="Arial"/>
                <w:color w:val="auto"/>
                <w:sz w:val="18"/>
                <w:szCs w:val="18"/>
              </w:rPr>
            </w:pPr>
            <w:r>
              <w:rPr>
                <w:rFonts w:hint="eastAsia" w:ascii="宋体" w:hAnsi="宋体" w:cs="Arial"/>
                <w:color w:val="auto"/>
                <w:sz w:val="18"/>
                <w:szCs w:val="18"/>
              </w:rPr>
              <w:t>3WLED 光源.铝合金+阻燃塑料材质，断电放电时间≥90min</w:t>
            </w:r>
          </w:p>
        </w:tc>
        <w:tc>
          <w:tcPr>
            <w:tcW w:w="900" w:type="dxa"/>
            <w:tcBorders>
              <w:top w:val="nil"/>
              <w:left w:val="nil"/>
              <w:bottom w:val="single" w:color="auto" w:sz="4" w:space="0"/>
              <w:right w:val="single" w:color="auto" w:sz="4" w:space="0"/>
            </w:tcBorders>
            <w:vAlign w:val="center"/>
          </w:tcPr>
          <w:p w14:paraId="3F022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0AB19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F3E381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511F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1315D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应急照明筒灯</w:t>
            </w:r>
          </w:p>
        </w:tc>
        <w:tc>
          <w:tcPr>
            <w:tcW w:w="5717" w:type="dxa"/>
            <w:tcBorders>
              <w:top w:val="nil"/>
              <w:left w:val="nil"/>
              <w:bottom w:val="single" w:color="auto" w:sz="4" w:space="0"/>
              <w:right w:val="single" w:color="auto" w:sz="4" w:space="0"/>
            </w:tcBorders>
            <w:vAlign w:val="center"/>
          </w:tcPr>
          <w:p w14:paraId="5DE054A0">
            <w:pPr>
              <w:widowControl/>
              <w:spacing w:line="400" w:lineRule="exact"/>
              <w:jc w:val="left"/>
              <w:rPr>
                <w:rFonts w:ascii="宋体" w:hAnsi="宋体" w:cs="Arial"/>
                <w:color w:val="auto"/>
                <w:sz w:val="18"/>
                <w:szCs w:val="18"/>
              </w:rPr>
            </w:pPr>
            <w:r>
              <w:rPr>
                <w:rFonts w:hint="eastAsia" w:ascii="宋体" w:hAnsi="宋体" w:cs="Arial"/>
                <w:color w:val="auto"/>
                <w:sz w:val="18"/>
                <w:szCs w:val="18"/>
              </w:rPr>
              <w:t>吸顶式，3″</w:t>
            </w:r>
          </w:p>
        </w:tc>
        <w:tc>
          <w:tcPr>
            <w:tcW w:w="900" w:type="dxa"/>
            <w:tcBorders>
              <w:top w:val="nil"/>
              <w:left w:val="nil"/>
              <w:bottom w:val="single" w:color="auto" w:sz="4" w:space="0"/>
              <w:right w:val="single" w:color="auto" w:sz="4" w:space="0"/>
            </w:tcBorders>
            <w:vAlign w:val="center"/>
          </w:tcPr>
          <w:p w14:paraId="021B78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2DBA4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AA5E2C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FBB2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302D1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KBG 管</w:t>
            </w:r>
          </w:p>
        </w:tc>
        <w:tc>
          <w:tcPr>
            <w:tcW w:w="5717" w:type="dxa"/>
            <w:tcBorders>
              <w:top w:val="nil"/>
              <w:left w:val="nil"/>
              <w:bottom w:val="single" w:color="auto" w:sz="4" w:space="0"/>
              <w:right w:val="single" w:color="auto" w:sz="4" w:space="0"/>
            </w:tcBorders>
            <w:vAlign w:val="center"/>
          </w:tcPr>
          <w:p w14:paraId="6E1A7B4B">
            <w:pPr>
              <w:widowControl/>
              <w:spacing w:line="400" w:lineRule="exact"/>
              <w:jc w:val="left"/>
              <w:rPr>
                <w:rFonts w:ascii="宋体" w:hAnsi="宋体" w:cs="Arial"/>
                <w:color w:val="auto"/>
                <w:sz w:val="18"/>
                <w:szCs w:val="18"/>
              </w:rPr>
            </w:pPr>
            <w:r>
              <w:rPr>
                <w:rFonts w:hint="eastAsia" w:ascii="宋体" w:hAnsi="宋体" w:cs="Arial"/>
                <w:color w:val="auto"/>
                <w:sz w:val="18"/>
                <w:szCs w:val="18"/>
              </w:rPr>
              <w:t>JDGΦ20 壁厚不低于 1.5mm</w:t>
            </w:r>
          </w:p>
        </w:tc>
        <w:tc>
          <w:tcPr>
            <w:tcW w:w="900" w:type="dxa"/>
            <w:tcBorders>
              <w:top w:val="nil"/>
              <w:left w:val="nil"/>
              <w:bottom w:val="single" w:color="auto" w:sz="4" w:space="0"/>
              <w:right w:val="single" w:color="auto" w:sz="4" w:space="0"/>
            </w:tcBorders>
            <w:vAlign w:val="center"/>
          </w:tcPr>
          <w:p w14:paraId="08F8E6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4FADD3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91B5DD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FA0B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1B98A0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空调室内机输入线缆</w:t>
            </w:r>
          </w:p>
        </w:tc>
        <w:tc>
          <w:tcPr>
            <w:tcW w:w="5717" w:type="dxa"/>
            <w:tcBorders>
              <w:top w:val="nil"/>
              <w:left w:val="nil"/>
              <w:bottom w:val="single" w:color="auto" w:sz="4" w:space="0"/>
              <w:right w:val="single" w:color="auto" w:sz="4" w:space="0"/>
            </w:tcBorders>
            <w:vAlign w:val="center"/>
          </w:tcPr>
          <w:p w14:paraId="49493E53">
            <w:pPr>
              <w:widowControl/>
              <w:spacing w:line="400" w:lineRule="exact"/>
              <w:jc w:val="left"/>
              <w:rPr>
                <w:rFonts w:ascii="宋体" w:hAnsi="宋体" w:cs="Arial"/>
                <w:color w:val="auto"/>
                <w:sz w:val="18"/>
                <w:szCs w:val="18"/>
              </w:rPr>
            </w:pPr>
            <w:r>
              <w:rPr>
                <w:rFonts w:hint="eastAsia" w:ascii="宋体" w:hAnsi="宋体" w:cs="Arial"/>
                <w:color w:val="auto"/>
                <w:sz w:val="18"/>
                <w:szCs w:val="18"/>
              </w:rPr>
              <w:t>列间空调室内机输入线缆：YJV5*6mm²</w:t>
            </w:r>
          </w:p>
        </w:tc>
        <w:tc>
          <w:tcPr>
            <w:tcW w:w="900" w:type="dxa"/>
            <w:tcBorders>
              <w:top w:val="nil"/>
              <w:left w:val="nil"/>
              <w:bottom w:val="single" w:color="auto" w:sz="4" w:space="0"/>
              <w:right w:val="single" w:color="auto" w:sz="4" w:space="0"/>
            </w:tcBorders>
            <w:vAlign w:val="center"/>
          </w:tcPr>
          <w:p w14:paraId="19E8C6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1201C6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1FE800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EC10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0456A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安全出口指示灯</w:t>
            </w:r>
          </w:p>
        </w:tc>
        <w:tc>
          <w:tcPr>
            <w:tcW w:w="5717" w:type="dxa"/>
            <w:tcBorders>
              <w:top w:val="nil"/>
              <w:left w:val="nil"/>
              <w:bottom w:val="single" w:color="auto" w:sz="4" w:space="0"/>
              <w:right w:val="single" w:color="auto" w:sz="4" w:space="0"/>
            </w:tcBorders>
            <w:vAlign w:val="center"/>
          </w:tcPr>
          <w:p w14:paraId="12264899">
            <w:pPr>
              <w:widowControl/>
              <w:spacing w:line="400" w:lineRule="exact"/>
              <w:jc w:val="left"/>
              <w:rPr>
                <w:rFonts w:ascii="宋体" w:hAnsi="宋体" w:cs="Arial"/>
                <w:color w:val="auto"/>
                <w:sz w:val="18"/>
                <w:szCs w:val="18"/>
              </w:rPr>
            </w:pPr>
            <w:r>
              <w:rPr>
                <w:rFonts w:hint="eastAsia" w:ascii="宋体" w:hAnsi="宋体" w:cs="Arial"/>
                <w:color w:val="auto"/>
                <w:sz w:val="18"/>
                <w:szCs w:val="18"/>
              </w:rPr>
              <w:t>3WLED 光源.铝合金+阻燃塑料材质，断电放电时间≥90min</w:t>
            </w:r>
          </w:p>
        </w:tc>
        <w:tc>
          <w:tcPr>
            <w:tcW w:w="900" w:type="dxa"/>
            <w:tcBorders>
              <w:top w:val="nil"/>
              <w:left w:val="nil"/>
              <w:bottom w:val="single" w:color="auto" w:sz="4" w:space="0"/>
              <w:right w:val="single" w:color="auto" w:sz="4" w:space="0"/>
            </w:tcBorders>
            <w:vAlign w:val="center"/>
          </w:tcPr>
          <w:p w14:paraId="61BBE3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013C8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0934CB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8378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2DB183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应急照明筒灯</w:t>
            </w:r>
          </w:p>
        </w:tc>
        <w:tc>
          <w:tcPr>
            <w:tcW w:w="5717" w:type="dxa"/>
            <w:tcBorders>
              <w:top w:val="nil"/>
              <w:left w:val="nil"/>
              <w:bottom w:val="single" w:color="auto" w:sz="4" w:space="0"/>
              <w:right w:val="single" w:color="auto" w:sz="4" w:space="0"/>
            </w:tcBorders>
            <w:vAlign w:val="center"/>
          </w:tcPr>
          <w:p w14:paraId="0E1C3E5B">
            <w:pPr>
              <w:widowControl/>
              <w:spacing w:line="400" w:lineRule="exact"/>
              <w:jc w:val="left"/>
              <w:rPr>
                <w:rFonts w:ascii="宋体" w:hAnsi="宋体" w:cs="Arial"/>
                <w:color w:val="auto"/>
                <w:sz w:val="18"/>
                <w:szCs w:val="18"/>
              </w:rPr>
            </w:pPr>
            <w:r>
              <w:rPr>
                <w:rFonts w:hint="eastAsia" w:ascii="宋体" w:hAnsi="宋体" w:cs="Arial"/>
                <w:color w:val="auto"/>
                <w:sz w:val="18"/>
                <w:szCs w:val="18"/>
              </w:rPr>
              <w:t>吸顶式，3″</w:t>
            </w:r>
          </w:p>
        </w:tc>
        <w:tc>
          <w:tcPr>
            <w:tcW w:w="900" w:type="dxa"/>
            <w:tcBorders>
              <w:top w:val="nil"/>
              <w:left w:val="nil"/>
              <w:bottom w:val="single" w:color="auto" w:sz="4" w:space="0"/>
              <w:right w:val="single" w:color="auto" w:sz="4" w:space="0"/>
            </w:tcBorders>
            <w:vAlign w:val="center"/>
          </w:tcPr>
          <w:p w14:paraId="6C90DB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C49A6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40FD13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F2FF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5E50A2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KBG 管</w:t>
            </w:r>
          </w:p>
        </w:tc>
        <w:tc>
          <w:tcPr>
            <w:tcW w:w="5717" w:type="dxa"/>
            <w:tcBorders>
              <w:top w:val="nil"/>
              <w:left w:val="nil"/>
              <w:bottom w:val="single" w:color="auto" w:sz="4" w:space="0"/>
              <w:right w:val="single" w:color="auto" w:sz="4" w:space="0"/>
            </w:tcBorders>
            <w:vAlign w:val="center"/>
          </w:tcPr>
          <w:p w14:paraId="56723792">
            <w:pPr>
              <w:widowControl/>
              <w:spacing w:line="400" w:lineRule="exact"/>
              <w:jc w:val="left"/>
              <w:rPr>
                <w:rFonts w:ascii="宋体" w:hAnsi="宋体" w:cs="Arial"/>
                <w:color w:val="auto"/>
                <w:sz w:val="18"/>
                <w:szCs w:val="18"/>
              </w:rPr>
            </w:pPr>
            <w:r>
              <w:rPr>
                <w:rFonts w:hint="eastAsia" w:ascii="宋体" w:hAnsi="宋体" w:cs="Arial"/>
                <w:color w:val="auto"/>
                <w:sz w:val="18"/>
                <w:szCs w:val="18"/>
              </w:rPr>
              <w:t>JDGΦ20 壁厚不低于 1.5mm</w:t>
            </w:r>
          </w:p>
        </w:tc>
        <w:tc>
          <w:tcPr>
            <w:tcW w:w="900" w:type="dxa"/>
            <w:tcBorders>
              <w:top w:val="nil"/>
              <w:left w:val="nil"/>
              <w:bottom w:val="single" w:color="auto" w:sz="4" w:space="0"/>
              <w:right w:val="single" w:color="auto" w:sz="4" w:space="0"/>
            </w:tcBorders>
            <w:vAlign w:val="center"/>
          </w:tcPr>
          <w:p w14:paraId="76CAB3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59516E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1C3982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DA1A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032AF9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空调室内机输入线缆</w:t>
            </w:r>
          </w:p>
        </w:tc>
        <w:tc>
          <w:tcPr>
            <w:tcW w:w="5717" w:type="dxa"/>
            <w:tcBorders>
              <w:top w:val="nil"/>
              <w:left w:val="nil"/>
              <w:bottom w:val="single" w:color="auto" w:sz="4" w:space="0"/>
              <w:right w:val="single" w:color="auto" w:sz="4" w:space="0"/>
            </w:tcBorders>
            <w:vAlign w:val="center"/>
          </w:tcPr>
          <w:p w14:paraId="22A34299">
            <w:pPr>
              <w:widowControl/>
              <w:spacing w:line="400" w:lineRule="exact"/>
              <w:jc w:val="left"/>
              <w:rPr>
                <w:rFonts w:ascii="宋体" w:hAnsi="宋体" w:cs="Arial"/>
                <w:color w:val="auto"/>
                <w:sz w:val="18"/>
                <w:szCs w:val="18"/>
              </w:rPr>
            </w:pPr>
            <w:r>
              <w:rPr>
                <w:rFonts w:hint="eastAsia" w:ascii="宋体" w:hAnsi="宋体" w:cs="Arial"/>
                <w:color w:val="auto"/>
                <w:sz w:val="18"/>
                <w:szCs w:val="18"/>
              </w:rPr>
              <w:t>列间空调室内机输入线缆：YJV5*6mm²</w:t>
            </w:r>
          </w:p>
        </w:tc>
        <w:tc>
          <w:tcPr>
            <w:tcW w:w="900" w:type="dxa"/>
            <w:tcBorders>
              <w:top w:val="nil"/>
              <w:left w:val="nil"/>
              <w:bottom w:val="single" w:color="auto" w:sz="4" w:space="0"/>
              <w:right w:val="single" w:color="auto" w:sz="4" w:space="0"/>
            </w:tcBorders>
            <w:vAlign w:val="center"/>
          </w:tcPr>
          <w:p w14:paraId="6C3EA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3B9297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A2010E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AFE9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428D7B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空调室外机输入线缆</w:t>
            </w:r>
          </w:p>
        </w:tc>
        <w:tc>
          <w:tcPr>
            <w:tcW w:w="5717" w:type="dxa"/>
            <w:tcBorders>
              <w:top w:val="nil"/>
              <w:left w:val="nil"/>
              <w:bottom w:val="single" w:color="auto" w:sz="4" w:space="0"/>
              <w:right w:val="single" w:color="auto" w:sz="4" w:space="0"/>
            </w:tcBorders>
            <w:vAlign w:val="center"/>
          </w:tcPr>
          <w:p w14:paraId="48D57E5D">
            <w:pPr>
              <w:widowControl/>
              <w:spacing w:line="400" w:lineRule="exact"/>
              <w:jc w:val="left"/>
              <w:rPr>
                <w:rFonts w:ascii="宋体" w:hAnsi="宋体" w:cs="Arial"/>
                <w:color w:val="auto"/>
                <w:sz w:val="18"/>
                <w:szCs w:val="18"/>
              </w:rPr>
            </w:pPr>
            <w:r>
              <w:rPr>
                <w:rFonts w:hint="eastAsia" w:ascii="宋体" w:hAnsi="宋体" w:cs="Arial"/>
                <w:color w:val="auto"/>
                <w:sz w:val="18"/>
                <w:szCs w:val="18"/>
              </w:rPr>
              <w:t>列间空调室外机输入线缆：YJV5*2.5mm²</w:t>
            </w:r>
          </w:p>
        </w:tc>
        <w:tc>
          <w:tcPr>
            <w:tcW w:w="900" w:type="dxa"/>
            <w:tcBorders>
              <w:top w:val="nil"/>
              <w:left w:val="nil"/>
              <w:bottom w:val="single" w:color="auto" w:sz="4" w:space="0"/>
              <w:right w:val="single" w:color="auto" w:sz="4" w:space="0"/>
            </w:tcBorders>
            <w:vAlign w:val="center"/>
          </w:tcPr>
          <w:p w14:paraId="415D8E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3D3660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3920D2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35F7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105500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消防排烟机配电线缆</w:t>
            </w:r>
          </w:p>
        </w:tc>
        <w:tc>
          <w:tcPr>
            <w:tcW w:w="5717" w:type="dxa"/>
            <w:tcBorders>
              <w:top w:val="nil"/>
              <w:left w:val="nil"/>
              <w:bottom w:val="single" w:color="auto" w:sz="4" w:space="0"/>
              <w:right w:val="single" w:color="auto" w:sz="4" w:space="0"/>
            </w:tcBorders>
            <w:vAlign w:val="center"/>
          </w:tcPr>
          <w:p w14:paraId="2802067F">
            <w:pPr>
              <w:widowControl/>
              <w:spacing w:line="400" w:lineRule="exact"/>
              <w:jc w:val="left"/>
              <w:rPr>
                <w:rFonts w:ascii="宋体" w:hAnsi="宋体" w:cs="Arial"/>
                <w:color w:val="auto"/>
                <w:sz w:val="18"/>
                <w:szCs w:val="18"/>
              </w:rPr>
            </w:pPr>
            <w:r>
              <w:rPr>
                <w:rFonts w:hint="eastAsia" w:ascii="宋体" w:hAnsi="宋体" w:cs="Arial"/>
                <w:color w:val="auto"/>
                <w:sz w:val="18"/>
                <w:szCs w:val="18"/>
              </w:rPr>
              <w:t>消防排烟机配电线缆：RVV5*4mm²</w:t>
            </w:r>
          </w:p>
        </w:tc>
        <w:tc>
          <w:tcPr>
            <w:tcW w:w="900" w:type="dxa"/>
            <w:tcBorders>
              <w:top w:val="nil"/>
              <w:left w:val="nil"/>
              <w:bottom w:val="single" w:color="auto" w:sz="4" w:space="0"/>
              <w:right w:val="single" w:color="auto" w:sz="4" w:space="0"/>
            </w:tcBorders>
            <w:vAlign w:val="center"/>
          </w:tcPr>
          <w:p w14:paraId="70C00C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15.00 </w:t>
            </w:r>
          </w:p>
        </w:tc>
        <w:tc>
          <w:tcPr>
            <w:tcW w:w="849" w:type="dxa"/>
            <w:gridSpan w:val="2"/>
            <w:tcBorders>
              <w:top w:val="nil"/>
              <w:left w:val="nil"/>
              <w:bottom w:val="single" w:color="auto" w:sz="4" w:space="0"/>
              <w:right w:val="single" w:color="auto" w:sz="4" w:space="0"/>
            </w:tcBorders>
            <w:vAlign w:val="center"/>
          </w:tcPr>
          <w:p w14:paraId="12B061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AFA1B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0FA2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23CF7E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消防应急照明配电线缆</w:t>
            </w:r>
          </w:p>
        </w:tc>
        <w:tc>
          <w:tcPr>
            <w:tcW w:w="5717" w:type="dxa"/>
            <w:tcBorders>
              <w:top w:val="nil"/>
              <w:left w:val="nil"/>
              <w:bottom w:val="single" w:color="auto" w:sz="4" w:space="0"/>
              <w:right w:val="single" w:color="auto" w:sz="4" w:space="0"/>
            </w:tcBorders>
            <w:vAlign w:val="center"/>
          </w:tcPr>
          <w:p w14:paraId="6A24E4DC">
            <w:pPr>
              <w:widowControl/>
              <w:spacing w:line="400" w:lineRule="exact"/>
              <w:jc w:val="left"/>
              <w:rPr>
                <w:rFonts w:ascii="宋体" w:hAnsi="宋体" w:cs="Arial"/>
                <w:color w:val="auto"/>
                <w:sz w:val="18"/>
                <w:szCs w:val="18"/>
              </w:rPr>
            </w:pPr>
            <w:r>
              <w:rPr>
                <w:rFonts w:hint="eastAsia" w:ascii="宋体" w:hAnsi="宋体" w:cs="Arial"/>
                <w:color w:val="auto"/>
                <w:sz w:val="18"/>
                <w:szCs w:val="18"/>
              </w:rPr>
              <w:t>消防应急照明配电线缆：RVV3*2.5mm²</w:t>
            </w:r>
          </w:p>
        </w:tc>
        <w:tc>
          <w:tcPr>
            <w:tcW w:w="900" w:type="dxa"/>
            <w:tcBorders>
              <w:top w:val="nil"/>
              <w:left w:val="nil"/>
              <w:bottom w:val="single" w:color="auto" w:sz="4" w:space="0"/>
              <w:right w:val="single" w:color="auto" w:sz="4" w:space="0"/>
            </w:tcBorders>
            <w:vAlign w:val="center"/>
          </w:tcPr>
          <w:p w14:paraId="246CC8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7C4480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2540DCB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0D4D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515D46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电井配电箱到设备间配电柜线缆</w:t>
            </w:r>
          </w:p>
        </w:tc>
        <w:tc>
          <w:tcPr>
            <w:tcW w:w="5717" w:type="dxa"/>
            <w:tcBorders>
              <w:top w:val="nil"/>
              <w:left w:val="nil"/>
              <w:bottom w:val="single" w:color="auto" w:sz="4" w:space="0"/>
              <w:right w:val="single" w:color="auto" w:sz="4" w:space="0"/>
            </w:tcBorders>
            <w:vAlign w:val="center"/>
          </w:tcPr>
          <w:p w14:paraId="02739B72">
            <w:pPr>
              <w:widowControl/>
              <w:spacing w:line="400" w:lineRule="exact"/>
              <w:jc w:val="left"/>
              <w:rPr>
                <w:rFonts w:ascii="宋体" w:hAnsi="宋体" w:cs="Arial"/>
                <w:color w:val="auto"/>
                <w:sz w:val="18"/>
                <w:szCs w:val="18"/>
              </w:rPr>
            </w:pPr>
            <w:r>
              <w:rPr>
                <w:rFonts w:hint="eastAsia" w:ascii="宋体" w:hAnsi="宋体" w:cs="Arial"/>
                <w:color w:val="auto"/>
                <w:sz w:val="18"/>
                <w:szCs w:val="18"/>
              </w:rPr>
              <w:t>YJV4*25+1*16mm²</w:t>
            </w:r>
          </w:p>
        </w:tc>
        <w:tc>
          <w:tcPr>
            <w:tcW w:w="900" w:type="dxa"/>
            <w:tcBorders>
              <w:top w:val="nil"/>
              <w:left w:val="nil"/>
              <w:bottom w:val="single" w:color="auto" w:sz="4" w:space="0"/>
              <w:right w:val="single" w:color="auto" w:sz="4" w:space="0"/>
            </w:tcBorders>
            <w:vAlign w:val="center"/>
          </w:tcPr>
          <w:p w14:paraId="281F29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4E7979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D63CF8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6159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65C607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机柜输入线缆</w:t>
            </w:r>
          </w:p>
        </w:tc>
        <w:tc>
          <w:tcPr>
            <w:tcW w:w="5717" w:type="dxa"/>
            <w:tcBorders>
              <w:top w:val="nil"/>
              <w:left w:val="nil"/>
              <w:bottom w:val="single" w:color="auto" w:sz="4" w:space="0"/>
              <w:right w:val="single" w:color="auto" w:sz="4" w:space="0"/>
            </w:tcBorders>
            <w:vAlign w:val="center"/>
          </w:tcPr>
          <w:p w14:paraId="790CCDCF">
            <w:pPr>
              <w:widowControl/>
              <w:spacing w:line="400" w:lineRule="exact"/>
              <w:jc w:val="left"/>
              <w:rPr>
                <w:rFonts w:ascii="宋体" w:hAnsi="宋体" w:cs="Arial"/>
                <w:color w:val="auto"/>
                <w:sz w:val="18"/>
                <w:szCs w:val="18"/>
              </w:rPr>
            </w:pPr>
            <w:r>
              <w:rPr>
                <w:rFonts w:hint="eastAsia" w:ascii="宋体" w:hAnsi="宋体" w:cs="Arial"/>
                <w:color w:val="auto"/>
                <w:sz w:val="18"/>
                <w:szCs w:val="18"/>
              </w:rPr>
              <w:t>RVV3*6mm²</w:t>
            </w:r>
          </w:p>
        </w:tc>
        <w:tc>
          <w:tcPr>
            <w:tcW w:w="900" w:type="dxa"/>
            <w:tcBorders>
              <w:top w:val="nil"/>
              <w:left w:val="nil"/>
              <w:bottom w:val="single" w:color="auto" w:sz="4" w:space="0"/>
              <w:right w:val="single" w:color="auto" w:sz="4" w:space="0"/>
            </w:tcBorders>
            <w:vAlign w:val="center"/>
          </w:tcPr>
          <w:p w14:paraId="7B408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center"/>
          </w:tcPr>
          <w:p w14:paraId="759417D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3D95A0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91E2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64DCF8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镀锌桥架</w:t>
            </w:r>
          </w:p>
        </w:tc>
        <w:tc>
          <w:tcPr>
            <w:tcW w:w="5717" w:type="dxa"/>
            <w:tcBorders>
              <w:top w:val="nil"/>
              <w:left w:val="nil"/>
              <w:bottom w:val="single" w:color="auto" w:sz="4" w:space="0"/>
              <w:right w:val="single" w:color="auto" w:sz="4" w:space="0"/>
            </w:tcBorders>
            <w:vAlign w:val="center"/>
          </w:tcPr>
          <w:p w14:paraId="0C442110">
            <w:pPr>
              <w:widowControl/>
              <w:spacing w:line="400" w:lineRule="exact"/>
              <w:jc w:val="left"/>
              <w:rPr>
                <w:rFonts w:ascii="宋体" w:hAnsi="宋体" w:cs="Arial"/>
                <w:color w:val="auto"/>
                <w:sz w:val="18"/>
                <w:szCs w:val="18"/>
              </w:rPr>
            </w:pPr>
            <w:r>
              <w:rPr>
                <w:rFonts w:hint="eastAsia" w:ascii="宋体" w:hAnsi="宋体" w:cs="Arial"/>
                <w:color w:val="auto"/>
                <w:sz w:val="18"/>
                <w:szCs w:val="18"/>
              </w:rPr>
              <w:t>200*100mm 冷轧钢板表面热镀锌，壁厚不低于 1.2mm</w:t>
            </w:r>
          </w:p>
        </w:tc>
        <w:tc>
          <w:tcPr>
            <w:tcW w:w="900" w:type="dxa"/>
            <w:tcBorders>
              <w:top w:val="nil"/>
              <w:left w:val="nil"/>
              <w:bottom w:val="single" w:color="auto" w:sz="4" w:space="0"/>
              <w:right w:val="single" w:color="auto" w:sz="4" w:space="0"/>
            </w:tcBorders>
            <w:vAlign w:val="center"/>
          </w:tcPr>
          <w:p w14:paraId="2CB510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393651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044DF5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4607A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43D73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金属软管</w:t>
            </w:r>
          </w:p>
        </w:tc>
        <w:tc>
          <w:tcPr>
            <w:tcW w:w="5717" w:type="dxa"/>
            <w:tcBorders>
              <w:top w:val="nil"/>
              <w:left w:val="nil"/>
              <w:bottom w:val="single" w:color="auto" w:sz="4" w:space="0"/>
              <w:right w:val="single" w:color="auto" w:sz="4" w:space="0"/>
            </w:tcBorders>
            <w:vAlign w:val="center"/>
          </w:tcPr>
          <w:p w14:paraId="34871E39">
            <w:pPr>
              <w:widowControl/>
              <w:spacing w:line="400" w:lineRule="exact"/>
              <w:jc w:val="left"/>
              <w:rPr>
                <w:rFonts w:ascii="宋体" w:hAnsi="宋体" w:cs="Arial"/>
                <w:color w:val="auto"/>
                <w:sz w:val="18"/>
                <w:szCs w:val="18"/>
              </w:rPr>
            </w:pPr>
            <w:r>
              <w:rPr>
                <w:rFonts w:hint="eastAsia" w:ascii="宋体" w:hAnsi="宋体" w:cs="Arial"/>
                <w:color w:val="auto"/>
                <w:sz w:val="18"/>
                <w:szCs w:val="18"/>
              </w:rPr>
              <w:t>金属软管 Ф16</w:t>
            </w:r>
          </w:p>
        </w:tc>
        <w:tc>
          <w:tcPr>
            <w:tcW w:w="900" w:type="dxa"/>
            <w:tcBorders>
              <w:top w:val="nil"/>
              <w:left w:val="nil"/>
              <w:bottom w:val="single" w:color="auto" w:sz="4" w:space="0"/>
              <w:right w:val="single" w:color="auto" w:sz="4" w:space="0"/>
            </w:tcBorders>
            <w:vAlign w:val="center"/>
          </w:tcPr>
          <w:p w14:paraId="3E9F52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 </w:t>
            </w:r>
          </w:p>
        </w:tc>
        <w:tc>
          <w:tcPr>
            <w:tcW w:w="849" w:type="dxa"/>
            <w:gridSpan w:val="2"/>
            <w:tcBorders>
              <w:top w:val="nil"/>
              <w:left w:val="nil"/>
              <w:bottom w:val="single" w:color="auto" w:sz="4" w:space="0"/>
              <w:right w:val="single" w:color="auto" w:sz="4" w:space="0"/>
            </w:tcBorders>
            <w:vAlign w:val="center"/>
          </w:tcPr>
          <w:p w14:paraId="012980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BB002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37F5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46D6E0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综合配电柜</w:t>
            </w:r>
          </w:p>
        </w:tc>
        <w:tc>
          <w:tcPr>
            <w:tcW w:w="5717" w:type="dxa"/>
            <w:tcBorders>
              <w:top w:val="nil"/>
              <w:left w:val="nil"/>
              <w:bottom w:val="single" w:color="auto" w:sz="4" w:space="0"/>
              <w:right w:val="single" w:color="auto" w:sz="4" w:space="0"/>
            </w:tcBorders>
            <w:vAlign w:val="center"/>
          </w:tcPr>
          <w:p w14:paraId="07A1B1C8">
            <w:pPr>
              <w:widowControl/>
              <w:spacing w:line="400" w:lineRule="exact"/>
              <w:jc w:val="left"/>
              <w:rPr>
                <w:rFonts w:ascii="宋体" w:hAnsi="宋体" w:cs="Arial"/>
                <w:color w:val="auto"/>
                <w:sz w:val="18"/>
                <w:szCs w:val="18"/>
              </w:rPr>
            </w:pPr>
            <w:r>
              <w:rPr>
                <w:rFonts w:hint="eastAsia" w:ascii="宋体" w:hAnsi="宋体" w:cs="Arial"/>
                <w:color w:val="auto"/>
                <w:sz w:val="18"/>
                <w:szCs w:val="18"/>
              </w:rPr>
              <w:t>1.采用输出双电设计，合理分配负载端。配电箱中 63A及以下规格断路器采用小型断路器，大于 63A 采用塑壳断路器；</w:t>
            </w:r>
          </w:p>
          <w:p w14:paraId="03FDA870">
            <w:pPr>
              <w:widowControl/>
              <w:spacing w:line="400" w:lineRule="exact"/>
              <w:jc w:val="left"/>
              <w:rPr>
                <w:rFonts w:ascii="宋体" w:hAnsi="宋体" w:cs="Arial"/>
                <w:color w:val="auto"/>
                <w:sz w:val="18"/>
                <w:szCs w:val="18"/>
              </w:rPr>
            </w:pPr>
            <w:r>
              <w:rPr>
                <w:rFonts w:hint="eastAsia" w:ascii="宋体" w:hAnsi="宋体" w:cs="Arial"/>
                <w:color w:val="auto"/>
                <w:sz w:val="18"/>
                <w:szCs w:val="18"/>
              </w:rPr>
              <w:t>2.所有箱内的零件、螺钉、电缆攀附的支架等均应镀锌，并达到耐盐雾腐蚀的标准，母线采用优质电解紫铜排。搭接部位搪锡，非搭接部位套热塑管保护；</w:t>
            </w:r>
          </w:p>
          <w:p w14:paraId="15D4E040">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3.配电箱内根据计算机设备及辅助设备的不同要求，设置中线和接地线的连接装置，中线与地线及配电柜外壳绝缘；</w:t>
            </w:r>
          </w:p>
          <w:p w14:paraId="3C6575E7">
            <w:pPr>
              <w:widowControl/>
              <w:spacing w:line="400" w:lineRule="exact"/>
              <w:jc w:val="left"/>
              <w:rPr>
                <w:rFonts w:ascii="宋体" w:hAnsi="宋体" w:cs="Arial"/>
                <w:color w:val="auto"/>
                <w:sz w:val="18"/>
                <w:szCs w:val="18"/>
              </w:rPr>
            </w:pPr>
            <w:r>
              <w:rPr>
                <w:rFonts w:hint="eastAsia" w:ascii="宋体" w:hAnsi="宋体" w:cs="Arial"/>
                <w:color w:val="auto"/>
                <w:sz w:val="18"/>
                <w:szCs w:val="18"/>
              </w:rPr>
              <w:t>4.配电箱内采用的母线、接地排及各种电缆、导线、中性线、接地线等都符合国家标准，并按国家规定的颜色标志编号。配电箱柜内各种开关、手柄、操作按钮均标志清楚满足甲方使用要求</w:t>
            </w:r>
          </w:p>
        </w:tc>
        <w:tc>
          <w:tcPr>
            <w:tcW w:w="900" w:type="dxa"/>
            <w:tcBorders>
              <w:top w:val="nil"/>
              <w:left w:val="nil"/>
              <w:bottom w:val="single" w:color="auto" w:sz="4" w:space="0"/>
              <w:right w:val="single" w:color="auto" w:sz="4" w:space="0"/>
            </w:tcBorders>
            <w:vAlign w:val="center"/>
          </w:tcPr>
          <w:p w14:paraId="1B68EE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38F4D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451065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A546B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53A95A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PDU</w:t>
            </w:r>
          </w:p>
        </w:tc>
        <w:tc>
          <w:tcPr>
            <w:tcW w:w="5717" w:type="dxa"/>
            <w:tcBorders>
              <w:top w:val="nil"/>
              <w:left w:val="nil"/>
              <w:bottom w:val="single" w:color="auto" w:sz="4" w:space="0"/>
              <w:right w:val="single" w:color="auto" w:sz="4" w:space="0"/>
            </w:tcBorders>
            <w:vAlign w:val="center"/>
          </w:tcPr>
          <w:p w14:paraId="22F4A785">
            <w:pPr>
              <w:widowControl/>
              <w:spacing w:line="400" w:lineRule="exact"/>
              <w:jc w:val="left"/>
              <w:rPr>
                <w:rFonts w:ascii="宋体" w:hAnsi="宋体" w:cs="Arial"/>
                <w:color w:val="auto"/>
                <w:sz w:val="18"/>
                <w:szCs w:val="18"/>
              </w:rPr>
            </w:pPr>
            <w:r>
              <w:rPr>
                <w:rFonts w:hint="eastAsia" w:ascii="宋体" w:hAnsi="宋体" w:cs="Arial"/>
                <w:color w:val="auto"/>
                <w:sz w:val="18"/>
                <w:szCs w:val="18"/>
              </w:rPr>
              <w:t>单相 16A 输入，8 位 10A 国标输出,带电源指示灯</w:t>
            </w:r>
          </w:p>
        </w:tc>
        <w:tc>
          <w:tcPr>
            <w:tcW w:w="900" w:type="dxa"/>
            <w:tcBorders>
              <w:top w:val="nil"/>
              <w:left w:val="nil"/>
              <w:bottom w:val="single" w:color="auto" w:sz="4" w:space="0"/>
              <w:right w:val="single" w:color="auto" w:sz="4" w:space="0"/>
            </w:tcBorders>
            <w:vAlign w:val="center"/>
          </w:tcPr>
          <w:p w14:paraId="1ECB5D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7ADD3B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5ADAEC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6CC1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7E565D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工业连接器</w:t>
            </w:r>
          </w:p>
        </w:tc>
        <w:tc>
          <w:tcPr>
            <w:tcW w:w="5717" w:type="dxa"/>
            <w:tcBorders>
              <w:top w:val="nil"/>
              <w:left w:val="nil"/>
              <w:bottom w:val="single" w:color="auto" w:sz="4" w:space="0"/>
              <w:right w:val="single" w:color="auto" w:sz="4" w:space="0"/>
            </w:tcBorders>
            <w:vAlign w:val="center"/>
          </w:tcPr>
          <w:p w14:paraId="524B217F">
            <w:pPr>
              <w:widowControl/>
              <w:spacing w:line="400" w:lineRule="exact"/>
              <w:jc w:val="left"/>
              <w:rPr>
                <w:rFonts w:ascii="宋体" w:hAnsi="宋体" w:cs="Arial"/>
                <w:color w:val="auto"/>
                <w:sz w:val="18"/>
                <w:szCs w:val="18"/>
              </w:rPr>
            </w:pPr>
            <w:r>
              <w:rPr>
                <w:rFonts w:hint="eastAsia" w:ascii="宋体" w:hAnsi="宋体" w:cs="Arial"/>
                <w:color w:val="auto"/>
                <w:sz w:val="18"/>
                <w:szCs w:val="18"/>
              </w:rPr>
              <w:t>工业连接器，3 口 16A</w:t>
            </w:r>
          </w:p>
        </w:tc>
        <w:tc>
          <w:tcPr>
            <w:tcW w:w="900" w:type="dxa"/>
            <w:tcBorders>
              <w:top w:val="nil"/>
              <w:left w:val="nil"/>
              <w:bottom w:val="single" w:color="auto" w:sz="4" w:space="0"/>
              <w:right w:val="single" w:color="auto" w:sz="4" w:space="0"/>
            </w:tcBorders>
            <w:vAlign w:val="center"/>
          </w:tcPr>
          <w:p w14:paraId="2750EB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6669D8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F370D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1788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68DE44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电气工程辅材</w:t>
            </w:r>
          </w:p>
        </w:tc>
        <w:tc>
          <w:tcPr>
            <w:tcW w:w="5717" w:type="dxa"/>
            <w:tcBorders>
              <w:top w:val="nil"/>
              <w:left w:val="nil"/>
              <w:bottom w:val="single" w:color="auto" w:sz="4" w:space="0"/>
              <w:right w:val="single" w:color="auto" w:sz="4" w:space="0"/>
            </w:tcBorders>
            <w:vAlign w:val="center"/>
          </w:tcPr>
          <w:p w14:paraId="3201E2CF">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包含安装配电设备、灯具、线缆敷设等所用固定螺栓、螺杆吊杆、扎带、胀泡套、防锈漆、管卡、固定桥架的角钢件、高压绝缘胶、铜鼻子等辅助材料</w:t>
            </w:r>
          </w:p>
        </w:tc>
        <w:tc>
          <w:tcPr>
            <w:tcW w:w="900" w:type="dxa"/>
            <w:tcBorders>
              <w:top w:val="nil"/>
              <w:left w:val="nil"/>
              <w:bottom w:val="single" w:color="auto" w:sz="4" w:space="0"/>
              <w:right w:val="single" w:color="auto" w:sz="4" w:space="0"/>
            </w:tcBorders>
            <w:vAlign w:val="center"/>
          </w:tcPr>
          <w:p w14:paraId="0D66E8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FF182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6CE12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1CAB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center"/>
          </w:tcPr>
          <w:p w14:paraId="5CFEB9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超声波防鼠器</w:t>
            </w:r>
          </w:p>
        </w:tc>
        <w:tc>
          <w:tcPr>
            <w:tcW w:w="5717" w:type="dxa"/>
            <w:tcBorders>
              <w:top w:val="nil"/>
              <w:left w:val="nil"/>
              <w:bottom w:val="single" w:color="auto" w:sz="4" w:space="0"/>
              <w:right w:val="single" w:color="auto" w:sz="4" w:space="0"/>
            </w:tcBorders>
            <w:vAlign w:val="center"/>
          </w:tcPr>
          <w:p w14:paraId="33181917">
            <w:pPr>
              <w:widowControl/>
              <w:spacing w:line="400" w:lineRule="exact"/>
              <w:jc w:val="left"/>
              <w:rPr>
                <w:rFonts w:ascii="宋体" w:hAnsi="宋体" w:cs="Arial"/>
                <w:color w:val="auto"/>
                <w:sz w:val="18"/>
                <w:szCs w:val="18"/>
              </w:rPr>
            </w:pPr>
            <w:r>
              <w:rPr>
                <w:rFonts w:hint="eastAsia" w:ascii="宋体" w:hAnsi="宋体" w:cs="Arial"/>
                <w:color w:val="auto"/>
                <w:sz w:val="18"/>
                <w:szCs w:val="18"/>
              </w:rPr>
              <w:t>超声波驱鼠器 (含电源)，C 型</w:t>
            </w:r>
          </w:p>
        </w:tc>
        <w:tc>
          <w:tcPr>
            <w:tcW w:w="900" w:type="dxa"/>
            <w:tcBorders>
              <w:top w:val="nil"/>
              <w:left w:val="nil"/>
              <w:bottom w:val="single" w:color="auto" w:sz="4" w:space="0"/>
              <w:right w:val="single" w:color="auto" w:sz="4" w:space="0"/>
            </w:tcBorders>
            <w:vAlign w:val="center"/>
          </w:tcPr>
          <w:p w14:paraId="3E8757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9413D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E36E02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B408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27</w:t>
            </w:r>
          </w:p>
        </w:tc>
        <w:tc>
          <w:tcPr>
            <w:tcW w:w="1397" w:type="dxa"/>
            <w:tcBorders>
              <w:top w:val="nil"/>
              <w:left w:val="nil"/>
              <w:bottom w:val="single" w:color="auto" w:sz="4" w:space="0"/>
              <w:right w:val="single" w:color="auto" w:sz="4" w:space="0"/>
            </w:tcBorders>
            <w:vAlign w:val="center"/>
          </w:tcPr>
          <w:p w14:paraId="57AC9D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专用防火泥</w:t>
            </w:r>
          </w:p>
        </w:tc>
        <w:tc>
          <w:tcPr>
            <w:tcW w:w="5717" w:type="dxa"/>
            <w:tcBorders>
              <w:top w:val="nil"/>
              <w:left w:val="nil"/>
              <w:bottom w:val="single" w:color="auto" w:sz="4" w:space="0"/>
              <w:right w:val="single" w:color="auto" w:sz="4" w:space="0"/>
            </w:tcBorders>
            <w:vAlign w:val="center"/>
          </w:tcPr>
          <w:p w14:paraId="141EFCFE">
            <w:pPr>
              <w:widowControl/>
              <w:spacing w:line="400" w:lineRule="exact"/>
              <w:jc w:val="left"/>
              <w:rPr>
                <w:rFonts w:ascii="宋体" w:hAnsi="宋体" w:cs="Arial"/>
                <w:color w:val="auto"/>
                <w:sz w:val="18"/>
                <w:szCs w:val="18"/>
              </w:rPr>
            </w:pPr>
            <w:r>
              <w:rPr>
                <w:rFonts w:hint="eastAsia" w:ascii="宋体" w:hAnsi="宋体" w:cs="Arial"/>
                <w:color w:val="auto"/>
                <w:sz w:val="18"/>
                <w:szCs w:val="18"/>
              </w:rPr>
              <w:t>现场施工</w:t>
            </w:r>
          </w:p>
        </w:tc>
        <w:tc>
          <w:tcPr>
            <w:tcW w:w="900" w:type="dxa"/>
            <w:tcBorders>
              <w:top w:val="nil"/>
              <w:left w:val="nil"/>
              <w:bottom w:val="single" w:color="auto" w:sz="4" w:space="0"/>
              <w:right w:val="single" w:color="auto" w:sz="4" w:space="0"/>
            </w:tcBorders>
            <w:vAlign w:val="center"/>
          </w:tcPr>
          <w:p w14:paraId="03DC52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66225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30A28A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A41A2AA">
            <w:pPr>
              <w:widowControl/>
              <w:spacing w:line="400" w:lineRule="exact"/>
              <w:jc w:val="left"/>
              <w:rPr>
                <w:rFonts w:ascii="宋体" w:hAnsi="宋体" w:cs="Arial"/>
                <w:color w:val="auto"/>
                <w:sz w:val="18"/>
                <w:szCs w:val="18"/>
              </w:rPr>
            </w:pPr>
            <w:r>
              <w:rPr>
                <w:rFonts w:hint="eastAsia" w:ascii="宋体" w:hAnsi="宋体" w:cs="Arial"/>
                <w:color w:val="auto"/>
                <w:sz w:val="18"/>
                <w:szCs w:val="18"/>
              </w:rPr>
              <w:t>空调系统</w:t>
            </w:r>
          </w:p>
        </w:tc>
      </w:tr>
      <w:tr w14:paraId="6E0141F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C660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07C02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精密空调</w:t>
            </w:r>
          </w:p>
        </w:tc>
        <w:tc>
          <w:tcPr>
            <w:tcW w:w="5717" w:type="dxa"/>
            <w:tcBorders>
              <w:top w:val="nil"/>
              <w:left w:val="nil"/>
              <w:bottom w:val="single" w:color="auto" w:sz="4" w:space="0"/>
              <w:right w:val="single" w:color="auto" w:sz="4" w:space="0"/>
            </w:tcBorders>
            <w:vAlign w:val="center"/>
          </w:tcPr>
          <w:p w14:paraId="506DFA35">
            <w:pPr>
              <w:widowControl/>
              <w:spacing w:line="400" w:lineRule="exact"/>
              <w:jc w:val="left"/>
              <w:rPr>
                <w:rFonts w:ascii="宋体" w:hAnsi="宋体" w:cs="Arial"/>
                <w:color w:val="auto"/>
                <w:sz w:val="18"/>
                <w:szCs w:val="18"/>
              </w:rPr>
            </w:pPr>
            <w:r>
              <w:rPr>
                <w:rFonts w:hint="eastAsia" w:ascii="宋体" w:hAnsi="宋体" w:cs="Arial"/>
                <w:color w:val="auto"/>
                <w:sz w:val="18"/>
                <w:szCs w:val="18"/>
              </w:rPr>
              <w:t>风冷-上前风；制冷量 12.5kw，风量 3600m³，显热比1，单冷型，带室外机</w:t>
            </w:r>
          </w:p>
        </w:tc>
        <w:tc>
          <w:tcPr>
            <w:tcW w:w="900" w:type="dxa"/>
            <w:tcBorders>
              <w:top w:val="nil"/>
              <w:left w:val="nil"/>
              <w:bottom w:val="single" w:color="auto" w:sz="4" w:space="0"/>
              <w:right w:val="single" w:color="auto" w:sz="4" w:space="0"/>
            </w:tcBorders>
            <w:vAlign w:val="center"/>
          </w:tcPr>
          <w:p w14:paraId="262491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3E547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8E1AB3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4D8D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7284B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铜管 (回液管含保温管)</w:t>
            </w:r>
          </w:p>
        </w:tc>
        <w:tc>
          <w:tcPr>
            <w:tcW w:w="5717" w:type="dxa"/>
            <w:tcBorders>
              <w:top w:val="nil"/>
              <w:left w:val="nil"/>
              <w:bottom w:val="single" w:color="auto" w:sz="4" w:space="0"/>
              <w:right w:val="single" w:color="auto" w:sz="4" w:space="0"/>
            </w:tcBorders>
            <w:vAlign w:val="center"/>
          </w:tcPr>
          <w:p w14:paraId="3FD778BF">
            <w:pPr>
              <w:widowControl/>
              <w:spacing w:line="400" w:lineRule="exact"/>
              <w:jc w:val="left"/>
              <w:rPr>
                <w:rFonts w:ascii="宋体" w:hAnsi="宋体" w:cs="Arial"/>
                <w:color w:val="auto"/>
                <w:sz w:val="18"/>
                <w:szCs w:val="18"/>
              </w:rPr>
            </w:pPr>
            <w:r>
              <w:rPr>
                <w:rFonts w:hint="eastAsia" w:ascii="宋体" w:hAnsi="宋体" w:cs="Arial"/>
                <w:color w:val="auto"/>
                <w:sz w:val="18"/>
                <w:szCs w:val="18"/>
              </w:rPr>
              <w:t>铜管 (回液管含保温管)，进 12 冷媒管</w:t>
            </w:r>
          </w:p>
        </w:tc>
        <w:tc>
          <w:tcPr>
            <w:tcW w:w="900" w:type="dxa"/>
            <w:tcBorders>
              <w:top w:val="nil"/>
              <w:left w:val="nil"/>
              <w:bottom w:val="single" w:color="auto" w:sz="4" w:space="0"/>
              <w:right w:val="single" w:color="auto" w:sz="4" w:space="0"/>
            </w:tcBorders>
            <w:vAlign w:val="center"/>
          </w:tcPr>
          <w:p w14:paraId="48401A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5E575E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F35472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719C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57E13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铜管 (热气管含保温管)</w:t>
            </w:r>
          </w:p>
        </w:tc>
        <w:tc>
          <w:tcPr>
            <w:tcW w:w="5717" w:type="dxa"/>
            <w:tcBorders>
              <w:top w:val="nil"/>
              <w:left w:val="nil"/>
              <w:bottom w:val="single" w:color="auto" w:sz="4" w:space="0"/>
              <w:right w:val="single" w:color="auto" w:sz="4" w:space="0"/>
            </w:tcBorders>
            <w:vAlign w:val="center"/>
          </w:tcPr>
          <w:p w14:paraId="00AC798B">
            <w:pPr>
              <w:widowControl/>
              <w:spacing w:line="400" w:lineRule="exact"/>
              <w:jc w:val="left"/>
              <w:rPr>
                <w:rFonts w:ascii="宋体" w:hAnsi="宋体" w:cs="Arial"/>
                <w:color w:val="auto"/>
                <w:sz w:val="18"/>
                <w:szCs w:val="18"/>
              </w:rPr>
            </w:pPr>
            <w:r>
              <w:rPr>
                <w:rFonts w:hint="eastAsia" w:ascii="宋体" w:hAnsi="宋体" w:cs="Arial"/>
                <w:color w:val="auto"/>
                <w:sz w:val="18"/>
                <w:szCs w:val="18"/>
              </w:rPr>
              <w:t>铜管 (热气管含保温管/数量暂定)，出 16 冷媒管</w:t>
            </w:r>
          </w:p>
        </w:tc>
        <w:tc>
          <w:tcPr>
            <w:tcW w:w="900" w:type="dxa"/>
            <w:tcBorders>
              <w:top w:val="nil"/>
              <w:left w:val="nil"/>
              <w:bottom w:val="single" w:color="auto" w:sz="4" w:space="0"/>
              <w:right w:val="single" w:color="auto" w:sz="4" w:space="0"/>
            </w:tcBorders>
            <w:vAlign w:val="center"/>
          </w:tcPr>
          <w:p w14:paraId="73BF6A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11784D2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7E27D3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F7AF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E234F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制冷剂</w:t>
            </w:r>
          </w:p>
        </w:tc>
        <w:tc>
          <w:tcPr>
            <w:tcW w:w="5717" w:type="dxa"/>
            <w:tcBorders>
              <w:top w:val="nil"/>
              <w:left w:val="nil"/>
              <w:bottom w:val="single" w:color="auto" w:sz="4" w:space="0"/>
              <w:right w:val="single" w:color="auto" w:sz="4" w:space="0"/>
            </w:tcBorders>
            <w:vAlign w:val="center"/>
          </w:tcPr>
          <w:p w14:paraId="6BB10934">
            <w:pPr>
              <w:widowControl/>
              <w:spacing w:line="400" w:lineRule="exact"/>
              <w:jc w:val="left"/>
              <w:rPr>
                <w:rFonts w:ascii="宋体" w:hAnsi="宋体" w:cs="Arial"/>
                <w:color w:val="auto"/>
                <w:sz w:val="18"/>
                <w:szCs w:val="18"/>
              </w:rPr>
            </w:pPr>
            <w:r>
              <w:rPr>
                <w:rFonts w:hint="eastAsia" w:ascii="宋体" w:hAnsi="宋体" w:cs="Arial"/>
                <w:color w:val="auto"/>
                <w:sz w:val="18"/>
                <w:szCs w:val="18"/>
              </w:rPr>
              <w:t>R410A，22.5Kg</w:t>
            </w:r>
          </w:p>
        </w:tc>
        <w:tc>
          <w:tcPr>
            <w:tcW w:w="900" w:type="dxa"/>
            <w:tcBorders>
              <w:top w:val="nil"/>
              <w:left w:val="nil"/>
              <w:bottom w:val="single" w:color="auto" w:sz="4" w:space="0"/>
              <w:right w:val="single" w:color="auto" w:sz="4" w:space="0"/>
            </w:tcBorders>
            <w:vAlign w:val="center"/>
          </w:tcPr>
          <w:p w14:paraId="01BAF6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8866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桶</w:t>
            </w:r>
          </w:p>
        </w:tc>
      </w:tr>
      <w:tr w14:paraId="03DF852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EA07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B265B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辅材</w:t>
            </w:r>
          </w:p>
        </w:tc>
        <w:tc>
          <w:tcPr>
            <w:tcW w:w="5717" w:type="dxa"/>
            <w:tcBorders>
              <w:top w:val="nil"/>
              <w:left w:val="nil"/>
              <w:bottom w:val="single" w:color="auto" w:sz="4" w:space="0"/>
              <w:right w:val="single" w:color="auto" w:sz="4" w:space="0"/>
            </w:tcBorders>
            <w:vAlign w:val="center"/>
          </w:tcPr>
          <w:p w14:paraId="4999D11A">
            <w:pPr>
              <w:widowControl/>
              <w:spacing w:line="400" w:lineRule="exact"/>
              <w:jc w:val="left"/>
              <w:rPr>
                <w:rFonts w:ascii="宋体" w:hAnsi="宋体" w:cs="Arial"/>
                <w:color w:val="auto"/>
                <w:sz w:val="18"/>
                <w:szCs w:val="18"/>
              </w:rPr>
            </w:pPr>
            <w:r>
              <w:rPr>
                <w:rFonts w:hint="eastAsia" w:ascii="宋体" w:hAnsi="宋体" w:cs="Arial"/>
                <w:color w:val="auto"/>
                <w:sz w:val="18"/>
                <w:szCs w:val="18"/>
              </w:rPr>
              <w:t>管路、氧气、乙炔、氮气等定制耗材</w:t>
            </w:r>
          </w:p>
        </w:tc>
        <w:tc>
          <w:tcPr>
            <w:tcW w:w="900" w:type="dxa"/>
            <w:tcBorders>
              <w:top w:val="nil"/>
              <w:left w:val="nil"/>
              <w:bottom w:val="single" w:color="auto" w:sz="4" w:space="0"/>
              <w:right w:val="single" w:color="auto" w:sz="4" w:space="0"/>
            </w:tcBorders>
            <w:vAlign w:val="center"/>
          </w:tcPr>
          <w:p w14:paraId="2CF7A6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3C767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90F2F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04C2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E9BEB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安装调试</w:t>
            </w:r>
          </w:p>
        </w:tc>
        <w:tc>
          <w:tcPr>
            <w:tcW w:w="5717" w:type="dxa"/>
            <w:tcBorders>
              <w:top w:val="nil"/>
              <w:left w:val="nil"/>
              <w:bottom w:val="single" w:color="auto" w:sz="4" w:space="0"/>
              <w:right w:val="single" w:color="auto" w:sz="4" w:space="0"/>
            </w:tcBorders>
            <w:vAlign w:val="center"/>
          </w:tcPr>
          <w:p w14:paraId="5EA0FC6A">
            <w:pPr>
              <w:widowControl/>
              <w:spacing w:line="400" w:lineRule="exact"/>
              <w:jc w:val="left"/>
              <w:rPr>
                <w:rFonts w:ascii="宋体" w:hAnsi="宋体" w:cs="Arial"/>
                <w:color w:val="auto"/>
                <w:sz w:val="18"/>
                <w:szCs w:val="18"/>
              </w:rPr>
            </w:pPr>
            <w:r>
              <w:rPr>
                <w:rFonts w:hint="eastAsia" w:ascii="宋体" w:hAnsi="宋体" w:cs="Arial"/>
                <w:color w:val="auto"/>
                <w:sz w:val="18"/>
                <w:szCs w:val="18"/>
              </w:rPr>
              <w:t>空调上下水安装，调试</w:t>
            </w:r>
          </w:p>
        </w:tc>
        <w:tc>
          <w:tcPr>
            <w:tcW w:w="900" w:type="dxa"/>
            <w:tcBorders>
              <w:top w:val="nil"/>
              <w:left w:val="nil"/>
              <w:bottom w:val="single" w:color="auto" w:sz="4" w:space="0"/>
              <w:right w:val="single" w:color="auto" w:sz="4" w:space="0"/>
            </w:tcBorders>
            <w:vAlign w:val="center"/>
          </w:tcPr>
          <w:p w14:paraId="610060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67387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BDDC1A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8E7D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3375DE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轴流风机</w:t>
            </w:r>
          </w:p>
        </w:tc>
        <w:tc>
          <w:tcPr>
            <w:tcW w:w="5717" w:type="dxa"/>
            <w:tcBorders>
              <w:top w:val="nil"/>
              <w:left w:val="nil"/>
              <w:bottom w:val="single" w:color="auto" w:sz="4" w:space="0"/>
              <w:right w:val="single" w:color="auto" w:sz="4" w:space="0"/>
            </w:tcBorders>
            <w:vAlign w:val="center"/>
          </w:tcPr>
          <w:p w14:paraId="4BE2049C">
            <w:pPr>
              <w:widowControl/>
              <w:spacing w:line="400" w:lineRule="exact"/>
              <w:jc w:val="left"/>
              <w:rPr>
                <w:rFonts w:ascii="宋体" w:hAnsi="宋体" w:cs="Arial"/>
                <w:color w:val="auto"/>
                <w:sz w:val="18"/>
                <w:szCs w:val="18"/>
              </w:rPr>
            </w:pPr>
            <w:r>
              <w:rPr>
                <w:rFonts w:hint="eastAsia" w:ascii="宋体" w:hAnsi="宋体" w:cs="Arial"/>
                <w:color w:val="auto"/>
                <w:sz w:val="18"/>
                <w:szCs w:val="18"/>
              </w:rPr>
              <w:t>220V,风量 600</w:t>
            </w:r>
          </w:p>
        </w:tc>
        <w:tc>
          <w:tcPr>
            <w:tcW w:w="900" w:type="dxa"/>
            <w:tcBorders>
              <w:top w:val="nil"/>
              <w:left w:val="nil"/>
              <w:bottom w:val="single" w:color="auto" w:sz="4" w:space="0"/>
              <w:right w:val="single" w:color="auto" w:sz="4" w:space="0"/>
            </w:tcBorders>
            <w:vAlign w:val="center"/>
          </w:tcPr>
          <w:p w14:paraId="38D7C3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87F04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887FB6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5BF5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3EF69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电动密闭阀</w:t>
            </w:r>
          </w:p>
        </w:tc>
        <w:tc>
          <w:tcPr>
            <w:tcW w:w="5717" w:type="dxa"/>
            <w:tcBorders>
              <w:top w:val="nil"/>
              <w:left w:val="nil"/>
              <w:bottom w:val="single" w:color="auto" w:sz="4" w:space="0"/>
              <w:right w:val="single" w:color="auto" w:sz="4" w:space="0"/>
            </w:tcBorders>
            <w:vAlign w:val="center"/>
          </w:tcPr>
          <w:p w14:paraId="12ACF1B7">
            <w:pPr>
              <w:widowControl/>
              <w:spacing w:line="400" w:lineRule="exact"/>
              <w:jc w:val="left"/>
              <w:rPr>
                <w:rFonts w:ascii="宋体" w:hAnsi="宋体" w:cs="Arial"/>
                <w:color w:val="auto"/>
                <w:sz w:val="18"/>
                <w:szCs w:val="18"/>
              </w:rPr>
            </w:pPr>
            <w:r>
              <w:rPr>
                <w:rFonts w:hint="eastAsia" w:ascii="宋体" w:hAnsi="宋体" w:cs="Arial"/>
                <w:color w:val="auto"/>
                <w:sz w:val="18"/>
                <w:szCs w:val="18"/>
              </w:rPr>
              <w:t>电动密闭阀，常闭，定制，满足甲方使用要求</w:t>
            </w:r>
          </w:p>
        </w:tc>
        <w:tc>
          <w:tcPr>
            <w:tcW w:w="900" w:type="dxa"/>
            <w:tcBorders>
              <w:top w:val="nil"/>
              <w:left w:val="nil"/>
              <w:bottom w:val="single" w:color="auto" w:sz="4" w:space="0"/>
              <w:right w:val="single" w:color="auto" w:sz="4" w:space="0"/>
            </w:tcBorders>
            <w:vAlign w:val="center"/>
          </w:tcPr>
          <w:p w14:paraId="0FC1AE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45FC1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66399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C429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277EF5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风管</w:t>
            </w:r>
          </w:p>
        </w:tc>
        <w:tc>
          <w:tcPr>
            <w:tcW w:w="5717" w:type="dxa"/>
            <w:tcBorders>
              <w:top w:val="nil"/>
              <w:left w:val="nil"/>
              <w:bottom w:val="single" w:color="auto" w:sz="4" w:space="0"/>
              <w:right w:val="single" w:color="auto" w:sz="4" w:space="0"/>
            </w:tcBorders>
            <w:vAlign w:val="center"/>
          </w:tcPr>
          <w:p w14:paraId="4C95CB63">
            <w:pPr>
              <w:widowControl/>
              <w:spacing w:line="400" w:lineRule="exact"/>
              <w:jc w:val="left"/>
              <w:rPr>
                <w:rFonts w:ascii="宋体" w:hAnsi="宋体" w:cs="Arial"/>
                <w:color w:val="auto"/>
                <w:sz w:val="18"/>
                <w:szCs w:val="18"/>
              </w:rPr>
            </w:pPr>
            <w:r>
              <w:rPr>
                <w:rFonts w:hint="eastAsia" w:ascii="宋体" w:hAnsi="宋体" w:cs="Arial"/>
                <w:color w:val="auto"/>
                <w:sz w:val="18"/>
                <w:szCs w:val="18"/>
              </w:rPr>
              <w:t>镀锌风管、含软连接，出风口</w:t>
            </w:r>
          </w:p>
        </w:tc>
        <w:tc>
          <w:tcPr>
            <w:tcW w:w="900" w:type="dxa"/>
            <w:tcBorders>
              <w:top w:val="nil"/>
              <w:left w:val="nil"/>
              <w:bottom w:val="single" w:color="auto" w:sz="4" w:space="0"/>
              <w:right w:val="single" w:color="auto" w:sz="4" w:space="0"/>
            </w:tcBorders>
            <w:vAlign w:val="center"/>
          </w:tcPr>
          <w:p w14:paraId="29A880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4A88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26D158D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5FB04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79EED4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铝合金百叶风口</w:t>
            </w:r>
          </w:p>
        </w:tc>
        <w:tc>
          <w:tcPr>
            <w:tcW w:w="5717" w:type="dxa"/>
            <w:tcBorders>
              <w:top w:val="nil"/>
              <w:left w:val="nil"/>
              <w:bottom w:val="single" w:color="auto" w:sz="4" w:space="0"/>
              <w:right w:val="single" w:color="auto" w:sz="4" w:space="0"/>
            </w:tcBorders>
            <w:vAlign w:val="center"/>
          </w:tcPr>
          <w:p w14:paraId="5A5A7402">
            <w:pPr>
              <w:widowControl/>
              <w:spacing w:line="400" w:lineRule="exact"/>
              <w:jc w:val="left"/>
              <w:rPr>
                <w:rFonts w:ascii="宋体" w:hAnsi="宋体" w:cs="Arial"/>
                <w:color w:val="auto"/>
                <w:sz w:val="18"/>
                <w:szCs w:val="18"/>
              </w:rPr>
            </w:pPr>
            <w:r>
              <w:rPr>
                <w:rFonts w:hint="eastAsia" w:ascii="宋体" w:hAnsi="宋体" w:cs="Arial"/>
                <w:color w:val="auto"/>
                <w:sz w:val="18"/>
                <w:szCs w:val="18"/>
              </w:rPr>
              <w:t>铝合金百叶风口，定制</w:t>
            </w:r>
          </w:p>
        </w:tc>
        <w:tc>
          <w:tcPr>
            <w:tcW w:w="900" w:type="dxa"/>
            <w:tcBorders>
              <w:top w:val="nil"/>
              <w:left w:val="nil"/>
              <w:bottom w:val="single" w:color="auto" w:sz="4" w:space="0"/>
              <w:right w:val="single" w:color="auto" w:sz="4" w:space="0"/>
            </w:tcBorders>
            <w:vAlign w:val="center"/>
          </w:tcPr>
          <w:p w14:paraId="5B215E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A2D4C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4CA7D0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4AAD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74009F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辅材</w:t>
            </w:r>
          </w:p>
        </w:tc>
        <w:tc>
          <w:tcPr>
            <w:tcW w:w="5717" w:type="dxa"/>
            <w:tcBorders>
              <w:top w:val="nil"/>
              <w:left w:val="nil"/>
              <w:bottom w:val="single" w:color="auto" w:sz="4" w:space="0"/>
              <w:right w:val="single" w:color="auto" w:sz="4" w:space="0"/>
            </w:tcBorders>
            <w:vAlign w:val="center"/>
          </w:tcPr>
          <w:p w14:paraId="56F3788B">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配套辅材</w:t>
            </w:r>
          </w:p>
        </w:tc>
        <w:tc>
          <w:tcPr>
            <w:tcW w:w="900" w:type="dxa"/>
            <w:tcBorders>
              <w:top w:val="nil"/>
              <w:left w:val="nil"/>
              <w:bottom w:val="single" w:color="auto" w:sz="4" w:space="0"/>
              <w:right w:val="single" w:color="auto" w:sz="4" w:space="0"/>
            </w:tcBorders>
            <w:vAlign w:val="center"/>
          </w:tcPr>
          <w:p w14:paraId="556449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35E1D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3E5FFBA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CE45364">
            <w:pPr>
              <w:widowControl/>
              <w:spacing w:line="400" w:lineRule="exact"/>
              <w:jc w:val="left"/>
              <w:rPr>
                <w:rFonts w:ascii="宋体" w:hAnsi="宋体" w:cs="Arial"/>
                <w:color w:val="auto"/>
                <w:sz w:val="18"/>
                <w:szCs w:val="18"/>
              </w:rPr>
            </w:pPr>
            <w:r>
              <w:rPr>
                <w:rFonts w:hint="eastAsia" w:ascii="宋体" w:hAnsi="宋体" w:cs="Arial"/>
                <w:color w:val="auto"/>
                <w:sz w:val="18"/>
                <w:szCs w:val="18"/>
              </w:rPr>
              <w:t>防雷接地系统</w:t>
            </w:r>
          </w:p>
        </w:tc>
      </w:tr>
      <w:tr w14:paraId="2D146A8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46AE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9AFCC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第二级防雷器</w:t>
            </w:r>
          </w:p>
        </w:tc>
        <w:tc>
          <w:tcPr>
            <w:tcW w:w="5717" w:type="dxa"/>
            <w:tcBorders>
              <w:top w:val="nil"/>
              <w:left w:val="nil"/>
              <w:bottom w:val="single" w:color="auto" w:sz="4" w:space="0"/>
              <w:right w:val="single" w:color="auto" w:sz="4" w:space="0"/>
            </w:tcBorders>
            <w:vAlign w:val="center"/>
          </w:tcPr>
          <w:p w14:paraId="78518162">
            <w:pPr>
              <w:widowControl/>
              <w:spacing w:line="400" w:lineRule="exact"/>
              <w:jc w:val="left"/>
              <w:rPr>
                <w:rFonts w:ascii="宋体" w:hAnsi="宋体" w:cs="Arial"/>
                <w:color w:val="auto"/>
                <w:sz w:val="18"/>
                <w:szCs w:val="18"/>
              </w:rPr>
            </w:pPr>
            <w:r>
              <w:rPr>
                <w:rFonts w:hint="eastAsia" w:ascii="宋体" w:hAnsi="宋体" w:cs="Arial"/>
                <w:color w:val="auto"/>
                <w:sz w:val="18"/>
                <w:szCs w:val="18"/>
              </w:rPr>
              <w:t>二级防雷器，通流量为 40KA，响应时间≤25ns，380V5级防雷器</w:t>
            </w:r>
          </w:p>
        </w:tc>
        <w:tc>
          <w:tcPr>
            <w:tcW w:w="900" w:type="dxa"/>
            <w:tcBorders>
              <w:top w:val="nil"/>
              <w:left w:val="nil"/>
              <w:bottom w:val="single" w:color="auto" w:sz="4" w:space="0"/>
              <w:right w:val="single" w:color="auto" w:sz="4" w:space="0"/>
            </w:tcBorders>
            <w:vAlign w:val="center"/>
          </w:tcPr>
          <w:p w14:paraId="69DD8F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3D428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0DC69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47B6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136F6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第三级防雷器</w:t>
            </w:r>
          </w:p>
        </w:tc>
        <w:tc>
          <w:tcPr>
            <w:tcW w:w="5717" w:type="dxa"/>
            <w:tcBorders>
              <w:top w:val="nil"/>
              <w:left w:val="nil"/>
              <w:bottom w:val="single" w:color="auto" w:sz="4" w:space="0"/>
              <w:right w:val="single" w:color="auto" w:sz="4" w:space="0"/>
            </w:tcBorders>
            <w:vAlign w:val="center"/>
          </w:tcPr>
          <w:p w14:paraId="64AC3FF6">
            <w:pPr>
              <w:widowControl/>
              <w:spacing w:line="400" w:lineRule="exact"/>
              <w:jc w:val="left"/>
              <w:rPr>
                <w:rFonts w:ascii="宋体" w:hAnsi="宋体" w:cs="Arial"/>
                <w:color w:val="auto"/>
                <w:sz w:val="18"/>
                <w:szCs w:val="18"/>
              </w:rPr>
            </w:pPr>
            <w:r>
              <w:rPr>
                <w:rFonts w:hint="eastAsia" w:ascii="宋体" w:hAnsi="宋体" w:cs="Arial"/>
                <w:color w:val="auto"/>
                <w:sz w:val="18"/>
                <w:szCs w:val="18"/>
              </w:rPr>
              <w:t>三级防雷器，通流量为 20KA，响应时间≤25ns，380V6级防雷器</w:t>
            </w:r>
          </w:p>
        </w:tc>
        <w:tc>
          <w:tcPr>
            <w:tcW w:w="900" w:type="dxa"/>
            <w:tcBorders>
              <w:top w:val="nil"/>
              <w:left w:val="nil"/>
              <w:bottom w:val="single" w:color="auto" w:sz="4" w:space="0"/>
              <w:right w:val="single" w:color="auto" w:sz="4" w:space="0"/>
            </w:tcBorders>
            <w:vAlign w:val="center"/>
          </w:tcPr>
          <w:p w14:paraId="3F1EAA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9297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E68DAA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B4D4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1E37F9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安装附件</w:t>
            </w:r>
          </w:p>
        </w:tc>
        <w:tc>
          <w:tcPr>
            <w:tcW w:w="5717" w:type="dxa"/>
            <w:tcBorders>
              <w:top w:val="nil"/>
              <w:left w:val="nil"/>
              <w:bottom w:val="single" w:color="auto" w:sz="4" w:space="0"/>
              <w:right w:val="single" w:color="auto" w:sz="4" w:space="0"/>
            </w:tcBorders>
            <w:vAlign w:val="center"/>
          </w:tcPr>
          <w:p w14:paraId="64702F30">
            <w:pPr>
              <w:widowControl/>
              <w:spacing w:line="400" w:lineRule="exact"/>
              <w:jc w:val="left"/>
              <w:rPr>
                <w:rFonts w:ascii="宋体" w:hAnsi="宋体" w:cs="Arial"/>
                <w:color w:val="auto"/>
                <w:sz w:val="18"/>
                <w:szCs w:val="18"/>
              </w:rPr>
            </w:pPr>
            <w:r>
              <w:rPr>
                <w:rFonts w:hint="eastAsia" w:ascii="宋体" w:hAnsi="宋体" w:cs="Arial"/>
                <w:color w:val="auto"/>
                <w:sz w:val="18"/>
                <w:szCs w:val="18"/>
              </w:rPr>
              <w:t>空开、连接线、铜线鼻</w:t>
            </w:r>
          </w:p>
        </w:tc>
        <w:tc>
          <w:tcPr>
            <w:tcW w:w="900" w:type="dxa"/>
            <w:tcBorders>
              <w:top w:val="nil"/>
              <w:left w:val="nil"/>
              <w:bottom w:val="single" w:color="auto" w:sz="4" w:space="0"/>
              <w:right w:val="single" w:color="auto" w:sz="4" w:space="0"/>
            </w:tcBorders>
            <w:vAlign w:val="center"/>
          </w:tcPr>
          <w:p w14:paraId="3ECF29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C86E7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FC6D9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799DA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45CFD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铜芯电力电缆 (接地线缆)</w:t>
            </w:r>
          </w:p>
        </w:tc>
        <w:tc>
          <w:tcPr>
            <w:tcW w:w="5717" w:type="dxa"/>
            <w:tcBorders>
              <w:top w:val="nil"/>
              <w:left w:val="nil"/>
              <w:bottom w:val="single" w:color="auto" w:sz="4" w:space="0"/>
              <w:right w:val="single" w:color="auto" w:sz="4" w:space="0"/>
            </w:tcBorders>
            <w:vAlign w:val="center"/>
          </w:tcPr>
          <w:p w14:paraId="0E83A33D">
            <w:pPr>
              <w:widowControl/>
              <w:spacing w:line="400" w:lineRule="exact"/>
              <w:jc w:val="left"/>
              <w:rPr>
                <w:rFonts w:ascii="宋体" w:hAnsi="宋体" w:cs="Arial"/>
                <w:color w:val="auto"/>
                <w:sz w:val="18"/>
                <w:szCs w:val="18"/>
              </w:rPr>
            </w:pPr>
            <w:r>
              <w:rPr>
                <w:rFonts w:hint="eastAsia" w:ascii="宋体" w:hAnsi="宋体" w:cs="Arial"/>
                <w:color w:val="auto"/>
                <w:sz w:val="18"/>
                <w:szCs w:val="18"/>
              </w:rPr>
              <w:t>软电缆，ZR-BVR-50mm²</w:t>
            </w:r>
          </w:p>
        </w:tc>
        <w:tc>
          <w:tcPr>
            <w:tcW w:w="900" w:type="dxa"/>
            <w:tcBorders>
              <w:top w:val="nil"/>
              <w:left w:val="nil"/>
              <w:bottom w:val="single" w:color="auto" w:sz="4" w:space="0"/>
              <w:right w:val="single" w:color="auto" w:sz="4" w:space="0"/>
            </w:tcBorders>
            <w:vAlign w:val="center"/>
          </w:tcPr>
          <w:p w14:paraId="6B1A05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 </w:t>
            </w:r>
          </w:p>
        </w:tc>
        <w:tc>
          <w:tcPr>
            <w:tcW w:w="849" w:type="dxa"/>
            <w:gridSpan w:val="2"/>
            <w:tcBorders>
              <w:top w:val="nil"/>
              <w:left w:val="nil"/>
              <w:bottom w:val="single" w:color="auto" w:sz="4" w:space="0"/>
              <w:right w:val="single" w:color="auto" w:sz="4" w:space="0"/>
            </w:tcBorders>
            <w:vAlign w:val="center"/>
          </w:tcPr>
          <w:p w14:paraId="604345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E7140C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A9EF2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1ED968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接地跨接线</w:t>
            </w:r>
          </w:p>
        </w:tc>
        <w:tc>
          <w:tcPr>
            <w:tcW w:w="5717" w:type="dxa"/>
            <w:tcBorders>
              <w:top w:val="nil"/>
              <w:left w:val="nil"/>
              <w:bottom w:val="single" w:color="auto" w:sz="4" w:space="0"/>
              <w:right w:val="single" w:color="auto" w:sz="4" w:space="0"/>
            </w:tcBorders>
            <w:vAlign w:val="center"/>
          </w:tcPr>
          <w:p w14:paraId="159654FF">
            <w:pPr>
              <w:widowControl/>
              <w:spacing w:line="400" w:lineRule="exact"/>
              <w:jc w:val="left"/>
              <w:rPr>
                <w:rFonts w:ascii="宋体" w:hAnsi="宋体" w:cs="Arial"/>
                <w:color w:val="auto"/>
                <w:sz w:val="18"/>
                <w:szCs w:val="18"/>
              </w:rPr>
            </w:pPr>
            <w:r>
              <w:rPr>
                <w:rFonts w:hint="eastAsia" w:ascii="宋体" w:hAnsi="宋体" w:cs="Arial"/>
                <w:color w:val="auto"/>
                <w:sz w:val="18"/>
                <w:szCs w:val="18"/>
              </w:rPr>
              <w:t>软电缆，ZR-BVR-16mm²</w:t>
            </w:r>
          </w:p>
        </w:tc>
        <w:tc>
          <w:tcPr>
            <w:tcW w:w="900" w:type="dxa"/>
            <w:tcBorders>
              <w:top w:val="nil"/>
              <w:left w:val="nil"/>
              <w:bottom w:val="single" w:color="auto" w:sz="4" w:space="0"/>
              <w:right w:val="single" w:color="auto" w:sz="4" w:space="0"/>
            </w:tcBorders>
            <w:vAlign w:val="center"/>
          </w:tcPr>
          <w:p w14:paraId="434769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 </w:t>
            </w:r>
          </w:p>
        </w:tc>
        <w:tc>
          <w:tcPr>
            <w:tcW w:w="849" w:type="dxa"/>
            <w:gridSpan w:val="2"/>
            <w:tcBorders>
              <w:top w:val="nil"/>
              <w:left w:val="nil"/>
              <w:bottom w:val="single" w:color="auto" w:sz="4" w:space="0"/>
              <w:right w:val="single" w:color="auto" w:sz="4" w:space="0"/>
            </w:tcBorders>
            <w:vAlign w:val="center"/>
          </w:tcPr>
          <w:p w14:paraId="25B727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9A517D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CE7ECF">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1E3C2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等电位连接 (各金属体之间)</w:t>
            </w:r>
          </w:p>
        </w:tc>
        <w:tc>
          <w:tcPr>
            <w:tcW w:w="5717" w:type="dxa"/>
            <w:tcBorders>
              <w:top w:val="nil"/>
              <w:left w:val="nil"/>
              <w:bottom w:val="single" w:color="auto" w:sz="4" w:space="0"/>
              <w:right w:val="single" w:color="auto" w:sz="4" w:space="0"/>
            </w:tcBorders>
            <w:vAlign w:val="center"/>
          </w:tcPr>
          <w:p w14:paraId="79B18F17">
            <w:pPr>
              <w:widowControl/>
              <w:spacing w:line="400" w:lineRule="exact"/>
              <w:jc w:val="left"/>
              <w:rPr>
                <w:rFonts w:ascii="宋体" w:hAnsi="宋体" w:cs="Arial"/>
                <w:color w:val="auto"/>
                <w:sz w:val="18"/>
                <w:szCs w:val="18"/>
              </w:rPr>
            </w:pPr>
            <w:r>
              <w:rPr>
                <w:rFonts w:hint="eastAsia" w:ascii="宋体" w:hAnsi="宋体" w:cs="Arial"/>
                <w:color w:val="auto"/>
                <w:sz w:val="18"/>
                <w:szCs w:val="18"/>
              </w:rPr>
              <w:t>软电线，ZR-BVR-6mm²</w:t>
            </w:r>
          </w:p>
        </w:tc>
        <w:tc>
          <w:tcPr>
            <w:tcW w:w="900" w:type="dxa"/>
            <w:tcBorders>
              <w:top w:val="nil"/>
              <w:left w:val="nil"/>
              <w:bottom w:val="single" w:color="auto" w:sz="4" w:space="0"/>
              <w:right w:val="single" w:color="auto" w:sz="4" w:space="0"/>
            </w:tcBorders>
            <w:vAlign w:val="center"/>
          </w:tcPr>
          <w:p w14:paraId="2BCB50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center"/>
          </w:tcPr>
          <w:p w14:paraId="31D955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31B8ACA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9100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EBDD3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等电位端子箱(LEB)</w:t>
            </w:r>
          </w:p>
        </w:tc>
        <w:tc>
          <w:tcPr>
            <w:tcW w:w="5717" w:type="dxa"/>
            <w:tcBorders>
              <w:top w:val="nil"/>
              <w:left w:val="nil"/>
              <w:bottom w:val="single" w:color="auto" w:sz="4" w:space="0"/>
              <w:right w:val="single" w:color="auto" w:sz="4" w:space="0"/>
            </w:tcBorders>
            <w:vAlign w:val="center"/>
          </w:tcPr>
          <w:p w14:paraId="636E0203">
            <w:pPr>
              <w:widowControl/>
              <w:spacing w:line="400" w:lineRule="exact"/>
              <w:jc w:val="left"/>
              <w:rPr>
                <w:rFonts w:ascii="宋体" w:hAnsi="宋体" w:cs="Arial"/>
                <w:color w:val="auto"/>
                <w:sz w:val="18"/>
                <w:szCs w:val="18"/>
              </w:rPr>
            </w:pPr>
            <w:r>
              <w:rPr>
                <w:rFonts w:hint="eastAsia" w:ascii="宋体" w:hAnsi="宋体" w:cs="Arial"/>
                <w:color w:val="auto"/>
                <w:sz w:val="18"/>
                <w:szCs w:val="18"/>
              </w:rPr>
              <w:t>等电位连接端子箱，300*200*150mm</w:t>
            </w:r>
          </w:p>
        </w:tc>
        <w:tc>
          <w:tcPr>
            <w:tcW w:w="900" w:type="dxa"/>
            <w:tcBorders>
              <w:top w:val="nil"/>
              <w:left w:val="nil"/>
              <w:bottom w:val="single" w:color="auto" w:sz="4" w:space="0"/>
              <w:right w:val="single" w:color="auto" w:sz="4" w:space="0"/>
            </w:tcBorders>
            <w:vAlign w:val="center"/>
          </w:tcPr>
          <w:p w14:paraId="0E5024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39337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DF27C5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C4BE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5ABF30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等电位接地铜排</w:t>
            </w:r>
          </w:p>
        </w:tc>
        <w:tc>
          <w:tcPr>
            <w:tcW w:w="5717" w:type="dxa"/>
            <w:tcBorders>
              <w:top w:val="nil"/>
              <w:left w:val="nil"/>
              <w:bottom w:val="single" w:color="auto" w:sz="4" w:space="0"/>
              <w:right w:val="single" w:color="auto" w:sz="4" w:space="0"/>
            </w:tcBorders>
            <w:vAlign w:val="center"/>
          </w:tcPr>
          <w:p w14:paraId="73B0207A">
            <w:pPr>
              <w:widowControl/>
              <w:spacing w:line="400" w:lineRule="exact"/>
              <w:jc w:val="left"/>
              <w:rPr>
                <w:rFonts w:ascii="宋体" w:hAnsi="宋体" w:cs="Arial"/>
                <w:color w:val="auto"/>
                <w:sz w:val="18"/>
                <w:szCs w:val="18"/>
              </w:rPr>
            </w:pPr>
            <w:r>
              <w:rPr>
                <w:rFonts w:hint="eastAsia" w:ascii="宋体" w:hAnsi="宋体" w:cs="Arial"/>
                <w:color w:val="auto"/>
                <w:sz w:val="18"/>
                <w:szCs w:val="18"/>
              </w:rPr>
              <w:t>30×3mm 紫铜排</w:t>
            </w:r>
          </w:p>
        </w:tc>
        <w:tc>
          <w:tcPr>
            <w:tcW w:w="900" w:type="dxa"/>
            <w:tcBorders>
              <w:top w:val="nil"/>
              <w:left w:val="nil"/>
              <w:bottom w:val="single" w:color="auto" w:sz="4" w:space="0"/>
              <w:right w:val="single" w:color="auto" w:sz="4" w:space="0"/>
            </w:tcBorders>
            <w:vAlign w:val="center"/>
          </w:tcPr>
          <w:p w14:paraId="46DAD2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53C454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22409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9824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9AD591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铜排支撑</w:t>
            </w:r>
          </w:p>
        </w:tc>
        <w:tc>
          <w:tcPr>
            <w:tcW w:w="5717" w:type="dxa"/>
            <w:tcBorders>
              <w:top w:val="nil"/>
              <w:left w:val="nil"/>
              <w:bottom w:val="single" w:color="auto" w:sz="4" w:space="0"/>
              <w:right w:val="single" w:color="auto" w:sz="4" w:space="0"/>
            </w:tcBorders>
            <w:vAlign w:val="center"/>
          </w:tcPr>
          <w:p w14:paraId="1A3F1C20">
            <w:pPr>
              <w:widowControl/>
              <w:spacing w:line="400" w:lineRule="exact"/>
              <w:jc w:val="left"/>
              <w:rPr>
                <w:rFonts w:ascii="宋体" w:hAnsi="宋体" w:cs="Arial"/>
                <w:color w:val="auto"/>
                <w:sz w:val="18"/>
                <w:szCs w:val="18"/>
              </w:rPr>
            </w:pPr>
            <w:r>
              <w:rPr>
                <w:rFonts w:hint="eastAsia" w:ascii="宋体" w:hAnsi="宋体" w:cs="Arial"/>
                <w:color w:val="auto"/>
                <w:sz w:val="18"/>
                <w:szCs w:val="18"/>
              </w:rPr>
              <w:t>绝缘端子，M8 配套支撑件</w:t>
            </w:r>
          </w:p>
        </w:tc>
        <w:tc>
          <w:tcPr>
            <w:tcW w:w="900" w:type="dxa"/>
            <w:tcBorders>
              <w:top w:val="nil"/>
              <w:left w:val="nil"/>
              <w:bottom w:val="single" w:color="auto" w:sz="4" w:space="0"/>
              <w:right w:val="single" w:color="auto" w:sz="4" w:space="0"/>
            </w:tcBorders>
            <w:vAlign w:val="center"/>
          </w:tcPr>
          <w:p w14:paraId="0226B2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219B69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9536A3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8BFE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64A336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镀锌扁铁</w:t>
            </w:r>
          </w:p>
        </w:tc>
        <w:tc>
          <w:tcPr>
            <w:tcW w:w="5717" w:type="dxa"/>
            <w:tcBorders>
              <w:top w:val="nil"/>
              <w:left w:val="nil"/>
              <w:bottom w:val="single" w:color="auto" w:sz="4" w:space="0"/>
              <w:right w:val="single" w:color="auto" w:sz="4" w:space="0"/>
            </w:tcBorders>
            <w:vAlign w:val="center"/>
          </w:tcPr>
          <w:p w14:paraId="6478503F">
            <w:pPr>
              <w:widowControl/>
              <w:spacing w:line="400" w:lineRule="exact"/>
              <w:jc w:val="left"/>
              <w:rPr>
                <w:rFonts w:ascii="宋体" w:hAnsi="宋体" w:cs="Arial"/>
                <w:color w:val="auto"/>
                <w:sz w:val="18"/>
                <w:szCs w:val="18"/>
              </w:rPr>
            </w:pPr>
            <w:r>
              <w:rPr>
                <w:rFonts w:hint="eastAsia" w:ascii="宋体" w:hAnsi="宋体" w:cs="Arial"/>
                <w:color w:val="auto"/>
                <w:sz w:val="18"/>
                <w:szCs w:val="18"/>
              </w:rPr>
              <w:t>40×4mm</w:t>
            </w:r>
          </w:p>
        </w:tc>
        <w:tc>
          <w:tcPr>
            <w:tcW w:w="900" w:type="dxa"/>
            <w:tcBorders>
              <w:top w:val="nil"/>
              <w:left w:val="nil"/>
              <w:bottom w:val="single" w:color="auto" w:sz="4" w:space="0"/>
              <w:right w:val="single" w:color="auto" w:sz="4" w:space="0"/>
            </w:tcBorders>
            <w:vAlign w:val="center"/>
          </w:tcPr>
          <w:p w14:paraId="76AB5B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26DB62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E1672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1D92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298DC5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辅助材料</w:t>
            </w:r>
          </w:p>
        </w:tc>
        <w:tc>
          <w:tcPr>
            <w:tcW w:w="5717" w:type="dxa"/>
            <w:tcBorders>
              <w:top w:val="nil"/>
              <w:left w:val="nil"/>
              <w:bottom w:val="single" w:color="auto" w:sz="4" w:space="0"/>
              <w:right w:val="single" w:color="auto" w:sz="4" w:space="0"/>
            </w:tcBorders>
            <w:vAlign w:val="center"/>
          </w:tcPr>
          <w:p w14:paraId="3ED642DB">
            <w:pPr>
              <w:widowControl/>
              <w:spacing w:line="400" w:lineRule="exact"/>
              <w:jc w:val="left"/>
              <w:rPr>
                <w:rFonts w:ascii="宋体" w:hAnsi="宋体" w:cs="Arial"/>
                <w:color w:val="auto"/>
                <w:sz w:val="18"/>
                <w:szCs w:val="18"/>
              </w:rPr>
            </w:pPr>
            <w:r>
              <w:rPr>
                <w:rFonts w:hint="eastAsia" w:ascii="宋体" w:hAnsi="宋体" w:cs="Arial"/>
                <w:color w:val="auto"/>
                <w:sz w:val="18"/>
                <w:szCs w:val="18"/>
              </w:rPr>
              <w:t>安装防雷接地系统所需零配件等辅助材料</w:t>
            </w:r>
          </w:p>
        </w:tc>
        <w:tc>
          <w:tcPr>
            <w:tcW w:w="900" w:type="dxa"/>
            <w:tcBorders>
              <w:top w:val="nil"/>
              <w:left w:val="nil"/>
              <w:bottom w:val="single" w:color="auto" w:sz="4" w:space="0"/>
              <w:right w:val="single" w:color="auto" w:sz="4" w:space="0"/>
            </w:tcBorders>
            <w:vAlign w:val="center"/>
          </w:tcPr>
          <w:p w14:paraId="3CCFB4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47F1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ECEA2C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E23CF25">
            <w:pPr>
              <w:widowControl/>
              <w:spacing w:line="400" w:lineRule="exact"/>
              <w:jc w:val="left"/>
              <w:rPr>
                <w:rFonts w:ascii="宋体" w:hAnsi="宋体" w:cs="Arial"/>
                <w:color w:val="auto"/>
                <w:sz w:val="18"/>
                <w:szCs w:val="18"/>
              </w:rPr>
            </w:pPr>
            <w:r>
              <w:rPr>
                <w:rFonts w:hint="eastAsia" w:ascii="宋体" w:hAnsi="宋体" w:cs="Arial"/>
                <w:color w:val="auto"/>
                <w:sz w:val="18"/>
                <w:szCs w:val="18"/>
              </w:rPr>
              <w:t>气体消防系统</w:t>
            </w:r>
          </w:p>
        </w:tc>
      </w:tr>
      <w:tr w14:paraId="7582972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4741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0B40E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气体灭火柜</w:t>
            </w:r>
          </w:p>
        </w:tc>
        <w:tc>
          <w:tcPr>
            <w:tcW w:w="5717" w:type="dxa"/>
            <w:tcBorders>
              <w:top w:val="nil"/>
              <w:left w:val="nil"/>
              <w:bottom w:val="single" w:color="auto" w:sz="4" w:space="0"/>
              <w:right w:val="single" w:color="auto" w:sz="4" w:space="0"/>
            </w:tcBorders>
            <w:vAlign w:val="center"/>
          </w:tcPr>
          <w:p w14:paraId="068B9B29">
            <w:pPr>
              <w:widowControl/>
              <w:spacing w:line="400" w:lineRule="exact"/>
              <w:jc w:val="left"/>
              <w:rPr>
                <w:rFonts w:ascii="宋体" w:hAnsi="宋体" w:cs="Arial"/>
                <w:color w:val="auto"/>
                <w:sz w:val="18"/>
                <w:szCs w:val="18"/>
              </w:rPr>
            </w:pPr>
            <w:r>
              <w:rPr>
                <w:rFonts w:hint="eastAsia" w:ascii="宋体" w:hAnsi="宋体" w:cs="Arial"/>
                <w:color w:val="auto"/>
                <w:sz w:val="18"/>
                <w:szCs w:val="18"/>
              </w:rPr>
              <w:t>70L 气体灭火柜</w:t>
            </w:r>
          </w:p>
        </w:tc>
        <w:tc>
          <w:tcPr>
            <w:tcW w:w="900" w:type="dxa"/>
            <w:tcBorders>
              <w:top w:val="nil"/>
              <w:left w:val="nil"/>
              <w:bottom w:val="single" w:color="auto" w:sz="4" w:space="0"/>
              <w:right w:val="single" w:color="auto" w:sz="4" w:space="0"/>
            </w:tcBorders>
            <w:vAlign w:val="center"/>
          </w:tcPr>
          <w:p w14:paraId="34CC1B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53D8E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726F2A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EE77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06F62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七氟丙烷气体</w:t>
            </w:r>
          </w:p>
        </w:tc>
        <w:tc>
          <w:tcPr>
            <w:tcW w:w="5717" w:type="dxa"/>
            <w:tcBorders>
              <w:top w:val="nil"/>
              <w:left w:val="nil"/>
              <w:bottom w:val="single" w:color="auto" w:sz="4" w:space="0"/>
              <w:right w:val="single" w:color="auto" w:sz="4" w:space="0"/>
            </w:tcBorders>
            <w:vAlign w:val="center"/>
          </w:tcPr>
          <w:p w14:paraId="3C2794DA">
            <w:pPr>
              <w:widowControl/>
              <w:spacing w:line="400" w:lineRule="exact"/>
              <w:jc w:val="left"/>
              <w:rPr>
                <w:rFonts w:ascii="宋体" w:hAnsi="宋体" w:cs="Arial"/>
                <w:color w:val="auto"/>
                <w:sz w:val="18"/>
                <w:szCs w:val="18"/>
              </w:rPr>
            </w:pPr>
            <w:r>
              <w:rPr>
                <w:rFonts w:hint="eastAsia" w:ascii="宋体" w:hAnsi="宋体" w:cs="Arial"/>
                <w:color w:val="auto"/>
                <w:sz w:val="18"/>
                <w:szCs w:val="18"/>
              </w:rPr>
              <w:t>七氟丙烷气体 HFC-227ea，洁净型</w:t>
            </w:r>
          </w:p>
        </w:tc>
        <w:tc>
          <w:tcPr>
            <w:tcW w:w="900" w:type="dxa"/>
            <w:tcBorders>
              <w:top w:val="nil"/>
              <w:left w:val="nil"/>
              <w:bottom w:val="single" w:color="auto" w:sz="4" w:space="0"/>
              <w:right w:val="single" w:color="auto" w:sz="4" w:space="0"/>
            </w:tcBorders>
            <w:vAlign w:val="center"/>
          </w:tcPr>
          <w:p w14:paraId="55864B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40.00 </w:t>
            </w:r>
          </w:p>
        </w:tc>
        <w:tc>
          <w:tcPr>
            <w:tcW w:w="849" w:type="dxa"/>
            <w:gridSpan w:val="2"/>
            <w:tcBorders>
              <w:top w:val="nil"/>
              <w:left w:val="nil"/>
              <w:bottom w:val="single" w:color="auto" w:sz="4" w:space="0"/>
              <w:right w:val="single" w:color="auto" w:sz="4" w:space="0"/>
            </w:tcBorders>
            <w:vAlign w:val="center"/>
          </w:tcPr>
          <w:p w14:paraId="1C02EC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kg</w:t>
            </w:r>
          </w:p>
        </w:tc>
      </w:tr>
      <w:tr w14:paraId="5E6E893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3816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ED1CB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火灾报警控制器</w:t>
            </w:r>
          </w:p>
        </w:tc>
        <w:tc>
          <w:tcPr>
            <w:tcW w:w="5717" w:type="dxa"/>
            <w:tcBorders>
              <w:top w:val="nil"/>
              <w:left w:val="nil"/>
              <w:bottom w:val="single" w:color="auto" w:sz="4" w:space="0"/>
              <w:right w:val="single" w:color="auto" w:sz="4" w:space="0"/>
            </w:tcBorders>
            <w:vAlign w:val="center"/>
          </w:tcPr>
          <w:p w14:paraId="116A059C">
            <w:pPr>
              <w:widowControl/>
              <w:spacing w:line="400" w:lineRule="exact"/>
              <w:jc w:val="left"/>
              <w:rPr>
                <w:rFonts w:ascii="宋体" w:hAnsi="宋体" w:cs="Arial"/>
                <w:color w:val="auto"/>
                <w:sz w:val="18"/>
                <w:szCs w:val="18"/>
              </w:rPr>
            </w:pPr>
            <w:r>
              <w:rPr>
                <w:rFonts w:hint="eastAsia" w:ascii="宋体" w:hAnsi="宋体" w:cs="Arial"/>
                <w:color w:val="auto"/>
                <w:sz w:val="18"/>
                <w:szCs w:val="18"/>
              </w:rPr>
              <w:t>火灾报警控制器 (联动型)，壁挂式</w:t>
            </w:r>
          </w:p>
        </w:tc>
        <w:tc>
          <w:tcPr>
            <w:tcW w:w="900" w:type="dxa"/>
            <w:tcBorders>
              <w:top w:val="nil"/>
              <w:left w:val="nil"/>
              <w:bottom w:val="single" w:color="auto" w:sz="4" w:space="0"/>
              <w:right w:val="single" w:color="auto" w:sz="4" w:space="0"/>
            </w:tcBorders>
            <w:vAlign w:val="center"/>
          </w:tcPr>
          <w:p w14:paraId="2B65DE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E1A9F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FE85EB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9323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14D33B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气体灭火控制器</w:t>
            </w:r>
          </w:p>
        </w:tc>
        <w:tc>
          <w:tcPr>
            <w:tcW w:w="5717" w:type="dxa"/>
            <w:tcBorders>
              <w:top w:val="nil"/>
              <w:left w:val="nil"/>
              <w:bottom w:val="single" w:color="auto" w:sz="4" w:space="0"/>
              <w:right w:val="single" w:color="auto" w:sz="4" w:space="0"/>
            </w:tcBorders>
            <w:vAlign w:val="center"/>
          </w:tcPr>
          <w:p w14:paraId="0699181C">
            <w:pPr>
              <w:widowControl/>
              <w:spacing w:line="400" w:lineRule="exact"/>
              <w:jc w:val="left"/>
              <w:rPr>
                <w:rFonts w:ascii="宋体" w:hAnsi="宋体" w:cs="Arial"/>
                <w:color w:val="auto"/>
                <w:sz w:val="18"/>
                <w:szCs w:val="18"/>
              </w:rPr>
            </w:pPr>
            <w:r>
              <w:rPr>
                <w:rFonts w:hint="eastAsia" w:ascii="宋体" w:hAnsi="宋体" w:cs="Arial"/>
                <w:color w:val="auto"/>
                <w:sz w:val="18"/>
                <w:szCs w:val="18"/>
              </w:rPr>
              <w:t>气体灭火控制器，壁挂式</w:t>
            </w:r>
          </w:p>
        </w:tc>
        <w:tc>
          <w:tcPr>
            <w:tcW w:w="900" w:type="dxa"/>
            <w:tcBorders>
              <w:top w:val="nil"/>
              <w:left w:val="nil"/>
              <w:bottom w:val="single" w:color="auto" w:sz="4" w:space="0"/>
              <w:right w:val="single" w:color="auto" w:sz="4" w:space="0"/>
            </w:tcBorders>
            <w:vAlign w:val="center"/>
          </w:tcPr>
          <w:p w14:paraId="3A3E9B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EF09D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CCD547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086CB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5E2D73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温感探头</w:t>
            </w:r>
          </w:p>
        </w:tc>
        <w:tc>
          <w:tcPr>
            <w:tcW w:w="5717" w:type="dxa"/>
            <w:tcBorders>
              <w:top w:val="nil"/>
              <w:left w:val="nil"/>
              <w:bottom w:val="single" w:color="auto" w:sz="4" w:space="0"/>
              <w:right w:val="single" w:color="auto" w:sz="4" w:space="0"/>
            </w:tcBorders>
            <w:vAlign w:val="center"/>
          </w:tcPr>
          <w:p w14:paraId="10BDCCD7">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光电型温感探测器</w:t>
            </w:r>
          </w:p>
        </w:tc>
        <w:tc>
          <w:tcPr>
            <w:tcW w:w="900" w:type="dxa"/>
            <w:tcBorders>
              <w:top w:val="nil"/>
              <w:left w:val="nil"/>
              <w:bottom w:val="single" w:color="auto" w:sz="4" w:space="0"/>
              <w:right w:val="single" w:color="auto" w:sz="4" w:space="0"/>
            </w:tcBorders>
            <w:vAlign w:val="center"/>
          </w:tcPr>
          <w:p w14:paraId="5C6809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E50CC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1307EC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2E7F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EE986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烟感探头</w:t>
            </w:r>
          </w:p>
        </w:tc>
        <w:tc>
          <w:tcPr>
            <w:tcW w:w="5717" w:type="dxa"/>
            <w:tcBorders>
              <w:top w:val="nil"/>
              <w:left w:val="nil"/>
              <w:bottom w:val="single" w:color="auto" w:sz="4" w:space="0"/>
              <w:right w:val="single" w:color="auto" w:sz="4" w:space="0"/>
            </w:tcBorders>
            <w:vAlign w:val="center"/>
          </w:tcPr>
          <w:p w14:paraId="0FE4800D">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光电型烟雾探测器</w:t>
            </w:r>
          </w:p>
        </w:tc>
        <w:tc>
          <w:tcPr>
            <w:tcW w:w="900" w:type="dxa"/>
            <w:tcBorders>
              <w:top w:val="nil"/>
              <w:left w:val="nil"/>
              <w:bottom w:val="single" w:color="auto" w:sz="4" w:space="0"/>
              <w:right w:val="single" w:color="auto" w:sz="4" w:space="0"/>
            </w:tcBorders>
            <w:vAlign w:val="center"/>
          </w:tcPr>
          <w:p w14:paraId="4C111A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73898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9E795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7B93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BD174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气体终端模块</w:t>
            </w:r>
          </w:p>
        </w:tc>
        <w:tc>
          <w:tcPr>
            <w:tcW w:w="5717" w:type="dxa"/>
            <w:tcBorders>
              <w:top w:val="nil"/>
              <w:left w:val="nil"/>
              <w:bottom w:val="single" w:color="auto" w:sz="4" w:space="0"/>
              <w:right w:val="single" w:color="auto" w:sz="4" w:space="0"/>
            </w:tcBorders>
            <w:vAlign w:val="center"/>
          </w:tcPr>
          <w:p w14:paraId="3D6F86A1">
            <w:pPr>
              <w:widowControl/>
              <w:spacing w:line="400" w:lineRule="exact"/>
              <w:jc w:val="left"/>
              <w:rPr>
                <w:rFonts w:ascii="宋体" w:hAnsi="宋体" w:cs="Arial"/>
                <w:color w:val="auto"/>
                <w:sz w:val="18"/>
                <w:szCs w:val="18"/>
              </w:rPr>
            </w:pPr>
            <w:r>
              <w:rPr>
                <w:rFonts w:hint="eastAsia" w:ascii="宋体" w:hAnsi="宋体" w:cs="Arial"/>
                <w:color w:val="auto"/>
                <w:sz w:val="18"/>
                <w:szCs w:val="18"/>
              </w:rPr>
              <w:t>气体终端模块，配套</w:t>
            </w:r>
          </w:p>
        </w:tc>
        <w:tc>
          <w:tcPr>
            <w:tcW w:w="900" w:type="dxa"/>
            <w:tcBorders>
              <w:top w:val="nil"/>
              <w:left w:val="nil"/>
              <w:bottom w:val="single" w:color="auto" w:sz="4" w:space="0"/>
              <w:right w:val="single" w:color="auto" w:sz="4" w:space="0"/>
            </w:tcBorders>
            <w:vAlign w:val="center"/>
          </w:tcPr>
          <w:p w14:paraId="7A8C9B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F3406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FE0DF3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6A02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41E287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输入输出模块</w:t>
            </w:r>
          </w:p>
        </w:tc>
        <w:tc>
          <w:tcPr>
            <w:tcW w:w="5717" w:type="dxa"/>
            <w:tcBorders>
              <w:top w:val="nil"/>
              <w:left w:val="nil"/>
              <w:bottom w:val="single" w:color="auto" w:sz="4" w:space="0"/>
              <w:right w:val="single" w:color="auto" w:sz="4" w:space="0"/>
            </w:tcBorders>
            <w:vAlign w:val="center"/>
          </w:tcPr>
          <w:p w14:paraId="2A739129">
            <w:pPr>
              <w:widowControl/>
              <w:spacing w:line="400" w:lineRule="exact"/>
              <w:jc w:val="left"/>
              <w:rPr>
                <w:rFonts w:ascii="宋体" w:hAnsi="宋体" w:cs="Arial"/>
                <w:color w:val="auto"/>
                <w:sz w:val="18"/>
                <w:szCs w:val="18"/>
              </w:rPr>
            </w:pPr>
            <w:r>
              <w:rPr>
                <w:rFonts w:hint="eastAsia" w:ascii="宋体" w:hAnsi="宋体" w:cs="Arial"/>
                <w:color w:val="auto"/>
                <w:sz w:val="18"/>
                <w:szCs w:val="18"/>
              </w:rPr>
              <w:t>输入输出模块，配套</w:t>
            </w:r>
          </w:p>
        </w:tc>
        <w:tc>
          <w:tcPr>
            <w:tcW w:w="900" w:type="dxa"/>
            <w:tcBorders>
              <w:top w:val="nil"/>
              <w:left w:val="nil"/>
              <w:bottom w:val="single" w:color="auto" w:sz="4" w:space="0"/>
              <w:right w:val="single" w:color="auto" w:sz="4" w:space="0"/>
            </w:tcBorders>
            <w:vAlign w:val="center"/>
          </w:tcPr>
          <w:p w14:paraId="2E949C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5116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296C3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E11D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745BC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紧急启动/停止按钮</w:t>
            </w:r>
          </w:p>
        </w:tc>
        <w:tc>
          <w:tcPr>
            <w:tcW w:w="5717" w:type="dxa"/>
            <w:tcBorders>
              <w:top w:val="nil"/>
              <w:left w:val="nil"/>
              <w:bottom w:val="single" w:color="auto" w:sz="4" w:space="0"/>
              <w:right w:val="single" w:color="auto" w:sz="4" w:space="0"/>
            </w:tcBorders>
            <w:vAlign w:val="center"/>
          </w:tcPr>
          <w:p w14:paraId="5966FFAB">
            <w:pPr>
              <w:widowControl/>
              <w:spacing w:line="400" w:lineRule="exact"/>
              <w:jc w:val="left"/>
              <w:rPr>
                <w:rFonts w:ascii="宋体" w:hAnsi="宋体" w:cs="Arial"/>
                <w:color w:val="auto"/>
                <w:sz w:val="18"/>
                <w:szCs w:val="18"/>
              </w:rPr>
            </w:pPr>
            <w:r>
              <w:rPr>
                <w:rFonts w:hint="eastAsia" w:ascii="宋体" w:hAnsi="宋体" w:cs="Arial"/>
                <w:color w:val="auto"/>
                <w:sz w:val="18"/>
                <w:szCs w:val="18"/>
              </w:rPr>
              <w:t>紧急启动/停止按钮，配套</w:t>
            </w:r>
          </w:p>
        </w:tc>
        <w:tc>
          <w:tcPr>
            <w:tcW w:w="900" w:type="dxa"/>
            <w:tcBorders>
              <w:top w:val="nil"/>
              <w:left w:val="nil"/>
              <w:bottom w:val="single" w:color="auto" w:sz="4" w:space="0"/>
              <w:right w:val="single" w:color="auto" w:sz="4" w:space="0"/>
            </w:tcBorders>
            <w:vAlign w:val="center"/>
          </w:tcPr>
          <w:p w14:paraId="5F6B2E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DF1DC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95E7EB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CE5DC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7956FE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放气指示灯</w:t>
            </w:r>
          </w:p>
        </w:tc>
        <w:tc>
          <w:tcPr>
            <w:tcW w:w="5717" w:type="dxa"/>
            <w:tcBorders>
              <w:top w:val="nil"/>
              <w:left w:val="nil"/>
              <w:bottom w:val="single" w:color="auto" w:sz="4" w:space="0"/>
              <w:right w:val="single" w:color="auto" w:sz="4" w:space="0"/>
            </w:tcBorders>
            <w:vAlign w:val="center"/>
          </w:tcPr>
          <w:p w14:paraId="1976E364">
            <w:pPr>
              <w:widowControl/>
              <w:spacing w:line="400" w:lineRule="exact"/>
              <w:jc w:val="left"/>
              <w:rPr>
                <w:rFonts w:ascii="宋体" w:hAnsi="宋体" w:cs="Arial"/>
                <w:color w:val="auto"/>
                <w:sz w:val="18"/>
                <w:szCs w:val="18"/>
              </w:rPr>
            </w:pPr>
            <w:r>
              <w:rPr>
                <w:rFonts w:hint="eastAsia" w:ascii="宋体" w:hAnsi="宋体" w:cs="Arial"/>
                <w:color w:val="auto"/>
                <w:sz w:val="18"/>
                <w:szCs w:val="18"/>
              </w:rPr>
              <w:t>放气指示灯，配套</w:t>
            </w:r>
          </w:p>
        </w:tc>
        <w:tc>
          <w:tcPr>
            <w:tcW w:w="900" w:type="dxa"/>
            <w:tcBorders>
              <w:top w:val="nil"/>
              <w:left w:val="nil"/>
              <w:bottom w:val="single" w:color="auto" w:sz="4" w:space="0"/>
              <w:right w:val="single" w:color="auto" w:sz="4" w:space="0"/>
            </w:tcBorders>
            <w:vAlign w:val="center"/>
          </w:tcPr>
          <w:p w14:paraId="00FE21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04EC8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4963416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2FCA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969D9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消防警铃</w:t>
            </w:r>
          </w:p>
        </w:tc>
        <w:tc>
          <w:tcPr>
            <w:tcW w:w="5717" w:type="dxa"/>
            <w:tcBorders>
              <w:top w:val="nil"/>
              <w:left w:val="nil"/>
              <w:bottom w:val="single" w:color="auto" w:sz="4" w:space="0"/>
              <w:right w:val="single" w:color="auto" w:sz="4" w:space="0"/>
            </w:tcBorders>
            <w:vAlign w:val="center"/>
          </w:tcPr>
          <w:p w14:paraId="4CD0E0EC">
            <w:pPr>
              <w:widowControl/>
              <w:spacing w:line="400" w:lineRule="exact"/>
              <w:jc w:val="left"/>
              <w:rPr>
                <w:rFonts w:ascii="宋体" w:hAnsi="宋体" w:cs="Arial"/>
                <w:color w:val="auto"/>
                <w:sz w:val="18"/>
                <w:szCs w:val="18"/>
              </w:rPr>
            </w:pPr>
            <w:r>
              <w:rPr>
                <w:rFonts w:hint="eastAsia" w:ascii="宋体" w:hAnsi="宋体" w:cs="Arial"/>
                <w:color w:val="auto"/>
                <w:sz w:val="18"/>
                <w:szCs w:val="18"/>
              </w:rPr>
              <w:t>消防警铃，配套</w:t>
            </w:r>
          </w:p>
        </w:tc>
        <w:tc>
          <w:tcPr>
            <w:tcW w:w="900" w:type="dxa"/>
            <w:tcBorders>
              <w:top w:val="nil"/>
              <w:left w:val="nil"/>
              <w:bottom w:val="single" w:color="auto" w:sz="4" w:space="0"/>
              <w:right w:val="single" w:color="auto" w:sz="4" w:space="0"/>
            </w:tcBorders>
            <w:vAlign w:val="center"/>
          </w:tcPr>
          <w:p w14:paraId="045189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05ED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32FEB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FD092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7F8AD4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泄压口</w:t>
            </w:r>
          </w:p>
        </w:tc>
        <w:tc>
          <w:tcPr>
            <w:tcW w:w="5717" w:type="dxa"/>
            <w:tcBorders>
              <w:top w:val="nil"/>
              <w:left w:val="nil"/>
              <w:bottom w:val="single" w:color="auto" w:sz="4" w:space="0"/>
              <w:right w:val="single" w:color="auto" w:sz="4" w:space="0"/>
            </w:tcBorders>
            <w:vAlign w:val="center"/>
          </w:tcPr>
          <w:p w14:paraId="0C06CB4E">
            <w:pPr>
              <w:widowControl/>
              <w:spacing w:line="400" w:lineRule="exact"/>
              <w:jc w:val="left"/>
              <w:rPr>
                <w:rFonts w:ascii="宋体" w:hAnsi="宋体" w:cs="Arial"/>
                <w:color w:val="auto"/>
                <w:sz w:val="18"/>
                <w:szCs w:val="18"/>
              </w:rPr>
            </w:pPr>
            <w:r>
              <w:rPr>
                <w:rFonts w:hint="eastAsia" w:ascii="宋体" w:hAnsi="宋体" w:cs="Arial"/>
                <w:color w:val="auto"/>
                <w:sz w:val="18"/>
                <w:szCs w:val="18"/>
              </w:rPr>
              <w:t>泄压口，定制，满足甲方使用要求</w:t>
            </w:r>
          </w:p>
        </w:tc>
        <w:tc>
          <w:tcPr>
            <w:tcW w:w="900" w:type="dxa"/>
            <w:tcBorders>
              <w:top w:val="nil"/>
              <w:left w:val="nil"/>
              <w:bottom w:val="single" w:color="auto" w:sz="4" w:space="0"/>
              <w:right w:val="single" w:color="auto" w:sz="4" w:space="0"/>
            </w:tcBorders>
            <w:vAlign w:val="center"/>
          </w:tcPr>
          <w:p w14:paraId="7BB227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A64E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68B5F8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6436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0F89F5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辅助材料</w:t>
            </w:r>
          </w:p>
        </w:tc>
        <w:tc>
          <w:tcPr>
            <w:tcW w:w="5717" w:type="dxa"/>
            <w:tcBorders>
              <w:top w:val="nil"/>
              <w:left w:val="nil"/>
              <w:bottom w:val="single" w:color="auto" w:sz="4" w:space="0"/>
              <w:right w:val="single" w:color="auto" w:sz="4" w:space="0"/>
            </w:tcBorders>
            <w:vAlign w:val="center"/>
          </w:tcPr>
          <w:p w14:paraId="3AA6B3E0">
            <w:pPr>
              <w:widowControl/>
              <w:spacing w:line="400" w:lineRule="exact"/>
              <w:jc w:val="left"/>
              <w:rPr>
                <w:rFonts w:ascii="宋体" w:hAnsi="宋体" w:cs="Arial"/>
                <w:color w:val="auto"/>
                <w:sz w:val="18"/>
                <w:szCs w:val="18"/>
              </w:rPr>
            </w:pPr>
            <w:r>
              <w:rPr>
                <w:rFonts w:hint="eastAsia" w:ascii="宋体" w:hAnsi="宋体" w:cs="Arial"/>
                <w:color w:val="auto"/>
                <w:sz w:val="18"/>
                <w:szCs w:val="18"/>
              </w:rPr>
              <w:t>安装气体消防所需要的相关零配件等辅助材料</w:t>
            </w:r>
          </w:p>
        </w:tc>
        <w:tc>
          <w:tcPr>
            <w:tcW w:w="900" w:type="dxa"/>
            <w:tcBorders>
              <w:top w:val="nil"/>
              <w:left w:val="nil"/>
              <w:bottom w:val="single" w:color="auto" w:sz="4" w:space="0"/>
              <w:right w:val="single" w:color="auto" w:sz="4" w:space="0"/>
            </w:tcBorders>
            <w:vAlign w:val="center"/>
          </w:tcPr>
          <w:p w14:paraId="284F77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BA3D0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3DEBB0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BDC0CAA">
            <w:pPr>
              <w:widowControl/>
              <w:spacing w:line="400" w:lineRule="exact"/>
              <w:jc w:val="left"/>
              <w:rPr>
                <w:rFonts w:ascii="宋体" w:hAnsi="宋体" w:cs="Arial"/>
                <w:color w:val="auto"/>
                <w:sz w:val="18"/>
                <w:szCs w:val="18"/>
              </w:rPr>
            </w:pPr>
            <w:r>
              <w:rPr>
                <w:rFonts w:hint="eastAsia" w:ascii="宋体" w:hAnsi="宋体" w:cs="Arial"/>
                <w:color w:val="auto"/>
                <w:sz w:val="18"/>
                <w:szCs w:val="18"/>
              </w:rPr>
              <w:t>机柜及布线系统</w:t>
            </w:r>
          </w:p>
        </w:tc>
      </w:tr>
      <w:tr w14:paraId="6F68BFB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BB1E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F8CAA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服务器机柜</w:t>
            </w:r>
          </w:p>
        </w:tc>
        <w:tc>
          <w:tcPr>
            <w:tcW w:w="5717" w:type="dxa"/>
            <w:tcBorders>
              <w:top w:val="nil"/>
              <w:left w:val="nil"/>
              <w:bottom w:val="single" w:color="auto" w:sz="4" w:space="0"/>
              <w:right w:val="single" w:color="auto" w:sz="4" w:space="0"/>
            </w:tcBorders>
            <w:vAlign w:val="center"/>
          </w:tcPr>
          <w:p w14:paraId="526D209C">
            <w:pPr>
              <w:widowControl/>
              <w:spacing w:line="400" w:lineRule="exact"/>
              <w:jc w:val="left"/>
              <w:rPr>
                <w:rFonts w:ascii="宋体" w:hAnsi="宋体" w:cs="Arial"/>
                <w:color w:val="auto"/>
                <w:sz w:val="18"/>
                <w:szCs w:val="18"/>
              </w:rPr>
            </w:pPr>
            <w:r>
              <w:rPr>
                <w:rFonts w:hint="eastAsia" w:ascii="宋体" w:hAnsi="宋体" w:cs="Arial"/>
                <w:color w:val="auto"/>
                <w:sz w:val="18"/>
                <w:szCs w:val="18"/>
              </w:rPr>
              <w:t>服务器机柜，600*1200*2000mm</w:t>
            </w:r>
          </w:p>
        </w:tc>
        <w:tc>
          <w:tcPr>
            <w:tcW w:w="900" w:type="dxa"/>
            <w:tcBorders>
              <w:top w:val="nil"/>
              <w:left w:val="nil"/>
              <w:bottom w:val="single" w:color="auto" w:sz="4" w:space="0"/>
              <w:right w:val="single" w:color="auto" w:sz="4" w:space="0"/>
            </w:tcBorders>
            <w:vAlign w:val="center"/>
          </w:tcPr>
          <w:p w14:paraId="3F88F1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0397BE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ADE7E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8F75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A977A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网线</w:t>
            </w:r>
          </w:p>
        </w:tc>
        <w:tc>
          <w:tcPr>
            <w:tcW w:w="5717" w:type="dxa"/>
            <w:tcBorders>
              <w:top w:val="nil"/>
              <w:left w:val="nil"/>
              <w:bottom w:val="single" w:color="auto" w:sz="4" w:space="0"/>
              <w:right w:val="single" w:color="auto" w:sz="4" w:space="0"/>
            </w:tcBorders>
            <w:vAlign w:val="center"/>
          </w:tcPr>
          <w:p w14:paraId="603921C4">
            <w:pPr>
              <w:widowControl/>
              <w:spacing w:line="400" w:lineRule="exact"/>
              <w:jc w:val="left"/>
              <w:rPr>
                <w:rFonts w:ascii="宋体" w:hAnsi="宋体" w:cs="Arial"/>
                <w:color w:val="auto"/>
                <w:sz w:val="18"/>
                <w:szCs w:val="18"/>
              </w:rPr>
            </w:pPr>
            <w:r>
              <w:rPr>
                <w:rFonts w:hint="eastAsia" w:ascii="宋体" w:hAnsi="宋体" w:cs="Arial"/>
                <w:color w:val="auto"/>
                <w:sz w:val="18"/>
                <w:szCs w:val="18"/>
              </w:rPr>
              <w:t>导线材料：铜，305 米/箱</w:t>
            </w:r>
          </w:p>
        </w:tc>
        <w:tc>
          <w:tcPr>
            <w:tcW w:w="900" w:type="dxa"/>
            <w:tcBorders>
              <w:top w:val="nil"/>
              <w:left w:val="nil"/>
              <w:bottom w:val="single" w:color="auto" w:sz="4" w:space="0"/>
              <w:right w:val="single" w:color="auto" w:sz="4" w:space="0"/>
            </w:tcBorders>
            <w:vAlign w:val="center"/>
          </w:tcPr>
          <w:p w14:paraId="0AD151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1B2F26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箱</w:t>
            </w:r>
          </w:p>
        </w:tc>
      </w:tr>
      <w:tr w14:paraId="421C421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A78C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6AB3C3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口配线架</w:t>
            </w:r>
          </w:p>
        </w:tc>
        <w:tc>
          <w:tcPr>
            <w:tcW w:w="5717" w:type="dxa"/>
            <w:tcBorders>
              <w:top w:val="nil"/>
              <w:left w:val="nil"/>
              <w:bottom w:val="single" w:color="auto" w:sz="4" w:space="0"/>
              <w:right w:val="single" w:color="auto" w:sz="4" w:space="0"/>
            </w:tcBorders>
            <w:vAlign w:val="center"/>
          </w:tcPr>
          <w:p w14:paraId="0D6E78B1">
            <w:pPr>
              <w:widowControl/>
              <w:spacing w:line="400" w:lineRule="exact"/>
              <w:jc w:val="left"/>
              <w:rPr>
                <w:rFonts w:ascii="宋体" w:hAnsi="宋体" w:cs="Arial"/>
                <w:color w:val="auto"/>
                <w:sz w:val="18"/>
                <w:szCs w:val="18"/>
              </w:rPr>
            </w:pPr>
            <w:r>
              <w:rPr>
                <w:rFonts w:hint="eastAsia" w:ascii="宋体" w:hAnsi="宋体" w:cs="Arial"/>
                <w:color w:val="auto"/>
                <w:sz w:val="18"/>
                <w:szCs w:val="18"/>
              </w:rPr>
              <w:t>24 口配线架，模块化配线架，含模块</w:t>
            </w:r>
          </w:p>
        </w:tc>
        <w:tc>
          <w:tcPr>
            <w:tcW w:w="900" w:type="dxa"/>
            <w:tcBorders>
              <w:top w:val="nil"/>
              <w:left w:val="nil"/>
              <w:bottom w:val="single" w:color="auto" w:sz="4" w:space="0"/>
              <w:right w:val="single" w:color="auto" w:sz="4" w:space="0"/>
            </w:tcBorders>
            <w:vAlign w:val="center"/>
          </w:tcPr>
          <w:p w14:paraId="6218CB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6C48DB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27A421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201B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7DC86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 米六类跳线</w:t>
            </w:r>
          </w:p>
        </w:tc>
        <w:tc>
          <w:tcPr>
            <w:tcW w:w="5717" w:type="dxa"/>
            <w:tcBorders>
              <w:top w:val="nil"/>
              <w:left w:val="nil"/>
              <w:bottom w:val="single" w:color="auto" w:sz="4" w:space="0"/>
              <w:right w:val="single" w:color="auto" w:sz="4" w:space="0"/>
            </w:tcBorders>
            <w:vAlign w:val="center"/>
          </w:tcPr>
          <w:p w14:paraId="422B49CC">
            <w:pPr>
              <w:widowControl/>
              <w:spacing w:line="400" w:lineRule="exact"/>
              <w:jc w:val="left"/>
              <w:rPr>
                <w:rFonts w:ascii="宋体" w:hAnsi="宋体" w:cs="Arial"/>
                <w:color w:val="auto"/>
                <w:sz w:val="18"/>
                <w:szCs w:val="18"/>
              </w:rPr>
            </w:pPr>
            <w:r>
              <w:rPr>
                <w:rFonts w:hint="eastAsia" w:ascii="宋体" w:hAnsi="宋体" w:cs="Arial"/>
                <w:color w:val="auto"/>
                <w:sz w:val="18"/>
                <w:szCs w:val="18"/>
              </w:rPr>
              <w:t>2 米六类跳线，2m/条</w:t>
            </w:r>
          </w:p>
        </w:tc>
        <w:tc>
          <w:tcPr>
            <w:tcW w:w="900" w:type="dxa"/>
            <w:tcBorders>
              <w:top w:val="nil"/>
              <w:left w:val="nil"/>
              <w:bottom w:val="single" w:color="auto" w:sz="4" w:space="0"/>
              <w:right w:val="single" w:color="auto" w:sz="4" w:space="0"/>
            </w:tcBorders>
            <w:vAlign w:val="center"/>
          </w:tcPr>
          <w:p w14:paraId="11BAF8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288.00 </w:t>
            </w:r>
          </w:p>
        </w:tc>
        <w:tc>
          <w:tcPr>
            <w:tcW w:w="849" w:type="dxa"/>
            <w:gridSpan w:val="2"/>
            <w:tcBorders>
              <w:top w:val="nil"/>
              <w:left w:val="nil"/>
              <w:bottom w:val="single" w:color="auto" w:sz="4" w:space="0"/>
              <w:right w:val="single" w:color="auto" w:sz="4" w:space="0"/>
            </w:tcBorders>
            <w:vAlign w:val="center"/>
          </w:tcPr>
          <w:p w14:paraId="4CD13F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根</w:t>
            </w:r>
          </w:p>
        </w:tc>
      </w:tr>
      <w:tr w14:paraId="3C9D276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7452C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3B664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理线架</w:t>
            </w:r>
          </w:p>
        </w:tc>
        <w:tc>
          <w:tcPr>
            <w:tcW w:w="5717" w:type="dxa"/>
            <w:tcBorders>
              <w:top w:val="nil"/>
              <w:left w:val="nil"/>
              <w:bottom w:val="single" w:color="auto" w:sz="4" w:space="0"/>
              <w:right w:val="single" w:color="auto" w:sz="4" w:space="0"/>
            </w:tcBorders>
            <w:vAlign w:val="center"/>
          </w:tcPr>
          <w:p w14:paraId="7748D3E4">
            <w:pPr>
              <w:widowControl/>
              <w:spacing w:line="400" w:lineRule="exact"/>
              <w:jc w:val="left"/>
              <w:rPr>
                <w:rFonts w:ascii="宋体" w:hAnsi="宋体" w:cs="Arial"/>
                <w:color w:val="auto"/>
                <w:sz w:val="18"/>
                <w:szCs w:val="18"/>
              </w:rPr>
            </w:pPr>
            <w:r>
              <w:rPr>
                <w:rFonts w:hint="eastAsia" w:ascii="宋体" w:hAnsi="宋体" w:cs="Arial"/>
                <w:color w:val="auto"/>
                <w:sz w:val="18"/>
                <w:szCs w:val="18"/>
              </w:rPr>
              <w:t>理线架，1U，24 口</w:t>
            </w:r>
          </w:p>
        </w:tc>
        <w:tc>
          <w:tcPr>
            <w:tcW w:w="900" w:type="dxa"/>
            <w:tcBorders>
              <w:top w:val="nil"/>
              <w:left w:val="nil"/>
              <w:bottom w:val="single" w:color="auto" w:sz="4" w:space="0"/>
              <w:right w:val="single" w:color="auto" w:sz="4" w:space="0"/>
            </w:tcBorders>
            <w:vAlign w:val="center"/>
          </w:tcPr>
          <w:p w14:paraId="3FF5CE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541174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3CE127A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FC91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B5C21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六类跳线</w:t>
            </w:r>
          </w:p>
        </w:tc>
        <w:tc>
          <w:tcPr>
            <w:tcW w:w="5717" w:type="dxa"/>
            <w:tcBorders>
              <w:top w:val="nil"/>
              <w:left w:val="nil"/>
              <w:bottom w:val="single" w:color="auto" w:sz="4" w:space="0"/>
              <w:right w:val="single" w:color="auto" w:sz="4" w:space="0"/>
            </w:tcBorders>
            <w:vAlign w:val="center"/>
          </w:tcPr>
          <w:p w14:paraId="587E3DFC">
            <w:pPr>
              <w:widowControl/>
              <w:spacing w:line="400" w:lineRule="exact"/>
              <w:jc w:val="left"/>
              <w:rPr>
                <w:rFonts w:ascii="宋体" w:hAnsi="宋体" w:cs="Arial"/>
                <w:color w:val="auto"/>
                <w:sz w:val="18"/>
                <w:szCs w:val="18"/>
              </w:rPr>
            </w:pPr>
            <w:r>
              <w:rPr>
                <w:rFonts w:hint="eastAsia" w:ascii="宋体" w:hAnsi="宋体" w:cs="Arial"/>
                <w:color w:val="auto"/>
                <w:sz w:val="18"/>
                <w:szCs w:val="18"/>
              </w:rPr>
              <w:t>六类跳线，2m/条</w:t>
            </w:r>
          </w:p>
        </w:tc>
        <w:tc>
          <w:tcPr>
            <w:tcW w:w="900" w:type="dxa"/>
            <w:tcBorders>
              <w:top w:val="nil"/>
              <w:left w:val="nil"/>
              <w:bottom w:val="single" w:color="auto" w:sz="4" w:space="0"/>
              <w:right w:val="single" w:color="auto" w:sz="4" w:space="0"/>
            </w:tcBorders>
            <w:vAlign w:val="center"/>
          </w:tcPr>
          <w:p w14:paraId="7E1CCA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3191AE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31FC2FB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BB8E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A58C9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信息点</w:t>
            </w:r>
          </w:p>
        </w:tc>
        <w:tc>
          <w:tcPr>
            <w:tcW w:w="5717" w:type="dxa"/>
            <w:tcBorders>
              <w:top w:val="nil"/>
              <w:left w:val="nil"/>
              <w:bottom w:val="single" w:color="auto" w:sz="4" w:space="0"/>
              <w:right w:val="single" w:color="auto" w:sz="4" w:space="0"/>
            </w:tcBorders>
            <w:vAlign w:val="center"/>
          </w:tcPr>
          <w:p w14:paraId="4B3F02B7">
            <w:pPr>
              <w:widowControl/>
              <w:spacing w:line="400" w:lineRule="exact"/>
              <w:jc w:val="left"/>
              <w:rPr>
                <w:rFonts w:ascii="宋体" w:hAnsi="宋体" w:cs="Arial"/>
                <w:color w:val="auto"/>
                <w:sz w:val="18"/>
                <w:szCs w:val="18"/>
              </w:rPr>
            </w:pPr>
            <w:r>
              <w:rPr>
                <w:rFonts w:hint="eastAsia" w:ascii="宋体" w:hAnsi="宋体" w:cs="Arial"/>
                <w:color w:val="auto"/>
                <w:sz w:val="18"/>
                <w:szCs w:val="18"/>
              </w:rPr>
              <w:t>信息点，双口</w:t>
            </w:r>
          </w:p>
        </w:tc>
        <w:tc>
          <w:tcPr>
            <w:tcW w:w="900" w:type="dxa"/>
            <w:tcBorders>
              <w:top w:val="nil"/>
              <w:left w:val="nil"/>
              <w:bottom w:val="single" w:color="auto" w:sz="4" w:space="0"/>
              <w:right w:val="single" w:color="auto" w:sz="4" w:space="0"/>
            </w:tcBorders>
            <w:vAlign w:val="center"/>
          </w:tcPr>
          <w:p w14:paraId="4B57F7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08C96A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点</w:t>
            </w:r>
          </w:p>
        </w:tc>
      </w:tr>
      <w:tr w14:paraId="41CBD30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BF96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7AEDA7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桥架</w:t>
            </w:r>
          </w:p>
        </w:tc>
        <w:tc>
          <w:tcPr>
            <w:tcW w:w="5717" w:type="dxa"/>
            <w:tcBorders>
              <w:top w:val="nil"/>
              <w:left w:val="nil"/>
              <w:bottom w:val="single" w:color="auto" w:sz="4" w:space="0"/>
              <w:right w:val="single" w:color="auto" w:sz="4" w:space="0"/>
            </w:tcBorders>
            <w:vAlign w:val="center"/>
          </w:tcPr>
          <w:p w14:paraId="0A42AD97">
            <w:pPr>
              <w:widowControl/>
              <w:spacing w:line="400" w:lineRule="exact"/>
              <w:jc w:val="left"/>
              <w:rPr>
                <w:rFonts w:ascii="宋体" w:hAnsi="宋体" w:cs="Arial"/>
                <w:color w:val="auto"/>
                <w:sz w:val="18"/>
                <w:szCs w:val="18"/>
              </w:rPr>
            </w:pPr>
            <w:r>
              <w:rPr>
                <w:rFonts w:hint="eastAsia" w:ascii="宋体" w:hAnsi="宋体" w:cs="Arial"/>
                <w:color w:val="auto"/>
                <w:sz w:val="18"/>
                <w:szCs w:val="18"/>
              </w:rPr>
              <w:t>弱电网格桥架，200×100mm</w:t>
            </w:r>
          </w:p>
        </w:tc>
        <w:tc>
          <w:tcPr>
            <w:tcW w:w="900" w:type="dxa"/>
            <w:tcBorders>
              <w:top w:val="nil"/>
              <w:left w:val="nil"/>
              <w:bottom w:val="single" w:color="auto" w:sz="4" w:space="0"/>
              <w:right w:val="single" w:color="auto" w:sz="4" w:space="0"/>
            </w:tcBorders>
            <w:vAlign w:val="center"/>
          </w:tcPr>
          <w:p w14:paraId="3B0A1E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0E4680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C20EE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6C1E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25DB9F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其它辅材</w:t>
            </w:r>
          </w:p>
        </w:tc>
        <w:tc>
          <w:tcPr>
            <w:tcW w:w="5717" w:type="dxa"/>
            <w:tcBorders>
              <w:top w:val="nil"/>
              <w:left w:val="nil"/>
              <w:bottom w:val="single" w:color="auto" w:sz="4" w:space="0"/>
              <w:right w:val="single" w:color="auto" w:sz="4" w:space="0"/>
            </w:tcBorders>
            <w:vAlign w:val="center"/>
          </w:tcPr>
          <w:p w14:paraId="758D1F08">
            <w:pPr>
              <w:widowControl/>
              <w:spacing w:line="400" w:lineRule="exact"/>
              <w:jc w:val="left"/>
              <w:rPr>
                <w:rFonts w:ascii="宋体" w:hAnsi="宋体" w:cs="Arial"/>
                <w:color w:val="auto"/>
                <w:sz w:val="18"/>
                <w:szCs w:val="18"/>
              </w:rPr>
            </w:pPr>
            <w:r>
              <w:rPr>
                <w:rFonts w:hint="eastAsia" w:ascii="宋体" w:hAnsi="宋体" w:cs="Arial"/>
                <w:color w:val="auto"/>
                <w:sz w:val="18"/>
                <w:szCs w:val="18"/>
              </w:rPr>
              <w:t>打线工具、标签、扎带、RJ45 接口等</w:t>
            </w:r>
          </w:p>
        </w:tc>
        <w:tc>
          <w:tcPr>
            <w:tcW w:w="900" w:type="dxa"/>
            <w:tcBorders>
              <w:top w:val="nil"/>
              <w:left w:val="nil"/>
              <w:bottom w:val="single" w:color="auto" w:sz="4" w:space="0"/>
              <w:right w:val="single" w:color="auto" w:sz="4" w:space="0"/>
            </w:tcBorders>
            <w:vAlign w:val="center"/>
          </w:tcPr>
          <w:p w14:paraId="41EC67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542BB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A4BBCB2">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665CBE3">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指挥大厅改造（基础配套系统）</w:t>
            </w:r>
          </w:p>
        </w:tc>
      </w:tr>
      <w:tr w14:paraId="4E5A9D1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1BD8315">
            <w:pPr>
              <w:widowControl/>
              <w:spacing w:line="400" w:lineRule="exact"/>
              <w:jc w:val="left"/>
              <w:rPr>
                <w:rFonts w:ascii="宋体" w:hAnsi="宋体" w:cs="Arial"/>
                <w:color w:val="auto"/>
                <w:sz w:val="18"/>
                <w:szCs w:val="18"/>
              </w:rPr>
            </w:pPr>
            <w:r>
              <w:rPr>
                <w:rFonts w:hint="eastAsia" w:ascii="宋体" w:hAnsi="宋体" w:cs="Arial"/>
                <w:color w:val="auto"/>
                <w:sz w:val="18"/>
                <w:szCs w:val="18"/>
              </w:rPr>
              <w:t>现有设备维修改造</w:t>
            </w:r>
          </w:p>
        </w:tc>
      </w:tr>
      <w:tr w14:paraId="0867478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483F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FC7AF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主扩音柱阵列</w:t>
            </w:r>
          </w:p>
        </w:tc>
        <w:tc>
          <w:tcPr>
            <w:tcW w:w="5717" w:type="dxa"/>
            <w:tcBorders>
              <w:top w:val="nil"/>
              <w:left w:val="nil"/>
              <w:bottom w:val="single" w:color="auto" w:sz="4" w:space="0"/>
              <w:right w:val="single" w:color="auto" w:sz="4" w:space="0"/>
            </w:tcBorders>
            <w:vAlign w:val="center"/>
          </w:tcPr>
          <w:p w14:paraId="18D16FA8">
            <w:pPr>
              <w:widowControl/>
              <w:spacing w:line="400" w:lineRule="exact"/>
              <w:jc w:val="left"/>
              <w:rPr>
                <w:rFonts w:ascii="宋体" w:hAnsi="宋体"/>
                <w:color w:val="auto"/>
                <w:sz w:val="18"/>
                <w:szCs w:val="18"/>
              </w:rPr>
            </w:pPr>
            <w:r>
              <w:rPr>
                <w:rFonts w:hint="eastAsia" w:ascii="宋体" w:hAnsi="宋体"/>
                <w:color w:val="auto"/>
                <w:sz w:val="18"/>
                <w:szCs w:val="18"/>
              </w:rPr>
              <w:t>1.4×5寸二分频扬声器；</w:t>
            </w:r>
          </w:p>
          <w:p w14:paraId="060F76AD">
            <w:pPr>
              <w:widowControl/>
              <w:spacing w:line="400" w:lineRule="exact"/>
              <w:jc w:val="left"/>
              <w:rPr>
                <w:rFonts w:ascii="宋体" w:hAnsi="宋体"/>
                <w:color w:val="auto"/>
                <w:sz w:val="18"/>
                <w:szCs w:val="18"/>
              </w:rPr>
            </w:pPr>
            <w:r>
              <w:rPr>
                <w:rFonts w:hint="eastAsia" w:ascii="宋体" w:hAnsi="宋体"/>
                <w:color w:val="auto"/>
                <w:sz w:val="18"/>
                <w:szCs w:val="18"/>
              </w:rPr>
              <w:t>2.低音单元≥4×5英寸低音单元，1英寸音圈；</w:t>
            </w:r>
          </w:p>
          <w:p w14:paraId="68799AF6">
            <w:pPr>
              <w:widowControl/>
              <w:spacing w:line="400" w:lineRule="exact"/>
              <w:jc w:val="left"/>
              <w:rPr>
                <w:rFonts w:ascii="宋体" w:hAnsi="宋体"/>
                <w:color w:val="auto"/>
                <w:sz w:val="18"/>
                <w:szCs w:val="18"/>
              </w:rPr>
            </w:pPr>
            <w:r>
              <w:rPr>
                <w:rFonts w:hint="eastAsia" w:ascii="宋体" w:hAnsi="宋体"/>
                <w:color w:val="auto"/>
                <w:sz w:val="18"/>
                <w:szCs w:val="18"/>
              </w:rPr>
              <w:t>3.高音单元≥1×1英寸出口驱动器，1.7英寸音圈；</w:t>
            </w:r>
          </w:p>
          <w:p w14:paraId="16932D37">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4.频率响应不低于150Hz~20kHz；</w:t>
            </w:r>
          </w:p>
          <w:p w14:paraId="03892DB2">
            <w:pPr>
              <w:widowControl/>
              <w:spacing w:line="400" w:lineRule="exact"/>
              <w:jc w:val="left"/>
              <w:rPr>
                <w:rFonts w:ascii="宋体" w:hAnsi="宋体"/>
                <w:color w:val="auto"/>
                <w:sz w:val="18"/>
                <w:szCs w:val="18"/>
              </w:rPr>
            </w:pPr>
            <w:r>
              <w:rPr>
                <w:rFonts w:hint="eastAsia" w:ascii="宋体" w:hAnsi="宋体"/>
                <w:color w:val="auto"/>
                <w:sz w:val="18"/>
                <w:szCs w:val="18"/>
              </w:rPr>
              <w:t>5.灵敏度≥98dB；</w:t>
            </w:r>
          </w:p>
          <w:p w14:paraId="704E2E98">
            <w:pPr>
              <w:widowControl/>
              <w:spacing w:line="400" w:lineRule="exact"/>
              <w:jc w:val="left"/>
              <w:rPr>
                <w:rFonts w:ascii="宋体" w:hAnsi="宋体"/>
                <w:color w:val="auto"/>
                <w:sz w:val="18"/>
                <w:szCs w:val="18"/>
              </w:rPr>
            </w:pPr>
            <w:r>
              <w:rPr>
                <w:rFonts w:hint="eastAsia" w:ascii="宋体" w:hAnsi="宋体"/>
                <w:color w:val="auto"/>
                <w:sz w:val="18"/>
                <w:szCs w:val="18"/>
              </w:rPr>
              <w:t>6.阻抗≤8</w:t>
            </w:r>
            <w:r>
              <w:rPr>
                <w:rFonts w:ascii="宋体" w:hAnsi="宋体" w:cs="Calibri"/>
                <w:color w:val="auto"/>
                <w:sz w:val="18"/>
                <w:szCs w:val="18"/>
              </w:rPr>
              <w:t>Ω</w:t>
            </w:r>
            <w:r>
              <w:rPr>
                <w:rFonts w:hint="eastAsia" w:ascii="宋体" w:hAnsi="宋体"/>
                <w:color w:val="auto"/>
                <w:sz w:val="18"/>
                <w:szCs w:val="18"/>
              </w:rPr>
              <w:t>；</w:t>
            </w:r>
          </w:p>
          <w:p w14:paraId="7A4414EA">
            <w:pPr>
              <w:widowControl/>
              <w:spacing w:line="400" w:lineRule="exact"/>
              <w:jc w:val="left"/>
              <w:rPr>
                <w:rFonts w:ascii="宋体" w:hAnsi="宋体"/>
                <w:color w:val="auto"/>
                <w:sz w:val="18"/>
                <w:szCs w:val="18"/>
              </w:rPr>
            </w:pPr>
            <w:r>
              <w:rPr>
                <w:rFonts w:hint="eastAsia" w:ascii="宋体" w:hAnsi="宋体"/>
                <w:color w:val="auto"/>
                <w:sz w:val="18"/>
                <w:szCs w:val="18"/>
              </w:rPr>
              <w:t>7.功率≥200W；</w:t>
            </w:r>
          </w:p>
          <w:p w14:paraId="4B548C5C">
            <w:pPr>
              <w:widowControl/>
              <w:spacing w:line="400" w:lineRule="exact"/>
              <w:jc w:val="left"/>
              <w:rPr>
                <w:rFonts w:ascii="宋体" w:hAnsi="宋体"/>
                <w:color w:val="auto"/>
                <w:sz w:val="18"/>
                <w:szCs w:val="18"/>
              </w:rPr>
            </w:pPr>
            <w:r>
              <w:rPr>
                <w:rFonts w:hint="eastAsia" w:ascii="宋体" w:hAnsi="宋体"/>
                <w:color w:val="auto"/>
                <w:sz w:val="18"/>
                <w:szCs w:val="18"/>
              </w:rPr>
              <w:t>8.标称覆盖角（水平×垂直）≥80ºx60º；</w:t>
            </w:r>
          </w:p>
          <w:p w14:paraId="6D12DABE">
            <w:pPr>
              <w:widowControl/>
              <w:spacing w:line="400" w:lineRule="exact"/>
              <w:jc w:val="left"/>
              <w:rPr>
                <w:rFonts w:ascii="宋体" w:hAnsi="宋体"/>
                <w:color w:val="auto"/>
                <w:sz w:val="18"/>
                <w:szCs w:val="18"/>
              </w:rPr>
            </w:pPr>
            <w:r>
              <w:rPr>
                <w:rFonts w:hint="eastAsia" w:ascii="宋体" w:hAnsi="宋体"/>
                <w:color w:val="auto"/>
                <w:sz w:val="18"/>
                <w:szCs w:val="18"/>
              </w:rPr>
              <w:t>9.声压级（连续/峰值）≥120dB/126dB；</w:t>
            </w:r>
          </w:p>
          <w:p w14:paraId="6AA37DC9">
            <w:pPr>
              <w:widowControl/>
              <w:spacing w:line="400" w:lineRule="exact"/>
              <w:jc w:val="left"/>
              <w:rPr>
                <w:rFonts w:ascii="宋体" w:hAnsi="宋体" w:cs="Arial"/>
                <w:color w:val="auto"/>
                <w:sz w:val="18"/>
                <w:szCs w:val="18"/>
              </w:rPr>
            </w:pPr>
            <w:r>
              <w:rPr>
                <w:rFonts w:hint="eastAsia" w:ascii="宋体" w:hAnsi="宋体"/>
                <w:color w:val="auto"/>
                <w:sz w:val="18"/>
                <w:szCs w:val="18"/>
              </w:rPr>
              <w:t>10.配备≥2个四芯插座。</w:t>
            </w:r>
          </w:p>
        </w:tc>
        <w:tc>
          <w:tcPr>
            <w:tcW w:w="900" w:type="dxa"/>
            <w:tcBorders>
              <w:top w:val="nil"/>
              <w:left w:val="nil"/>
              <w:bottom w:val="single" w:color="auto" w:sz="4" w:space="0"/>
              <w:right w:val="single" w:color="auto" w:sz="4" w:space="0"/>
            </w:tcBorders>
            <w:vAlign w:val="center"/>
          </w:tcPr>
          <w:p w14:paraId="1D1D77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0E7061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BEE2E9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30FE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B9FA4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主扩音柱功放</w:t>
            </w:r>
          </w:p>
        </w:tc>
        <w:tc>
          <w:tcPr>
            <w:tcW w:w="5717" w:type="dxa"/>
            <w:tcBorders>
              <w:top w:val="nil"/>
              <w:left w:val="nil"/>
              <w:bottom w:val="single" w:color="auto" w:sz="4" w:space="0"/>
              <w:right w:val="single" w:color="auto" w:sz="4" w:space="0"/>
            </w:tcBorders>
            <w:vAlign w:val="center"/>
          </w:tcPr>
          <w:p w14:paraId="52A866C0">
            <w:pPr>
              <w:widowControl/>
              <w:spacing w:line="400" w:lineRule="exact"/>
              <w:jc w:val="left"/>
              <w:rPr>
                <w:rFonts w:ascii="宋体" w:hAnsi="宋体"/>
                <w:color w:val="auto"/>
                <w:sz w:val="18"/>
                <w:szCs w:val="18"/>
              </w:rPr>
            </w:pPr>
            <w:r>
              <w:rPr>
                <w:rFonts w:hint="eastAsia" w:ascii="宋体" w:hAnsi="宋体"/>
                <w:color w:val="auto"/>
                <w:sz w:val="18"/>
                <w:szCs w:val="18"/>
              </w:rPr>
              <w:t>1.8Ω立体声≥350Wx2；</w:t>
            </w:r>
          </w:p>
          <w:p w14:paraId="7A316DB9">
            <w:pPr>
              <w:widowControl/>
              <w:spacing w:line="400" w:lineRule="exact"/>
              <w:jc w:val="left"/>
              <w:rPr>
                <w:rFonts w:ascii="宋体" w:hAnsi="宋体"/>
                <w:color w:val="auto"/>
                <w:sz w:val="18"/>
                <w:szCs w:val="18"/>
              </w:rPr>
            </w:pPr>
            <w:r>
              <w:rPr>
                <w:rFonts w:hint="eastAsia" w:ascii="宋体" w:hAnsi="宋体"/>
                <w:color w:val="auto"/>
                <w:sz w:val="18"/>
                <w:szCs w:val="18"/>
              </w:rPr>
              <w:t>2.4Ω立体声≥480Wx2；</w:t>
            </w:r>
          </w:p>
          <w:p w14:paraId="4494441A">
            <w:pPr>
              <w:widowControl/>
              <w:spacing w:line="400" w:lineRule="exact"/>
              <w:jc w:val="left"/>
              <w:rPr>
                <w:rFonts w:ascii="宋体" w:hAnsi="宋体"/>
                <w:color w:val="auto"/>
                <w:sz w:val="18"/>
                <w:szCs w:val="18"/>
              </w:rPr>
            </w:pPr>
            <w:r>
              <w:rPr>
                <w:rFonts w:hint="eastAsia" w:ascii="宋体" w:hAnsi="宋体"/>
                <w:color w:val="auto"/>
                <w:sz w:val="18"/>
                <w:szCs w:val="18"/>
              </w:rPr>
              <w:t>3.8Ω桥接单声道≥960Wx1；</w:t>
            </w:r>
          </w:p>
          <w:p w14:paraId="78411C63">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4.频率响应不低于20Hz~20kHz；</w:t>
            </w:r>
          </w:p>
          <w:p w14:paraId="73078819">
            <w:pPr>
              <w:widowControl/>
              <w:spacing w:line="400" w:lineRule="exact"/>
              <w:jc w:val="left"/>
              <w:rPr>
                <w:rFonts w:ascii="宋体" w:hAnsi="宋体"/>
                <w:color w:val="auto"/>
                <w:sz w:val="18"/>
                <w:szCs w:val="18"/>
              </w:rPr>
            </w:pPr>
            <w:r>
              <w:rPr>
                <w:rFonts w:hint="eastAsia" w:ascii="宋体" w:hAnsi="宋体"/>
                <w:color w:val="auto"/>
                <w:sz w:val="18"/>
                <w:szCs w:val="18"/>
              </w:rPr>
              <w:t>5.总谐波失真≤0.1%；</w:t>
            </w:r>
          </w:p>
          <w:p w14:paraId="423E0B45">
            <w:pPr>
              <w:widowControl/>
              <w:spacing w:line="400" w:lineRule="exact"/>
              <w:jc w:val="left"/>
              <w:rPr>
                <w:rFonts w:ascii="宋体" w:hAnsi="宋体"/>
                <w:color w:val="auto"/>
                <w:sz w:val="18"/>
                <w:szCs w:val="18"/>
              </w:rPr>
            </w:pPr>
            <w:r>
              <w:rPr>
                <w:rFonts w:hint="eastAsia" w:ascii="宋体" w:hAnsi="宋体"/>
                <w:color w:val="auto"/>
                <w:sz w:val="18"/>
                <w:szCs w:val="18"/>
              </w:rPr>
              <w:t>6.信噪比≥100dB；</w:t>
            </w:r>
          </w:p>
          <w:p w14:paraId="6A18D9E0">
            <w:pPr>
              <w:widowControl/>
              <w:spacing w:line="400" w:lineRule="exact"/>
              <w:jc w:val="left"/>
              <w:rPr>
                <w:rFonts w:ascii="宋体" w:hAnsi="宋体"/>
                <w:color w:val="auto"/>
                <w:sz w:val="18"/>
                <w:szCs w:val="18"/>
              </w:rPr>
            </w:pPr>
            <w:r>
              <w:rPr>
                <w:rFonts w:hint="eastAsia" w:ascii="宋体" w:hAnsi="宋体"/>
                <w:color w:val="auto"/>
                <w:sz w:val="18"/>
                <w:szCs w:val="18"/>
              </w:rPr>
              <w:t>7.阻尼系数≥150:1；</w:t>
            </w:r>
          </w:p>
          <w:p w14:paraId="6F962118">
            <w:pPr>
              <w:widowControl/>
              <w:spacing w:line="400" w:lineRule="exact"/>
              <w:jc w:val="left"/>
              <w:rPr>
                <w:rFonts w:ascii="宋体" w:hAnsi="宋体"/>
                <w:color w:val="auto"/>
                <w:sz w:val="18"/>
                <w:szCs w:val="18"/>
              </w:rPr>
            </w:pPr>
            <w:r>
              <w:rPr>
                <w:rFonts w:hint="eastAsia" w:ascii="宋体" w:hAnsi="宋体"/>
                <w:color w:val="auto"/>
                <w:sz w:val="18"/>
                <w:szCs w:val="18"/>
              </w:rPr>
              <w:t>8.转换速率≥25V/μs；</w:t>
            </w:r>
          </w:p>
          <w:p w14:paraId="75163DBE">
            <w:pPr>
              <w:widowControl/>
              <w:spacing w:line="400" w:lineRule="exact"/>
              <w:jc w:val="left"/>
              <w:rPr>
                <w:rFonts w:ascii="宋体" w:hAnsi="宋体"/>
                <w:color w:val="auto"/>
                <w:sz w:val="18"/>
                <w:szCs w:val="18"/>
              </w:rPr>
            </w:pPr>
            <w:r>
              <w:rPr>
                <w:rFonts w:hint="eastAsia" w:ascii="宋体" w:hAnsi="宋体"/>
                <w:color w:val="auto"/>
                <w:sz w:val="18"/>
                <w:szCs w:val="18"/>
              </w:rPr>
              <w:t>9.电压放大倍数≥63倍；</w:t>
            </w:r>
          </w:p>
          <w:p w14:paraId="7C482C13">
            <w:pPr>
              <w:widowControl/>
              <w:spacing w:line="400" w:lineRule="exact"/>
              <w:jc w:val="left"/>
              <w:rPr>
                <w:rFonts w:ascii="宋体" w:hAnsi="宋体"/>
                <w:color w:val="auto"/>
                <w:sz w:val="18"/>
                <w:szCs w:val="18"/>
              </w:rPr>
            </w:pPr>
            <w:r>
              <w:rPr>
                <w:rFonts w:hint="eastAsia" w:ascii="宋体" w:hAnsi="宋体"/>
                <w:color w:val="auto"/>
                <w:sz w:val="18"/>
                <w:szCs w:val="18"/>
              </w:rPr>
              <w:t>10.平衡输入阻抗≤20kΩ，非平衡输入阻抗≤10kΩ；</w:t>
            </w:r>
          </w:p>
          <w:p w14:paraId="7A4F08A4">
            <w:pPr>
              <w:widowControl/>
              <w:spacing w:line="400" w:lineRule="exact"/>
              <w:jc w:val="left"/>
              <w:rPr>
                <w:rFonts w:ascii="宋体" w:hAnsi="宋体"/>
                <w:color w:val="auto"/>
                <w:sz w:val="18"/>
                <w:szCs w:val="18"/>
              </w:rPr>
            </w:pPr>
            <w:r>
              <w:rPr>
                <w:rFonts w:hint="eastAsia" w:ascii="宋体" w:hAnsi="宋体"/>
                <w:color w:val="auto"/>
                <w:sz w:val="18"/>
                <w:szCs w:val="18"/>
              </w:rPr>
              <w:t>11.需配备保护指示灯、削波（CLIP）指示灯、信号指示灯等；</w:t>
            </w:r>
          </w:p>
          <w:p w14:paraId="1667572F">
            <w:pPr>
              <w:widowControl/>
              <w:spacing w:line="400" w:lineRule="exact"/>
              <w:jc w:val="left"/>
              <w:rPr>
                <w:rFonts w:ascii="宋体" w:hAnsi="宋体" w:cs="Arial"/>
                <w:color w:val="auto"/>
                <w:sz w:val="18"/>
                <w:szCs w:val="18"/>
              </w:rPr>
            </w:pPr>
            <w:r>
              <w:rPr>
                <w:rFonts w:hint="eastAsia" w:ascii="宋体" w:hAnsi="宋体"/>
                <w:color w:val="auto"/>
                <w:sz w:val="18"/>
                <w:szCs w:val="18"/>
              </w:rPr>
              <w:t>12.需具备直流保护、过载保护、短路保护、过热保护、压限保护等。</w:t>
            </w:r>
          </w:p>
        </w:tc>
        <w:tc>
          <w:tcPr>
            <w:tcW w:w="900" w:type="dxa"/>
            <w:tcBorders>
              <w:top w:val="nil"/>
              <w:left w:val="nil"/>
              <w:bottom w:val="single" w:color="auto" w:sz="4" w:space="0"/>
              <w:right w:val="single" w:color="auto" w:sz="4" w:space="0"/>
            </w:tcBorders>
            <w:vAlign w:val="center"/>
          </w:tcPr>
          <w:p w14:paraId="158862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C3658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C8DE00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B7D6B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59142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模拟调音台</w:t>
            </w:r>
          </w:p>
        </w:tc>
        <w:tc>
          <w:tcPr>
            <w:tcW w:w="5717" w:type="dxa"/>
            <w:tcBorders>
              <w:top w:val="nil"/>
              <w:left w:val="nil"/>
              <w:bottom w:val="single" w:color="auto" w:sz="4" w:space="0"/>
              <w:right w:val="single" w:color="auto" w:sz="4" w:space="0"/>
            </w:tcBorders>
            <w:vAlign w:val="center"/>
          </w:tcPr>
          <w:p w14:paraId="62035725">
            <w:pPr>
              <w:widowControl/>
              <w:spacing w:line="400" w:lineRule="exact"/>
              <w:jc w:val="left"/>
              <w:rPr>
                <w:rFonts w:ascii="宋体" w:hAnsi="宋体"/>
                <w:color w:val="auto"/>
                <w:sz w:val="18"/>
                <w:szCs w:val="18"/>
              </w:rPr>
            </w:pPr>
            <w:r>
              <w:rPr>
                <w:rFonts w:hint="eastAsia" w:ascii="宋体" w:hAnsi="宋体"/>
                <w:color w:val="auto"/>
                <w:sz w:val="18"/>
                <w:szCs w:val="18"/>
              </w:rPr>
              <w:t>1.采用≥12路输入通道，可切换两种输入模式：</w:t>
            </w:r>
          </w:p>
          <w:p w14:paraId="05A941C4">
            <w:pPr>
              <w:widowControl/>
              <w:spacing w:line="400" w:lineRule="exact"/>
              <w:jc w:val="left"/>
              <w:rPr>
                <w:rFonts w:ascii="宋体" w:hAnsi="宋体"/>
                <w:color w:val="auto"/>
                <w:sz w:val="18"/>
                <w:szCs w:val="18"/>
              </w:rPr>
            </w:pPr>
            <w:r>
              <w:rPr>
                <w:rFonts w:hint="eastAsia" w:ascii="宋体" w:hAnsi="宋体"/>
                <w:color w:val="auto"/>
                <w:sz w:val="18"/>
                <w:szCs w:val="18"/>
              </w:rPr>
              <w:t>(1).模式一：6路话筒输入+2路立体声线路输入+1组USB声卡输入+1路移动U盘输入；</w:t>
            </w:r>
          </w:p>
          <w:p w14:paraId="1C95280D">
            <w:pPr>
              <w:widowControl/>
              <w:spacing w:line="400" w:lineRule="exact"/>
              <w:jc w:val="left"/>
              <w:rPr>
                <w:rFonts w:ascii="宋体" w:hAnsi="宋体"/>
                <w:color w:val="auto"/>
                <w:sz w:val="18"/>
                <w:szCs w:val="18"/>
              </w:rPr>
            </w:pPr>
            <w:r>
              <w:rPr>
                <w:rFonts w:hint="eastAsia" w:ascii="宋体" w:hAnsi="宋体"/>
                <w:color w:val="auto"/>
                <w:sz w:val="18"/>
                <w:szCs w:val="18"/>
              </w:rPr>
              <w:t>(2).模式二：4路话筒输入+4组立体声线路输入+1组USB声卡输入+1路移动U盘输入；</w:t>
            </w:r>
          </w:p>
          <w:p w14:paraId="061370A8">
            <w:pPr>
              <w:widowControl/>
              <w:spacing w:line="400" w:lineRule="exact"/>
              <w:jc w:val="left"/>
              <w:rPr>
                <w:rFonts w:ascii="宋体" w:hAnsi="宋体"/>
                <w:color w:val="auto"/>
                <w:sz w:val="18"/>
                <w:szCs w:val="18"/>
              </w:rPr>
            </w:pPr>
            <w:r>
              <w:rPr>
                <w:rFonts w:hint="eastAsia" w:ascii="宋体" w:hAnsi="宋体"/>
                <w:color w:val="auto"/>
                <w:sz w:val="18"/>
                <w:szCs w:val="18"/>
              </w:rPr>
              <w:t>2.输出接口配置：</w:t>
            </w:r>
          </w:p>
          <w:p w14:paraId="46B3B5C9">
            <w:pPr>
              <w:widowControl/>
              <w:spacing w:line="400" w:lineRule="exact"/>
              <w:jc w:val="left"/>
              <w:rPr>
                <w:rFonts w:ascii="宋体" w:hAnsi="宋体"/>
                <w:color w:val="auto"/>
                <w:sz w:val="18"/>
                <w:szCs w:val="18"/>
              </w:rPr>
            </w:pPr>
            <w:r>
              <w:rPr>
                <w:rFonts w:hint="eastAsia" w:ascii="宋体" w:hAnsi="宋体"/>
                <w:color w:val="auto"/>
                <w:sz w:val="18"/>
                <w:szCs w:val="18"/>
              </w:rPr>
              <w:t>(1).主输出≥2路主输出通道；</w:t>
            </w:r>
          </w:p>
          <w:p w14:paraId="15C9D94B">
            <w:pPr>
              <w:widowControl/>
              <w:spacing w:line="400" w:lineRule="exact"/>
              <w:jc w:val="left"/>
              <w:rPr>
                <w:rFonts w:ascii="宋体" w:hAnsi="宋体"/>
                <w:color w:val="auto"/>
                <w:sz w:val="18"/>
                <w:szCs w:val="18"/>
              </w:rPr>
            </w:pPr>
            <w:r>
              <w:rPr>
                <w:rFonts w:hint="eastAsia" w:ascii="宋体" w:hAnsi="宋体"/>
                <w:color w:val="auto"/>
                <w:sz w:val="18"/>
                <w:szCs w:val="18"/>
              </w:rPr>
              <w:t>(2).编组输出≥4路编组输出；</w:t>
            </w:r>
          </w:p>
          <w:p w14:paraId="0B897516">
            <w:pPr>
              <w:widowControl/>
              <w:spacing w:line="400" w:lineRule="exact"/>
              <w:jc w:val="left"/>
              <w:rPr>
                <w:rFonts w:ascii="宋体" w:hAnsi="宋体"/>
                <w:color w:val="auto"/>
                <w:sz w:val="18"/>
                <w:szCs w:val="18"/>
              </w:rPr>
            </w:pPr>
            <w:r>
              <w:rPr>
                <w:rFonts w:hint="eastAsia" w:ascii="宋体" w:hAnsi="宋体"/>
                <w:color w:val="auto"/>
                <w:sz w:val="18"/>
                <w:szCs w:val="18"/>
              </w:rPr>
              <w:t>(3).辅助输出≥4路AUXSEND辅助输出；</w:t>
            </w:r>
          </w:p>
          <w:p w14:paraId="23BD5CC9">
            <w:pPr>
              <w:widowControl/>
              <w:spacing w:line="400" w:lineRule="exact"/>
              <w:jc w:val="left"/>
              <w:rPr>
                <w:rFonts w:ascii="宋体" w:hAnsi="宋体"/>
                <w:color w:val="auto"/>
                <w:sz w:val="18"/>
                <w:szCs w:val="18"/>
              </w:rPr>
            </w:pPr>
            <w:r>
              <w:rPr>
                <w:rFonts w:hint="eastAsia" w:ascii="宋体" w:hAnsi="宋体"/>
                <w:color w:val="auto"/>
                <w:sz w:val="18"/>
                <w:szCs w:val="18"/>
              </w:rPr>
              <w:t>(4).监听输出≥1组立体声控制室监听输出、1路耳机监听输出；</w:t>
            </w:r>
          </w:p>
          <w:p w14:paraId="5A80E59C">
            <w:pPr>
              <w:widowControl/>
              <w:spacing w:line="400" w:lineRule="exact"/>
              <w:jc w:val="left"/>
              <w:rPr>
                <w:rFonts w:ascii="宋体" w:hAnsi="宋体"/>
                <w:color w:val="auto"/>
                <w:sz w:val="18"/>
                <w:szCs w:val="18"/>
              </w:rPr>
            </w:pPr>
            <w:r>
              <w:rPr>
                <w:rFonts w:hint="eastAsia" w:ascii="宋体" w:hAnsi="宋体"/>
                <w:color w:val="auto"/>
                <w:sz w:val="18"/>
                <w:szCs w:val="18"/>
              </w:rPr>
              <w:t>(5).扩展接口至少包含1路USB声卡IN/OUT接口、1路U盘录/播音接口、1路FOOTSW脚踏开关接口；</w:t>
            </w:r>
          </w:p>
          <w:p w14:paraId="6EE4A753">
            <w:pPr>
              <w:widowControl/>
              <w:spacing w:line="400" w:lineRule="exact"/>
              <w:jc w:val="left"/>
              <w:rPr>
                <w:rFonts w:ascii="宋体" w:hAnsi="宋体"/>
                <w:color w:val="auto"/>
                <w:sz w:val="18"/>
                <w:szCs w:val="18"/>
              </w:rPr>
            </w:pPr>
            <w:r>
              <w:rPr>
                <w:rFonts w:hint="eastAsia" w:ascii="宋体" w:hAnsi="宋体"/>
                <w:color w:val="auto"/>
                <w:sz w:val="18"/>
                <w:szCs w:val="18"/>
              </w:rPr>
              <w:t>3.通道处理配置：</w:t>
            </w:r>
          </w:p>
          <w:p w14:paraId="2FE7B08E">
            <w:pPr>
              <w:widowControl/>
              <w:spacing w:line="400" w:lineRule="exact"/>
              <w:jc w:val="left"/>
              <w:rPr>
                <w:rFonts w:ascii="宋体" w:hAnsi="宋体"/>
                <w:color w:val="auto"/>
                <w:sz w:val="18"/>
                <w:szCs w:val="18"/>
              </w:rPr>
            </w:pPr>
            <w:r>
              <w:rPr>
                <w:rFonts w:hint="eastAsia" w:ascii="宋体" w:hAnsi="宋体"/>
                <w:color w:val="auto"/>
                <w:sz w:val="18"/>
                <w:szCs w:val="18"/>
              </w:rPr>
              <w:t>(1).麦克风输入通道需配备MIC前级放大器，支持+48V幻象电源供电，内置120Hz低切滤波器；</w:t>
            </w:r>
          </w:p>
          <w:p w14:paraId="7D73E01C">
            <w:pPr>
              <w:widowControl/>
              <w:spacing w:line="400" w:lineRule="exact"/>
              <w:jc w:val="left"/>
              <w:rPr>
                <w:rFonts w:ascii="宋体" w:hAnsi="宋体"/>
                <w:color w:val="auto"/>
                <w:sz w:val="18"/>
                <w:szCs w:val="18"/>
              </w:rPr>
            </w:pPr>
            <w:r>
              <w:rPr>
                <w:rFonts w:hint="eastAsia" w:ascii="宋体" w:hAnsi="宋体"/>
                <w:color w:val="auto"/>
                <w:sz w:val="18"/>
                <w:szCs w:val="18"/>
              </w:rPr>
              <w:t>(2).特殊输入：至少12通道配置HIZ高阻抗输入接口；</w:t>
            </w:r>
          </w:p>
          <w:p w14:paraId="26B48625">
            <w:pPr>
              <w:widowControl/>
              <w:spacing w:line="400" w:lineRule="exact"/>
              <w:jc w:val="left"/>
              <w:rPr>
                <w:rFonts w:ascii="宋体" w:hAnsi="宋体"/>
                <w:color w:val="auto"/>
                <w:sz w:val="18"/>
                <w:szCs w:val="18"/>
              </w:rPr>
            </w:pPr>
            <w:r>
              <w:rPr>
                <w:rFonts w:hint="eastAsia" w:ascii="宋体" w:hAnsi="宋体"/>
                <w:color w:val="auto"/>
                <w:sz w:val="18"/>
                <w:szCs w:val="18"/>
              </w:rPr>
              <w:t>(3).动态控制：至少16通道具备独立增益控制，14通道内置压缩器；</w:t>
            </w:r>
          </w:p>
          <w:p w14:paraId="4B595D6A">
            <w:pPr>
              <w:widowControl/>
              <w:spacing w:line="400" w:lineRule="exact"/>
              <w:jc w:val="left"/>
              <w:rPr>
                <w:rFonts w:ascii="宋体" w:hAnsi="宋体"/>
                <w:color w:val="auto"/>
                <w:sz w:val="18"/>
                <w:szCs w:val="18"/>
              </w:rPr>
            </w:pPr>
            <w:r>
              <w:rPr>
                <w:rFonts w:hint="eastAsia" w:ascii="宋体" w:hAnsi="宋体"/>
                <w:color w:val="auto"/>
                <w:sz w:val="18"/>
                <w:szCs w:val="18"/>
              </w:rPr>
              <w:t>(4).均衡调节：全输入通道需配置均衡器，其中14输入通道支持扫频调节；</w:t>
            </w:r>
          </w:p>
          <w:p w14:paraId="3C45D006">
            <w:pPr>
              <w:widowControl/>
              <w:spacing w:line="400" w:lineRule="exact"/>
              <w:jc w:val="left"/>
              <w:rPr>
                <w:rFonts w:ascii="宋体" w:hAnsi="宋体"/>
                <w:color w:val="auto"/>
                <w:sz w:val="18"/>
                <w:szCs w:val="18"/>
              </w:rPr>
            </w:pPr>
            <w:r>
              <w:rPr>
                <w:rFonts w:hint="eastAsia" w:ascii="宋体" w:hAnsi="宋体"/>
                <w:color w:val="auto"/>
                <w:sz w:val="18"/>
                <w:szCs w:val="18"/>
              </w:rPr>
              <w:t>(5).通用控制：所有输入通道均配备至少4个AUX调节旋钮、声像平衡控制、PFL信号监听、通道ON开关；</w:t>
            </w:r>
          </w:p>
          <w:p w14:paraId="078D9A40">
            <w:pPr>
              <w:widowControl/>
              <w:spacing w:line="400" w:lineRule="exact"/>
              <w:jc w:val="left"/>
              <w:rPr>
                <w:rFonts w:ascii="宋体" w:hAnsi="宋体"/>
                <w:color w:val="auto"/>
                <w:sz w:val="18"/>
                <w:szCs w:val="18"/>
              </w:rPr>
            </w:pPr>
            <w:r>
              <w:rPr>
                <w:rFonts w:hint="eastAsia" w:ascii="宋体" w:hAnsi="宋体"/>
                <w:color w:val="auto"/>
                <w:sz w:val="18"/>
                <w:szCs w:val="18"/>
              </w:rPr>
              <w:t>(6).推子配置：配备高精度电平衰减推子；</w:t>
            </w:r>
          </w:p>
          <w:p w14:paraId="1FF53F0E">
            <w:pPr>
              <w:widowControl/>
              <w:spacing w:line="400" w:lineRule="exact"/>
              <w:jc w:val="left"/>
              <w:rPr>
                <w:rFonts w:ascii="宋体" w:hAnsi="宋体"/>
                <w:color w:val="auto"/>
                <w:sz w:val="18"/>
                <w:szCs w:val="18"/>
              </w:rPr>
            </w:pPr>
            <w:r>
              <w:rPr>
                <w:rFonts w:hint="eastAsia" w:ascii="宋体" w:hAnsi="宋体"/>
                <w:color w:val="auto"/>
                <w:sz w:val="18"/>
                <w:szCs w:val="18"/>
              </w:rPr>
              <w:t>(7).总线分配：通道需支持GR1/2、GR3/4、L/R主输出总线分配按钮；</w:t>
            </w:r>
          </w:p>
          <w:p w14:paraId="4CB05865">
            <w:pPr>
              <w:widowControl/>
              <w:spacing w:line="400" w:lineRule="exact"/>
              <w:jc w:val="left"/>
              <w:rPr>
                <w:rFonts w:ascii="宋体" w:hAnsi="宋体"/>
                <w:color w:val="auto"/>
                <w:sz w:val="18"/>
                <w:szCs w:val="18"/>
              </w:rPr>
            </w:pPr>
            <w:r>
              <w:rPr>
                <w:rFonts w:hint="eastAsia" w:ascii="宋体" w:hAnsi="宋体"/>
                <w:color w:val="auto"/>
                <w:sz w:val="18"/>
                <w:szCs w:val="18"/>
              </w:rPr>
              <w:t>4.性能指标：</w:t>
            </w:r>
          </w:p>
          <w:p w14:paraId="2AA81C83">
            <w:pPr>
              <w:widowControl/>
              <w:spacing w:line="400" w:lineRule="exact"/>
              <w:jc w:val="left"/>
              <w:rPr>
                <w:rFonts w:ascii="宋体" w:hAnsi="宋体"/>
                <w:color w:val="auto"/>
                <w:sz w:val="18"/>
                <w:szCs w:val="18"/>
              </w:rPr>
            </w:pPr>
            <w:r>
              <w:rPr>
                <w:rFonts w:hint="eastAsia" w:ascii="宋体" w:hAnsi="宋体"/>
                <w:color w:val="auto"/>
                <w:sz w:val="18"/>
                <w:szCs w:val="18"/>
              </w:rPr>
              <w:t>(1).总谐波失真≤0.004%；</w:t>
            </w:r>
          </w:p>
          <w:p w14:paraId="43F619BE">
            <w:pPr>
              <w:widowControl/>
              <w:spacing w:line="400" w:lineRule="exact"/>
              <w:jc w:val="left"/>
              <w:rPr>
                <w:rFonts w:ascii="宋体" w:hAnsi="宋体"/>
                <w:color w:val="auto"/>
                <w:sz w:val="18"/>
                <w:szCs w:val="18"/>
              </w:rPr>
            </w:pPr>
            <w:r>
              <w:rPr>
                <w:rFonts w:hint="eastAsia" w:ascii="宋体" w:hAnsi="宋体"/>
                <w:color w:val="auto"/>
                <w:sz w:val="18"/>
                <w:szCs w:val="18"/>
              </w:rPr>
              <w:t>(2).频率响应不低于20Hz~20kHz；</w:t>
            </w:r>
          </w:p>
          <w:p w14:paraId="4C1A3CD7">
            <w:pPr>
              <w:widowControl/>
              <w:spacing w:line="400" w:lineRule="exact"/>
              <w:jc w:val="left"/>
              <w:rPr>
                <w:rFonts w:ascii="宋体" w:hAnsi="宋体"/>
                <w:color w:val="auto"/>
                <w:sz w:val="18"/>
                <w:szCs w:val="18"/>
              </w:rPr>
            </w:pPr>
            <w:r>
              <w:rPr>
                <w:rFonts w:hint="eastAsia" w:ascii="宋体" w:hAnsi="宋体"/>
                <w:color w:val="auto"/>
                <w:sz w:val="18"/>
                <w:szCs w:val="18"/>
              </w:rPr>
              <w:t>(3).信噪比≥112dB；</w:t>
            </w:r>
          </w:p>
          <w:p w14:paraId="0EBED5CC">
            <w:pPr>
              <w:widowControl/>
              <w:spacing w:line="400" w:lineRule="exact"/>
              <w:jc w:val="left"/>
              <w:rPr>
                <w:rFonts w:ascii="宋体" w:hAnsi="宋体"/>
                <w:color w:val="auto"/>
                <w:sz w:val="18"/>
                <w:szCs w:val="18"/>
              </w:rPr>
            </w:pPr>
            <w:r>
              <w:rPr>
                <w:rFonts w:hint="eastAsia" w:ascii="宋体" w:hAnsi="宋体"/>
                <w:color w:val="auto"/>
                <w:sz w:val="18"/>
                <w:szCs w:val="18"/>
              </w:rPr>
              <w:t>(4).串扰≤80dB；</w:t>
            </w:r>
          </w:p>
          <w:p w14:paraId="465DEF1D">
            <w:pPr>
              <w:widowControl/>
              <w:spacing w:line="400" w:lineRule="exact"/>
              <w:jc w:val="left"/>
              <w:rPr>
                <w:rFonts w:ascii="宋体" w:hAnsi="宋体"/>
                <w:color w:val="auto"/>
                <w:sz w:val="18"/>
                <w:szCs w:val="18"/>
              </w:rPr>
            </w:pPr>
            <w:r>
              <w:rPr>
                <w:rFonts w:hint="eastAsia" w:ascii="宋体" w:hAnsi="宋体"/>
                <w:color w:val="auto"/>
                <w:sz w:val="18"/>
                <w:szCs w:val="18"/>
              </w:rPr>
              <w:t>(5).输入电平≥20dBu；</w:t>
            </w:r>
          </w:p>
          <w:p w14:paraId="40B98268">
            <w:pPr>
              <w:widowControl/>
              <w:spacing w:line="400" w:lineRule="exact"/>
              <w:jc w:val="left"/>
              <w:rPr>
                <w:rFonts w:ascii="宋体" w:hAnsi="宋体" w:cs="Arial"/>
                <w:color w:val="auto"/>
                <w:sz w:val="18"/>
                <w:szCs w:val="18"/>
              </w:rPr>
            </w:pPr>
            <w:r>
              <w:rPr>
                <w:rFonts w:hint="eastAsia" w:ascii="宋体" w:hAnsi="宋体"/>
                <w:color w:val="auto"/>
                <w:sz w:val="18"/>
                <w:szCs w:val="18"/>
              </w:rPr>
              <w:t>(6).输出电平≥20dBu。</w:t>
            </w:r>
          </w:p>
        </w:tc>
        <w:tc>
          <w:tcPr>
            <w:tcW w:w="900" w:type="dxa"/>
            <w:tcBorders>
              <w:top w:val="nil"/>
              <w:left w:val="nil"/>
              <w:bottom w:val="single" w:color="auto" w:sz="4" w:space="0"/>
              <w:right w:val="single" w:color="auto" w:sz="4" w:space="0"/>
            </w:tcBorders>
            <w:vAlign w:val="center"/>
          </w:tcPr>
          <w:p w14:paraId="27CCA9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18B6A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5DC6DD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D8D3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E2CFC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数字音频处理器</w:t>
            </w:r>
          </w:p>
        </w:tc>
        <w:tc>
          <w:tcPr>
            <w:tcW w:w="5717" w:type="dxa"/>
            <w:tcBorders>
              <w:top w:val="nil"/>
              <w:left w:val="nil"/>
              <w:bottom w:val="single" w:color="auto" w:sz="4" w:space="0"/>
              <w:right w:val="single" w:color="auto" w:sz="4" w:space="0"/>
            </w:tcBorders>
            <w:vAlign w:val="center"/>
          </w:tcPr>
          <w:p w14:paraId="6A38EBAE">
            <w:pPr>
              <w:widowControl/>
              <w:spacing w:line="400" w:lineRule="exact"/>
              <w:jc w:val="left"/>
              <w:rPr>
                <w:rFonts w:ascii="宋体" w:hAnsi="宋体"/>
                <w:color w:val="auto"/>
                <w:sz w:val="18"/>
                <w:szCs w:val="18"/>
              </w:rPr>
            </w:pPr>
            <w:r>
              <w:rPr>
                <w:rFonts w:hint="eastAsia" w:ascii="宋体" w:hAnsi="宋体"/>
                <w:color w:val="auto"/>
                <w:sz w:val="18"/>
                <w:szCs w:val="18"/>
              </w:rPr>
              <w:t>1.接口配置：</w:t>
            </w:r>
          </w:p>
          <w:p w14:paraId="0375FF08">
            <w:pPr>
              <w:widowControl/>
              <w:spacing w:line="400" w:lineRule="exact"/>
              <w:jc w:val="left"/>
              <w:rPr>
                <w:rFonts w:ascii="宋体" w:hAnsi="宋体"/>
                <w:color w:val="auto"/>
                <w:sz w:val="18"/>
                <w:szCs w:val="18"/>
              </w:rPr>
            </w:pPr>
            <w:r>
              <w:rPr>
                <w:rFonts w:hint="eastAsia" w:ascii="宋体" w:hAnsi="宋体"/>
                <w:color w:val="auto"/>
                <w:sz w:val="18"/>
                <w:szCs w:val="18"/>
              </w:rPr>
              <w:t>(1).输入≥2路平衡输入；</w:t>
            </w:r>
          </w:p>
          <w:p w14:paraId="16C6B42C">
            <w:pPr>
              <w:widowControl/>
              <w:spacing w:line="400" w:lineRule="exact"/>
              <w:jc w:val="left"/>
              <w:rPr>
                <w:rFonts w:ascii="宋体" w:hAnsi="宋体"/>
                <w:color w:val="auto"/>
                <w:sz w:val="18"/>
                <w:szCs w:val="18"/>
              </w:rPr>
            </w:pPr>
            <w:r>
              <w:rPr>
                <w:rFonts w:hint="eastAsia" w:ascii="宋体" w:hAnsi="宋体"/>
                <w:color w:val="auto"/>
                <w:sz w:val="18"/>
                <w:szCs w:val="18"/>
              </w:rPr>
              <w:t>(2).输出≥4路平衡输出；</w:t>
            </w:r>
          </w:p>
          <w:p w14:paraId="2EDF56E7">
            <w:pPr>
              <w:widowControl/>
              <w:spacing w:line="400" w:lineRule="exact"/>
              <w:jc w:val="left"/>
              <w:rPr>
                <w:rFonts w:ascii="宋体" w:hAnsi="宋体"/>
                <w:color w:val="auto"/>
                <w:sz w:val="18"/>
                <w:szCs w:val="18"/>
              </w:rPr>
            </w:pPr>
            <w:r>
              <w:rPr>
                <w:rFonts w:hint="eastAsia" w:ascii="宋体" w:hAnsi="宋体"/>
                <w:color w:val="auto"/>
                <w:sz w:val="18"/>
                <w:szCs w:val="18"/>
              </w:rPr>
              <w:t>(3).配置≥1个RS485控制接口、≥1个USB接口；</w:t>
            </w:r>
          </w:p>
          <w:p w14:paraId="5FA8B3A2">
            <w:pPr>
              <w:widowControl/>
              <w:spacing w:line="400" w:lineRule="exact"/>
              <w:jc w:val="left"/>
              <w:rPr>
                <w:rFonts w:ascii="宋体" w:hAnsi="宋体"/>
                <w:color w:val="auto"/>
                <w:sz w:val="18"/>
                <w:szCs w:val="18"/>
              </w:rPr>
            </w:pPr>
            <w:r>
              <w:rPr>
                <w:rFonts w:hint="eastAsia" w:ascii="宋体" w:hAnsi="宋体"/>
                <w:color w:val="auto"/>
                <w:sz w:val="18"/>
                <w:szCs w:val="18"/>
              </w:rPr>
              <w:t>2.性能指标：</w:t>
            </w:r>
          </w:p>
          <w:p w14:paraId="2F1C41AE">
            <w:pPr>
              <w:widowControl/>
              <w:spacing w:line="400" w:lineRule="exact"/>
              <w:jc w:val="left"/>
              <w:rPr>
                <w:rFonts w:ascii="宋体" w:hAnsi="宋体"/>
                <w:color w:val="auto"/>
                <w:sz w:val="18"/>
                <w:szCs w:val="18"/>
              </w:rPr>
            </w:pPr>
            <w:r>
              <w:rPr>
                <w:rFonts w:hint="eastAsia" w:ascii="宋体" w:hAnsi="宋体"/>
                <w:color w:val="auto"/>
                <w:sz w:val="18"/>
                <w:szCs w:val="18"/>
              </w:rPr>
              <w:t>(1).采样率≥48kHz；</w:t>
            </w:r>
          </w:p>
          <w:p w14:paraId="170E6C16">
            <w:pPr>
              <w:widowControl/>
              <w:spacing w:line="400" w:lineRule="exact"/>
              <w:jc w:val="left"/>
              <w:rPr>
                <w:rFonts w:ascii="宋体" w:hAnsi="宋体"/>
                <w:color w:val="auto"/>
                <w:sz w:val="18"/>
                <w:szCs w:val="18"/>
              </w:rPr>
            </w:pPr>
            <w:r>
              <w:rPr>
                <w:rFonts w:hint="eastAsia" w:ascii="宋体" w:hAnsi="宋体"/>
                <w:color w:val="auto"/>
                <w:sz w:val="18"/>
                <w:szCs w:val="18"/>
              </w:rPr>
              <w:t>(2).AD/DA模数/数模转换≥24bit；</w:t>
            </w:r>
          </w:p>
          <w:p w14:paraId="27F34CEF">
            <w:pPr>
              <w:widowControl/>
              <w:spacing w:line="400" w:lineRule="exact"/>
              <w:jc w:val="left"/>
              <w:rPr>
                <w:rFonts w:ascii="宋体" w:hAnsi="宋体"/>
                <w:color w:val="auto"/>
                <w:sz w:val="18"/>
                <w:szCs w:val="18"/>
              </w:rPr>
            </w:pPr>
            <w:r>
              <w:rPr>
                <w:rFonts w:hint="eastAsia" w:ascii="宋体" w:hAnsi="宋体"/>
                <w:color w:val="auto"/>
                <w:sz w:val="18"/>
                <w:szCs w:val="18"/>
              </w:rPr>
              <w:t>(3).输入电平≥+12dBu；</w:t>
            </w:r>
          </w:p>
          <w:p w14:paraId="644FCF28">
            <w:pPr>
              <w:widowControl/>
              <w:spacing w:line="400" w:lineRule="exact"/>
              <w:jc w:val="left"/>
              <w:rPr>
                <w:rFonts w:ascii="宋体" w:hAnsi="宋体"/>
                <w:color w:val="auto"/>
                <w:sz w:val="18"/>
                <w:szCs w:val="18"/>
              </w:rPr>
            </w:pPr>
            <w:r>
              <w:rPr>
                <w:rFonts w:hint="eastAsia" w:ascii="宋体" w:hAnsi="宋体"/>
                <w:color w:val="auto"/>
                <w:sz w:val="18"/>
                <w:szCs w:val="18"/>
              </w:rPr>
              <w:t>(4).输出电平≥+18dBu；</w:t>
            </w:r>
          </w:p>
          <w:p w14:paraId="5CB3CADB">
            <w:pPr>
              <w:widowControl/>
              <w:spacing w:line="400" w:lineRule="exact"/>
              <w:jc w:val="left"/>
              <w:rPr>
                <w:rFonts w:ascii="宋体" w:hAnsi="宋体"/>
                <w:color w:val="auto"/>
                <w:sz w:val="18"/>
                <w:szCs w:val="18"/>
              </w:rPr>
            </w:pPr>
            <w:r>
              <w:rPr>
                <w:rFonts w:hint="eastAsia" w:ascii="宋体" w:hAnsi="宋体"/>
                <w:color w:val="auto"/>
                <w:sz w:val="18"/>
                <w:szCs w:val="18"/>
              </w:rPr>
              <w:t>(5).频率响应不低于20Hz20kHz；</w:t>
            </w:r>
          </w:p>
          <w:p w14:paraId="7DB1501A">
            <w:pPr>
              <w:widowControl/>
              <w:spacing w:line="400" w:lineRule="exact"/>
              <w:jc w:val="left"/>
              <w:rPr>
                <w:rFonts w:ascii="宋体" w:hAnsi="宋体"/>
                <w:color w:val="auto"/>
                <w:sz w:val="18"/>
                <w:szCs w:val="18"/>
              </w:rPr>
            </w:pPr>
            <w:r>
              <w:rPr>
                <w:rFonts w:hint="eastAsia" w:ascii="宋体" w:hAnsi="宋体"/>
                <w:color w:val="auto"/>
                <w:sz w:val="18"/>
                <w:szCs w:val="18"/>
              </w:rPr>
              <w:t>(6).总谐波失真≤0.05%；</w:t>
            </w:r>
          </w:p>
          <w:p w14:paraId="3A77B416">
            <w:pPr>
              <w:widowControl/>
              <w:spacing w:line="400" w:lineRule="exact"/>
              <w:jc w:val="left"/>
              <w:rPr>
                <w:rFonts w:ascii="宋体" w:hAnsi="宋体"/>
                <w:color w:val="auto"/>
                <w:sz w:val="18"/>
                <w:szCs w:val="18"/>
              </w:rPr>
            </w:pPr>
            <w:r>
              <w:rPr>
                <w:rFonts w:hint="eastAsia" w:ascii="宋体" w:hAnsi="宋体"/>
                <w:color w:val="auto"/>
                <w:sz w:val="18"/>
                <w:szCs w:val="18"/>
              </w:rPr>
              <w:t>(7).信噪比≥92dB；</w:t>
            </w:r>
          </w:p>
          <w:p w14:paraId="6993A01C">
            <w:pPr>
              <w:widowControl/>
              <w:spacing w:line="400" w:lineRule="exact"/>
              <w:jc w:val="left"/>
              <w:rPr>
                <w:rFonts w:ascii="宋体" w:hAnsi="宋体"/>
                <w:color w:val="auto"/>
                <w:sz w:val="18"/>
                <w:szCs w:val="18"/>
              </w:rPr>
            </w:pPr>
            <w:r>
              <w:rPr>
                <w:rFonts w:hint="eastAsia" w:ascii="宋体" w:hAnsi="宋体"/>
                <w:color w:val="auto"/>
                <w:sz w:val="18"/>
                <w:szCs w:val="18"/>
              </w:rPr>
              <w:t>3.音频功能：</w:t>
            </w:r>
          </w:p>
          <w:p w14:paraId="3C3A07CD">
            <w:pPr>
              <w:widowControl/>
              <w:spacing w:line="400" w:lineRule="exact"/>
              <w:jc w:val="left"/>
              <w:rPr>
                <w:rFonts w:ascii="宋体" w:hAnsi="宋体"/>
                <w:color w:val="auto"/>
                <w:sz w:val="18"/>
                <w:szCs w:val="18"/>
              </w:rPr>
            </w:pPr>
            <w:r>
              <w:rPr>
                <w:rFonts w:hint="eastAsia" w:ascii="宋体" w:hAnsi="宋体"/>
                <w:color w:val="auto"/>
                <w:sz w:val="18"/>
                <w:szCs w:val="18"/>
              </w:rPr>
              <w:t>(1).每路输入配置≥11段参数均衡，每路输出配置≥7段参数均衡；</w:t>
            </w:r>
          </w:p>
          <w:p w14:paraId="2ED1CC44">
            <w:pPr>
              <w:widowControl/>
              <w:spacing w:line="400" w:lineRule="exact"/>
              <w:jc w:val="left"/>
              <w:rPr>
                <w:rFonts w:ascii="宋体" w:hAnsi="宋体" w:cs="Arial"/>
                <w:color w:val="auto"/>
                <w:sz w:val="18"/>
                <w:szCs w:val="18"/>
              </w:rPr>
            </w:pPr>
            <w:r>
              <w:rPr>
                <w:rFonts w:hint="eastAsia" w:ascii="宋体" w:hAnsi="宋体"/>
                <w:color w:val="auto"/>
                <w:sz w:val="18"/>
                <w:szCs w:val="18"/>
              </w:rPr>
              <w:t>(2).内置信号发生器，支持粉红噪声、白噪声测试信号输出。</w:t>
            </w:r>
          </w:p>
        </w:tc>
        <w:tc>
          <w:tcPr>
            <w:tcW w:w="900" w:type="dxa"/>
            <w:tcBorders>
              <w:top w:val="nil"/>
              <w:left w:val="nil"/>
              <w:bottom w:val="single" w:color="auto" w:sz="4" w:space="0"/>
              <w:right w:val="single" w:color="auto" w:sz="4" w:space="0"/>
            </w:tcBorders>
            <w:vAlign w:val="center"/>
          </w:tcPr>
          <w:p w14:paraId="419628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8A4D0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A1DBB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46EAA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48418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反馈抑制器</w:t>
            </w:r>
          </w:p>
        </w:tc>
        <w:tc>
          <w:tcPr>
            <w:tcW w:w="5717" w:type="dxa"/>
            <w:tcBorders>
              <w:top w:val="nil"/>
              <w:left w:val="nil"/>
              <w:bottom w:val="single" w:color="auto" w:sz="4" w:space="0"/>
              <w:right w:val="single" w:color="auto" w:sz="4" w:space="0"/>
            </w:tcBorders>
            <w:vAlign w:val="center"/>
          </w:tcPr>
          <w:p w14:paraId="4CCBE6CB">
            <w:pPr>
              <w:widowControl/>
              <w:spacing w:line="400" w:lineRule="exact"/>
              <w:jc w:val="left"/>
              <w:rPr>
                <w:rFonts w:ascii="宋体" w:hAnsi="宋体"/>
                <w:color w:val="auto"/>
                <w:sz w:val="18"/>
                <w:szCs w:val="18"/>
              </w:rPr>
            </w:pPr>
            <w:r>
              <w:rPr>
                <w:rFonts w:hint="eastAsia" w:ascii="宋体" w:hAnsi="宋体"/>
                <w:color w:val="auto"/>
                <w:sz w:val="18"/>
                <w:szCs w:val="18"/>
              </w:rPr>
              <w:t>1.配置≥2寸彩色液晶屏，可显示音量、反馈状态、实时频谱等；支持一键开启啸叫抑制，内置自适应算法，可实时扫描啸叫抑制点并智能抑制；内置自动增益算法；</w:t>
            </w:r>
          </w:p>
          <w:p w14:paraId="548358B9">
            <w:pPr>
              <w:widowControl/>
              <w:spacing w:line="400" w:lineRule="exact"/>
              <w:jc w:val="left"/>
              <w:rPr>
                <w:rFonts w:ascii="宋体" w:hAnsi="宋体"/>
                <w:color w:val="auto"/>
                <w:sz w:val="18"/>
                <w:szCs w:val="18"/>
              </w:rPr>
            </w:pPr>
            <w:r>
              <w:rPr>
                <w:rFonts w:hint="eastAsia" w:ascii="宋体" w:hAnsi="宋体"/>
                <w:color w:val="auto"/>
                <w:sz w:val="18"/>
                <w:szCs w:val="18"/>
              </w:rPr>
              <w:t>2.配备≥4路输入通道，每通道支持48V幻象电源独立控制；</w:t>
            </w:r>
          </w:p>
          <w:p w14:paraId="7D3414CF">
            <w:pPr>
              <w:widowControl/>
              <w:spacing w:line="400" w:lineRule="exact"/>
              <w:jc w:val="left"/>
              <w:rPr>
                <w:rFonts w:ascii="宋体" w:hAnsi="宋体"/>
                <w:color w:val="auto"/>
                <w:sz w:val="18"/>
                <w:szCs w:val="18"/>
              </w:rPr>
            </w:pPr>
            <w:r>
              <w:rPr>
                <w:rFonts w:hint="eastAsia" w:ascii="宋体" w:hAnsi="宋体"/>
                <w:color w:val="auto"/>
                <w:sz w:val="18"/>
                <w:szCs w:val="18"/>
              </w:rPr>
              <w:t>3.输入接口≥4路平衡XLR、≥4路非平衡TRS、≥1路RCA；</w:t>
            </w:r>
          </w:p>
          <w:p w14:paraId="2D15C1E5">
            <w:pPr>
              <w:widowControl/>
              <w:spacing w:line="400" w:lineRule="exact"/>
              <w:jc w:val="left"/>
              <w:rPr>
                <w:rFonts w:ascii="宋体" w:hAnsi="宋体"/>
                <w:color w:val="auto"/>
                <w:sz w:val="18"/>
                <w:szCs w:val="18"/>
              </w:rPr>
            </w:pPr>
            <w:r>
              <w:rPr>
                <w:rFonts w:hint="eastAsia" w:ascii="宋体" w:hAnsi="宋体"/>
                <w:color w:val="auto"/>
                <w:sz w:val="18"/>
                <w:szCs w:val="18"/>
              </w:rPr>
              <w:t>4.输出接口≥2路平衡XLR、≥1路RCA；</w:t>
            </w:r>
          </w:p>
          <w:p w14:paraId="709FC704">
            <w:pPr>
              <w:widowControl/>
              <w:spacing w:line="400" w:lineRule="exact"/>
              <w:jc w:val="left"/>
              <w:rPr>
                <w:rFonts w:ascii="宋体" w:hAnsi="宋体"/>
                <w:color w:val="auto"/>
                <w:sz w:val="18"/>
                <w:szCs w:val="18"/>
              </w:rPr>
            </w:pPr>
            <w:r>
              <w:rPr>
                <w:rFonts w:hint="eastAsia" w:ascii="宋体" w:hAnsi="宋体"/>
                <w:color w:val="auto"/>
                <w:sz w:val="18"/>
                <w:szCs w:val="18"/>
              </w:rPr>
              <w:t>5.频率响应不低于20Hz~20kHz；</w:t>
            </w:r>
          </w:p>
          <w:p w14:paraId="4C8A5C7A">
            <w:pPr>
              <w:widowControl/>
              <w:spacing w:line="400" w:lineRule="exact"/>
              <w:jc w:val="left"/>
              <w:rPr>
                <w:rFonts w:ascii="宋体" w:hAnsi="宋体"/>
                <w:color w:val="auto"/>
                <w:sz w:val="18"/>
                <w:szCs w:val="18"/>
              </w:rPr>
            </w:pPr>
            <w:r>
              <w:rPr>
                <w:rFonts w:hint="eastAsia" w:ascii="宋体" w:hAnsi="宋体"/>
                <w:color w:val="auto"/>
                <w:sz w:val="18"/>
                <w:szCs w:val="18"/>
              </w:rPr>
              <w:t>6.总谐波失真≤0.017%；</w:t>
            </w:r>
          </w:p>
          <w:p w14:paraId="752DC163">
            <w:pPr>
              <w:widowControl/>
              <w:spacing w:line="400" w:lineRule="exact"/>
              <w:jc w:val="left"/>
              <w:rPr>
                <w:rFonts w:ascii="宋体" w:hAnsi="宋体"/>
                <w:color w:val="auto"/>
                <w:sz w:val="18"/>
                <w:szCs w:val="18"/>
              </w:rPr>
            </w:pPr>
            <w:r>
              <w:rPr>
                <w:rFonts w:hint="eastAsia" w:ascii="宋体" w:hAnsi="宋体"/>
                <w:color w:val="auto"/>
                <w:sz w:val="18"/>
                <w:szCs w:val="18"/>
              </w:rPr>
              <w:t>7.信噪比≥106dB；</w:t>
            </w:r>
          </w:p>
          <w:p w14:paraId="594179B3">
            <w:pPr>
              <w:widowControl/>
              <w:spacing w:line="400" w:lineRule="exact"/>
              <w:jc w:val="left"/>
              <w:rPr>
                <w:rFonts w:ascii="宋体" w:hAnsi="宋体"/>
                <w:color w:val="auto"/>
                <w:sz w:val="18"/>
                <w:szCs w:val="18"/>
              </w:rPr>
            </w:pPr>
            <w:r>
              <w:rPr>
                <w:rFonts w:hint="eastAsia" w:ascii="宋体" w:hAnsi="宋体"/>
                <w:color w:val="auto"/>
                <w:sz w:val="18"/>
                <w:szCs w:val="18"/>
              </w:rPr>
              <w:t>8.输入阻抗≤10kΩ，输出阻抗≤1kΩ；</w:t>
            </w:r>
          </w:p>
          <w:p w14:paraId="10AB32FE">
            <w:pPr>
              <w:widowControl/>
              <w:spacing w:line="400" w:lineRule="exact"/>
              <w:jc w:val="left"/>
              <w:rPr>
                <w:rFonts w:ascii="宋体" w:hAnsi="宋体"/>
                <w:color w:val="auto"/>
                <w:sz w:val="18"/>
                <w:szCs w:val="18"/>
              </w:rPr>
            </w:pPr>
            <w:r>
              <w:rPr>
                <w:rFonts w:hint="eastAsia" w:ascii="宋体" w:hAnsi="宋体"/>
                <w:color w:val="auto"/>
                <w:sz w:val="18"/>
                <w:szCs w:val="18"/>
              </w:rPr>
              <w:t>9.输出电平≥9dB；</w:t>
            </w:r>
          </w:p>
          <w:p w14:paraId="0ABB4BFB">
            <w:pPr>
              <w:widowControl/>
              <w:spacing w:line="400" w:lineRule="exact"/>
              <w:jc w:val="left"/>
              <w:rPr>
                <w:rFonts w:ascii="宋体" w:hAnsi="宋体" w:cs="Arial"/>
                <w:color w:val="auto"/>
                <w:sz w:val="18"/>
                <w:szCs w:val="18"/>
              </w:rPr>
            </w:pPr>
            <w:r>
              <w:rPr>
                <w:rFonts w:hint="eastAsia" w:ascii="宋体" w:hAnsi="宋体"/>
                <w:color w:val="auto"/>
                <w:sz w:val="18"/>
                <w:szCs w:val="18"/>
              </w:rPr>
              <w:t>10.AD采样不低于48kHz，24bit。</w:t>
            </w:r>
          </w:p>
        </w:tc>
        <w:tc>
          <w:tcPr>
            <w:tcW w:w="900" w:type="dxa"/>
            <w:tcBorders>
              <w:top w:val="nil"/>
              <w:left w:val="nil"/>
              <w:bottom w:val="single" w:color="auto" w:sz="4" w:space="0"/>
              <w:right w:val="single" w:color="auto" w:sz="4" w:space="0"/>
            </w:tcBorders>
            <w:vAlign w:val="center"/>
          </w:tcPr>
          <w:p w14:paraId="4E5E80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A6FB2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0C8F76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000000" w:sz="4" w:space="0"/>
            </w:tcBorders>
            <w:vAlign w:val="center"/>
          </w:tcPr>
          <w:p w14:paraId="71BD2889">
            <w:pPr>
              <w:widowControl/>
              <w:spacing w:line="400" w:lineRule="exact"/>
              <w:jc w:val="left"/>
              <w:rPr>
                <w:rFonts w:ascii="宋体" w:hAnsi="宋体" w:cs="Arial"/>
                <w:color w:val="auto"/>
                <w:sz w:val="18"/>
                <w:szCs w:val="18"/>
              </w:rPr>
            </w:pPr>
            <w:r>
              <w:rPr>
                <w:rFonts w:hint="eastAsia" w:ascii="宋体" w:hAnsi="宋体" w:cs="Arial"/>
                <w:color w:val="auto"/>
                <w:sz w:val="18"/>
                <w:szCs w:val="18"/>
              </w:rPr>
              <w:t>分布式坐席系统</w:t>
            </w:r>
          </w:p>
        </w:tc>
      </w:tr>
      <w:tr w14:paraId="633BC6B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C7BF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20F20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分布式输出盒子</w:t>
            </w:r>
          </w:p>
        </w:tc>
        <w:tc>
          <w:tcPr>
            <w:tcW w:w="5717" w:type="dxa"/>
            <w:tcBorders>
              <w:top w:val="nil"/>
              <w:left w:val="nil"/>
              <w:bottom w:val="single" w:color="auto" w:sz="4" w:space="0"/>
              <w:right w:val="single" w:color="auto" w:sz="4" w:space="0"/>
            </w:tcBorders>
            <w:vAlign w:val="center"/>
          </w:tcPr>
          <w:p w14:paraId="4EA427A1">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7B802E23">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0E1DD579">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0DD026B1">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2A5EE354">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65270CBC">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4583D1D1">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5AF704CF">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441DEB5F">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619BFF12">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50E24FE8">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14369F8A">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794FC64F">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0477B3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7F2901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EF521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42A6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2FC74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分布式输入盒子</w:t>
            </w:r>
          </w:p>
        </w:tc>
        <w:tc>
          <w:tcPr>
            <w:tcW w:w="5717" w:type="dxa"/>
            <w:tcBorders>
              <w:top w:val="nil"/>
              <w:left w:val="nil"/>
              <w:bottom w:val="single" w:color="auto" w:sz="4" w:space="0"/>
              <w:right w:val="single" w:color="auto" w:sz="4" w:space="0"/>
            </w:tcBorders>
            <w:vAlign w:val="center"/>
          </w:tcPr>
          <w:p w14:paraId="3FDEB01A">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4780B586">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0D345D56">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2CD680FA">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0515369F">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55829477">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7E321A95">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2B9F5745">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2C0A6362">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2420FE57">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04464761">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3391000B">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4A00921F">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12F291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7EC74D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E18E2B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23A0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AC483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带 KVM 分布式采集盒子</w:t>
            </w:r>
          </w:p>
        </w:tc>
        <w:tc>
          <w:tcPr>
            <w:tcW w:w="5717" w:type="dxa"/>
            <w:tcBorders>
              <w:top w:val="nil"/>
              <w:left w:val="nil"/>
              <w:bottom w:val="single" w:color="auto" w:sz="4" w:space="0"/>
              <w:right w:val="single" w:color="auto" w:sz="4" w:space="0"/>
            </w:tcBorders>
            <w:vAlign w:val="center"/>
          </w:tcPr>
          <w:p w14:paraId="2026E649">
            <w:pPr>
              <w:widowControl/>
              <w:spacing w:line="400" w:lineRule="exact"/>
              <w:jc w:val="left"/>
              <w:rPr>
                <w:rFonts w:ascii="宋体" w:hAnsi="宋体"/>
                <w:color w:val="auto"/>
                <w:sz w:val="18"/>
                <w:szCs w:val="18"/>
              </w:rPr>
            </w:pPr>
            <w:r>
              <w:rPr>
                <w:rFonts w:hint="eastAsia" w:ascii="宋体" w:hAnsi="宋体"/>
                <w:color w:val="auto"/>
                <w:sz w:val="18"/>
                <w:szCs w:val="18"/>
              </w:rPr>
              <w:t>1.分布式架构设计，无需配置服务器即可构建去中心化音视频网络；无风扇静音设计；内置H.265/H.264编解码芯片；</w:t>
            </w:r>
          </w:p>
          <w:p w14:paraId="0A643AFC">
            <w:pPr>
              <w:widowControl/>
              <w:spacing w:line="400" w:lineRule="exact"/>
              <w:jc w:val="left"/>
              <w:rPr>
                <w:rFonts w:ascii="宋体" w:hAnsi="宋体"/>
                <w:color w:val="auto"/>
                <w:sz w:val="18"/>
                <w:szCs w:val="18"/>
              </w:rPr>
            </w:pPr>
            <w:r>
              <w:rPr>
                <w:rFonts w:hint="eastAsia" w:ascii="宋体" w:hAnsi="宋体"/>
                <w:color w:val="auto"/>
                <w:sz w:val="18"/>
                <w:szCs w:val="18"/>
              </w:rPr>
              <w:t>2.配备≥1路HDMI输入、≥1路HDMI输出；≥2路3.5mm音频输入输出接口、≥2路凤凰端子音频接口；≥4路USB接口；≥1路千兆网口、≥1路千兆光口；≥1路RS232接口、≥1路RS485接口、≥3路IR/IO接口、≥1路继电器接口</w:t>
            </w:r>
          </w:p>
          <w:p w14:paraId="6AACB907">
            <w:pPr>
              <w:widowControl/>
              <w:spacing w:line="400" w:lineRule="exact"/>
              <w:jc w:val="left"/>
              <w:rPr>
                <w:rFonts w:ascii="宋体" w:hAnsi="宋体"/>
                <w:color w:val="auto"/>
                <w:sz w:val="18"/>
                <w:szCs w:val="18"/>
              </w:rPr>
            </w:pPr>
            <w:r>
              <w:rPr>
                <w:rFonts w:hint="eastAsia" w:ascii="宋体" w:hAnsi="宋体"/>
                <w:color w:val="auto"/>
                <w:sz w:val="18"/>
                <w:szCs w:val="18"/>
              </w:rPr>
              <w:t>3.视频接口支持HDMI、DVI、VGA等信号，分辨率支持≥3840*2160@30fps，向下兼容；支持双向编解码；支持转换成RTSP、RTMP视频流；作为输入节点，支持HDMI环路输出；</w:t>
            </w:r>
          </w:p>
          <w:p w14:paraId="4DD460E2">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4.音频接口支持AAC、G.711、G.726协议，支持无压缩同步/异步音频输入输出以及调节，支持音量调节、混音功能，支持≥16路音频混音输出；</w:t>
            </w:r>
          </w:p>
          <w:p w14:paraId="72237C83">
            <w:pPr>
              <w:widowControl/>
              <w:spacing w:line="400" w:lineRule="exact"/>
              <w:jc w:val="left"/>
              <w:rPr>
                <w:rFonts w:ascii="宋体" w:hAnsi="宋体"/>
                <w:color w:val="auto"/>
                <w:sz w:val="18"/>
                <w:szCs w:val="18"/>
              </w:rPr>
            </w:pPr>
            <w:r>
              <w:rPr>
                <w:rFonts w:hint="eastAsia" w:ascii="宋体" w:hAnsi="宋体"/>
                <w:color w:val="auto"/>
                <w:sz w:val="18"/>
                <w:szCs w:val="18"/>
              </w:rPr>
              <w:t>5.支持USB接口数据透传；</w:t>
            </w:r>
          </w:p>
          <w:p w14:paraId="2009B0E1">
            <w:pPr>
              <w:widowControl/>
              <w:spacing w:line="400" w:lineRule="exact"/>
              <w:jc w:val="left"/>
              <w:rPr>
                <w:rFonts w:ascii="宋体" w:hAnsi="宋体"/>
                <w:color w:val="auto"/>
                <w:sz w:val="18"/>
                <w:szCs w:val="18"/>
              </w:rPr>
            </w:pPr>
            <w:r>
              <w:rPr>
                <w:rFonts w:hint="eastAsia" w:ascii="宋体" w:hAnsi="宋体"/>
                <w:color w:val="auto"/>
                <w:sz w:val="18"/>
                <w:szCs w:val="18"/>
              </w:rPr>
              <w:t>6.支持传输码率调节；支持单播和组播；</w:t>
            </w:r>
          </w:p>
          <w:p w14:paraId="7DDAB916">
            <w:pPr>
              <w:widowControl/>
              <w:spacing w:line="400" w:lineRule="exact"/>
              <w:jc w:val="left"/>
              <w:rPr>
                <w:rFonts w:ascii="宋体" w:hAnsi="宋体"/>
                <w:color w:val="auto"/>
                <w:sz w:val="18"/>
                <w:szCs w:val="18"/>
              </w:rPr>
            </w:pPr>
            <w:r>
              <w:rPr>
                <w:rFonts w:hint="eastAsia" w:ascii="宋体" w:hAnsi="宋体"/>
                <w:color w:val="auto"/>
                <w:sz w:val="18"/>
                <w:szCs w:val="18"/>
              </w:rPr>
              <w:t>7.支持POE网口或外部电源供电，可双电源冗余；支持光口\网口热备冗余；</w:t>
            </w:r>
          </w:p>
          <w:p w14:paraId="2FB77465">
            <w:pPr>
              <w:widowControl/>
              <w:spacing w:line="400" w:lineRule="exact"/>
              <w:jc w:val="left"/>
              <w:rPr>
                <w:rFonts w:ascii="宋体" w:hAnsi="宋体"/>
                <w:color w:val="auto"/>
                <w:sz w:val="18"/>
                <w:szCs w:val="18"/>
              </w:rPr>
            </w:pPr>
            <w:r>
              <w:rPr>
                <w:rFonts w:hint="eastAsia" w:ascii="宋体" w:hAnsi="宋体"/>
                <w:color w:val="auto"/>
                <w:sz w:val="18"/>
                <w:szCs w:val="18"/>
              </w:rPr>
              <w:t>8.支持鼠标漫游操作，支持单坐席通过一套键鼠控制多个信号源；</w:t>
            </w:r>
          </w:p>
          <w:p w14:paraId="0D9307E7">
            <w:pPr>
              <w:widowControl/>
              <w:spacing w:line="400" w:lineRule="exact"/>
              <w:jc w:val="left"/>
              <w:rPr>
                <w:rFonts w:ascii="宋体" w:hAnsi="宋体"/>
                <w:color w:val="auto"/>
                <w:sz w:val="18"/>
                <w:szCs w:val="18"/>
              </w:rPr>
            </w:pPr>
            <w:r>
              <w:rPr>
                <w:rFonts w:hint="eastAsia" w:ascii="宋体" w:hAnsi="宋体"/>
                <w:color w:val="auto"/>
                <w:sz w:val="18"/>
                <w:szCs w:val="18"/>
              </w:rPr>
              <w:t>9.支持IPC编码摄像机，接入后无需转码直接输出显示，支持云台控制；</w:t>
            </w:r>
          </w:p>
          <w:p w14:paraId="708EAD9C">
            <w:pPr>
              <w:widowControl/>
              <w:spacing w:line="400" w:lineRule="exact"/>
              <w:jc w:val="left"/>
              <w:rPr>
                <w:rFonts w:ascii="宋体" w:hAnsi="宋体"/>
                <w:color w:val="auto"/>
                <w:sz w:val="18"/>
                <w:szCs w:val="18"/>
              </w:rPr>
            </w:pPr>
            <w:r>
              <w:rPr>
                <w:rFonts w:hint="eastAsia" w:ascii="宋体" w:hAnsi="宋体"/>
                <w:color w:val="auto"/>
                <w:sz w:val="18"/>
                <w:szCs w:val="18"/>
              </w:rPr>
              <w:t>10.支持设备断电重启后将相关接入设备恢复到断电前状态；</w:t>
            </w:r>
          </w:p>
          <w:p w14:paraId="2302DF20">
            <w:pPr>
              <w:widowControl/>
              <w:spacing w:line="400" w:lineRule="exact"/>
              <w:jc w:val="left"/>
              <w:rPr>
                <w:rFonts w:ascii="宋体" w:hAnsi="宋体"/>
                <w:color w:val="auto"/>
                <w:sz w:val="18"/>
                <w:szCs w:val="18"/>
              </w:rPr>
            </w:pPr>
            <w:r>
              <w:rPr>
                <w:rFonts w:hint="eastAsia" w:ascii="宋体" w:hAnsi="宋体"/>
                <w:color w:val="auto"/>
                <w:sz w:val="18"/>
                <w:szCs w:val="18"/>
              </w:rPr>
              <w:t>11.配备液晶显示屏，可显示IP地址、节点名称、信号状态、网络状态等；</w:t>
            </w:r>
          </w:p>
          <w:p w14:paraId="0A1AE3BA">
            <w:pPr>
              <w:widowControl/>
              <w:spacing w:line="400" w:lineRule="exact"/>
              <w:jc w:val="left"/>
              <w:rPr>
                <w:rFonts w:ascii="宋体" w:hAnsi="宋体"/>
                <w:color w:val="auto"/>
                <w:sz w:val="18"/>
                <w:szCs w:val="18"/>
              </w:rPr>
            </w:pPr>
            <w:r>
              <w:rPr>
                <w:rFonts w:hint="eastAsia" w:ascii="宋体" w:hAnsi="宋体"/>
                <w:color w:val="auto"/>
                <w:sz w:val="18"/>
                <w:szCs w:val="18"/>
              </w:rPr>
              <w:t>12.支持环境控制，可通过串口对灯光、窗帘等控制；</w:t>
            </w:r>
          </w:p>
          <w:p w14:paraId="25F20D48">
            <w:pPr>
              <w:widowControl/>
              <w:spacing w:line="400" w:lineRule="exact"/>
              <w:jc w:val="left"/>
              <w:rPr>
                <w:rFonts w:ascii="宋体" w:hAnsi="宋体"/>
                <w:color w:val="auto"/>
                <w:sz w:val="18"/>
                <w:szCs w:val="18"/>
              </w:rPr>
            </w:pPr>
            <w:r>
              <w:rPr>
                <w:rFonts w:hint="eastAsia" w:ascii="宋体" w:hAnsi="宋体"/>
                <w:color w:val="auto"/>
                <w:sz w:val="18"/>
                <w:szCs w:val="18"/>
              </w:rPr>
              <w:t>13.支持画面同步；支持音频单独上屏；支持禁止上屏；支持画面批注；支持OSD叠加显示，支持坐席查看节点状态；</w:t>
            </w:r>
          </w:p>
          <w:p w14:paraId="233F3B3D">
            <w:pPr>
              <w:widowControl/>
              <w:spacing w:line="400" w:lineRule="exact"/>
              <w:jc w:val="left"/>
              <w:rPr>
                <w:rFonts w:ascii="宋体" w:hAnsi="宋体"/>
                <w:color w:val="auto"/>
                <w:sz w:val="18"/>
                <w:szCs w:val="18"/>
              </w:rPr>
            </w:pPr>
            <w:r>
              <w:rPr>
                <w:rFonts w:hint="eastAsia" w:ascii="宋体" w:hAnsi="宋体"/>
                <w:color w:val="auto"/>
                <w:sz w:val="18"/>
                <w:szCs w:val="18"/>
              </w:rPr>
              <w:t>14.支持自定义无信号显示底图，支持快捷键关闭接管信号，显示底图；</w:t>
            </w:r>
          </w:p>
          <w:p w14:paraId="1FF05649">
            <w:pPr>
              <w:widowControl/>
              <w:spacing w:line="400" w:lineRule="exact"/>
              <w:jc w:val="left"/>
              <w:rPr>
                <w:rFonts w:ascii="宋体" w:hAnsi="宋体" w:cs="Arial"/>
                <w:color w:val="auto"/>
                <w:sz w:val="18"/>
                <w:szCs w:val="18"/>
              </w:rPr>
            </w:pPr>
            <w:r>
              <w:rPr>
                <w:rFonts w:hint="eastAsia" w:ascii="宋体" w:hAnsi="宋体"/>
                <w:color w:val="auto"/>
                <w:sz w:val="18"/>
                <w:szCs w:val="18"/>
              </w:rPr>
              <w:t>15.支持坐席节点间视频通话、语音对讲。</w:t>
            </w:r>
          </w:p>
        </w:tc>
        <w:tc>
          <w:tcPr>
            <w:tcW w:w="900" w:type="dxa"/>
            <w:tcBorders>
              <w:top w:val="nil"/>
              <w:left w:val="nil"/>
              <w:bottom w:val="single" w:color="auto" w:sz="4" w:space="0"/>
              <w:right w:val="single" w:color="auto" w:sz="4" w:space="0"/>
            </w:tcBorders>
            <w:vAlign w:val="center"/>
          </w:tcPr>
          <w:p w14:paraId="622AFD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265175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A4608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BBF78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B7AD8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带 KVM 分布式输出盒子</w:t>
            </w:r>
          </w:p>
        </w:tc>
        <w:tc>
          <w:tcPr>
            <w:tcW w:w="5717" w:type="dxa"/>
            <w:tcBorders>
              <w:top w:val="nil"/>
              <w:left w:val="nil"/>
              <w:bottom w:val="single" w:color="auto" w:sz="4" w:space="0"/>
              <w:right w:val="single" w:color="auto" w:sz="4" w:space="0"/>
            </w:tcBorders>
            <w:vAlign w:val="center"/>
          </w:tcPr>
          <w:p w14:paraId="120CF78D">
            <w:pPr>
              <w:widowControl/>
              <w:spacing w:line="400" w:lineRule="exact"/>
              <w:jc w:val="left"/>
              <w:rPr>
                <w:rFonts w:ascii="宋体" w:hAnsi="宋体"/>
                <w:color w:val="auto"/>
                <w:sz w:val="18"/>
                <w:szCs w:val="18"/>
              </w:rPr>
            </w:pPr>
            <w:r>
              <w:rPr>
                <w:rFonts w:hint="eastAsia" w:ascii="宋体" w:hAnsi="宋体"/>
                <w:color w:val="auto"/>
                <w:sz w:val="18"/>
                <w:szCs w:val="18"/>
              </w:rPr>
              <w:t>1.分布式架构设计，无需配置服务器即可构建去中心化音视频网络；无风扇静音设计；内置H.265/H.264编解码芯片；</w:t>
            </w:r>
          </w:p>
          <w:p w14:paraId="04F6A63E">
            <w:pPr>
              <w:widowControl/>
              <w:spacing w:line="400" w:lineRule="exact"/>
              <w:jc w:val="left"/>
              <w:rPr>
                <w:rFonts w:ascii="宋体" w:hAnsi="宋体"/>
                <w:color w:val="auto"/>
                <w:sz w:val="18"/>
                <w:szCs w:val="18"/>
              </w:rPr>
            </w:pPr>
            <w:r>
              <w:rPr>
                <w:rFonts w:hint="eastAsia" w:ascii="宋体" w:hAnsi="宋体"/>
                <w:color w:val="auto"/>
                <w:sz w:val="18"/>
                <w:szCs w:val="18"/>
              </w:rPr>
              <w:t>2.配备≥1路HDMI输入、≥1路HDMI输出；≥2路3.5mm音频输入输出接口、≥2路凤凰端子音频接口；≥4路USB接口；≥1路千兆网口、≥1路千兆光口；≥1路RS232接口、≥1路RS485接口、≥3路IR/IO接口、≥1路继电器接口</w:t>
            </w:r>
          </w:p>
          <w:p w14:paraId="10C02D79">
            <w:pPr>
              <w:widowControl/>
              <w:spacing w:line="400" w:lineRule="exact"/>
              <w:jc w:val="left"/>
              <w:rPr>
                <w:rFonts w:ascii="宋体" w:hAnsi="宋体"/>
                <w:color w:val="auto"/>
                <w:sz w:val="18"/>
                <w:szCs w:val="18"/>
              </w:rPr>
            </w:pPr>
            <w:r>
              <w:rPr>
                <w:rFonts w:hint="eastAsia" w:ascii="宋体" w:hAnsi="宋体"/>
                <w:color w:val="auto"/>
                <w:sz w:val="18"/>
                <w:szCs w:val="18"/>
              </w:rPr>
              <w:t>3.视频接口支持HDMI、DVI、VGA等信号，分辨率支持≥3840*2160@30fps，向下兼容；支持双向编解码；支持转换成RTSP、RTMP视频流；作为输入节点，支持HDMI环路输出；</w:t>
            </w:r>
          </w:p>
          <w:p w14:paraId="256CBA17">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4.音频接口支持AAC、G.711、G.726协议，支持无压缩同步/异步音频输入输出以及调节，支持音量调节、混音功能，支持≥16路音频混音输出；</w:t>
            </w:r>
          </w:p>
          <w:p w14:paraId="47AD64B5">
            <w:pPr>
              <w:widowControl/>
              <w:spacing w:line="400" w:lineRule="exact"/>
              <w:jc w:val="left"/>
              <w:rPr>
                <w:rFonts w:ascii="宋体" w:hAnsi="宋体"/>
                <w:color w:val="auto"/>
                <w:sz w:val="18"/>
                <w:szCs w:val="18"/>
              </w:rPr>
            </w:pPr>
            <w:r>
              <w:rPr>
                <w:rFonts w:hint="eastAsia" w:ascii="宋体" w:hAnsi="宋体"/>
                <w:color w:val="auto"/>
                <w:sz w:val="18"/>
                <w:szCs w:val="18"/>
              </w:rPr>
              <w:t>5.支持USB接口数据透传；</w:t>
            </w:r>
          </w:p>
          <w:p w14:paraId="4F8D9B42">
            <w:pPr>
              <w:widowControl/>
              <w:spacing w:line="400" w:lineRule="exact"/>
              <w:jc w:val="left"/>
              <w:rPr>
                <w:rFonts w:ascii="宋体" w:hAnsi="宋体"/>
                <w:color w:val="auto"/>
                <w:sz w:val="18"/>
                <w:szCs w:val="18"/>
              </w:rPr>
            </w:pPr>
            <w:r>
              <w:rPr>
                <w:rFonts w:hint="eastAsia" w:ascii="宋体" w:hAnsi="宋体"/>
                <w:color w:val="auto"/>
                <w:sz w:val="18"/>
                <w:szCs w:val="18"/>
              </w:rPr>
              <w:t>6.支持传输码率调节；支持单播和组播；</w:t>
            </w:r>
          </w:p>
          <w:p w14:paraId="7A31530D">
            <w:pPr>
              <w:widowControl/>
              <w:spacing w:line="400" w:lineRule="exact"/>
              <w:jc w:val="left"/>
              <w:rPr>
                <w:rFonts w:ascii="宋体" w:hAnsi="宋体"/>
                <w:color w:val="auto"/>
                <w:sz w:val="18"/>
                <w:szCs w:val="18"/>
              </w:rPr>
            </w:pPr>
            <w:r>
              <w:rPr>
                <w:rFonts w:hint="eastAsia" w:ascii="宋体" w:hAnsi="宋体"/>
                <w:color w:val="auto"/>
                <w:sz w:val="18"/>
                <w:szCs w:val="18"/>
              </w:rPr>
              <w:t>7.支持POE网口或外部电源供电，可双电源冗余；支持光口\网口热备冗余；</w:t>
            </w:r>
          </w:p>
          <w:p w14:paraId="6D10277F">
            <w:pPr>
              <w:widowControl/>
              <w:spacing w:line="400" w:lineRule="exact"/>
              <w:jc w:val="left"/>
              <w:rPr>
                <w:rFonts w:ascii="宋体" w:hAnsi="宋体"/>
                <w:color w:val="auto"/>
                <w:sz w:val="18"/>
                <w:szCs w:val="18"/>
              </w:rPr>
            </w:pPr>
            <w:r>
              <w:rPr>
                <w:rFonts w:hint="eastAsia" w:ascii="宋体" w:hAnsi="宋体"/>
                <w:color w:val="auto"/>
                <w:sz w:val="18"/>
                <w:szCs w:val="18"/>
              </w:rPr>
              <w:t>8.支持鼠标漫游操作，支持单坐席通过一套键鼠控制多个信号源；</w:t>
            </w:r>
          </w:p>
          <w:p w14:paraId="5EED7C59">
            <w:pPr>
              <w:widowControl/>
              <w:spacing w:line="400" w:lineRule="exact"/>
              <w:jc w:val="left"/>
              <w:rPr>
                <w:rFonts w:ascii="宋体" w:hAnsi="宋体"/>
                <w:color w:val="auto"/>
                <w:sz w:val="18"/>
                <w:szCs w:val="18"/>
              </w:rPr>
            </w:pPr>
            <w:r>
              <w:rPr>
                <w:rFonts w:hint="eastAsia" w:ascii="宋体" w:hAnsi="宋体"/>
                <w:color w:val="auto"/>
                <w:sz w:val="18"/>
                <w:szCs w:val="18"/>
              </w:rPr>
              <w:t>9.支持IPC编码摄像机，接入后无需转码直接输出显示，支持云台控制；</w:t>
            </w:r>
          </w:p>
          <w:p w14:paraId="3976C19D">
            <w:pPr>
              <w:widowControl/>
              <w:spacing w:line="400" w:lineRule="exact"/>
              <w:jc w:val="left"/>
              <w:rPr>
                <w:rFonts w:ascii="宋体" w:hAnsi="宋体"/>
                <w:color w:val="auto"/>
                <w:sz w:val="18"/>
                <w:szCs w:val="18"/>
              </w:rPr>
            </w:pPr>
            <w:r>
              <w:rPr>
                <w:rFonts w:hint="eastAsia" w:ascii="宋体" w:hAnsi="宋体"/>
                <w:color w:val="auto"/>
                <w:sz w:val="18"/>
                <w:szCs w:val="18"/>
              </w:rPr>
              <w:t>10.支持设备断电重启后将相关接入设备恢复到断电前状态；</w:t>
            </w:r>
          </w:p>
          <w:p w14:paraId="239157E4">
            <w:pPr>
              <w:widowControl/>
              <w:spacing w:line="400" w:lineRule="exact"/>
              <w:jc w:val="left"/>
              <w:rPr>
                <w:rFonts w:ascii="宋体" w:hAnsi="宋体"/>
                <w:color w:val="auto"/>
                <w:sz w:val="18"/>
                <w:szCs w:val="18"/>
              </w:rPr>
            </w:pPr>
            <w:r>
              <w:rPr>
                <w:rFonts w:hint="eastAsia" w:ascii="宋体" w:hAnsi="宋体"/>
                <w:color w:val="auto"/>
                <w:sz w:val="18"/>
                <w:szCs w:val="18"/>
              </w:rPr>
              <w:t>11.配备液晶显示屏，可显示IP地址、节点名称、信号状态、网络状态等；</w:t>
            </w:r>
          </w:p>
          <w:p w14:paraId="15BE7C3D">
            <w:pPr>
              <w:widowControl/>
              <w:spacing w:line="400" w:lineRule="exact"/>
              <w:jc w:val="left"/>
              <w:rPr>
                <w:rFonts w:ascii="宋体" w:hAnsi="宋体"/>
                <w:color w:val="auto"/>
                <w:sz w:val="18"/>
                <w:szCs w:val="18"/>
              </w:rPr>
            </w:pPr>
            <w:r>
              <w:rPr>
                <w:rFonts w:hint="eastAsia" w:ascii="宋体" w:hAnsi="宋体"/>
                <w:color w:val="auto"/>
                <w:sz w:val="18"/>
                <w:szCs w:val="18"/>
              </w:rPr>
              <w:t>12.支持环境控制，可通过串口对灯光、窗帘等控制；</w:t>
            </w:r>
          </w:p>
          <w:p w14:paraId="6C6C6418">
            <w:pPr>
              <w:widowControl/>
              <w:spacing w:line="400" w:lineRule="exact"/>
              <w:jc w:val="left"/>
              <w:rPr>
                <w:rFonts w:ascii="宋体" w:hAnsi="宋体"/>
                <w:color w:val="auto"/>
                <w:sz w:val="18"/>
                <w:szCs w:val="18"/>
              </w:rPr>
            </w:pPr>
            <w:r>
              <w:rPr>
                <w:rFonts w:hint="eastAsia" w:ascii="宋体" w:hAnsi="宋体"/>
                <w:color w:val="auto"/>
                <w:sz w:val="18"/>
                <w:szCs w:val="18"/>
              </w:rPr>
              <w:t>13.支持画面同步；支持音频单独上屏；支持禁止上屏；支持画面批注；支持OSD叠加显示，支持坐席查看节点状态；</w:t>
            </w:r>
          </w:p>
          <w:p w14:paraId="2796A400">
            <w:pPr>
              <w:widowControl/>
              <w:spacing w:line="400" w:lineRule="exact"/>
              <w:jc w:val="left"/>
              <w:rPr>
                <w:rFonts w:ascii="宋体" w:hAnsi="宋体"/>
                <w:color w:val="auto"/>
                <w:sz w:val="18"/>
                <w:szCs w:val="18"/>
              </w:rPr>
            </w:pPr>
            <w:r>
              <w:rPr>
                <w:rFonts w:hint="eastAsia" w:ascii="宋体" w:hAnsi="宋体"/>
                <w:color w:val="auto"/>
                <w:sz w:val="18"/>
                <w:szCs w:val="18"/>
              </w:rPr>
              <w:t>14.支持自定义无信号显示底图，支持快捷键关闭接管信号，显示底图；</w:t>
            </w:r>
          </w:p>
          <w:p w14:paraId="72BEE28D">
            <w:pPr>
              <w:widowControl/>
              <w:spacing w:line="400" w:lineRule="exact"/>
              <w:jc w:val="left"/>
              <w:rPr>
                <w:rFonts w:ascii="宋体" w:hAnsi="宋体" w:cs="Arial"/>
                <w:color w:val="auto"/>
                <w:sz w:val="18"/>
                <w:szCs w:val="18"/>
              </w:rPr>
            </w:pPr>
            <w:r>
              <w:rPr>
                <w:rFonts w:hint="eastAsia" w:ascii="宋体" w:hAnsi="宋体"/>
                <w:color w:val="auto"/>
                <w:sz w:val="18"/>
                <w:szCs w:val="18"/>
              </w:rPr>
              <w:t>15.支持坐席节点间视频通话、语音对讲。</w:t>
            </w:r>
          </w:p>
        </w:tc>
        <w:tc>
          <w:tcPr>
            <w:tcW w:w="900" w:type="dxa"/>
            <w:tcBorders>
              <w:top w:val="nil"/>
              <w:left w:val="nil"/>
              <w:bottom w:val="single" w:color="auto" w:sz="4" w:space="0"/>
              <w:right w:val="single" w:color="auto" w:sz="4" w:space="0"/>
            </w:tcBorders>
            <w:vAlign w:val="center"/>
          </w:tcPr>
          <w:p w14:paraId="200643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2B4AA9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37EEB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BD1A5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54C2F5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可视化操控节点</w:t>
            </w:r>
          </w:p>
        </w:tc>
        <w:tc>
          <w:tcPr>
            <w:tcW w:w="5717" w:type="dxa"/>
            <w:tcBorders>
              <w:top w:val="nil"/>
              <w:left w:val="nil"/>
              <w:bottom w:val="single" w:color="auto" w:sz="4" w:space="0"/>
              <w:right w:val="single" w:color="auto" w:sz="4" w:space="0"/>
            </w:tcBorders>
            <w:vAlign w:val="center"/>
          </w:tcPr>
          <w:p w14:paraId="7D6BD9AA">
            <w:pPr>
              <w:widowControl/>
              <w:spacing w:line="400" w:lineRule="exact"/>
              <w:jc w:val="left"/>
              <w:rPr>
                <w:rFonts w:ascii="宋体" w:hAnsi="宋体"/>
                <w:color w:val="auto"/>
                <w:sz w:val="18"/>
                <w:szCs w:val="18"/>
              </w:rPr>
            </w:pPr>
            <w:r>
              <w:rPr>
                <w:rFonts w:hint="eastAsia" w:ascii="宋体" w:hAnsi="宋体"/>
                <w:color w:val="auto"/>
                <w:sz w:val="18"/>
                <w:szCs w:val="18"/>
              </w:rPr>
              <w:t>1.支持可视化图形化管理，支持界面拖拽、画面缩放、拉伸调整等操作方式；</w:t>
            </w:r>
          </w:p>
          <w:p w14:paraId="2E06E4E9">
            <w:pPr>
              <w:widowControl/>
              <w:spacing w:line="400" w:lineRule="exact"/>
              <w:jc w:val="left"/>
              <w:rPr>
                <w:rFonts w:ascii="宋体" w:hAnsi="宋体"/>
                <w:color w:val="auto"/>
                <w:sz w:val="18"/>
                <w:szCs w:val="18"/>
              </w:rPr>
            </w:pPr>
            <w:r>
              <w:rPr>
                <w:rFonts w:hint="eastAsia" w:ascii="宋体" w:hAnsi="宋体"/>
                <w:color w:val="auto"/>
                <w:sz w:val="18"/>
                <w:szCs w:val="18"/>
              </w:rPr>
              <w:t>2.支持对输入端信号裁剪；支持对信号源分组管理；支持信号源预监、信号切换、预案调用、布局应用、布局预览、状态回显等功能；</w:t>
            </w:r>
          </w:p>
          <w:p w14:paraId="679F469B">
            <w:pPr>
              <w:widowControl/>
              <w:spacing w:line="400" w:lineRule="exact"/>
              <w:jc w:val="left"/>
              <w:rPr>
                <w:rFonts w:ascii="宋体" w:hAnsi="宋体"/>
                <w:color w:val="auto"/>
                <w:sz w:val="18"/>
                <w:szCs w:val="18"/>
              </w:rPr>
            </w:pPr>
            <w:r>
              <w:rPr>
                <w:rFonts w:hint="eastAsia" w:ascii="宋体" w:hAnsi="宋体"/>
                <w:color w:val="auto"/>
                <w:sz w:val="18"/>
                <w:szCs w:val="18"/>
              </w:rPr>
              <w:t>3.支持多路信号源任意布局组合，如开窗、拼接、漫游、无极缩放、叠加、层级变动等操作；</w:t>
            </w:r>
          </w:p>
          <w:p w14:paraId="01FDF9A8">
            <w:pPr>
              <w:widowControl/>
              <w:spacing w:line="400" w:lineRule="exact"/>
              <w:jc w:val="left"/>
              <w:rPr>
                <w:rFonts w:ascii="宋体" w:hAnsi="宋体"/>
                <w:color w:val="auto"/>
                <w:sz w:val="18"/>
                <w:szCs w:val="18"/>
              </w:rPr>
            </w:pPr>
            <w:r>
              <w:rPr>
                <w:rFonts w:hint="eastAsia" w:ascii="宋体" w:hAnsi="宋体"/>
                <w:color w:val="auto"/>
                <w:sz w:val="18"/>
                <w:szCs w:val="18"/>
              </w:rPr>
              <w:t>4.支持节点视频信号点对点无缝无损切换；</w:t>
            </w:r>
          </w:p>
          <w:p w14:paraId="70B63E82">
            <w:pPr>
              <w:widowControl/>
              <w:spacing w:line="400" w:lineRule="exact"/>
              <w:jc w:val="left"/>
              <w:rPr>
                <w:rFonts w:ascii="宋体" w:hAnsi="宋体"/>
                <w:color w:val="auto"/>
                <w:sz w:val="18"/>
                <w:szCs w:val="18"/>
              </w:rPr>
            </w:pPr>
            <w:r>
              <w:rPr>
                <w:rFonts w:hint="eastAsia" w:ascii="宋体" w:hAnsi="宋体"/>
                <w:color w:val="auto"/>
                <w:sz w:val="18"/>
                <w:szCs w:val="18"/>
              </w:rPr>
              <w:t>5.支持音视频信号输入输出切换，支持对各节点输出音量控制；</w:t>
            </w:r>
          </w:p>
          <w:p w14:paraId="13E8DBA2">
            <w:pPr>
              <w:widowControl/>
              <w:spacing w:line="400" w:lineRule="exact"/>
              <w:jc w:val="left"/>
              <w:rPr>
                <w:rFonts w:ascii="宋体" w:hAnsi="宋体"/>
                <w:color w:val="auto"/>
                <w:sz w:val="18"/>
                <w:szCs w:val="18"/>
              </w:rPr>
            </w:pPr>
            <w:r>
              <w:rPr>
                <w:rFonts w:hint="eastAsia" w:ascii="宋体" w:hAnsi="宋体"/>
                <w:color w:val="auto"/>
                <w:sz w:val="18"/>
                <w:szCs w:val="18"/>
              </w:rPr>
              <w:t>6.支持预布局，可在虚拟屏区提前布局，可一键上屏；支持大屏预案管理；支持对大屏预案自动轮巡，间隔时间可调；</w:t>
            </w:r>
          </w:p>
          <w:p w14:paraId="645556A0">
            <w:pPr>
              <w:widowControl/>
              <w:spacing w:line="400" w:lineRule="exact"/>
              <w:jc w:val="left"/>
              <w:rPr>
                <w:rFonts w:ascii="宋体" w:hAnsi="宋体"/>
                <w:color w:val="auto"/>
                <w:sz w:val="18"/>
                <w:szCs w:val="18"/>
              </w:rPr>
            </w:pPr>
            <w:r>
              <w:rPr>
                <w:rFonts w:hint="eastAsia" w:ascii="宋体" w:hAnsi="宋体"/>
                <w:color w:val="auto"/>
                <w:sz w:val="18"/>
                <w:szCs w:val="18"/>
              </w:rPr>
              <w:t>7.支持设置OSD字幕；支持修改无信号底图；</w:t>
            </w:r>
          </w:p>
          <w:p w14:paraId="6528AB70">
            <w:pPr>
              <w:widowControl/>
              <w:spacing w:line="400" w:lineRule="exact"/>
              <w:jc w:val="left"/>
              <w:rPr>
                <w:rFonts w:ascii="宋体" w:hAnsi="宋体"/>
                <w:color w:val="auto"/>
                <w:sz w:val="18"/>
                <w:szCs w:val="18"/>
              </w:rPr>
            </w:pPr>
            <w:r>
              <w:rPr>
                <w:rFonts w:hint="eastAsia" w:ascii="宋体" w:hAnsi="宋体"/>
                <w:color w:val="auto"/>
                <w:sz w:val="18"/>
                <w:szCs w:val="18"/>
              </w:rPr>
              <w:t>8.支持权限管理，为多用户分配不同权限；</w:t>
            </w:r>
          </w:p>
          <w:p w14:paraId="6509B399">
            <w:pPr>
              <w:widowControl/>
              <w:spacing w:line="400" w:lineRule="exact"/>
              <w:jc w:val="left"/>
              <w:rPr>
                <w:rFonts w:ascii="宋体" w:hAnsi="宋体"/>
                <w:color w:val="auto"/>
                <w:sz w:val="18"/>
                <w:szCs w:val="18"/>
              </w:rPr>
            </w:pPr>
            <w:r>
              <w:rPr>
                <w:rFonts w:hint="eastAsia" w:ascii="宋体" w:hAnsi="宋体"/>
                <w:color w:val="auto"/>
                <w:sz w:val="18"/>
                <w:szCs w:val="18"/>
              </w:rPr>
              <w:t>9.内置中控管理模块，可对灯光、窗帘、电视等设备统一控制，实现环境设备联动；</w:t>
            </w:r>
          </w:p>
          <w:p w14:paraId="56419F04">
            <w:pPr>
              <w:widowControl/>
              <w:spacing w:line="400" w:lineRule="exact"/>
              <w:jc w:val="left"/>
              <w:rPr>
                <w:rFonts w:ascii="宋体" w:hAnsi="宋体" w:cs="Arial"/>
                <w:color w:val="auto"/>
                <w:sz w:val="18"/>
                <w:szCs w:val="18"/>
              </w:rPr>
            </w:pPr>
            <w:r>
              <w:rPr>
                <w:rFonts w:hint="eastAsia" w:ascii="宋体" w:hAnsi="宋体"/>
                <w:color w:val="auto"/>
                <w:sz w:val="18"/>
                <w:szCs w:val="18"/>
              </w:rPr>
              <w:t>10.兼容Windows、Android、IOS等主流操作系统，支持多终端同步控制、界面同步，多端操控数据一致、状态实时同步。</w:t>
            </w:r>
          </w:p>
        </w:tc>
        <w:tc>
          <w:tcPr>
            <w:tcW w:w="900" w:type="dxa"/>
            <w:tcBorders>
              <w:top w:val="nil"/>
              <w:left w:val="nil"/>
              <w:bottom w:val="single" w:color="auto" w:sz="4" w:space="0"/>
              <w:right w:val="single" w:color="auto" w:sz="4" w:space="0"/>
            </w:tcBorders>
            <w:vAlign w:val="center"/>
          </w:tcPr>
          <w:p w14:paraId="2E7E3B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BC1C3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010ED3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0A21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AB28A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w:t>
            </w:r>
          </w:p>
        </w:tc>
        <w:tc>
          <w:tcPr>
            <w:tcW w:w="5717" w:type="dxa"/>
            <w:tcBorders>
              <w:top w:val="nil"/>
              <w:left w:val="nil"/>
              <w:bottom w:val="single" w:color="auto" w:sz="4" w:space="0"/>
              <w:right w:val="single" w:color="auto" w:sz="4" w:space="0"/>
            </w:tcBorders>
            <w:vAlign w:val="center"/>
          </w:tcPr>
          <w:p w14:paraId="54FA0DE9">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1.交换容量≥672Gbps/6.72Tbps，转发性能≥207Mpps；</w:t>
            </w:r>
          </w:p>
          <w:p w14:paraId="191FF3FD">
            <w:pPr>
              <w:widowControl/>
              <w:spacing w:line="400" w:lineRule="exact"/>
              <w:jc w:val="left"/>
              <w:rPr>
                <w:rFonts w:ascii="宋体" w:hAnsi="宋体"/>
                <w:color w:val="auto"/>
                <w:sz w:val="18"/>
                <w:szCs w:val="18"/>
              </w:rPr>
            </w:pPr>
            <w:r>
              <w:rPr>
                <w:rFonts w:hint="eastAsia" w:ascii="宋体" w:hAnsi="宋体"/>
                <w:color w:val="auto"/>
                <w:sz w:val="18"/>
                <w:szCs w:val="18"/>
              </w:rPr>
              <w:t>2.配备≥48个10/100/1000BASE-T电口(POE+)，≥4个1G/10G BASE-X SFP+端口；</w:t>
            </w:r>
          </w:p>
          <w:p w14:paraId="205A3855">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07F770C3">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33FEC252">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51662171">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1E69DACC">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5DFB90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E4BC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25ADE7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6A15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74B670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w:t>
            </w:r>
          </w:p>
        </w:tc>
        <w:tc>
          <w:tcPr>
            <w:tcW w:w="5717" w:type="dxa"/>
            <w:tcBorders>
              <w:top w:val="nil"/>
              <w:left w:val="nil"/>
              <w:bottom w:val="single" w:color="auto" w:sz="4" w:space="0"/>
              <w:right w:val="single" w:color="auto" w:sz="4" w:space="0"/>
            </w:tcBorders>
            <w:vAlign w:val="center"/>
          </w:tcPr>
          <w:p w14:paraId="4E015BBA">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1.交换容量≥672Gbps/6.72Tbps，转发性能≥171Mpps；</w:t>
            </w:r>
          </w:p>
          <w:p w14:paraId="277DC2C0">
            <w:pPr>
              <w:widowControl/>
              <w:spacing w:line="400" w:lineRule="exact"/>
              <w:jc w:val="left"/>
              <w:rPr>
                <w:rFonts w:ascii="宋体" w:hAnsi="宋体"/>
                <w:color w:val="auto"/>
                <w:sz w:val="18"/>
                <w:szCs w:val="18"/>
              </w:rPr>
            </w:pPr>
            <w:r>
              <w:rPr>
                <w:rFonts w:hint="eastAsia" w:ascii="宋体" w:hAnsi="宋体"/>
                <w:color w:val="auto"/>
                <w:sz w:val="18"/>
                <w:szCs w:val="18"/>
              </w:rPr>
              <w:t>2.配备≥24个10/100/1000BASE-T电口(POE+)，≥4个1G/10G BASE-X SFP+端口；</w:t>
            </w:r>
          </w:p>
          <w:p w14:paraId="3D46D960">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4FB67791">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2F8178B6">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546DA867">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15F4DAB8">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6D7789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DDF15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F1ACA5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15D3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7532B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w:t>
            </w:r>
          </w:p>
        </w:tc>
        <w:tc>
          <w:tcPr>
            <w:tcW w:w="5717" w:type="dxa"/>
            <w:tcBorders>
              <w:top w:val="nil"/>
              <w:left w:val="nil"/>
              <w:bottom w:val="single" w:color="auto" w:sz="4" w:space="0"/>
              <w:right w:val="single" w:color="auto" w:sz="4" w:space="0"/>
            </w:tcBorders>
            <w:vAlign w:val="center"/>
          </w:tcPr>
          <w:p w14:paraId="0CBAC7FF">
            <w:pPr>
              <w:widowControl/>
              <w:spacing w:line="400" w:lineRule="exact"/>
              <w:jc w:val="left"/>
              <w:rPr>
                <w:rFonts w:ascii="宋体" w:hAnsi="宋体" w:cs="Arial"/>
                <w:color w:val="auto"/>
                <w:sz w:val="18"/>
                <w:szCs w:val="18"/>
              </w:rPr>
            </w:pPr>
            <w:r>
              <w:rPr>
                <w:rFonts w:hint="eastAsia" w:ascii="宋体" w:hAnsi="宋体"/>
                <w:color w:val="auto"/>
                <w:sz w:val="18"/>
                <w:szCs w:val="18"/>
              </w:rPr>
              <w:t>SFP+万兆模块，与POE交换机及上级交换机匹配。</w:t>
            </w:r>
          </w:p>
        </w:tc>
        <w:tc>
          <w:tcPr>
            <w:tcW w:w="900" w:type="dxa"/>
            <w:tcBorders>
              <w:top w:val="nil"/>
              <w:left w:val="nil"/>
              <w:bottom w:val="single" w:color="auto" w:sz="4" w:space="0"/>
              <w:right w:val="single" w:color="auto" w:sz="4" w:space="0"/>
            </w:tcBorders>
            <w:vAlign w:val="center"/>
          </w:tcPr>
          <w:p w14:paraId="74973A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8A0E2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C20DC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D1FA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2F8B5F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分布式输出盒子（值班室）</w:t>
            </w:r>
          </w:p>
        </w:tc>
        <w:tc>
          <w:tcPr>
            <w:tcW w:w="5717" w:type="dxa"/>
            <w:tcBorders>
              <w:top w:val="nil"/>
              <w:left w:val="nil"/>
              <w:bottom w:val="single" w:color="auto" w:sz="4" w:space="0"/>
              <w:right w:val="single" w:color="auto" w:sz="4" w:space="0"/>
            </w:tcBorders>
            <w:vAlign w:val="center"/>
          </w:tcPr>
          <w:p w14:paraId="412E41CD">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4231F564">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3DE00958">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0121C84B">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0B4A12A9">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1997C2A1">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4E5E68D0">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5688F109">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67EFA4CE">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5BC50CCF">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7C201878">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1D09B153">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10D792A4">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392155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ECA90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BD907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3C9AB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0AD18B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分布式输入盒子（值班室）</w:t>
            </w:r>
          </w:p>
        </w:tc>
        <w:tc>
          <w:tcPr>
            <w:tcW w:w="5717" w:type="dxa"/>
            <w:tcBorders>
              <w:top w:val="nil"/>
              <w:left w:val="nil"/>
              <w:bottom w:val="single" w:color="auto" w:sz="4" w:space="0"/>
              <w:right w:val="single" w:color="auto" w:sz="4" w:space="0"/>
            </w:tcBorders>
            <w:vAlign w:val="center"/>
          </w:tcPr>
          <w:p w14:paraId="34E0BE35">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3B334F1D">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4C091E0C">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6AF4E23C">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14E3F788">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5DA535B6">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78027F7E">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0039C6C9">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640E322E">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37B69937">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453A00FD">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34A01132">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23D063EA">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0C95DA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6BFD9F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7F26AC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FFA5A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526579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网络交换机（值班室）</w:t>
            </w:r>
          </w:p>
        </w:tc>
        <w:tc>
          <w:tcPr>
            <w:tcW w:w="5717" w:type="dxa"/>
            <w:tcBorders>
              <w:top w:val="nil"/>
              <w:left w:val="nil"/>
              <w:bottom w:val="single" w:color="auto" w:sz="4" w:space="0"/>
              <w:right w:val="single" w:color="auto" w:sz="4" w:space="0"/>
            </w:tcBorders>
            <w:vAlign w:val="center"/>
          </w:tcPr>
          <w:p w14:paraId="2211DC2D">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1.交换容量≥672Gbps/6.72Tbps，转发性能≥171Mpps；</w:t>
            </w:r>
          </w:p>
          <w:p w14:paraId="6C92FE59">
            <w:pPr>
              <w:widowControl/>
              <w:spacing w:line="400" w:lineRule="exact"/>
              <w:jc w:val="left"/>
              <w:rPr>
                <w:rFonts w:ascii="宋体" w:hAnsi="宋体"/>
                <w:color w:val="auto"/>
                <w:sz w:val="18"/>
                <w:szCs w:val="18"/>
              </w:rPr>
            </w:pPr>
            <w:r>
              <w:rPr>
                <w:rFonts w:hint="eastAsia" w:ascii="宋体" w:hAnsi="宋体"/>
                <w:color w:val="auto"/>
                <w:sz w:val="18"/>
                <w:szCs w:val="18"/>
              </w:rPr>
              <w:t>2.配备≥24个10/100/1000BASE-T电口(POE+)，≥4个1G/10G BASE-X SFP+端口；</w:t>
            </w:r>
          </w:p>
          <w:p w14:paraId="236BC542">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2D495C93">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7C93B8E3">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1A9575AB">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1A00A545">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25D112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0B8AD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15A21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F6FA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330658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万兆单模光模块（值班室）</w:t>
            </w:r>
          </w:p>
        </w:tc>
        <w:tc>
          <w:tcPr>
            <w:tcW w:w="5717" w:type="dxa"/>
            <w:tcBorders>
              <w:top w:val="nil"/>
              <w:left w:val="nil"/>
              <w:bottom w:val="single" w:color="auto" w:sz="4" w:space="0"/>
              <w:right w:val="single" w:color="auto" w:sz="4" w:space="0"/>
            </w:tcBorders>
            <w:vAlign w:val="center"/>
          </w:tcPr>
          <w:p w14:paraId="15785C40">
            <w:pPr>
              <w:widowControl/>
              <w:spacing w:line="400" w:lineRule="exact"/>
              <w:jc w:val="left"/>
              <w:rPr>
                <w:rFonts w:ascii="宋体" w:hAnsi="宋体" w:cs="Arial"/>
                <w:color w:val="auto"/>
                <w:sz w:val="18"/>
                <w:szCs w:val="18"/>
              </w:rPr>
            </w:pPr>
            <w:r>
              <w:rPr>
                <w:rFonts w:hint="eastAsia" w:ascii="宋体" w:hAnsi="宋体"/>
                <w:color w:val="auto"/>
                <w:sz w:val="18"/>
                <w:szCs w:val="18"/>
              </w:rPr>
              <w:t>SFP+万兆模块，与POE交换机及上级交换机匹配。</w:t>
            </w:r>
          </w:p>
        </w:tc>
        <w:tc>
          <w:tcPr>
            <w:tcW w:w="900" w:type="dxa"/>
            <w:tcBorders>
              <w:top w:val="nil"/>
              <w:left w:val="nil"/>
              <w:bottom w:val="single" w:color="auto" w:sz="4" w:space="0"/>
              <w:right w:val="single" w:color="auto" w:sz="4" w:space="0"/>
            </w:tcBorders>
            <w:vAlign w:val="center"/>
          </w:tcPr>
          <w:p w14:paraId="4577B7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CD20D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5B2A8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BF801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02A119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分布式输出盒子（功能室）</w:t>
            </w:r>
          </w:p>
        </w:tc>
        <w:tc>
          <w:tcPr>
            <w:tcW w:w="5717" w:type="dxa"/>
            <w:tcBorders>
              <w:top w:val="nil"/>
              <w:left w:val="nil"/>
              <w:bottom w:val="single" w:color="auto" w:sz="4" w:space="0"/>
              <w:right w:val="single" w:color="auto" w:sz="4" w:space="0"/>
            </w:tcBorders>
            <w:vAlign w:val="center"/>
          </w:tcPr>
          <w:p w14:paraId="29BCE786">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6B9B73C4">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4EFFD304">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3EBF374B">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7C8223FC">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75C529C5">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67FF72CA">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32190792">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270E7C5A">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3A14ADF4">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42D4D694">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70FB8637">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79645FE3">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1ABF82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0011C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589B4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0528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0AF2D7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4K 分布式输入盒子（功能室）</w:t>
            </w:r>
          </w:p>
        </w:tc>
        <w:tc>
          <w:tcPr>
            <w:tcW w:w="5717" w:type="dxa"/>
            <w:tcBorders>
              <w:top w:val="nil"/>
              <w:left w:val="nil"/>
              <w:bottom w:val="single" w:color="auto" w:sz="4" w:space="0"/>
              <w:right w:val="single" w:color="auto" w:sz="4" w:space="0"/>
            </w:tcBorders>
            <w:vAlign w:val="center"/>
          </w:tcPr>
          <w:p w14:paraId="7AE81321">
            <w:pPr>
              <w:widowControl/>
              <w:spacing w:line="400" w:lineRule="exact"/>
              <w:jc w:val="left"/>
              <w:rPr>
                <w:rFonts w:ascii="宋体" w:hAnsi="宋体"/>
                <w:color w:val="auto"/>
                <w:sz w:val="18"/>
                <w:szCs w:val="18"/>
              </w:rPr>
            </w:pPr>
            <w:r>
              <w:rPr>
                <w:rFonts w:hint="eastAsia" w:ascii="宋体" w:hAnsi="宋体"/>
                <w:color w:val="auto"/>
                <w:sz w:val="18"/>
                <w:szCs w:val="18"/>
              </w:rPr>
              <w:t>1.分布式架构，无需配置服务器即可构建去中心化音视频网络；无风扇静音设计；内置H.265/H.264编解码芯片；</w:t>
            </w:r>
          </w:p>
          <w:p w14:paraId="1A92A347">
            <w:pPr>
              <w:widowControl/>
              <w:spacing w:line="400" w:lineRule="exact"/>
              <w:jc w:val="left"/>
              <w:rPr>
                <w:rFonts w:ascii="宋体" w:hAnsi="宋体"/>
                <w:color w:val="auto"/>
                <w:sz w:val="18"/>
                <w:szCs w:val="18"/>
              </w:rPr>
            </w:pPr>
            <w:r>
              <w:rPr>
                <w:rFonts w:hint="eastAsia" w:ascii="宋体" w:hAnsi="宋体"/>
                <w:color w:val="auto"/>
                <w:sz w:val="18"/>
                <w:szCs w:val="18"/>
              </w:rPr>
              <w:t>2.配备≥2路HDMI视频接口；≥2路3.5mm音频输入输出接口、≥2路3针凤凰端子音频接口；≥2个千兆网口、≥1路千兆光口；≥4个USB接口；≥1路RS232接口，≥1路RS485接口、≥1路IR/IO接口、≥1路继电器接口；</w:t>
            </w:r>
          </w:p>
          <w:p w14:paraId="29DA31DD">
            <w:pPr>
              <w:widowControl/>
              <w:spacing w:line="400" w:lineRule="exact"/>
              <w:jc w:val="left"/>
              <w:rPr>
                <w:rFonts w:ascii="宋体" w:hAnsi="宋体"/>
                <w:color w:val="auto"/>
                <w:sz w:val="18"/>
                <w:szCs w:val="18"/>
              </w:rPr>
            </w:pPr>
            <w:r>
              <w:rPr>
                <w:rFonts w:hint="eastAsia" w:ascii="宋体" w:hAnsi="宋体"/>
                <w:color w:val="auto"/>
                <w:sz w:val="18"/>
                <w:szCs w:val="18"/>
              </w:rPr>
              <w:t>3.视频接口支持音频同步/异步输入，支持端口备份；作为输入节点，支持≥1路输入，≥1路环出；作为输出节点，支持≥1路编码；支持转换成RTSP、RTMP视频流；</w:t>
            </w:r>
          </w:p>
          <w:p w14:paraId="4D6BA14F">
            <w:pPr>
              <w:widowControl/>
              <w:spacing w:line="400" w:lineRule="exact"/>
              <w:jc w:val="left"/>
              <w:rPr>
                <w:rFonts w:ascii="宋体" w:hAnsi="宋体"/>
                <w:color w:val="auto"/>
                <w:sz w:val="18"/>
                <w:szCs w:val="18"/>
              </w:rPr>
            </w:pPr>
            <w:r>
              <w:rPr>
                <w:rFonts w:hint="eastAsia" w:ascii="宋体" w:hAnsi="宋体"/>
                <w:color w:val="auto"/>
                <w:sz w:val="18"/>
                <w:szCs w:val="18"/>
              </w:rPr>
              <w:t>4.音频接口支持AAC、G.711.G.726协议，支持无压缩双向音频传输，支持CBR/VBR；支持音视频同步/异步切换、音量调节、混音功能，支持≥16路音频混音输出；支持音频可视化管理；</w:t>
            </w:r>
          </w:p>
          <w:p w14:paraId="7A53076A">
            <w:pPr>
              <w:widowControl/>
              <w:spacing w:line="400" w:lineRule="exact"/>
              <w:jc w:val="left"/>
              <w:rPr>
                <w:rFonts w:ascii="宋体" w:hAnsi="宋体"/>
                <w:color w:val="auto"/>
                <w:sz w:val="18"/>
                <w:szCs w:val="18"/>
              </w:rPr>
            </w:pPr>
            <w:r>
              <w:rPr>
                <w:rFonts w:hint="eastAsia" w:ascii="宋体" w:hAnsi="宋体"/>
                <w:color w:val="auto"/>
                <w:sz w:val="18"/>
                <w:szCs w:val="18"/>
              </w:rPr>
              <w:t>5.支持HDMI，DVI、VGA等信号；输入信号支持≥3840*2160@30Hz，向下兼容；输出信号支持≥3840*2160@60HZ，向下兼容；</w:t>
            </w:r>
          </w:p>
          <w:p w14:paraId="4F488862">
            <w:pPr>
              <w:widowControl/>
              <w:spacing w:line="400" w:lineRule="exact"/>
              <w:jc w:val="left"/>
              <w:rPr>
                <w:rFonts w:ascii="宋体" w:hAnsi="宋体"/>
                <w:color w:val="auto"/>
                <w:sz w:val="18"/>
                <w:szCs w:val="18"/>
              </w:rPr>
            </w:pPr>
            <w:r>
              <w:rPr>
                <w:rFonts w:hint="eastAsia" w:ascii="宋体" w:hAnsi="宋体"/>
                <w:color w:val="auto"/>
                <w:sz w:val="18"/>
                <w:szCs w:val="18"/>
              </w:rPr>
              <w:t>6.支持定码率传输；支持单播和组播；</w:t>
            </w:r>
          </w:p>
          <w:p w14:paraId="4ED7ED56">
            <w:pPr>
              <w:widowControl/>
              <w:spacing w:line="400" w:lineRule="exact"/>
              <w:jc w:val="left"/>
              <w:rPr>
                <w:rFonts w:ascii="宋体" w:hAnsi="宋体"/>
                <w:color w:val="auto"/>
                <w:sz w:val="18"/>
                <w:szCs w:val="18"/>
              </w:rPr>
            </w:pPr>
            <w:r>
              <w:rPr>
                <w:rFonts w:hint="eastAsia" w:ascii="宋体" w:hAnsi="宋体"/>
                <w:color w:val="auto"/>
                <w:sz w:val="18"/>
                <w:szCs w:val="18"/>
              </w:rPr>
              <w:t>7.配备液晶显示屏，可显示IP地址、节点名称、信号状态、网络状态等；</w:t>
            </w:r>
          </w:p>
          <w:p w14:paraId="680E2B6A">
            <w:pPr>
              <w:widowControl/>
              <w:spacing w:line="400" w:lineRule="exact"/>
              <w:jc w:val="left"/>
              <w:rPr>
                <w:rFonts w:ascii="宋体" w:hAnsi="宋体"/>
                <w:color w:val="auto"/>
                <w:sz w:val="18"/>
                <w:szCs w:val="18"/>
              </w:rPr>
            </w:pPr>
            <w:r>
              <w:rPr>
                <w:rFonts w:hint="eastAsia" w:ascii="宋体" w:hAnsi="宋体"/>
                <w:color w:val="auto"/>
                <w:sz w:val="18"/>
                <w:szCs w:val="18"/>
              </w:rPr>
              <w:t>8.支持POE网口或外部电源供电，可双电源冗余；支持光口\网口热备冗余；</w:t>
            </w:r>
          </w:p>
          <w:p w14:paraId="785F3F56">
            <w:pPr>
              <w:widowControl/>
              <w:spacing w:line="400" w:lineRule="exact"/>
              <w:jc w:val="left"/>
              <w:rPr>
                <w:rFonts w:ascii="宋体" w:hAnsi="宋体"/>
                <w:color w:val="auto"/>
                <w:sz w:val="18"/>
                <w:szCs w:val="18"/>
              </w:rPr>
            </w:pPr>
            <w:r>
              <w:rPr>
                <w:rFonts w:hint="eastAsia" w:ascii="宋体" w:hAnsi="宋体"/>
                <w:color w:val="auto"/>
                <w:sz w:val="18"/>
                <w:szCs w:val="18"/>
              </w:rPr>
              <w:t>9.支持设备断电重启后将相关接入设备恢复到断电前状态；</w:t>
            </w:r>
          </w:p>
          <w:p w14:paraId="1CA8F886">
            <w:pPr>
              <w:widowControl/>
              <w:spacing w:line="400" w:lineRule="exact"/>
              <w:jc w:val="left"/>
              <w:rPr>
                <w:rFonts w:ascii="宋体" w:hAnsi="宋体"/>
                <w:color w:val="auto"/>
                <w:sz w:val="18"/>
                <w:szCs w:val="18"/>
              </w:rPr>
            </w:pPr>
            <w:r>
              <w:rPr>
                <w:rFonts w:hint="eastAsia" w:ascii="宋体" w:hAnsi="宋体"/>
                <w:color w:val="auto"/>
                <w:sz w:val="18"/>
                <w:szCs w:val="18"/>
              </w:rPr>
              <w:t>10.支持IPC编码摄像机，接入后无需转码直接输出显示，支持云台控制；</w:t>
            </w:r>
          </w:p>
          <w:p w14:paraId="1FEBFC7A">
            <w:pPr>
              <w:widowControl/>
              <w:spacing w:line="400" w:lineRule="exact"/>
              <w:jc w:val="left"/>
              <w:rPr>
                <w:rFonts w:ascii="宋体" w:hAnsi="宋体"/>
                <w:color w:val="auto"/>
                <w:sz w:val="18"/>
                <w:szCs w:val="18"/>
              </w:rPr>
            </w:pPr>
            <w:r>
              <w:rPr>
                <w:rFonts w:hint="eastAsia" w:ascii="宋体" w:hAnsi="宋体"/>
                <w:color w:val="auto"/>
                <w:sz w:val="18"/>
                <w:szCs w:val="18"/>
              </w:rPr>
              <w:t>11.支持环境控制，可通过串口对灯光、窗帘等控制；</w:t>
            </w:r>
          </w:p>
          <w:p w14:paraId="5C202D7D">
            <w:pPr>
              <w:widowControl/>
              <w:spacing w:line="400" w:lineRule="exact"/>
              <w:jc w:val="left"/>
              <w:rPr>
                <w:rFonts w:ascii="宋体" w:hAnsi="宋体"/>
                <w:color w:val="auto"/>
                <w:sz w:val="18"/>
                <w:szCs w:val="18"/>
              </w:rPr>
            </w:pPr>
            <w:r>
              <w:rPr>
                <w:rFonts w:hint="eastAsia" w:ascii="宋体" w:hAnsi="宋体"/>
                <w:color w:val="auto"/>
                <w:sz w:val="18"/>
                <w:szCs w:val="18"/>
              </w:rPr>
              <w:t>12.支持一键同屏，可将布局或画面同步至其他显示屏；支持镜像模式，主屏操作时，其他镜像屏跟随操作；</w:t>
            </w:r>
          </w:p>
          <w:p w14:paraId="2140A2F6">
            <w:pPr>
              <w:widowControl/>
              <w:spacing w:line="400" w:lineRule="exact"/>
              <w:jc w:val="left"/>
              <w:rPr>
                <w:rFonts w:ascii="宋体" w:hAnsi="宋体" w:cs="Arial"/>
                <w:color w:val="auto"/>
                <w:sz w:val="18"/>
                <w:szCs w:val="18"/>
              </w:rPr>
            </w:pPr>
            <w:r>
              <w:rPr>
                <w:rFonts w:hint="eastAsia" w:ascii="宋体" w:hAnsi="宋体"/>
                <w:color w:val="auto"/>
                <w:sz w:val="18"/>
                <w:szCs w:val="18"/>
              </w:rPr>
              <w:t>13.支持音频单独上屏；支持禁止上屏；支持画面批注；支持OSD叠加显示。</w:t>
            </w:r>
          </w:p>
        </w:tc>
        <w:tc>
          <w:tcPr>
            <w:tcW w:w="900" w:type="dxa"/>
            <w:tcBorders>
              <w:top w:val="nil"/>
              <w:left w:val="nil"/>
              <w:bottom w:val="single" w:color="auto" w:sz="4" w:space="0"/>
              <w:right w:val="single" w:color="auto" w:sz="4" w:space="0"/>
            </w:tcBorders>
            <w:vAlign w:val="center"/>
          </w:tcPr>
          <w:p w14:paraId="47B869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8BC941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2D2BF6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CF5E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0473D2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网络交换机（功能室）</w:t>
            </w:r>
          </w:p>
        </w:tc>
        <w:tc>
          <w:tcPr>
            <w:tcW w:w="5717" w:type="dxa"/>
            <w:tcBorders>
              <w:top w:val="nil"/>
              <w:left w:val="nil"/>
              <w:bottom w:val="single" w:color="auto" w:sz="4" w:space="0"/>
              <w:right w:val="single" w:color="auto" w:sz="4" w:space="0"/>
            </w:tcBorders>
            <w:vAlign w:val="center"/>
          </w:tcPr>
          <w:p w14:paraId="4EAB649D">
            <w:pPr>
              <w:widowControl/>
              <w:spacing w:line="400" w:lineRule="exact"/>
              <w:jc w:val="left"/>
              <w:rPr>
                <w:rFonts w:ascii="宋体" w:hAnsi="宋体"/>
                <w:color w:val="auto"/>
                <w:sz w:val="18"/>
                <w:szCs w:val="18"/>
              </w:rPr>
            </w:pPr>
            <w:r>
              <w:rPr>
                <w:rFonts w:hint="eastAsia" w:ascii="宋体" w:hAnsi="宋体"/>
                <w:color w:val="auto"/>
                <w:sz w:val="18"/>
                <w:szCs w:val="18"/>
              </w:rPr>
              <w:t>1.交换容量≥672Gbps/6.72Tbps，转发性能≥171Mpps；</w:t>
            </w:r>
          </w:p>
          <w:p w14:paraId="456719EE">
            <w:pPr>
              <w:widowControl/>
              <w:spacing w:line="400" w:lineRule="exact"/>
              <w:jc w:val="left"/>
              <w:rPr>
                <w:rFonts w:ascii="宋体" w:hAnsi="宋体"/>
                <w:color w:val="auto"/>
                <w:sz w:val="18"/>
                <w:szCs w:val="18"/>
              </w:rPr>
            </w:pPr>
            <w:r>
              <w:rPr>
                <w:rFonts w:hint="eastAsia" w:ascii="宋体" w:hAnsi="宋体"/>
                <w:color w:val="auto"/>
                <w:sz w:val="18"/>
                <w:szCs w:val="18"/>
              </w:rPr>
              <w:t>2.配备≥24个10/100/1000BASE-T电口(POE+)，≥4个1G/10G BASE-X SFP+端口；</w:t>
            </w:r>
          </w:p>
          <w:p w14:paraId="6FD5065E">
            <w:pPr>
              <w:widowControl/>
              <w:spacing w:line="400" w:lineRule="exact"/>
              <w:jc w:val="left"/>
              <w:rPr>
                <w:rFonts w:ascii="宋体" w:hAnsi="宋体"/>
                <w:color w:val="auto"/>
                <w:sz w:val="18"/>
                <w:szCs w:val="18"/>
              </w:rPr>
            </w:pPr>
            <w:r>
              <w:rPr>
                <w:rFonts w:hint="eastAsia" w:ascii="宋体" w:hAnsi="宋体"/>
                <w:color w:val="auto"/>
                <w:sz w:val="18"/>
                <w:szCs w:val="18"/>
              </w:rPr>
              <w:t>3.POE功率≥375W；</w:t>
            </w:r>
          </w:p>
          <w:p w14:paraId="0718C01E">
            <w:pPr>
              <w:widowControl/>
              <w:spacing w:line="400" w:lineRule="exact"/>
              <w:jc w:val="left"/>
              <w:rPr>
                <w:rFonts w:ascii="宋体" w:hAnsi="宋体"/>
                <w:color w:val="auto"/>
                <w:sz w:val="18"/>
                <w:szCs w:val="18"/>
              </w:rPr>
            </w:pPr>
            <w:r>
              <w:rPr>
                <w:rFonts w:hint="eastAsia" w:ascii="宋体" w:hAnsi="宋体"/>
                <w:color w:val="auto"/>
                <w:sz w:val="18"/>
                <w:szCs w:val="18"/>
              </w:rPr>
              <w:t>4.支持链路聚合、VLAN、QoS、ACL等功能；</w:t>
            </w:r>
          </w:p>
          <w:p w14:paraId="1750EEE7">
            <w:pPr>
              <w:widowControl/>
              <w:spacing w:line="400" w:lineRule="exact"/>
              <w:jc w:val="left"/>
              <w:rPr>
                <w:rFonts w:ascii="宋体" w:hAnsi="宋体"/>
                <w:color w:val="auto"/>
                <w:sz w:val="18"/>
                <w:szCs w:val="18"/>
              </w:rPr>
            </w:pPr>
            <w:r>
              <w:rPr>
                <w:rFonts w:hint="eastAsia" w:ascii="宋体" w:hAnsi="宋体"/>
                <w:color w:val="auto"/>
                <w:sz w:val="18"/>
                <w:szCs w:val="18"/>
              </w:rPr>
              <w:t>5.支持IPv4/IPv6静态路由、RIP/RIPng、OSPF v2/v3协议；</w:t>
            </w:r>
          </w:p>
          <w:p w14:paraId="2184E003">
            <w:pPr>
              <w:widowControl/>
              <w:spacing w:line="400" w:lineRule="exact"/>
              <w:jc w:val="left"/>
              <w:rPr>
                <w:rFonts w:ascii="宋体" w:hAnsi="宋体"/>
                <w:color w:val="auto"/>
                <w:sz w:val="18"/>
                <w:szCs w:val="18"/>
              </w:rPr>
            </w:pPr>
            <w:r>
              <w:rPr>
                <w:rFonts w:hint="eastAsia" w:ascii="宋体" w:hAnsi="宋体"/>
                <w:color w:val="auto"/>
                <w:sz w:val="18"/>
                <w:szCs w:val="18"/>
              </w:rPr>
              <w:t>6.支持Web网管。</w:t>
            </w:r>
          </w:p>
          <w:p w14:paraId="6A5F9360">
            <w:pPr>
              <w:widowControl/>
              <w:spacing w:line="400" w:lineRule="exact"/>
              <w:jc w:val="left"/>
              <w:rPr>
                <w:rFonts w:ascii="宋体" w:hAnsi="宋体" w:cs="Arial"/>
                <w:color w:val="auto"/>
                <w:sz w:val="18"/>
                <w:szCs w:val="18"/>
              </w:rPr>
            </w:pPr>
            <w:r>
              <w:rPr>
                <w:rFonts w:hint="eastAsia" w:ascii="宋体" w:hAnsi="宋体"/>
                <w:color w:val="auto"/>
                <w:sz w:val="18"/>
                <w:szCs w:val="18"/>
              </w:rPr>
              <w:t>含SFP+万兆光模块*1。</w:t>
            </w:r>
          </w:p>
        </w:tc>
        <w:tc>
          <w:tcPr>
            <w:tcW w:w="900" w:type="dxa"/>
            <w:tcBorders>
              <w:top w:val="nil"/>
              <w:left w:val="nil"/>
              <w:bottom w:val="single" w:color="auto" w:sz="4" w:space="0"/>
              <w:right w:val="single" w:color="auto" w:sz="4" w:space="0"/>
            </w:tcBorders>
            <w:vAlign w:val="center"/>
          </w:tcPr>
          <w:p w14:paraId="6FA5B5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31E77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w:t>
            </w:r>
          </w:p>
        </w:tc>
      </w:tr>
      <w:tr w14:paraId="66646C3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04A4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4F3658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万兆单模光模块（功能室）</w:t>
            </w:r>
          </w:p>
        </w:tc>
        <w:tc>
          <w:tcPr>
            <w:tcW w:w="5717" w:type="dxa"/>
            <w:tcBorders>
              <w:top w:val="nil"/>
              <w:left w:val="nil"/>
              <w:bottom w:val="single" w:color="auto" w:sz="4" w:space="0"/>
              <w:right w:val="single" w:color="auto" w:sz="4" w:space="0"/>
            </w:tcBorders>
            <w:vAlign w:val="center"/>
          </w:tcPr>
          <w:p w14:paraId="72E3B003">
            <w:pPr>
              <w:widowControl/>
              <w:spacing w:line="400" w:lineRule="exact"/>
              <w:jc w:val="left"/>
              <w:rPr>
                <w:rFonts w:ascii="宋体" w:hAnsi="宋体" w:cs="Arial"/>
                <w:color w:val="auto"/>
                <w:sz w:val="18"/>
                <w:szCs w:val="18"/>
              </w:rPr>
            </w:pPr>
            <w:r>
              <w:rPr>
                <w:rFonts w:hint="eastAsia" w:ascii="宋体" w:hAnsi="宋体"/>
                <w:color w:val="auto"/>
                <w:sz w:val="18"/>
                <w:szCs w:val="18"/>
              </w:rPr>
              <w:t>SFP+万兆模块，与POE交换机及上级交换机匹配。</w:t>
            </w:r>
          </w:p>
        </w:tc>
        <w:tc>
          <w:tcPr>
            <w:tcW w:w="900" w:type="dxa"/>
            <w:tcBorders>
              <w:top w:val="nil"/>
              <w:left w:val="nil"/>
              <w:bottom w:val="single" w:color="auto" w:sz="4" w:space="0"/>
              <w:right w:val="single" w:color="auto" w:sz="4" w:space="0"/>
            </w:tcBorders>
            <w:vAlign w:val="center"/>
          </w:tcPr>
          <w:p w14:paraId="23E468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C885C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1F6986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598620F">
            <w:pPr>
              <w:widowControl/>
              <w:spacing w:line="400" w:lineRule="exact"/>
              <w:jc w:val="left"/>
              <w:rPr>
                <w:rFonts w:ascii="宋体" w:hAnsi="宋体" w:cs="Arial"/>
                <w:color w:val="auto"/>
                <w:sz w:val="18"/>
                <w:szCs w:val="18"/>
              </w:rPr>
            </w:pPr>
            <w:r>
              <w:rPr>
                <w:rFonts w:hint="eastAsia" w:ascii="宋体" w:hAnsi="宋体" w:cs="Arial"/>
                <w:color w:val="auto"/>
                <w:sz w:val="18"/>
                <w:szCs w:val="18"/>
              </w:rPr>
              <w:t>会议及扩声系统</w:t>
            </w:r>
          </w:p>
        </w:tc>
      </w:tr>
      <w:tr w14:paraId="5F916EA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A0A1341">
            <w:pPr>
              <w:widowControl/>
              <w:spacing w:line="400" w:lineRule="exact"/>
              <w:jc w:val="left"/>
              <w:rPr>
                <w:rFonts w:ascii="宋体" w:hAnsi="宋体" w:cs="Arial"/>
                <w:color w:val="auto"/>
                <w:sz w:val="18"/>
                <w:szCs w:val="18"/>
              </w:rPr>
            </w:pPr>
            <w:r>
              <w:rPr>
                <w:rFonts w:hint="eastAsia" w:ascii="宋体" w:hAnsi="宋体" w:cs="Arial"/>
                <w:color w:val="auto"/>
                <w:sz w:val="18"/>
                <w:szCs w:val="18"/>
              </w:rPr>
              <w:t>会议室部分</w:t>
            </w:r>
          </w:p>
        </w:tc>
      </w:tr>
      <w:tr w14:paraId="6B62B9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4E75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1EF33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会议系统主机</w:t>
            </w:r>
          </w:p>
        </w:tc>
        <w:tc>
          <w:tcPr>
            <w:tcW w:w="5717" w:type="dxa"/>
            <w:tcBorders>
              <w:top w:val="nil"/>
              <w:left w:val="nil"/>
              <w:bottom w:val="single" w:color="auto" w:sz="4" w:space="0"/>
              <w:right w:val="single" w:color="auto" w:sz="4" w:space="0"/>
            </w:tcBorders>
            <w:vAlign w:val="center"/>
          </w:tcPr>
          <w:p w14:paraId="7046778E">
            <w:pPr>
              <w:widowControl/>
              <w:spacing w:line="400" w:lineRule="exact"/>
              <w:jc w:val="left"/>
              <w:rPr>
                <w:rFonts w:ascii="宋体" w:hAnsi="宋体"/>
                <w:color w:val="auto"/>
                <w:sz w:val="18"/>
                <w:szCs w:val="18"/>
              </w:rPr>
            </w:pPr>
            <w:r>
              <w:rPr>
                <w:rFonts w:hint="eastAsia" w:ascii="宋体" w:hAnsi="宋体"/>
                <w:color w:val="auto"/>
                <w:sz w:val="18"/>
                <w:szCs w:val="18"/>
              </w:rPr>
              <w:t>1.配备≥4.3英寸电容触摸显示屏；具有断电自动记忆功能；</w:t>
            </w:r>
          </w:p>
          <w:p w14:paraId="03DE7685">
            <w:pPr>
              <w:widowControl/>
              <w:spacing w:line="400" w:lineRule="exact"/>
              <w:jc w:val="left"/>
              <w:rPr>
                <w:rFonts w:ascii="宋体" w:hAnsi="宋体"/>
                <w:color w:val="auto"/>
                <w:sz w:val="18"/>
                <w:szCs w:val="18"/>
              </w:rPr>
            </w:pPr>
            <w:r>
              <w:rPr>
                <w:rFonts w:hint="eastAsia" w:ascii="宋体" w:hAnsi="宋体"/>
                <w:color w:val="auto"/>
                <w:sz w:val="18"/>
                <w:szCs w:val="18"/>
              </w:rPr>
              <w:t>2.具备声控启动及门限级别调节功能；内置话筒总音量控制中心；</w:t>
            </w:r>
          </w:p>
          <w:p w14:paraId="1E33063D">
            <w:pPr>
              <w:widowControl/>
              <w:spacing w:line="400" w:lineRule="exact"/>
              <w:jc w:val="left"/>
              <w:rPr>
                <w:rFonts w:ascii="宋体" w:hAnsi="宋体"/>
                <w:color w:val="auto"/>
                <w:sz w:val="18"/>
                <w:szCs w:val="18"/>
              </w:rPr>
            </w:pPr>
            <w:r>
              <w:rPr>
                <w:rFonts w:hint="eastAsia" w:ascii="宋体" w:hAnsi="宋体"/>
                <w:color w:val="auto"/>
                <w:sz w:val="18"/>
                <w:szCs w:val="18"/>
              </w:rPr>
              <w:t>3.配备数字密码锁；内置无线WIFI模块；</w:t>
            </w:r>
          </w:p>
          <w:p w14:paraId="10363972">
            <w:pPr>
              <w:widowControl/>
              <w:spacing w:line="400" w:lineRule="exact"/>
              <w:jc w:val="left"/>
              <w:rPr>
                <w:rFonts w:ascii="宋体" w:hAnsi="宋体"/>
                <w:color w:val="auto"/>
                <w:sz w:val="18"/>
                <w:szCs w:val="18"/>
              </w:rPr>
            </w:pPr>
            <w:r>
              <w:rPr>
                <w:rFonts w:hint="eastAsia" w:ascii="宋体" w:hAnsi="宋体"/>
                <w:color w:val="auto"/>
                <w:sz w:val="18"/>
                <w:szCs w:val="18"/>
              </w:rPr>
              <w:t>4.配备≥4路8芯专用口、≥4路RJ45网口，支持环形冗余连接，可连接≥60支会议话筒单元；可通过连接扩展主机、电源中继器等方式扩展，可同时接入≥250支会议话筒单元；</w:t>
            </w:r>
          </w:p>
          <w:p w14:paraId="28FC9526">
            <w:pPr>
              <w:widowControl/>
              <w:spacing w:line="400" w:lineRule="exact"/>
              <w:jc w:val="left"/>
              <w:rPr>
                <w:rFonts w:ascii="宋体" w:hAnsi="宋体"/>
                <w:color w:val="auto"/>
                <w:sz w:val="18"/>
                <w:szCs w:val="18"/>
              </w:rPr>
            </w:pPr>
            <w:r>
              <w:rPr>
                <w:rFonts w:hint="eastAsia" w:ascii="宋体" w:hAnsi="宋体"/>
                <w:color w:val="auto"/>
                <w:sz w:val="18"/>
                <w:szCs w:val="18"/>
              </w:rPr>
              <w:t>5.所有话筒可实时显示使用状态，指示灯亮起，话筒即可打开或申请发言；</w:t>
            </w:r>
          </w:p>
          <w:p w14:paraId="04C1E886">
            <w:pPr>
              <w:widowControl/>
              <w:spacing w:line="400" w:lineRule="exact"/>
              <w:jc w:val="left"/>
              <w:rPr>
                <w:rFonts w:ascii="宋体" w:hAnsi="宋体"/>
                <w:color w:val="auto"/>
                <w:sz w:val="18"/>
                <w:szCs w:val="18"/>
              </w:rPr>
            </w:pPr>
            <w:r>
              <w:rPr>
                <w:rFonts w:hint="eastAsia" w:ascii="宋体" w:hAnsi="宋体"/>
                <w:color w:val="auto"/>
                <w:sz w:val="18"/>
                <w:szCs w:val="18"/>
              </w:rPr>
              <w:t>6.支持通过平板电脑控制会议主机，支持系统调试、话筒跟踪、会议设置等功能；</w:t>
            </w:r>
          </w:p>
          <w:p w14:paraId="4EB73146">
            <w:pPr>
              <w:widowControl/>
              <w:spacing w:line="400" w:lineRule="exact"/>
              <w:jc w:val="left"/>
              <w:rPr>
                <w:rFonts w:ascii="宋体" w:hAnsi="宋体"/>
                <w:color w:val="auto"/>
                <w:sz w:val="18"/>
                <w:szCs w:val="18"/>
              </w:rPr>
            </w:pPr>
            <w:r>
              <w:rPr>
                <w:rFonts w:hint="eastAsia" w:ascii="宋体" w:hAnsi="宋体"/>
                <w:color w:val="auto"/>
                <w:sz w:val="18"/>
                <w:szCs w:val="18"/>
              </w:rPr>
              <w:t>7.支持录音功能，配备≥32G存储；</w:t>
            </w:r>
          </w:p>
          <w:p w14:paraId="0675719F">
            <w:pPr>
              <w:widowControl/>
              <w:spacing w:line="400" w:lineRule="exact"/>
              <w:jc w:val="left"/>
              <w:rPr>
                <w:rFonts w:ascii="宋体" w:hAnsi="宋体"/>
                <w:color w:val="auto"/>
                <w:sz w:val="18"/>
                <w:szCs w:val="18"/>
              </w:rPr>
            </w:pPr>
            <w:r>
              <w:rPr>
                <w:rFonts w:hint="eastAsia" w:ascii="宋体" w:hAnsi="宋体"/>
                <w:color w:val="auto"/>
                <w:sz w:val="18"/>
                <w:szCs w:val="18"/>
              </w:rPr>
              <w:t>8.具备多路音频输出，支持连接红外线同声传译系统、本地扩声系统、外部录音设备、远程多媒体终端、电话耦合器等；</w:t>
            </w:r>
          </w:p>
          <w:p w14:paraId="7797CA62">
            <w:pPr>
              <w:widowControl/>
              <w:spacing w:line="400" w:lineRule="exact"/>
              <w:jc w:val="left"/>
              <w:rPr>
                <w:rFonts w:ascii="宋体" w:hAnsi="宋体"/>
                <w:color w:val="auto"/>
                <w:sz w:val="18"/>
                <w:szCs w:val="18"/>
              </w:rPr>
            </w:pPr>
            <w:r>
              <w:rPr>
                <w:rFonts w:hint="eastAsia" w:ascii="宋体" w:hAnsi="宋体"/>
                <w:color w:val="auto"/>
                <w:sz w:val="18"/>
                <w:szCs w:val="18"/>
              </w:rPr>
              <w:t>9.可设置与会者发言时间，如15秒～60分钟；</w:t>
            </w:r>
          </w:p>
          <w:p w14:paraId="3B02AEEA">
            <w:pPr>
              <w:widowControl/>
              <w:spacing w:line="400" w:lineRule="exact"/>
              <w:jc w:val="left"/>
              <w:rPr>
                <w:rFonts w:ascii="宋体" w:hAnsi="宋体"/>
                <w:color w:val="auto"/>
                <w:sz w:val="18"/>
                <w:szCs w:val="18"/>
              </w:rPr>
            </w:pPr>
            <w:r>
              <w:rPr>
                <w:rFonts w:hint="eastAsia" w:ascii="宋体" w:hAnsi="宋体"/>
                <w:color w:val="auto"/>
                <w:sz w:val="18"/>
                <w:szCs w:val="18"/>
              </w:rPr>
              <w:t>10.内置≥4进1出HDMI矩阵，支持四画面同屏显示。</w:t>
            </w:r>
          </w:p>
          <w:p w14:paraId="50853915">
            <w:pPr>
              <w:widowControl/>
              <w:spacing w:line="400" w:lineRule="exact"/>
              <w:jc w:val="left"/>
              <w:rPr>
                <w:rFonts w:ascii="宋体" w:hAnsi="宋体" w:cs="Arial"/>
                <w:color w:val="auto"/>
                <w:sz w:val="18"/>
                <w:szCs w:val="18"/>
              </w:rPr>
            </w:pPr>
            <w:r>
              <w:rPr>
                <w:rFonts w:hint="eastAsia" w:ascii="宋体" w:hAnsi="宋体"/>
                <w:color w:val="auto"/>
                <w:sz w:val="18"/>
                <w:szCs w:val="18"/>
              </w:rPr>
              <w:t>11.具备RS-485摄像头控制接口，支持PELCO-D、PELCO-P、VISCA等控制协议。</w:t>
            </w:r>
          </w:p>
        </w:tc>
        <w:tc>
          <w:tcPr>
            <w:tcW w:w="900" w:type="dxa"/>
            <w:tcBorders>
              <w:top w:val="nil"/>
              <w:left w:val="nil"/>
              <w:bottom w:val="single" w:color="auto" w:sz="4" w:space="0"/>
              <w:right w:val="single" w:color="auto" w:sz="4" w:space="0"/>
            </w:tcBorders>
            <w:vAlign w:val="center"/>
          </w:tcPr>
          <w:p w14:paraId="21EBB4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A7A28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56DC91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6ACE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D83F2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数字会议主席单元</w:t>
            </w:r>
          </w:p>
        </w:tc>
        <w:tc>
          <w:tcPr>
            <w:tcW w:w="5717" w:type="dxa"/>
            <w:tcBorders>
              <w:top w:val="nil"/>
              <w:left w:val="nil"/>
              <w:bottom w:val="single" w:color="auto" w:sz="4" w:space="0"/>
              <w:right w:val="single" w:color="auto" w:sz="4" w:space="0"/>
            </w:tcBorders>
            <w:vAlign w:val="center"/>
          </w:tcPr>
          <w:p w14:paraId="3760F358">
            <w:pPr>
              <w:widowControl/>
              <w:spacing w:line="400" w:lineRule="exact"/>
              <w:jc w:val="left"/>
              <w:rPr>
                <w:rFonts w:ascii="宋体" w:hAnsi="宋体"/>
                <w:color w:val="auto"/>
                <w:sz w:val="18"/>
                <w:szCs w:val="18"/>
              </w:rPr>
            </w:pPr>
            <w:r>
              <w:rPr>
                <w:rFonts w:hint="eastAsia" w:ascii="宋体" w:hAnsi="宋体"/>
                <w:color w:val="auto"/>
                <w:sz w:val="18"/>
                <w:szCs w:val="18"/>
              </w:rPr>
              <w:t>1.采用可插拔式方形短咪杆（单管）；配备金属面板；采用DC24V供电，具备热插拔功能；</w:t>
            </w:r>
          </w:p>
          <w:p w14:paraId="2C2C6A7E">
            <w:pPr>
              <w:widowControl/>
              <w:spacing w:line="400" w:lineRule="exact"/>
              <w:jc w:val="left"/>
              <w:rPr>
                <w:rFonts w:ascii="宋体" w:hAnsi="宋体"/>
                <w:color w:val="auto"/>
                <w:sz w:val="18"/>
                <w:szCs w:val="18"/>
              </w:rPr>
            </w:pPr>
            <w:r>
              <w:rPr>
                <w:rFonts w:hint="eastAsia" w:ascii="宋体" w:hAnsi="宋体"/>
                <w:color w:val="auto"/>
                <w:sz w:val="18"/>
                <w:szCs w:val="18"/>
              </w:rPr>
              <w:t>2.配备≥2.4寸彩色显示屏，可显示会议模式、发言状态、发言计时、发言倒计时等；</w:t>
            </w:r>
          </w:p>
          <w:p w14:paraId="3A88C1F7">
            <w:pPr>
              <w:widowControl/>
              <w:spacing w:line="400" w:lineRule="exact"/>
              <w:jc w:val="left"/>
              <w:rPr>
                <w:rFonts w:ascii="宋体" w:hAnsi="宋体"/>
                <w:color w:val="auto"/>
                <w:sz w:val="18"/>
                <w:szCs w:val="18"/>
              </w:rPr>
            </w:pPr>
            <w:r>
              <w:rPr>
                <w:rFonts w:hint="eastAsia" w:ascii="宋体" w:hAnsi="宋体"/>
                <w:color w:val="auto"/>
                <w:sz w:val="18"/>
                <w:szCs w:val="18"/>
              </w:rPr>
              <w:t>3.配备触摸式开关，具备待机灯，指示灯亮起话筒可打开，熄灭则话筒不能打开；</w:t>
            </w:r>
          </w:p>
          <w:p w14:paraId="4F157743">
            <w:pPr>
              <w:widowControl/>
              <w:spacing w:line="400" w:lineRule="exact"/>
              <w:jc w:val="left"/>
              <w:rPr>
                <w:rFonts w:ascii="宋体" w:hAnsi="宋体"/>
                <w:color w:val="auto"/>
                <w:sz w:val="18"/>
                <w:szCs w:val="18"/>
              </w:rPr>
            </w:pPr>
            <w:r>
              <w:rPr>
                <w:rFonts w:hint="eastAsia" w:ascii="宋体" w:hAnsi="宋体"/>
                <w:color w:val="auto"/>
                <w:sz w:val="18"/>
                <w:szCs w:val="18"/>
              </w:rPr>
              <w:t>4.采用单一指向性电容咪芯，内置高速反馈抑制器，拾音距离≥80CM；</w:t>
            </w:r>
          </w:p>
          <w:p w14:paraId="10E3C58B">
            <w:pPr>
              <w:widowControl/>
              <w:spacing w:line="400" w:lineRule="exact"/>
              <w:jc w:val="left"/>
              <w:rPr>
                <w:rFonts w:ascii="宋体" w:hAnsi="宋体"/>
                <w:color w:val="auto"/>
                <w:sz w:val="18"/>
                <w:szCs w:val="18"/>
              </w:rPr>
            </w:pPr>
            <w:r>
              <w:rPr>
                <w:rFonts w:hint="eastAsia" w:ascii="宋体" w:hAnsi="宋体"/>
                <w:color w:val="auto"/>
                <w:sz w:val="18"/>
                <w:szCs w:val="18"/>
              </w:rPr>
              <w:t>5.可与中控系统联机，实现视频跟踪，支持RS232通讯；</w:t>
            </w:r>
          </w:p>
          <w:p w14:paraId="572F5470">
            <w:pPr>
              <w:widowControl/>
              <w:spacing w:line="400" w:lineRule="exact"/>
              <w:jc w:val="left"/>
              <w:rPr>
                <w:rFonts w:ascii="宋体" w:hAnsi="宋体"/>
                <w:color w:val="auto"/>
                <w:sz w:val="18"/>
                <w:szCs w:val="18"/>
              </w:rPr>
            </w:pPr>
            <w:r>
              <w:rPr>
                <w:rFonts w:hint="eastAsia" w:ascii="宋体" w:hAnsi="宋体"/>
                <w:color w:val="auto"/>
                <w:sz w:val="18"/>
                <w:szCs w:val="18"/>
              </w:rPr>
              <w:t>6.可接入扩展电源，实现单线长距离分段供电；</w:t>
            </w:r>
          </w:p>
          <w:p w14:paraId="6D9F0962">
            <w:pPr>
              <w:widowControl/>
              <w:spacing w:line="400" w:lineRule="exact"/>
              <w:jc w:val="left"/>
              <w:rPr>
                <w:rFonts w:ascii="宋体" w:hAnsi="宋体"/>
                <w:color w:val="auto"/>
                <w:sz w:val="18"/>
                <w:szCs w:val="18"/>
              </w:rPr>
            </w:pPr>
            <w:r>
              <w:rPr>
                <w:rFonts w:hint="eastAsia" w:ascii="宋体" w:hAnsi="宋体"/>
                <w:color w:val="auto"/>
                <w:sz w:val="18"/>
                <w:szCs w:val="18"/>
              </w:rPr>
              <w:t>7.配备3.5mm监听耳机插孔，支持调节音量，可连接录音设备或监听耳机；</w:t>
            </w:r>
          </w:p>
          <w:p w14:paraId="40616F7C">
            <w:pPr>
              <w:widowControl/>
              <w:spacing w:line="400" w:lineRule="exact"/>
              <w:jc w:val="left"/>
              <w:rPr>
                <w:rFonts w:ascii="宋体" w:hAnsi="宋体"/>
                <w:color w:val="auto"/>
                <w:sz w:val="18"/>
                <w:szCs w:val="18"/>
              </w:rPr>
            </w:pPr>
            <w:r>
              <w:rPr>
                <w:rFonts w:hint="eastAsia" w:ascii="宋体" w:hAnsi="宋体"/>
                <w:color w:val="auto"/>
                <w:sz w:val="18"/>
                <w:szCs w:val="18"/>
              </w:rPr>
              <w:t>8.配备RJ45母座和8P母座，支持RJ45网线三通连接或8芯T型线手拉手级联；</w:t>
            </w:r>
          </w:p>
          <w:p w14:paraId="39F2B14A">
            <w:pPr>
              <w:widowControl/>
              <w:spacing w:line="400" w:lineRule="exact"/>
              <w:jc w:val="left"/>
              <w:rPr>
                <w:rFonts w:ascii="宋体" w:hAnsi="宋体" w:cs="Arial"/>
                <w:color w:val="auto"/>
                <w:sz w:val="18"/>
                <w:szCs w:val="18"/>
              </w:rPr>
            </w:pPr>
            <w:r>
              <w:rPr>
                <w:rFonts w:hint="eastAsia" w:ascii="宋体" w:hAnsi="宋体"/>
                <w:color w:val="auto"/>
                <w:sz w:val="18"/>
                <w:szCs w:val="18"/>
              </w:rPr>
              <w:t>9.主席单元配备优先键，不受会议模式限制，可临时静音所有代表单元进行插话发言。</w:t>
            </w:r>
          </w:p>
        </w:tc>
        <w:tc>
          <w:tcPr>
            <w:tcW w:w="900" w:type="dxa"/>
            <w:tcBorders>
              <w:top w:val="nil"/>
              <w:left w:val="nil"/>
              <w:bottom w:val="single" w:color="auto" w:sz="4" w:space="0"/>
              <w:right w:val="single" w:color="auto" w:sz="4" w:space="0"/>
            </w:tcBorders>
            <w:vAlign w:val="center"/>
          </w:tcPr>
          <w:p w14:paraId="2E8824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7E91F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777461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FC813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19A7C7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数字会议代表单元</w:t>
            </w:r>
          </w:p>
        </w:tc>
        <w:tc>
          <w:tcPr>
            <w:tcW w:w="5717" w:type="dxa"/>
            <w:tcBorders>
              <w:top w:val="nil"/>
              <w:left w:val="nil"/>
              <w:bottom w:val="single" w:color="auto" w:sz="4" w:space="0"/>
              <w:right w:val="single" w:color="auto" w:sz="4" w:space="0"/>
            </w:tcBorders>
            <w:vAlign w:val="center"/>
          </w:tcPr>
          <w:p w14:paraId="69953356">
            <w:pPr>
              <w:widowControl/>
              <w:spacing w:line="400" w:lineRule="exact"/>
              <w:jc w:val="left"/>
              <w:rPr>
                <w:rFonts w:ascii="宋体" w:hAnsi="宋体"/>
                <w:color w:val="auto"/>
                <w:sz w:val="18"/>
                <w:szCs w:val="18"/>
              </w:rPr>
            </w:pPr>
            <w:r>
              <w:rPr>
                <w:rFonts w:hint="eastAsia" w:ascii="宋体" w:hAnsi="宋体"/>
                <w:color w:val="auto"/>
                <w:sz w:val="18"/>
                <w:szCs w:val="18"/>
              </w:rPr>
              <w:t>1.采用可插拔式方形短咪杆（单管）；配备金属面板；采用DC24V供电，具备热插拔功能；</w:t>
            </w:r>
          </w:p>
          <w:p w14:paraId="63823A6A">
            <w:pPr>
              <w:widowControl/>
              <w:spacing w:line="400" w:lineRule="exact"/>
              <w:jc w:val="left"/>
              <w:rPr>
                <w:rFonts w:ascii="宋体" w:hAnsi="宋体"/>
                <w:color w:val="auto"/>
                <w:sz w:val="18"/>
                <w:szCs w:val="18"/>
              </w:rPr>
            </w:pPr>
            <w:r>
              <w:rPr>
                <w:rFonts w:hint="eastAsia" w:ascii="宋体" w:hAnsi="宋体"/>
                <w:color w:val="auto"/>
                <w:sz w:val="18"/>
                <w:szCs w:val="18"/>
              </w:rPr>
              <w:t>2.配备≥2.4寸彩色显示屏，可显示会议模式、发言状态、发言计时、发言倒计时等；</w:t>
            </w:r>
          </w:p>
          <w:p w14:paraId="46B764A8">
            <w:pPr>
              <w:widowControl/>
              <w:spacing w:line="400" w:lineRule="exact"/>
              <w:jc w:val="left"/>
              <w:rPr>
                <w:rFonts w:ascii="宋体" w:hAnsi="宋体"/>
                <w:color w:val="auto"/>
                <w:sz w:val="18"/>
                <w:szCs w:val="18"/>
              </w:rPr>
            </w:pPr>
            <w:r>
              <w:rPr>
                <w:rFonts w:hint="eastAsia" w:ascii="宋体" w:hAnsi="宋体"/>
                <w:color w:val="auto"/>
                <w:sz w:val="18"/>
                <w:szCs w:val="18"/>
              </w:rPr>
              <w:t>3.配备触摸式开关，具备待机灯，指示灯亮起话筒可打开，熄灭则话筒不能打开；</w:t>
            </w:r>
          </w:p>
          <w:p w14:paraId="23523315">
            <w:pPr>
              <w:widowControl/>
              <w:spacing w:line="400" w:lineRule="exact"/>
              <w:jc w:val="left"/>
              <w:rPr>
                <w:rFonts w:ascii="宋体" w:hAnsi="宋体"/>
                <w:color w:val="auto"/>
                <w:sz w:val="18"/>
                <w:szCs w:val="18"/>
              </w:rPr>
            </w:pPr>
            <w:r>
              <w:rPr>
                <w:rFonts w:hint="eastAsia" w:ascii="宋体" w:hAnsi="宋体"/>
                <w:color w:val="auto"/>
                <w:sz w:val="18"/>
                <w:szCs w:val="18"/>
              </w:rPr>
              <w:t>4.采用单一指向性电容咪芯，内置高速反馈抑制器，拾音距离≥80CM；</w:t>
            </w:r>
          </w:p>
          <w:p w14:paraId="45E89310">
            <w:pPr>
              <w:widowControl/>
              <w:spacing w:line="400" w:lineRule="exact"/>
              <w:jc w:val="left"/>
              <w:rPr>
                <w:rFonts w:ascii="宋体" w:hAnsi="宋体"/>
                <w:color w:val="auto"/>
                <w:sz w:val="18"/>
                <w:szCs w:val="18"/>
              </w:rPr>
            </w:pPr>
            <w:r>
              <w:rPr>
                <w:rFonts w:hint="eastAsia" w:ascii="宋体" w:hAnsi="宋体"/>
                <w:color w:val="auto"/>
                <w:sz w:val="18"/>
                <w:szCs w:val="18"/>
              </w:rPr>
              <w:t>5.可与中控系统联机，实现视频跟踪，支持RS232通讯；</w:t>
            </w:r>
          </w:p>
          <w:p w14:paraId="76C1F6A2">
            <w:pPr>
              <w:widowControl/>
              <w:spacing w:line="400" w:lineRule="exact"/>
              <w:jc w:val="left"/>
              <w:rPr>
                <w:rFonts w:ascii="宋体" w:hAnsi="宋体"/>
                <w:color w:val="auto"/>
                <w:sz w:val="18"/>
                <w:szCs w:val="18"/>
              </w:rPr>
            </w:pPr>
            <w:r>
              <w:rPr>
                <w:rFonts w:hint="eastAsia" w:ascii="宋体" w:hAnsi="宋体"/>
                <w:color w:val="auto"/>
                <w:sz w:val="18"/>
                <w:szCs w:val="18"/>
              </w:rPr>
              <w:t>6.可接入扩展电源，实现单线长距离分段供电；</w:t>
            </w:r>
          </w:p>
          <w:p w14:paraId="784E7B63">
            <w:pPr>
              <w:widowControl/>
              <w:spacing w:line="400" w:lineRule="exact"/>
              <w:jc w:val="left"/>
              <w:rPr>
                <w:rFonts w:ascii="宋体" w:hAnsi="宋体"/>
                <w:color w:val="auto"/>
                <w:sz w:val="18"/>
                <w:szCs w:val="18"/>
              </w:rPr>
            </w:pPr>
            <w:r>
              <w:rPr>
                <w:rFonts w:hint="eastAsia" w:ascii="宋体" w:hAnsi="宋体"/>
                <w:color w:val="auto"/>
                <w:sz w:val="18"/>
                <w:szCs w:val="18"/>
              </w:rPr>
              <w:t>7.配备3.5mm监听耳机插孔，支持调节音量，可连接录音设备或监听耳机；</w:t>
            </w:r>
          </w:p>
          <w:p w14:paraId="548A9EE5">
            <w:pPr>
              <w:widowControl/>
              <w:spacing w:line="400" w:lineRule="exact"/>
              <w:jc w:val="left"/>
              <w:rPr>
                <w:rFonts w:ascii="宋体" w:hAnsi="宋体" w:cs="Arial"/>
                <w:color w:val="auto"/>
                <w:sz w:val="18"/>
                <w:szCs w:val="18"/>
              </w:rPr>
            </w:pPr>
            <w:r>
              <w:rPr>
                <w:rFonts w:hint="eastAsia" w:ascii="宋体" w:hAnsi="宋体"/>
                <w:color w:val="auto"/>
                <w:sz w:val="18"/>
                <w:szCs w:val="18"/>
              </w:rPr>
              <w:t>8.配备RJ45母座和8P母座，支持RJ45网线三通连接或8芯T型线手拉手级联。</w:t>
            </w:r>
          </w:p>
        </w:tc>
        <w:tc>
          <w:tcPr>
            <w:tcW w:w="900" w:type="dxa"/>
            <w:tcBorders>
              <w:top w:val="nil"/>
              <w:left w:val="nil"/>
              <w:bottom w:val="single" w:color="auto" w:sz="4" w:space="0"/>
              <w:right w:val="single" w:color="auto" w:sz="4" w:space="0"/>
            </w:tcBorders>
            <w:vAlign w:val="center"/>
          </w:tcPr>
          <w:p w14:paraId="64FEAB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18F704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E931C1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C957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827B2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数字反馈抑制器</w:t>
            </w:r>
          </w:p>
        </w:tc>
        <w:tc>
          <w:tcPr>
            <w:tcW w:w="5717" w:type="dxa"/>
            <w:tcBorders>
              <w:top w:val="nil"/>
              <w:left w:val="nil"/>
              <w:bottom w:val="single" w:color="auto" w:sz="4" w:space="0"/>
              <w:right w:val="single" w:color="auto" w:sz="4" w:space="0"/>
            </w:tcBorders>
            <w:vAlign w:val="center"/>
          </w:tcPr>
          <w:p w14:paraId="3DD25D71">
            <w:pPr>
              <w:widowControl/>
              <w:spacing w:line="400" w:lineRule="exact"/>
              <w:jc w:val="left"/>
              <w:rPr>
                <w:rFonts w:ascii="宋体" w:hAnsi="宋体"/>
                <w:color w:val="auto"/>
                <w:sz w:val="18"/>
                <w:szCs w:val="18"/>
              </w:rPr>
            </w:pPr>
            <w:r>
              <w:rPr>
                <w:rFonts w:hint="eastAsia" w:ascii="宋体" w:hAnsi="宋体"/>
                <w:color w:val="auto"/>
                <w:sz w:val="18"/>
                <w:szCs w:val="18"/>
              </w:rPr>
              <w:t>1.采用自适应环境啸叫抑制算法，通过数字音频处理器和子带回声消除技术，可高速全自动消除啸叫和回声；</w:t>
            </w:r>
          </w:p>
          <w:p w14:paraId="191AD0D1">
            <w:pPr>
              <w:widowControl/>
              <w:spacing w:line="400" w:lineRule="exact"/>
              <w:jc w:val="left"/>
              <w:rPr>
                <w:rFonts w:ascii="宋体" w:hAnsi="宋体"/>
                <w:color w:val="auto"/>
                <w:sz w:val="18"/>
                <w:szCs w:val="18"/>
              </w:rPr>
            </w:pPr>
            <w:r>
              <w:rPr>
                <w:rFonts w:hint="eastAsia" w:ascii="宋体" w:hAnsi="宋体"/>
                <w:color w:val="auto"/>
                <w:sz w:val="18"/>
                <w:szCs w:val="18"/>
              </w:rPr>
              <w:t>2.内置自适应动态噪声滤波器，可滤掉现场环境的背景噪声，不影响语音信号传输；</w:t>
            </w:r>
          </w:p>
          <w:p w14:paraId="3829F76A">
            <w:pPr>
              <w:widowControl/>
              <w:spacing w:line="400" w:lineRule="exact"/>
              <w:jc w:val="left"/>
              <w:rPr>
                <w:rFonts w:ascii="宋体" w:hAnsi="宋体"/>
                <w:color w:val="auto"/>
                <w:sz w:val="18"/>
                <w:szCs w:val="18"/>
              </w:rPr>
            </w:pPr>
            <w:r>
              <w:rPr>
                <w:rFonts w:hint="eastAsia" w:ascii="宋体" w:hAnsi="宋体"/>
                <w:color w:val="auto"/>
                <w:sz w:val="18"/>
                <w:szCs w:val="18"/>
              </w:rPr>
              <w:t>3.内置电平控制，可输出清晰、持续、电平无明显波动的语音信号；</w:t>
            </w:r>
          </w:p>
          <w:p w14:paraId="131A0187">
            <w:pPr>
              <w:widowControl/>
              <w:spacing w:line="400" w:lineRule="exact"/>
              <w:jc w:val="left"/>
              <w:rPr>
                <w:rFonts w:ascii="宋体" w:hAnsi="宋体"/>
                <w:color w:val="auto"/>
                <w:sz w:val="18"/>
                <w:szCs w:val="18"/>
              </w:rPr>
            </w:pPr>
            <w:r>
              <w:rPr>
                <w:rFonts w:hint="eastAsia" w:ascii="宋体" w:hAnsi="宋体"/>
                <w:color w:val="auto"/>
                <w:sz w:val="18"/>
                <w:szCs w:val="18"/>
              </w:rPr>
              <w:t>4.内置AGC自动增益控制，可区分并加强强信号、优化轻柔信号，保持讲话声调连贯，保障语音清晰可辨，提升增益范围不低于6~15dB；</w:t>
            </w:r>
          </w:p>
          <w:p w14:paraId="4C87287C">
            <w:pPr>
              <w:widowControl/>
              <w:spacing w:line="400" w:lineRule="exact"/>
              <w:jc w:val="left"/>
              <w:rPr>
                <w:rFonts w:ascii="宋体" w:hAnsi="宋体"/>
                <w:color w:val="auto"/>
                <w:sz w:val="18"/>
                <w:szCs w:val="18"/>
              </w:rPr>
            </w:pPr>
            <w:r>
              <w:rPr>
                <w:rFonts w:hint="eastAsia" w:ascii="宋体" w:hAnsi="宋体"/>
                <w:color w:val="auto"/>
                <w:sz w:val="18"/>
                <w:szCs w:val="18"/>
              </w:rPr>
              <w:t>5.内置数字高低通调节控制，可限制语音频响；</w:t>
            </w:r>
          </w:p>
          <w:p w14:paraId="5849207A">
            <w:pPr>
              <w:widowControl/>
              <w:spacing w:line="400" w:lineRule="exact"/>
              <w:jc w:val="left"/>
              <w:rPr>
                <w:rFonts w:ascii="宋体" w:hAnsi="宋体"/>
                <w:color w:val="auto"/>
                <w:sz w:val="18"/>
                <w:szCs w:val="18"/>
              </w:rPr>
            </w:pPr>
            <w:r>
              <w:rPr>
                <w:rFonts w:hint="eastAsia" w:ascii="宋体" w:hAnsi="宋体"/>
                <w:color w:val="auto"/>
                <w:sz w:val="18"/>
                <w:szCs w:val="18"/>
              </w:rPr>
              <w:t>6.内置数字压限器，可提高拾音的距离；</w:t>
            </w:r>
          </w:p>
          <w:p w14:paraId="4649C498">
            <w:pPr>
              <w:widowControl/>
              <w:spacing w:line="400" w:lineRule="exact"/>
              <w:jc w:val="left"/>
              <w:rPr>
                <w:rFonts w:ascii="宋体" w:hAnsi="宋体"/>
                <w:color w:val="auto"/>
                <w:sz w:val="18"/>
                <w:szCs w:val="18"/>
              </w:rPr>
            </w:pPr>
            <w:r>
              <w:rPr>
                <w:rFonts w:hint="eastAsia" w:ascii="宋体" w:hAnsi="宋体"/>
                <w:color w:val="auto"/>
                <w:sz w:val="18"/>
                <w:szCs w:val="18"/>
              </w:rPr>
              <w:t>7.内置不低于10段图示均衡器；</w:t>
            </w:r>
          </w:p>
          <w:p w14:paraId="55FD0CDA">
            <w:pPr>
              <w:widowControl/>
              <w:spacing w:line="400" w:lineRule="exact"/>
              <w:jc w:val="left"/>
              <w:rPr>
                <w:rFonts w:ascii="宋体" w:hAnsi="宋体" w:cs="Arial"/>
                <w:color w:val="auto"/>
                <w:sz w:val="18"/>
                <w:szCs w:val="18"/>
              </w:rPr>
            </w:pPr>
            <w:r>
              <w:rPr>
                <w:rFonts w:hint="eastAsia" w:ascii="宋体" w:hAnsi="宋体"/>
                <w:color w:val="auto"/>
                <w:sz w:val="18"/>
                <w:szCs w:val="18"/>
              </w:rPr>
              <w:t>8.采用全自动化操作模式，可自适应房间环境变化（如位置、温度、湿度、装饰等），安装后无需进行声场调试。</w:t>
            </w:r>
          </w:p>
        </w:tc>
        <w:tc>
          <w:tcPr>
            <w:tcW w:w="900" w:type="dxa"/>
            <w:tcBorders>
              <w:top w:val="nil"/>
              <w:left w:val="nil"/>
              <w:bottom w:val="single" w:color="auto" w:sz="4" w:space="0"/>
              <w:right w:val="single" w:color="auto" w:sz="4" w:space="0"/>
            </w:tcBorders>
            <w:vAlign w:val="center"/>
          </w:tcPr>
          <w:p w14:paraId="67E2E7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6E29C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563ACE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A9DB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B445D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有线麦克风</w:t>
            </w:r>
          </w:p>
        </w:tc>
        <w:tc>
          <w:tcPr>
            <w:tcW w:w="5717" w:type="dxa"/>
            <w:tcBorders>
              <w:top w:val="nil"/>
              <w:left w:val="nil"/>
              <w:bottom w:val="single" w:color="auto" w:sz="4" w:space="0"/>
              <w:right w:val="single" w:color="auto" w:sz="4" w:space="0"/>
            </w:tcBorders>
            <w:vAlign w:val="center"/>
          </w:tcPr>
          <w:p w14:paraId="25319358">
            <w:pPr>
              <w:widowControl/>
              <w:spacing w:line="400" w:lineRule="exact"/>
              <w:jc w:val="left"/>
              <w:rPr>
                <w:rFonts w:ascii="宋体" w:hAnsi="宋体"/>
                <w:color w:val="auto"/>
                <w:sz w:val="18"/>
                <w:szCs w:val="18"/>
              </w:rPr>
            </w:pPr>
            <w:r>
              <w:rPr>
                <w:rFonts w:hint="eastAsia" w:ascii="宋体" w:hAnsi="宋体"/>
                <w:color w:val="auto"/>
                <w:sz w:val="18"/>
                <w:szCs w:val="18"/>
              </w:rPr>
              <w:t>1.配备全金属短咪杆，咪管长度不低于220mm；幻象48V供电</w:t>
            </w:r>
          </w:p>
          <w:p w14:paraId="4817AD27">
            <w:pPr>
              <w:widowControl/>
              <w:spacing w:line="400" w:lineRule="exact"/>
              <w:jc w:val="left"/>
              <w:rPr>
                <w:rFonts w:ascii="宋体" w:hAnsi="宋体"/>
                <w:color w:val="auto"/>
                <w:sz w:val="18"/>
                <w:szCs w:val="18"/>
              </w:rPr>
            </w:pPr>
            <w:r>
              <w:rPr>
                <w:rFonts w:hint="eastAsia" w:ascii="宋体" w:hAnsi="宋体"/>
                <w:color w:val="auto"/>
                <w:sz w:val="18"/>
                <w:szCs w:val="18"/>
              </w:rPr>
              <w:t>2.配备≥9.7毫米直径镀金电容式拾音头，心型指向性；</w:t>
            </w:r>
          </w:p>
          <w:p w14:paraId="5E5D2B5D">
            <w:pPr>
              <w:widowControl/>
              <w:spacing w:line="400" w:lineRule="exact"/>
              <w:jc w:val="left"/>
              <w:rPr>
                <w:rFonts w:ascii="宋体" w:hAnsi="宋体"/>
                <w:color w:val="auto"/>
                <w:sz w:val="18"/>
                <w:szCs w:val="18"/>
              </w:rPr>
            </w:pPr>
            <w:r>
              <w:rPr>
                <w:rFonts w:hint="eastAsia" w:ascii="宋体" w:hAnsi="宋体"/>
                <w:color w:val="auto"/>
                <w:sz w:val="18"/>
                <w:szCs w:val="18"/>
              </w:rPr>
              <w:t>3.拾音距离不低于80~120cm；</w:t>
            </w:r>
          </w:p>
          <w:p w14:paraId="65FFACBD">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4.频率响应不低于40Hz~18kHz；</w:t>
            </w:r>
          </w:p>
          <w:p w14:paraId="447BE3F6">
            <w:pPr>
              <w:widowControl/>
              <w:spacing w:line="400" w:lineRule="exact"/>
              <w:jc w:val="left"/>
              <w:rPr>
                <w:rFonts w:ascii="宋体" w:hAnsi="宋体"/>
                <w:color w:val="auto"/>
                <w:sz w:val="18"/>
                <w:szCs w:val="18"/>
              </w:rPr>
            </w:pPr>
            <w:r>
              <w:rPr>
                <w:rFonts w:hint="eastAsia" w:ascii="宋体" w:hAnsi="宋体"/>
                <w:color w:val="auto"/>
                <w:sz w:val="18"/>
                <w:szCs w:val="18"/>
              </w:rPr>
              <w:t>5.输出阻抗≤1200</w:t>
            </w:r>
            <w:r>
              <w:rPr>
                <w:rFonts w:ascii="宋体" w:hAnsi="宋体" w:cs="Calibri"/>
                <w:color w:val="auto"/>
                <w:sz w:val="18"/>
                <w:szCs w:val="18"/>
              </w:rPr>
              <w:t>Ω</w:t>
            </w:r>
            <w:r>
              <w:rPr>
                <w:rFonts w:hint="eastAsia" w:ascii="宋体" w:hAnsi="宋体"/>
                <w:color w:val="auto"/>
                <w:sz w:val="18"/>
                <w:szCs w:val="18"/>
              </w:rPr>
              <w:t>（平衡输出）；</w:t>
            </w:r>
          </w:p>
          <w:p w14:paraId="75A63EDF">
            <w:pPr>
              <w:widowControl/>
              <w:spacing w:line="400" w:lineRule="exact"/>
              <w:jc w:val="left"/>
              <w:rPr>
                <w:rFonts w:ascii="宋体" w:hAnsi="宋体"/>
                <w:color w:val="auto"/>
                <w:sz w:val="18"/>
                <w:szCs w:val="18"/>
              </w:rPr>
            </w:pPr>
            <w:r>
              <w:rPr>
                <w:rFonts w:hint="eastAsia" w:ascii="宋体" w:hAnsi="宋体"/>
                <w:color w:val="auto"/>
                <w:sz w:val="18"/>
                <w:szCs w:val="18"/>
              </w:rPr>
              <w:t>6.灵敏度≥-42dB；</w:t>
            </w:r>
          </w:p>
          <w:p w14:paraId="3BB92162">
            <w:pPr>
              <w:widowControl/>
              <w:spacing w:line="400" w:lineRule="exact"/>
              <w:jc w:val="left"/>
              <w:rPr>
                <w:rFonts w:ascii="宋体" w:hAnsi="宋体"/>
                <w:color w:val="auto"/>
                <w:sz w:val="18"/>
                <w:szCs w:val="18"/>
              </w:rPr>
            </w:pPr>
            <w:r>
              <w:rPr>
                <w:rFonts w:hint="eastAsia" w:ascii="宋体" w:hAnsi="宋体"/>
                <w:color w:val="auto"/>
                <w:sz w:val="18"/>
                <w:szCs w:val="18"/>
              </w:rPr>
              <w:t>7.信噪比≥65dB；</w:t>
            </w:r>
          </w:p>
          <w:p w14:paraId="58BA6BEA">
            <w:pPr>
              <w:widowControl/>
              <w:spacing w:line="400" w:lineRule="exact"/>
              <w:jc w:val="left"/>
              <w:rPr>
                <w:rFonts w:ascii="宋体" w:hAnsi="宋体" w:cs="Arial"/>
                <w:color w:val="auto"/>
                <w:sz w:val="18"/>
                <w:szCs w:val="18"/>
              </w:rPr>
            </w:pPr>
            <w:r>
              <w:rPr>
                <w:rFonts w:hint="eastAsia" w:ascii="宋体" w:hAnsi="宋体"/>
                <w:color w:val="auto"/>
                <w:sz w:val="18"/>
                <w:szCs w:val="18"/>
              </w:rPr>
              <w:t>8.可抗手机、电磁、高频干扰。</w:t>
            </w:r>
          </w:p>
        </w:tc>
        <w:tc>
          <w:tcPr>
            <w:tcW w:w="900" w:type="dxa"/>
            <w:tcBorders>
              <w:top w:val="nil"/>
              <w:left w:val="nil"/>
              <w:bottom w:val="single" w:color="auto" w:sz="4" w:space="0"/>
              <w:right w:val="single" w:color="auto" w:sz="4" w:space="0"/>
            </w:tcBorders>
            <w:vAlign w:val="center"/>
          </w:tcPr>
          <w:p w14:paraId="02CAE0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3C0135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B5FBE5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EC87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C24E5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会议延长线</w:t>
            </w:r>
          </w:p>
        </w:tc>
        <w:tc>
          <w:tcPr>
            <w:tcW w:w="5717" w:type="dxa"/>
            <w:tcBorders>
              <w:top w:val="nil"/>
              <w:left w:val="nil"/>
              <w:bottom w:val="single" w:color="auto" w:sz="4" w:space="0"/>
              <w:right w:val="single" w:color="auto" w:sz="4" w:space="0"/>
            </w:tcBorders>
            <w:vAlign w:val="center"/>
          </w:tcPr>
          <w:p w14:paraId="1E8087A4">
            <w:pPr>
              <w:widowControl/>
              <w:spacing w:line="400" w:lineRule="exact"/>
              <w:jc w:val="left"/>
              <w:rPr>
                <w:rFonts w:ascii="宋体" w:hAnsi="宋体" w:cs="Arial"/>
                <w:color w:val="auto"/>
                <w:sz w:val="18"/>
                <w:szCs w:val="18"/>
              </w:rPr>
            </w:pPr>
            <w:r>
              <w:rPr>
                <w:rFonts w:hint="eastAsia" w:ascii="宋体" w:hAnsi="宋体"/>
                <w:color w:val="auto"/>
                <w:sz w:val="18"/>
                <w:szCs w:val="18"/>
              </w:rPr>
              <w:t>≥20米航空插会议延长线。</w:t>
            </w:r>
          </w:p>
        </w:tc>
        <w:tc>
          <w:tcPr>
            <w:tcW w:w="900" w:type="dxa"/>
            <w:tcBorders>
              <w:top w:val="nil"/>
              <w:left w:val="nil"/>
              <w:bottom w:val="single" w:color="auto" w:sz="4" w:space="0"/>
              <w:right w:val="single" w:color="auto" w:sz="4" w:space="0"/>
            </w:tcBorders>
            <w:vAlign w:val="center"/>
          </w:tcPr>
          <w:p w14:paraId="43E06A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35EEA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0A27EB8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1597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E6C59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会议地插</w:t>
            </w:r>
          </w:p>
        </w:tc>
        <w:tc>
          <w:tcPr>
            <w:tcW w:w="5717" w:type="dxa"/>
            <w:tcBorders>
              <w:top w:val="nil"/>
              <w:left w:val="nil"/>
              <w:bottom w:val="single" w:color="auto" w:sz="4" w:space="0"/>
              <w:right w:val="single" w:color="auto" w:sz="4" w:space="0"/>
            </w:tcBorders>
            <w:vAlign w:val="center"/>
          </w:tcPr>
          <w:p w14:paraId="2DA1248F">
            <w:pPr>
              <w:widowControl/>
              <w:spacing w:line="400" w:lineRule="exact"/>
              <w:jc w:val="left"/>
              <w:rPr>
                <w:rFonts w:ascii="宋体" w:hAnsi="宋体" w:cs="Arial"/>
                <w:color w:val="auto"/>
                <w:sz w:val="18"/>
                <w:szCs w:val="18"/>
              </w:rPr>
            </w:pPr>
            <w:r>
              <w:rPr>
                <w:rFonts w:hint="eastAsia" w:ascii="宋体" w:hAnsi="宋体"/>
                <w:color w:val="auto"/>
                <w:sz w:val="18"/>
                <w:szCs w:val="18"/>
              </w:rPr>
              <w:t>RJ45与8芯转换器，配备≥1个网口、≥3个8芯口。</w:t>
            </w:r>
          </w:p>
        </w:tc>
        <w:tc>
          <w:tcPr>
            <w:tcW w:w="900" w:type="dxa"/>
            <w:tcBorders>
              <w:top w:val="nil"/>
              <w:left w:val="nil"/>
              <w:bottom w:val="single" w:color="auto" w:sz="4" w:space="0"/>
              <w:right w:val="single" w:color="auto" w:sz="4" w:space="0"/>
            </w:tcBorders>
            <w:vAlign w:val="center"/>
          </w:tcPr>
          <w:p w14:paraId="1A045D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48FC2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9412B0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834C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20083B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UHF 双调谐无线话筒</w:t>
            </w:r>
          </w:p>
        </w:tc>
        <w:tc>
          <w:tcPr>
            <w:tcW w:w="5717" w:type="dxa"/>
            <w:tcBorders>
              <w:top w:val="nil"/>
              <w:left w:val="nil"/>
              <w:bottom w:val="single" w:color="auto" w:sz="4" w:space="0"/>
              <w:right w:val="single" w:color="auto" w:sz="4" w:space="0"/>
            </w:tcBorders>
            <w:vAlign w:val="center"/>
          </w:tcPr>
          <w:p w14:paraId="3B630C44">
            <w:pPr>
              <w:widowControl/>
              <w:spacing w:line="400" w:lineRule="exact"/>
              <w:jc w:val="left"/>
              <w:rPr>
                <w:rFonts w:ascii="宋体" w:hAnsi="宋体"/>
                <w:color w:val="auto"/>
                <w:sz w:val="18"/>
                <w:szCs w:val="18"/>
              </w:rPr>
            </w:pPr>
            <w:r>
              <w:rPr>
                <w:rFonts w:hint="eastAsia" w:ascii="宋体" w:hAnsi="宋体"/>
                <w:color w:val="auto"/>
                <w:sz w:val="18"/>
                <w:szCs w:val="18"/>
              </w:rPr>
              <w:t>配备2个无线话筒；</w:t>
            </w:r>
          </w:p>
          <w:p w14:paraId="124F17AA">
            <w:pPr>
              <w:widowControl/>
              <w:spacing w:line="400" w:lineRule="exact"/>
              <w:jc w:val="left"/>
              <w:rPr>
                <w:rFonts w:ascii="宋体" w:hAnsi="宋体"/>
                <w:color w:val="auto"/>
                <w:sz w:val="18"/>
                <w:szCs w:val="18"/>
              </w:rPr>
            </w:pPr>
            <w:r>
              <w:rPr>
                <w:rFonts w:hint="eastAsia" w:ascii="宋体" w:hAnsi="宋体"/>
                <w:color w:val="auto"/>
                <w:sz w:val="18"/>
                <w:szCs w:val="18"/>
              </w:rPr>
              <w:t>接收机配置：</w:t>
            </w:r>
          </w:p>
          <w:p w14:paraId="0F125ED8">
            <w:pPr>
              <w:widowControl/>
              <w:spacing w:line="400" w:lineRule="exact"/>
              <w:jc w:val="left"/>
              <w:rPr>
                <w:rFonts w:ascii="宋体" w:hAnsi="宋体"/>
                <w:color w:val="auto"/>
                <w:sz w:val="18"/>
                <w:szCs w:val="18"/>
              </w:rPr>
            </w:pPr>
            <w:r>
              <w:rPr>
                <w:rFonts w:hint="eastAsia" w:ascii="宋体" w:hAnsi="宋体"/>
                <w:color w:val="auto"/>
                <w:sz w:val="18"/>
                <w:szCs w:val="18"/>
              </w:rPr>
              <w:t>1.工作频率500~980MHz；</w:t>
            </w:r>
          </w:p>
          <w:p w14:paraId="328EC916">
            <w:pPr>
              <w:widowControl/>
              <w:spacing w:line="400" w:lineRule="exact"/>
              <w:jc w:val="left"/>
              <w:rPr>
                <w:rFonts w:ascii="宋体" w:hAnsi="宋体"/>
                <w:color w:val="auto"/>
                <w:sz w:val="18"/>
                <w:szCs w:val="18"/>
              </w:rPr>
            </w:pPr>
            <w:r>
              <w:rPr>
                <w:rFonts w:hint="eastAsia" w:ascii="宋体" w:hAnsi="宋体"/>
                <w:color w:val="auto"/>
                <w:sz w:val="18"/>
                <w:szCs w:val="18"/>
              </w:rPr>
              <w:t>2.支持红外对频及频率同频技术；</w:t>
            </w:r>
          </w:p>
          <w:p w14:paraId="67A48F16">
            <w:pPr>
              <w:widowControl/>
              <w:spacing w:line="400" w:lineRule="exact"/>
              <w:jc w:val="left"/>
              <w:rPr>
                <w:rFonts w:ascii="宋体" w:hAnsi="宋体"/>
                <w:color w:val="auto"/>
                <w:sz w:val="18"/>
                <w:szCs w:val="18"/>
              </w:rPr>
            </w:pPr>
            <w:r>
              <w:rPr>
                <w:rFonts w:hint="eastAsia" w:ascii="宋体" w:hAnsi="宋体"/>
                <w:color w:val="auto"/>
                <w:sz w:val="18"/>
                <w:szCs w:val="18"/>
              </w:rPr>
              <w:t>3.可显示发射器电池电量；</w:t>
            </w:r>
          </w:p>
          <w:p w14:paraId="6615A09E">
            <w:pPr>
              <w:widowControl/>
              <w:spacing w:line="400" w:lineRule="exact"/>
              <w:jc w:val="left"/>
              <w:rPr>
                <w:rFonts w:ascii="宋体" w:hAnsi="宋体"/>
                <w:color w:val="auto"/>
                <w:sz w:val="18"/>
                <w:szCs w:val="18"/>
              </w:rPr>
            </w:pPr>
            <w:r>
              <w:rPr>
                <w:rFonts w:hint="eastAsia" w:ascii="宋体" w:hAnsi="宋体"/>
                <w:color w:val="auto"/>
                <w:sz w:val="18"/>
                <w:szCs w:val="18"/>
              </w:rPr>
              <w:t>4.信噪比≥105dB；</w:t>
            </w:r>
          </w:p>
          <w:p w14:paraId="61969FCC">
            <w:pPr>
              <w:widowControl/>
              <w:spacing w:line="400" w:lineRule="exact"/>
              <w:jc w:val="left"/>
              <w:rPr>
                <w:rFonts w:ascii="宋体" w:hAnsi="宋体"/>
                <w:color w:val="auto"/>
                <w:sz w:val="18"/>
                <w:szCs w:val="18"/>
              </w:rPr>
            </w:pPr>
            <w:r>
              <w:rPr>
                <w:rFonts w:hint="eastAsia" w:ascii="宋体" w:hAnsi="宋体"/>
                <w:color w:val="auto"/>
                <w:sz w:val="18"/>
                <w:szCs w:val="18"/>
              </w:rPr>
              <w:t>5.总谐波失真≤0.5%；</w:t>
            </w:r>
          </w:p>
          <w:p w14:paraId="603CA969">
            <w:pPr>
              <w:widowControl/>
              <w:spacing w:line="400" w:lineRule="exact"/>
              <w:jc w:val="left"/>
              <w:rPr>
                <w:rFonts w:ascii="宋体" w:hAnsi="宋体"/>
                <w:color w:val="auto"/>
                <w:sz w:val="18"/>
                <w:szCs w:val="18"/>
              </w:rPr>
            </w:pPr>
            <w:r>
              <w:rPr>
                <w:rFonts w:hint="eastAsia" w:ascii="宋体" w:hAnsi="宋体"/>
                <w:color w:val="auto"/>
                <w:sz w:val="18"/>
                <w:szCs w:val="18"/>
              </w:rPr>
              <w:t>6.频率响应不低于40Hz~18KHz；</w:t>
            </w:r>
          </w:p>
          <w:p w14:paraId="2742ABBB">
            <w:pPr>
              <w:widowControl/>
              <w:spacing w:line="400" w:lineRule="exact"/>
              <w:jc w:val="left"/>
              <w:rPr>
                <w:rFonts w:ascii="宋体" w:hAnsi="宋体"/>
                <w:color w:val="auto"/>
                <w:sz w:val="18"/>
                <w:szCs w:val="18"/>
              </w:rPr>
            </w:pPr>
            <w:r>
              <w:rPr>
                <w:rFonts w:hint="eastAsia" w:ascii="宋体" w:hAnsi="宋体"/>
                <w:color w:val="auto"/>
                <w:sz w:val="18"/>
                <w:szCs w:val="18"/>
              </w:rPr>
              <w:t>7.支持噪声锁定静噪控制以及音频导航锁定静噪；</w:t>
            </w:r>
          </w:p>
          <w:p w14:paraId="28421FCC">
            <w:pPr>
              <w:widowControl/>
              <w:spacing w:line="400" w:lineRule="exact"/>
              <w:jc w:val="left"/>
              <w:rPr>
                <w:rFonts w:ascii="宋体" w:hAnsi="宋体"/>
                <w:color w:val="auto"/>
                <w:sz w:val="18"/>
                <w:szCs w:val="18"/>
              </w:rPr>
            </w:pPr>
            <w:r>
              <w:rPr>
                <w:rFonts w:hint="eastAsia" w:ascii="宋体" w:hAnsi="宋体"/>
                <w:color w:val="auto"/>
                <w:sz w:val="18"/>
                <w:szCs w:val="18"/>
              </w:rPr>
              <w:t>8.采用真分集远距离线路设计,户外无遮挡下，使用距离≥300米；</w:t>
            </w:r>
          </w:p>
          <w:p w14:paraId="763C9943">
            <w:pPr>
              <w:widowControl/>
              <w:spacing w:line="400" w:lineRule="exact"/>
              <w:jc w:val="left"/>
              <w:rPr>
                <w:rFonts w:ascii="宋体" w:hAnsi="宋体"/>
                <w:color w:val="auto"/>
                <w:sz w:val="18"/>
                <w:szCs w:val="18"/>
              </w:rPr>
            </w:pPr>
            <w:r>
              <w:rPr>
                <w:rFonts w:hint="eastAsia" w:ascii="宋体" w:hAnsi="宋体"/>
                <w:color w:val="auto"/>
                <w:sz w:val="18"/>
                <w:szCs w:val="18"/>
              </w:rPr>
              <w:t>发射器配置：</w:t>
            </w:r>
          </w:p>
          <w:p w14:paraId="157A40C8">
            <w:pPr>
              <w:widowControl/>
              <w:spacing w:line="400" w:lineRule="exact"/>
              <w:jc w:val="left"/>
              <w:rPr>
                <w:rFonts w:ascii="宋体" w:hAnsi="宋体"/>
                <w:color w:val="auto"/>
                <w:sz w:val="18"/>
                <w:szCs w:val="18"/>
              </w:rPr>
            </w:pPr>
            <w:r>
              <w:rPr>
                <w:rFonts w:hint="eastAsia" w:ascii="宋体" w:hAnsi="宋体"/>
                <w:color w:val="auto"/>
                <w:sz w:val="18"/>
                <w:szCs w:val="18"/>
              </w:rPr>
              <w:t>1.支持≥200频道；</w:t>
            </w:r>
          </w:p>
          <w:p w14:paraId="317B564E">
            <w:pPr>
              <w:widowControl/>
              <w:spacing w:line="400" w:lineRule="exact"/>
              <w:jc w:val="left"/>
              <w:rPr>
                <w:rFonts w:ascii="宋体" w:hAnsi="宋体"/>
                <w:color w:val="auto"/>
                <w:sz w:val="18"/>
                <w:szCs w:val="18"/>
              </w:rPr>
            </w:pPr>
            <w:r>
              <w:rPr>
                <w:rFonts w:hint="eastAsia" w:ascii="宋体" w:hAnsi="宋体"/>
                <w:color w:val="auto"/>
                <w:sz w:val="18"/>
                <w:szCs w:val="18"/>
              </w:rPr>
              <w:t>2.频带宽度50MHz；频道间隔250KHz；</w:t>
            </w:r>
          </w:p>
          <w:p w14:paraId="26110316">
            <w:pPr>
              <w:widowControl/>
              <w:spacing w:line="400" w:lineRule="exact"/>
              <w:jc w:val="left"/>
              <w:rPr>
                <w:rFonts w:ascii="宋体" w:hAnsi="宋体"/>
                <w:color w:val="auto"/>
                <w:sz w:val="18"/>
                <w:szCs w:val="18"/>
              </w:rPr>
            </w:pPr>
            <w:r>
              <w:rPr>
                <w:rFonts w:hint="eastAsia" w:ascii="宋体" w:hAnsi="宋体"/>
                <w:color w:val="auto"/>
                <w:sz w:val="18"/>
                <w:szCs w:val="18"/>
              </w:rPr>
              <w:t>3.频率稳定度不低于±0.005%；</w:t>
            </w:r>
          </w:p>
          <w:p w14:paraId="03B8F8F6">
            <w:pPr>
              <w:widowControl/>
              <w:spacing w:line="400" w:lineRule="exact"/>
              <w:jc w:val="left"/>
              <w:rPr>
                <w:rFonts w:ascii="宋体" w:hAnsi="宋体"/>
                <w:color w:val="auto"/>
                <w:sz w:val="18"/>
                <w:szCs w:val="18"/>
              </w:rPr>
            </w:pPr>
            <w:r>
              <w:rPr>
                <w:rFonts w:hint="eastAsia" w:ascii="宋体" w:hAnsi="宋体"/>
                <w:color w:val="auto"/>
                <w:sz w:val="18"/>
                <w:szCs w:val="18"/>
              </w:rPr>
              <w:t>4.采用电池供电；</w:t>
            </w:r>
          </w:p>
          <w:p w14:paraId="76E2557C">
            <w:pPr>
              <w:widowControl/>
              <w:spacing w:line="400" w:lineRule="exact"/>
              <w:jc w:val="left"/>
              <w:rPr>
                <w:rFonts w:ascii="宋体" w:hAnsi="宋体" w:cs="Arial"/>
                <w:color w:val="auto"/>
                <w:sz w:val="18"/>
                <w:szCs w:val="18"/>
              </w:rPr>
            </w:pPr>
            <w:r>
              <w:rPr>
                <w:rFonts w:hint="eastAsia" w:ascii="宋体" w:hAnsi="宋体"/>
                <w:color w:val="auto"/>
                <w:sz w:val="18"/>
                <w:szCs w:val="18"/>
              </w:rPr>
              <w:t>5.发射功率支持多档位可调：高功率约15mW，传输距离≥300米，持续使用约2小时；标准功率约10mW，传输距离不低于150-200米，持续使用不低于4~5小时。</w:t>
            </w:r>
          </w:p>
        </w:tc>
        <w:tc>
          <w:tcPr>
            <w:tcW w:w="900" w:type="dxa"/>
            <w:tcBorders>
              <w:top w:val="nil"/>
              <w:left w:val="nil"/>
              <w:bottom w:val="single" w:color="auto" w:sz="4" w:space="0"/>
              <w:right w:val="single" w:color="auto" w:sz="4" w:space="0"/>
            </w:tcBorders>
            <w:vAlign w:val="center"/>
          </w:tcPr>
          <w:p w14:paraId="63F663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7E4647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854C20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1BA7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3EDD1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无线信号放大器</w:t>
            </w:r>
          </w:p>
        </w:tc>
        <w:tc>
          <w:tcPr>
            <w:tcW w:w="5717" w:type="dxa"/>
            <w:tcBorders>
              <w:top w:val="nil"/>
              <w:left w:val="nil"/>
              <w:bottom w:val="single" w:color="auto" w:sz="4" w:space="0"/>
              <w:right w:val="single" w:color="auto" w:sz="4" w:space="0"/>
            </w:tcBorders>
            <w:vAlign w:val="center"/>
          </w:tcPr>
          <w:p w14:paraId="5C0C2AB0">
            <w:pPr>
              <w:widowControl/>
              <w:spacing w:line="400" w:lineRule="exact"/>
              <w:jc w:val="left"/>
              <w:rPr>
                <w:rFonts w:ascii="宋体" w:hAnsi="宋体"/>
                <w:color w:val="auto"/>
                <w:sz w:val="18"/>
                <w:szCs w:val="18"/>
              </w:rPr>
            </w:pPr>
            <w:r>
              <w:rPr>
                <w:rFonts w:hint="eastAsia" w:ascii="宋体" w:hAnsi="宋体"/>
                <w:color w:val="auto"/>
                <w:sz w:val="18"/>
                <w:szCs w:val="18"/>
              </w:rPr>
              <w:t>1.采用对数周期偶极振子阵列，为UHF频段无线系统提供高增益接收支撑，同时支持多通道无线系统共用天线；可提供180º定向覆盖接收；</w:t>
            </w:r>
          </w:p>
          <w:p w14:paraId="6620DCE8">
            <w:pPr>
              <w:widowControl/>
              <w:spacing w:line="400" w:lineRule="exact"/>
              <w:jc w:val="left"/>
              <w:rPr>
                <w:rFonts w:ascii="宋体" w:hAnsi="宋体"/>
                <w:color w:val="auto"/>
                <w:sz w:val="18"/>
                <w:szCs w:val="18"/>
              </w:rPr>
            </w:pPr>
            <w:r>
              <w:rPr>
                <w:rFonts w:hint="eastAsia" w:ascii="宋体" w:hAnsi="宋体"/>
                <w:color w:val="auto"/>
                <w:sz w:val="18"/>
                <w:szCs w:val="18"/>
              </w:rPr>
              <w:t>2.频率范围不低于500~950MHz；</w:t>
            </w:r>
          </w:p>
          <w:p w14:paraId="2389133F">
            <w:pPr>
              <w:widowControl/>
              <w:spacing w:line="400" w:lineRule="exact"/>
              <w:jc w:val="left"/>
              <w:rPr>
                <w:rFonts w:ascii="宋体" w:hAnsi="宋体"/>
                <w:color w:val="auto"/>
                <w:sz w:val="18"/>
                <w:szCs w:val="18"/>
              </w:rPr>
            </w:pPr>
            <w:r>
              <w:rPr>
                <w:rFonts w:hint="eastAsia" w:ascii="宋体" w:hAnsi="宋体"/>
                <w:color w:val="auto"/>
                <w:sz w:val="18"/>
                <w:szCs w:val="18"/>
              </w:rPr>
              <w:t>3.输入截断点+22dBm；</w:t>
            </w:r>
          </w:p>
          <w:p w14:paraId="03A5EF22">
            <w:pPr>
              <w:widowControl/>
              <w:spacing w:line="400" w:lineRule="exact"/>
              <w:jc w:val="left"/>
              <w:rPr>
                <w:rFonts w:ascii="宋体" w:hAnsi="宋体"/>
                <w:color w:val="auto"/>
                <w:sz w:val="18"/>
                <w:szCs w:val="18"/>
              </w:rPr>
            </w:pPr>
            <w:r>
              <w:rPr>
                <w:rFonts w:hint="eastAsia" w:ascii="宋体" w:hAnsi="宋体"/>
                <w:color w:val="auto"/>
                <w:sz w:val="18"/>
                <w:szCs w:val="18"/>
              </w:rPr>
              <w:t>4.噪声系数4.0dB（中心频段）；</w:t>
            </w:r>
          </w:p>
          <w:p w14:paraId="422B1796">
            <w:pPr>
              <w:widowControl/>
              <w:spacing w:line="400" w:lineRule="exact"/>
              <w:jc w:val="left"/>
              <w:rPr>
                <w:rFonts w:ascii="宋体" w:hAnsi="宋体"/>
                <w:color w:val="auto"/>
                <w:sz w:val="18"/>
                <w:szCs w:val="18"/>
              </w:rPr>
            </w:pPr>
            <w:r>
              <w:rPr>
                <w:rFonts w:hint="eastAsia" w:ascii="宋体" w:hAnsi="宋体"/>
                <w:color w:val="auto"/>
                <w:sz w:val="18"/>
                <w:szCs w:val="18"/>
              </w:rPr>
              <w:t>5.增益不低于+6~9dB（中心频段）；</w:t>
            </w:r>
          </w:p>
          <w:p w14:paraId="241FCB91">
            <w:pPr>
              <w:widowControl/>
              <w:spacing w:line="400" w:lineRule="exact"/>
              <w:jc w:val="left"/>
              <w:rPr>
                <w:rFonts w:ascii="宋体" w:hAnsi="宋体"/>
                <w:color w:val="auto"/>
                <w:sz w:val="18"/>
                <w:szCs w:val="18"/>
              </w:rPr>
            </w:pPr>
            <w:r>
              <w:rPr>
                <w:rFonts w:hint="eastAsia" w:ascii="宋体" w:hAnsi="宋体"/>
                <w:color w:val="auto"/>
                <w:sz w:val="18"/>
                <w:szCs w:val="18"/>
              </w:rPr>
              <w:t>6.输出增益≥15dB；</w:t>
            </w:r>
          </w:p>
          <w:p w14:paraId="61EB52BB">
            <w:pPr>
              <w:widowControl/>
              <w:spacing w:line="400" w:lineRule="exact"/>
              <w:jc w:val="left"/>
              <w:rPr>
                <w:rFonts w:ascii="宋体" w:hAnsi="宋体"/>
                <w:color w:val="auto"/>
                <w:sz w:val="18"/>
                <w:szCs w:val="18"/>
              </w:rPr>
            </w:pPr>
            <w:r>
              <w:rPr>
                <w:rFonts w:hint="eastAsia" w:ascii="宋体" w:hAnsi="宋体"/>
                <w:color w:val="auto"/>
                <w:sz w:val="18"/>
                <w:szCs w:val="18"/>
              </w:rPr>
              <w:t>7.输出阻抗≤50</w:t>
            </w:r>
            <w:r>
              <w:rPr>
                <w:rFonts w:ascii="宋体" w:hAnsi="宋体" w:cs="Calibri"/>
                <w:color w:val="auto"/>
                <w:sz w:val="18"/>
                <w:szCs w:val="18"/>
              </w:rPr>
              <w:t>Ω</w:t>
            </w:r>
            <w:r>
              <w:rPr>
                <w:rFonts w:hint="eastAsia" w:ascii="宋体" w:hAnsi="宋体"/>
                <w:color w:val="auto"/>
                <w:sz w:val="18"/>
                <w:szCs w:val="18"/>
              </w:rPr>
              <w:t>；</w:t>
            </w:r>
          </w:p>
          <w:p w14:paraId="5598E088">
            <w:pPr>
              <w:widowControl/>
              <w:spacing w:line="400" w:lineRule="exact"/>
              <w:jc w:val="left"/>
              <w:rPr>
                <w:rFonts w:ascii="宋体" w:hAnsi="宋体"/>
                <w:color w:val="auto"/>
                <w:sz w:val="18"/>
                <w:szCs w:val="18"/>
              </w:rPr>
            </w:pPr>
            <w:r>
              <w:rPr>
                <w:rFonts w:hint="eastAsia" w:ascii="宋体" w:hAnsi="宋体"/>
                <w:color w:val="auto"/>
                <w:sz w:val="18"/>
                <w:szCs w:val="18"/>
              </w:rPr>
              <w:t>8.频宽450MHz；</w:t>
            </w:r>
          </w:p>
          <w:p w14:paraId="18DF3FB7">
            <w:pPr>
              <w:widowControl/>
              <w:spacing w:line="400" w:lineRule="exact"/>
              <w:jc w:val="left"/>
              <w:rPr>
                <w:rFonts w:ascii="宋体" w:hAnsi="宋体"/>
                <w:color w:val="auto"/>
                <w:sz w:val="18"/>
                <w:szCs w:val="18"/>
              </w:rPr>
            </w:pPr>
            <w:r>
              <w:rPr>
                <w:rFonts w:hint="eastAsia" w:ascii="宋体" w:hAnsi="宋体"/>
                <w:color w:val="auto"/>
                <w:sz w:val="18"/>
                <w:szCs w:val="18"/>
              </w:rPr>
              <w:t>9.配备BNC母座接口</w:t>
            </w:r>
          </w:p>
          <w:p w14:paraId="458E9CE5">
            <w:pPr>
              <w:widowControl/>
              <w:spacing w:line="400" w:lineRule="exact"/>
              <w:jc w:val="left"/>
              <w:rPr>
                <w:rFonts w:ascii="宋体" w:hAnsi="宋体" w:cs="Arial"/>
                <w:color w:val="auto"/>
                <w:sz w:val="18"/>
                <w:szCs w:val="18"/>
              </w:rPr>
            </w:pPr>
            <w:r>
              <w:rPr>
                <w:rFonts w:hint="eastAsia" w:ascii="宋体" w:hAnsi="宋体"/>
                <w:color w:val="auto"/>
                <w:sz w:val="18"/>
                <w:szCs w:val="18"/>
              </w:rPr>
              <w:t>10.需配备：天线翼*2、电源接口线*1、连接线*16、支架转换头*2、卡农转换螺旋头*16、SMA转BNC头*16。</w:t>
            </w:r>
          </w:p>
        </w:tc>
        <w:tc>
          <w:tcPr>
            <w:tcW w:w="900" w:type="dxa"/>
            <w:tcBorders>
              <w:top w:val="nil"/>
              <w:left w:val="nil"/>
              <w:bottom w:val="single" w:color="auto" w:sz="4" w:space="0"/>
              <w:right w:val="single" w:color="auto" w:sz="4" w:space="0"/>
            </w:tcBorders>
            <w:vAlign w:val="center"/>
          </w:tcPr>
          <w:p w14:paraId="0B25CD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44A10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1F7C02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6A4E5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4EF23C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无线信号放大器延长线</w:t>
            </w:r>
          </w:p>
        </w:tc>
        <w:tc>
          <w:tcPr>
            <w:tcW w:w="5717" w:type="dxa"/>
            <w:tcBorders>
              <w:top w:val="nil"/>
              <w:left w:val="nil"/>
              <w:bottom w:val="single" w:color="auto" w:sz="4" w:space="0"/>
              <w:right w:val="single" w:color="auto" w:sz="4" w:space="0"/>
            </w:tcBorders>
            <w:vAlign w:val="center"/>
          </w:tcPr>
          <w:p w14:paraId="3E02B64B">
            <w:pPr>
              <w:widowControl/>
              <w:spacing w:line="400" w:lineRule="exact"/>
              <w:jc w:val="left"/>
              <w:rPr>
                <w:rFonts w:ascii="宋体" w:hAnsi="宋体" w:cs="Arial"/>
                <w:color w:val="auto"/>
                <w:sz w:val="18"/>
                <w:szCs w:val="18"/>
              </w:rPr>
            </w:pPr>
            <w:r>
              <w:rPr>
                <w:rFonts w:hint="eastAsia" w:ascii="宋体" w:hAnsi="宋体"/>
                <w:color w:val="auto"/>
                <w:sz w:val="18"/>
                <w:szCs w:val="18"/>
              </w:rPr>
              <w:t>≥30米天线延长线。</w:t>
            </w:r>
          </w:p>
        </w:tc>
        <w:tc>
          <w:tcPr>
            <w:tcW w:w="900" w:type="dxa"/>
            <w:tcBorders>
              <w:top w:val="nil"/>
              <w:left w:val="nil"/>
              <w:bottom w:val="single" w:color="auto" w:sz="4" w:space="0"/>
              <w:right w:val="single" w:color="auto" w:sz="4" w:space="0"/>
            </w:tcBorders>
            <w:vAlign w:val="center"/>
          </w:tcPr>
          <w:p w14:paraId="091834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09F7F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243A630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92A3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4C8BF8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主扩线性音柱</w:t>
            </w:r>
          </w:p>
        </w:tc>
        <w:tc>
          <w:tcPr>
            <w:tcW w:w="5717" w:type="dxa"/>
            <w:tcBorders>
              <w:top w:val="nil"/>
              <w:left w:val="nil"/>
              <w:bottom w:val="single" w:color="auto" w:sz="4" w:space="0"/>
              <w:right w:val="single" w:color="auto" w:sz="4" w:space="0"/>
            </w:tcBorders>
            <w:vAlign w:val="center"/>
          </w:tcPr>
          <w:p w14:paraId="481BB7D0">
            <w:pPr>
              <w:widowControl/>
              <w:spacing w:line="400" w:lineRule="exact"/>
              <w:jc w:val="left"/>
              <w:rPr>
                <w:rFonts w:ascii="宋体" w:hAnsi="宋体"/>
                <w:color w:val="auto"/>
                <w:sz w:val="18"/>
                <w:szCs w:val="18"/>
              </w:rPr>
            </w:pPr>
            <w:r>
              <w:rPr>
                <w:rFonts w:hint="eastAsia" w:ascii="宋体" w:hAnsi="宋体"/>
                <w:color w:val="auto"/>
                <w:sz w:val="18"/>
                <w:szCs w:val="18"/>
              </w:rPr>
              <w:t>1.配备≥6×4寸低音，≥1×1寸高音；</w:t>
            </w:r>
          </w:p>
          <w:p w14:paraId="1F82036C">
            <w:pPr>
              <w:widowControl/>
              <w:spacing w:line="400" w:lineRule="exact"/>
              <w:jc w:val="left"/>
              <w:rPr>
                <w:rFonts w:ascii="宋体" w:hAnsi="宋体"/>
                <w:color w:val="auto"/>
                <w:sz w:val="18"/>
                <w:szCs w:val="18"/>
              </w:rPr>
            </w:pPr>
            <w:r>
              <w:rPr>
                <w:rFonts w:hint="eastAsia" w:ascii="宋体" w:hAnsi="宋体"/>
                <w:color w:val="auto"/>
                <w:sz w:val="18"/>
                <w:szCs w:val="18"/>
              </w:rPr>
              <w:t>2.阻抗≤8</w:t>
            </w:r>
            <w:r>
              <w:rPr>
                <w:rFonts w:ascii="宋体" w:hAnsi="宋体" w:cs="Calibri"/>
                <w:color w:val="auto"/>
                <w:sz w:val="18"/>
                <w:szCs w:val="18"/>
              </w:rPr>
              <w:t>Ω</w:t>
            </w:r>
            <w:r>
              <w:rPr>
                <w:rFonts w:hint="eastAsia" w:ascii="宋体" w:hAnsi="宋体"/>
                <w:color w:val="auto"/>
                <w:sz w:val="18"/>
                <w:szCs w:val="18"/>
              </w:rPr>
              <w:t>；</w:t>
            </w:r>
          </w:p>
          <w:p w14:paraId="340A91F7">
            <w:pPr>
              <w:widowControl/>
              <w:spacing w:line="400" w:lineRule="exact"/>
              <w:jc w:val="left"/>
              <w:rPr>
                <w:rFonts w:ascii="宋体" w:hAnsi="宋体"/>
                <w:color w:val="auto"/>
                <w:sz w:val="18"/>
                <w:szCs w:val="18"/>
              </w:rPr>
            </w:pPr>
            <w:r>
              <w:rPr>
                <w:rFonts w:hint="eastAsia" w:ascii="宋体" w:hAnsi="宋体"/>
                <w:color w:val="auto"/>
                <w:sz w:val="18"/>
                <w:szCs w:val="18"/>
              </w:rPr>
              <w:t>3.频率响应不低于65Hz~20KHz；</w:t>
            </w:r>
          </w:p>
          <w:p w14:paraId="374AC40C">
            <w:pPr>
              <w:widowControl/>
              <w:spacing w:line="400" w:lineRule="exact"/>
              <w:jc w:val="left"/>
              <w:rPr>
                <w:rFonts w:ascii="宋体" w:hAnsi="宋体"/>
                <w:color w:val="auto"/>
                <w:sz w:val="18"/>
                <w:szCs w:val="18"/>
              </w:rPr>
            </w:pPr>
            <w:r>
              <w:rPr>
                <w:rFonts w:hint="eastAsia" w:ascii="宋体" w:hAnsi="宋体"/>
                <w:color w:val="auto"/>
                <w:sz w:val="18"/>
                <w:szCs w:val="18"/>
              </w:rPr>
              <w:t>4.功率≥320W；</w:t>
            </w:r>
          </w:p>
          <w:p w14:paraId="7073563D">
            <w:pPr>
              <w:widowControl/>
              <w:spacing w:line="400" w:lineRule="exact"/>
              <w:jc w:val="left"/>
              <w:rPr>
                <w:rFonts w:ascii="宋体" w:hAnsi="宋体"/>
                <w:color w:val="auto"/>
                <w:sz w:val="18"/>
                <w:szCs w:val="18"/>
              </w:rPr>
            </w:pPr>
            <w:r>
              <w:rPr>
                <w:rFonts w:hint="eastAsia" w:ascii="宋体" w:hAnsi="宋体"/>
                <w:color w:val="auto"/>
                <w:sz w:val="18"/>
                <w:szCs w:val="18"/>
              </w:rPr>
              <w:t>5.峰值功率≥1280W；</w:t>
            </w:r>
          </w:p>
          <w:p w14:paraId="521DCE7C">
            <w:pPr>
              <w:widowControl/>
              <w:spacing w:line="400" w:lineRule="exact"/>
              <w:jc w:val="left"/>
              <w:rPr>
                <w:rFonts w:ascii="宋体" w:hAnsi="宋体"/>
                <w:color w:val="auto"/>
                <w:sz w:val="18"/>
                <w:szCs w:val="18"/>
              </w:rPr>
            </w:pPr>
            <w:r>
              <w:rPr>
                <w:rFonts w:hint="eastAsia" w:ascii="宋体" w:hAnsi="宋体"/>
                <w:color w:val="auto"/>
                <w:sz w:val="18"/>
                <w:szCs w:val="18"/>
              </w:rPr>
              <w:t>6.灵敏度≥96dB；</w:t>
            </w:r>
          </w:p>
          <w:p w14:paraId="4F41C96B">
            <w:pPr>
              <w:widowControl/>
              <w:spacing w:line="400" w:lineRule="exact"/>
              <w:jc w:val="left"/>
              <w:rPr>
                <w:rFonts w:ascii="宋体" w:hAnsi="宋体"/>
                <w:color w:val="auto"/>
                <w:sz w:val="18"/>
                <w:szCs w:val="18"/>
              </w:rPr>
            </w:pPr>
            <w:r>
              <w:rPr>
                <w:rFonts w:hint="eastAsia" w:ascii="宋体" w:hAnsi="宋体"/>
                <w:color w:val="auto"/>
                <w:sz w:val="18"/>
                <w:szCs w:val="18"/>
              </w:rPr>
              <w:t>7.最大声压≥122dB；</w:t>
            </w:r>
          </w:p>
          <w:p w14:paraId="00272F56">
            <w:pPr>
              <w:widowControl/>
              <w:spacing w:line="400" w:lineRule="exact"/>
              <w:jc w:val="left"/>
              <w:rPr>
                <w:rFonts w:ascii="宋体" w:hAnsi="宋体"/>
                <w:color w:val="auto"/>
                <w:sz w:val="18"/>
                <w:szCs w:val="18"/>
              </w:rPr>
            </w:pPr>
            <w:r>
              <w:rPr>
                <w:rFonts w:hint="eastAsia" w:ascii="宋体" w:hAnsi="宋体"/>
                <w:color w:val="auto"/>
                <w:sz w:val="18"/>
                <w:szCs w:val="18"/>
              </w:rPr>
              <w:t>8.扩散角度（H×V）≥160ºx10º；</w:t>
            </w:r>
          </w:p>
          <w:p w14:paraId="5F878E7D">
            <w:pPr>
              <w:widowControl/>
              <w:spacing w:line="400" w:lineRule="exact"/>
              <w:jc w:val="left"/>
              <w:rPr>
                <w:rFonts w:ascii="宋体" w:hAnsi="宋体"/>
                <w:color w:val="auto"/>
                <w:sz w:val="18"/>
                <w:szCs w:val="18"/>
              </w:rPr>
            </w:pPr>
            <w:r>
              <w:rPr>
                <w:rFonts w:hint="eastAsia" w:ascii="宋体" w:hAnsi="宋体"/>
                <w:color w:val="auto"/>
                <w:sz w:val="18"/>
                <w:szCs w:val="18"/>
              </w:rPr>
              <w:t>9.配备≥4位接线端；</w:t>
            </w:r>
          </w:p>
          <w:p w14:paraId="2C738D9D">
            <w:pPr>
              <w:widowControl/>
              <w:spacing w:line="400" w:lineRule="exact"/>
              <w:jc w:val="left"/>
              <w:rPr>
                <w:rFonts w:ascii="宋体" w:hAnsi="宋体"/>
                <w:color w:val="auto"/>
                <w:sz w:val="18"/>
                <w:szCs w:val="18"/>
              </w:rPr>
            </w:pPr>
            <w:r>
              <w:rPr>
                <w:rFonts w:hint="eastAsia" w:ascii="宋体" w:hAnsi="宋体"/>
                <w:color w:val="auto"/>
                <w:sz w:val="18"/>
                <w:szCs w:val="18"/>
              </w:rPr>
              <w:t>10.采用透声海绵网罩；</w:t>
            </w:r>
          </w:p>
          <w:p w14:paraId="30D60D5C">
            <w:pPr>
              <w:widowControl/>
              <w:spacing w:line="400" w:lineRule="exact"/>
              <w:jc w:val="left"/>
              <w:rPr>
                <w:rFonts w:ascii="宋体" w:hAnsi="宋体" w:cs="Arial"/>
                <w:color w:val="auto"/>
                <w:sz w:val="18"/>
                <w:szCs w:val="18"/>
              </w:rPr>
            </w:pPr>
            <w:r>
              <w:rPr>
                <w:rFonts w:hint="eastAsia" w:ascii="宋体" w:hAnsi="宋体"/>
                <w:color w:val="auto"/>
                <w:sz w:val="18"/>
                <w:szCs w:val="18"/>
              </w:rPr>
              <w:t>11.箱体为木制，采用防水防潮处理。</w:t>
            </w:r>
          </w:p>
        </w:tc>
        <w:tc>
          <w:tcPr>
            <w:tcW w:w="900" w:type="dxa"/>
            <w:tcBorders>
              <w:top w:val="nil"/>
              <w:left w:val="nil"/>
              <w:bottom w:val="single" w:color="auto" w:sz="4" w:space="0"/>
              <w:right w:val="single" w:color="auto" w:sz="4" w:space="0"/>
            </w:tcBorders>
            <w:vAlign w:val="center"/>
          </w:tcPr>
          <w:p w14:paraId="1ECB5B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A90E8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EDB75F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F5CF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673561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补声吸顶音箱</w:t>
            </w:r>
          </w:p>
        </w:tc>
        <w:tc>
          <w:tcPr>
            <w:tcW w:w="5717" w:type="dxa"/>
            <w:tcBorders>
              <w:top w:val="nil"/>
              <w:left w:val="nil"/>
              <w:bottom w:val="single" w:color="auto" w:sz="4" w:space="0"/>
              <w:right w:val="single" w:color="auto" w:sz="4" w:space="0"/>
            </w:tcBorders>
            <w:vAlign w:val="center"/>
          </w:tcPr>
          <w:p w14:paraId="44DA0AAB">
            <w:pPr>
              <w:widowControl/>
              <w:spacing w:line="400" w:lineRule="exact"/>
              <w:jc w:val="left"/>
              <w:rPr>
                <w:rFonts w:ascii="宋体" w:hAnsi="宋体"/>
                <w:color w:val="auto"/>
                <w:sz w:val="18"/>
                <w:szCs w:val="18"/>
              </w:rPr>
            </w:pPr>
            <w:r>
              <w:rPr>
                <w:rFonts w:hint="eastAsia" w:ascii="宋体" w:hAnsi="宋体"/>
                <w:color w:val="auto"/>
                <w:sz w:val="18"/>
                <w:szCs w:val="18"/>
              </w:rPr>
              <w:t>1.采用同轴喇叭，配备金属后罩；</w:t>
            </w:r>
          </w:p>
          <w:p w14:paraId="2F561FC7">
            <w:pPr>
              <w:widowControl/>
              <w:spacing w:line="400" w:lineRule="exact"/>
              <w:jc w:val="left"/>
              <w:rPr>
                <w:rFonts w:ascii="宋体" w:hAnsi="宋体"/>
                <w:color w:val="auto"/>
                <w:sz w:val="18"/>
                <w:szCs w:val="18"/>
              </w:rPr>
            </w:pPr>
            <w:r>
              <w:rPr>
                <w:rFonts w:hint="eastAsia" w:ascii="宋体" w:hAnsi="宋体"/>
                <w:color w:val="auto"/>
                <w:sz w:val="18"/>
                <w:szCs w:val="18"/>
              </w:rPr>
              <w:t>2.配备≥8"橡胶折环PP低音音盆、≥1"高音音膜；</w:t>
            </w:r>
          </w:p>
          <w:p w14:paraId="2EC146DB">
            <w:pPr>
              <w:widowControl/>
              <w:spacing w:line="400" w:lineRule="exact"/>
              <w:jc w:val="left"/>
              <w:rPr>
                <w:rFonts w:ascii="宋体" w:hAnsi="宋体"/>
                <w:color w:val="auto"/>
                <w:sz w:val="18"/>
                <w:szCs w:val="18"/>
              </w:rPr>
            </w:pPr>
            <w:r>
              <w:rPr>
                <w:rFonts w:hint="eastAsia" w:ascii="宋体" w:hAnsi="宋体"/>
                <w:color w:val="auto"/>
                <w:sz w:val="18"/>
                <w:szCs w:val="18"/>
              </w:rPr>
              <w:t>3.阻抗≤8</w:t>
            </w:r>
            <w:r>
              <w:rPr>
                <w:rFonts w:ascii="宋体" w:hAnsi="宋体" w:cs="Calibri"/>
                <w:color w:val="auto"/>
                <w:sz w:val="18"/>
                <w:szCs w:val="18"/>
              </w:rPr>
              <w:t>Ω</w:t>
            </w:r>
            <w:r>
              <w:rPr>
                <w:rFonts w:hint="eastAsia" w:ascii="宋体" w:hAnsi="宋体"/>
                <w:color w:val="auto"/>
                <w:sz w:val="18"/>
                <w:szCs w:val="18"/>
              </w:rPr>
              <w:t>；</w:t>
            </w:r>
          </w:p>
          <w:p w14:paraId="5DA3A7DA">
            <w:pPr>
              <w:widowControl/>
              <w:spacing w:line="400" w:lineRule="exact"/>
              <w:jc w:val="left"/>
              <w:rPr>
                <w:rFonts w:ascii="宋体" w:hAnsi="宋体"/>
                <w:color w:val="auto"/>
                <w:sz w:val="18"/>
                <w:szCs w:val="18"/>
              </w:rPr>
            </w:pPr>
            <w:r>
              <w:rPr>
                <w:rFonts w:hint="eastAsia" w:ascii="宋体" w:hAnsi="宋体"/>
                <w:color w:val="auto"/>
                <w:sz w:val="18"/>
                <w:szCs w:val="18"/>
              </w:rPr>
              <w:t>4.功率≥80W；</w:t>
            </w:r>
          </w:p>
          <w:p w14:paraId="309F7298">
            <w:pPr>
              <w:widowControl/>
              <w:spacing w:line="400" w:lineRule="exact"/>
              <w:jc w:val="left"/>
              <w:rPr>
                <w:rFonts w:ascii="宋体" w:hAnsi="宋体"/>
                <w:color w:val="auto"/>
                <w:sz w:val="18"/>
                <w:szCs w:val="18"/>
              </w:rPr>
            </w:pPr>
            <w:r>
              <w:rPr>
                <w:rFonts w:hint="eastAsia" w:ascii="宋体" w:hAnsi="宋体"/>
                <w:color w:val="auto"/>
                <w:sz w:val="18"/>
                <w:szCs w:val="18"/>
              </w:rPr>
              <w:t>5.峰值功率≥320W；</w:t>
            </w:r>
          </w:p>
          <w:p w14:paraId="3038F30A">
            <w:pPr>
              <w:widowControl/>
              <w:spacing w:line="400" w:lineRule="exact"/>
              <w:jc w:val="left"/>
              <w:rPr>
                <w:rFonts w:ascii="宋体" w:hAnsi="宋体"/>
                <w:color w:val="auto"/>
                <w:sz w:val="18"/>
                <w:szCs w:val="18"/>
              </w:rPr>
            </w:pPr>
            <w:r>
              <w:rPr>
                <w:rFonts w:hint="eastAsia" w:ascii="宋体" w:hAnsi="宋体"/>
                <w:color w:val="auto"/>
                <w:sz w:val="18"/>
                <w:szCs w:val="18"/>
              </w:rPr>
              <w:t>6.频率响应不低于90Hz-20KHz；</w:t>
            </w:r>
          </w:p>
          <w:p w14:paraId="459D9425">
            <w:pPr>
              <w:widowControl/>
              <w:spacing w:line="400" w:lineRule="exact"/>
              <w:jc w:val="left"/>
              <w:rPr>
                <w:rFonts w:ascii="宋体" w:hAnsi="宋体"/>
                <w:color w:val="auto"/>
                <w:sz w:val="18"/>
                <w:szCs w:val="18"/>
              </w:rPr>
            </w:pPr>
            <w:r>
              <w:rPr>
                <w:rFonts w:hint="eastAsia" w:ascii="宋体" w:hAnsi="宋体"/>
                <w:color w:val="auto"/>
                <w:sz w:val="18"/>
                <w:szCs w:val="18"/>
              </w:rPr>
              <w:t>7.灵敏度≥87dB；</w:t>
            </w:r>
          </w:p>
          <w:p w14:paraId="05EC44A7">
            <w:pPr>
              <w:widowControl/>
              <w:spacing w:line="400" w:lineRule="exact"/>
              <w:jc w:val="left"/>
              <w:rPr>
                <w:rFonts w:ascii="宋体" w:hAnsi="宋体" w:cs="Arial"/>
                <w:color w:val="auto"/>
                <w:sz w:val="18"/>
                <w:szCs w:val="18"/>
              </w:rPr>
            </w:pPr>
            <w:r>
              <w:rPr>
                <w:rFonts w:hint="eastAsia" w:ascii="宋体" w:hAnsi="宋体"/>
                <w:color w:val="auto"/>
                <w:sz w:val="18"/>
                <w:szCs w:val="18"/>
              </w:rPr>
              <w:t>8.扩散角度（H×V）≥150ºx150º。</w:t>
            </w:r>
          </w:p>
        </w:tc>
        <w:tc>
          <w:tcPr>
            <w:tcW w:w="900" w:type="dxa"/>
            <w:tcBorders>
              <w:top w:val="nil"/>
              <w:left w:val="nil"/>
              <w:bottom w:val="single" w:color="auto" w:sz="4" w:space="0"/>
              <w:right w:val="single" w:color="auto" w:sz="4" w:space="0"/>
            </w:tcBorders>
            <w:vAlign w:val="center"/>
          </w:tcPr>
          <w:p w14:paraId="541279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63D5DF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2D54B8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49D9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003384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主扩功放（音柱）</w:t>
            </w:r>
          </w:p>
        </w:tc>
        <w:tc>
          <w:tcPr>
            <w:tcW w:w="5717" w:type="dxa"/>
            <w:tcBorders>
              <w:top w:val="nil"/>
              <w:left w:val="nil"/>
              <w:bottom w:val="single" w:color="auto" w:sz="4" w:space="0"/>
              <w:right w:val="single" w:color="auto" w:sz="4" w:space="0"/>
            </w:tcBorders>
            <w:vAlign w:val="center"/>
          </w:tcPr>
          <w:p w14:paraId="1928A528">
            <w:pPr>
              <w:widowControl/>
              <w:spacing w:line="400" w:lineRule="exact"/>
              <w:jc w:val="left"/>
              <w:rPr>
                <w:rFonts w:ascii="宋体" w:hAnsi="宋体"/>
                <w:color w:val="auto"/>
                <w:sz w:val="18"/>
                <w:szCs w:val="18"/>
              </w:rPr>
            </w:pPr>
            <w:r>
              <w:rPr>
                <w:rFonts w:hint="eastAsia" w:ascii="宋体" w:hAnsi="宋体"/>
                <w:color w:val="auto"/>
                <w:sz w:val="18"/>
                <w:szCs w:val="18"/>
              </w:rPr>
              <w:t>1.配备有源PFC，功率因数≥0.99；</w:t>
            </w:r>
          </w:p>
          <w:p w14:paraId="14FE5567">
            <w:pPr>
              <w:widowControl/>
              <w:spacing w:line="400" w:lineRule="exact"/>
              <w:jc w:val="left"/>
              <w:rPr>
                <w:rFonts w:ascii="宋体" w:hAnsi="宋体"/>
                <w:color w:val="auto"/>
                <w:sz w:val="18"/>
                <w:szCs w:val="18"/>
              </w:rPr>
            </w:pPr>
            <w:r>
              <w:rPr>
                <w:rFonts w:hint="eastAsia" w:ascii="宋体" w:hAnsi="宋体"/>
                <w:color w:val="auto"/>
                <w:sz w:val="18"/>
                <w:szCs w:val="18"/>
              </w:rPr>
              <w:t>2.可驱动低阻抗喇叭（如2</w:t>
            </w:r>
            <w:r>
              <w:rPr>
                <w:rFonts w:ascii="宋体" w:hAnsi="宋体" w:cs="Calibri"/>
                <w:color w:val="auto"/>
                <w:sz w:val="18"/>
                <w:szCs w:val="18"/>
              </w:rPr>
              <w:t>Ω</w:t>
            </w:r>
            <w:r>
              <w:rPr>
                <w:rFonts w:hint="eastAsia" w:ascii="宋体" w:hAnsi="宋体"/>
                <w:color w:val="auto"/>
                <w:sz w:val="18"/>
                <w:szCs w:val="18"/>
              </w:rPr>
              <w:t>负载）；</w:t>
            </w:r>
          </w:p>
          <w:p w14:paraId="4CD3FAA4">
            <w:pPr>
              <w:widowControl/>
              <w:spacing w:line="400" w:lineRule="exact"/>
              <w:jc w:val="left"/>
              <w:rPr>
                <w:rFonts w:ascii="宋体" w:hAnsi="宋体"/>
                <w:color w:val="auto"/>
                <w:sz w:val="18"/>
                <w:szCs w:val="18"/>
              </w:rPr>
            </w:pPr>
            <w:r>
              <w:rPr>
                <w:rFonts w:hint="eastAsia" w:ascii="宋体" w:hAnsi="宋体"/>
                <w:color w:val="auto"/>
                <w:sz w:val="18"/>
                <w:szCs w:val="18"/>
              </w:rPr>
              <w:t>3.支持立体声、单通道、桥接等模式；</w:t>
            </w:r>
          </w:p>
          <w:p w14:paraId="5BC855DB">
            <w:pPr>
              <w:widowControl/>
              <w:spacing w:line="400" w:lineRule="exact"/>
              <w:jc w:val="left"/>
              <w:rPr>
                <w:rFonts w:ascii="宋体" w:hAnsi="宋体"/>
                <w:color w:val="auto"/>
                <w:sz w:val="18"/>
                <w:szCs w:val="18"/>
              </w:rPr>
            </w:pPr>
            <w:r>
              <w:rPr>
                <w:rFonts w:hint="eastAsia" w:ascii="宋体" w:hAnsi="宋体"/>
                <w:color w:val="auto"/>
                <w:sz w:val="18"/>
                <w:szCs w:val="18"/>
              </w:rPr>
              <w:t>4.功率输出支持：</w:t>
            </w:r>
          </w:p>
          <w:p w14:paraId="2534EA50">
            <w:pPr>
              <w:widowControl/>
              <w:spacing w:line="400" w:lineRule="exact"/>
              <w:jc w:val="left"/>
              <w:rPr>
                <w:rFonts w:ascii="宋体" w:hAnsi="宋体"/>
                <w:color w:val="auto"/>
                <w:sz w:val="18"/>
                <w:szCs w:val="18"/>
              </w:rPr>
            </w:pPr>
            <w:r>
              <w:rPr>
                <w:rFonts w:hint="eastAsia" w:ascii="宋体" w:hAnsi="宋体"/>
                <w:color w:val="auto"/>
                <w:sz w:val="18"/>
                <w:szCs w:val="18"/>
              </w:rPr>
              <w:t>立体声8</w:t>
            </w:r>
            <w:r>
              <w:rPr>
                <w:rFonts w:ascii="宋体" w:hAnsi="宋体" w:cs="Calibri"/>
                <w:color w:val="auto"/>
                <w:sz w:val="18"/>
                <w:szCs w:val="18"/>
              </w:rPr>
              <w:t>Ω</w:t>
            </w:r>
            <w:r>
              <w:rPr>
                <w:rFonts w:hint="eastAsia" w:ascii="宋体" w:hAnsi="宋体"/>
                <w:color w:val="auto"/>
                <w:sz w:val="18"/>
                <w:szCs w:val="18"/>
              </w:rPr>
              <w:t>：≥2×650W；</w:t>
            </w:r>
          </w:p>
          <w:p w14:paraId="7E69BD0E">
            <w:pPr>
              <w:widowControl/>
              <w:spacing w:line="400" w:lineRule="exact"/>
              <w:jc w:val="left"/>
              <w:rPr>
                <w:rFonts w:ascii="宋体" w:hAnsi="宋体"/>
                <w:color w:val="auto"/>
                <w:sz w:val="18"/>
                <w:szCs w:val="18"/>
              </w:rPr>
            </w:pPr>
            <w:r>
              <w:rPr>
                <w:rFonts w:hint="eastAsia" w:ascii="宋体" w:hAnsi="宋体"/>
                <w:color w:val="auto"/>
                <w:sz w:val="18"/>
                <w:szCs w:val="18"/>
              </w:rPr>
              <w:t>立体声4</w:t>
            </w:r>
            <w:r>
              <w:rPr>
                <w:rFonts w:ascii="宋体" w:hAnsi="宋体" w:cs="Calibri"/>
                <w:color w:val="auto"/>
                <w:sz w:val="18"/>
                <w:szCs w:val="18"/>
              </w:rPr>
              <w:t>Ω</w:t>
            </w:r>
            <w:r>
              <w:rPr>
                <w:rFonts w:hint="eastAsia" w:ascii="宋体" w:hAnsi="宋体"/>
                <w:color w:val="auto"/>
                <w:sz w:val="18"/>
                <w:szCs w:val="18"/>
              </w:rPr>
              <w:t>：≥2×1100W；</w:t>
            </w:r>
          </w:p>
          <w:p w14:paraId="00CFEE88">
            <w:pPr>
              <w:widowControl/>
              <w:spacing w:line="400" w:lineRule="exact"/>
              <w:jc w:val="left"/>
              <w:rPr>
                <w:rFonts w:ascii="宋体" w:hAnsi="宋体"/>
                <w:color w:val="auto"/>
                <w:sz w:val="18"/>
                <w:szCs w:val="18"/>
              </w:rPr>
            </w:pPr>
            <w:r>
              <w:rPr>
                <w:rFonts w:hint="eastAsia" w:ascii="宋体" w:hAnsi="宋体"/>
                <w:color w:val="auto"/>
                <w:sz w:val="18"/>
                <w:szCs w:val="18"/>
              </w:rPr>
              <w:t>立体声2</w:t>
            </w:r>
            <w:r>
              <w:rPr>
                <w:rFonts w:ascii="宋体" w:hAnsi="宋体" w:cs="Calibri"/>
                <w:color w:val="auto"/>
                <w:sz w:val="18"/>
                <w:szCs w:val="18"/>
              </w:rPr>
              <w:t>Ω</w:t>
            </w:r>
            <w:r>
              <w:rPr>
                <w:rFonts w:hint="eastAsia" w:ascii="宋体" w:hAnsi="宋体"/>
                <w:color w:val="auto"/>
                <w:sz w:val="18"/>
                <w:szCs w:val="18"/>
              </w:rPr>
              <w:t>：≥2×1870W；</w:t>
            </w:r>
          </w:p>
          <w:p w14:paraId="17706E49">
            <w:pPr>
              <w:widowControl/>
              <w:spacing w:line="400" w:lineRule="exact"/>
              <w:jc w:val="left"/>
              <w:rPr>
                <w:rFonts w:ascii="宋体" w:hAnsi="宋体"/>
                <w:color w:val="auto"/>
                <w:sz w:val="18"/>
                <w:szCs w:val="18"/>
              </w:rPr>
            </w:pPr>
            <w:r>
              <w:rPr>
                <w:rFonts w:hint="eastAsia" w:ascii="宋体" w:hAnsi="宋体"/>
                <w:color w:val="auto"/>
                <w:sz w:val="18"/>
                <w:szCs w:val="18"/>
              </w:rPr>
              <w:t>支持桥接16</w:t>
            </w:r>
            <w:r>
              <w:rPr>
                <w:rFonts w:ascii="宋体" w:hAnsi="宋体" w:cs="Calibri"/>
                <w:color w:val="auto"/>
                <w:sz w:val="18"/>
                <w:szCs w:val="18"/>
              </w:rPr>
              <w:t>Ω</w:t>
            </w:r>
            <w:r>
              <w:rPr>
                <w:rFonts w:hint="eastAsia" w:ascii="宋体" w:hAnsi="宋体"/>
                <w:color w:val="auto"/>
                <w:sz w:val="18"/>
                <w:szCs w:val="18"/>
              </w:rPr>
              <w:t>、8</w:t>
            </w:r>
            <w:r>
              <w:rPr>
                <w:rFonts w:ascii="宋体" w:hAnsi="宋体" w:cs="Calibri"/>
                <w:color w:val="auto"/>
                <w:sz w:val="18"/>
                <w:szCs w:val="18"/>
              </w:rPr>
              <w:t>Ω</w:t>
            </w:r>
            <w:r>
              <w:rPr>
                <w:rFonts w:hint="eastAsia" w:ascii="宋体" w:hAnsi="宋体"/>
                <w:color w:val="auto"/>
                <w:sz w:val="18"/>
                <w:szCs w:val="18"/>
              </w:rPr>
              <w:t>、4</w:t>
            </w:r>
            <w:r>
              <w:rPr>
                <w:rFonts w:ascii="宋体" w:hAnsi="宋体" w:cs="Calibri"/>
                <w:color w:val="auto"/>
                <w:sz w:val="18"/>
                <w:szCs w:val="18"/>
              </w:rPr>
              <w:t>Ω</w:t>
            </w:r>
            <w:r>
              <w:rPr>
                <w:rFonts w:hint="eastAsia" w:ascii="宋体" w:hAnsi="宋体"/>
                <w:color w:val="auto"/>
                <w:sz w:val="18"/>
                <w:szCs w:val="18"/>
              </w:rPr>
              <w:t>大功率输出；</w:t>
            </w:r>
          </w:p>
          <w:p w14:paraId="71B0C3B3">
            <w:pPr>
              <w:widowControl/>
              <w:spacing w:line="400" w:lineRule="exact"/>
              <w:jc w:val="left"/>
              <w:rPr>
                <w:rFonts w:ascii="宋体" w:hAnsi="宋体"/>
                <w:color w:val="auto"/>
                <w:sz w:val="18"/>
                <w:szCs w:val="18"/>
              </w:rPr>
            </w:pPr>
            <w:r>
              <w:rPr>
                <w:rFonts w:hint="eastAsia" w:ascii="宋体" w:hAnsi="宋体"/>
                <w:color w:val="auto"/>
                <w:sz w:val="18"/>
                <w:szCs w:val="18"/>
              </w:rPr>
              <w:t>5.灵敏度≥1Vrms；</w:t>
            </w:r>
          </w:p>
          <w:p w14:paraId="21017DCE">
            <w:pPr>
              <w:widowControl/>
              <w:spacing w:line="400" w:lineRule="exact"/>
              <w:jc w:val="left"/>
              <w:rPr>
                <w:rFonts w:ascii="宋体" w:hAnsi="宋体"/>
                <w:color w:val="auto"/>
                <w:sz w:val="18"/>
                <w:szCs w:val="18"/>
              </w:rPr>
            </w:pPr>
            <w:r>
              <w:rPr>
                <w:rFonts w:hint="eastAsia" w:ascii="宋体" w:hAnsi="宋体"/>
                <w:color w:val="auto"/>
                <w:sz w:val="18"/>
                <w:szCs w:val="18"/>
              </w:rPr>
              <w:t>6.增益可调（如32dB/26dB可选）；</w:t>
            </w:r>
          </w:p>
          <w:p w14:paraId="3BB8F372">
            <w:pPr>
              <w:widowControl/>
              <w:spacing w:line="400" w:lineRule="exact"/>
              <w:jc w:val="left"/>
              <w:rPr>
                <w:rFonts w:ascii="宋体" w:hAnsi="宋体"/>
                <w:color w:val="auto"/>
                <w:sz w:val="18"/>
                <w:szCs w:val="18"/>
              </w:rPr>
            </w:pPr>
            <w:r>
              <w:rPr>
                <w:rFonts w:hint="eastAsia" w:ascii="宋体" w:hAnsi="宋体"/>
                <w:color w:val="auto"/>
                <w:sz w:val="18"/>
                <w:szCs w:val="18"/>
              </w:rPr>
              <w:t>7.频率响应不低于20Hz~20kHz；</w:t>
            </w:r>
          </w:p>
          <w:p w14:paraId="22421678">
            <w:pPr>
              <w:widowControl/>
              <w:spacing w:line="400" w:lineRule="exact"/>
              <w:jc w:val="left"/>
              <w:rPr>
                <w:rFonts w:ascii="宋体" w:hAnsi="宋体"/>
                <w:color w:val="auto"/>
                <w:sz w:val="18"/>
                <w:szCs w:val="18"/>
              </w:rPr>
            </w:pPr>
            <w:r>
              <w:rPr>
                <w:rFonts w:hint="eastAsia" w:ascii="宋体" w:hAnsi="宋体"/>
                <w:color w:val="auto"/>
                <w:sz w:val="18"/>
                <w:szCs w:val="18"/>
              </w:rPr>
              <w:t>8.平衡输入阻抗≤20k</w:t>
            </w:r>
            <w:r>
              <w:rPr>
                <w:rFonts w:ascii="宋体" w:hAnsi="宋体" w:cs="Calibri"/>
                <w:color w:val="auto"/>
                <w:sz w:val="18"/>
                <w:szCs w:val="18"/>
              </w:rPr>
              <w:t>Ω</w:t>
            </w:r>
            <w:r>
              <w:rPr>
                <w:rFonts w:hint="eastAsia" w:ascii="宋体" w:hAnsi="宋体"/>
                <w:color w:val="auto"/>
                <w:sz w:val="18"/>
                <w:szCs w:val="18"/>
              </w:rPr>
              <w:t>（平衡)；</w:t>
            </w:r>
          </w:p>
          <w:p w14:paraId="20D9D47A">
            <w:pPr>
              <w:widowControl/>
              <w:spacing w:line="400" w:lineRule="exact"/>
              <w:jc w:val="left"/>
              <w:rPr>
                <w:rFonts w:ascii="宋体" w:hAnsi="宋体"/>
                <w:color w:val="auto"/>
                <w:sz w:val="18"/>
                <w:szCs w:val="18"/>
              </w:rPr>
            </w:pPr>
            <w:r>
              <w:rPr>
                <w:rFonts w:hint="eastAsia" w:ascii="宋体" w:hAnsi="宋体"/>
                <w:color w:val="auto"/>
                <w:sz w:val="18"/>
                <w:szCs w:val="18"/>
              </w:rPr>
              <w:t>9.非平衡输入阻抗≤10k</w:t>
            </w:r>
            <w:r>
              <w:rPr>
                <w:rFonts w:ascii="宋体" w:hAnsi="宋体" w:cs="Calibri"/>
                <w:color w:val="auto"/>
                <w:sz w:val="18"/>
                <w:szCs w:val="18"/>
              </w:rPr>
              <w:t>Ω</w:t>
            </w:r>
            <w:r>
              <w:rPr>
                <w:rFonts w:hint="eastAsia" w:ascii="宋体" w:hAnsi="宋体"/>
                <w:color w:val="auto"/>
                <w:sz w:val="18"/>
                <w:szCs w:val="18"/>
              </w:rPr>
              <w:t>（非平衡)；</w:t>
            </w:r>
          </w:p>
          <w:p w14:paraId="535F9BC2">
            <w:pPr>
              <w:widowControl/>
              <w:spacing w:line="400" w:lineRule="exact"/>
              <w:jc w:val="left"/>
              <w:rPr>
                <w:rFonts w:ascii="宋体" w:hAnsi="宋体" w:cs="Arial"/>
                <w:color w:val="auto"/>
                <w:sz w:val="18"/>
                <w:szCs w:val="18"/>
              </w:rPr>
            </w:pPr>
            <w:r>
              <w:rPr>
                <w:rFonts w:hint="eastAsia" w:ascii="宋体" w:hAnsi="宋体"/>
                <w:color w:val="auto"/>
                <w:sz w:val="18"/>
                <w:szCs w:val="18"/>
              </w:rPr>
              <w:t>10.具备过载控制、超温控制以及直流保护、过温保护、限幅保护、短路保护、削峰保护等。</w:t>
            </w:r>
          </w:p>
        </w:tc>
        <w:tc>
          <w:tcPr>
            <w:tcW w:w="900" w:type="dxa"/>
            <w:tcBorders>
              <w:top w:val="nil"/>
              <w:left w:val="nil"/>
              <w:bottom w:val="single" w:color="auto" w:sz="4" w:space="0"/>
              <w:right w:val="single" w:color="auto" w:sz="4" w:space="0"/>
            </w:tcBorders>
            <w:vAlign w:val="center"/>
          </w:tcPr>
          <w:p w14:paraId="15E731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16E62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2581B4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BF4D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650AA1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补声功放（音柱）</w:t>
            </w:r>
          </w:p>
        </w:tc>
        <w:tc>
          <w:tcPr>
            <w:tcW w:w="5717" w:type="dxa"/>
            <w:tcBorders>
              <w:top w:val="nil"/>
              <w:left w:val="nil"/>
              <w:bottom w:val="single" w:color="auto" w:sz="4" w:space="0"/>
              <w:right w:val="single" w:color="auto" w:sz="4" w:space="0"/>
            </w:tcBorders>
            <w:vAlign w:val="center"/>
          </w:tcPr>
          <w:p w14:paraId="58175CD2">
            <w:pPr>
              <w:widowControl/>
              <w:spacing w:line="400" w:lineRule="exact"/>
              <w:jc w:val="left"/>
              <w:rPr>
                <w:rFonts w:ascii="宋体" w:hAnsi="宋体"/>
                <w:color w:val="auto"/>
                <w:sz w:val="18"/>
                <w:szCs w:val="18"/>
              </w:rPr>
            </w:pPr>
            <w:r>
              <w:rPr>
                <w:rFonts w:hint="eastAsia" w:ascii="宋体" w:hAnsi="宋体"/>
                <w:color w:val="auto"/>
                <w:sz w:val="18"/>
                <w:szCs w:val="18"/>
              </w:rPr>
              <w:t>1.配备有源PFC，功率因数≥0.99；</w:t>
            </w:r>
          </w:p>
          <w:p w14:paraId="1FB9BA33">
            <w:pPr>
              <w:widowControl/>
              <w:spacing w:line="400" w:lineRule="exact"/>
              <w:jc w:val="left"/>
              <w:rPr>
                <w:rFonts w:ascii="宋体" w:hAnsi="宋体"/>
                <w:color w:val="auto"/>
                <w:sz w:val="18"/>
                <w:szCs w:val="18"/>
              </w:rPr>
            </w:pPr>
            <w:r>
              <w:rPr>
                <w:rFonts w:hint="eastAsia" w:ascii="宋体" w:hAnsi="宋体"/>
                <w:color w:val="auto"/>
                <w:sz w:val="18"/>
                <w:szCs w:val="18"/>
              </w:rPr>
              <w:t>2.可驱动低阻抗喇叭（如2</w:t>
            </w:r>
            <w:r>
              <w:rPr>
                <w:rFonts w:ascii="宋体" w:hAnsi="宋体" w:cs="Calibri"/>
                <w:color w:val="auto"/>
                <w:sz w:val="18"/>
                <w:szCs w:val="18"/>
              </w:rPr>
              <w:t>Ω</w:t>
            </w:r>
            <w:r>
              <w:rPr>
                <w:rFonts w:hint="eastAsia" w:ascii="宋体" w:hAnsi="宋体"/>
                <w:color w:val="auto"/>
                <w:sz w:val="18"/>
                <w:szCs w:val="18"/>
              </w:rPr>
              <w:t>负载）；</w:t>
            </w:r>
          </w:p>
          <w:p w14:paraId="46E4B4A9">
            <w:pPr>
              <w:widowControl/>
              <w:spacing w:line="400" w:lineRule="exact"/>
              <w:jc w:val="left"/>
              <w:rPr>
                <w:rFonts w:ascii="宋体" w:hAnsi="宋体"/>
                <w:color w:val="auto"/>
                <w:sz w:val="18"/>
                <w:szCs w:val="18"/>
              </w:rPr>
            </w:pPr>
            <w:r>
              <w:rPr>
                <w:rFonts w:hint="eastAsia" w:ascii="宋体" w:hAnsi="宋体"/>
                <w:color w:val="auto"/>
                <w:sz w:val="18"/>
                <w:szCs w:val="18"/>
              </w:rPr>
              <w:t>3.支持立体声、单通道、桥接等模式；</w:t>
            </w:r>
          </w:p>
          <w:p w14:paraId="70C42037">
            <w:pPr>
              <w:widowControl/>
              <w:spacing w:line="400" w:lineRule="exact"/>
              <w:jc w:val="left"/>
              <w:rPr>
                <w:rFonts w:ascii="宋体" w:hAnsi="宋体"/>
                <w:color w:val="auto"/>
                <w:sz w:val="18"/>
                <w:szCs w:val="18"/>
              </w:rPr>
            </w:pPr>
            <w:r>
              <w:rPr>
                <w:rFonts w:hint="eastAsia" w:ascii="宋体" w:hAnsi="宋体"/>
                <w:color w:val="auto"/>
                <w:sz w:val="18"/>
                <w:szCs w:val="18"/>
              </w:rPr>
              <w:t>4.功率输出支持：</w:t>
            </w:r>
          </w:p>
          <w:p w14:paraId="4F34DBE4">
            <w:pPr>
              <w:widowControl/>
              <w:spacing w:line="400" w:lineRule="exact"/>
              <w:jc w:val="left"/>
              <w:rPr>
                <w:rFonts w:ascii="宋体" w:hAnsi="宋体"/>
                <w:color w:val="auto"/>
                <w:sz w:val="18"/>
                <w:szCs w:val="18"/>
              </w:rPr>
            </w:pPr>
            <w:r>
              <w:rPr>
                <w:rFonts w:hint="eastAsia" w:ascii="宋体" w:hAnsi="宋体"/>
                <w:color w:val="auto"/>
                <w:sz w:val="18"/>
                <w:szCs w:val="18"/>
              </w:rPr>
              <w:t>立体声8</w:t>
            </w:r>
            <w:r>
              <w:rPr>
                <w:rFonts w:ascii="宋体" w:hAnsi="宋体" w:cs="Calibri"/>
                <w:color w:val="auto"/>
                <w:sz w:val="18"/>
                <w:szCs w:val="18"/>
              </w:rPr>
              <w:t>Ω</w:t>
            </w:r>
            <w:r>
              <w:rPr>
                <w:rFonts w:hint="eastAsia" w:ascii="宋体" w:hAnsi="宋体"/>
                <w:color w:val="auto"/>
                <w:sz w:val="18"/>
                <w:szCs w:val="18"/>
              </w:rPr>
              <w:t>：≥2×450W；</w:t>
            </w:r>
          </w:p>
          <w:p w14:paraId="12B3E545">
            <w:pPr>
              <w:widowControl/>
              <w:spacing w:line="400" w:lineRule="exact"/>
              <w:jc w:val="left"/>
              <w:rPr>
                <w:rFonts w:ascii="宋体" w:hAnsi="宋体"/>
                <w:color w:val="auto"/>
                <w:sz w:val="18"/>
                <w:szCs w:val="18"/>
              </w:rPr>
            </w:pPr>
            <w:r>
              <w:rPr>
                <w:rFonts w:hint="eastAsia" w:ascii="宋体" w:hAnsi="宋体"/>
                <w:color w:val="auto"/>
                <w:sz w:val="18"/>
                <w:szCs w:val="18"/>
              </w:rPr>
              <w:t>立体声4</w:t>
            </w:r>
            <w:r>
              <w:rPr>
                <w:rFonts w:ascii="宋体" w:hAnsi="宋体" w:cs="Calibri"/>
                <w:color w:val="auto"/>
                <w:sz w:val="18"/>
                <w:szCs w:val="18"/>
              </w:rPr>
              <w:t>Ω</w:t>
            </w:r>
            <w:r>
              <w:rPr>
                <w:rFonts w:hint="eastAsia" w:ascii="宋体" w:hAnsi="宋体"/>
                <w:color w:val="auto"/>
                <w:sz w:val="18"/>
                <w:szCs w:val="18"/>
              </w:rPr>
              <w:t>：≥2×765W；</w:t>
            </w:r>
          </w:p>
          <w:p w14:paraId="36F6048F">
            <w:pPr>
              <w:widowControl/>
              <w:spacing w:line="400" w:lineRule="exact"/>
              <w:jc w:val="left"/>
              <w:rPr>
                <w:rFonts w:ascii="宋体" w:hAnsi="宋体"/>
                <w:color w:val="auto"/>
                <w:sz w:val="18"/>
                <w:szCs w:val="18"/>
              </w:rPr>
            </w:pPr>
            <w:r>
              <w:rPr>
                <w:rFonts w:hint="eastAsia" w:ascii="宋体" w:hAnsi="宋体"/>
                <w:color w:val="auto"/>
                <w:sz w:val="18"/>
                <w:szCs w:val="18"/>
              </w:rPr>
              <w:t>立体声2</w:t>
            </w:r>
            <w:r>
              <w:rPr>
                <w:rFonts w:ascii="宋体" w:hAnsi="宋体" w:cs="Calibri"/>
                <w:color w:val="auto"/>
                <w:sz w:val="18"/>
                <w:szCs w:val="18"/>
              </w:rPr>
              <w:t>Ω</w:t>
            </w:r>
            <w:r>
              <w:rPr>
                <w:rFonts w:hint="eastAsia" w:ascii="宋体" w:hAnsi="宋体"/>
                <w:color w:val="auto"/>
                <w:sz w:val="18"/>
                <w:szCs w:val="18"/>
              </w:rPr>
              <w:t>：≥2×1300W；</w:t>
            </w:r>
          </w:p>
          <w:p w14:paraId="4FF5B52F">
            <w:pPr>
              <w:widowControl/>
              <w:spacing w:line="400" w:lineRule="exact"/>
              <w:jc w:val="left"/>
              <w:rPr>
                <w:rFonts w:ascii="宋体" w:hAnsi="宋体"/>
                <w:color w:val="auto"/>
                <w:sz w:val="18"/>
                <w:szCs w:val="18"/>
              </w:rPr>
            </w:pPr>
            <w:r>
              <w:rPr>
                <w:rFonts w:hint="eastAsia" w:ascii="宋体" w:hAnsi="宋体"/>
                <w:color w:val="auto"/>
                <w:sz w:val="18"/>
                <w:szCs w:val="18"/>
              </w:rPr>
              <w:t>支持桥接16</w:t>
            </w:r>
            <w:r>
              <w:rPr>
                <w:rFonts w:ascii="宋体" w:hAnsi="宋体" w:cs="Calibri"/>
                <w:color w:val="auto"/>
                <w:sz w:val="18"/>
                <w:szCs w:val="18"/>
              </w:rPr>
              <w:t>Ω</w:t>
            </w:r>
            <w:r>
              <w:rPr>
                <w:rFonts w:hint="eastAsia" w:ascii="宋体" w:hAnsi="宋体"/>
                <w:color w:val="auto"/>
                <w:sz w:val="18"/>
                <w:szCs w:val="18"/>
              </w:rPr>
              <w:t>、8</w:t>
            </w:r>
            <w:r>
              <w:rPr>
                <w:rFonts w:ascii="宋体" w:hAnsi="宋体" w:cs="Calibri"/>
                <w:color w:val="auto"/>
                <w:sz w:val="18"/>
                <w:szCs w:val="18"/>
              </w:rPr>
              <w:t>Ω</w:t>
            </w:r>
            <w:r>
              <w:rPr>
                <w:rFonts w:hint="eastAsia" w:ascii="宋体" w:hAnsi="宋体"/>
                <w:color w:val="auto"/>
                <w:sz w:val="18"/>
                <w:szCs w:val="18"/>
              </w:rPr>
              <w:t>、4</w:t>
            </w:r>
            <w:r>
              <w:rPr>
                <w:rFonts w:ascii="宋体" w:hAnsi="宋体" w:cs="Calibri"/>
                <w:color w:val="auto"/>
                <w:sz w:val="18"/>
                <w:szCs w:val="18"/>
              </w:rPr>
              <w:t>Ω</w:t>
            </w:r>
            <w:r>
              <w:rPr>
                <w:rFonts w:hint="eastAsia" w:ascii="宋体" w:hAnsi="宋体"/>
                <w:color w:val="auto"/>
                <w:sz w:val="18"/>
                <w:szCs w:val="18"/>
              </w:rPr>
              <w:t>大功率输出；</w:t>
            </w:r>
          </w:p>
          <w:p w14:paraId="22010ED3">
            <w:pPr>
              <w:widowControl/>
              <w:spacing w:line="400" w:lineRule="exact"/>
              <w:jc w:val="left"/>
              <w:rPr>
                <w:rFonts w:ascii="宋体" w:hAnsi="宋体"/>
                <w:color w:val="auto"/>
                <w:sz w:val="18"/>
                <w:szCs w:val="18"/>
              </w:rPr>
            </w:pPr>
            <w:r>
              <w:rPr>
                <w:rFonts w:hint="eastAsia" w:ascii="宋体" w:hAnsi="宋体"/>
                <w:color w:val="auto"/>
                <w:sz w:val="18"/>
                <w:szCs w:val="18"/>
              </w:rPr>
              <w:t>5.灵敏度≥1Vrms；</w:t>
            </w:r>
          </w:p>
          <w:p w14:paraId="7CA692F5">
            <w:pPr>
              <w:widowControl/>
              <w:spacing w:line="400" w:lineRule="exact"/>
              <w:jc w:val="left"/>
              <w:rPr>
                <w:rFonts w:ascii="宋体" w:hAnsi="宋体"/>
                <w:color w:val="auto"/>
                <w:sz w:val="18"/>
                <w:szCs w:val="18"/>
              </w:rPr>
            </w:pPr>
            <w:r>
              <w:rPr>
                <w:rFonts w:hint="eastAsia" w:ascii="宋体" w:hAnsi="宋体"/>
                <w:color w:val="auto"/>
                <w:sz w:val="18"/>
                <w:szCs w:val="18"/>
              </w:rPr>
              <w:t>6.增益可调（如32dB/26dB可选）；</w:t>
            </w:r>
          </w:p>
          <w:p w14:paraId="20D5E2FA">
            <w:pPr>
              <w:widowControl/>
              <w:spacing w:line="400" w:lineRule="exact"/>
              <w:jc w:val="left"/>
              <w:rPr>
                <w:rFonts w:ascii="宋体" w:hAnsi="宋体"/>
                <w:color w:val="auto"/>
                <w:sz w:val="18"/>
                <w:szCs w:val="18"/>
              </w:rPr>
            </w:pPr>
            <w:r>
              <w:rPr>
                <w:rFonts w:hint="eastAsia" w:ascii="宋体" w:hAnsi="宋体"/>
                <w:color w:val="auto"/>
                <w:sz w:val="18"/>
                <w:szCs w:val="18"/>
              </w:rPr>
              <w:t>7.频率响应不低于20Hz~20kHz；</w:t>
            </w:r>
          </w:p>
          <w:p w14:paraId="3CE882B0">
            <w:pPr>
              <w:widowControl/>
              <w:spacing w:line="400" w:lineRule="exact"/>
              <w:jc w:val="left"/>
              <w:rPr>
                <w:rFonts w:ascii="宋体" w:hAnsi="宋体"/>
                <w:color w:val="auto"/>
                <w:sz w:val="18"/>
                <w:szCs w:val="18"/>
              </w:rPr>
            </w:pPr>
            <w:r>
              <w:rPr>
                <w:rFonts w:hint="eastAsia" w:ascii="宋体" w:hAnsi="宋体"/>
                <w:color w:val="auto"/>
                <w:sz w:val="18"/>
                <w:szCs w:val="18"/>
              </w:rPr>
              <w:t>8.平衡输入阻抗≤20k</w:t>
            </w:r>
            <w:r>
              <w:rPr>
                <w:rFonts w:ascii="宋体" w:hAnsi="宋体" w:cs="Calibri"/>
                <w:color w:val="auto"/>
                <w:sz w:val="18"/>
                <w:szCs w:val="18"/>
              </w:rPr>
              <w:t>Ω</w:t>
            </w:r>
            <w:r>
              <w:rPr>
                <w:rFonts w:hint="eastAsia" w:ascii="宋体" w:hAnsi="宋体"/>
                <w:color w:val="auto"/>
                <w:sz w:val="18"/>
                <w:szCs w:val="18"/>
              </w:rPr>
              <w:t>（平衡)；</w:t>
            </w:r>
          </w:p>
          <w:p w14:paraId="4096EB6D">
            <w:pPr>
              <w:widowControl/>
              <w:spacing w:line="400" w:lineRule="exact"/>
              <w:jc w:val="left"/>
              <w:rPr>
                <w:rFonts w:ascii="宋体" w:hAnsi="宋体"/>
                <w:color w:val="auto"/>
                <w:sz w:val="18"/>
                <w:szCs w:val="18"/>
              </w:rPr>
            </w:pPr>
            <w:r>
              <w:rPr>
                <w:rFonts w:hint="eastAsia" w:ascii="宋体" w:hAnsi="宋体"/>
                <w:color w:val="auto"/>
                <w:sz w:val="18"/>
                <w:szCs w:val="18"/>
              </w:rPr>
              <w:t>9.非平衡输入阻抗≤10k</w:t>
            </w:r>
            <w:r>
              <w:rPr>
                <w:rFonts w:ascii="宋体" w:hAnsi="宋体" w:cs="Calibri"/>
                <w:color w:val="auto"/>
                <w:sz w:val="18"/>
                <w:szCs w:val="18"/>
              </w:rPr>
              <w:t>Ω</w:t>
            </w:r>
            <w:r>
              <w:rPr>
                <w:rFonts w:hint="eastAsia" w:ascii="宋体" w:hAnsi="宋体"/>
                <w:color w:val="auto"/>
                <w:sz w:val="18"/>
                <w:szCs w:val="18"/>
              </w:rPr>
              <w:t>（非平衡)；</w:t>
            </w:r>
          </w:p>
          <w:p w14:paraId="63F1B0B8">
            <w:pPr>
              <w:widowControl/>
              <w:spacing w:line="400" w:lineRule="exact"/>
              <w:jc w:val="left"/>
              <w:rPr>
                <w:rFonts w:ascii="宋体" w:hAnsi="宋体" w:cs="Arial"/>
                <w:color w:val="auto"/>
                <w:sz w:val="18"/>
                <w:szCs w:val="18"/>
              </w:rPr>
            </w:pPr>
            <w:r>
              <w:rPr>
                <w:rFonts w:hint="eastAsia" w:ascii="宋体" w:hAnsi="宋体"/>
                <w:color w:val="auto"/>
                <w:sz w:val="18"/>
                <w:szCs w:val="18"/>
              </w:rPr>
              <w:t>10.具备过载控制、超温控制以及直流保护、过温保护、限幅保护、短路保护、削峰保护等。</w:t>
            </w:r>
          </w:p>
        </w:tc>
        <w:tc>
          <w:tcPr>
            <w:tcW w:w="900" w:type="dxa"/>
            <w:tcBorders>
              <w:top w:val="nil"/>
              <w:left w:val="nil"/>
              <w:bottom w:val="single" w:color="auto" w:sz="4" w:space="0"/>
              <w:right w:val="single" w:color="auto" w:sz="4" w:space="0"/>
            </w:tcBorders>
            <w:vAlign w:val="center"/>
          </w:tcPr>
          <w:p w14:paraId="4A157D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57F5E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3739F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1B4C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6740B5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数字调音台</w:t>
            </w:r>
          </w:p>
        </w:tc>
        <w:tc>
          <w:tcPr>
            <w:tcW w:w="5717" w:type="dxa"/>
            <w:tcBorders>
              <w:top w:val="nil"/>
              <w:left w:val="nil"/>
              <w:bottom w:val="single" w:color="auto" w:sz="4" w:space="0"/>
              <w:right w:val="single" w:color="auto" w:sz="4" w:space="0"/>
            </w:tcBorders>
            <w:vAlign w:val="center"/>
          </w:tcPr>
          <w:p w14:paraId="40675398">
            <w:pPr>
              <w:widowControl/>
              <w:spacing w:line="400" w:lineRule="exact"/>
              <w:jc w:val="left"/>
              <w:rPr>
                <w:rFonts w:ascii="宋体" w:hAnsi="宋体"/>
                <w:color w:val="auto"/>
                <w:sz w:val="18"/>
                <w:szCs w:val="18"/>
              </w:rPr>
            </w:pPr>
            <w:r>
              <w:rPr>
                <w:rFonts w:hint="eastAsia" w:ascii="宋体" w:hAnsi="宋体"/>
                <w:color w:val="auto"/>
                <w:sz w:val="18"/>
                <w:szCs w:val="18"/>
              </w:rPr>
              <w:t>1.配备≥10寸触摸显示屏，配备面板锁定键；配备≥2个独立效果编组静音键；配备≥3个界面切换键，支持≥3个快捷场景调用，支持≥20个场景存储一键加载；配备≥3个特效音键（内置多种特效音，支持自定义）；配备双排≥3色电平指示灯；</w:t>
            </w:r>
          </w:p>
          <w:p w14:paraId="05708E98">
            <w:pPr>
              <w:widowControl/>
              <w:spacing w:line="400" w:lineRule="exact"/>
              <w:jc w:val="left"/>
              <w:rPr>
                <w:rFonts w:ascii="宋体" w:hAnsi="宋体"/>
                <w:color w:val="auto"/>
                <w:sz w:val="18"/>
                <w:szCs w:val="18"/>
              </w:rPr>
            </w:pPr>
            <w:r>
              <w:rPr>
                <w:rFonts w:hint="eastAsia" w:ascii="宋体" w:hAnsi="宋体"/>
                <w:color w:val="auto"/>
                <w:sz w:val="18"/>
                <w:szCs w:val="18"/>
              </w:rPr>
              <w:t>2.音频输入接口：</w:t>
            </w:r>
          </w:p>
          <w:p w14:paraId="0A53DA3D">
            <w:pPr>
              <w:widowControl/>
              <w:spacing w:line="400" w:lineRule="exact"/>
              <w:jc w:val="left"/>
              <w:rPr>
                <w:rFonts w:ascii="宋体" w:hAnsi="宋体"/>
                <w:color w:val="auto"/>
                <w:sz w:val="18"/>
                <w:szCs w:val="18"/>
              </w:rPr>
            </w:pPr>
            <w:r>
              <w:rPr>
                <w:rFonts w:hint="eastAsia" w:ascii="宋体" w:hAnsi="宋体"/>
                <w:color w:val="auto"/>
                <w:sz w:val="18"/>
                <w:szCs w:val="18"/>
              </w:rPr>
              <w:t>(1).模拟输入≥20路（如16路MIC/线路输入、2组3.5莲花立体声输入）；</w:t>
            </w:r>
          </w:p>
          <w:p w14:paraId="5908CC6C">
            <w:pPr>
              <w:widowControl/>
              <w:spacing w:line="400" w:lineRule="exact"/>
              <w:jc w:val="left"/>
              <w:rPr>
                <w:rFonts w:ascii="宋体" w:hAnsi="宋体"/>
                <w:color w:val="auto"/>
                <w:sz w:val="18"/>
                <w:szCs w:val="18"/>
              </w:rPr>
            </w:pPr>
            <w:r>
              <w:rPr>
                <w:rFonts w:hint="eastAsia" w:ascii="宋体" w:hAnsi="宋体"/>
                <w:color w:val="auto"/>
                <w:sz w:val="18"/>
                <w:szCs w:val="18"/>
              </w:rPr>
              <w:t>(2).数字输入≥3路（如2路USB直播声卡输入、1路MP3/蓝牙数字输入）；</w:t>
            </w:r>
          </w:p>
          <w:p w14:paraId="5EE91666">
            <w:pPr>
              <w:widowControl/>
              <w:spacing w:line="400" w:lineRule="exact"/>
              <w:jc w:val="left"/>
              <w:rPr>
                <w:rFonts w:ascii="宋体" w:hAnsi="宋体"/>
                <w:color w:val="auto"/>
                <w:sz w:val="18"/>
                <w:szCs w:val="18"/>
              </w:rPr>
            </w:pPr>
            <w:r>
              <w:rPr>
                <w:rFonts w:hint="eastAsia" w:ascii="宋体" w:hAnsi="宋体"/>
                <w:color w:val="auto"/>
                <w:sz w:val="18"/>
                <w:szCs w:val="18"/>
              </w:rPr>
              <w:t>(3).支持≥2路主混音断点插入输入输出接口，可外接反馈抑制器、压缩器、均衡器等专业音频处理设备；</w:t>
            </w:r>
          </w:p>
          <w:p w14:paraId="29AD5515">
            <w:pPr>
              <w:widowControl/>
              <w:spacing w:line="400" w:lineRule="exact"/>
              <w:jc w:val="left"/>
              <w:rPr>
                <w:rFonts w:ascii="宋体" w:hAnsi="宋体"/>
                <w:color w:val="auto"/>
                <w:sz w:val="18"/>
                <w:szCs w:val="18"/>
              </w:rPr>
            </w:pPr>
            <w:r>
              <w:rPr>
                <w:rFonts w:hint="eastAsia" w:ascii="宋体" w:hAnsi="宋体"/>
                <w:color w:val="auto"/>
                <w:sz w:val="18"/>
                <w:szCs w:val="18"/>
              </w:rPr>
              <w:t>(4).配置≥2路独立OTG直播声卡接口；</w:t>
            </w:r>
          </w:p>
          <w:p w14:paraId="6B67AFDA">
            <w:pPr>
              <w:widowControl/>
              <w:spacing w:line="400" w:lineRule="exact"/>
              <w:jc w:val="left"/>
              <w:rPr>
                <w:rFonts w:ascii="宋体" w:hAnsi="宋体"/>
                <w:color w:val="auto"/>
                <w:sz w:val="18"/>
                <w:szCs w:val="18"/>
              </w:rPr>
            </w:pPr>
            <w:r>
              <w:rPr>
                <w:rFonts w:hint="eastAsia" w:ascii="宋体" w:hAnsi="宋体"/>
                <w:color w:val="auto"/>
                <w:sz w:val="18"/>
                <w:szCs w:val="18"/>
              </w:rPr>
              <w:t>(5).支持立体声返回输入；</w:t>
            </w:r>
          </w:p>
          <w:p w14:paraId="2EBFD9B5">
            <w:pPr>
              <w:widowControl/>
              <w:spacing w:line="400" w:lineRule="exact"/>
              <w:jc w:val="left"/>
              <w:rPr>
                <w:rFonts w:ascii="宋体" w:hAnsi="宋体"/>
                <w:color w:val="auto"/>
                <w:sz w:val="18"/>
                <w:szCs w:val="18"/>
              </w:rPr>
            </w:pPr>
            <w:r>
              <w:rPr>
                <w:rFonts w:hint="eastAsia" w:ascii="宋体" w:hAnsi="宋体"/>
                <w:color w:val="auto"/>
                <w:sz w:val="18"/>
                <w:szCs w:val="18"/>
              </w:rPr>
              <w:t>3.音频输出接口：</w:t>
            </w:r>
          </w:p>
          <w:p w14:paraId="2336B445">
            <w:pPr>
              <w:widowControl/>
              <w:spacing w:line="400" w:lineRule="exact"/>
              <w:jc w:val="left"/>
              <w:rPr>
                <w:rFonts w:ascii="宋体" w:hAnsi="宋体"/>
                <w:color w:val="auto"/>
                <w:sz w:val="18"/>
                <w:szCs w:val="18"/>
              </w:rPr>
            </w:pPr>
            <w:r>
              <w:rPr>
                <w:rFonts w:hint="eastAsia" w:ascii="宋体" w:hAnsi="宋体"/>
                <w:color w:val="auto"/>
                <w:sz w:val="18"/>
                <w:szCs w:val="18"/>
              </w:rPr>
              <w:t>(1).模拟输出≥8路（如主输出L/R、4路AUX辅助输出、2路立体声耳机输出）；</w:t>
            </w:r>
          </w:p>
          <w:p w14:paraId="330479F8">
            <w:pPr>
              <w:widowControl/>
              <w:spacing w:line="400" w:lineRule="exact"/>
              <w:jc w:val="left"/>
              <w:rPr>
                <w:rFonts w:ascii="宋体" w:hAnsi="宋体"/>
                <w:color w:val="auto"/>
                <w:sz w:val="18"/>
                <w:szCs w:val="18"/>
              </w:rPr>
            </w:pPr>
            <w:r>
              <w:rPr>
                <w:rFonts w:hint="eastAsia" w:ascii="宋体" w:hAnsi="宋体"/>
                <w:color w:val="auto"/>
                <w:sz w:val="18"/>
                <w:szCs w:val="18"/>
              </w:rPr>
              <w:t>(2).数字输出≥3路（如MP3录音输出、2路USB声卡录音输出）；</w:t>
            </w:r>
          </w:p>
          <w:p w14:paraId="0C944FC4">
            <w:pPr>
              <w:widowControl/>
              <w:spacing w:line="400" w:lineRule="exact"/>
              <w:jc w:val="left"/>
              <w:rPr>
                <w:rFonts w:ascii="宋体" w:hAnsi="宋体"/>
                <w:color w:val="auto"/>
                <w:sz w:val="18"/>
                <w:szCs w:val="18"/>
              </w:rPr>
            </w:pPr>
            <w:r>
              <w:rPr>
                <w:rFonts w:hint="eastAsia" w:ascii="宋体" w:hAnsi="宋体"/>
                <w:color w:val="auto"/>
                <w:sz w:val="18"/>
                <w:szCs w:val="18"/>
              </w:rPr>
              <w:t>4.信号处理功能：</w:t>
            </w:r>
          </w:p>
          <w:p w14:paraId="084AD11A">
            <w:pPr>
              <w:widowControl/>
              <w:spacing w:line="400" w:lineRule="exact"/>
              <w:jc w:val="left"/>
              <w:rPr>
                <w:rFonts w:ascii="宋体" w:hAnsi="宋体"/>
                <w:color w:val="auto"/>
                <w:sz w:val="18"/>
                <w:szCs w:val="18"/>
              </w:rPr>
            </w:pPr>
            <w:r>
              <w:rPr>
                <w:rFonts w:hint="eastAsia" w:ascii="宋体" w:hAnsi="宋体"/>
                <w:color w:val="auto"/>
                <w:sz w:val="18"/>
                <w:szCs w:val="18"/>
              </w:rPr>
              <w:t>(1).输入通道支持声像调节、数字增益调节；内置≥96段实时频谱分析，可扫频定位啸叫点；</w:t>
            </w:r>
          </w:p>
          <w:p w14:paraId="14E69F81">
            <w:pPr>
              <w:widowControl/>
              <w:spacing w:line="400" w:lineRule="exact"/>
              <w:jc w:val="left"/>
              <w:rPr>
                <w:rFonts w:ascii="宋体" w:hAnsi="宋体"/>
                <w:color w:val="auto"/>
                <w:sz w:val="18"/>
                <w:szCs w:val="18"/>
              </w:rPr>
            </w:pPr>
            <w:r>
              <w:rPr>
                <w:rFonts w:hint="eastAsia" w:ascii="宋体" w:hAnsi="宋体"/>
                <w:color w:val="auto"/>
                <w:sz w:val="18"/>
                <w:szCs w:val="18"/>
              </w:rPr>
              <w:t>(2).MIC输入通道均配备独立控制48V幻象电源；</w:t>
            </w:r>
          </w:p>
          <w:p w14:paraId="05BE6AA2">
            <w:pPr>
              <w:widowControl/>
              <w:spacing w:line="400" w:lineRule="exact"/>
              <w:jc w:val="left"/>
              <w:rPr>
                <w:rFonts w:ascii="宋体" w:hAnsi="宋体"/>
                <w:color w:val="auto"/>
                <w:sz w:val="18"/>
                <w:szCs w:val="18"/>
              </w:rPr>
            </w:pPr>
            <w:r>
              <w:rPr>
                <w:rFonts w:hint="eastAsia" w:ascii="宋体" w:hAnsi="宋体"/>
                <w:color w:val="auto"/>
                <w:sz w:val="18"/>
                <w:szCs w:val="18"/>
              </w:rPr>
              <w:t>(3).MIC/Line输入通道支持独立反馈抑制、话筒优先功能；</w:t>
            </w:r>
          </w:p>
          <w:p w14:paraId="215BF4B5">
            <w:pPr>
              <w:widowControl/>
              <w:spacing w:line="400" w:lineRule="exact"/>
              <w:jc w:val="left"/>
              <w:rPr>
                <w:rFonts w:ascii="宋体" w:hAnsi="宋体"/>
                <w:color w:val="auto"/>
                <w:sz w:val="18"/>
                <w:szCs w:val="18"/>
              </w:rPr>
            </w:pPr>
            <w:r>
              <w:rPr>
                <w:rFonts w:hint="eastAsia" w:ascii="宋体" w:hAnsi="宋体"/>
                <w:color w:val="auto"/>
                <w:sz w:val="18"/>
                <w:szCs w:val="18"/>
              </w:rPr>
              <w:t>(4).输入通道均配备压限器、噪声门、高低通、参数均衡、延时、通道声像平衡调节等；</w:t>
            </w:r>
          </w:p>
          <w:p w14:paraId="04A2C82D">
            <w:pPr>
              <w:widowControl/>
              <w:spacing w:line="400" w:lineRule="exact"/>
              <w:jc w:val="left"/>
              <w:rPr>
                <w:rFonts w:ascii="宋体" w:hAnsi="宋体"/>
                <w:color w:val="auto"/>
                <w:sz w:val="18"/>
                <w:szCs w:val="18"/>
              </w:rPr>
            </w:pPr>
            <w:r>
              <w:rPr>
                <w:rFonts w:hint="eastAsia" w:ascii="宋体" w:hAnsi="宋体"/>
                <w:color w:val="auto"/>
                <w:sz w:val="18"/>
                <w:szCs w:val="18"/>
              </w:rPr>
              <w:t>(5).输出通道均配备高低通、参数均衡、压限器、延时、相位调节等；</w:t>
            </w:r>
          </w:p>
          <w:p w14:paraId="5C3D538C">
            <w:pPr>
              <w:widowControl/>
              <w:spacing w:line="400" w:lineRule="exact"/>
              <w:jc w:val="left"/>
              <w:rPr>
                <w:rFonts w:ascii="宋体" w:hAnsi="宋体"/>
                <w:color w:val="auto"/>
                <w:sz w:val="18"/>
                <w:szCs w:val="18"/>
              </w:rPr>
            </w:pPr>
            <w:r>
              <w:rPr>
                <w:rFonts w:hint="eastAsia" w:ascii="宋体" w:hAnsi="宋体"/>
                <w:color w:val="auto"/>
                <w:sz w:val="18"/>
                <w:szCs w:val="18"/>
              </w:rPr>
              <w:t>(6).各通道均配有≥100mm高精密行程电动推杆，支持推子联调；</w:t>
            </w:r>
          </w:p>
          <w:p w14:paraId="1FF71E6B">
            <w:pPr>
              <w:widowControl/>
              <w:spacing w:line="400" w:lineRule="exact"/>
              <w:jc w:val="left"/>
              <w:rPr>
                <w:rFonts w:ascii="宋体" w:hAnsi="宋体"/>
                <w:color w:val="auto"/>
                <w:sz w:val="18"/>
                <w:szCs w:val="18"/>
              </w:rPr>
            </w:pPr>
            <w:r>
              <w:rPr>
                <w:rFonts w:hint="eastAsia" w:ascii="宋体" w:hAnsi="宋体"/>
                <w:color w:val="auto"/>
                <w:sz w:val="18"/>
                <w:szCs w:val="18"/>
              </w:rPr>
              <w:t>(7).各通道支持参数快速拷贝、哑音、监听等；</w:t>
            </w:r>
          </w:p>
          <w:p w14:paraId="28D211A3">
            <w:pPr>
              <w:widowControl/>
              <w:spacing w:line="400" w:lineRule="exact"/>
              <w:jc w:val="left"/>
              <w:rPr>
                <w:rFonts w:ascii="宋体" w:hAnsi="宋体"/>
                <w:color w:val="auto"/>
                <w:sz w:val="18"/>
                <w:szCs w:val="18"/>
              </w:rPr>
            </w:pPr>
            <w:r>
              <w:rPr>
                <w:rFonts w:hint="eastAsia" w:ascii="宋体" w:hAnsi="宋体"/>
                <w:color w:val="auto"/>
                <w:sz w:val="18"/>
                <w:szCs w:val="18"/>
              </w:rPr>
              <w:t>(8).支持≥3路DCA编组、≥3个静音编组；</w:t>
            </w:r>
          </w:p>
          <w:p w14:paraId="518C1B2C">
            <w:pPr>
              <w:widowControl/>
              <w:spacing w:line="400" w:lineRule="exact"/>
              <w:jc w:val="left"/>
              <w:rPr>
                <w:rFonts w:ascii="宋体" w:hAnsi="宋体"/>
                <w:color w:val="auto"/>
                <w:sz w:val="18"/>
                <w:szCs w:val="18"/>
              </w:rPr>
            </w:pPr>
            <w:r>
              <w:rPr>
                <w:rFonts w:hint="eastAsia" w:ascii="宋体" w:hAnsi="宋体"/>
                <w:color w:val="auto"/>
                <w:sz w:val="18"/>
                <w:szCs w:val="18"/>
              </w:rPr>
              <w:t>(9).内置≥2个独立DSP效果器；内置信号发生器；</w:t>
            </w:r>
          </w:p>
          <w:p w14:paraId="71AD5C68">
            <w:pPr>
              <w:widowControl/>
              <w:spacing w:line="400" w:lineRule="exact"/>
              <w:jc w:val="left"/>
              <w:rPr>
                <w:rFonts w:ascii="宋体" w:hAnsi="宋体"/>
                <w:color w:val="auto"/>
                <w:sz w:val="18"/>
                <w:szCs w:val="18"/>
              </w:rPr>
            </w:pPr>
            <w:r>
              <w:rPr>
                <w:rFonts w:hint="eastAsia" w:ascii="宋体" w:hAnsi="宋体"/>
                <w:color w:val="auto"/>
                <w:sz w:val="18"/>
                <w:szCs w:val="18"/>
              </w:rPr>
              <w:t>5.内置数字录音功能；</w:t>
            </w:r>
          </w:p>
          <w:p w14:paraId="118B9706">
            <w:pPr>
              <w:widowControl/>
              <w:spacing w:line="400" w:lineRule="exact"/>
              <w:jc w:val="left"/>
              <w:rPr>
                <w:rFonts w:ascii="宋体" w:hAnsi="宋体"/>
                <w:color w:val="auto"/>
                <w:sz w:val="18"/>
                <w:szCs w:val="18"/>
              </w:rPr>
            </w:pPr>
            <w:r>
              <w:rPr>
                <w:rFonts w:hint="eastAsia" w:ascii="宋体" w:hAnsi="宋体"/>
                <w:color w:val="auto"/>
                <w:sz w:val="18"/>
                <w:szCs w:val="18"/>
              </w:rPr>
              <w:t>6.支持红外遥控；内置双模蓝牙，支持音乐播放与APP调试；</w:t>
            </w:r>
          </w:p>
          <w:p w14:paraId="3884E2D1">
            <w:pPr>
              <w:widowControl/>
              <w:spacing w:line="400" w:lineRule="exact"/>
              <w:jc w:val="left"/>
              <w:rPr>
                <w:rFonts w:ascii="宋体" w:hAnsi="宋体" w:cs="Arial"/>
                <w:color w:val="auto"/>
                <w:sz w:val="18"/>
                <w:szCs w:val="18"/>
              </w:rPr>
            </w:pPr>
            <w:r>
              <w:rPr>
                <w:rFonts w:hint="eastAsia" w:ascii="宋体" w:hAnsi="宋体"/>
                <w:color w:val="auto"/>
                <w:sz w:val="18"/>
                <w:szCs w:val="18"/>
              </w:rPr>
              <w:t>7.配备有线网口，支持通过手机端APP、电脑端软件控制。</w:t>
            </w:r>
          </w:p>
        </w:tc>
        <w:tc>
          <w:tcPr>
            <w:tcW w:w="900" w:type="dxa"/>
            <w:tcBorders>
              <w:top w:val="nil"/>
              <w:left w:val="nil"/>
              <w:bottom w:val="single" w:color="auto" w:sz="4" w:space="0"/>
              <w:right w:val="single" w:color="auto" w:sz="4" w:space="0"/>
            </w:tcBorders>
            <w:vAlign w:val="center"/>
          </w:tcPr>
          <w:p w14:paraId="5CFE33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EF8A2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73D9B3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AB65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5B6ACD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专业音频处理器</w:t>
            </w:r>
          </w:p>
        </w:tc>
        <w:tc>
          <w:tcPr>
            <w:tcW w:w="5717" w:type="dxa"/>
            <w:tcBorders>
              <w:top w:val="nil"/>
              <w:left w:val="nil"/>
              <w:bottom w:val="single" w:color="auto" w:sz="4" w:space="0"/>
              <w:right w:val="single" w:color="auto" w:sz="4" w:space="0"/>
            </w:tcBorders>
            <w:vAlign w:val="center"/>
          </w:tcPr>
          <w:p w14:paraId="75C695D3">
            <w:pPr>
              <w:widowControl/>
              <w:spacing w:line="400" w:lineRule="exact"/>
              <w:jc w:val="left"/>
              <w:rPr>
                <w:rFonts w:ascii="宋体" w:hAnsi="宋体"/>
                <w:color w:val="auto"/>
                <w:sz w:val="18"/>
                <w:szCs w:val="18"/>
              </w:rPr>
            </w:pPr>
            <w:r>
              <w:rPr>
                <w:rFonts w:hint="eastAsia" w:ascii="宋体" w:hAnsi="宋体"/>
                <w:color w:val="auto"/>
                <w:sz w:val="18"/>
                <w:szCs w:val="18"/>
              </w:rPr>
              <w:t>1.具备≥8路平衡式话筒/线路输入、≥8路平衡式输出，每路输入支持48V幻象供电；内置≥16进16出Dante网络音频接口；</w:t>
            </w:r>
          </w:p>
          <w:p w14:paraId="581C793D">
            <w:pPr>
              <w:widowControl/>
              <w:spacing w:line="400" w:lineRule="exact"/>
              <w:jc w:val="left"/>
              <w:rPr>
                <w:rFonts w:ascii="宋体" w:hAnsi="宋体"/>
                <w:color w:val="auto"/>
                <w:sz w:val="18"/>
                <w:szCs w:val="18"/>
              </w:rPr>
            </w:pPr>
            <w:r>
              <w:rPr>
                <w:rFonts w:hint="eastAsia" w:ascii="宋体" w:hAnsi="宋体"/>
                <w:color w:val="auto"/>
                <w:sz w:val="18"/>
                <w:szCs w:val="18"/>
              </w:rPr>
              <w:t>2.内置信号发生器、自动混音（AM）、自动增益控制（AGC）、反馈消除（AFC）、回声消除（AEC）等算法；</w:t>
            </w:r>
          </w:p>
          <w:p w14:paraId="34E90512">
            <w:pPr>
              <w:widowControl/>
              <w:spacing w:line="400" w:lineRule="exact"/>
              <w:jc w:val="left"/>
              <w:rPr>
                <w:rFonts w:ascii="宋体" w:hAnsi="宋体"/>
                <w:color w:val="auto"/>
                <w:sz w:val="18"/>
                <w:szCs w:val="18"/>
              </w:rPr>
            </w:pPr>
            <w:r>
              <w:rPr>
                <w:rFonts w:hint="eastAsia" w:ascii="宋体" w:hAnsi="宋体"/>
                <w:color w:val="auto"/>
                <w:sz w:val="18"/>
                <w:szCs w:val="18"/>
              </w:rPr>
              <w:t>3.配备≥8路逻辑输入/输出、≥4路电压输入控制接口，支持消防联动、继电器控制、外部开关控制等；</w:t>
            </w:r>
          </w:p>
          <w:p w14:paraId="0DE9FB82">
            <w:pPr>
              <w:widowControl/>
              <w:spacing w:line="400" w:lineRule="exact"/>
              <w:jc w:val="left"/>
              <w:rPr>
                <w:rFonts w:ascii="宋体" w:hAnsi="宋体"/>
                <w:color w:val="auto"/>
                <w:sz w:val="18"/>
                <w:szCs w:val="18"/>
              </w:rPr>
            </w:pPr>
            <w:r>
              <w:rPr>
                <w:rFonts w:hint="eastAsia" w:ascii="宋体" w:hAnsi="宋体"/>
                <w:color w:val="auto"/>
                <w:sz w:val="18"/>
                <w:szCs w:val="18"/>
              </w:rPr>
              <w:t>4.输入通道配备前级放大、扩展器、压缩器、参量均衡；</w:t>
            </w:r>
          </w:p>
          <w:p w14:paraId="2CBA33AD">
            <w:pPr>
              <w:widowControl/>
              <w:spacing w:line="400" w:lineRule="exact"/>
              <w:jc w:val="left"/>
              <w:rPr>
                <w:rFonts w:ascii="宋体" w:hAnsi="宋体"/>
                <w:color w:val="auto"/>
                <w:sz w:val="18"/>
                <w:szCs w:val="18"/>
              </w:rPr>
            </w:pPr>
            <w:r>
              <w:rPr>
                <w:rFonts w:hint="eastAsia" w:ascii="宋体" w:hAnsi="宋体"/>
                <w:color w:val="auto"/>
                <w:sz w:val="18"/>
                <w:szCs w:val="18"/>
              </w:rPr>
              <w:t>5.输出通道配备图示均衡、延时器、分频器、限幅器；</w:t>
            </w:r>
          </w:p>
          <w:p w14:paraId="5A8EA0B9">
            <w:pPr>
              <w:widowControl/>
              <w:spacing w:line="400" w:lineRule="exact"/>
              <w:jc w:val="left"/>
              <w:rPr>
                <w:rFonts w:ascii="宋体" w:hAnsi="宋体"/>
                <w:color w:val="auto"/>
                <w:sz w:val="18"/>
                <w:szCs w:val="18"/>
              </w:rPr>
            </w:pPr>
            <w:r>
              <w:rPr>
                <w:rFonts w:hint="eastAsia" w:ascii="宋体" w:hAnsi="宋体"/>
                <w:color w:val="auto"/>
                <w:sz w:val="18"/>
                <w:szCs w:val="18"/>
              </w:rPr>
              <w:t>6.内置专业音频处理模块，如全参量均衡器、图示均衡器、压缩及限幅器、扩展及自动增益、分频器、自动混音器、延时器、矩阵混音器、分量矩阵调节器、噪声门限、静音模块、信号发生器、信号指示电平表等；</w:t>
            </w:r>
          </w:p>
          <w:p w14:paraId="46CA8D3C">
            <w:pPr>
              <w:widowControl/>
              <w:spacing w:line="400" w:lineRule="exact"/>
              <w:jc w:val="left"/>
              <w:rPr>
                <w:rFonts w:ascii="宋体" w:hAnsi="宋体"/>
                <w:color w:val="auto"/>
                <w:sz w:val="18"/>
                <w:szCs w:val="18"/>
              </w:rPr>
            </w:pPr>
            <w:r>
              <w:rPr>
                <w:rFonts w:hint="eastAsia" w:ascii="宋体" w:hAnsi="宋体"/>
                <w:color w:val="auto"/>
                <w:sz w:val="18"/>
                <w:szCs w:val="18"/>
              </w:rPr>
              <w:t>7.可通过USB、WiFi、RJ45方式，实现PC端、移动端、web端、面板等多端控制；</w:t>
            </w:r>
          </w:p>
          <w:p w14:paraId="2B5924D9">
            <w:pPr>
              <w:widowControl/>
              <w:spacing w:line="400" w:lineRule="exact"/>
              <w:jc w:val="left"/>
              <w:rPr>
                <w:rFonts w:ascii="宋体" w:hAnsi="宋体" w:cs="Arial"/>
                <w:color w:val="auto"/>
                <w:sz w:val="18"/>
                <w:szCs w:val="18"/>
              </w:rPr>
            </w:pPr>
            <w:r>
              <w:rPr>
                <w:rFonts w:hint="eastAsia" w:ascii="宋体" w:hAnsi="宋体"/>
                <w:color w:val="auto"/>
                <w:sz w:val="18"/>
                <w:szCs w:val="18"/>
              </w:rPr>
              <w:t>8.支持USB多媒体存储与录制播放。</w:t>
            </w:r>
          </w:p>
        </w:tc>
        <w:tc>
          <w:tcPr>
            <w:tcW w:w="900" w:type="dxa"/>
            <w:tcBorders>
              <w:top w:val="nil"/>
              <w:left w:val="nil"/>
              <w:bottom w:val="single" w:color="auto" w:sz="4" w:space="0"/>
              <w:right w:val="single" w:color="auto" w:sz="4" w:space="0"/>
            </w:tcBorders>
            <w:vAlign w:val="center"/>
          </w:tcPr>
          <w:p w14:paraId="15E771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B0483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2698E3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7916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1D64E8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智能电源时序器</w:t>
            </w:r>
          </w:p>
        </w:tc>
        <w:tc>
          <w:tcPr>
            <w:tcW w:w="5717" w:type="dxa"/>
            <w:tcBorders>
              <w:top w:val="nil"/>
              <w:left w:val="nil"/>
              <w:bottom w:val="single" w:color="auto" w:sz="4" w:space="0"/>
              <w:right w:val="single" w:color="auto" w:sz="4" w:space="0"/>
            </w:tcBorders>
            <w:vAlign w:val="center"/>
          </w:tcPr>
          <w:p w14:paraId="0367C026">
            <w:pPr>
              <w:widowControl/>
              <w:spacing w:line="400" w:lineRule="exact"/>
              <w:jc w:val="left"/>
              <w:rPr>
                <w:rFonts w:ascii="宋体" w:hAnsi="宋体"/>
                <w:color w:val="auto"/>
                <w:sz w:val="18"/>
                <w:szCs w:val="18"/>
              </w:rPr>
            </w:pPr>
            <w:r>
              <w:rPr>
                <w:rFonts w:hint="eastAsia" w:ascii="宋体" w:hAnsi="宋体"/>
                <w:color w:val="auto"/>
                <w:sz w:val="18"/>
                <w:szCs w:val="18"/>
              </w:rPr>
              <w:t>1.通道输出电压为AC220V/50Hz，配备≥8路主电源输出、≥2路辅助输出；总输出电流≥30A，单路输出电流≥16A；每路动作延时至少0~999秒可调；</w:t>
            </w:r>
          </w:p>
          <w:p w14:paraId="2F7E9DE7">
            <w:pPr>
              <w:widowControl/>
              <w:spacing w:line="400" w:lineRule="exact"/>
              <w:jc w:val="left"/>
              <w:rPr>
                <w:rFonts w:ascii="宋体" w:hAnsi="宋体"/>
                <w:color w:val="auto"/>
                <w:sz w:val="18"/>
                <w:szCs w:val="18"/>
              </w:rPr>
            </w:pPr>
            <w:r>
              <w:rPr>
                <w:rFonts w:hint="eastAsia" w:ascii="宋体" w:hAnsi="宋体"/>
                <w:color w:val="auto"/>
                <w:sz w:val="18"/>
                <w:szCs w:val="18"/>
              </w:rPr>
              <w:t>2.内置RFI/EMI独立电源滤波器；具备欠压、超压检测以及报警功能；</w:t>
            </w:r>
          </w:p>
          <w:p w14:paraId="699BDB3D">
            <w:pPr>
              <w:widowControl/>
              <w:spacing w:line="400" w:lineRule="exact"/>
              <w:jc w:val="left"/>
              <w:rPr>
                <w:rFonts w:ascii="宋体" w:hAnsi="宋体"/>
                <w:color w:val="auto"/>
                <w:sz w:val="18"/>
                <w:szCs w:val="18"/>
              </w:rPr>
            </w:pPr>
            <w:r>
              <w:rPr>
                <w:rFonts w:hint="eastAsia" w:ascii="宋体" w:hAnsi="宋体"/>
                <w:color w:val="auto"/>
                <w:sz w:val="18"/>
                <w:szCs w:val="18"/>
              </w:rPr>
              <w:t>3.配备≥2寸彩色液晶显示屏，可显示当前电压、通道状态；每通道支持独立直通设置，也可全局直通设置；配备面板锁定功能；</w:t>
            </w:r>
          </w:p>
          <w:p w14:paraId="1B1BD903">
            <w:pPr>
              <w:widowControl/>
              <w:spacing w:line="400" w:lineRule="exact"/>
              <w:jc w:val="left"/>
              <w:rPr>
                <w:rFonts w:ascii="宋体" w:hAnsi="宋体"/>
                <w:color w:val="auto"/>
                <w:sz w:val="18"/>
                <w:szCs w:val="18"/>
              </w:rPr>
            </w:pPr>
            <w:r>
              <w:rPr>
                <w:rFonts w:hint="eastAsia" w:ascii="宋体" w:hAnsi="宋体"/>
                <w:color w:val="auto"/>
                <w:sz w:val="18"/>
                <w:szCs w:val="18"/>
              </w:rPr>
              <w:t>4.搭载嵌入式处理器，时序控制精准；内置时钟芯片，支持按日期时间定时自动开关机；支持多台设备级联顺序控制，级联自动检测配置；</w:t>
            </w:r>
          </w:p>
          <w:p w14:paraId="25DE4A77">
            <w:pPr>
              <w:widowControl/>
              <w:spacing w:line="400" w:lineRule="exact"/>
              <w:jc w:val="left"/>
              <w:rPr>
                <w:rFonts w:ascii="宋体" w:hAnsi="宋体"/>
                <w:color w:val="auto"/>
                <w:sz w:val="18"/>
                <w:szCs w:val="18"/>
              </w:rPr>
            </w:pPr>
            <w:r>
              <w:rPr>
                <w:rFonts w:hint="eastAsia" w:ascii="宋体" w:hAnsi="宋体"/>
                <w:color w:val="auto"/>
                <w:sz w:val="18"/>
                <w:szCs w:val="18"/>
              </w:rPr>
              <w:t>5.支持远程集中管控，支持多组开关场景数据保存与一键调用；</w:t>
            </w:r>
          </w:p>
          <w:p w14:paraId="0DCCDA15">
            <w:pPr>
              <w:widowControl/>
              <w:spacing w:line="400" w:lineRule="exact"/>
              <w:jc w:val="left"/>
              <w:rPr>
                <w:rFonts w:ascii="宋体" w:hAnsi="宋体"/>
                <w:color w:val="auto"/>
                <w:sz w:val="18"/>
                <w:szCs w:val="18"/>
              </w:rPr>
            </w:pPr>
            <w:r>
              <w:rPr>
                <w:rFonts w:hint="eastAsia" w:ascii="宋体" w:hAnsi="宋体"/>
                <w:color w:val="auto"/>
                <w:sz w:val="18"/>
                <w:szCs w:val="18"/>
              </w:rPr>
              <w:t>6.具备≥1路RJ45网口、≥1路USB接口、≥1路RS485接口、≥1路RS232接口；</w:t>
            </w:r>
          </w:p>
          <w:p w14:paraId="433AB541">
            <w:pPr>
              <w:widowControl/>
              <w:spacing w:line="400" w:lineRule="exact"/>
              <w:jc w:val="left"/>
              <w:rPr>
                <w:rFonts w:ascii="宋体" w:hAnsi="宋体" w:cs="Arial"/>
                <w:color w:val="auto"/>
                <w:sz w:val="18"/>
                <w:szCs w:val="18"/>
              </w:rPr>
            </w:pPr>
            <w:r>
              <w:rPr>
                <w:rFonts w:hint="eastAsia" w:ascii="宋体" w:hAnsi="宋体"/>
                <w:color w:val="auto"/>
                <w:sz w:val="18"/>
                <w:szCs w:val="18"/>
              </w:rPr>
              <w:t>7.支持电脑端、移动端控制；支持与中控系统对接；可实时上传电压、工作状态，以及异常预警。</w:t>
            </w:r>
          </w:p>
        </w:tc>
        <w:tc>
          <w:tcPr>
            <w:tcW w:w="900" w:type="dxa"/>
            <w:tcBorders>
              <w:top w:val="nil"/>
              <w:left w:val="nil"/>
              <w:bottom w:val="single" w:color="auto" w:sz="4" w:space="0"/>
              <w:right w:val="single" w:color="auto" w:sz="4" w:space="0"/>
            </w:tcBorders>
            <w:vAlign w:val="center"/>
          </w:tcPr>
          <w:p w14:paraId="3E4854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7EDA1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4C2E5C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817F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40FFF3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多媒体插座</w:t>
            </w:r>
          </w:p>
        </w:tc>
        <w:tc>
          <w:tcPr>
            <w:tcW w:w="5717" w:type="dxa"/>
            <w:tcBorders>
              <w:top w:val="nil"/>
              <w:left w:val="nil"/>
              <w:bottom w:val="single" w:color="auto" w:sz="4" w:space="0"/>
              <w:right w:val="single" w:color="auto" w:sz="4" w:space="0"/>
            </w:tcBorders>
            <w:vAlign w:val="center"/>
          </w:tcPr>
          <w:p w14:paraId="36227C6B">
            <w:pPr>
              <w:widowControl/>
              <w:spacing w:line="400" w:lineRule="exact"/>
              <w:jc w:val="left"/>
              <w:rPr>
                <w:rFonts w:ascii="宋体" w:hAnsi="宋体" w:cs="Arial"/>
                <w:color w:val="auto"/>
                <w:sz w:val="18"/>
                <w:szCs w:val="18"/>
              </w:rPr>
            </w:pPr>
            <w:r>
              <w:rPr>
                <w:rFonts w:hint="eastAsia" w:ascii="宋体" w:hAnsi="宋体"/>
                <w:color w:val="auto"/>
                <w:sz w:val="18"/>
                <w:szCs w:val="18"/>
              </w:rPr>
              <w:t>包含电源、音频、网络、HDMI、网络等功能模块。</w:t>
            </w:r>
          </w:p>
        </w:tc>
        <w:tc>
          <w:tcPr>
            <w:tcW w:w="900" w:type="dxa"/>
            <w:tcBorders>
              <w:top w:val="nil"/>
              <w:left w:val="nil"/>
              <w:bottom w:val="single" w:color="auto" w:sz="4" w:space="0"/>
              <w:right w:val="single" w:color="auto" w:sz="4" w:space="0"/>
            </w:tcBorders>
            <w:vAlign w:val="center"/>
          </w:tcPr>
          <w:p w14:paraId="640BDC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36256C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BDDD1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F684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335531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665767C3">
            <w:pPr>
              <w:widowControl/>
              <w:spacing w:line="400" w:lineRule="exact"/>
              <w:jc w:val="left"/>
              <w:rPr>
                <w:rFonts w:ascii="宋体" w:hAnsi="宋体" w:cs="Arial"/>
                <w:color w:val="auto"/>
                <w:sz w:val="18"/>
                <w:szCs w:val="18"/>
              </w:rPr>
            </w:pPr>
            <w:r>
              <w:rPr>
                <w:rFonts w:hint="eastAsia" w:ascii="宋体" w:hAnsi="宋体"/>
                <w:color w:val="auto"/>
                <w:sz w:val="18"/>
                <w:szCs w:val="18"/>
              </w:rPr>
              <w:t>≥5米3.5转双6.5音频线。</w:t>
            </w:r>
          </w:p>
        </w:tc>
        <w:tc>
          <w:tcPr>
            <w:tcW w:w="900" w:type="dxa"/>
            <w:tcBorders>
              <w:top w:val="nil"/>
              <w:left w:val="nil"/>
              <w:bottom w:val="single" w:color="auto" w:sz="4" w:space="0"/>
              <w:right w:val="single" w:color="auto" w:sz="4" w:space="0"/>
            </w:tcBorders>
            <w:vAlign w:val="center"/>
          </w:tcPr>
          <w:p w14:paraId="423493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760228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4F7F678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A7DA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1D7515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2FD5C60A">
            <w:pPr>
              <w:widowControl/>
              <w:spacing w:line="400" w:lineRule="exact"/>
              <w:jc w:val="left"/>
              <w:rPr>
                <w:rFonts w:ascii="宋体" w:hAnsi="宋体" w:cs="Arial"/>
                <w:color w:val="auto"/>
                <w:sz w:val="18"/>
                <w:szCs w:val="18"/>
              </w:rPr>
            </w:pPr>
            <w:r>
              <w:rPr>
                <w:rFonts w:hint="eastAsia" w:ascii="宋体" w:hAnsi="宋体"/>
                <w:color w:val="auto"/>
                <w:sz w:val="18"/>
                <w:szCs w:val="18"/>
              </w:rPr>
              <w:t>≥1.5米卡侬头线公对母线。</w:t>
            </w:r>
          </w:p>
        </w:tc>
        <w:tc>
          <w:tcPr>
            <w:tcW w:w="900" w:type="dxa"/>
            <w:tcBorders>
              <w:top w:val="nil"/>
              <w:left w:val="nil"/>
              <w:bottom w:val="single" w:color="auto" w:sz="4" w:space="0"/>
              <w:right w:val="single" w:color="auto" w:sz="4" w:space="0"/>
            </w:tcBorders>
            <w:vAlign w:val="center"/>
          </w:tcPr>
          <w:p w14:paraId="371B2A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284A8F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584FCE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B3CB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D9ACF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772668AB">
            <w:pPr>
              <w:widowControl/>
              <w:spacing w:line="400" w:lineRule="exact"/>
              <w:jc w:val="left"/>
              <w:rPr>
                <w:rFonts w:ascii="宋体" w:hAnsi="宋体" w:cs="Arial"/>
                <w:color w:val="auto"/>
                <w:sz w:val="18"/>
                <w:szCs w:val="18"/>
              </w:rPr>
            </w:pPr>
            <w:r>
              <w:rPr>
                <w:rFonts w:hint="eastAsia" w:ascii="宋体" w:hAnsi="宋体"/>
                <w:color w:val="auto"/>
                <w:sz w:val="18"/>
                <w:szCs w:val="18"/>
              </w:rPr>
              <w:t>≥5米卡侬头线公对母线。</w:t>
            </w:r>
          </w:p>
        </w:tc>
        <w:tc>
          <w:tcPr>
            <w:tcW w:w="900" w:type="dxa"/>
            <w:tcBorders>
              <w:top w:val="nil"/>
              <w:left w:val="nil"/>
              <w:bottom w:val="single" w:color="auto" w:sz="4" w:space="0"/>
              <w:right w:val="single" w:color="auto" w:sz="4" w:space="0"/>
            </w:tcBorders>
            <w:vAlign w:val="center"/>
          </w:tcPr>
          <w:p w14:paraId="178A58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16705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4E3BB3D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B3C1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7317FF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音频接插件</w:t>
            </w:r>
          </w:p>
        </w:tc>
        <w:tc>
          <w:tcPr>
            <w:tcW w:w="5717" w:type="dxa"/>
            <w:tcBorders>
              <w:top w:val="nil"/>
              <w:left w:val="nil"/>
              <w:bottom w:val="single" w:color="auto" w:sz="4" w:space="0"/>
              <w:right w:val="single" w:color="auto" w:sz="4" w:space="0"/>
            </w:tcBorders>
            <w:vAlign w:val="center"/>
          </w:tcPr>
          <w:p w14:paraId="7AA34CF5">
            <w:pPr>
              <w:widowControl/>
              <w:spacing w:line="400" w:lineRule="exact"/>
              <w:jc w:val="left"/>
              <w:rPr>
                <w:rFonts w:ascii="宋体" w:hAnsi="宋体" w:cs="Arial"/>
                <w:color w:val="auto"/>
                <w:sz w:val="18"/>
                <w:szCs w:val="18"/>
              </w:rPr>
            </w:pPr>
            <w:r>
              <w:rPr>
                <w:rFonts w:hint="eastAsia" w:ascii="宋体" w:hAnsi="宋体"/>
                <w:color w:val="auto"/>
                <w:sz w:val="18"/>
                <w:szCs w:val="18"/>
              </w:rPr>
              <w:t>包含音响插头、卡侬头、3.5音频、莲花头等音频接插件。</w:t>
            </w:r>
          </w:p>
        </w:tc>
        <w:tc>
          <w:tcPr>
            <w:tcW w:w="900" w:type="dxa"/>
            <w:tcBorders>
              <w:top w:val="nil"/>
              <w:left w:val="nil"/>
              <w:bottom w:val="single" w:color="auto" w:sz="4" w:space="0"/>
              <w:right w:val="single" w:color="auto" w:sz="4" w:space="0"/>
            </w:tcBorders>
            <w:vAlign w:val="center"/>
          </w:tcPr>
          <w:p w14:paraId="65CC47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8D4FE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49844521">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36F8D15">
            <w:pPr>
              <w:widowControl/>
              <w:spacing w:line="400" w:lineRule="exact"/>
              <w:jc w:val="left"/>
              <w:rPr>
                <w:rFonts w:ascii="宋体" w:hAnsi="宋体" w:cs="Arial"/>
                <w:color w:val="auto"/>
                <w:sz w:val="18"/>
                <w:szCs w:val="18"/>
              </w:rPr>
            </w:pPr>
            <w:r>
              <w:rPr>
                <w:rFonts w:hint="eastAsia" w:ascii="宋体" w:hAnsi="宋体" w:cs="Arial"/>
                <w:color w:val="auto"/>
                <w:sz w:val="18"/>
                <w:szCs w:val="18"/>
              </w:rPr>
              <w:t>值班室部分</w:t>
            </w:r>
          </w:p>
        </w:tc>
      </w:tr>
      <w:tr w14:paraId="7387F05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5CEF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25962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有源音箱</w:t>
            </w:r>
          </w:p>
        </w:tc>
        <w:tc>
          <w:tcPr>
            <w:tcW w:w="5717" w:type="dxa"/>
            <w:tcBorders>
              <w:top w:val="nil"/>
              <w:left w:val="nil"/>
              <w:bottom w:val="single" w:color="auto" w:sz="4" w:space="0"/>
              <w:right w:val="single" w:color="auto" w:sz="4" w:space="0"/>
            </w:tcBorders>
            <w:vAlign w:val="center"/>
          </w:tcPr>
          <w:p w14:paraId="027020E2">
            <w:pPr>
              <w:widowControl/>
              <w:spacing w:line="400" w:lineRule="exact"/>
              <w:jc w:val="left"/>
              <w:rPr>
                <w:rFonts w:ascii="宋体" w:hAnsi="宋体"/>
                <w:color w:val="auto"/>
                <w:sz w:val="18"/>
                <w:szCs w:val="18"/>
              </w:rPr>
            </w:pPr>
            <w:r>
              <w:rPr>
                <w:rFonts w:hint="eastAsia" w:ascii="宋体" w:hAnsi="宋体"/>
                <w:color w:val="auto"/>
                <w:sz w:val="18"/>
                <w:szCs w:val="18"/>
              </w:rPr>
              <w:t>1.低音单元≥5寸（127mm）；</w:t>
            </w:r>
          </w:p>
          <w:p w14:paraId="742BE43C">
            <w:pPr>
              <w:widowControl/>
              <w:spacing w:line="400" w:lineRule="exact"/>
              <w:jc w:val="left"/>
              <w:rPr>
                <w:rFonts w:ascii="宋体" w:hAnsi="宋体"/>
                <w:color w:val="auto"/>
                <w:sz w:val="18"/>
                <w:szCs w:val="18"/>
              </w:rPr>
            </w:pPr>
            <w:r>
              <w:rPr>
                <w:rFonts w:hint="eastAsia" w:ascii="宋体" w:hAnsi="宋体"/>
                <w:color w:val="auto"/>
                <w:sz w:val="18"/>
                <w:szCs w:val="18"/>
              </w:rPr>
              <w:t>2.高音单元≥1寸（25mm）；</w:t>
            </w:r>
          </w:p>
          <w:p w14:paraId="6BD0A67A">
            <w:pPr>
              <w:widowControl/>
              <w:spacing w:line="400" w:lineRule="exact"/>
              <w:jc w:val="left"/>
              <w:rPr>
                <w:rFonts w:ascii="宋体" w:hAnsi="宋体"/>
                <w:color w:val="auto"/>
                <w:sz w:val="18"/>
                <w:szCs w:val="18"/>
              </w:rPr>
            </w:pPr>
            <w:r>
              <w:rPr>
                <w:rFonts w:hint="eastAsia" w:ascii="宋体" w:hAnsi="宋体"/>
                <w:color w:val="auto"/>
                <w:sz w:val="18"/>
                <w:szCs w:val="18"/>
              </w:rPr>
              <w:t>3.频响范围不低于56HZ-22KHZ；</w:t>
            </w:r>
          </w:p>
          <w:p w14:paraId="22F0A2A3">
            <w:pPr>
              <w:widowControl/>
              <w:spacing w:line="400" w:lineRule="exact"/>
              <w:jc w:val="left"/>
              <w:rPr>
                <w:rFonts w:ascii="宋体" w:hAnsi="宋体"/>
                <w:color w:val="auto"/>
                <w:sz w:val="18"/>
                <w:szCs w:val="18"/>
              </w:rPr>
            </w:pPr>
            <w:r>
              <w:rPr>
                <w:rFonts w:hint="eastAsia" w:ascii="宋体" w:hAnsi="宋体"/>
                <w:color w:val="auto"/>
                <w:sz w:val="18"/>
                <w:szCs w:val="18"/>
              </w:rPr>
              <w:t>4.交叉频率约2.8KHZ；</w:t>
            </w:r>
          </w:p>
          <w:p w14:paraId="711DB0C0">
            <w:pPr>
              <w:widowControl/>
              <w:spacing w:line="400" w:lineRule="exact"/>
              <w:jc w:val="left"/>
              <w:rPr>
                <w:rFonts w:ascii="宋体" w:hAnsi="宋体"/>
                <w:color w:val="auto"/>
                <w:sz w:val="18"/>
                <w:szCs w:val="18"/>
              </w:rPr>
            </w:pPr>
            <w:r>
              <w:rPr>
                <w:rFonts w:hint="eastAsia" w:ascii="宋体" w:hAnsi="宋体"/>
                <w:color w:val="auto"/>
                <w:sz w:val="18"/>
                <w:szCs w:val="18"/>
              </w:rPr>
              <w:t>5.低音喇叭功率≥40W；</w:t>
            </w:r>
          </w:p>
          <w:p w14:paraId="6A29085C">
            <w:pPr>
              <w:widowControl/>
              <w:spacing w:line="400" w:lineRule="exact"/>
              <w:jc w:val="left"/>
              <w:rPr>
                <w:rFonts w:ascii="宋体" w:hAnsi="宋体" w:cs="Arial"/>
                <w:color w:val="auto"/>
                <w:sz w:val="18"/>
                <w:szCs w:val="18"/>
              </w:rPr>
            </w:pPr>
            <w:r>
              <w:rPr>
                <w:rFonts w:hint="eastAsia" w:ascii="宋体" w:hAnsi="宋体"/>
                <w:color w:val="auto"/>
                <w:sz w:val="18"/>
                <w:szCs w:val="18"/>
              </w:rPr>
              <w:t>6.高音喇叭功率≥30W。</w:t>
            </w:r>
          </w:p>
        </w:tc>
        <w:tc>
          <w:tcPr>
            <w:tcW w:w="900" w:type="dxa"/>
            <w:tcBorders>
              <w:top w:val="nil"/>
              <w:left w:val="nil"/>
              <w:bottom w:val="single" w:color="auto" w:sz="4" w:space="0"/>
              <w:right w:val="single" w:color="auto" w:sz="4" w:space="0"/>
            </w:tcBorders>
            <w:vAlign w:val="center"/>
          </w:tcPr>
          <w:p w14:paraId="43329D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DE3AF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77A15F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1CFE3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05098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有线会议麦克风</w:t>
            </w:r>
          </w:p>
        </w:tc>
        <w:tc>
          <w:tcPr>
            <w:tcW w:w="5717" w:type="dxa"/>
            <w:tcBorders>
              <w:top w:val="nil"/>
              <w:left w:val="nil"/>
              <w:bottom w:val="single" w:color="auto" w:sz="4" w:space="0"/>
              <w:right w:val="single" w:color="auto" w:sz="4" w:space="0"/>
            </w:tcBorders>
            <w:vAlign w:val="center"/>
          </w:tcPr>
          <w:p w14:paraId="38178099">
            <w:pPr>
              <w:widowControl/>
              <w:spacing w:line="400" w:lineRule="exact"/>
              <w:jc w:val="left"/>
              <w:rPr>
                <w:rFonts w:ascii="宋体" w:hAnsi="宋体"/>
                <w:color w:val="auto"/>
                <w:sz w:val="18"/>
                <w:szCs w:val="18"/>
              </w:rPr>
            </w:pPr>
            <w:r>
              <w:rPr>
                <w:rFonts w:hint="eastAsia" w:ascii="宋体" w:hAnsi="宋体"/>
                <w:color w:val="auto"/>
                <w:sz w:val="18"/>
                <w:szCs w:val="18"/>
              </w:rPr>
              <w:t>1.配备全金属短咪杆，咪管长度不低于220mm；幻象48V供电</w:t>
            </w:r>
          </w:p>
          <w:p w14:paraId="290FFDA0">
            <w:pPr>
              <w:widowControl/>
              <w:spacing w:line="400" w:lineRule="exact"/>
              <w:jc w:val="left"/>
              <w:rPr>
                <w:rFonts w:ascii="宋体" w:hAnsi="宋体"/>
                <w:color w:val="auto"/>
                <w:sz w:val="18"/>
                <w:szCs w:val="18"/>
              </w:rPr>
            </w:pPr>
            <w:r>
              <w:rPr>
                <w:rFonts w:hint="eastAsia" w:ascii="宋体" w:hAnsi="宋体"/>
                <w:color w:val="auto"/>
                <w:sz w:val="18"/>
                <w:szCs w:val="18"/>
              </w:rPr>
              <w:t>2.配备≥9.7毫米直径镀金电容式拾音头，心型指向性；</w:t>
            </w:r>
          </w:p>
          <w:p w14:paraId="3B8BF4CD">
            <w:pPr>
              <w:widowControl/>
              <w:spacing w:line="400" w:lineRule="exact"/>
              <w:jc w:val="left"/>
              <w:rPr>
                <w:rFonts w:ascii="宋体" w:hAnsi="宋体"/>
                <w:color w:val="auto"/>
                <w:sz w:val="18"/>
                <w:szCs w:val="18"/>
              </w:rPr>
            </w:pPr>
            <w:r>
              <w:rPr>
                <w:rFonts w:hint="eastAsia" w:ascii="宋体" w:hAnsi="宋体"/>
                <w:color w:val="auto"/>
                <w:sz w:val="18"/>
                <w:szCs w:val="18"/>
              </w:rPr>
              <w:t>3.拾音距离不低于80~120cm；</w:t>
            </w:r>
          </w:p>
          <w:p w14:paraId="1234E603">
            <w:pPr>
              <w:widowControl/>
              <w:spacing w:line="400" w:lineRule="exact"/>
              <w:jc w:val="left"/>
              <w:rPr>
                <w:rFonts w:ascii="宋体" w:hAnsi="宋体"/>
                <w:color w:val="auto"/>
                <w:sz w:val="18"/>
                <w:szCs w:val="18"/>
              </w:rPr>
            </w:pPr>
            <w:r>
              <w:rPr>
                <w:rFonts w:hint="eastAsia" w:ascii="宋体" w:hAnsi="宋体"/>
                <w:color w:val="auto"/>
                <w:sz w:val="18"/>
                <w:szCs w:val="18"/>
              </w:rPr>
              <w:t>4.频率响应不低于40Hz~18kHz；</w:t>
            </w:r>
          </w:p>
          <w:p w14:paraId="58342CB5">
            <w:pPr>
              <w:widowControl/>
              <w:spacing w:line="400" w:lineRule="exact"/>
              <w:jc w:val="left"/>
              <w:rPr>
                <w:rFonts w:ascii="宋体" w:hAnsi="宋体"/>
                <w:color w:val="auto"/>
                <w:sz w:val="18"/>
                <w:szCs w:val="18"/>
              </w:rPr>
            </w:pPr>
            <w:r>
              <w:rPr>
                <w:rFonts w:hint="eastAsia" w:ascii="宋体" w:hAnsi="宋体"/>
                <w:color w:val="auto"/>
                <w:sz w:val="18"/>
                <w:szCs w:val="18"/>
              </w:rPr>
              <w:t>5.输出阻抗≤1200Ω（平衡输出）；</w:t>
            </w:r>
          </w:p>
          <w:p w14:paraId="04A690A4">
            <w:pPr>
              <w:widowControl/>
              <w:spacing w:line="400" w:lineRule="exact"/>
              <w:jc w:val="left"/>
              <w:rPr>
                <w:rFonts w:ascii="宋体" w:hAnsi="宋体"/>
                <w:color w:val="auto"/>
                <w:sz w:val="18"/>
                <w:szCs w:val="18"/>
              </w:rPr>
            </w:pPr>
            <w:r>
              <w:rPr>
                <w:rFonts w:hint="eastAsia" w:ascii="宋体" w:hAnsi="宋体"/>
                <w:color w:val="auto"/>
                <w:sz w:val="18"/>
                <w:szCs w:val="18"/>
              </w:rPr>
              <w:t>6.灵敏度≥-42dB；</w:t>
            </w:r>
          </w:p>
          <w:p w14:paraId="0D9FB841">
            <w:pPr>
              <w:widowControl/>
              <w:spacing w:line="400" w:lineRule="exact"/>
              <w:jc w:val="left"/>
              <w:rPr>
                <w:rFonts w:ascii="宋体" w:hAnsi="宋体"/>
                <w:color w:val="auto"/>
                <w:sz w:val="18"/>
                <w:szCs w:val="18"/>
              </w:rPr>
            </w:pPr>
            <w:r>
              <w:rPr>
                <w:rFonts w:hint="eastAsia" w:ascii="宋体" w:hAnsi="宋体"/>
                <w:color w:val="auto"/>
                <w:sz w:val="18"/>
                <w:szCs w:val="18"/>
              </w:rPr>
              <w:t>7.信噪比≥65dB；</w:t>
            </w:r>
          </w:p>
          <w:p w14:paraId="7F06E6D3">
            <w:pPr>
              <w:widowControl/>
              <w:spacing w:line="400" w:lineRule="exact"/>
              <w:jc w:val="left"/>
              <w:rPr>
                <w:rFonts w:ascii="宋体" w:hAnsi="宋体" w:cs="Arial"/>
                <w:color w:val="auto"/>
                <w:sz w:val="18"/>
                <w:szCs w:val="18"/>
              </w:rPr>
            </w:pPr>
            <w:r>
              <w:rPr>
                <w:rFonts w:hint="eastAsia" w:ascii="宋体" w:hAnsi="宋体"/>
                <w:color w:val="auto"/>
                <w:sz w:val="18"/>
                <w:szCs w:val="18"/>
              </w:rPr>
              <w:t>8.可抗手机、电磁、高频干扰。</w:t>
            </w:r>
          </w:p>
        </w:tc>
        <w:tc>
          <w:tcPr>
            <w:tcW w:w="900" w:type="dxa"/>
            <w:tcBorders>
              <w:top w:val="nil"/>
              <w:left w:val="nil"/>
              <w:bottom w:val="single" w:color="auto" w:sz="4" w:space="0"/>
              <w:right w:val="single" w:color="auto" w:sz="4" w:space="0"/>
            </w:tcBorders>
            <w:vAlign w:val="center"/>
          </w:tcPr>
          <w:p w14:paraId="46D238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9BECB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FE0BF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D19C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8618C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专业音频处理器</w:t>
            </w:r>
          </w:p>
        </w:tc>
        <w:tc>
          <w:tcPr>
            <w:tcW w:w="5717" w:type="dxa"/>
            <w:tcBorders>
              <w:top w:val="nil"/>
              <w:left w:val="nil"/>
              <w:bottom w:val="single" w:color="auto" w:sz="4" w:space="0"/>
              <w:right w:val="single" w:color="auto" w:sz="4" w:space="0"/>
            </w:tcBorders>
            <w:vAlign w:val="center"/>
          </w:tcPr>
          <w:p w14:paraId="2E3F51E1">
            <w:pPr>
              <w:widowControl/>
              <w:spacing w:line="400" w:lineRule="exact"/>
              <w:jc w:val="left"/>
              <w:rPr>
                <w:rFonts w:ascii="宋体" w:hAnsi="宋体"/>
                <w:color w:val="auto"/>
                <w:sz w:val="18"/>
                <w:szCs w:val="18"/>
              </w:rPr>
            </w:pPr>
            <w:r>
              <w:rPr>
                <w:rFonts w:hint="eastAsia" w:ascii="宋体" w:hAnsi="宋体"/>
                <w:color w:val="auto"/>
                <w:sz w:val="18"/>
                <w:szCs w:val="18"/>
              </w:rPr>
              <w:t>1.具备≥8路平衡式话筒/线路输入、≥8路平衡式输出，每路输入支持48V幻象供电；内置≥16进16出Dante网络音频接口；</w:t>
            </w:r>
          </w:p>
          <w:p w14:paraId="60B5B558">
            <w:pPr>
              <w:widowControl/>
              <w:spacing w:line="400" w:lineRule="exact"/>
              <w:jc w:val="left"/>
              <w:rPr>
                <w:rFonts w:ascii="宋体" w:hAnsi="宋体"/>
                <w:color w:val="auto"/>
                <w:sz w:val="18"/>
                <w:szCs w:val="18"/>
              </w:rPr>
            </w:pPr>
            <w:r>
              <w:rPr>
                <w:rFonts w:hint="eastAsia" w:ascii="宋体" w:hAnsi="宋体"/>
                <w:color w:val="auto"/>
                <w:sz w:val="18"/>
                <w:szCs w:val="18"/>
              </w:rPr>
              <w:t>2.内置信号发生器、自动混音（AM）、自动增益控制（AGC）、反馈消除（AFC）、回声消除（AEC）等算法；</w:t>
            </w:r>
          </w:p>
          <w:p w14:paraId="726B4B8C">
            <w:pPr>
              <w:widowControl/>
              <w:spacing w:line="400" w:lineRule="exact"/>
              <w:jc w:val="left"/>
              <w:rPr>
                <w:rFonts w:ascii="宋体" w:hAnsi="宋体"/>
                <w:color w:val="auto"/>
                <w:sz w:val="18"/>
                <w:szCs w:val="18"/>
              </w:rPr>
            </w:pPr>
            <w:r>
              <w:rPr>
                <w:rFonts w:hint="eastAsia" w:ascii="宋体" w:hAnsi="宋体"/>
                <w:color w:val="auto"/>
                <w:sz w:val="18"/>
                <w:szCs w:val="18"/>
              </w:rPr>
              <w:t>3.配备≥8路逻辑输入/输出、≥4路电压输入控制接口，支持消防联动、继电器控制、外部开关控制等；</w:t>
            </w:r>
          </w:p>
          <w:p w14:paraId="02D62E88">
            <w:pPr>
              <w:widowControl/>
              <w:spacing w:line="400" w:lineRule="exact"/>
              <w:jc w:val="left"/>
              <w:rPr>
                <w:rFonts w:ascii="宋体" w:hAnsi="宋体"/>
                <w:color w:val="auto"/>
                <w:sz w:val="18"/>
                <w:szCs w:val="18"/>
              </w:rPr>
            </w:pPr>
            <w:r>
              <w:rPr>
                <w:rFonts w:hint="eastAsia" w:ascii="宋体" w:hAnsi="宋体"/>
                <w:color w:val="auto"/>
                <w:sz w:val="18"/>
                <w:szCs w:val="18"/>
              </w:rPr>
              <w:t>4.输入通道配备前级放大、扩展器、压缩器、参量均衡；</w:t>
            </w:r>
          </w:p>
          <w:p w14:paraId="0C50A603">
            <w:pPr>
              <w:widowControl/>
              <w:spacing w:line="400" w:lineRule="exact"/>
              <w:jc w:val="left"/>
              <w:rPr>
                <w:rFonts w:ascii="宋体" w:hAnsi="宋体"/>
                <w:color w:val="auto"/>
                <w:sz w:val="18"/>
                <w:szCs w:val="18"/>
              </w:rPr>
            </w:pPr>
            <w:r>
              <w:rPr>
                <w:rFonts w:hint="eastAsia" w:ascii="宋体" w:hAnsi="宋体"/>
                <w:color w:val="auto"/>
                <w:sz w:val="18"/>
                <w:szCs w:val="18"/>
              </w:rPr>
              <w:t>5.输出通道配备图示均衡、延时器、分频器、限幅器；</w:t>
            </w:r>
          </w:p>
          <w:p w14:paraId="7159BCC3">
            <w:pPr>
              <w:widowControl/>
              <w:spacing w:line="400" w:lineRule="exact"/>
              <w:jc w:val="left"/>
              <w:rPr>
                <w:rFonts w:ascii="宋体" w:hAnsi="宋体"/>
                <w:color w:val="auto"/>
                <w:sz w:val="18"/>
                <w:szCs w:val="18"/>
              </w:rPr>
            </w:pPr>
            <w:r>
              <w:rPr>
                <w:rFonts w:hint="eastAsia" w:ascii="宋体" w:hAnsi="宋体"/>
                <w:color w:val="auto"/>
                <w:sz w:val="18"/>
                <w:szCs w:val="18"/>
              </w:rPr>
              <w:t>6.内置专业音频处理模块，如全参量均衡器、图示均衡器、压缩及限幅器、扩展及自动增益、分频器、自动混音器、延时器、矩阵混音器、分量矩阵调节器、噪声门限、静音模块、信号发生器、信号指示电平表等；</w:t>
            </w:r>
          </w:p>
          <w:p w14:paraId="3D16B70B">
            <w:pPr>
              <w:widowControl/>
              <w:spacing w:line="400" w:lineRule="exact"/>
              <w:jc w:val="left"/>
              <w:rPr>
                <w:rFonts w:ascii="宋体" w:hAnsi="宋体"/>
                <w:color w:val="auto"/>
                <w:sz w:val="18"/>
                <w:szCs w:val="18"/>
              </w:rPr>
            </w:pPr>
            <w:r>
              <w:rPr>
                <w:rFonts w:hint="eastAsia" w:ascii="宋体" w:hAnsi="宋体"/>
                <w:color w:val="auto"/>
                <w:sz w:val="18"/>
                <w:szCs w:val="18"/>
              </w:rPr>
              <w:t>7.可通过USB、WiFi、RJ45方式，实现PC端、移动端、web端、面板等多端控制；</w:t>
            </w:r>
          </w:p>
          <w:p w14:paraId="51493AF5">
            <w:pPr>
              <w:widowControl/>
              <w:spacing w:line="400" w:lineRule="exact"/>
              <w:jc w:val="left"/>
              <w:rPr>
                <w:rFonts w:ascii="宋体" w:hAnsi="宋体" w:cs="Arial"/>
                <w:color w:val="auto"/>
                <w:sz w:val="18"/>
                <w:szCs w:val="18"/>
              </w:rPr>
            </w:pPr>
            <w:r>
              <w:rPr>
                <w:rFonts w:hint="eastAsia" w:ascii="宋体" w:hAnsi="宋体"/>
                <w:color w:val="auto"/>
                <w:sz w:val="18"/>
                <w:szCs w:val="18"/>
              </w:rPr>
              <w:t>8.支持USB多媒体存储与录制播放。</w:t>
            </w:r>
          </w:p>
        </w:tc>
        <w:tc>
          <w:tcPr>
            <w:tcW w:w="900" w:type="dxa"/>
            <w:tcBorders>
              <w:top w:val="nil"/>
              <w:left w:val="nil"/>
              <w:bottom w:val="single" w:color="auto" w:sz="4" w:space="0"/>
              <w:right w:val="single" w:color="auto" w:sz="4" w:space="0"/>
            </w:tcBorders>
            <w:vAlign w:val="center"/>
          </w:tcPr>
          <w:p w14:paraId="01679D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F1B92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3F3E68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2EE7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E797F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多媒体插座</w:t>
            </w:r>
          </w:p>
        </w:tc>
        <w:tc>
          <w:tcPr>
            <w:tcW w:w="5717" w:type="dxa"/>
            <w:tcBorders>
              <w:top w:val="nil"/>
              <w:left w:val="nil"/>
              <w:bottom w:val="single" w:color="auto" w:sz="4" w:space="0"/>
              <w:right w:val="single" w:color="auto" w:sz="4" w:space="0"/>
            </w:tcBorders>
            <w:vAlign w:val="center"/>
          </w:tcPr>
          <w:p w14:paraId="562CAE63">
            <w:pPr>
              <w:widowControl/>
              <w:spacing w:line="400" w:lineRule="exact"/>
              <w:jc w:val="left"/>
              <w:rPr>
                <w:rFonts w:ascii="宋体" w:hAnsi="宋体" w:cs="Arial"/>
                <w:color w:val="auto"/>
                <w:sz w:val="18"/>
                <w:szCs w:val="18"/>
              </w:rPr>
            </w:pPr>
            <w:r>
              <w:rPr>
                <w:rFonts w:hint="eastAsia" w:ascii="宋体" w:hAnsi="宋体"/>
                <w:color w:val="auto"/>
                <w:sz w:val="18"/>
                <w:szCs w:val="18"/>
              </w:rPr>
              <w:t>包含电源、音频、网络、HDMI、网络等功能模块。</w:t>
            </w:r>
          </w:p>
        </w:tc>
        <w:tc>
          <w:tcPr>
            <w:tcW w:w="900" w:type="dxa"/>
            <w:tcBorders>
              <w:top w:val="nil"/>
              <w:left w:val="nil"/>
              <w:bottom w:val="single" w:color="auto" w:sz="4" w:space="0"/>
              <w:right w:val="single" w:color="auto" w:sz="4" w:space="0"/>
            </w:tcBorders>
            <w:vAlign w:val="center"/>
          </w:tcPr>
          <w:p w14:paraId="0B2AF44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9E9A8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8D8C4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DF1F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0D22C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49F26DA9">
            <w:pPr>
              <w:widowControl/>
              <w:spacing w:line="400" w:lineRule="exact"/>
              <w:jc w:val="left"/>
              <w:rPr>
                <w:rFonts w:ascii="宋体" w:hAnsi="宋体" w:cs="Arial"/>
                <w:color w:val="auto"/>
                <w:sz w:val="18"/>
                <w:szCs w:val="18"/>
              </w:rPr>
            </w:pPr>
            <w:r>
              <w:rPr>
                <w:rFonts w:hint="eastAsia" w:ascii="宋体" w:hAnsi="宋体"/>
                <w:color w:val="auto"/>
                <w:sz w:val="18"/>
                <w:szCs w:val="18"/>
              </w:rPr>
              <w:t>≥5米3.5转双6.5音频线。</w:t>
            </w:r>
          </w:p>
        </w:tc>
        <w:tc>
          <w:tcPr>
            <w:tcW w:w="900" w:type="dxa"/>
            <w:tcBorders>
              <w:top w:val="nil"/>
              <w:left w:val="nil"/>
              <w:bottom w:val="single" w:color="auto" w:sz="4" w:space="0"/>
              <w:right w:val="single" w:color="auto" w:sz="4" w:space="0"/>
            </w:tcBorders>
            <w:vAlign w:val="center"/>
          </w:tcPr>
          <w:p w14:paraId="7465B7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D33D7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66274B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EE412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E94BB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3AEB4F8F">
            <w:pPr>
              <w:widowControl/>
              <w:spacing w:line="400" w:lineRule="exact"/>
              <w:jc w:val="left"/>
              <w:rPr>
                <w:rFonts w:ascii="宋体" w:hAnsi="宋体" w:cs="Arial"/>
                <w:color w:val="auto"/>
                <w:sz w:val="18"/>
                <w:szCs w:val="18"/>
              </w:rPr>
            </w:pPr>
            <w:r>
              <w:rPr>
                <w:rFonts w:hint="eastAsia" w:ascii="宋体" w:hAnsi="宋体"/>
                <w:color w:val="auto"/>
                <w:sz w:val="18"/>
                <w:szCs w:val="18"/>
              </w:rPr>
              <w:t>≥1.5米卡侬头线公对母线。</w:t>
            </w:r>
          </w:p>
        </w:tc>
        <w:tc>
          <w:tcPr>
            <w:tcW w:w="900" w:type="dxa"/>
            <w:tcBorders>
              <w:top w:val="nil"/>
              <w:left w:val="nil"/>
              <w:bottom w:val="single" w:color="auto" w:sz="4" w:space="0"/>
              <w:right w:val="single" w:color="auto" w:sz="4" w:space="0"/>
            </w:tcBorders>
            <w:vAlign w:val="center"/>
          </w:tcPr>
          <w:p w14:paraId="705804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BA438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200B25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96FA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721C6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05C8DF6A">
            <w:pPr>
              <w:widowControl/>
              <w:spacing w:line="400" w:lineRule="exact"/>
              <w:jc w:val="left"/>
              <w:rPr>
                <w:rFonts w:ascii="宋体" w:hAnsi="宋体" w:cs="Arial"/>
                <w:color w:val="auto"/>
                <w:sz w:val="18"/>
                <w:szCs w:val="18"/>
              </w:rPr>
            </w:pPr>
            <w:r>
              <w:rPr>
                <w:rFonts w:hint="eastAsia" w:ascii="宋体" w:hAnsi="宋体"/>
                <w:color w:val="auto"/>
                <w:sz w:val="18"/>
                <w:szCs w:val="18"/>
              </w:rPr>
              <w:t>≥5米卡侬头线公对母线。</w:t>
            </w:r>
          </w:p>
        </w:tc>
        <w:tc>
          <w:tcPr>
            <w:tcW w:w="900" w:type="dxa"/>
            <w:tcBorders>
              <w:top w:val="nil"/>
              <w:left w:val="nil"/>
              <w:bottom w:val="single" w:color="auto" w:sz="4" w:space="0"/>
              <w:right w:val="single" w:color="auto" w:sz="4" w:space="0"/>
            </w:tcBorders>
            <w:vAlign w:val="center"/>
          </w:tcPr>
          <w:p w14:paraId="062FA0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C3A9F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3D91617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A0FD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493BAD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音频接插件</w:t>
            </w:r>
          </w:p>
        </w:tc>
        <w:tc>
          <w:tcPr>
            <w:tcW w:w="5717" w:type="dxa"/>
            <w:tcBorders>
              <w:top w:val="nil"/>
              <w:left w:val="nil"/>
              <w:bottom w:val="single" w:color="auto" w:sz="4" w:space="0"/>
              <w:right w:val="single" w:color="auto" w:sz="4" w:space="0"/>
            </w:tcBorders>
            <w:vAlign w:val="center"/>
          </w:tcPr>
          <w:p w14:paraId="118BEB43">
            <w:pPr>
              <w:widowControl/>
              <w:spacing w:line="400" w:lineRule="exact"/>
              <w:jc w:val="left"/>
              <w:rPr>
                <w:rFonts w:ascii="宋体" w:hAnsi="宋体" w:cs="Arial"/>
                <w:color w:val="auto"/>
                <w:sz w:val="18"/>
                <w:szCs w:val="18"/>
              </w:rPr>
            </w:pPr>
            <w:r>
              <w:rPr>
                <w:rFonts w:hint="eastAsia" w:ascii="宋体" w:hAnsi="宋体"/>
                <w:color w:val="auto"/>
                <w:sz w:val="18"/>
                <w:szCs w:val="18"/>
              </w:rPr>
              <w:t>包含音响插头、卡侬头、3.5音频、莲花头等音频接插件。</w:t>
            </w:r>
          </w:p>
        </w:tc>
        <w:tc>
          <w:tcPr>
            <w:tcW w:w="900" w:type="dxa"/>
            <w:tcBorders>
              <w:top w:val="nil"/>
              <w:left w:val="nil"/>
              <w:bottom w:val="single" w:color="auto" w:sz="4" w:space="0"/>
              <w:right w:val="single" w:color="auto" w:sz="4" w:space="0"/>
            </w:tcBorders>
            <w:vAlign w:val="center"/>
          </w:tcPr>
          <w:p w14:paraId="3FCD29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CBD19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382F19B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D5605F4">
            <w:pPr>
              <w:widowControl/>
              <w:spacing w:line="400" w:lineRule="exact"/>
              <w:jc w:val="left"/>
              <w:rPr>
                <w:rFonts w:ascii="宋体" w:hAnsi="宋体" w:cs="Arial"/>
                <w:color w:val="auto"/>
                <w:sz w:val="18"/>
                <w:szCs w:val="18"/>
              </w:rPr>
            </w:pPr>
            <w:r>
              <w:rPr>
                <w:rFonts w:hint="eastAsia" w:ascii="宋体" w:hAnsi="宋体" w:cs="Arial"/>
                <w:color w:val="auto"/>
                <w:sz w:val="18"/>
                <w:szCs w:val="18"/>
              </w:rPr>
              <w:t>功能室部分</w:t>
            </w:r>
          </w:p>
        </w:tc>
      </w:tr>
      <w:tr w14:paraId="5C8D3E0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F949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38C82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多媒体插座</w:t>
            </w:r>
          </w:p>
        </w:tc>
        <w:tc>
          <w:tcPr>
            <w:tcW w:w="5717" w:type="dxa"/>
            <w:tcBorders>
              <w:top w:val="nil"/>
              <w:left w:val="nil"/>
              <w:bottom w:val="single" w:color="auto" w:sz="4" w:space="0"/>
              <w:right w:val="single" w:color="auto" w:sz="4" w:space="0"/>
            </w:tcBorders>
            <w:vAlign w:val="center"/>
          </w:tcPr>
          <w:p w14:paraId="5081318E">
            <w:pPr>
              <w:widowControl/>
              <w:spacing w:line="400" w:lineRule="exact"/>
              <w:jc w:val="left"/>
              <w:rPr>
                <w:rFonts w:ascii="宋体" w:hAnsi="宋体" w:cs="Arial"/>
                <w:color w:val="auto"/>
                <w:sz w:val="18"/>
                <w:szCs w:val="18"/>
              </w:rPr>
            </w:pPr>
            <w:r>
              <w:rPr>
                <w:rFonts w:hint="eastAsia" w:ascii="宋体" w:hAnsi="宋体"/>
                <w:color w:val="auto"/>
                <w:sz w:val="18"/>
                <w:szCs w:val="18"/>
              </w:rPr>
              <w:t>包含电源、音频、网络、HDMI、网络等功能模块。</w:t>
            </w:r>
          </w:p>
        </w:tc>
        <w:tc>
          <w:tcPr>
            <w:tcW w:w="900" w:type="dxa"/>
            <w:tcBorders>
              <w:top w:val="nil"/>
              <w:left w:val="nil"/>
              <w:bottom w:val="single" w:color="auto" w:sz="4" w:space="0"/>
              <w:right w:val="single" w:color="auto" w:sz="4" w:space="0"/>
            </w:tcBorders>
            <w:vAlign w:val="center"/>
          </w:tcPr>
          <w:p w14:paraId="075706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0A8F3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5A857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918D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7EB64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5C71699A">
            <w:pPr>
              <w:widowControl/>
              <w:spacing w:line="400" w:lineRule="exact"/>
              <w:jc w:val="left"/>
              <w:rPr>
                <w:rFonts w:ascii="宋体" w:hAnsi="宋体" w:cs="Arial"/>
                <w:color w:val="auto"/>
                <w:sz w:val="18"/>
                <w:szCs w:val="18"/>
              </w:rPr>
            </w:pPr>
            <w:r>
              <w:rPr>
                <w:rFonts w:hint="eastAsia" w:ascii="宋体" w:hAnsi="宋体"/>
                <w:color w:val="auto"/>
                <w:sz w:val="18"/>
                <w:szCs w:val="18"/>
              </w:rPr>
              <w:t>≥5米3.5转双6.5音频线。</w:t>
            </w:r>
          </w:p>
        </w:tc>
        <w:tc>
          <w:tcPr>
            <w:tcW w:w="900" w:type="dxa"/>
            <w:tcBorders>
              <w:top w:val="nil"/>
              <w:left w:val="nil"/>
              <w:bottom w:val="single" w:color="auto" w:sz="4" w:space="0"/>
              <w:right w:val="single" w:color="auto" w:sz="4" w:space="0"/>
            </w:tcBorders>
            <w:vAlign w:val="center"/>
          </w:tcPr>
          <w:p w14:paraId="05ED12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72FC3A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7644A53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BF42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C5412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音频跳线</w:t>
            </w:r>
          </w:p>
        </w:tc>
        <w:tc>
          <w:tcPr>
            <w:tcW w:w="5717" w:type="dxa"/>
            <w:tcBorders>
              <w:top w:val="nil"/>
              <w:left w:val="nil"/>
              <w:bottom w:val="single" w:color="auto" w:sz="4" w:space="0"/>
              <w:right w:val="single" w:color="auto" w:sz="4" w:space="0"/>
            </w:tcBorders>
            <w:vAlign w:val="center"/>
          </w:tcPr>
          <w:p w14:paraId="4052E4CA">
            <w:pPr>
              <w:widowControl/>
              <w:spacing w:line="400" w:lineRule="exact"/>
              <w:jc w:val="left"/>
              <w:rPr>
                <w:rFonts w:ascii="宋体" w:hAnsi="宋体" w:cs="Arial"/>
                <w:color w:val="auto"/>
                <w:sz w:val="18"/>
                <w:szCs w:val="18"/>
              </w:rPr>
            </w:pPr>
            <w:r>
              <w:rPr>
                <w:rFonts w:hint="eastAsia" w:ascii="宋体" w:hAnsi="宋体"/>
                <w:color w:val="auto"/>
                <w:sz w:val="18"/>
                <w:szCs w:val="18"/>
              </w:rPr>
              <w:t>≥5米卡侬头线公对母线。</w:t>
            </w:r>
          </w:p>
        </w:tc>
        <w:tc>
          <w:tcPr>
            <w:tcW w:w="900" w:type="dxa"/>
            <w:tcBorders>
              <w:top w:val="nil"/>
              <w:left w:val="nil"/>
              <w:bottom w:val="single" w:color="auto" w:sz="4" w:space="0"/>
              <w:right w:val="single" w:color="auto" w:sz="4" w:space="0"/>
            </w:tcBorders>
            <w:vAlign w:val="center"/>
          </w:tcPr>
          <w:p w14:paraId="471FFE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3171CF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条</w:t>
            </w:r>
          </w:p>
        </w:tc>
      </w:tr>
      <w:tr w14:paraId="67DC27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8382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A2400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音频接插件</w:t>
            </w:r>
          </w:p>
        </w:tc>
        <w:tc>
          <w:tcPr>
            <w:tcW w:w="5717" w:type="dxa"/>
            <w:tcBorders>
              <w:top w:val="nil"/>
              <w:left w:val="nil"/>
              <w:bottom w:val="single" w:color="auto" w:sz="4" w:space="0"/>
              <w:right w:val="single" w:color="auto" w:sz="4" w:space="0"/>
            </w:tcBorders>
            <w:vAlign w:val="center"/>
          </w:tcPr>
          <w:p w14:paraId="623CF07B">
            <w:pPr>
              <w:widowControl/>
              <w:spacing w:line="400" w:lineRule="exact"/>
              <w:jc w:val="left"/>
              <w:rPr>
                <w:rFonts w:ascii="宋体" w:hAnsi="宋体" w:cs="Arial"/>
                <w:color w:val="auto"/>
                <w:sz w:val="18"/>
                <w:szCs w:val="18"/>
              </w:rPr>
            </w:pPr>
            <w:r>
              <w:rPr>
                <w:rFonts w:hint="eastAsia" w:ascii="宋体" w:hAnsi="宋体"/>
                <w:color w:val="auto"/>
                <w:sz w:val="18"/>
                <w:szCs w:val="18"/>
              </w:rPr>
              <w:t>包含音响插头、卡侬头、3.5音频、莲花头等音频接插件。</w:t>
            </w:r>
          </w:p>
        </w:tc>
        <w:tc>
          <w:tcPr>
            <w:tcW w:w="900" w:type="dxa"/>
            <w:tcBorders>
              <w:top w:val="nil"/>
              <w:left w:val="nil"/>
              <w:bottom w:val="single" w:color="auto" w:sz="4" w:space="0"/>
              <w:right w:val="single" w:color="auto" w:sz="4" w:space="0"/>
            </w:tcBorders>
            <w:vAlign w:val="center"/>
          </w:tcPr>
          <w:p w14:paraId="56E283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AE5AA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批</w:t>
            </w:r>
          </w:p>
        </w:tc>
      </w:tr>
      <w:tr w14:paraId="73B4CF71">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3EB44A3">
            <w:pPr>
              <w:widowControl/>
              <w:spacing w:line="400" w:lineRule="exact"/>
              <w:jc w:val="left"/>
              <w:rPr>
                <w:rFonts w:ascii="宋体" w:hAnsi="宋体" w:cs="Arial"/>
                <w:color w:val="auto"/>
                <w:sz w:val="18"/>
                <w:szCs w:val="18"/>
              </w:rPr>
            </w:pPr>
            <w:r>
              <w:rPr>
                <w:rFonts w:hint="eastAsia" w:ascii="宋体" w:hAnsi="宋体" w:cs="Arial"/>
                <w:color w:val="auto"/>
                <w:sz w:val="18"/>
                <w:szCs w:val="18"/>
              </w:rPr>
              <w:t>集中控制系统</w:t>
            </w:r>
          </w:p>
        </w:tc>
      </w:tr>
      <w:tr w14:paraId="4CE062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8725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DA444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网络中控主机</w:t>
            </w:r>
          </w:p>
        </w:tc>
        <w:tc>
          <w:tcPr>
            <w:tcW w:w="5717" w:type="dxa"/>
            <w:tcBorders>
              <w:top w:val="nil"/>
              <w:left w:val="nil"/>
              <w:bottom w:val="single" w:color="auto" w:sz="4" w:space="0"/>
              <w:right w:val="single" w:color="auto" w:sz="4" w:space="0"/>
            </w:tcBorders>
            <w:vAlign w:val="center"/>
          </w:tcPr>
          <w:p w14:paraId="5916AE1D">
            <w:pPr>
              <w:widowControl/>
              <w:spacing w:line="400" w:lineRule="exact"/>
              <w:jc w:val="left"/>
              <w:rPr>
                <w:rFonts w:ascii="宋体" w:hAnsi="宋体"/>
                <w:color w:val="auto"/>
                <w:sz w:val="18"/>
                <w:szCs w:val="18"/>
              </w:rPr>
            </w:pPr>
            <w:r>
              <w:rPr>
                <w:rFonts w:hint="eastAsia" w:ascii="宋体" w:hAnsi="宋体"/>
                <w:color w:val="auto"/>
                <w:sz w:val="18"/>
                <w:szCs w:val="18"/>
              </w:rPr>
              <w:t>1.采用嵌入式系统，配备≥512MB数据存储器、≥8GFLASH存储；支持有线触摸屏、电脑端、移动端等多端控制，可在控制端查看设备开关状态；提供开放式可编程控制平台；</w:t>
            </w:r>
          </w:p>
          <w:p w14:paraId="03F37B0E">
            <w:pPr>
              <w:widowControl/>
              <w:spacing w:line="400" w:lineRule="exact"/>
              <w:jc w:val="left"/>
              <w:rPr>
                <w:rFonts w:ascii="宋体" w:hAnsi="宋体"/>
                <w:color w:val="auto"/>
                <w:sz w:val="18"/>
                <w:szCs w:val="18"/>
              </w:rPr>
            </w:pPr>
            <w:r>
              <w:rPr>
                <w:rFonts w:hint="eastAsia" w:ascii="宋体" w:hAnsi="宋体"/>
                <w:color w:val="auto"/>
                <w:sz w:val="18"/>
                <w:szCs w:val="18"/>
              </w:rPr>
              <w:t>2.配备≥8路独立可编程COM接口、≥8路RS485接口、≥16路IR红外接口、≥12路数字I/O接口、≥1路以太网接口、≥1路USB接口、≥12路弱继电器RELAY接口、≥2路DC5V输出接口；</w:t>
            </w:r>
          </w:p>
          <w:p w14:paraId="43B969FE">
            <w:pPr>
              <w:widowControl/>
              <w:spacing w:line="400" w:lineRule="exact"/>
              <w:jc w:val="left"/>
              <w:rPr>
                <w:rFonts w:ascii="宋体" w:hAnsi="宋体"/>
                <w:color w:val="auto"/>
                <w:sz w:val="18"/>
                <w:szCs w:val="18"/>
              </w:rPr>
            </w:pPr>
            <w:r>
              <w:rPr>
                <w:rFonts w:hint="eastAsia" w:ascii="宋体" w:hAnsi="宋体"/>
                <w:color w:val="auto"/>
                <w:sz w:val="18"/>
                <w:szCs w:val="18"/>
              </w:rPr>
              <w:t>3.配备DMX512控制协议端口，支持≥512路调光控制通道；</w:t>
            </w:r>
          </w:p>
          <w:p w14:paraId="7092C6A5">
            <w:pPr>
              <w:widowControl/>
              <w:spacing w:line="400" w:lineRule="exact"/>
              <w:jc w:val="left"/>
              <w:rPr>
                <w:rFonts w:ascii="宋体" w:hAnsi="宋体"/>
                <w:color w:val="auto"/>
                <w:sz w:val="18"/>
                <w:szCs w:val="18"/>
              </w:rPr>
            </w:pPr>
            <w:r>
              <w:rPr>
                <w:rFonts w:hint="eastAsia" w:ascii="宋体" w:hAnsi="宋体"/>
                <w:color w:val="auto"/>
                <w:sz w:val="18"/>
                <w:szCs w:val="18"/>
              </w:rPr>
              <w:t>4.面板配备≥8个自定义控制功能键；配备≥16个串口状态指示灯；配备继电器工作状态指示灯；</w:t>
            </w:r>
          </w:p>
          <w:p w14:paraId="09D4505E">
            <w:pPr>
              <w:widowControl/>
              <w:spacing w:line="400" w:lineRule="exact"/>
              <w:jc w:val="left"/>
              <w:rPr>
                <w:rFonts w:ascii="宋体" w:hAnsi="宋体"/>
                <w:color w:val="auto"/>
                <w:sz w:val="18"/>
                <w:szCs w:val="18"/>
              </w:rPr>
            </w:pPr>
            <w:r>
              <w:rPr>
                <w:rFonts w:hint="eastAsia" w:ascii="宋体" w:hAnsi="宋体"/>
                <w:color w:val="auto"/>
                <w:sz w:val="18"/>
                <w:szCs w:val="18"/>
              </w:rPr>
              <w:t>5.支持总线信号管理，配备DC12V/1A输出；</w:t>
            </w:r>
          </w:p>
          <w:p w14:paraId="16642AAF">
            <w:pPr>
              <w:widowControl/>
              <w:spacing w:line="400" w:lineRule="exact"/>
              <w:jc w:val="left"/>
              <w:rPr>
                <w:rFonts w:ascii="宋体" w:hAnsi="宋体"/>
                <w:color w:val="auto"/>
                <w:sz w:val="18"/>
                <w:szCs w:val="18"/>
              </w:rPr>
            </w:pPr>
            <w:r>
              <w:rPr>
                <w:rFonts w:hint="eastAsia" w:ascii="宋体" w:hAnsi="宋体"/>
                <w:color w:val="auto"/>
                <w:sz w:val="18"/>
                <w:szCs w:val="18"/>
              </w:rPr>
              <w:t>6.支持红外代码块库导出；支持矩阵键盘控制，支持坐标上传；</w:t>
            </w:r>
          </w:p>
          <w:p w14:paraId="20970E67">
            <w:pPr>
              <w:widowControl/>
              <w:spacing w:line="400" w:lineRule="exact"/>
              <w:jc w:val="left"/>
              <w:rPr>
                <w:rFonts w:ascii="宋体" w:hAnsi="宋体"/>
                <w:color w:val="auto"/>
                <w:sz w:val="18"/>
                <w:szCs w:val="18"/>
              </w:rPr>
            </w:pPr>
            <w:r>
              <w:rPr>
                <w:rFonts w:hint="eastAsia" w:ascii="宋体" w:hAnsi="宋体"/>
                <w:color w:val="auto"/>
                <w:sz w:val="18"/>
                <w:szCs w:val="18"/>
              </w:rPr>
              <w:t>7.支持有线/无线网络连接，支持远程访问，支持HTTPGET指令，支持历史曲线采样；</w:t>
            </w:r>
          </w:p>
          <w:p w14:paraId="2F049F22">
            <w:pPr>
              <w:widowControl/>
              <w:spacing w:line="400" w:lineRule="exact"/>
              <w:jc w:val="left"/>
              <w:rPr>
                <w:rFonts w:ascii="宋体" w:hAnsi="宋体"/>
                <w:color w:val="auto"/>
                <w:sz w:val="18"/>
                <w:szCs w:val="18"/>
              </w:rPr>
            </w:pPr>
            <w:r>
              <w:rPr>
                <w:rFonts w:hint="eastAsia" w:ascii="宋体" w:hAnsi="宋体"/>
                <w:color w:val="auto"/>
                <w:sz w:val="18"/>
                <w:szCs w:val="18"/>
              </w:rPr>
              <w:t>8.支持多台设备级联管控，可一键管控信号；</w:t>
            </w:r>
          </w:p>
          <w:p w14:paraId="0CD9E963">
            <w:pPr>
              <w:widowControl/>
              <w:spacing w:line="400" w:lineRule="exact"/>
              <w:jc w:val="left"/>
              <w:rPr>
                <w:rFonts w:ascii="宋体" w:hAnsi="宋体"/>
                <w:color w:val="auto"/>
                <w:sz w:val="18"/>
                <w:szCs w:val="18"/>
              </w:rPr>
            </w:pPr>
            <w:r>
              <w:rPr>
                <w:rFonts w:hint="eastAsia" w:ascii="宋体" w:hAnsi="宋体"/>
                <w:color w:val="auto"/>
                <w:sz w:val="18"/>
                <w:szCs w:val="18"/>
              </w:rPr>
              <w:t>9.支持自定义编程；支持对播放设备控制；</w:t>
            </w:r>
          </w:p>
          <w:p w14:paraId="57A02D18">
            <w:pPr>
              <w:widowControl/>
              <w:spacing w:line="400" w:lineRule="exact"/>
              <w:jc w:val="left"/>
              <w:rPr>
                <w:rFonts w:ascii="宋体" w:hAnsi="宋体"/>
                <w:color w:val="auto"/>
                <w:sz w:val="18"/>
                <w:szCs w:val="18"/>
              </w:rPr>
            </w:pPr>
            <w:r>
              <w:rPr>
                <w:rFonts w:hint="eastAsia" w:ascii="宋体" w:hAnsi="宋体"/>
                <w:color w:val="auto"/>
                <w:sz w:val="18"/>
                <w:szCs w:val="18"/>
              </w:rPr>
              <w:t>10.内置可编程摄像机跟踪模块，兼容多种协议，支持≥512个摄像机预置位；</w:t>
            </w:r>
          </w:p>
          <w:p w14:paraId="054E38BC">
            <w:pPr>
              <w:widowControl/>
              <w:spacing w:line="400" w:lineRule="exact"/>
              <w:jc w:val="left"/>
              <w:rPr>
                <w:rFonts w:ascii="宋体" w:hAnsi="宋体"/>
                <w:color w:val="auto"/>
                <w:sz w:val="18"/>
                <w:szCs w:val="18"/>
              </w:rPr>
            </w:pPr>
            <w:r>
              <w:rPr>
                <w:rFonts w:hint="eastAsia" w:ascii="宋体" w:hAnsi="宋体"/>
                <w:color w:val="auto"/>
                <w:sz w:val="18"/>
                <w:szCs w:val="18"/>
              </w:rPr>
              <w:t>11.内置时钟芯片，支持按年月日时分秒定时执行预约动作；</w:t>
            </w:r>
          </w:p>
          <w:p w14:paraId="11E4BCF1">
            <w:pPr>
              <w:widowControl/>
              <w:spacing w:line="400" w:lineRule="exact"/>
              <w:jc w:val="left"/>
              <w:rPr>
                <w:rFonts w:ascii="宋体" w:hAnsi="宋体" w:cs="Arial"/>
                <w:color w:val="auto"/>
                <w:sz w:val="18"/>
                <w:szCs w:val="18"/>
              </w:rPr>
            </w:pPr>
            <w:r>
              <w:rPr>
                <w:rFonts w:hint="eastAsia" w:ascii="宋体" w:hAnsi="宋体"/>
                <w:color w:val="auto"/>
                <w:sz w:val="18"/>
                <w:szCs w:val="18"/>
              </w:rPr>
              <w:t>12.支持双机备份运行。</w:t>
            </w:r>
          </w:p>
        </w:tc>
        <w:tc>
          <w:tcPr>
            <w:tcW w:w="900" w:type="dxa"/>
            <w:tcBorders>
              <w:top w:val="nil"/>
              <w:left w:val="nil"/>
              <w:bottom w:val="single" w:color="auto" w:sz="4" w:space="0"/>
              <w:right w:val="single" w:color="auto" w:sz="4" w:space="0"/>
            </w:tcBorders>
            <w:vAlign w:val="center"/>
          </w:tcPr>
          <w:p w14:paraId="0F3126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B94F7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17D56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3FCD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5C24C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编程软件</w:t>
            </w:r>
          </w:p>
        </w:tc>
        <w:tc>
          <w:tcPr>
            <w:tcW w:w="5717" w:type="dxa"/>
            <w:tcBorders>
              <w:top w:val="nil"/>
              <w:left w:val="nil"/>
              <w:bottom w:val="single" w:color="auto" w:sz="4" w:space="0"/>
              <w:right w:val="single" w:color="auto" w:sz="4" w:space="0"/>
            </w:tcBorders>
            <w:vAlign w:val="center"/>
          </w:tcPr>
          <w:p w14:paraId="3913B8CE">
            <w:pPr>
              <w:widowControl/>
              <w:spacing w:line="400" w:lineRule="exact"/>
              <w:jc w:val="left"/>
              <w:rPr>
                <w:rFonts w:ascii="宋体" w:hAnsi="宋体"/>
                <w:color w:val="auto"/>
                <w:sz w:val="18"/>
                <w:szCs w:val="18"/>
              </w:rPr>
            </w:pPr>
            <w:r>
              <w:rPr>
                <w:rFonts w:hint="eastAsia" w:ascii="宋体" w:hAnsi="宋体"/>
                <w:color w:val="auto"/>
                <w:sz w:val="18"/>
                <w:szCs w:val="18"/>
              </w:rPr>
              <w:t>1.支持TCP/UDP/HTTP/HTTPS等协议下双向多点控制；</w:t>
            </w:r>
          </w:p>
          <w:p w14:paraId="1D27FFFB">
            <w:pPr>
              <w:widowControl/>
              <w:spacing w:line="400" w:lineRule="exact"/>
              <w:jc w:val="left"/>
              <w:rPr>
                <w:rFonts w:ascii="宋体" w:hAnsi="宋体"/>
                <w:color w:val="auto"/>
                <w:sz w:val="18"/>
                <w:szCs w:val="18"/>
              </w:rPr>
            </w:pPr>
            <w:r>
              <w:rPr>
                <w:rFonts w:hint="eastAsia" w:ascii="宋体" w:hAnsi="宋体"/>
                <w:color w:val="auto"/>
                <w:sz w:val="18"/>
                <w:szCs w:val="18"/>
              </w:rPr>
              <w:t>2.支持宏指令编辑，集成按钮、滑动条、进度条、浏览器、文本输入框、文字标签、滑动列表框、图片框、视频播放、天气、时间、语音识别控制等可视化交互组件；</w:t>
            </w:r>
          </w:p>
          <w:p w14:paraId="23C8EB9C">
            <w:pPr>
              <w:widowControl/>
              <w:spacing w:line="400" w:lineRule="exact"/>
              <w:jc w:val="left"/>
              <w:rPr>
                <w:rFonts w:ascii="宋体" w:hAnsi="宋体"/>
                <w:color w:val="auto"/>
                <w:sz w:val="18"/>
                <w:szCs w:val="18"/>
              </w:rPr>
            </w:pPr>
            <w:r>
              <w:rPr>
                <w:rFonts w:hint="eastAsia" w:ascii="宋体" w:hAnsi="宋体"/>
                <w:color w:val="auto"/>
                <w:sz w:val="18"/>
                <w:szCs w:val="18"/>
              </w:rPr>
              <w:t>3.可读取中控主机及控制设备运行状态并可视化呈现；</w:t>
            </w:r>
          </w:p>
          <w:p w14:paraId="158AA8CC">
            <w:pPr>
              <w:widowControl/>
              <w:spacing w:line="400" w:lineRule="exact"/>
              <w:jc w:val="left"/>
              <w:rPr>
                <w:rFonts w:ascii="宋体" w:hAnsi="宋体"/>
                <w:color w:val="auto"/>
                <w:sz w:val="18"/>
                <w:szCs w:val="18"/>
              </w:rPr>
            </w:pPr>
            <w:r>
              <w:rPr>
                <w:rFonts w:hint="eastAsia" w:ascii="宋体" w:hAnsi="宋体"/>
                <w:color w:val="auto"/>
                <w:sz w:val="18"/>
                <w:szCs w:val="18"/>
              </w:rPr>
              <w:t>4.支持RTMP/RTSP流媒体协议，可实时播放视频；</w:t>
            </w:r>
          </w:p>
          <w:p w14:paraId="4A091DFA">
            <w:pPr>
              <w:widowControl/>
              <w:spacing w:line="400" w:lineRule="exact"/>
              <w:jc w:val="left"/>
              <w:rPr>
                <w:rFonts w:ascii="宋体" w:hAnsi="宋体" w:cs="Arial"/>
                <w:color w:val="auto"/>
                <w:sz w:val="18"/>
                <w:szCs w:val="18"/>
              </w:rPr>
            </w:pPr>
            <w:r>
              <w:rPr>
                <w:rFonts w:hint="eastAsia" w:ascii="宋体" w:hAnsi="宋体"/>
                <w:color w:val="auto"/>
                <w:sz w:val="18"/>
                <w:szCs w:val="18"/>
              </w:rPr>
              <w:t>5.支持LUA脚本语言嵌入，可实现自定义逻辑编程。</w:t>
            </w:r>
          </w:p>
        </w:tc>
        <w:tc>
          <w:tcPr>
            <w:tcW w:w="900" w:type="dxa"/>
            <w:tcBorders>
              <w:top w:val="nil"/>
              <w:left w:val="nil"/>
              <w:bottom w:val="single" w:color="auto" w:sz="4" w:space="0"/>
              <w:right w:val="single" w:color="auto" w:sz="4" w:space="0"/>
            </w:tcBorders>
            <w:vAlign w:val="center"/>
          </w:tcPr>
          <w:p w14:paraId="5ACFE0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3F4CD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929D7E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07DE7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92F5B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电源控制器</w:t>
            </w:r>
          </w:p>
        </w:tc>
        <w:tc>
          <w:tcPr>
            <w:tcW w:w="5717" w:type="dxa"/>
            <w:tcBorders>
              <w:top w:val="nil"/>
              <w:left w:val="nil"/>
              <w:bottom w:val="single" w:color="auto" w:sz="4" w:space="0"/>
              <w:right w:val="single" w:color="auto" w:sz="4" w:space="0"/>
            </w:tcBorders>
            <w:vAlign w:val="center"/>
          </w:tcPr>
          <w:p w14:paraId="09691DDA">
            <w:pPr>
              <w:widowControl/>
              <w:spacing w:line="400" w:lineRule="exact"/>
              <w:jc w:val="left"/>
              <w:rPr>
                <w:rFonts w:ascii="宋体" w:hAnsi="宋体"/>
                <w:color w:val="auto"/>
                <w:sz w:val="18"/>
                <w:szCs w:val="18"/>
              </w:rPr>
            </w:pPr>
            <w:r>
              <w:rPr>
                <w:rFonts w:hint="eastAsia" w:ascii="宋体" w:hAnsi="宋体"/>
                <w:color w:val="auto"/>
                <w:sz w:val="18"/>
                <w:szCs w:val="18"/>
              </w:rPr>
              <w:t>1.配备≥1个RS-232接口，支持控制多台继电器（级联数量≥255台）；</w:t>
            </w:r>
          </w:p>
          <w:p w14:paraId="596F2D2B">
            <w:pPr>
              <w:widowControl/>
              <w:spacing w:line="400" w:lineRule="exact"/>
              <w:jc w:val="left"/>
              <w:rPr>
                <w:rFonts w:ascii="宋体" w:hAnsi="宋体"/>
                <w:color w:val="auto"/>
                <w:sz w:val="18"/>
                <w:szCs w:val="18"/>
              </w:rPr>
            </w:pPr>
            <w:r>
              <w:rPr>
                <w:rFonts w:hint="eastAsia" w:ascii="宋体" w:hAnsi="宋体"/>
                <w:color w:val="auto"/>
                <w:sz w:val="18"/>
                <w:szCs w:val="18"/>
              </w:rPr>
              <w:t>2.支持DIP手动控制，紧急情况下可手动控制继电器；</w:t>
            </w:r>
          </w:p>
          <w:p w14:paraId="31F3646E">
            <w:pPr>
              <w:widowControl/>
              <w:spacing w:line="400" w:lineRule="exact"/>
              <w:jc w:val="left"/>
              <w:rPr>
                <w:rFonts w:ascii="宋体" w:hAnsi="宋体"/>
                <w:color w:val="auto"/>
                <w:sz w:val="18"/>
                <w:szCs w:val="18"/>
              </w:rPr>
            </w:pPr>
            <w:r>
              <w:rPr>
                <w:rFonts w:hint="eastAsia" w:ascii="宋体" w:hAnsi="宋体"/>
                <w:color w:val="auto"/>
                <w:sz w:val="18"/>
                <w:szCs w:val="18"/>
              </w:rPr>
              <w:t>3.配备≥8路独立电源输出，支持单路独立控制；</w:t>
            </w:r>
          </w:p>
          <w:p w14:paraId="54872D55">
            <w:pPr>
              <w:widowControl/>
              <w:spacing w:line="400" w:lineRule="exact"/>
              <w:jc w:val="left"/>
              <w:rPr>
                <w:rFonts w:ascii="宋体" w:hAnsi="宋体"/>
                <w:color w:val="auto"/>
                <w:sz w:val="18"/>
                <w:szCs w:val="18"/>
              </w:rPr>
            </w:pPr>
            <w:r>
              <w:rPr>
                <w:rFonts w:hint="eastAsia" w:ascii="宋体" w:hAnsi="宋体"/>
                <w:color w:val="auto"/>
                <w:sz w:val="18"/>
                <w:szCs w:val="18"/>
              </w:rPr>
              <w:t>4.配备≥8路继电器模块，单路最大承载电流≥25A。</w:t>
            </w:r>
          </w:p>
          <w:p w14:paraId="38CAC02B">
            <w:pPr>
              <w:widowControl/>
              <w:spacing w:line="400" w:lineRule="exact"/>
              <w:jc w:val="left"/>
              <w:rPr>
                <w:rFonts w:ascii="宋体" w:hAnsi="宋体" w:cs="Arial"/>
                <w:color w:val="auto"/>
                <w:sz w:val="18"/>
                <w:szCs w:val="18"/>
              </w:rPr>
            </w:pPr>
            <w:r>
              <w:rPr>
                <w:rFonts w:hint="eastAsia" w:ascii="宋体" w:hAnsi="宋体"/>
                <w:color w:val="auto"/>
                <w:sz w:val="18"/>
                <w:szCs w:val="18"/>
              </w:rPr>
              <w:t>5.可与其他中控主机、第三方控制设备无缝对接。</w:t>
            </w:r>
          </w:p>
        </w:tc>
        <w:tc>
          <w:tcPr>
            <w:tcW w:w="900" w:type="dxa"/>
            <w:tcBorders>
              <w:top w:val="nil"/>
              <w:left w:val="nil"/>
              <w:bottom w:val="single" w:color="auto" w:sz="4" w:space="0"/>
              <w:right w:val="single" w:color="auto" w:sz="4" w:space="0"/>
            </w:tcBorders>
            <w:vAlign w:val="center"/>
          </w:tcPr>
          <w:p w14:paraId="553B09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4DA63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C9EB5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54CEE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36B0F98">
            <w:pPr>
              <w:widowControl/>
              <w:spacing w:line="400" w:lineRule="exact"/>
              <w:jc w:val="center"/>
              <w:rPr>
                <w:rFonts w:ascii="宋体" w:hAnsi="宋体" w:cs="Arial"/>
                <w:color w:val="auto"/>
                <w:sz w:val="18"/>
                <w:szCs w:val="18"/>
              </w:rPr>
            </w:pPr>
            <w:r>
              <w:rPr>
                <w:rFonts w:hint="eastAsia" w:ascii="宋体" w:hAnsi="宋体"/>
                <w:color w:val="auto"/>
                <w:sz w:val="18"/>
                <w:szCs w:val="18"/>
              </w:rPr>
              <w:t>平板电脑</w:t>
            </w:r>
          </w:p>
        </w:tc>
        <w:tc>
          <w:tcPr>
            <w:tcW w:w="5717" w:type="dxa"/>
            <w:tcBorders>
              <w:top w:val="nil"/>
              <w:left w:val="nil"/>
              <w:bottom w:val="single" w:color="auto" w:sz="4" w:space="0"/>
              <w:right w:val="single" w:color="auto" w:sz="4" w:space="0"/>
            </w:tcBorders>
            <w:vAlign w:val="center"/>
          </w:tcPr>
          <w:p w14:paraId="1D421F26">
            <w:pPr>
              <w:widowControl/>
              <w:spacing w:line="400" w:lineRule="exact"/>
              <w:jc w:val="left"/>
              <w:rPr>
                <w:rFonts w:ascii="宋体" w:hAnsi="宋体" w:cs="Arial"/>
                <w:color w:val="auto"/>
                <w:sz w:val="18"/>
                <w:szCs w:val="18"/>
              </w:rPr>
            </w:pPr>
            <w:r>
              <w:rPr>
                <w:rFonts w:hint="eastAsia" w:ascii="宋体" w:hAnsi="宋体"/>
                <w:color w:val="auto"/>
                <w:sz w:val="18"/>
                <w:szCs w:val="18"/>
              </w:rPr>
              <w:t>屏幕≥11英寸，配备国产化处理器，内存≥8GB，存储≥256GB；配备前后置摄像头，支持WiFi、蓝牙。</w:t>
            </w:r>
          </w:p>
        </w:tc>
        <w:tc>
          <w:tcPr>
            <w:tcW w:w="900" w:type="dxa"/>
            <w:tcBorders>
              <w:top w:val="nil"/>
              <w:left w:val="nil"/>
              <w:bottom w:val="single" w:color="auto" w:sz="4" w:space="0"/>
              <w:right w:val="single" w:color="auto" w:sz="4" w:space="0"/>
            </w:tcBorders>
            <w:vAlign w:val="center"/>
          </w:tcPr>
          <w:p w14:paraId="0CB1C1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A6B9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D423E7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FB53A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694390B">
            <w:pPr>
              <w:widowControl/>
              <w:spacing w:line="400" w:lineRule="exact"/>
              <w:jc w:val="center"/>
              <w:rPr>
                <w:rFonts w:ascii="宋体" w:hAnsi="宋体" w:cs="Arial"/>
                <w:color w:val="auto"/>
                <w:sz w:val="18"/>
                <w:szCs w:val="18"/>
              </w:rPr>
            </w:pPr>
            <w:r>
              <w:rPr>
                <w:rFonts w:hint="eastAsia" w:ascii="宋体" w:hAnsi="宋体"/>
                <w:color w:val="auto"/>
                <w:sz w:val="18"/>
                <w:szCs w:val="18"/>
              </w:rPr>
              <w:t>无线路由器</w:t>
            </w:r>
          </w:p>
        </w:tc>
        <w:tc>
          <w:tcPr>
            <w:tcW w:w="5717" w:type="dxa"/>
            <w:tcBorders>
              <w:top w:val="nil"/>
              <w:left w:val="nil"/>
              <w:bottom w:val="single" w:color="auto" w:sz="4" w:space="0"/>
              <w:right w:val="single" w:color="auto" w:sz="4" w:space="0"/>
            </w:tcBorders>
            <w:vAlign w:val="center"/>
          </w:tcPr>
          <w:p w14:paraId="3F5D4492">
            <w:pPr>
              <w:widowControl/>
              <w:spacing w:line="400" w:lineRule="exact"/>
              <w:jc w:val="left"/>
              <w:rPr>
                <w:rFonts w:ascii="宋体" w:hAnsi="宋体" w:cs="Arial"/>
                <w:color w:val="auto"/>
                <w:sz w:val="18"/>
                <w:szCs w:val="18"/>
              </w:rPr>
            </w:pPr>
            <w:r>
              <w:rPr>
                <w:rFonts w:hint="eastAsia" w:ascii="宋体" w:hAnsi="宋体"/>
                <w:color w:val="auto"/>
                <w:sz w:val="18"/>
                <w:szCs w:val="18"/>
              </w:rPr>
              <w:t>配备≥1个千兆电口(支持POE)，支持2.4G/5G频段，整机速率≥3Gbps，支持802.11a/b/g/n/ac/acwave2/ax模式。</w:t>
            </w:r>
          </w:p>
        </w:tc>
        <w:tc>
          <w:tcPr>
            <w:tcW w:w="900" w:type="dxa"/>
            <w:tcBorders>
              <w:top w:val="nil"/>
              <w:left w:val="nil"/>
              <w:bottom w:val="single" w:color="auto" w:sz="4" w:space="0"/>
              <w:right w:val="single" w:color="auto" w:sz="4" w:space="0"/>
            </w:tcBorders>
            <w:vAlign w:val="center"/>
          </w:tcPr>
          <w:p w14:paraId="781C6C4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571E3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B13333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16216D7">
            <w:pPr>
              <w:widowControl/>
              <w:spacing w:line="400" w:lineRule="exact"/>
              <w:jc w:val="left"/>
              <w:rPr>
                <w:rFonts w:ascii="宋体" w:hAnsi="宋体" w:cs="Arial"/>
                <w:color w:val="auto"/>
                <w:sz w:val="18"/>
                <w:szCs w:val="18"/>
              </w:rPr>
            </w:pPr>
            <w:r>
              <w:rPr>
                <w:rFonts w:hint="eastAsia" w:ascii="宋体" w:hAnsi="宋体" w:cs="Arial"/>
                <w:color w:val="auto"/>
                <w:sz w:val="18"/>
                <w:szCs w:val="18"/>
              </w:rPr>
              <w:t>网络安全改造</w:t>
            </w:r>
          </w:p>
        </w:tc>
      </w:tr>
      <w:tr w14:paraId="2F7AF011">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FDF2AD3">
            <w:pPr>
              <w:widowControl/>
              <w:spacing w:line="400" w:lineRule="exact"/>
              <w:jc w:val="left"/>
              <w:rPr>
                <w:rFonts w:ascii="宋体" w:hAnsi="宋体" w:cs="Arial"/>
                <w:color w:val="auto"/>
                <w:sz w:val="18"/>
                <w:szCs w:val="18"/>
              </w:rPr>
            </w:pPr>
            <w:r>
              <w:rPr>
                <w:rFonts w:hint="eastAsia" w:ascii="宋体" w:hAnsi="宋体" w:cs="Arial"/>
                <w:color w:val="auto"/>
                <w:sz w:val="18"/>
                <w:szCs w:val="18"/>
              </w:rPr>
              <w:t>等保安全部分</w:t>
            </w:r>
          </w:p>
        </w:tc>
      </w:tr>
      <w:tr w14:paraId="258CD2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A5889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1917F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防火墙</w:t>
            </w:r>
          </w:p>
        </w:tc>
        <w:tc>
          <w:tcPr>
            <w:tcW w:w="5717" w:type="dxa"/>
            <w:tcBorders>
              <w:top w:val="nil"/>
              <w:left w:val="nil"/>
              <w:bottom w:val="single" w:color="auto" w:sz="4" w:space="0"/>
              <w:right w:val="single" w:color="auto" w:sz="4" w:space="0"/>
            </w:tcBorders>
            <w:vAlign w:val="center"/>
          </w:tcPr>
          <w:p w14:paraId="2D93A1F9">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架式机箱，配备冗余双电源、≥64GSSD；国产化操作系统，国产化CPU；配备≥14个千兆电口(支持≥3组bypass)、≥4个千兆光口、≥2个万兆光口、≥1个接口扩展槽、≥1个Console口；需提供3年防病毒库、IPS攻击特征库、URL及应用特征库更新升级，以及资产管理、威胁情报功能授权；</w:t>
            </w:r>
          </w:p>
          <w:p w14:paraId="53374D15">
            <w:pPr>
              <w:widowControl/>
              <w:spacing w:line="400" w:lineRule="exact"/>
              <w:jc w:val="left"/>
              <w:rPr>
                <w:rFonts w:ascii="宋体" w:hAnsi="宋体" w:cs="Arial"/>
                <w:color w:val="auto"/>
                <w:sz w:val="18"/>
                <w:szCs w:val="18"/>
              </w:rPr>
            </w:pPr>
            <w:r>
              <w:rPr>
                <w:rFonts w:hint="eastAsia" w:ascii="宋体" w:hAnsi="宋体" w:cs="Arial"/>
                <w:color w:val="auto"/>
                <w:sz w:val="18"/>
                <w:szCs w:val="18"/>
              </w:rPr>
              <w:t>▲2.吞吐量≥12Gbps，IPS+AV吞吐量≥8Gbps，并发连接数≥300万，每秒新建连接数≥7万，SSLVPN授权≥1000用户；(提供带有CMA或CNAS标识的第三方权威检测机构出具的检测报告扫描件证明)</w:t>
            </w:r>
          </w:p>
          <w:p w14:paraId="70A1DC02">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3.支持访问控制、数据防泄漏、DNS服务、WAF、SSL流量解密、弱口令检查、行为管理、负载均衡等功能；</w:t>
            </w:r>
          </w:p>
          <w:p w14:paraId="7933C6A0">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通过ICMP、TCP、TCPHALFOPEN、FTP、HTTP、HTTPS、SNMP、DNS等协议对链路可用性进行多重检查；支持基于IP网段、IP地址范围、ISP地址库、区域地址库、X-Forwarded-ForIP字段等黑名单阻断方式；支持分组功能，可基于分组一键启停；支持在会话管理界面根据当前会话信息直接设置黑名单；</w:t>
            </w:r>
          </w:p>
          <w:p w14:paraId="0DBB7B68">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▲5.支持策略预编译，在大量防火墙访问控制策略情况下整机性能不受影响；(提供带有CMA或CNAS标识的第三方权威检测机构出具的检测报告扫描件证明)</w:t>
            </w:r>
          </w:p>
          <w:p w14:paraId="1EEAE581">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失陷检测情报分类，可对勒索软件、挖矿软件、网银木马、窃密木马、黑客工具、后门软件、僵尸网络、常规木马、DGA、黑灰产、扫描探测、隐匿追踪、可疑威胁、定向攻击、蠕虫病毒、APT攻击、其他远控等风险流量进行识别和过滤，可对不同类别风险IP流量进行记录日志或阻断一定时间；</w:t>
            </w:r>
          </w:p>
          <w:p w14:paraId="44B34189">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7.支持通过主动及被动探测方式识别终端类型，如PC、网络打印机、网络摄像机、网络设备、防火墙、负载均衡等；支持多种资产异常告警选项，如MAC地址、操作系统、厂商、类别、指纹等；</w:t>
            </w:r>
          </w:p>
          <w:p w14:paraId="2FEA096B">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链路复制，针对核心业务（如“视频”），提供多路复制，单路收发功能，在多条链路间实现业务无缝切换；支持数据压缩功能，支持双边加速能力；(提供带有CMA或CNAS标识的第三方权威检测机构出具的检测报告扫描件证明)</w:t>
            </w:r>
          </w:p>
          <w:p w14:paraId="57CFB9E1">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9.支持威胁统计及展示，如基于威胁级别和类型的统计分析、基于威胁事件源/目的主机的统计展示、基于具体威胁事件/威胁类型的统计展示、基于地理位置的威胁展示等；</w:t>
            </w:r>
          </w:p>
          <w:p w14:paraId="55D024D2">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10.支持系统快照，可将版本、配置文件存储为快照，能从历史快照中选择版本回滚，支持每周、每月定期自动快照备份。</w:t>
            </w:r>
          </w:p>
        </w:tc>
        <w:tc>
          <w:tcPr>
            <w:tcW w:w="900" w:type="dxa"/>
            <w:tcBorders>
              <w:top w:val="nil"/>
              <w:left w:val="nil"/>
              <w:bottom w:val="single" w:color="auto" w:sz="4" w:space="0"/>
              <w:right w:val="single" w:color="auto" w:sz="4" w:space="0"/>
            </w:tcBorders>
            <w:vAlign w:val="center"/>
          </w:tcPr>
          <w:p w14:paraId="2D2166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571B0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AC1713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67FD4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0FD48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万兆单模光模块</w:t>
            </w:r>
          </w:p>
        </w:tc>
        <w:tc>
          <w:tcPr>
            <w:tcW w:w="5717" w:type="dxa"/>
            <w:tcBorders>
              <w:top w:val="nil"/>
              <w:left w:val="nil"/>
              <w:bottom w:val="single" w:color="auto" w:sz="4" w:space="0"/>
              <w:right w:val="single" w:color="auto" w:sz="4" w:space="0"/>
            </w:tcBorders>
            <w:vAlign w:val="center"/>
          </w:tcPr>
          <w:p w14:paraId="5FDAEB7E">
            <w:pPr>
              <w:widowControl/>
              <w:spacing w:line="400" w:lineRule="exact"/>
              <w:jc w:val="left"/>
              <w:rPr>
                <w:rFonts w:ascii="宋体" w:hAnsi="宋体" w:cs="Arial"/>
                <w:color w:val="auto"/>
                <w:sz w:val="18"/>
                <w:szCs w:val="18"/>
              </w:rPr>
            </w:pPr>
            <w:r>
              <w:rPr>
                <w:rFonts w:ascii="宋体" w:hAnsi="宋体" w:cs="Arial"/>
                <w:color w:val="auto"/>
                <w:sz w:val="18"/>
                <w:szCs w:val="18"/>
              </w:rPr>
              <w:t>SFP+万兆模块，与交换机和防火墙匹配。</w:t>
            </w:r>
          </w:p>
        </w:tc>
        <w:tc>
          <w:tcPr>
            <w:tcW w:w="900" w:type="dxa"/>
            <w:tcBorders>
              <w:top w:val="nil"/>
              <w:left w:val="nil"/>
              <w:bottom w:val="single" w:color="auto" w:sz="4" w:space="0"/>
              <w:right w:val="single" w:color="auto" w:sz="4" w:space="0"/>
            </w:tcBorders>
            <w:vAlign w:val="center"/>
          </w:tcPr>
          <w:p w14:paraId="6C8933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668080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A4330C7">
        <w:tblPrEx>
          <w:tblCellMar>
            <w:top w:w="0" w:type="dxa"/>
            <w:left w:w="108" w:type="dxa"/>
            <w:bottom w:w="0" w:type="dxa"/>
            <w:right w:w="108" w:type="dxa"/>
          </w:tblCellMar>
        </w:tblPrEx>
        <w:trPr>
          <w:jc w:val="center"/>
        </w:trPr>
        <w:tc>
          <w:tcPr>
            <w:tcW w:w="9076" w:type="dxa"/>
            <w:gridSpan w:val="5"/>
            <w:tcBorders>
              <w:top w:val="single" w:color="auto" w:sz="4" w:space="0"/>
              <w:left w:val="single" w:color="auto" w:sz="4" w:space="0"/>
              <w:bottom w:val="single" w:color="auto" w:sz="4" w:space="0"/>
              <w:right w:val="single" w:color="auto" w:sz="4" w:space="0"/>
            </w:tcBorders>
            <w:vAlign w:val="center"/>
          </w:tcPr>
          <w:p w14:paraId="1A225B40">
            <w:pPr>
              <w:widowControl/>
              <w:spacing w:line="400" w:lineRule="exact"/>
              <w:jc w:val="left"/>
              <w:rPr>
                <w:rFonts w:ascii="宋体" w:hAnsi="宋体" w:cs="Arial"/>
                <w:color w:val="auto"/>
                <w:sz w:val="18"/>
                <w:szCs w:val="18"/>
              </w:rPr>
            </w:pPr>
            <w:r>
              <w:rPr>
                <w:rFonts w:hint="eastAsia" w:ascii="宋体" w:hAnsi="宋体" w:cs="Arial"/>
                <w:color w:val="auto"/>
                <w:sz w:val="18"/>
                <w:szCs w:val="18"/>
              </w:rPr>
              <w:t>指挥网设备部分</w:t>
            </w:r>
          </w:p>
        </w:tc>
        <w:tc>
          <w:tcPr>
            <w:tcW w:w="606" w:type="dxa"/>
            <w:tcBorders>
              <w:top w:val="nil"/>
              <w:left w:val="nil"/>
              <w:bottom w:val="single" w:color="auto" w:sz="4" w:space="0"/>
              <w:right w:val="single" w:color="auto" w:sz="4" w:space="0"/>
            </w:tcBorders>
            <w:vAlign w:val="center"/>
          </w:tcPr>
          <w:p w14:paraId="331366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w:t>
            </w:r>
          </w:p>
        </w:tc>
      </w:tr>
      <w:tr w14:paraId="566110E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B2FB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3714D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口接入交换机</w:t>
            </w:r>
          </w:p>
        </w:tc>
        <w:tc>
          <w:tcPr>
            <w:tcW w:w="5717" w:type="dxa"/>
            <w:tcBorders>
              <w:top w:val="nil"/>
              <w:left w:val="nil"/>
              <w:bottom w:val="single" w:color="auto" w:sz="4" w:space="0"/>
              <w:right w:val="single" w:color="auto" w:sz="4" w:space="0"/>
            </w:tcBorders>
            <w:vAlign w:val="center"/>
          </w:tcPr>
          <w:p w14:paraId="3D90BBC7">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1.交换容量≥672Gbps；包转发率≥144Mpps；配备≥24个千兆电口、≥4个千兆SFP+口；</w:t>
            </w:r>
          </w:p>
          <w:p w14:paraId="034B0A5B">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50F6D818">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5B62DE2F">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48F85FF3">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6CC60CCD">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04E600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06B485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CB77B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D224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6CDC2B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千兆单模光模块</w:t>
            </w:r>
          </w:p>
        </w:tc>
        <w:tc>
          <w:tcPr>
            <w:tcW w:w="5717" w:type="dxa"/>
            <w:tcBorders>
              <w:top w:val="nil"/>
              <w:left w:val="nil"/>
              <w:bottom w:val="single" w:color="auto" w:sz="4" w:space="0"/>
              <w:right w:val="single" w:color="auto" w:sz="4" w:space="0"/>
            </w:tcBorders>
            <w:vAlign w:val="center"/>
          </w:tcPr>
          <w:p w14:paraId="557A5D25">
            <w:pPr>
              <w:widowControl/>
              <w:spacing w:line="400" w:lineRule="exact"/>
              <w:jc w:val="left"/>
              <w:rPr>
                <w:rFonts w:ascii="宋体" w:hAnsi="宋体" w:cs="Arial"/>
                <w:color w:val="auto"/>
                <w:sz w:val="18"/>
                <w:szCs w:val="18"/>
              </w:rPr>
            </w:pPr>
            <w:r>
              <w:rPr>
                <w:rFonts w:ascii="宋体" w:hAnsi="宋体" w:cs="Arial"/>
                <w:color w:val="auto"/>
                <w:sz w:val="18"/>
                <w:szCs w:val="18"/>
              </w:rPr>
              <w:t>SFP千兆光模块，与交换机匹配。</w:t>
            </w:r>
          </w:p>
        </w:tc>
        <w:tc>
          <w:tcPr>
            <w:tcW w:w="900" w:type="dxa"/>
            <w:tcBorders>
              <w:top w:val="nil"/>
              <w:left w:val="nil"/>
              <w:bottom w:val="single" w:color="auto" w:sz="4" w:space="0"/>
              <w:right w:val="single" w:color="auto" w:sz="4" w:space="0"/>
            </w:tcBorders>
            <w:vAlign w:val="center"/>
          </w:tcPr>
          <w:p w14:paraId="525433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035AC8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2938A8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A6CFF85">
            <w:pPr>
              <w:widowControl/>
              <w:spacing w:line="400" w:lineRule="exact"/>
              <w:jc w:val="left"/>
              <w:rPr>
                <w:rFonts w:ascii="宋体" w:hAnsi="宋体" w:cs="Arial"/>
                <w:color w:val="auto"/>
                <w:sz w:val="18"/>
                <w:szCs w:val="18"/>
              </w:rPr>
            </w:pPr>
            <w:r>
              <w:rPr>
                <w:rFonts w:hint="eastAsia" w:ascii="宋体" w:hAnsi="宋体" w:cs="Arial"/>
                <w:color w:val="auto"/>
                <w:sz w:val="18"/>
                <w:szCs w:val="18"/>
              </w:rPr>
              <w:t>政务网设备部分</w:t>
            </w:r>
          </w:p>
        </w:tc>
      </w:tr>
      <w:tr w14:paraId="52077FD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13719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9C78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核心交换机</w:t>
            </w:r>
          </w:p>
        </w:tc>
        <w:tc>
          <w:tcPr>
            <w:tcW w:w="5717" w:type="dxa"/>
            <w:tcBorders>
              <w:top w:val="nil"/>
              <w:left w:val="nil"/>
              <w:bottom w:val="single" w:color="auto" w:sz="4" w:space="0"/>
              <w:right w:val="single" w:color="auto" w:sz="4" w:space="0"/>
            </w:tcBorders>
            <w:vAlign w:val="center"/>
          </w:tcPr>
          <w:p w14:paraId="58FD7B7F">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51Tbps，包转发率≥36000Mpps；主控槽位≥2个，业务槽位数≥3个，主控、电源、接口模块、风扇等关键部件均支持热插拔，其中主控板需自带业务端口；配备主控≥2个、万兆光口≥8个、千兆光口≥24个、千兆电口≥24个；含堆叠线缆；</w:t>
            </w:r>
          </w:p>
          <w:p w14:paraId="7B070136">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2.支持硬件双向转发检测(BFD)，最小时间间隔≤3ms；</w:t>
            </w:r>
          </w:p>
          <w:p w14:paraId="147CC50F">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3.配备CPU防攻击保护功能，支持对协议攻击报文的识别和拦截；</w:t>
            </w:r>
          </w:p>
          <w:p w14:paraId="579E3980">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4.支持对VRRP、BGP、IS-IS、OSPF、静态路由等协议的快速故障检测，故障检测时间≤50ms；</w:t>
            </w:r>
          </w:p>
          <w:p w14:paraId="5922A57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5.支持基于UCL用户组，组内用户不论在何处登录获得任何IP地址，都拥有相同的访问权限；</w:t>
            </w:r>
          </w:p>
          <w:p w14:paraId="0B75F459">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静态聚合链路备份与动态聚合链路备份，当参与聚合的端口中某个选中端口down掉时，其它选中端口能够接替该端口正常工作，收敛时间≤15ms；(提供带有CMA或CNAS标识的第三方权威检测机构出具的检测报告扫描件证明)</w:t>
            </w:r>
          </w:p>
          <w:p w14:paraId="73BD1897">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▲7.支持一虚多技术，可实现创建、删除、单板划入、单板划出交换机，最大支持≥5个虚拟交换机；(提供带有CMA或CNAS标识的第三方权威检测机构出具的检测报告扫描件证明)</w:t>
            </w:r>
          </w:p>
          <w:p w14:paraId="2116BD38">
            <w:pPr>
              <w:widowControl/>
              <w:spacing w:line="400" w:lineRule="exact"/>
              <w:jc w:val="left"/>
              <w:rPr>
                <w:rFonts w:ascii="宋体" w:hAnsi="宋体" w:cs="Arial"/>
                <w:color w:val="auto"/>
                <w:sz w:val="18"/>
                <w:szCs w:val="18"/>
              </w:rPr>
            </w:pPr>
            <w:r>
              <w:rPr>
                <w:rFonts w:hint="eastAsia" w:ascii="宋体" w:hAnsi="宋体" w:cs="Arial"/>
                <w:color w:val="auto"/>
                <w:sz w:val="18"/>
                <w:szCs w:val="18"/>
              </w:rPr>
              <w:t>8.虚拟交换机支持二层流量正常转发，不同虚拟交换机的VLAN相互独立、流量隔离；</w:t>
            </w:r>
          </w:p>
          <w:p w14:paraId="5C4F56B1">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9.支持以单板为颗粒度对接口、带宽资源进行划入/划出的精细化分配；</w:t>
            </w:r>
          </w:p>
          <w:p w14:paraId="074ECC4E">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10.支持整网管理，管理设备上能查看所有成员设备，如交换、路由、AC、AP、防火墙等；</w:t>
            </w:r>
          </w:p>
          <w:p w14:paraId="2E3A0B7D">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11.支持风扇冗余，其中一个风扇故障，系统温度保持正常，流量不丢包；</w:t>
            </w:r>
          </w:p>
          <w:p w14:paraId="46A4D857">
            <w:pPr>
              <w:widowControl/>
              <w:spacing w:line="400" w:lineRule="exact"/>
              <w:jc w:val="left"/>
              <w:rPr>
                <w:rFonts w:ascii="宋体" w:hAnsi="宋体" w:cs="Arial"/>
                <w:color w:val="auto"/>
                <w:sz w:val="18"/>
                <w:szCs w:val="18"/>
              </w:rPr>
            </w:pPr>
            <w:r>
              <w:rPr>
                <w:rFonts w:hint="eastAsia" w:ascii="宋体" w:hAnsi="宋体" w:cs="Arial"/>
                <w:color w:val="auto"/>
                <w:sz w:val="18"/>
                <w:szCs w:val="18"/>
              </w:rPr>
              <w:t>12.支持电源冗余，拔出一块电源，单板或设备都未断电，流量不丢包。</w:t>
            </w:r>
          </w:p>
        </w:tc>
        <w:tc>
          <w:tcPr>
            <w:tcW w:w="900" w:type="dxa"/>
            <w:tcBorders>
              <w:top w:val="nil"/>
              <w:left w:val="nil"/>
              <w:bottom w:val="single" w:color="auto" w:sz="4" w:space="0"/>
              <w:right w:val="single" w:color="auto" w:sz="4" w:space="0"/>
            </w:tcBorders>
            <w:vAlign w:val="center"/>
          </w:tcPr>
          <w:p w14:paraId="3D0C61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F170A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02C8F8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4C156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081F05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48 口接入交换机</w:t>
            </w:r>
          </w:p>
        </w:tc>
        <w:tc>
          <w:tcPr>
            <w:tcW w:w="5717" w:type="dxa"/>
            <w:tcBorders>
              <w:top w:val="nil"/>
              <w:left w:val="nil"/>
              <w:bottom w:val="single" w:color="auto" w:sz="4" w:space="0"/>
              <w:right w:val="single" w:color="auto" w:sz="4" w:space="0"/>
            </w:tcBorders>
            <w:vAlign w:val="center"/>
          </w:tcPr>
          <w:p w14:paraId="7C8DD8E4">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1.交换容量≥672Gbps，包转发率≥166Mpps；配备≥48个千兆电口、≥4个千兆SFP+口；</w:t>
            </w:r>
          </w:p>
          <w:p w14:paraId="249A9BFD">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06C4C1F6">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672E442B">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3850E671">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29311268">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5A9BE3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97FA0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C6EB24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8B28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DA5422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口接入交换机</w:t>
            </w:r>
          </w:p>
        </w:tc>
        <w:tc>
          <w:tcPr>
            <w:tcW w:w="5717" w:type="dxa"/>
            <w:tcBorders>
              <w:top w:val="nil"/>
              <w:left w:val="nil"/>
              <w:bottom w:val="single" w:color="auto" w:sz="4" w:space="0"/>
              <w:right w:val="single" w:color="auto" w:sz="4" w:space="0"/>
            </w:tcBorders>
            <w:vAlign w:val="center"/>
          </w:tcPr>
          <w:p w14:paraId="6AFAC665">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1.交换容量≥672Gbps；包转发率≥144Mpps；配备≥24个千兆电口、≥4个千兆SFP+口；</w:t>
            </w:r>
          </w:p>
          <w:p w14:paraId="7DC93B78">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68BB3494">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6A4F5C8D">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3757464B">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07E6C36F">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3AE42B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5E7227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6E53DF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B930F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4986D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千兆单模光模块</w:t>
            </w:r>
          </w:p>
        </w:tc>
        <w:tc>
          <w:tcPr>
            <w:tcW w:w="5717" w:type="dxa"/>
            <w:tcBorders>
              <w:top w:val="nil"/>
              <w:left w:val="nil"/>
              <w:bottom w:val="single" w:color="auto" w:sz="4" w:space="0"/>
              <w:right w:val="single" w:color="auto" w:sz="4" w:space="0"/>
            </w:tcBorders>
            <w:vAlign w:val="center"/>
          </w:tcPr>
          <w:p w14:paraId="46A49502">
            <w:pPr>
              <w:widowControl/>
              <w:spacing w:line="400" w:lineRule="exact"/>
              <w:jc w:val="left"/>
              <w:rPr>
                <w:rFonts w:ascii="宋体" w:hAnsi="宋体" w:cs="Arial"/>
                <w:color w:val="auto"/>
                <w:sz w:val="18"/>
                <w:szCs w:val="18"/>
              </w:rPr>
            </w:pPr>
            <w:r>
              <w:rPr>
                <w:rFonts w:ascii="宋体" w:hAnsi="宋体" w:cs="Arial"/>
                <w:color w:val="auto"/>
                <w:sz w:val="18"/>
                <w:szCs w:val="18"/>
              </w:rPr>
              <w:t>SFP千兆光模块，与交换机匹配。</w:t>
            </w:r>
          </w:p>
        </w:tc>
        <w:tc>
          <w:tcPr>
            <w:tcW w:w="900" w:type="dxa"/>
            <w:tcBorders>
              <w:top w:val="nil"/>
              <w:left w:val="nil"/>
              <w:bottom w:val="single" w:color="auto" w:sz="4" w:space="0"/>
              <w:right w:val="single" w:color="auto" w:sz="4" w:space="0"/>
            </w:tcBorders>
            <w:vAlign w:val="center"/>
          </w:tcPr>
          <w:p w14:paraId="32F536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042F55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1DCBCD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3878A98">
            <w:pPr>
              <w:widowControl/>
              <w:spacing w:line="400" w:lineRule="exact"/>
              <w:jc w:val="left"/>
              <w:rPr>
                <w:rFonts w:ascii="宋体" w:hAnsi="宋体" w:cs="Arial"/>
                <w:color w:val="auto"/>
                <w:sz w:val="18"/>
                <w:szCs w:val="18"/>
              </w:rPr>
            </w:pPr>
            <w:r>
              <w:rPr>
                <w:rFonts w:hint="eastAsia" w:ascii="宋体" w:hAnsi="宋体" w:cs="Arial"/>
                <w:color w:val="auto"/>
                <w:sz w:val="18"/>
                <w:szCs w:val="18"/>
              </w:rPr>
              <w:t>互联网设备部分</w:t>
            </w:r>
          </w:p>
        </w:tc>
      </w:tr>
      <w:tr w14:paraId="5BEEF7E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4552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A8871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无线控制器</w:t>
            </w:r>
          </w:p>
        </w:tc>
        <w:tc>
          <w:tcPr>
            <w:tcW w:w="5717" w:type="dxa"/>
            <w:tcBorders>
              <w:top w:val="nil"/>
              <w:left w:val="nil"/>
              <w:bottom w:val="single" w:color="auto" w:sz="4" w:space="0"/>
              <w:right w:val="single" w:color="auto" w:sz="4" w:space="0"/>
            </w:tcBorders>
            <w:vAlign w:val="center"/>
          </w:tcPr>
          <w:p w14:paraId="1FF61695">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1.配备≥9个千兆电口，≥1个万兆光口；吞吐量≥3Gbps，最大管理AP数≥32个；</w:t>
            </w:r>
          </w:p>
          <w:p w14:paraId="5CBB61B1">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2.支持信道智能切换；支持智能AP负载分担；支持7层移动安全检测/防御；</w:t>
            </w:r>
          </w:p>
          <w:p w14:paraId="57368A69">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3.支持MAC地址认证、802.1x认证、Portal认证、MAC+Portal混合认证；内置Portal网页认证及802.1X（dot1x）认证服务器；</w:t>
            </w:r>
          </w:p>
          <w:p w14:paraId="67EB1EC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4.支持WPA、WEP加密方式，TKIP、CCMP加密算法；</w:t>
            </w:r>
          </w:p>
          <w:p w14:paraId="7F7FC20F">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5.支持CAPWAP控制协议，AP和AC间支持L2/L3层网络拓扑部署，支持DTLS协议对管理隧道加密。</w:t>
            </w:r>
          </w:p>
        </w:tc>
        <w:tc>
          <w:tcPr>
            <w:tcW w:w="900" w:type="dxa"/>
            <w:tcBorders>
              <w:top w:val="nil"/>
              <w:left w:val="nil"/>
              <w:bottom w:val="single" w:color="auto" w:sz="4" w:space="0"/>
              <w:right w:val="single" w:color="auto" w:sz="4" w:space="0"/>
            </w:tcBorders>
            <w:vAlign w:val="center"/>
          </w:tcPr>
          <w:p w14:paraId="6344C3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005DC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3C73A5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A8BE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98E97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POE 交换机</w:t>
            </w:r>
          </w:p>
        </w:tc>
        <w:tc>
          <w:tcPr>
            <w:tcW w:w="5717" w:type="dxa"/>
            <w:tcBorders>
              <w:top w:val="nil"/>
              <w:left w:val="nil"/>
              <w:bottom w:val="single" w:color="auto" w:sz="4" w:space="0"/>
              <w:right w:val="single" w:color="auto" w:sz="4" w:space="0"/>
            </w:tcBorders>
            <w:vAlign w:val="center"/>
          </w:tcPr>
          <w:p w14:paraId="43E7FEE5">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1.配备≥24个千兆电口、≥4个千兆光口、≥1个console口；支持PoE+，单端口功率≥35W，PoE功率≥400W；交换容量≥596Gbps，包转发率≥90Mpps；</w:t>
            </w:r>
          </w:p>
          <w:p w14:paraId="16A0A1AD">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2.支持堆叠技术；支持ERPS环网协议；支持端口限速、休眠节能；支持MAC地址管控、IP+MAC+PORT绑定；支持广播报文抑制；</w:t>
            </w:r>
          </w:p>
          <w:p w14:paraId="2C9239B3">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3.支持POE供电管理、功率管理等；</w:t>
            </w:r>
          </w:p>
          <w:p w14:paraId="523A9EE7">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4.支持VLAN划分、802.3x、动态链路聚合、静态端口聚合、IGMPSnooping等功能；</w:t>
            </w:r>
          </w:p>
          <w:p w14:paraId="40D50C1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5.支持STP/RSTP/MSTP链路保护，内置端口环回测试、线缆故障检测、远端环回检测等；</w:t>
            </w:r>
          </w:p>
          <w:p w14:paraId="4E5C2F8A">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6.支持IPv4/IPv6静态路由、双协议栈静态路由，支持DHCPRelay、DHCPClient、DHCPSnooping。</w:t>
            </w:r>
          </w:p>
        </w:tc>
        <w:tc>
          <w:tcPr>
            <w:tcW w:w="900" w:type="dxa"/>
            <w:tcBorders>
              <w:top w:val="nil"/>
              <w:left w:val="nil"/>
              <w:bottom w:val="single" w:color="auto" w:sz="4" w:space="0"/>
              <w:right w:val="single" w:color="auto" w:sz="4" w:space="0"/>
            </w:tcBorders>
            <w:vAlign w:val="center"/>
          </w:tcPr>
          <w:p w14:paraId="4198AD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94414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191AB7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172C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D14CF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吸顶 AP</w:t>
            </w:r>
          </w:p>
        </w:tc>
        <w:tc>
          <w:tcPr>
            <w:tcW w:w="5717" w:type="dxa"/>
            <w:tcBorders>
              <w:top w:val="nil"/>
              <w:left w:val="nil"/>
              <w:bottom w:val="single" w:color="auto" w:sz="4" w:space="0"/>
              <w:right w:val="single" w:color="auto" w:sz="4" w:space="0"/>
            </w:tcBorders>
            <w:vAlign w:val="center"/>
          </w:tcPr>
          <w:p w14:paraId="5FFCCD54">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1.配备≥1个千兆电口(支持POE)；采用双频四流，可同时工作在802.11a/b/g/n/ac/acwave2/ax模式；</w:t>
            </w:r>
          </w:p>
          <w:p w14:paraId="2F15CAFD">
            <w:pPr>
              <w:widowControl/>
              <w:spacing w:line="400" w:lineRule="exact"/>
              <w:jc w:val="left"/>
              <w:rPr>
                <w:rFonts w:ascii="宋体" w:hAnsi="宋体" w:cs="Arial"/>
                <w:color w:val="auto"/>
                <w:sz w:val="18"/>
                <w:szCs w:val="18"/>
              </w:rPr>
            </w:pPr>
            <w:r>
              <w:rPr>
                <w:rFonts w:hint="eastAsia" w:ascii="宋体" w:hAnsi="宋体" w:cs="Arial"/>
                <w:color w:val="auto"/>
                <w:sz w:val="18"/>
                <w:szCs w:val="18"/>
              </w:rPr>
              <w:t>2.整机速率≥2.9Gbps；最大接入用户数≥256；</w:t>
            </w:r>
          </w:p>
          <w:p w14:paraId="484EA7E1">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3.支持802.1x、MAC地址、PSK、Portal等认证方式；</w:t>
            </w:r>
          </w:p>
          <w:p w14:paraId="54E4C855">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4.支持基于流量、用户的负载均衡；</w:t>
            </w:r>
          </w:p>
          <w:p w14:paraId="095C8F5C">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5.支持集中运维管理；</w:t>
            </w:r>
          </w:p>
          <w:p w14:paraId="44EDFFC6">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6.支持多用户视频点播并发，至少支持≥50个终端同时直播不卡顿；</w:t>
            </w:r>
          </w:p>
          <w:p w14:paraId="125AD791">
            <w:pPr>
              <w:widowControl/>
              <w:spacing w:line="400" w:lineRule="exact"/>
              <w:jc w:val="left"/>
              <w:rPr>
                <w:rFonts w:ascii="宋体" w:hAnsi="宋体" w:cs="Arial"/>
                <w:color w:val="auto"/>
                <w:sz w:val="18"/>
                <w:szCs w:val="18"/>
              </w:rPr>
            </w:pPr>
            <w:r>
              <w:rPr>
                <w:rFonts w:hint="eastAsia" w:ascii="宋体" w:hAnsi="宋体" w:cs="Arial"/>
                <w:color w:val="auto"/>
                <w:sz w:val="18"/>
                <w:szCs w:val="18"/>
              </w:rPr>
              <w:t>7.多频多用户性能需满足：≥50个终端同时接入混合频段，整机上行≥900Mbps、下行≥850Mbps；单频单用户性能需满足：5GHz频段单用户上行≥900Mbps、下行≥400Mbps。</w:t>
            </w:r>
          </w:p>
        </w:tc>
        <w:tc>
          <w:tcPr>
            <w:tcW w:w="900" w:type="dxa"/>
            <w:tcBorders>
              <w:top w:val="nil"/>
              <w:left w:val="nil"/>
              <w:bottom w:val="single" w:color="auto" w:sz="4" w:space="0"/>
              <w:right w:val="single" w:color="auto" w:sz="4" w:space="0"/>
            </w:tcBorders>
            <w:vAlign w:val="center"/>
          </w:tcPr>
          <w:p w14:paraId="420CA0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97466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B6CE57A">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5849C4D">
            <w:pPr>
              <w:widowControl/>
              <w:spacing w:line="400" w:lineRule="exact"/>
              <w:jc w:val="left"/>
              <w:rPr>
                <w:rFonts w:ascii="宋体" w:hAnsi="宋体" w:cs="Arial"/>
                <w:color w:val="auto"/>
                <w:sz w:val="18"/>
                <w:szCs w:val="18"/>
              </w:rPr>
            </w:pPr>
            <w:r>
              <w:rPr>
                <w:rFonts w:hint="eastAsia" w:ascii="宋体" w:hAnsi="宋体" w:cs="Arial"/>
                <w:color w:val="auto"/>
                <w:sz w:val="18"/>
                <w:szCs w:val="18"/>
              </w:rPr>
              <w:t>设备网设备部分</w:t>
            </w:r>
          </w:p>
        </w:tc>
      </w:tr>
      <w:tr w14:paraId="78967C4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AC59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DEAD2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 口接入交换机</w:t>
            </w:r>
          </w:p>
        </w:tc>
        <w:tc>
          <w:tcPr>
            <w:tcW w:w="5717" w:type="dxa"/>
            <w:tcBorders>
              <w:top w:val="nil"/>
              <w:left w:val="nil"/>
              <w:bottom w:val="single" w:color="auto" w:sz="4" w:space="0"/>
              <w:right w:val="single" w:color="auto" w:sz="4" w:space="0"/>
            </w:tcBorders>
            <w:vAlign w:val="center"/>
          </w:tcPr>
          <w:p w14:paraId="608607B3">
            <w:pPr>
              <w:widowControl/>
              <w:spacing w:line="400" w:lineRule="exact"/>
              <w:jc w:val="left"/>
              <w:rPr>
                <w:rFonts w:ascii="宋体" w:hAnsi="宋体" w:cs="Arial"/>
                <w:color w:val="auto"/>
                <w:sz w:val="18"/>
                <w:szCs w:val="18"/>
              </w:rPr>
            </w:pPr>
            <w:r>
              <w:rPr>
                <w:rFonts w:hint="eastAsia" w:ascii="宋体" w:hAnsi="宋体" w:cs="Arial"/>
                <w:color w:val="auto"/>
                <w:sz w:val="18"/>
                <w:szCs w:val="18"/>
              </w:rPr>
              <w:t>1.交换容量≥672Gbps；包转发率≥144Mpps；配备≥24个千兆电口、≥4个千兆SFP+口；</w:t>
            </w:r>
          </w:p>
          <w:p w14:paraId="5409F45A">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2.支持IPv4/IPv6静态路由、支持RIP/RIPng，OSPFV2/V3；支持G.8032以太网环保护协议（ERPS）；</w:t>
            </w:r>
          </w:p>
          <w:p w14:paraId="3CFDF05B">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3.支持基于端口的认证和基于MAC的认证；支持端口休眠；支10Kv业务端口防雷；</w:t>
            </w:r>
          </w:p>
          <w:p w14:paraId="502F4092">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4.支持sFlow功能，可对网络流量采样进行统计分析和控制；</w:t>
            </w:r>
          </w:p>
          <w:p w14:paraId="36795322">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5.内置图形化管理，支持设备配置、命令下发、版本升级等；</w:t>
            </w:r>
          </w:p>
          <w:p w14:paraId="04AC081B">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6.支持进程分布优化，允许用户将不同进程指定到不同CPU上运行，充分利用CPU和内存资源。</w:t>
            </w:r>
          </w:p>
        </w:tc>
        <w:tc>
          <w:tcPr>
            <w:tcW w:w="900" w:type="dxa"/>
            <w:tcBorders>
              <w:top w:val="nil"/>
              <w:left w:val="nil"/>
              <w:bottom w:val="single" w:color="auto" w:sz="4" w:space="0"/>
              <w:right w:val="single" w:color="auto" w:sz="4" w:space="0"/>
            </w:tcBorders>
            <w:vAlign w:val="center"/>
          </w:tcPr>
          <w:p w14:paraId="56BF94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E9EAE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27A968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2B03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D420A8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千兆单模光模块</w:t>
            </w:r>
          </w:p>
        </w:tc>
        <w:tc>
          <w:tcPr>
            <w:tcW w:w="5717" w:type="dxa"/>
            <w:tcBorders>
              <w:top w:val="nil"/>
              <w:left w:val="nil"/>
              <w:bottom w:val="single" w:color="auto" w:sz="4" w:space="0"/>
              <w:right w:val="single" w:color="auto" w:sz="4" w:space="0"/>
            </w:tcBorders>
            <w:vAlign w:val="center"/>
          </w:tcPr>
          <w:p w14:paraId="799B2480">
            <w:pPr>
              <w:widowControl/>
              <w:spacing w:line="400" w:lineRule="exact"/>
              <w:jc w:val="left"/>
              <w:rPr>
                <w:rFonts w:ascii="宋体" w:hAnsi="宋体" w:cs="Arial"/>
                <w:color w:val="auto"/>
                <w:sz w:val="18"/>
                <w:szCs w:val="18"/>
              </w:rPr>
            </w:pPr>
            <w:r>
              <w:rPr>
                <w:rFonts w:ascii="宋体" w:hAnsi="宋体" w:cs="Arial"/>
                <w:color w:val="auto"/>
                <w:sz w:val="18"/>
                <w:szCs w:val="18"/>
              </w:rPr>
              <w:t>SFP千兆光模块，与交换机匹配。</w:t>
            </w:r>
          </w:p>
        </w:tc>
        <w:tc>
          <w:tcPr>
            <w:tcW w:w="900" w:type="dxa"/>
            <w:tcBorders>
              <w:top w:val="nil"/>
              <w:left w:val="nil"/>
              <w:bottom w:val="single" w:color="auto" w:sz="4" w:space="0"/>
              <w:right w:val="single" w:color="auto" w:sz="4" w:space="0"/>
            </w:tcBorders>
            <w:vAlign w:val="center"/>
          </w:tcPr>
          <w:p w14:paraId="4FD4309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1A5824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6277DCE">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335E890">
            <w:pPr>
              <w:widowControl/>
              <w:spacing w:line="400" w:lineRule="exact"/>
              <w:jc w:val="left"/>
              <w:rPr>
                <w:rFonts w:ascii="宋体" w:hAnsi="宋体" w:cs="Arial"/>
                <w:color w:val="auto"/>
                <w:sz w:val="18"/>
                <w:szCs w:val="18"/>
              </w:rPr>
            </w:pPr>
            <w:r>
              <w:rPr>
                <w:rFonts w:hint="eastAsia" w:ascii="宋体" w:hAnsi="宋体" w:cs="Arial"/>
                <w:color w:val="auto"/>
                <w:sz w:val="18"/>
                <w:szCs w:val="18"/>
              </w:rPr>
              <w:t>商密安全部分</w:t>
            </w:r>
          </w:p>
        </w:tc>
      </w:tr>
      <w:tr w14:paraId="542ABE1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41229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7BF65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安全浏览器</w:t>
            </w:r>
          </w:p>
        </w:tc>
        <w:tc>
          <w:tcPr>
            <w:tcW w:w="5717" w:type="dxa"/>
            <w:tcBorders>
              <w:top w:val="nil"/>
              <w:left w:val="nil"/>
              <w:bottom w:val="single" w:color="auto" w:sz="4" w:space="0"/>
              <w:right w:val="single" w:color="auto" w:sz="4" w:space="0"/>
            </w:tcBorders>
            <w:vAlign w:val="center"/>
          </w:tcPr>
          <w:p w14:paraId="5FB4F6F8">
            <w:pPr>
              <w:widowControl/>
              <w:spacing w:line="400" w:lineRule="exact"/>
              <w:jc w:val="left"/>
              <w:rPr>
                <w:rFonts w:ascii="宋体" w:hAnsi="宋体" w:cs="Arial"/>
                <w:color w:val="auto"/>
                <w:sz w:val="18"/>
                <w:szCs w:val="18"/>
              </w:rPr>
            </w:pPr>
            <w:r>
              <w:rPr>
                <w:rFonts w:hint="eastAsia" w:ascii="宋体" w:hAnsi="宋体" w:cs="Arial"/>
                <w:color w:val="auto"/>
                <w:sz w:val="18"/>
                <w:szCs w:val="18"/>
              </w:rPr>
              <w:t>1.支持国密算法SM2、SM3、SM4；在Chrome内核、IE内核下均支持国密SSL协议；</w:t>
            </w:r>
          </w:p>
          <w:p w14:paraId="35DC2D52">
            <w:pPr>
              <w:widowControl/>
              <w:spacing w:line="400" w:lineRule="exact"/>
              <w:jc w:val="left"/>
              <w:rPr>
                <w:rFonts w:ascii="宋体" w:hAnsi="宋体" w:cs="Arial"/>
                <w:color w:val="auto"/>
                <w:sz w:val="18"/>
                <w:szCs w:val="18"/>
              </w:rPr>
            </w:pPr>
            <w:r>
              <w:rPr>
                <w:rFonts w:hint="eastAsia" w:ascii="宋体" w:hAnsi="宋体" w:cs="Arial"/>
                <w:color w:val="auto"/>
                <w:sz w:val="18"/>
                <w:szCs w:val="18"/>
              </w:rPr>
              <w:t>2.Chrome内核需支持NPAPI、PPAPI；支持IE/Chrome内核自动切换与Cookie共享；可按应用设置选用Chrome内核、IE内核，并可按应用设置IE内核版本；</w:t>
            </w:r>
          </w:p>
          <w:p w14:paraId="14976BF2">
            <w:pPr>
              <w:widowControl/>
              <w:spacing w:line="400" w:lineRule="exact"/>
              <w:jc w:val="left"/>
              <w:rPr>
                <w:rFonts w:ascii="宋体" w:hAnsi="宋体" w:cs="Arial"/>
                <w:color w:val="auto"/>
                <w:sz w:val="18"/>
                <w:szCs w:val="18"/>
              </w:rPr>
            </w:pPr>
            <w:r>
              <w:rPr>
                <w:rFonts w:hint="eastAsia" w:ascii="宋体" w:hAnsi="宋体" w:cs="Arial"/>
                <w:color w:val="auto"/>
                <w:sz w:val="18"/>
                <w:szCs w:val="18"/>
              </w:rPr>
              <w:t>3.浏览器打开任意新闻页面，需不向境外发送数据；</w:t>
            </w:r>
          </w:p>
          <w:p w14:paraId="0A888AF8">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4.支持龙芯、兆芯、飞腾、华为鲲鹏等国产CPU；</w:t>
            </w:r>
          </w:p>
          <w:p w14:paraId="6CE20D2C">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5.支持银河麒麟、中标麒麟、统信UOS、麒麟信安等国产操作系统；</w:t>
            </w:r>
          </w:p>
          <w:p w14:paraId="04AE222F">
            <w:pPr>
              <w:widowControl/>
              <w:spacing w:line="400" w:lineRule="exact"/>
              <w:jc w:val="left"/>
              <w:rPr>
                <w:rFonts w:ascii="宋体" w:hAnsi="宋体" w:cs="Arial"/>
                <w:color w:val="auto"/>
                <w:sz w:val="18"/>
                <w:szCs w:val="18"/>
              </w:rPr>
            </w:pPr>
            <w:r>
              <w:rPr>
                <w:rFonts w:hint="eastAsia" w:ascii="宋体" w:hAnsi="宋体" w:cs="Arial"/>
                <w:color w:val="auto"/>
                <w:sz w:val="18"/>
                <w:szCs w:val="18"/>
              </w:rPr>
              <w:t>▲6.通过商用密码产品认证。（提供认证证书扫描件证明）</w:t>
            </w:r>
          </w:p>
        </w:tc>
        <w:tc>
          <w:tcPr>
            <w:tcW w:w="900" w:type="dxa"/>
            <w:tcBorders>
              <w:top w:val="nil"/>
              <w:left w:val="nil"/>
              <w:bottom w:val="single" w:color="auto" w:sz="4" w:space="0"/>
              <w:right w:val="single" w:color="auto" w:sz="4" w:space="0"/>
            </w:tcBorders>
            <w:vAlign w:val="center"/>
          </w:tcPr>
          <w:p w14:paraId="27620C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788BF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1CED06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6CABD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AE759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USBKey（含数字证书）</w:t>
            </w:r>
          </w:p>
        </w:tc>
        <w:tc>
          <w:tcPr>
            <w:tcW w:w="5717" w:type="dxa"/>
            <w:tcBorders>
              <w:top w:val="nil"/>
              <w:left w:val="nil"/>
              <w:bottom w:val="single" w:color="auto" w:sz="4" w:space="0"/>
              <w:right w:val="single" w:color="auto" w:sz="4" w:space="0"/>
            </w:tcBorders>
            <w:vAlign w:val="center"/>
          </w:tcPr>
          <w:p w14:paraId="6D41F6E8">
            <w:pPr>
              <w:widowControl/>
              <w:spacing w:line="400" w:lineRule="exact"/>
              <w:jc w:val="left"/>
              <w:rPr>
                <w:rFonts w:ascii="宋体" w:hAnsi="宋体" w:cs="Arial"/>
                <w:color w:val="auto"/>
                <w:sz w:val="18"/>
                <w:szCs w:val="18"/>
              </w:rPr>
            </w:pPr>
            <w:r>
              <w:rPr>
                <w:rFonts w:hint="eastAsia" w:ascii="宋体" w:hAnsi="宋体" w:cs="Arial"/>
                <w:color w:val="auto"/>
                <w:sz w:val="18"/>
                <w:szCs w:val="18"/>
              </w:rPr>
              <w:t>1.采用国家密码管理局认证的国产智能卡芯片；支持硬件数字签名；内置硬件随机数发生器；支持硬件生成国密密钥对；</w:t>
            </w:r>
          </w:p>
          <w:p w14:paraId="1692710A">
            <w:pPr>
              <w:widowControl/>
              <w:spacing w:line="400" w:lineRule="exact"/>
              <w:jc w:val="left"/>
              <w:rPr>
                <w:rFonts w:ascii="宋体" w:hAnsi="宋体" w:cs="Arial"/>
                <w:color w:val="auto"/>
                <w:sz w:val="18"/>
                <w:szCs w:val="18"/>
              </w:rPr>
            </w:pPr>
            <w:r>
              <w:rPr>
                <w:rFonts w:hint="eastAsia" w:ascii="宋体" w:hAnsi="宋体" w:cs="Arial"/>
                <w:color w:val="auto"/>
                <w:sz w:val="18"/>
                <w:szCs w:val="18"/>
              </w:rPr>
              <w:t>2.符合《智能IC卡及智能密码钥匙密码应用接口规范》；支持SSLv3，IPSec协议；支持X.509 V3数字证书存储标准及格式；</w:t>
            </w:r>
          </w:p>
          <w:p w14:paraId="2EEE7275">
            <w:pPr>
              <w:widowControl/>
              <w:spacing w:line="400" w:lineRule="exact"/>
              <w:jc w:val="left"/>
              <w:rPr>
                <w:rFonts w:ascii="宋体" w:hAnsi="宋体" w:cs="Arial"/>
                <w:color w:val="auto"/>
                <w:sz w:val="18"/>
                <w:szCs w:val="18"/>
              </w:rPr>
            </w:pPr>
            <w:r>
              <w:rPr>
                <w:rFonts w:hint="eastAsia" w:ascii="宋体" w:hAnsi="宋体" w:cs="Arial"/>
                <w:color w:val="auto"/>
                <w:sz w:val="18"/>
                <w:szCs w:val="18"/>
              </w:rPr>
              <w:t>3.USB供电无需额外电源；支持USB 2.0，兼容USB 1.1、USB 3.0；</w:t>
            </w:r>
          </w:p>
          <w:p w14:paraId="69CBF53B">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4.支持Windows、Linux、MacOS、麒麟、统信等操作系统；</w:t>
            </w:r>
          </w:p>
          <w:p w14:paraId="200B5680">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5.内置安全算法，如SM1/SM2/SM3/SM4、SSF33、RSA（2048bit\1024bit\512bit）、DES（56bit\112bit\168bit）、AES（128bit\192bit\256bit）、MD5/SHA-1/SHA-256；</w:t>
            </w:r>
          </w:p>
          <w:p w14:paraId="6665BF64">
            <w:pPr>
              <w:widowControl/>
              <w:spacing w:line="400" w:lineRule="exact"/>
              <w:jc w:val="left"/>
              <w:rPr>
                <w:rFonts w:ascii="宋体" w:hAnsi="宋体" w:cs="Arial"/>
                <w:color w:val="auto"/>
                <w:sz w:val="18"/>
                <w:szCs w:val="18"/>
              </w:rPr>
            </w:pPr>
            <w:r>
              <w:rPr>
                <w:rFonts w:hint="eastAsia" w:ascii="宋体" w:hAnsi="宋体" w:cs="Arial"/>
                <w:color w:val="auto"/>
                <w:sz w:val="18"/>
                <w:szCs w:val="18"/>
              </w:rPr>
              <w:t>6.数据存储时间≥10年；可擦写次≥10万次；</w:t>
            </w:r>
          </w:p>
          <w:p w14:paraId="1CEAE080">
            <w:pPr>
              <w:widowControl/>
              <w:spacing w:line="400" w:lineRule="exact"/>
              <w:jc w:val="left"/>
              <w:rPr>
                <w:rFonts w:ascii="宋体" w:hAnsi="宋体" w:cs="Arial"/>
                <w:color w:val="auto"/>
                <w:sz w:val="18"/>
                <w:szCs w:val="18"/>
              </w:rPr>
            </w:pPr>
            <w:r>
              <w:rPr>
                <w:rFonts w:hint="eastAsia" w:ascii="宋体" w:hAnsi="宋体" w:cs="Arial"/>
                <w:color w:val="auto"/>
                <w:sz w:val="18"/>
                <w:szCs w:val="18"/>
              </w:rPr>
              <w:t>7.生成SM2密钥对≤200ms，SM2签名≤28ms，SM2验签≤50ms，SM2加密≥8489bps，SM2解密≥21655bps，SM4加解密≥110080bps，SM3杂凑≥281822bps；</w:t>
            </w:r>
          </w:p>
          <w:p w14:paraId="0866D467">
            <w:pPr>
              <w:widowControl/>
              <w:spacing w:line="400" w:lineRule="exact"/>
              <w:jc w:val="left"/>
              <w:rPr>
                <w:rFonts w:ascii="宋体" w:hAnsi="宋体" w:cs="Arial"/>
                <w:color w:val="auto"/>
                <w:sz w:val="18"/>
                <w:szCs w:val="18"/>
              </w:rPr>
            </w:pPr>
            <w:r>
              <w:rPr>
                <w:rFonts w:hint="eastAsia" w:ascii="宋体" w:hAnsi="宋体" w:cs="Arial"/>
                <w:color w:val="auto"/>
                <w:sz w:val="18"/>
                <w:szCs w:val="18"/>
              </w:rPr>
              <w:t>▲8.通过商用密码产品认证。（提供认证证书扫描件证明）</w:t>
            </w:r>
          </w:p>
        </w:tc>
        <w:tc>
          <w:tcPr>
            <w:tcW w:w="900" w:type="dxa"/>
            <w:tcBorders>
              <w:top w:val="nil"/>
              <w:left w:val="nil"/>
              <w:bottom w:val="single" w:color="auto" w:sz="4" w:space="0"/>
              <w:right w:val="single" w:color="auto" w:sz="4" w:space="0"/>
            </w:tcBorders>
            <w:vAlign w:val="center"/>
          </w:tcPr>
          <w:p w14:paraId="6BEF35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52E477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2B83D2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61EDD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3923A9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SSLVPN 安全网关</w:t>
            </w:r>
          </w:p>
        </w:tc>
        <w:tc>
          <w:tcPr>
            <w:tcW w:w="5717" w:type="dxa"/>
            <w:tcBorders>
              <w:top w:val="nil"/>
              <w:left w:val="nil"/>
              <w:bottom w:val="single" w:color="auto" w:sz="4" w:space="0"/>
              <w:right w:val="single" w:color="auto" w:sz="4" w:space="0"/>
            </w:tcBorders>
            <w:vAlign w:val="center"/>
          </w:tcPr>
          <w:p w14:paraId="6E3E96BF">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1.标准机架式机箱，采用国产化软硬件；配备冗余电源；配备≥6个千兆电口；</w:t>
            </w:r>
          </w:p>
          <w:p w14:paraId="53428CAC">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2.支持256位SM2公钥密码算法，RSA公钥密码算法，SM4和AES等对称密码算法，SM3、SHA256摘要算法，SM9标识密码认证；</w:t>
            </w:r>
          </w:p>
          <w:p w14:paraId="2A82B68C">
            <w:pPr>
              <w:widowControl/>
              <w:spacing w:line="400" w:lineRule="exact"/>
              <w:jc w:val="left"/>
              <w:rPr>
                <w:rFonts w:ascii="宋体" w:hAnsi="宋体" w:cs="Arial"/>
                <w:color w:val="auto"/>
                <w:sz w:val="18"/>
                <w:szCs w:val="18"/>
              </w:rPr>
            </w:pPr>
            <w:r>
              <w:rPr>
                <w:rFonts w:hint="eastAsia" w:ascii="宋体" w:hAnsi="宋体" w:cs="Arial"/>
                <w:color w:val="auto"/>
                <w:sz w:val="18"/>
                <w:szCs w:val="18"/>
              </w:rPr>
              <w:t>3.SM2每秒新建连接数≥25000、并发连接数≥11000、吞吐量≥700Mbps；</w:t>
            </w:r>
          </w:p>
          <w:p w14:paraId="24E8E5B9">
            <w:pPr>
              <w:widowControl/>
              <w:spacing w:line="400" w:lineRule="exact"/>
              <w:jc w:val="left"/>
              <w:rPr>
                <w:rFonts w:ascii="宋体" w:hAnsi="宋体" w:cs="Arial"/>
                <w:color w:val="auto"/>
                <w:sz w:val="18"/>
                <w:szCs w:val="18"/>
              </w:rPr>
            </w:pPr>
            <w:r>
              <w:rPr>
                <w:rFonts w:hint="eastAsia" w:ascii="宋体" w:hAnsi="宋体" w:cs="Arial"/>
                <w:color w:val="auto"/>
                <w:sz w:val="18"/>
                <w:szCs w:val="18"/>
              </w:rPr>
              <w:t>4.兼容主流国产浏览器；不限制VPN客户端授权数量（用户数仅受限于设备性能）；</w:t>
            </w:r>
          </w:p>
          <w:p w14:paraId="406C0D01">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5.支持B/S应用，支持FTP、Telnet、远程桌面等C/S应用；</w:t>
            </w:r>
          </w:p>
          <w:p w14:paraId="6A14935F">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6.支持基于IP的所有应用，可创建多个SSL服务，保护不同应用服务；</w:t>
            </w:r>
          </w:p>
          <w:p w14:paraId="23B816C7">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7.支持隐藏应用服务地址；支持在有防火墙NAT映射情况下正常访问有重定向的网站；</w:t>
            </w:r>
          </w:p>
          <w:p w14:paraId="2C68F175">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8.支持SSL、IPSEC双安全协议；支持不同服务配备不同站点证书；支持配置RSA/SM2双站点证书，可根据客户端能力自适应；</w:t>
            </w:r>
          </w:p>
          <w:p w14:paraId="1C21F5C0">
            <w:pPr>
              <w:widowControl/>
              <w:spacing w:line="400" w:lineRule="exact"/>
              <w:jc w:val="left"/>
              <w:rPr>
                <w:rFonts w:ascii="宋体" w:hAnsi="宋体" w:cs="Arial"/>
                <w:color w:val="auto"/>
                <w:sz w:val="18"/>
                <w:szCs w:val="18"/>
              </w:rPr>
            </w:pPr>
            <w:r>
              <w:rPr>
                <w:rFonts w:hint="eastAsia" w:ascii="宋体" w:hAnsi="宋体" w:cs="Arial"/>
                <w:color w:val="auto"/>
                <w:sz w:val="18"/>
                <w:szCs w:val="18"/>
              </w:rPr>
              <w:t>9.管理员支持基于USBKEY和国密数字证书的双因子身份鉴别；</w:t>
            </w:r>
          </w:p>
          <w:p w14:paraId="1775746A">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10.支持系统管理员、系统操作员、系统审计员分管综合安全网关的不同功能并互相审计；</w:t>
            </w:r>
          </w:p>
          <w:p w14:paraId="6152416C">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11.支持设备一键自检、检测算法正确性、密钥完整性、随机数可靠性、设备状态等情况；</w:t>
            </w:r>
          </w:p>
          <w:p w14:paraId="282A69F8">
            <w:pPr>
              <w:widowControl/>
              <w:spacing w:line="400" w:lineRule="exact"/>
              <w:jc w:val="left"/>
              <w:rPr>
                <w:rFonts w:ascii="宋体" w:hAnsi="宋体" w:cs="Arial"/>
                <w:color w:val="auto"/>
                <w:sz w:val="18"/>
                <w:szCs w:val="18"/>
              </w:rPr>
            </w:pPr>
            <w:r>
              <w:rPr>
                <w:rFonts w:hint="eastAsia" w:ascii="宋体" w:hAnsi="宋体" w:cs="Arial"/>
                <w:color w:val="auto"/>
                <w:sz w:val="18"/>
                <w:szCs w:val="18"/>
              </w:rPr>
              <w:t>▲12.通过商用密码产品认证。（提供认证证书扫描件证明）</w:t>
            </w:r>
          </w:p>
        </w:tc>
        <w:tc>
          <w:tcPr>
            <w:tcW w:w="900" w:type="dxa"/>
            <w:tcBorders>
              <w:top w:val="nil"/>
              <w:left w:val="nil"/>
              <w:bottom w:val="single" w:color="auto" w:sz="4" w:space="0"/>
              <w:right w:val="single" w:color="auto" w:sz="4" w:space="0"/>
            </w:tcBorders>
            <w:vAlign w:val="center"/>
          </w:tcPr>
          <w:p w14:paraId="7E301A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6604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11B6EC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0FB8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3174F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签名验签服务器</w:t>
            </w:r>
          </w:p>
        </w:tc>
        <w:tc>
          <w:tcPr>
            <w:tcW w:w="5717" w:type="dxa"/>
            <w:tcBorders>
              <w:top w:val="nil"/>
              <w:left w:val="nil"/>
              <w:bottom w:val="single" w:color="auto" w:sz="4" w:space="0"/>
              <w:right w:val="single" w:color="auto" w:sz="4" w:space="0"/>
            </w:tcBorders>
            <w:vAlign w:val="center"/>
          </w:tcPr>
          <w:p w14:paraId="6A720B4F">
            <w:pPr>
              <w:widowControl/>
              <w:spacing w:line="400" w:lineRule="exact"/>
              <w:jc w:val="left"/>
              <w:rPr>
                <w:rFonts w:ascii="宋体" w:hAnsi="宋体" w:cs="Arial"/>
                <w:color w:val="auto"/>
                <w:sz w:val="18"/>
                <w:szCs w:val="18"/>
              </w:rPr>
            </w:pPr>
            <w:r>
              <w:rPr>
                <w:rFonts w:hint="eastAsia" w:ascii="宋体" w:hAnsi="宋体" w:cs="Arial"/>
                <w:color w:val="auto"/>
                <w:sz w:val="18"/>
                <w:szCs w:val="18"/>
              </w:rPr>
              <w:t>1.标准机架式机箱，采用国产化软硬件；配备冗余电源，配备≥2个千兆电口；</w:t>
            </w:r>
          </w:p>
          <w:p w14:paraId="1A21F8F1">
            <w:pPr>
              <w:widowControl/>
              <w:spacing w:line="400" w:lineRule="exact"/>
              <w:jc w:val="left"/>
              <w:rPr>
                <w:rFonts w:ascii="宋体" w:hAnsi="宋体" w:cs="Arial"/>
                <w:color w:val="auto"/>
                <w:sz w:val="18"/>
                <w:szCs w:val="18"/>
              </w:rPr>
            </w:pPr>
            <w:r>
              <w:rPr>
                <w:rFonts w:hint="eastAsia" w:ascii="宋体" w:hAnsi="宋体" w:cs="Arial"/>
                <w:color w:val="auto"/>
                <w:sz w:val="18"/>
                <w:szCs w:val="18"/>
              </w:rPr>
              <w:t>2.提供紧急情况下密钥销毁按钮，按钮需为隐藏式；</w:t>
            </w:r>
          </w:p>
          <w:p w14:paraId="5E7921D9">
            <w:pPr>
              <w:widowControl/>
              <w:spacing w:line="400" w:lineRule="exact"/>
              <w:jc w:val="left"/>
              <w:rPr>
                <w:rFonts w:ascii="宋体" w:hAnsi="宋体" w:cs="Arial"/>
                <w:color w:val="auto"/>
                <w:sz w:val="18"/>
                <w:szCs w:val="18"/>
              </w:rPr>
            </w:pPr>
            <w:r>
              <w:rPr>
                <w:rFonts w:hint="eastAsia" w:ascii="宋体" w:hAnsi="宋体" w:cs="Arial"/>
                <w:color w:val="auto"/>
                <w:sz w:val="18"/>
                <w:szCs w:val="18"/>
              </w:rPr>
              <w:t>3.256位SM2 P1签名/验签(次/秒)≥25000/15000；256位SM2 P7签名/验签(次/秒)≥15000/8000；256位SM2数字信封加密/数字信封解密≥6000/8000；256位SM2带签名的数字信封封装/解封≥3000/4000；最大并发数≥5000；</w:t>
            </w:r>
          </w:p>
          <w:p w14:paraId="71A0150C">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4.支持SM2、RSA2048算法；</w:t>
            </w:r>
          </w:p>
          <w:p w14:paraId="32B1426C">
            <w:pPr>
              <w:widowControl/>
              <w:spacing w:line="400" w:lineRule="exact"/>
              <w:jc w:val="left"/>
              <w:rPr>
                <w:rFonts w:ascii="宋体" w:hAnsi="宋体" w:cs="Arial"/>
                <w:color w:val="auto"/>
                <w:sz w:val="18"/>
                <w:szCs w:val="18"/>
              </w:rPr>
            </w:pPr>
            <w:r>
              <w:rPr>
                <w:rFonts w:hint="eastAsia" w:ascii="宋体" w:hAnsi="宋体" w:cs="Arial"/>
                <w:color w:val="auto"/>
                <w:sz w:val="18"/>
                <w:szCs w:val="18"/>
              </w:rPr>
              <w:t>5.为应对量子计算的潜在威胁，设备厂商需具备抗量子密码算法支撑能力；</w:t>
            </w:r>
          </w:p>
          <w:p w14:paraId="2CA22408">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6.支持PKCS#1和PKCS#7签名/验签；符合《通用密码服务接口规范》数字信封和带签名的数字信封封装解封；</w:t>
            </w:r>
          </w:p>
          <w:p w14:paraId="21192F1F">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7.支持基于SM2、RSA等算法的PKCS#1签名/验证、PKCS#7 Attached签名/验证、P7 Detached签名/验证功能；签名格式符合PKCS#7、GM/T0010等标准中定义的数据类型；</w:t>
            </w:r>
          </w:p>
          <w:p w14:paraId="2B29CA60">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8.支持基于SM2、RSA等算法的(带签名的)数字信封加密、解密功能，数字信封格式符合PKCS#7、GM/T0010等标准中定义的数据类型；</w:t>
            </w:r>
          </w:p>
          <w:p w14:paraId="6E9F756C">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9.支持基于SM2、RSA、ECDSA算法的时间戳签发和验证功能，实现对数据、信息、文件等多种格式原文数据的时间戳管理功能；</w:t>
            </w:r>
          </w:p>
          <w:p w14:paraId="28CCCFDE">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10.支持设备自检，如检查密码卡、服务状态、算法正确性、随机数生成质量、证书有效期等；</w:t>
            </w:r>
          </w:p>
          <w:p w14:paraId="00244F09">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11.支持配置不同的证书信任域，支持配置不验证、根证书、CRL、OCSP等多种验证策略；</w:t>
            </w:r>
          </w:p>
          <w:p w14:paraId="105B9ECB">
            <w:pPr>
              <w:widowControl/>
              <w:spacing w:line="400" w:lineRule="exact"/>
              <w:jc w:val="left"/>
              <w:rPr>
                <w:rFonts w:ascii="宋体" w:hAnsi="宋体" w:cs="Arial"/>
                <w:color w:val="auto"/>
                <w:sz w:val="18"/>
                <w:szCs w:val="18"/>
              </w:rPr>
            </w:pPr>
            <w:r>
              <w:rPr>
                <w:rFonts w:hint="eastAsia" w:ascii="宋体" w:hAnsi="宋体" w:cs="Arial"/>
                <w:color w:val="auto"/>
                <w:sz w:val="18"/>
                <w:szCs w:val="18"/>
              </w:rPr>
              <w:t>▲12.通过商用密码产品认证。（提供认证证书扫描件证明）</w:t>
            </w:r>
          </w:p>
        </w:tc>
        <w:tc>
          <w:tcPr>
            <w:tcW w:w="900" w:type="dxa"/>
            <w:tcBorders>
              <w:top w:val="nil"/>
              <w:left w:val="nil"/>
              <w:bottom w:val="single" w:color="auto" w:sz="4" w:space="0"/>
              <w:right w:val="single" w:color="auto" w:sz="4" w:space="0"/>
            </w:tcBorders>
            <w:vAlign w:val="center"/>
          </w:tcPr>
          <w:p w14:paraId="25E799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E58B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BB08398">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9BB2614">
            <w:pPr>
              <w:widowControl/>
              <w:spacing w:line="400" w:lineRule="exact"/>
              <w:rPr>
                <w:rFonts w:ascii="宋体" w:hAnsi="宋体" w:cs="Arial"/>
                <w:color w:val="auto"/>
                <w:sz w:val="18"/>
                <w:szCs w:val="18"/>
              </w:rPr>
            </w:pPr>
            <w:r>
              <w:rPr>
                <w:rFonts w:hint="eastAsia" w:ascii="宋体" w:hAnsi="宋体" w:cs="Arial"/>
                <w:color w:val="auto"/>
                <w:sz w:val="18"/>
                <w:szCs w:val="18"/>
              </w:rPr>
              <w:t>视频汇聚系统</w:t>
            </w:r>
          </w:p>
        </w:tc>
      </w:tr>
      <w:tr w14:paraId="2504346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B505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4AB9F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国标汇聚网关</w:t>
            </w:r>
          </w:p>
        </w:tc>
        <w:tc>
          <w:tcPr>
            <w:tcW w:w="5717" w:type="dxa"/>
            <w:tcBorders>
              <w:top w:val="nil"/>
              <w:left w:val="nil"/>
              <w:bottom w:val="single" w:color="auto" w:sz="4" w:space="0"/>
              <w:right w:val="single" w:color="auto" w:sz="4" w:space="0"/>
            </w:tcBorders>
            <w:vAlign w:val="center"/>
          </w:tcPr>
          <w:p w14:paraId="631FBA31">
            <w:pPr>
              <w:widowControl/>
              <w:spacing w:line="400" w:lineRule="exact"/>
              <w:rPr>
                <w:rFonts w:ascii="宋体" w:hAnsi="宋体" w:cs="Arial"/>
                <w:color w:val="auto"/>
                <w:sz w:val="18"/>
                <w:szCs w:val="18"/>
              </w:rPr>
            </w:pPr>
            <w:r>
              <w:rPr>
                <w:rFonts w:hint="eastAsia" w:ascii="宋体" w:hAnsi="宋体" w:cs="Arial"/>
                <w:color w:val="auto"/>
                <w:sz w:val="18"/>
                <w:szCs w:val="18"/>
              </w:rPr>
              <w:t>1.标准机架式服务器；</w:t>
            </w:r>
          </w:p>
          <w:p w14:paraId="7C09660A">
            <w:pPr>
              <w:widowControl/>
              <w:spacing w:line="400" w:lineRule="exact"/>
              <w:rPr>
                <w:rFonts w:ascii="宋体" w:hAnsi="宋体" w:cs="Arial"/>
                <w:color w:val="auto"/>
                <w:sz w:val="18"/>
                <w:szCs w:val="18"/>
              </w:rPr>
            </w:pPr>
            <w:r>
              <w:rPr>
                <w:rFonts w:hint="eastAsia" w:ascii="宋体" w:hAnsi="宋体" w:cs="Arial"/>
                <w:color w:val="auto"/>
                <w:sz w:val="18"/>
                <w:szCs w:val="18"/>
              </w:rPr>
              <w:t>2.配置2颗C86架构处理器≥8核3.0GHz，内存≥32GB(配备扩展内存插槽)；数据存储≥2TB，备份存储≥2TB，配备扩展存储盘位；</w:t>
            </w:r>
          </w:p>
          <w:p w14:paraId="01A43765">
            <w:pPr>
              <w:widowControl/>
              <w:spacing w:line="400" w:lineRule="exact"/>
              <w:rPr>
                <w:rFonts w:ascii="宋体" w:hAnsi="宋体" w:cs="Arial"/>
                <w:color w:val="auto"/>
                <w:sz w:val="18"/>
                <w:szCs w:val="18"/>
              </w:rPr>
            </w:pPr>
            <w:r>
              <w:rPr>
                <w:rFonts w:hint="eastAsia" w:ascii="宋体" w:hAnsi="宋体" w:cs="Arial"/>
                <w:color w:val="auto"/>
                <w:sz w:val="18"/>
                <w:szCs w:val="18"/>
              </w:rPr>
              <w:t>3.配备≥2个千兆电口、≥1个管理口、≥2个USB接口、≥1个VGA接口、≥550W冗余电源；</w:t>
            </w:r>
          </w:p>
          <w:p w14:paraId="22B27080">
            <w:pPr>
              <w:widowControl/>
              <w:spacing w:line="400" w:lineRule="exact"/>
              <w:rPr>
                <w:rFonts w:ascii="宋体" w:hAnsi="宋体" w:cs="Arial"/>
                <w:color w:val="auto"/>
                <w:sz w:val="18"/>
                <w:szCs w:val="18"/>
              </w:rPr>
            </w:pPr>
            <w:r>
              <w:rPr>
                <w:rFonts w:hint="eastAsia" w:ascii="宋体" w:hAnsi="宋体" w:cs="Arial"/>
                <w:color w:val="auto"/>
                <w:sz w:val="18"/>
                <w:szCs w:val="18"/>
              </w:rPr>
              <w:t>功能配置：</w:t>
            </w:r>
          </w:p>
          <w:p w14:paraId="3C2C231A">
            <w:pPr>
              <w:widowControl/>
              <w:spacing w:line="400" w:lineRule="exact"/>
              <w:rPr>
                <w:rFonts w:ascii="宋体" w:hAnsi="宋体" w:cs="Arial"/>
                <w:color w:val="auto"/>
                <w:sz w:val="18"/>
                <w:szCs w:val="18"/>
              </w:rPr>
            </w:pPr>
            <w:r>
              <w:rPr>
                <w:rFonts w:hint="eastAsia" w:ascii="宋体" w:hAnsi="宋体" w:cs="Arial"/>
                <w:color w:val="auto"/>
                <w:sz w:val="18"/>
                <w:szCs w:val="18"/>
              </w:rPr>
              <w:t>1.提供用户管理、权限管理、设备管理、事件联动、NTP校时、运管中心、开放接口等功能；</w:t>
            </w:r>
          </w:p>
          <w:p w14:paraId="5B273132">
            <w:pPr>
              <w:widowControl/>
              <w:spacing w:line="400" w:lineRule="exact"/>
              <w:rPr>
                <w:rFonts w:ascii="宋体" w:hAnsi="宋体" w:cs="Arial"/>
                <w:color w:val="auto"/>
                <w:sz w:val="18"/>
                <w:szCs w:val="18"/>
              </w:rPr>
            </w:pPr>
            <w:r>
              <w:rPr>
                <w:rFonts w:hint="eastAsia" w:ascii="宋体" w:hAnsi="宋体" w:cs="Arial"/>
                <w:color w:val="auto"/>
                <w:sz w:val="18"/>
                <w:szCs w:val="18"/>
              </w:rPr>
              <w:t>2.支持账户绑定用户mac地址及IP地址，支持登录类型(Web端、PC客户端、移动端)和认证方式(密码、PKI)的设置；</w:t>
            </w:r>
          </w:p>
          <w:p w14:paraId="086D5247">
            <w:pPr>
              <w:widowControl/>
              <w:spacing w:line="400" w:lineRule="exact"/>
              <w:rPr>
                <w:rFonts w:ascii="宋体" w:hAnsi="宋体" w:cs="Arial"/>
                <w:color w:val="auto"/>
                <w:sz w:val="18"/>
                <w:szCs w:val="18"/>
              </w:rPr>
            </w:pPr>
            <w:r>
              <w:rPr>
                <w:rFonts w:hint="eastAsia" w:ascii="宋体" w:hAnsi="宋体" w:cs="Arial"/>
                <w:color w:val="auto"/>
                <w:sz w:val="18"/>
                <w:szCs w:val="18"/>
              </w:rPr>
              <w:t>3.支持系统运行状态监测，如服务监控、服务统计、数据报告和解析概览；</w:t>
            </w:r>
          </w:p>
          <w:p w14:paraId="6B53E04E">
            <w:pPr>
              <w:widowControl/>
              <w:spacing w:line="400" w:lineRule="exact"/>
              <w:rPr>
                <w:rFonts w:ascii="宋体" w:hAnsi="宋体" w:cs="Arial"/>
                <w:color w:val="auto"/>
                <w:sz w:val="18"/>
                <w:szCs w:val="18"/>
              </w:rPr>
            </w:pPr>
            <w:r>
              <w:rPr>
                <w:rFonts w:hint="eastAsia" w:ascii="宋体" w:hAnsi="宋体" w:cs="Arial"/>
                <w:color w:val="auto"/>
                <w:sz w:val="18"/>
                <w:szCs w:val="18"/>
              </w:rPr>
              <w:t>4.支持工作台自定义，可自由配置业务展示内容；</w:t>
            </w:r>
          </w:p>
          <w:p w14:paraId="6B71F289">
            <w:pPr>
              <w:widowControl/>
              <w:spacing w:line="400" w:lineRule="exact"/>
              <w:rPr>
                <w:rFonts w:ascii="宋体" w:hAnsi="宋体" w:cs="Arial"/>
                <w:color w:val="auto"/>
                <w:sz w:val="18"/>
                <w:szCs w:val="18"/>
              </w:rPr>
            </w:pPr>
            <w:r>
              <w:rPr>
                <w:rFonts w:hint="eastAsia" w:ascii="宋体" w:hAnsi="宋体" w:cs="Arial"/>
                <w:color w:val="auto"/>
                <w:sz w:val="18"/>
                <w:szCs w:val="18"/>
              </w:rPr>
              <w:t>5.具有报警接收、事件处理、事件联动、事件检索等功能；</w:t>
            </w:r>
          </w:p>
          <w:p w14:paraId="7A4ED1FE">
            <w:pPr>
              <w:widowControl/>
              <w:spacing w:line="400" w:lineRule="exact"/>
              <w:rPr>
                <w:rFonts w:ascii="宋体" w:hAnsi="宋体" w:cs="Arial"/>
                <w:color w:val="auto"/>
                <w:sz w:val="18"/>
                <w:szCs w:val="18"/>
              </w:rPr>
            </w:pPr>
            <w:r>
              <w:rPr>
                <w:rFonts w:hint="eastAsia" w:ascii="宋体" w:hAnsi="宋体" w:cs="Arial"/>
                <w:color w:val="auto"/>
                <w:sz w:val="18"/>
                <w:szCs w:val="18"/>
              </w:rPr>
              <w:t>6.可提供场景化事件联动，如视频弹窗、视频上墙、录像联动、云台联动、短信联动、邮箱联动、输入输出联动、抓图联动等；</w:t>
            </w:r>
          </w:p>
          <w:p w14:paraId="35F93D23">
            <w:pPr>
              <w:widowControl/>
              <w:spacing w:line="400" w:lineRule="exact"/>
              <w:rPr>
                <w:rFonts w:ascii="宋体" w:hAnsi="宋体" w:cs="Arial"/>
                <w:color w:val="auto"/>
                <w:sz w:val="18"/>
                <w:szCs w:val="18"/>
              </w:rPr>
            </w:pPr>
            <w:r>
              <w:rPr>
                <w:rFonts w:hint="eastAsia" w:ascii="宋体" w:hAnsi="宋体" w:cs="Arial"/>
                <w:color w:val="auto"/>
                <w:sz w:val="18"/>
                <w:szCs w:val="18"/>
              </w:rPr>
              <w:t>7.支持多种维度检索报警事件，如区域、位置、事件源、事件等级、时间、状态等；支持事件详情查看，如抓图、录像等；</w:t>
            </w:r>
          </w:p>
          <w:p w14:paraId="05AB5A03">
            <w:pPr>
              <w:widowControl/>
              <w:spacing w:line="400" w:lineRule="exact"/>
              <w:rPr>
                <w:rFonts w:ascii="宋体" w:hAnsi="宋体" w:cs="Arial"/>
                <w:color w:val="auto"/>
                <w:sz w:val="18"/>
                <w:szCs w:val="18"/>
              </w:rPr>
            </w:pPr>
            <w:r>
              <w:rPr>
                <w:rFonts w:hint="eastAsia" w:ascii="宋体" w:hAnsi="宋体" w:cs="Arial"/>
                <w:color w:val="auto"/>
                <w:sz w:val="18"/>
                <w:szCs w:val="18"/>
              </w:rPr>
              <w:t>8.提供资源图上展示及控制，在地图上可展示资源点位置，实现报警信息可视化展示；</w:t>
            </w:r>
          </w:p>
          <w:p w14:paraId="7E215D7D">
            <w:pPr>
              <w:widowControl/>
              <w:spacing w:line="400" w:lineRule="exact"/>
              <w:rPr>
                <w:rFonts w:ascii="宋体" w:hAnsi="宋体" w:cs="Arial"/>
                <w:color w:val="auto"/>
                <w:sz w:val="18"/>
                <w:szCs w:val="18"/>
              </w:rPr>
            </w:pPr>
            <w:r>
              <w:rPr>
                <w:rFonts w:hint="eastAsia" w:ascii="宋体" w:hAnsi="宋体" w:cs="Arial"/>
                <w:color w:val="auto"/>
                <w:sz w:val="18"/>
                <w:szCs w:val="18"/>
              </w:rPr>
              <w:t>9.支持地图配置，如在线、离线GIS地图；支持资源上图配置；支持移动设备运行轨迹回放能力，如单兵设备等；</w:t>
            </w:r>
          </w:p>
          <w:p w14:paraId="39FA5954">
            <w:pPr>
              <w:widowControl/>
              <w:spacing w:line="400" w:lineRule="exact"/>
              <w:rPr>
                <w:rFonts w:ascii="宋体" w:hAnsi="宋体" w:cs="Arial"/>
                <w:color w:val="auto"/>
                <w:sz w:val="18"/>
                <w:szCs w:val="18"/>
              </w:rPr>
            </w:pPr>
            <w:r>
              <w:rPr>
                <w:rFonts w:hint="eastAsia" w:ascii="宋体" w:hAnsi="宋体" w:cs="Arial"/>
                <w:color w:val="auto"/>
                <w:sz w:val="18"/>
                <w:szCs w:val="18"/>
              </w:rPr>
              <w:t>10.提供APP端应用，支持事件、消息、代办内容的提醒和查看；支持视频预览、录像回放、图片查询、图上监控、报警监测等功能；</w:t>
            </w:r>
          </w:p>
          <w:p w14:paraId="7AFD9D10">
            <w:pPr>
              <w:widowControl/>
              <w:spacing w:line="400" w:lineRule="exact"/>
              <w:rPr>
                <w:rFonts w:ascii="宋体" w:hAnsi="宋体" w:cs="Arial"/>
                <w:color w:val="auto"/>
                <w:sz w:val="18"/>
                <w:szCs w:val="18"/>
              </w:rPr>
            </w:pPr>
            <w:r>
              <w:rPr>
                <w:rFonts w:hint="eastAsia" w:ascii="宋体" w:hAnsi="宋体" w:cs="Arial"/>
                <w:color w:val="auto"/>
                <w:sz w:val="18"/>
                <w:szCs w:val="18"/>
              </w:rPr>
              <w:t>11.提供视频管理功能，支持设备通过GB28181、ONVIF等协议接入平台，实现视频预览、实时抓图、云台控制、录像回放、即时回放、码流切换、视频上墙等；</w:t>
            </w:r>
          </w:p>
          <w:p w14:paraId="289F2BF7">
            <w:pPr>
              <w:widowControl/>
              <w:spacing w:line="400" w:lineRule="exact"/>
              <w:rPr>
                <w:rFonts w:ascii="宋体" w:hAnsi="宋体" w:cs="Arial"/>
                <w:color w:val="auto"/>
                <w:sz w:val="18"/>
                <w:szCs w:val="18"/>
              </w:rPr>
            </w:pPr>
            <w:r>
              <w:rPr>
                <w:rFonts w:hint="eastAsia" w:ascii="宋体" w:hAnsi="宋体" w:cs="Arial"/>
                <w:color w:val="auto"/>
                <w:sz w:val="18"/>
                <w:szCs w:val="18"/>
              </w:rPr>
              <w:t>12.支持通过图片替代视频的方式进行监控；支持图片查询回放；支持图片自动播放，播放速度可设置；支持图片下载；</w:t>
            </w:r>
          </w:p>
          <w:p w14:paraId="5CCEE0DA">
            <w:pPr>
              <w:widowControl/>
              <w:spacing w:line="400" w:lineRule="exact"/>
              <w:rPr>
                <w:rFonts w:ascii="宋体" w:hAnsi="宋体" w:cs="Arial"/>
                <w:color w:val="auto"/>
                <w:sz w:val="18"/>
                <w:szCs w:val="18"/>
              </w:rPr>
            </w:pPr>
            <w:r>
              <w:rPr>
                <w:rFonts w:hint="eastAsia" w:ascii="宋体" w:hAnsi="宋体" w:cs="Arial"/>
                <w:color w:val="auto"/>
                <w:sz w:val="18"/>
                <w:szCs w:val="18"/>
              </w:rPr>
              <w:t>13.支持全景视频监控预览能力；</w:t>
            </w:r>
          </w:p>
          <w:p w14:paraId="7828C4A9">
            <w:pPr>
              <w:widowControl/>
              <w:spacing w:line="400" w:lineRule="exact"/>
              <w:rPr>
                <w:rFonts w:ascii="宋体" w:hAnsi="宋体" w:cs="Arial"/>
                <w:color w:val="auto"/>
                <w:sz w:val="18"/>
                <w:szCs w:val="18"/>
              </w:rPr>
            </w:pPr>
            <w:r>
              <w:rPr>
                <w:rFonts w:hint="eastAsia" w:ascii="宋体" w:hAnsi="宋体" w:cs="Arial"/>
                <w:color w:val="auto"/>
                <w:sz w:val="18"/>
                <w:szCs w:val="18"/>
              </w:rPr>
              <w:t>14.支持视频事件监控，如移动侦测、视频丢失、视频遮挡等；</w:t>
            </w:r>
          </w:p>
          <w:p w14:paraId="53182159">
            <w:pPr>
              <w:widowControl/>
              <w:spacing w:line="400" w:lineRule="exact"/>
              <w:rPr>
                <w:rFonts w:ascii="宋体" w:hAnsi="宋体" w:cs="Arial"/>
                <w:color w:val="auto"/>
                <w:sz w:val="18"/>
                <w:szCs w:val="18"/>
              </w:rPr>
            </w:pPr>
            <w:r>
              <w:rPr>
                <w:rFonts w:hint="eastAsia" w:ascii="宋体" w:hAnsi="宋体" w:cs="Arial"/>
                <w:color w:val="auto"/>
                <w:sz w:val="18"/>
                <w:szCs w:val="18"/>
              </w:rPr>
              <w:t>15.支持摄像机、编码设备、存储设备、解码设备等设备状态管理；支持监控通道状态检测。</w:t>
            </w:r>
          </w:p>
          <w:p w14:paraId="05B20F64">
            <w:pPr>
              <w:widowControl/>
              <w:spacing w:line="400" w:lineRule="exact"/>
              <w:rPr>
                <w:rFonts w:ascii="宋体" w:hAnsi="宋体" w:cs="Arial"/>
                <w:color w:val="auto"/>
                <w:sz w:val="18"/>
                <w:szCs w:val="18"/>
              </w:rPr>
            </w:pPr>
            <w:r>
              <w:rPr>
                <w:rFonts w:hint="eastAsia" w:ascii="宋体" w:hAnsi="宋体" w:cs="Arial"/>
                <w:color w:val="auto"/>
                <w:sz w:val="18"/>
                <w:szCs w:val="18"/>
              </w:rPr>
              <w:t>16.支持告警信息统计展示，并可对告警阈值配置；</w:t>
            </w:r>
          </w:p>
          <w:p w14:paraId="2EFB2BAC">
            <w:pPr>
              <w:widowControl/>
              <w:spacing w:line="400" w:lineRule="exact"/>
              <w:rPr>
                <w:rFonts w:ascii="宋体" w:hAnsi="宋体" w:cs="Arial"/>
                <w:color w:val="auto"/>
                <w:sz w:val="18"/>
                <w:szCs w:val="18"/>
              </w:rPr>
            </w:pPr>
            <w:r>
              <w:rPr>
                <w:rFonts w:hint="eastAsia" w:ascii="宋体" w:hAnsi="宋体" w:cs="Arial"/>
                <w:color w:val="auto"/>
                <w:sz w:val="18"/>
                <w:szCs w:val="18"/>
              </w:rPr>
              <w:t>17.支持报表统计，如录像完整性统计、录像存储达标统计、在线状态统计、离线时长统计等；</w:t>
            </w:r>
          </w:p>
          <w:p w14:paraId="1A9307CD">
            <w:pPr>
              <w:widowControl/>
              <w:spacing w:line="400" w:lineRule="exact"/>
              <w:rPr>
                <w:rFonts w:ascii="宋体" w:hAnsi="宋体" w:cs="Arial"/>
                <w:color w:val="auto"/>
                <w:sz w:val="18"/>
                <w:szCs w:val="18"/>
              </w:rPr>
            </w:pPr>
            <w:r>
              <w:rPr>
                <w:rFonts w:hint="eastAsia" w:ascii="宋体" w:hAnsi="宋体" w:cs="Arial"/>
                <w:color w:val="auto"/>
                <w:sz w:val="18"/>
                <w:szCs w:val="18"/>
              </w:rPr>
              <w:t>18.支持在线巡检，可发现故障设备和掉线设备；</w:t>
            </w:r>
          </w:p>
          <w:p w14:paraId="77221703">
            <w:pPr>
              <w:widowControl/>
              <w:spacing w:line="400" w:lineRule="exact"/>
              <w:rPr>
                <w:rFonts w:ascii="宋体" w:hAnsi="宋体" w:cs="Arial"/>
                <w:color w:val="auto"/>
                <w:sz w:val="18"/>
                <w:szCs w:val="18"/>
              </w:rPr>
            </w:pPr>
            <w:r>
              <w:rPr>
                <w:rFonts w:hint="eastAsia" w:ascii="宋体" w:hAnsi="宋体" w:cs="Arial"/>
                <w:color w:val="auto"/>
                <w:sz w:val="18"/>
                <w:szCs w:val="18"/>
              </w:rPr>
              <w:t>19.可通过标准协议(GB/T28181-2011,GB/T28181-2016)与外域平台互联互通，实现平台视频资源对接；支持上下级域注册管理，实现平台数据级联；支持资源同步；支持级联视频点位实时预览、录像回放、录像下载、语音对讲等；支持级联视频点位设备操作控制。</w:t>
            </w:r>
          </w:p>
        </w:tc>
        <w:tc>
          <w:tcPr>
            <w:tcW w:w="900" w:type="dxa"/>
            <w:tcBorders>
              <w:top w:val="nil"/>
              <w:left w:val="nil"/>
              <w:bottom w:val="single" w:color="auto" w:sz="4" w:space="0"/>
              <w:right w:val="single" w:color="auto" w:sz="4" w:space="0"/>
            </w:tcBorders>
            <w:vAlign w:val="center"/>
          </w:tcPr>
          <w:p w14:paraId="71D9D3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CA65B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CE0864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5AF4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55891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视频存储设备</w:t>
            </w:r>
          </w:p>
        </w:tc>
        <w:tc>
          <w:tcPr>
            <w:tcW w:w="5717" w:type="dxa"/>
            <w:tcBorders>
              <w:top w:val="nil"/>
              <w:left w:val="nil"/>
              <w:bottom w:val="single" w:color="auto" w:sz="4" w:space="0"/>
              <w:right w:val="single" w:color="auto" w:sz="4" w:space="0"/>
            </w:tcBorders>
            <w:vAlign w:val="center"/>
          </w:tcPr>
          <w:p w14:paraId="111AFB6E">
            <w:pPr>
              <w:widowControl/>
              <w:spacing w:line="400" w:lineRule="exact"/>
              <w:rPr>
                <w:rFonts w:ascii="宋体" w:hAnsi="宋体" w:cs="Arial"/>
                <w:color w:val="auto"/>
                <w:sz w:val="18"/>
                <w:szCs w:val="18"/>
              </w:rPr>
            </w:pPr>
            <w:r>
              <w:rPr>
                <w:rFonts w:hint="eastAsia" w:ascii="宋体" w:hAnsi="宋体" w:cs="Arial"/>
                <w:color w:val="auto"/>
                <w:sz w:val="18"/>
                <w:szCs w:val="18"/>
              </w:rPr>
              <w:t>1.标准机架式网络存储设备：内存≥8GB；≥24个SATA接口，支持硬盘热插拔；≥3个2.5G数据网口，≥1个2.5G管理网口；≥550W冗余电源；</w:t>
            </w:r>
          </w:p>
          <w:p w14:paraId="6BD8D632">
            <w:pPr>
              <w:widowControl/>
              <w:spacing w:line="400" w:lineRule="exact"/>
              <w:rPr>
                <w:rFonts w:ascii="宋体" w:hAnsi="宋体" w:cs="Arial"/>
                <w:color w:val="auto"/>
                <w:sz w:val="18"/>
                <w:szCs w:val="18"/>
              </w:rPr>
            </w:pPr>
            <w:r>
              <w:rPr>
                <w:rFonts w:hint="eastAsia" w:ascii="宋体" w:hAnsi="宋体" w:cs="Arial"/>
                <w:color w:val="auto"/>
                <w:sz w:val="18"/>
                <w:szCs w:val="18"/>
              </w:rPr>
              <w:t>2.配置≥2个USB口，≥1个VGA口，≥1个HDMI口；</w:t>
            </w:r>
          </w:p>
          <w:p w14:paraId="6950B5F6">
            <w:pPr>
              <w:widowControl/>
              <w:spacing w:line="400" w:lineRule="exact"/>
              <w:rPr>
                <w:rFonts w:ascii="宋体" w:hAnsi="宋体" w:cs="Arial"/>
                <w:color w:val="auto"/>
                <w:sz w:val="18"/>
                <w:szCs w:val="18"/>
              </w:rPr>
            </w:pPr>
            <w:r>
              <w:rPr>
                <w:rFonts w:hint="eastAsia" w:ascii="宋体" w:hAnsi="宋体" w:cs="Arial"/>
                <w:color w:val="auto"/>
                <w:sz w:val="18"/>
                <w:szCs w:val="18"/>
              </w:rPr>
              <w:t>3.支持视频流直写、图片直写；</w:t>
            </w:r>
          </w:p>
          <w:p w14:paraId="336C1FF4">
            <w:pPr>
              <w:widowControl/>
              <w:spacing w:line="400" w:lineRule="exact"/>
              <w:rPr>
                <w:rFonts w:ascii="宋体" w:hAnsi="宋体" w:cs="Arial"/>
                <w:color w:val="auto"/>
                <w:sz w:val="18"/>
                <w:szCs w:val="18"/>
              </w:rPr>
            </w:pPr>
            <w:r>
              <w:rPr>
                <w:rFonts w:hint="eastAsia" w:ascii="宋体" w:hAnsi="宋体" w:cs="Arial"/>
                <w:color w:val="auto"/>
                <w:sz w:val="18"/>
                <w:szCs w:val="18"/>
              </w:rPr>
              <w:t>4.支持ONVIF、GB/T28181、RTSP等标准协议；</w:t>
            </w:r>
          </w:p>
          <w:p w14:paraId="259BD919">
            <w:pPr>
              <w:widowControl/>
              <w:spacing w:line="400" w:lineRule="exact"/>
              <w:rPr>
                <w:rFonts w:ascii="宋体" w:hAnsi="宋体" w:cs="Arial"/>
                <w:color w:val="auto"/>
                <w:sz w:val="18"/>
                <w:szCs w:val="18"/>
              </w:rPr>
            </w:pPr>
            <w:r>
              <w:rPr>
                <w:rFonts w:hint="eastAsia" w:ascii="宋体" w:hAnsi="宋体" w:cs="Arial"/>
                <w:color w:val="auto"/>
                <w:sz w:val="18"/>
                <w:szCs w:val="18"/>
              </w:rPr>
              <w:t>5.支持接入≥500路视频(接入带宽≥1000Mbps)；</w:t>
            </w:r>
          </w:p>
          <w:p w14:paraId="630C5768">
            <w:pPr>
              <w:widowControl/>
              <w:spacing w:line="400" w:lineRule="exact"/>
              <w:rPr>
                <w:rFonts w:ascii="宋体" w:hAnsi="宋体" w:cs="Arial"/>
                <w:color w:val="auto"/>
                <w:sz w:val="18"/>
                <w:szCs w:val="18"/>
              </w:rPr>
            </w:pPr>
            <w:r>
              <w:rPr>
                <w:rFonts w:hint="eastAsia" w:ascii="宋体" w:hAnsi="宋体" w:cs="Arial"/>
                <w:color w:val="auto"/>
                <w:sz w:val="18"/>
                <w:szCs w:val="18"/>
              </w:rPr>
              <w:t>6.支持≥50路2Mbps回放；支持≥200路2Mbps录像；</w:t>
            </w:r>
          </w:p>
          <w:p w14:paraId="797369AF">
            <w:pPr>
              <w:widowControl/>
              <w:spacing w:line="400" w:lineRule="exact"/>
              <w:rPr>
                <w:rFonts w:ascii="宋体" w:hAnsi="宋体" w:cs="Arial"/>
                <w:color w:val="auto"/>
                <w:sz w:val="18"/>
                <w:szCs w:val="18"/>
              </w:rPr>
            </w:pPr>
            <w:r>
              <w:rPr>
                <w:rFonts w:hint="eastAsia" w:ascii="宋体" w:hAnsi="宋体" w:cs="Arial"/>
                <w:color w:val="auto"/>
                <w:sz w:val="18"/>
                <w:szCs w:val="18"/>
              </w:rPr>
              <w:t>7.支持0、1、5、6、10、50等RAID模式；</w:t>
            </w:r>
          </w:p>
          <w:p w14:paraId="33A0B76B">
            <w:pPr>
              <w:widowControl/>
              <w:spacing w:line="400" w:lineRule="exact"/>
              <w:rPr>
                <w:rFonts w:ascii="宋体" w:hAnsi="宋体" w:cs="Arial"/>
                <w:color w:val="auto"/>
                <w:sz w:val="18"/>
                <w:szCs w:val="18"/>
              </w:rPr>
            </w:pPr>
            <w:r>
              <w:rPr>
                <w:rFonts w:hint="eastAsia" w:ascii="宋体" w:hAnsi="宋体" w:cs="Arial"/>
                <w:color w:val="auto"/>
                <w:sz w:val="18"/>
                <w:szCs w:val="18"/>
              </w:rPr>
              <w:t>8.支持局部重构，原盘或其克隆盘拔出后再插回，未被覆盖数据可快速恢复；</w:t>
            </w:r>
          </w:p>
          <w:p w14:paraId="75C51493">
            <w:pPr>
              <w:widowControl/>
              <w:spacing w:line="400" w:lineRule="exact"/>
              <w:rPr>
                <w:rFonts w:ascii="宋体" w:hAnsi="宋体" w:cs="Arial"/>
                <w:color w:val="auto"/>
                <w:sz w:val="18"/>
                <w:szCs w:val="18"/>
              </w:rPr>
            </w:pPr>
            <w:r>
              <w:rPr>
                <w:rFonts w:hint="eastAsia" w:ascii="宋体" w:hAnsi="宋体" w:cs="Arial"/>
                <w:color w:val="auto"/>
                <w:sz w:val="18"/>
                <w:szCs w:val="18"/>
              </w:rPr>
              <w:t>9.支持视频检索功能；支持视频回放功能；</w:t>
            </w:r>
          </w:p>
          <w:p w14:paraId="0A185123">
            <w:pPr>
              <w:widowControl/>
              <w:spacing w:line="400" w:lineRule="exact"/>
              <w:rPr>
                <w:rFonts w:ascii="宋体" w:hAnsi="宋体" w:cs="Arial"/>
                <w:color w:val="auto"/>
                <w:sz w:val="18"/>
                <w:szCs w:val="18"/>
              </w:rPr>
            </w:pPr>
            <w:r>
              <w:rPr>
                <w:rFonts w:hint="eastAsia" w:ascii="宋体" w:hAnsi="宋体" w:cs="Arial"/>
                <w:color w:val="auto"/>
                <w:sz w:val="18"/>
                <w:szCs w:val="18"/>
              </w:rPr>
              <w:t>10.支持按需取流，未处于录像计划时间内的通道不占用网络带宽；</w:t>
            </w:r>
          </w:p>
          <w:p w14:paraId="01C208E7">
            <w:pPr>
              <w:widowControl/>
              <w:spacing w:line="400" w:lineRule="exact"/>
              <w:rPr>
                <w:rFonts w:ascii="宋体" w:hAnsi="宋体" w:cs="Arial"/>
                <w:color w:val="auto"/>
                <w:sz w:val="18"/>
                <w:szCs w:val="18"/>
              </w:rPr>
            </w:pPr>
            <w:r>
              <w:rPr>
                <w:rFonts w:hint="eastAsia" w:ascii="宋体" w:hAnsi="宋体" w:cs="Arial"/>
                <w:color w:val="auto"/>
                <w:sz w:val="18"/>
                <w:szCs w:val="18"/>
              </w:rPr>
              <w:t>11.配备≥18块4TB机械硬盘，7200RPM，CMR，256MB高速缓存，读写速度≥200MB/s。</w:t>
            </w:r>
          </w:p>
        </w:tc>
        <w:tc>
          <w:tcPr>
            <w:tcW w:w="900" w:type="dxa"/>
            <w:tcBorders>
              <w:top w:val="nil"/>
              <w:left w:val="nil"/>
              <w:bottom w:val="single" w:color="auto" w:sz="4" w:space="0"/>
              <w:right w:val="single" w:color="auto" w:sz="4" w:space="0"/>
            </w:tcBorders>
            <w:vAlign w:val="center"/>
          </w:tcPr>
          <w:p w14:paraId="0BDC43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C1997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B34AB6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8CFA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771C2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镇村应急调度智慧屏</w:t>
            </w:r>
          </w:p>
        </w:tc>
        <w:tc>
          <w:tcPr>
            <w:tcW w:w="5717" w:type="dxa"/>
            <w:tcBorders>
              <w:top w:val="nil"/>
              <w:left w:val="nil"/>
              <w:bottom w:val="single" w:color="auto" w:sz="4" w:space="0"/>
              <w:right w:val="single" w:color="auto" w:sz="4" w:space="0"/>
            </w:tcBorders>
            <w:vAlign w:val="center"/>
          </w:tcPr>
          <w:p w14:paraId="688F61CF">
            <w:pPr>
              <w:widowControl/>
              <w:spacing w:line="400" w:lineRule="exact"/>
              <w:rPr>
                <w:rFonts w:ascii="宋体" w:hAnsi="宋体" w:cs="Arial"/>
                <w:color w:val="auto"/>
                <w:sz w:val="18"/>
                <w:szCs w:val="18"/>
              </w:rPr>
            </w:pPr>
            <w:r>
              <w:rPr>
                <w:rFonts w:hint="eastAsia" w:ascii="宋体" w:hAnsi="宋体" w:cs="Arial"/>
                <w:color w:val="auto"/>
                <w:sz w:val="18"/>
                <w:szCs w:val="18"/>
              </w:rPr>
              <w:t>1.一体化集成设计，金属机身；内置摄像机、麦克风、扬声器、硬件视频会议编解码器；支持遥控器控制(配备红外遥控器)；支持OPS电脑接入；</w:t>
            </w:r>
          </w:p>
          <w:p w14:paraId="5361AE1A">
            <w:pPr>
              <w:widowControl/>
              <w:spacing w:line="400" w:lineRule="exact"/>
              <w:rPr>
                <w:rFonts w:ascii="宋体" w:hAnsi="宋体" w:cs="Arial"/>
                <w:color w:val="auto"/>
                <w:sz w:val="18"/>
                <w:szCs w:val="18"/>
              </w:rPr>
            </w:pPr>
            <w:r>
              <w:rPr>
                <w:rFonts w:hint="eastAsia" w:ascii="宋体" w:hAnsi="宋体" w:cs="Arial"/>
                <w:color w:val="auto"/>
                <w:sz w:val="18"/>
                <w:szCs w:val="18"/>
              </w:rPr>
              <w:t>2.屏幕尺寸≥65英寸，分辨率≥4K(3840*2160)，刷新率≥60Hz，色域≥90% NTSC；支持硬件级物理防蓝光；支持触控，触控点数≥40，支持物理防误触；支持DC调光、PWM调光；具备亮度/光线传感器，支持屏幕自动亮度调节；</w:t>
            </w:r>
          </w:p>
          <w:p w14:paraId="5269F1CE">
            <w:pPr>
              <w:widowControl/>
              <w:spacing w:line="400" w:lineRule="exact"/>
              <w:rPr>
                <w:rFonts w:ascii="宋体" w:hAnsi="宋体" w:cs="Arial"/>
                <w:color w:val="auto"/>
                <w:sz w:val="18"/>
                <w:szCs w:val="18"/>
              </w:rPr>
            </w:pPr>
            <w:r>
              <w:rPr>
                <w:rFonts w:hint="eastAsia" w:ascii="宋体" w:hAnsi="宋体" w:cs="Arial"/>
                <w:color w:val="auto"/>
                <w:sz w:val="18"/>
                <w:szCs w:val="18"/>
              </w:rPr>
              <w:t>3.CPU≥8核2.4GHz，内存≥8G，存储≥64G；</w:t>
            </w:r>
          </w:p>
          <w:p w14:paraId="332EA71D">
            <w:pPr>
              <w:widowControl/>
              <w:spacing w:line="400" w:lineRule="exact"/>
              <w:rPr>
                <w:rFonts w:ascii="宋体" w:hAnsi="宋体" w:cs="Arial"/>
                <w:color w:val="auto"/>
                <w:sz w:val="18"/>
                <w:szCs w:val="18"/>
              </w:rPr>
            </w:pPr>
            <w:r>
              <w:rPr>
                <w:rFonts w:hint="eastAsia" w:ascii="宋体" w:hAnsi="宋体" w:cs="Arial"/>
                <w:color w:val="auto"/>
                <w:sz w:val="18"/>
                <w:szCs w:val="18"/>
              </w:rPr>
              <w:t>▲4.主要元器件为国产化，如CPU处理单元、可编程逻辑芯片、音视频编解码单元等；(提供带有CMA 或CNAS 标识的第三方权威检测机构出具的检测报告扫描件证明)</w:t>
            </w:r>
          </w:p>
          <w:p w14:paraId="37BB1D29">
            <w:pPr>
              <w:widowControl/>
              <w:spacing w:line="400" w:lineRule="exact"/>
              <w:rPr>
                <w:rFonts w:ascii="宋体" w:hAnsi="宋体" w:cs="Arial"/>
                <w:color w:val="auto"/>
                <w:sz w:val="18"/>
                <w:szCs w:val="18"/>
              </w:rPr>
            </w:pPr>
            <w:r>
              <w:rPr>
                <w:rFonts w:hint="eastAsia" w:ascii="宋体" w:hAnsi="宋体" w:cs="Arial"/>
                <w:color w:val="auto"/>
                <w:sz w:val="18"/>
                <w:szCs w:val="18"/>
              </w:rPr>
              <w:t>5.会议支持ITU-T H.323、IETF SIP协议，速率不低于64Kbps~8Mbps；支持H.239、BFCP标准双流协议；会议视频分辨率支持1080p30、720p60、720p30，并向下兼容4CIF、CIF；视频支持H.264 Baseline Profile、H.264 High Profile、H.265；</w:t>
            </w:r>
          </w:p>
          <w:p w14:paraId="4A2A7F15">
            <w:pPr>
              <w:widowControl/>
              <w:spacing w:line="400" w:lineRule="exact"/>
              <w:rPr>
                <w:rFonts w:ascii="宋体" w:hAnsi="宋体" w:cs="Arial"/>
                <w:color w:val="auto"/>
                <w:sz w:val="18"/>
                <w:szCs w:val="18"/>
              </w:rPr>
            </w:pPr>
            <w:r>
              <w:rPr>
                <w:rFonts w:hint="eastAsia" w:ascii="宋体" w:hAnsi="宋体" w:cs="Arial"/>
                <w:color w:val="auto"/>
                <w:sz w:val="18"/>
                <w:szCs w:val="18"/>
              </w:rPr>
              <w:t>6.支持H.235协议音视频加密；SIP协议下支持TLS控制信令加密，支持SRTP码流加密；支持AES256加密算法，支持双流加密；</w:t>
            </w:r>
          </w:p>
          <w:p w14:paraId="2DF72F9A">
            <w:pPr>
              <w:widowControl/>
              <w:spacing w:line="400" w:lineRule="exact"/>
              <w:rPr>
                <w:rFonts w:ascii="宋体" w:hAnsi="宋体" w:cs="Arial"/>
                <w:color w:val="auto"/>
                <w:sz w:val="18"/>
                <w:szCs w:val="18"/>
              </w:rPr>
            </w:pPr>
            <w:r>
              <w:rPr>
                <w:rFonts w:hint="eastAsia" w:ascii="宋体" w:hAnsi="宋体" w:cs="Arial"/>
                <w:color w:val="auto"/>
                <w:sz w:val="18"/>
                <w:szCs w:val="18"/>
              </w:rPr>
              <w:t>7.内置摄像机传感器≥1/2.5"CMOS、≥800万像素；≥4倍数字变焦，清晰度≥1800线，水平视角≥82º；采集分辨率≥4K30fps；</w:t>
            </w:r>
          </w:p>
          <w:p w14:paraId="6E52FD0C">
            <w:pPr>
              <w:widowControl/>
              <w:spacing w:line="400" w:lineRule="exact"/>
              <w:rPr>
                <w:rFonts w:ascii="宋体" w:hAnsi="宋体" w:cs="Arial"/>
                <w:color w:val="auto"/>
                <w:sz w:val="18"/>
                <w:szCs w:val="18"/>
              </w:rPr>
            </w:pPr>
            <w:r>
              <w:rPr>
                <w:rFonts w:hint="eastAsia" w:ascii="宋体" w:hAnsi="宋体" w:cs="Arial"/>
                <w:color w:val="auto"/>
                <w:sz w:val="18"/>
                <w:szCs w:val="18"/>
              </w:rPr>
              <w:t>8.内置麦克风咪头≥16，拾音范围≥前向180º，拾音距离≥12米；</w:t>
            </w:r>
          </w:p>
          <w:p w14:paraId="47CAB1EC">
            <w:pPr>
              <w:widowControl/>
              <w:spacing w:line="400" w:lineRule="exact"/>
              <w:rPr>
                <w:rFonts w:ascii="宋体" w:hAnsi="宋体" w:cs="Arial"/>
                <w:color w:val="auto"/>
                <w:sz w:val="18"/>
                <w:szCs w:val="18"/>
              </w:rPr>
            </w:pPr>
            <w:r>
              <w:rPr>
                <w:rFonts w:hint="eastAsia" w:ascii="宋体" w:hAnsi="宋体" w:cs="Arial"/>
                <w:color w:val="auto"/>
                <w:sz w:val="18"/>
                <w:szCs w:val="18"/>
              </w:rPr>
              <w:t>9.内置扬声器≥6个，频响范围不低于90Hz~20KHz，总功率≥44W；</w:t>
            </w:r>
          </w:p>
          <w:p w14:paraId="36BF6BBC">
            <w:pPr>
              <w:widowControl/>
              <w:spacing w:line="400" w:lineRule="exact"/>
              <w:rPr>
                <w:rFonts w:ascii="宋体" w:hAnsi="宋体" w:cs="Arial"/>
                <w:color w:val="auto"/>
                <w:sz w:val="18"/>
                <w:szCs w:val="18"/>
              </w:rPr>
            </w:pPr>
            <w:r>
              <w:rPr>
                <w:rFonts w:hint="eastAsia" w:ascii="宋体" w:hAnsi="宋体" w:cs="Arial"/>
                <w:color w:val="auto"/>
                <w:sz w:val="18"/>
                <w:szCs w:val="18"/>
              </w:rPr>
              <w:t>10.配备≥2支触控笔，支持笔头书写，笔尾擦除功能；</w:t>
            </w:r>
          </w:p>
          <w:p w14:paraId="33FBF7D1">
            <w:pPr>
              <w:widowControl/>
              <w:spacing w:line="400" w:lineRule="exact"/>
              <w:rPr>
                <w:rFonts w:ascii="宋体" w:hAnsi="宋体" w:cs="Arial"/>
                <w:color w:val="auto"/>
                <w:sz w:val="18"/>
                <w:szCs w:val="18"/>
              </w:rPr>
            </w:pPr>
            <w:r>
              <w:rPr>
                <w:rFonts w:hint="eastAsia" w:ascii="宋体" w:hAnsi="宋体" w:cs="Arial"/>
                <w:color w:val="auto"/>
                <w:sz w:val="18"/>
                <w:szCs w:val="18"/>
              </w:rPr>
              <w:t>▲11.配备≥2路HDMI视频输入接口(HDMI版本≥2.0)、≥1路HDMI视频输出接口(HDMI版本≥2.0)、支持≥1路TOUCH 接口(支持对外供电，符合IEEE 802.3 af标准)、≥3路USB接口；(提供带有CMA 或CNAS 标识的第三方权威检测机构出具的检测报告扫描件证明)</w:t>
            </w:r>
          </w:p>
          <w:p w14:paraId="28013C4A">
            <w:pPr>
              <w:widowControl/>
              <w:spacing w:line="400" w:lineRule="exact"/>
              <w:rPr>
                <w:rFonts w:ascii="宋体" w:hAnsi="宋体" w:cs="Arial"/>
                <w:color w:val="auto"/>
                <w:sz w:val="18"/>
                <w:szCs w:val="18"/>
              </w:rPr>
            </w:pPr>
            <w:r>
              <w:rPr>
                <w:rFonts w:hint="eastAsia" w:ascii="宋体" w:hAnsi="宋体" w:cs="Arial"/>
                <w:color w:val="auto"/>
                <w:sz w:val="18"/>
                <w:szCs w:val="18"/>
              </w:rPr>
              <w:t>12.内置电子白板应用，支持双人书写，可同时用触控笔或手指进行书写批注；白板内容支持本地保存、扫码保存、发送至指定邮箱保存；</w:t>
            </w:r>
          </w:p>
          <w:p w14:paraId="15D3217D">
            <w:pPr>
              <w:widowControl/>
              <w:spacing w:line="400" w:lineRule="exact"/>
              <w:rPr>
                <w:rFonts w:ascii="宋体" w:hAnsi="宋体" w:cs="Arial"/>
                <w:color w:val="auto"/>
                <w:sz w:val="18"/>
                <w:szCs w:val="18"/>
              </w:rPr>
            </w:pPr>
            <w:r>
              <w:rPr>
                <w:rFonts w:hint="eastAsia" w:ascii="宋体" w:hAnsi="宋体" w:cs="Arial"/>
                <w:color w:val="auto"/>
                <w:sz w:val="18"/>
                <w:szCs w:val="18"/>
              </w:rPr>
              <w:t>13.支持开机画面自定义；内置Type-C接口支持音视频输入；</w:t>
            </w:r>
          </w:p>
          <w:p w14:paraId="3FE4C296">
            <w:pPr>
              <w:widowControl/>
              <w:spacing w:line="400" w:lineRule="exact"/>
              <w:rPr>
                <w:rFonts w:ascii="宋体" w:hAnsi="宋体" w:cs="Arial"/>
                <w:color w:val="auto"/>
                <w:sz w:val="18"/>
                <w:szCs w:val="18"/>
              </w:rPr>
            </w:pPr>
            <w:r>
              <w:rPr>
                <w:rFonts w:hint="eastAsia" w:ascii="宋体" w:hAnsi="宋体" w:cs="Arial"/>
                <w:color w:val="auto"/>
                <w:sz w:val="18"/>
                <w:szCs w:val="18"/>
              </w:rPr>
              <w:t>▲14.支持Web控制台对终端控制管理，支持查看终端基础信息、基础配置管理、接口启用/禁用管理、显示信息/音效管理、安全配置管理、用户管理、终端诊断等；(提供带有CMA 或CNAS 标识的第三方权威检测机构出具的检测报告扫描件证明)</w:t>
            </w:r>
          </w:p>
          <w:p w14:paraId="022919F3">
            <w:pPr>
              <w:widowControl/>
              <w:spacing w:line="400" w:lineRule="exact"/>
              <w:rPr>
                <w:rFonts w:ascii="宋体" w:hAnsi="宋体" w:cs="Arial"/>
                <w:color w:val="auto"/>
                <w:sz w:val="18"/>
                <w:szCs w:val="18"/>
              </w:rPr>
            </w:pPr>
            <w:r>
              <w:rPr>
                <w:rFonts w:hint="eastAsia" w:ascii="宋体" w:hAnsi="宋体" w:cs="Arial"/>
                <w:color w:val="auto"/>
                <w:sz w:val="18"/>
                <w:szCs w:val="18"/>
              </w:rPr>
              <w:t>15.支持TCP/IP、DNS、SSH、HTTP、HTTPS、RTP、RTCP、SMTP网络传输协议；</w:t>
            </w:r>
          </w:p>
          <w:p w14:paraId="78115BE3">
            <w:pPr>
              <w:widowControl/>
              <w:spacing w:line="400" w:lineRule="exact"/>
              <w:rPr>
                <w:rFonts w:ascii="宋体" w:hAnsi="宋体" w:cs="Arial"/>
                <w:color w:val="auto"/>
                <w:sz w:val="18"/>
                <w:szCs w:val="18"/>
              </w:rPr>
            </w:pPr>
            <w:r>
              <w:rPr>
                <w:rFonts w:hint="eastAsia" w:ascii="宋体" w:hAnsi="宋体" w:cs="Arial"/>
                <w:color w:val="auto"/>
                <w:sz w:val="18"/>
                <w:szCs w:val="18"/>
              </w:rPr>
              <w:t>16.支持SM1、SM2、SM3、SM4国密加密算法；</w:t>
            </w:r>
          </w:p>
          <w:p w14:paraId="6240405B">
            <w:pPr>
              <w:widowControl/>
              <w:spacing w:line="400" w:lineRule="exact"/>
              <w:rPr>
                <w:rFonts w:ascii="宋体" w:hAnsi="宋体" w:cs="Arial"/>
                <w:color w:val="auto"/>
                <w:sz w:val="18"/>
                <w:szCs w:val="18"/>
              </w:rPr>
            </w:pPr>
            <w:r>
              <w:rPr>
                <w:rFonts w:hint="eastAsia" w:ascii="宋体" w:hAnsi="宋体" w:cs="Arial"/>
                <w:color w:val="auto"/>
                <w:sz w:val="18"/>
                <w:szCs w:val="18"/>
              </w:rPr>
              <w:t>▲17.通过国家强制性产品认证；（提供3C 认证证书扫描件证明）</w:t>
            </w:r>
          </w:p>
        </w:tc>
        <w:tc>
          <w:tcPr>
            <w:tcW w:w="900" w:type="dxa"/>
            <w:tcBorders>
              <w:top w:val="nil"/>
              <w:left w:val="nil"/>
              <w:bottom w:val="single" w:color="auto" w:sz="4" w:space="0"/>
              <w:right w:val="single" w:color="auto" w:sz="4" w:space="0"/>
            </w:tcBorders>
            <w:vAlign w:val="center"/>
          </w:tcPr>
          <w:p w14:paraId="55F1CD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56.00 </w:t>
            </w:r>
          </w:p>
        </w:tc>
        <w:tc>
          <w:tcPr>
            <w:tcW w:w="849" w:type="dxa"/>
            <w:gridSpan w:val="2"/>
            <w:tcBorders>
              <w:top w:val="nil"/>
              <w:left w:val="nil"/>
              <w:bottom w:val="single" w:color="auto" w:sz="4" w:space="0"/>
              <w:right w:val="single" w:color="auto" w:sz="4" w:space="0"/>
            </w:tcBorders>
            <w:vAlign w:val="center"/>
          </w:tcPr>
          <w:p w14:paraId="3860F8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B3C7CB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7163D59">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应急指挥专用服务器</w:t>
            </w:r>
          </w:p>
        </w:tc>
      </w:tr>
      <w:tr w14:paraId="7DDF496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8841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842FC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网络设备万兆交换机</w:t>
            </w:r>
          </w:p>
        </w:tc>
        <w:tc>
          <w:tcPr>
            <w:tcW w:w="5717" w:type="dxa"/>
            <w:tcBorders>
              <w:top w:val="nil"/>
              <w:left w:val="nil"/>
              <w:bottom w:val="single" w:color="auto" w:sz="4" w:space="0"/>
              <w:right w:val="single" w:color="auto" w:sz="4" w:space="0"/>
            </w:tcBorders>
            <w:vAlign w:val="center"/>
          </w:tcPr>
          <w:p w14:paraId="6EF32C44">
            <w:pPr>
              <w:widowControl/>
              <w:spacing w:line="400" w:lineRule="exact"/>
              <w:rPr>
                <w:rFonts w:ascii="宋体" w:hAnsi="宋体" w:cs="Arial"/>
                <w:color w:val="auto"/>
                <w:sz w:val="18"/>
                <w:szCs w:val="18"/>
              </w:rPr>
            </w:pPr>
            <w:r>
              <w:rPr>
                <w:rFonts w:hint="eastAsia" w:ascii="宋体" w:hAnsi="宋体" w:cs="Arial"/>
                <w:color w:val="auto"/>
                <w:sz w:val="18"/>
                <w:szCs w:val="18"/>
              </w:rPr>
              <w:t>1.配备≥8个10/100/1000 Base-T 以太网端口、≥14个1/10G SFP+端口，交换容量≥2.56Tbps/23Tbps，包转发率≥220Mpps；</w:t>
            </w:r>
          </w:p>
          <w:p w14:paraId="5806A16A">
            <w:pPr>
              <w:widowControl/>
              <w:spacing w:line="400" w:lineRule="exact"/>
              <w:rPr>
                <w:rFonts w:ascii="宋体" w:hAnsi="宋体" w:cs="Arial"/>
                <w:color w:val="auto"/>
                <w:sz w:val="18"/>
                <w:szCs w:val="18"/>
              </w:rPr>
            </w:pPr>
            <w:r>
              <w:rPr>
                <w:rFonts w:hint="eastAsia" w:ascii="宋体" w:hAnsi="宋体" w:cs="Arial"/>
                <w:color w:val="auto"/>
                <w:sz w:val="18"/>
                <w:szCs w:val="18"/>
              </w:rPr>
              <w:t>2.支持堆叠、链路聚合、VLAN、流量监控、QoS、ACL等功能，支持IPv4/IPv6静态路由；</w:t>
            </w:r>
          </w:p>
          <w:p w14:paraId="5BE278B8">
            <w:pPr>
              <w:widowControl/>
              <w:spacing w:line="400" w:lineRule="exact"/>
              <w:rPr>
                <w:rFonts w:ascii="宋体" w:hAnsi="宋体" w:cs="Arial"/>
                <w:color w:val="auto"/>
                <w:sz w:val="18"/>
                <w:szCs w:val="18"/>
              </w:rPr>
            </w:pPr>
            <w:r>
              <w:rPr>
                <w:rFonts w:hint="eastAsia" w:ascii="宋体" w:hAnsi="宋体" w:cs="Arial"/>
                <w:color w:val="auto"/>
                <w:sz w:val="18"/>
                <w:szCs w:val="18"/>
              </w:rPr>
              <w:t>3.支持Console、Telnet管理配置。</w:t>
            </w:r>
          </w:p>
          <w:p w14:paraId="6CDC4376">
            <w:pPr>
              <w:widowControl/>
              <w:spacing w:line="400" w:lineRule="exact"/>
              <w:rPr>
                <w:rFonts w:ascii="宋体" w:hAnsi="宋体" w:cs="Arial"/>
                <w:color w:val="auto"/>
                <w:sz w:val="18"/>
                <w:szCs w:val="18"/>
              </w:rPr>
            </w:pPr>
            <w:r>
              <w:rPr>
                <w:rFonts w:hint="eastAsia" w:ascii="宋体" w:hAnsi="宋体" w:cs="Arial"/>
                <w:color w:val="auto"/>
                <w:sz w:val="18"/>
                <w:szCs w:val="18"/>
              </w:rPr>
              <w:t>含SFP+万兆光模块*4。</w:t>
            </w:r>
          </w:p>
        </w:tc>
        <w:tc>
          <w:tcPr>
            <w:tcW w:w="900" w:type="dxa"/>
            <w:tcBorders>
              <w:top w:val="nil"/>
              <w:left w:val="nil"/>
              <w:bottom w:val="single" w:color="auto" w:sz="4" w:space="0"/>
              <w:right w:val="single" w:color="auto" w:sz="4" w:space="0"/>
            </w:tcBorders>
            <w:vAlign w:val="center"/>
          </w:tcPr>
          <w:p w14:paraId="5914E4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1978B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235D33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0FD3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C31C2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存储系统 Nas 存储</w:t>
            </w:r>
          </w:p>
        </w:tc>
        <w:tc>
          <w:tcPr>
            <w:tcW w:w="5717" w:type="dxa"/>
            <w:tcBorders>
              <w:top w:val="nil"/>
              <w:left w:val="nil"/>
              <w:bottom w:val="single" w:color="auto" w:sz="4" w:space="0"/>
              <w:right w:val="single" w:color="auto" w:sz="4" w:space="0"/>
            </w:tcBorders>
            <w:noWrap/>
            <w:vAlign w:val="center"/>
          </w:tcPr>
          <w:p w14:paraId="58C4F98E">
            <w:pPr>
              <w:widowControl/>
              <w:spacing w:line="400" w:lineRule="exact"/>
              <w:rPr>
                <w:rFonts w:ascii="宋体" w:hAnsi="宋体" w:cs="Arial"/>
                <w:color w:val="auto"/>
                <w:sz w:val="18"/>
                <w:szCs w:val="18"/>
              </w:rPr>
            </w:pPr>
            <w:r>
              <w:rPr>
                <w:rFonts w:hint="eastAsia" w:ascii="宋体" w:hAnsi="宋体" w:cs="Arial"/>
                <w:color w:val="auto"/>
                <w:sz w:val="18"/>
                <w:szCs w:val="18"/>
              </w:rPr>
              <w:t>集中存储非结构化数据（视频、文档、图片），提供多设备共享访问；</w:t>
            </w:r>
          </w:p>
          <w:p w14:paraId="6E66D3F0">
            <w:pPr>
              <w:widowControl/>
              <w:spacing w:line="400" w:lineRule="exact"/>
              <w:rPr>
                <w:rFonts w:ascii="宋体" w:hAnsi="宋体" w:cs="Arial"/>
                <w:color w:val="auto"/>
                <w:sz w:val="18"/>
                <w:szCs w:val="18"/>
              </w:rPr>
            </w:pPr>
            <w:r>
              <w:rPr>
                <w:rFonts w:hint="eastAsia" w:ascii="宋体" w:hAnsi="宋体" w:cs="Arial"/>
                <w:color w:val="auto"/>
                <w:sz w:val="18"/>
                <w:szCs w:val="18"/>
              </w:rPr>
              <w:t>4盘位NAS，4×8TB(7200rpm,CMR)；</w:t>
            </w:r>
          </w:p>
          <w:p w14:paraId="2C060CFD">
            <w:pPr>
              <w:widowControl/>
              <w:spacing w:line="400" w:lineRule="exact"/>
              <w:rPr>
                <w:rFonts w:ascii="宋体" w:hAnsi="宋体" w:cs="Arial"/>
                <w:color w:val="auto"/>
                <w:sz w:val="18"/>
                <w:szCs w:val="18"/>
              </w:rPr>
            </w:pPr>
            <w:r>
              <w:rPr>
                <w:rFonts w:hint="eastAsia" w:ascii="宋体" w:hAnsi="宋体" w:cs="Arial"/>
                <w:color w:val="auto"/>
                <w:sz w:val="18"/>
                <w:szCs w:val="18"/>
              </w:rPr>
              <w:t>本次配置RAID5提供≈21.7TB可用空间。</w:t>
            </w:r>
          </w:p>
        </w:tc>
        <w:tc>
          <w:tcPr>
            <w:tcW w:w="900" w:type="dxa"/>
            <w:tcBorders>
              <w:top w:val="nil"/>
              <w:left w:val="nil"/>
              <w:bottom w:val="single" w:color="auto" w:sz="4" w:space="0"/>
              <w:right w:val="single" w:color="auto" w:sz="4" w:space="0"/>
            </w:tcBorders>
            <w:vAlign w:val="center"/>
          </w:tcPr>
          <w:p w14:paraId="7F2D0AD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E05DE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7C324DA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F451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8F00C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GPU 计算节点图形工作站</w:t>
            </w:r>
          </w:p>
        </w:tc>
        <w:tc>
          <w:tcPr>
            <w:tcW w:w="5717" w:type="dxa"/>
            <w:tcBorders>
              <w:top w:val="nil"/>
              <w:left w:val="nil"/>
              <w:bottom w:val="single" w:color="auto" w:sz="4" w:space="0"/>
              <w:right w:val="single" w:color="auto" w:sz="4" w:space="0"/>
            </w:tcBorders>
            <w:noWrap/>
            <w:vAlign w:val="center"/>
          </w:tcPr>
          <w:p w14:paraId="43BC4EFA">
            <w:pPr>
              <w:widowControl/>
              <w:spacing w:line="400" w:lineRule="exact"/>
              <w:rPr>
                <w:rFonts w:ascii="宋体" w:hAnsi="宋体" w:cs="Arial"/>
                <w:color w:val="auto"/>
                <w:sz w:val="18"/>
                <w:szCs w:val="18"/>
              </w:rPr>
            </w:pPr>
            <w:r>
              <w:rPr>
                <w:rFonts w:hint="eastAsia" w:ascii="宋体" w:hAnsi="宋体" w:cs="Arial"/>
                <w:color w:val="auto"/>
                <w:sz w:val="18"/>
                <w:szCs w:val="18"/>
              </w:rPr>
              <w:t>1.CPU≥2颗主频2.6GHz 48核心；内存≥256GB DDR5；存储≥960G SSD+4T HDD；</w:t>
            </w:r>
          </w:p>
          <w:p w14:paraId="57F39323">
            <w:pPr>
              <w:widowControl/>
              <w:spacing w:line="400" w:lineRule="exact"/>
              <w:rPr>
                <w:rFonts w:ascii="宋体" w:hAnsi="宋体" w:cs="Arial"/>
                <w:color w:val="auto"/>
                <w:sz w:val="18"/>
                <w:szCs w:val="18"/>
              </w:rPr>
            </w:pPr>
            <w:r>
              <w:rPr>
                <w:rFonts w:hint="eastAsia" w:ascii="宋体" w:hAnsi="宋体" w:cs="Arial"/>
                <w:color w:val="auto"/>
                <w:sz w:val="18"/>
                <w:szCs w:val="18"/>
              </w:rPr>
              <w:t>2.预留后续硬盘扩容点位，兼容 SAS/SATA 硬盘混插拓展；</w:t>
            </w:r>
          </w:p>
          <w:p w14:paraId="32A7D29E">
            <w:pPr>
              <w:widowControl/>
              <w:spacing w:line="400" w:lineRule="exact"/>
              <w:rPr>
                <w:rFonts w:ascii="宋体" w:hAnsi="宋体" w:cs="Arial"/>
                <w:color w:val="auto"/>
                <w:sz w:val="18"/>
                <w:szCs w:val="18"/>
              </w:rPr>
            </w:pPr>
            <w:r>
              <w:rPr>
                <w:rFonts w:hint="eastAsia" w:ascii="宋体" w:hAnsi="宋体" w:cs="Arial"/>
                <w:color w:val="auto"/>
                <w:sz w:val="18"/>
                <w:szCs w:val="18"/>
              </w:rPr>
              <w:t>3.配备缓存≥4GB，三模（兼容SAS/SATA/NVMe）RAID 阵列卡；</w:t>
            </w:r>
          </w:p>
          <w:p w14:paraId="39BD8AAA">
            <w:pPr>
              <w:widowControl/>
              <w:spacing w:line="400" w:lineRule="exact"/>
              <w:rPr>
                <w:rFonts w:ascii="宋体" w:hAnsi="宋体" w:cs="Arial"/>
                <w:color w:val="auto"/>
                <w:sz w:val="18"/>
                <w:szCs w:val="18"/>
              </w:rPr>
            </w:pPr>
            <w:r>
              <w:rPr>
                <w:rFonts w:hint="eastAsia" w:ascii="宋体" w:hAnsi="宋体" w:cs="Arial"/>
                <w:color w:val="auto"/>
                <w:sz w:val="18"/>
                <w:szCs w:val="18"/>
              </w:rPr>
              <w:t>4.配置≥2 张 K100 AI计算加速显卡；</w:t>
            </w:r>
          </w:p>
          <w:p w14:paraId="63883B14">
            <w:pPr>
              <w:widowControl/>
              <w:spacing w:line="400" w:lineRule="exact"/>
              <w:rPr>
                <w:rFonts w:ascii="宋体" w:hAnsi="宋体" w:cs="Arial"/>
                <w:color w:val="auto"/>
                <w:sz w:val="18"/>
                <w:szCs w:val="18"/>
              </w:rPr>
            </w:pPr>
            <w:r>
              <w:rPr>
                <w:rFonts w:hint="eastAsia" w:ascii="宋体" w:hAnsi="宋体" w:cs="Arial"/>
                <w:color w:val="auto"/>
                <w:sz w:val="18"/>
                <w:szCs w:val="18"/>
              </w:rPr>
              <w:t>5.配置≥2 个万兆以太网接口；</w:t>
            </w:r>
          </w:p>
          <w:p w14:paraId="1C1328F4">
            <w:pPr>
              <w:widowControl/>
              <w:spacing w:line="400" w:lineRule="exact"/>
              <w:rPr>
                <w:rFonts w:ascii="宋体" w:hAnsi="宋体" w:cs="Arial"/>
                <w:color w:val="auto"/>
                <w:sz w:val="18"/>
                <w:szCs w:val="18"/>
              </w:rPr>
            </w:pPr>
            <w:r>
              <w:rPr>
                <w:rFonts w:hint="eastAsia" w:ascii="宋体" w:hAnsi="宋体" w:cs="Arial"/>
                <w:color w:val="auto"/>
                <w:sz w:val="18"/>
                <w:szCs w:val="18"/>
              </w:rPr>
              <w:t>6.配备冗余电源模块。</w:t>
            </w:r>
          </w:p>
        </w:tc>
        <w:tc>
          <w:tcPr>
            <w:tcW w:w="900" w:type="dxa"/>
            <w:tcBorders>
              <w:top w:val="nil"/>
              <w:left w:val="nil"/>
              <w:bottom w:val="single" w:color="auto" w:sz="4" w:space="0"/>
              <w:right w:val="single" w:color="auto" w:sz="4" w:space="0"/>
            </w:tcBorders>
            <w:vAlign w:val="center"/>
          </w:tcPr>
          <w:p w14:paraId="2616DE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661AC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E914E2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D969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1FBF22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CPU 计算节点工作站</w:t>
            </w:r>
          </w:p>
        </w:tc>
        <w:tc>
          <w:tcPr>
            <w:tcW w:w="5717" w:type="dxa"/>
            <w:tcBorders>
              <w:top w:val="nil"/>
              <w:left w:val="nil"/>
              <w:bottom w:val="single" w:color="auto" w:sz="4" w:space="0"/>
              <w:right w:val="single" w:color="auto" w:sz="4" w:space="0"/>
            </w:tcBorders>
            <w:noWrap/>
            <w:vAlign w:val="center"/>
          </w:tcPr>
          <w:p w14:paraId="0C8797B4">
            <w:pPr>
              <w:widowControl/>
              <w:spacing w:line="400" w:lineRule="exact"/>
              <w:rPr>
                <w:rFonts w:ascii="宋体" w:hAnsi="宋体" w:cs="Arial"/>
                <w:color w:val="auto"/>
                <w:sz w:val="18"/>
                <w:szCs w:val="18"/>
              </w:rPr>
            </w:pPr>
            <w:r>
              <w:rPr>
                <w:rFonts w:hint="eastAsia" w:ascii="宋体" w:hAnsi="宋体" w:cs="Arial"/>
                <w:color w:val="auto"/>
                <w:sz w:val="18"/>
                <w:szCs w:val="18"/>
              </w:rPr>
              <w:t>1.CPU≥主频2.4GHz 48核心；内存≥128GB DDR5；存储≥960G SSD+2T HDD；</w:t>
            </w:r>
          </w:p>
          <w:p w14:paraId="75D6A3E7">
            <w:pPr>
              <w:widowControl/>
              <w:spacing w:line="400" w:lineRule="exact"/>
              <w:rPr>
                <w:rFonts w:ascii="宋体" w:hAnsi="宋体" w:cs="Arial"/>
                <w:color w:val="auto"/>
                <w:sz w:val="18"/>
                <w:szCs w:val="18"/>
              </w:rPr>
            </w:pPr>
            <w:r>
              <w:rPr>
                <w:rFonts w:hint="eastAsia" w:ascii="宋体" w:hAnsi="宋体" w:cs="Arial"/>
                <w:color w:val="auto"/>
                <w:sz w:val="18"/>
                <w:szCs w:val="18"/>
              </w:rPr>
              <w:t>2.预留后续硬盘扩容点位，兼容 SAS/SATA 硬盘混插拓展；</w:t>
            </w:r>
          </w:p>
          <w:p w14:paraId="26780EF5">
            <w:pPr>
              <w:widowControl/>
              <w:spacing w:line="400" w:lineRule="exact"/>
              <w:rPr>
                <w:rFonts w:ascii="宋体" w:hAnsi="宋体" w:cs="Arial"/>
                <w:color w:val="auto"/>
                <w:sz w:val="18"/>
                <w:szCs w:val="18"/>
              </w:rPr>
            </w:pPr>
            <w:r>
              <w:rPr>
                <w:rFonts w:hint="eastAsia" w:ascii="宋体" w:hAnsi="宋体" w:cs="Arial"/>
                <w:color w:val="auto"/>
                <w:sz w:val="18"/>
                <w:szCs w:val="18"/>
              </w:rPr>
              <w:t>3.配置≥2 个万兆以太网接口；</w:t>
            </w:r>
          </w:p>
          <w:p w14:paraId="02A1DCBB">
            <w:pPr>
              <w:widowControl/>
              <w:spacing w:line="400" w:lineRule="exact"/>
              <w:rPr>
                <w:rFonts w:ascii="宋体" w:hAnsi="宋体" w:cs="Arial"/>
                <w:color w:val="auto"/>
                <w:sz w:val="18"/>
                <w:szCs w:val="18"/>
              </w:rPr>
            </w:pPr>
            <w:r>
              <w:rPr>
                <w:rFonts w:hint="eastAsia" w:ascii="宋体" w:hAnsi="宋体" w:cs="Arial"/>
                <w:color w:val="auto"/>
                <w:sz w:val="18"/>
                <w:szCs w:val="18"/>
              </w:rPr>
              <w:t>4.配备冗余电源模块。</w:t>
            </w:r>
          </w:p>
        </w:tc>
        <w:tc>
          <w:tcPr>
            <w:tcW w:w="900" w:type="dxa"/>
            <w:tcBorders>
              <w:top w:val="nil"/>
              <w:left w:val="nil"/>
              <w:bottom w:val="single" w:color="auto" w:sz="4" w:space="0"/>
              <w:right w:val="single" w:color="auto" w:sz="4" w:space="0"/>
            </w:tcBorders>
            <w:vAlign w:val="center"/>
          </w:tcPr>
          <w:p w14:paraId="169DA6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918FC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CB6337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76F3B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137683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专用网络链路</w:t>
            </w:r>
          </w:p>
        </w:tc>
        <w:tc>
          <w:tcPr>
            <w:tcW w:w="5717" w:type="dxa"/>
            <w:tcBorders>
              <w:top w:val="nil"/>
              <w:left w:val="nil"/>
              <w:bottom w:val="single" w:color="auto" w:sz="4" w:space="0"/>
              <w:right w:val="single" w:color="auto" w:sz="4" w:space="0"/>
            </w:tcBorders>
            <w:vAlign w:val="center"/>
          </w:tcPr>
          <w:p w14:paraId="1E24F54B">
            <w:pPr>
              <w:widowControl/>
              <w:spacing w:line="400" w:lineRule="exact"/>
              <w:jc w:val="left"/>
              <w:rPr>
                <w:rFonts w:ascii="宋体" w:hAnsi="宋体" w:cs="Arial"/>
                <w:color w:val="auto"/>
                <w:sz w:val="18"/>
                <w:szCs w:val="18"/>
              </w:rPr>
            </w:pPr>
            <w:r>
              <w:rPr>
                <w:rFonts w:hint="eastAsia" w:ascii="宋体" w:hAnsi="宋体" w:cs="Arial"/>
                <w:color w:val="auto"/>
                <w:sz w:val="18"/>
                <w:szCs w:val="18"/>
              </w:rPr>
              <w:t>370固定基站专线10M*6条；</w:t>
            </w:r>
          </w:p>
          <w:p w14:paraId="409F2986">
            <w:pPr>
              <w:widowControl/>
              <w:spacing w:line="400" w:lineRule="exact"/>
              <w:jc w:val="left"/>
              <w:rPr>
                <w:rFonts w:ascii="宋体" w:hAnsi="宋体" w:cs="Arial"/>
                <w:color w:val="auto"/>
                <w:sz w:val="18"/>
                <w:szCs w:val="18"/>
              </w:rPr>
            </w:pPr>
            <w:r>
              <w:rPr>
                <w:rFonts w:hint="eastAsia" w:ascii="宋体" w:hAnsi="宋体" w:cs="Arial"/>
                <w:color w:val="auto"/>
                <w:sz w:val="18"/>
                <w:szCs w:val="18"/>
              </w:rPr>
              <w:t>横向部门间视频对接和会议点调通信链路：专网链路50M*4条、部门专线100M*1条、应急专线*1条；</w:t>
            </w:r>
          </w:p>
          <w:p w14:paraId="2F0642B9">
            <w:pPr>
              <w:widowControl/>
              <w:spacing w:line="400" w:lineRule="exact"/>
              <w:jc w:val="left"/>
              <w:rPr>
                <w:rFonts w:ascii="宋体" w:hAnsi="宋体" w:cs="Arial"/>
                <w:color w:val="auto"/>
                <w:sz w:val="18"/>
                <w:szCs w:val="18"/>
              </w:rPr>
            </w:pPr>
            <w:r>
              <w:rPr>
                <w:rFonts w:hint="eastAsia" w:ascii="宋体" w:hAnsi="宋体" w:cs="Arial"/>
                <w:color w:val="auto"/>
                <w:sz w:val="18"/>
                <w:szCs w:val="18"/>
              </w:rPr>
              <w:t>托管机房电费及万兆直连光纤1条，以及机房互联网专线50M*1条，</w:t>
            </w:r>
          </w:p>
          <w:p w14:paraId="45A69BBD">
            <w:pPr>
              <w:widowControl/>
              <w:spacing w:line="400" w:lineRule="exact"/>
              <w:jc w:val="left"/>
              <w:rPr>
                <w:rFonts w:ascii="宋体" w:hAnsi="宋体" w:cs="Arial"/>
                <w:color w:val="auto"/>
                <w:sz w:val="18"/>
                <w:szCs w:val="18"/>
              </w:rPr>
            </w:pPr>
            <w:r>
              <w:rPr>
                <w:rFonts w:hint="eastAsia" w:ascii="宋体" w:hAnsi="宋体" w:cs="Arial"/>
                <w:color w:val="auto"/>
                <w:sz w:val="18"/>
                <w:szCs w:val="18"/>
              </w:rPr>
              <w:t>共3年</w:t>
            </w:r>
          </w:p>
        </w:tc>
        <w:tc>
          <w:tcPr>
            <w:tcW w:w="900" w:type="dxa"/>
            <w:tcBorders>
              <w:top w:val="nil"/>
              <w:left w:val="nil"/>
              <w:bottom w:val="single" w:color="auto" w:sz="4" w:space="0"/>
              <w:right w:val="single" w:color="auto" w:sz="4" w:space="0"/>
            </w:tcBorders>
            <w:vAlign w:val="center"/>
          </w:tcPr>
          <w:p w14:paraId="23B188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CD2C4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343FA0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E0C1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D7CAA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通信号卡</w:t>
            </w:r>
          </w:p>
        </w:tc>
        <w:tc>
          <w:tcPr>
            <w:tcW w:w="5717" w:type="dxa"/>
            <w:tcBorders>
              <w:top w:val="nil"/>
              <w:left w:val="nil"/>
              <w:bottom w:val="single" w:color="auto" w:sz="4" w:space="0"/>
              <w:right w:val="single" w:color="auto" w:sz="4" w:space="0"/>
            </w:tcBorders>
            <w:vAlign w:val="center"/>
          </w:tcPr>
          <w:p w14:paraId="440E9BE4">
            <w:pPr>
              <w:widowControl/>
              <w:spacing w:line="400" w:lineRule="exact"/>
              <w:jc w:val="left"/>
              <w:rPr>
                <w:rFonts w:ascii="宋体" w:hAnsi="宋体" w:cs="Arial"/>
                <w:color w:val="auto"/>
                <w:sz w:val="18"/>
                <w:szCs w:val="18"/>
              </w:rPr>
            </w:pPr>
            <w:r>
              <w:rPr>
                <w:rFonts w:hint="eastAsia" w:ascii="宋体" w:hAnsi="宋体" w:cs="Arial"/>
                <w:color w:val="auto"/>
                <w:sz w:val="18"/>
                <w:szCs w:val="18"/>
              </w:rPr>
              <w:t>公网通信号卡*329张：共用资源池每月4000G流量，50000分钟通话（流量池超出总量在6000G以内的1元/G、大于6000G的0.6元/G）</w:t>
            </w:r>
          </w:p>
          <w:p w14:paraId="5072130C">
            <w:pPr>
              <w:widowControl/>
              <w:spacing w:line="400" w:lineRule="exact"/>
              <w:jc w:val="left"/>
              <w:rPr>
                <w:rFonts w:ascii="宋体" w:hAnsi="宋体" w:cs="Arial"/>
                <w:color w:val="auto"/>
                <w:sz w:val="18"/>
                <w:szCs w:val="18"/>
              </w:rPr>
            </w:pPr>
            <w:r>
              <w:rPr>
                <w:rFonts w:hint="eastAsia" w:ascii="宋体" w:hAnsi="宋体" w:cs="Arial"/>
                <w:color w:val="auto"/>
                <w:sz w:val="18"/>
                <w:szCs w:val="18"/>
              </w:rPr>
              <w:t>天通卫星通信号卡*156张，含每年1500分钟国内卫星通话；</w:t>
            </w:r>
          </w:p>
          <w:p w14:paraId="12AF085A">
            <w:pPr>
              <w:widowControl/>
              <w:spacing w:line="400" w:lineRule="exact"/>
              <w:jc w:val="left"/>
              <w:rPr>
                <w:rFonts w:ascii="宋体" w:hAnsi="宋体" w:cs="Arial"/>
                <w:color w:val="auto"/>
                <w:sz w:val="18"/>
                <w:szCs w:val="18"/>
              </w:rPr>
            </w:pPr>
            <w:r>
              <w:rPr>
                <w:rFonts w:hint="eastAsia" w:ascii="宋体" w:hAnsi="宋体" w:cs="Arial"/>
                <w:color w:val="auto"/>
                <w:sz w:val="18"/>
                <w:szCs w:val="18"/>
              </w:rPr>
              <w:t>共3年；</w:t>
            </w:r>
          </w:p>
        </w:tc>
        <w:tc>
          <w:tcPr>
            <w:tcW w:w="900" w:type="dxa"/>
            <w:tcBorders>
              <w:top w:val="nil"/>
              <w:left w:val="nil"/>
              <w:bottom w:val="single" w:color="auto" w:sz="4" w:space="0"/>
              <w:right w:val="single" w:color="auto" w:sz="4" w:space="0"/>
            </w:tcBorders>
            <w:vAlign w:val="center"/>
          </w:tcPr>
          <w:p w14:paraId="5FE029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5A703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DDB593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DCC3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D44EC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固定站安装铁塔</w:t>
            </w:r>
          </w:p>
        </w:tc>
        <w:tc>
          <w:tcPr>
            <w:tcW w:w="5717" w:type="dxa"/>
            <w:tcBorders>
              <w:top w:val="nil"/>
              <w:left w:val="nil"/>
              <w:bottom w:val="single" w:color="auto" w:sz="4" w:space="0"/>
              <w:right w:val="single" w:color="auto" w:sz="4" w:space="0"/>
            </w:tcBorders>
            <w:vAlign w:val="center"/>
          </w:tcPr>
          <w:p w14:paraId="68274808">
            <w:pPr>
              <w:widowControl/>
              <w:spacing w:line="400" w:lineRule="exact"/>
              <w:jc w:val="left"/>
              <w:rPr>
                <w:rFonts w:ascii="宋体" w:hAnsi="宋体" w:cs="Arial"/>
                <w:color w:val="auto"/>
                <w:sz w:val="18"/>
                <w:szCs w:val="18"/>
              </w:rPr>
            </w:pPr>
            <w:r>
              <w:rPr>
                <w:rFonts w:hint="eastAsia" w:ascii="宋体" w:hAnsi="宋体" w:cs="Arial"/>
                <w:color w:val="auto"/>
                <w:sz w:val="18"/>
                <w:szCs w:val="18"/>
              </w:rPr>
              <w:t>370固定基站安置，其中4套需租赁铁塔部署，共3年</w:t>
            </w:r>
          </w:p>
        </w:tc>
        <w:tc>
          <w:tcPr>
            <w:tcW w:w="900" w:type="dxa"/>
            <w:tcBorders>
              <w:top w:val="nil"/>
              <w:left w:val="nil"/>
              <w:bottom w:val="single" w:color="auto" w:sz="4" w:space="0"/>
              <w:right w:val="single" w:color="auto" w:sz="4" w:space="0"/>
            </w:tcBorders>
            <w:vAlign w:val="center"/>
          </w:tcPr>
          <w:p w14:paraId="460348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6FC73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B27A24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2F99076">
            <w:pPr>
              <w:widowControl/>
              <w:spacing w:line="400" w:lineRule="exact"/>
              <w:jc w:val="left"/>
              <w:rPr>
                <w:rFonts w:ascii="宋体" w:hAnsi="宋体" w:cs="Arial"/>
                <w:b/>
                <w:bCs/>
                <w:color w:val="auto"/>
                <w:sz w:val="18"/>
                <w:szCs w:val="18"/>
              </w:rPr>
            </w:pPr>
            <w:r>
              <w:rPr>
                <w:rFonts w:hint="eastAsia" w:ascii="宋体" w:hAnsi="宋体" w:cs="Arial"/>
                <w:b/>
                <w:bCs/>
                <w:color w:val="auto"/>
                <w:sz w:val="18"/>
                <w:szCs w:val="18"/>
              </w:rPr>
              <w:t>强化前端灾害监测预警能力</w:t>
            </w:r>
          </w:p>
        </w:tc>
      </w:tr>
      <w:tr w14:paraId="1175387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8A8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F761E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多灾种智能感知预警终端</w:t>
            </w:r>
          </w:p>
        </w:tc>
        <w:tc>
          <w:tcPr>
            <w:tcW w:w="5717" w:type="dxa"/>
            <w:tcBorders>
              <w:top w:val="nil"/>
              <w:left w:val="nil"/>
              <w:bottom w:val="single" w:color="auto" w:sz="4" w:space="0"/>
              <w:right w:val="single" w:color="auto" w:sz="4" w:space="0"/>
            </w:tcBorders>
            <w:vAlign w:val="center"/>
          </w:tcPr>
          <w:p w14:paraId="15ABF2F4">
            <w:pPr>
              <w:widowControl/>
              <w:spacing w:line="400" w:lineRule="exact"/>
              <w:jc w:val="left"/>
              <w:rPr>
                <w:rFonts w:ascii="宋体" w:hAnsi="宋体" w:cs="Arial"/>
                <w:color w:val="auto"/>
                <w:sz w:val="18"/>
                <w:szCs w:val="18"/>
              </w:rPr>
            </w:pPr>
            <w:r>
              <w:rPr>
                <w:rFonts w:hint="eastAsia" w:ascii="宋体" w:hAnsi="宋体" w:cs="Arial"/>
                <w:color w:val="auto"/>
                <w:sz w:val="18"/>
                <w:szCs w:val="18"/>
              </w:rPr>
              <w:t>▲1.采用非杆体拼装、硬件一体化成形设计，集成主机、水文传感、气象传感、摄像头、声光报警器、喇叭、麦克风等模块；(需提供实物照片并加盖原厂公章证明)</w:t>
            </w:r>
          </w:p>
          <w:p w14:paraId="50553F96">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2.配套主杆高度≥3米，横杆长度≥1米，避雷针高度≥1米；需提供厂商技术白皮书或产品彩页并加盖原厂公章证明</w:t>
            </w:r>
          </w:p>
          <w:p w14:paraId="39EC889A">
            <w:pPr>
              <w:widowControl/>
              <w:spacing w:line="400" w:lineRule="exact"/>
              <w:jc w:val="left"/>
              <w:rPr>
                <w:rFonts w:ascii="宋体" w:hAnsi="宋体" w:cs="Arial"/>
                <w:color w:val="auto"/>
                <w:sz w:val="18"/>
                <w:szCs w:val="18"/>
              </w:rPr>
            </w:pPr>
            <w:r>
              <w:rPr>
                <w:rFonts w:hint="eastAsia" w:ascii="宋体" w:hAnsi="宋体" w:cs="Arial"/>
                <w:color w:val="auto"/>
                <w:sz w:val="18"/>
                <w:szCs w:val="18"/>
              </w:rPr>
              <w:t>3.内置国产化主机，具备≥INT8 10Tops 神经网络运算性能，支持数据采集处理、传输、存储、视频识别、语音通讯、应急广播等功能；</w:t>
            </w:r>
          </w:p>
          <w:p w14:paraId="5C76F4DE">
            <w:pPr>
              <w:widowControl/>
              <w:spacing w:line="400" w:lineRule="exact"/>
              <w:jc w:val="left"/>
              <w:rPr>
                <w:rFonts w:ascii="宋体" w:hAnsi="宋体" w:cs="Arial"/>
                <w:color w:val="auto"/>
                <w:sz w:val="18"/>
                <w:szCs w:val="18"/>
              </w:rPr>
            </w:pPr>
            <w:r>
              <w:rPr>
                <w:rFonts w:hint="eastAsia" w:ascii="宋体" w:hAnsi="宋体" w:cs="Arial"/>
                <w:color w:val="auto"/>
                <w:sz w:val="18"/>
                <w:szCs w:val="18"/>
              </w:rPr>
              <w:t>4.内置≥50W防水喇叭，支持应急广播、语音播报；</w:t>
            </w:r>
          </w:p>
          <w:p w14:paraId="4C0EB95F">
            <w:pPr>
              <w:widowControl/>
              <w:spacing w:line="400" w:lineRule="exact"/>
              <w:jc w:val="left"/>
              <w:rPr>
                <w:rFonts w:ascii="宋体" w:hAnsi="宋体" w:cs="Arial"/>
                <w:color w:val="auto"/>
                <w:sz w:val="18"/>
                <w:szCs w:val="18"/>
              </w:rPr>
            </w:pPr>
            <w:r>
              <w:rPr>
                <w:rFonts w:hint="eastAsia" w:ascii="宋体" w:hAnsi="宋体" w:cs="Arial"/>
                <w:color w:val="auto"/>
                <w:sz w:val="18"/>
                <w:szCs w:val="18"/>
              </w:rPr>
              <w:t>5.内置LED报警器，支持爆闪发光模式；</w:t>
            </w:r>
          </w:p>
          <w:p w14:paraId="19CEE58A">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6.支持远程配置管理，可连接平台远程控制，可自动升级系统和算法模型；</w:t>
            </w:r>
          </w:p>
          <w:p w14:paraId="47A3428D">
            <w:pPr>
              <w:widowControl/>
              <w:spacing w:line="400" w:lineRule="exact"/>
              <w:jc w:val="left"/>
              <w:rPr>
                <w:rFonts w:ascii="宋体" w:hAnsi="宋体" w:cs="Arial"/>
                <w:color w:val="auto"/>
                <w:sz w:val="18"/>
                <w:szCs w:val="18"/>
              </w:rPr>
            </w:pPr>
            <w:r>
              <w:rPr>
                <w:rFonts w:hint="eastAsia" w:ascii="宋体" w:hAnsi="宋体" w:cs="Arial"/>
                <w:color w:val="auto"/>
                <w:sz w:val="18"/>
                <w:szCs w:val="18"/>
              </w:rPr>
              <w:t>7.支持本地同时运行多路视频分析、阈值分析；</w:t>
            </w:r>
          </w:p>
          <w:p w14:paraId="0766EEEB">
            <w:pPr>
              <w:widowControl/>
              <w:spacing w:line="400" w:lineRule="exact"/>
              <w:jc w:val="left"/>
              <w:rPr>
                <w:rFonts w:ascii="宋体" w:hAnsi="宋体" w:cs="Arial"/>
                <w:color w:val="auto"/>
                <w:sz w:val="18"/>
                <w:szCs w:val="18"/>
              </w:rPr>
            </w:pPr>
            <w:r>
              <w:rPr>
                <w:rFonts w:hint="eastAsia" w:ascii="宋体" w:hAnsi="宋体" w:cs="Arial"/>
                <w:color w:val="auto"/>
                <w:sz w:val="18"/>
                <w:szCs w:val="18"/>
              </w:rPr>
              <w:t>8.网络中断期间本地保存全部监测数据与视频，网络恢复后自动续传；</w:t>
            </w:r>
          </w:p>
          <w:p w14:paraId="7811B3EA">
            <w:pPr>
              <w:widowControl/>
              <w:spacing w:line="400" w:lineRule="exact"/>
              <w:jc w:val="left"/>
              <w:rPr>
                <w:rFonts w:ascii="宋体" w:hAnsi="宋体" w:cs="Arial"/>
                <w:color w:val="auto"/>
                <w:sz w:val="18"/>
                <w:szCs w:val="18"/>
              </w:rPr>
            </w:pPr>
            <w:r>
              <w:rPr>
                <w:rFonts w:hint="eastAsia" w:ascii="宋体" w:hAnsi="宋体" w:cs="Arial"/>
                <w:color w:val="auto"/>
                <w:sz w:val="18"/>
                <w:szCs w:val="18"/>
              </w:rPr>
              <w:t>9.支持远程下发语音播报指令，可播放内置媒体文件，文字转写内容，以及直播流和声光报警信号等；</w:t>
            </w:r>
          </w:p>
          <w:p w14:paraId="0131EBF9">
            <w:pPr>
              <w:widowControl/>
              <w:spacing w:line="400" w:lineRule="exact"/>
              <w:jc w:val="left"/>
              <w:rPr>
                <w:rFonts w:ascii="宋体" w:hAnsi="宋体" w:cs="Arial"/>
                <w:color w:val="auto"/>
                <w:sz w:val="18"/>
                <w:szCs w:val="18"/>
              </w:rPr>
            </w:pPr>
            <w:r>
              <w:rPr>
                <w:rFonts w:hint="eastAsia" w:ascii="宋体" w:hAnsi="宋体" w:cs="Arial"/>
                <w:color w:val="auto"/>
                <w:sz w:val="18"/>
                <w:szCs w:val="18"/>
              </w:rPr>
              <w:t>10.支持平台与终端远程语音对话，音频编码支持G.723.1、iLBC、CELP、G.722、G.722.1、Speex、AAC_LD、G.711 a/u；</w:t>
            </w:r>
          </w:p>
          <w:p w14:paraId="085E9DEC">
            <w:pPr>
              <w:widowControl/>
              <w:spacing w:line="400" w:lineRule="exact"/>
              <w:jc w:val="left"/>
              <w:rPr>
                <w:rFonts w:ascii="宋体" w:hAnsi="宋体" w:cs="Arial"/>
                <w:color w:val="auto"/>
                <w:sz w:val="18"/>
                <w:szCs w:val="18"/>
              </w:rPr>
            </w:pPr>
            <w:r>
              <w:rPr>
                <w:rFonts w:hint="eastAsia" w:ascii="宋体" w:hAnsi="宋体" w:cs="Arial"/>
                <w:color w:val="auto"/>
                <w:sz w:val="18"/>
                <w:szCs w:val="18"/>
              </w:rPr>
              <w:t>11.支持平台实时查看监控画面，并进行预览；支持平台上对终端视频巡查，过程全录制；支持平台对多个终端同时调度，进行多方音视频通话；</w:t>
            </w:r>
          </w:p>
          <w:p w14:paraId="2FFAFBFE">
            <w:pPr>
              <w:widowControl/>
              <w:spacing w:line="400" w:lineRule="exact"/>
              <w:jc w:val="left"/>
              <w:rPr>
                <w:rFonts w:ascii="宋体" w:hAnsi="宋体" w:cs="Arial"/>
                <w:color w:val="auto"/>
                <w:sz w:val="18"/>
                <w:szCs w:val="18"/>
              </w:rPr>
            </w:pPr>
            <w:r>
              <w:rPr>
                <w:rFonts w:hint="eastAsia" w:ascii="宋体" w:hAnsi="宋体" w:cs="Arial"/>
                <w:color w:val="auto"/>
                <w:sz w:val="18"/>
                <w:szCs w:val="18"/>
              </w:rPr>
              <w:t>12.配套传感器配置：</w:t>
            </w:r>
          </w:p>
          <w:p w14:paraId="479EBFB9">
            <w:pPr>
              <w:widowControl/>
              <w:spacing w:line="400" w:lineRule="exact"/>
              <w:jc w:val="left"/>
              <w:rPr>
                <w:rFonts w:ascii="宋体" w:hAnsi="宋体" w:cs="Arial"/>
                <w:color w:val="auto"/>
                <w:sz w:val="18"/>
                <w:szCs w:val="18"/>
              </w:rPr>
            </w:pPr>
            <w:r>
              <w:rPr>
                <w:rFonts w:hint="eastAsia" w:ascii="宋体" w:hAnsi="宋体" w:cs="Arial"/>
                <w:color w:val="auto"/>
                <w:sz w:val="18"/>
                <w:szCs w:val="18"/>
              </w:rPr>
              <w:t>(1).气象感知</w:t>
            </w:r>
          </w:p>
          <w:p w14:paraId="70AC205A">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支持雨量、风向、风速、温度、湿度、光照强度、大气压力等气象要素监测；</w:t>
            </w:r>
          </w:p>
          <w:p w14:paraId="4CFB754D">
            <w:pPr>
              <w:widowControl/>
              <w:spacing w:line="400" w:lineRule="exact"/>
              <w:jc w:val="left"/>
              <w:rPr>
                <w:rFonts w:ascii="宋体" w:hAnsi="宋体" w:cs="Arial"/>
                <w:color w:val="auto"/>
                <w:sz w:val="18"/>
                <w:szCs w:val="18"/>
              </w:rPr>
            </w:pPr>
            <w:r>
              <w:rPr>
                <w:rFonts w:hint="eastAsia" w:ascii="宋体" w:hAnsi="宋体" w:cs="Arial"/>
                <w:color w:val="auto"/>
                <w:sz w:val="18"/>
                <w:szCs w:val="18"/>
              </w:rPr>
              <w:t>温度测量范围不低于-40~85℃；</w:t>
            </w:r>
          </w:p>
          <w:p w14:paraId="7483E5FB">
            <w:pPr>
              <w:widowControl/>
              <w:spacing w:line="400" w:lineRule="exact"/>
              <w:jc w:val="left"/>
              <w:rPr>
                <w:rFonts w:ascii="宋体" w:hAnsi="宋体" w:cs="Arial"/>
                <w:color w:val="auto"/>
                <w:sz w:val="18"/>
                <w:szCs w:val="18"/>
              </w:rPr>
            </w:pPr>
            <w:r>
              <w:rPr>
                <w:rFonts w:hint="eastAsia" w:ascii="宋体" w:hAnsi="宋体" w:cs="Arial"/>
                <w:color w:val="auto"/>
                <w:sz w:val="18"/>
                <w:szCs w:val="18"/>
              </w:rPr>
              <w:t>湿度测量范围不低于0~100%RH；</w:t>
            </w:r>
          </w:p>
          <w:p w14:paraId="345E754E">
            <w:pPr>
              <w:widowControl/>
              <w:spacing w:line="400" w:lineRule="exact"/>
              <w:jc w:val="left"/>
              <w:rPr>
                <w:rFonts w:ascii="宋体" w:hAnsi="宋体" w:cs="Arial"/>
                <w:color w:val="auto"/>
                <w:sz w:val="18"/>
                <w:szCs w:val="18"/>
              </w:rPr>
            </w:pPr>
            <w:r>
              <w:rPr>
                <w:rFonts w:hint="eastAsia" w:ascii="宋体" w:hAnsi="宋体" w:cs="Arial"/>
                <w:color w:val="auto"/>
                <w:sz w:val="18"/>
                <w:szCs w:val="18"/>
              </w:rPr>
              <w:t>大气压力测量范围不低于300~1250hPa；</w:t>
            </w:r>
          </w:p>
          <w:p w14:paraId="3AFC5D6E">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光照强度测量范围不低于0~188000Lux；</w:t>
            </w:r>
          </w:p>
          <w:p w14:paraId="545EE336">
            <w:pPr>
              <w:widowControl/>
              <w:spacing w:line="400" w:lineRule="exact"/>
              <w:jc w:val="left"/>
              <w:rPr>
                <w:rFonts w:ascii="宋体" w:hAnsi="宋体" w:cs="Arial"/>
                <w:color w:val="auto"/>
                <w:sz w:val="18"/>
                <w:szCs w:val="18"/>
              </w:rPr>
            </w:pPr>
            <w:r>
              <w:rPr>
                <w:rFonts w:hint="eastAsia" w:ascii="宋体" w:hAnsi="宋体" w:cs="Arial"/>
                <w:color w:val="auto"/>
                <w:sz w:val="18"/>
                <w:szCs w:val="18"/>
              </w:rPr>
              <w:t>风速测量范围不低于0~60；</w:t>
            </w:r>
          </w:p>
          <w:p w14:paraId="3807119F">
            <w:pPr>
              <w:widowControl/>
              <w:spacing w:line="400" w:lineRule="exact"/>
              <w:jc w:val="left"/>
              <w:rPr>
                <w:rFonts w:ascii="宋体" w:hAnsi="宋体" w:cs="Arial"/>
                <w:color w:val="auto"/>
                <w:sz w:val="18"/>
                <w:szCs w:val="18"/>
              </w:rPr>
            </w:pPr>
            <w:r>
              <w:rPr>
                <w:rFonts w:hint="eastAsia" w:ascii="宋体" w:hAnsi="宋体" w:cs="Arial"/>
                <w:color w:val="auto"/>
                <w:sz w:val="18"/>
                <w:szCs w:val="18"/>
              </w:rPr>
              <w:t>风向测量范围不低于0~360º；</w:t>
            </w:r>
          </w:p>
          <w:p w14:paraId="4E9CC7D7">
            <w:pPr>
              <w:widowControl/>
              <w:spacing w:line="400" w:lineRule="exact"/>
              <w:jc w:val="left"/>
              <w:rPr>
                <w:rFonts w:ascii="宋体" w:hAnsi="宋体" w:cs="Arial"/>
                <w:color w:val="auto"/>
                <w:sz w:val="18"/>
                <w:szCs w:val="18"/>
              </w:rPr>
            </w:pPr>
            <w:r>
              <w:rPr>
                <w:rFonts w:hint="eastAsia" w:ascii="宋体" w:hAnsi="宋体" w:cs="Arial"/>
                <w:color w:val="auto"/>
                <w:sz w:val="18"/>
                <w:szCs w:val="18"/>
              </w:rPr>
              <w:t>雨量测量范围不低于0~200mm/h；</w:t>
            </w:r>
          </w:p>
          <w:p w14:paraId="1B6D205A">
            <w:pPr>
              <w:widowControl/>
              <w:spacing w:line="400" w:lineRule="exact"/>
              <w:jc w:val="left"/>
              <w:rPr>
                <w:rFonts w:ascii="宋体" w:hAnsi="宋体" w:cs="Arial"/>
                <w:color w:val="auto"/>
                <w:sz w:val="18"/>
                <w:szCs w:val="18"/>
              </w:rPr>
            </w:pPr>
            <w:r>
              <w:rPr>
                <w:rFonts w:hint="eastAsia" w:ascii="宋体" w:hAnsi="宋体" w:cs="Arial"/>
                <w:color w:val="auto"/>
                <w:sz w:val="18"/>
                <w:szCs w:val="18"/>
              </w:rPr>
              <w:t>(2).水文感知</w:t>
            </w:r>
          </w:p>
          <w:p w14:paraId="512A2C77">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支持通过雷达微波反射，实现水位、流速、流量的测量感知；</w:t>
            </w:r>
          </w:p>
          <w:p w14:paraId="33F5A125">
            <w:pPr>
              <w:widowControl/>
              <w:spacing w:line="400" w:lineRule="exact"/>
              <w:jc w:val="left"/>
              <w:rPr>
                <w:rFonts w:ascii="宋体" w:hAnsi="宋体" w:cs="Arial"/>
                <w:color w:val="auto"/>
                <w:sz w:val="18"/>
                <w:szCs w:val="18"/>
              </w:rPr>
            </w:pPr>
            <w:r>
              <w:rPr>
                <w:rFonts w:hint="eastAsia" w:ascii="宋体" w:hAnsi="宋体" w:cs="Arial"/>
                <w:color w:val="auto"/>
                <w:sz w:val="18"/>
                <w:szCs w:val="18"/>
              </w:rPr>
              <w:t>测速范围不低于0.1~20m/s；</w:t>
            </w:r>
          </w:p>
          <w:p w14:paraId="6A49A632">
            <w:pPr>
              <w:widowControl/>
              <w:spacing w:line="400" w:lineRule="exact"/>
              <w:jc w:val="left"/>
              <w:rPr>
                <w:rFonts w:ascii="宋体" w:hAnsi="宋体" w:cs="Arial"/>
                <w:color w:val="auto"/>
                <w:sz w:val="18"/>
                <w:szCs w:val="18"/>
              </w:rPr>
            </w:pPr>
            <w:r>
              <w:rPr>
                <w:rFonts w:hint="eastAsia" w:ascii="宋体" w:hAnsi="宋体" w:cs="Arial"/>
                <w:color w:val="auto"/>
                <w:sz w:val="18"/>
                <w:szCs w:val="18"/>
              </w:rPr>
              <w:t>测速精度不低于±2%；</w:t>
            </w:r>
          </w:p>
          <w:p w14:paraId="24D3BB2C">
            <w:pPr>
              <w:widowControl/>
              <w:spacing w:line="400" w:lineRule="exact"/>
              <w:jc w:val="left"/>
              <w:rPr>
                <w:rFonts w:ascii="宋体" w:hAnsi="宋体" w:cs="Arial"/>
                <w:color w:val="auto"/>
                <w:sz w:val="18"/>
                <w:szCs w:val="18"/>
              </w:rPr>
            </w:pPr>
            <w:r>
              <w:rPr>
                <w:rFonts w:hint="eastAsia" w:ascii="宋体" w:hAnsi="宋体" w:cs="Arial"/>
                <w:color w:val="auto"/>
                <w:sz w:val="18"/>
                <w:szCs w:val="18"/>
              </w:rPr>
              <w:t>速度分辨率不低于0.01m/s；</w:t>
            </w:r>
          </w:p>
          <w:p w14:paraId="141B92A8">
            <w:pPr>
              <w:widowControl/>
              <w:spacing w:line="400" w:lineRule="exact"/>
              <w:jc w:val="left"/>
              <w:rPr>
                <w:rFonts w:ascii="宋体" w:hAnsi="宋体" w:cs="Arial"/>
                <w:color w:val="auto"/>
                <w:sz w:val="18"/>
                <w:szCs w:val="18"/>
              </w:rPr>
            </w:pPr>
            <w:r>
              <w:rPr>
                <w:rFonts w:hint="eastAsia" w:ascii="宋体" w:hAnsi="宋体" w:cs="Arial"/>
                <w:color w:val="auto"/>
                <w:sz w:val="18"/>
                <w:szCs w:val="18"/>
              </w:rPr>
              <w:t>测距范围不低于0.1~50m；</w:t>
            </w:r>
          </w:p>
          <w:p w14:paraId="291F5413">
            <w:pPr>
              <w:widowControl/>
              <w:spacing w:line="400" w:lineRule="exact"/>
              <w:jc w:val="left"/>
              <w:rPr>
                <w:rFonts w:ascii="宋体" w:hAnsi="宋体" w:cs="Arial"/>
                <w:color w:val="auto"/>
                <w:sz w:val="18"/>
                <w:szCs w:val="18"/>
              </w:rPr>
            </w:pPr>
            <w:r>
              <w:rPr>
                <w:rFonts w:hint="eastAsia" w:ascii="宋体" w:hAnsi="宋体" w:cs="Arial"/>
                <w:color w:val="auto"/>
                <w:sz w:val="18"/>
                <w:szCs w:val="18"/>
              </w:rPr>
              <w:t>测距精度不低于±1mm；</w:t>
            </w:r>
          </w:p>
          <w:p w14:paraId="56C9E387">
            <w:pPr>
              <w:widowControl/>
              <w:spacing w:line="400" w:lineRule="exact"/>
              <w:jc w:val="left"/>
              <w:rPr>
                <w:rFonts w:ascii="宋体" w:hAnsi="宋体" w:cs="Arial"/>
                <w:color w:val="auto"/>
                <w:sz w:val="18"/>
                <w:szCs w:val="18"/>
              </w:rPr>
            </w:pPr>
            <w:r>
              <w:rPr>
                <w:rFonts w:hint="eastAsia" w:ascii="宋体" w:hAnsi="宋体" w:cs="Arial"/>
                <w:color w:val="auto"/>
                <w:sz w:val="18"/>
                <w:szCs w:val="18"/>
              </w:rPr>
              <w:t>测距分辨率不低于1mm；</w:t>
            </w:r>
          </w:p>
          <w:p w14:paraId="7137915A">
            <w:pPr>
              <w:widowControl/>
              <w:spacing w:line="400" w:lineRule="exact"/>
              <w:jc w:val="left"/>
              <w:rPr>
                <w:rFonts w:ascii="宋体" w:hAnsi="宋体" w:cs="Arial"/>
                <w:color w:val="auto"/>
                <w:sz w:val="18"/>
                <w:szCs w:val="18"/>
              </w:rPr>
            </w:pPr>
            <w:r>
              <w:rPr>
                <w:rFonts w:hint="eastAsia" w:ascii="宋体" w:hAnsi="宋体" w:cs="Arial"/>
                <w:color w:val="auto"/>
                <w:sz w:val="18"/>
                <w:szCs w:val="18"/>
              </w:rPr>
              <w:t>使用高度可达20m；</w:t>
            </w:r>
          </w:p>
          <w:p w14:paraId="77FBDB4E">
            <w:pPr>
              <w:widowControl/>
              <w:spacing w:line="400" w:lineRule="exact"/>
              <w:jc w:val="left"/>
              <w:rPr>
                <w:rFonts w:ascii="宋体" w:hAnsi="宋体" w:cs="Arial"/>
                <w:color w:val="auto"/>
                <w:sz w:val="18"/>
                <w:szCs w:val="18"/>
              </w:rPr>
            </w:pPr>
            <w:r>
              <w:rPr>
                <w:rFonts w:hint="eastAsia" w:ascii="宋体" w:hAnsi="宋体" w:cs="Arial"/>
                <w:color w:val="auto"/>
                <w:sz w:val="18"/>
                <w:szCs w:val="18"/>
              </w:rPr>
              <w:t>(3).土壤含水感知</w:t>
            </w:r>
          </w:p>
          <w:p w14:paraId="2518005E">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支持通过水分传感器，实时采集土壤含水率和土壤温度；</w:t>
            </w:r>
          </w:p>
          <w:p w14:paraId="495C44F5">
            <w:pPr>
              <w:widowControl/>
              <w:spacing w:line="400" w:lineRule="exact"/>
              <w:jc w:val="left"/>
              <w:rPr>
                <w:rFonts w:ascii="宋体" w:hAnsi="宋体" w:cs="Arial"/>
                <w:color w:val="auto"/>
                <w:sz w:val="18"/>
                <w:szCs w:val="18"/>
              </w:rPr>
            </w:pPr>
            <w:r>
              <w:rPr>
                <w:rFonts w:hint="eastAsia" w:ascii="宋体" w:hAnsi="宋体" w:cs="Arial"/>
                <w:color w:val="auto"/>
                <w:sz w:val="18"/>
                <w:szCs w:val="18"/>
              </w:rPr>
              <w:t>土壤水分范围不低于0~100%；</w:t>
            </w:r>
          </w:p>
          <w:p w14:paraId="48BE6076">
            <w:pPr>
              <w:widowControl/>
              <w:spacing w:line="400" w:lineRule="exact"/>
              <w:jc w:val="left"/>
              <w:rPr>
                <w:rFonts w:ascii="宋体" w:hAnsi="宋体" w:cs="Arial"/>
                <w:color w:val="auto"/>
                <w:sz w:val="18"/>
                <w:szCs w:val="18"/>
              </w:rPr>
            </w:pPr>
            <w:r>
              <w:rPr>
                <w:rFonts w:hint="eastAsia" w:ascii="宋体" w:hAnsi="宋体" w:cs="Arial"/>
                <w:color w:val="auto"/>
                <w:sz w:val="18"/>
                <w:szCs w:val="18"/>
              </w:rPr>
              <w:t>土壤温度范围不低于-40~80°C；</w:t>
            </w:r>
          </w:p>
          <w:p w14:paraId="4ABF9749">
            <w:pPr>
              <w:widowControl/>
              <w:spacing w:line="400" w:lineRule="exact"/>
              <w:jc w:val="left"/>
              <w:rPr>
                <w:rFonts w:ascii="宋体" w:hAnsi="宋体" w:cs="Arial"/>
                <w:color w:val="auto"/>
                <w:sz w:val="18"/>
                <w:szCs w:val="18"/>
              </w:rPr>
            </w:pPr>
            <w:r>
              <w:rPr>
                <w:rFonts w:hint="eastAsia" w:ascii="宋体" w:hAnsi="宋体" w:cs="Arial"/>
                <w:color w:val="auto"/>
                <w:sz w:val="18"/>
                <w:szCs w:val="18"/>
              </w:rPr>
              <w:t>(4).视频感知</w:t>
            </w:r>
          </w:p>
          <w:p w14:paraId="448164AA">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支持双路视频感知，实时采集现场图像；</w:t>
            </w:r>
          </w:p>
          <w:p w14:paraId="1717CFE0">
            <w:pPr>
              <w:widowControl/>
              <w:spacing w:line="400" w:lineRule="exact"/>
              <w:jc w:val="left"/>
              <w:rPr>
                <w:rFonts w:ascii="宋体" w:hAnsi="宋体" w:cs="Arial"/>
                <w:color w:val="auto"/>
                <w:sz w:val="18"/>
                <w:szCs w:val="18"/>
              </w:rPr>
            </w:pPr>
            <w:r>
              <w:rPr>
                <w:rFonts w:hint="eastAsia" w:ascii="宋体" w:hAnsi="宋体" w:cs="Arial"/>
                <w:color w:val="auto"/>
                <w:sz w:val="18"/>
                <w:szCs w:val="18"/>
              </w:rPr>
              <w:t>摄像头≥400万像素，焦距不低于2.8 mm~12 mm，图像尺寸不低于2560x1440；</w:t>
            </w:r>
          </w:p>
          <w:p w14:paraId="0005F2F5">
            <w:pPr>
              <w:widowControl/>
              <w:spacing w:line="400" w:lineRule="exact"/>
              <w:jc w:val="left"/>
              <w:rPr>
                <w:rFonts w:ascii="宋体" w:hAnsi="宋体" w:cs="Arial"/>
                <w:color w:val="auto"/>
                <w:sz w:val="18"/>
                <w:szCs w:val="18"/>
              </w:rPr>
            </w:pPr>
            <w:r>
              <w:rPr>
                <w:rFonts w:hint="eastAsia" w:ascii="宋体" w:hAnsi="宋体" w:cs="Arial"/>
                <w:color w:val="auto"/>
                <w:sz w:val="18"/>
                <w:szCs w:val="18"/>
              </w:rPr>
              <w:t>主码流分辨率：</w:t>
            </w:r>
          </w:p>
          <w:p w14:paraId="4799CA90">
            <w:pPr>
              <w:widowControl/>
              <w:spacing w:line="400" w:lineRule="exact"/>
              <w:jc w:val="left"/>
              <w:rPr>
                <w:rFonts w:ascii="宋体" w:hAnsi="宋体" w:cs="Arial"/>
                <w:color w:val="auto"/>
                <w:sz w:val="18"/>
                <w:szCs w:val="18"/>
              </w:rPr>
            </w:pPr>
            <w:r>
              <w:rPr>
                <w:rFonts w:hint="eastAsia" w:ascii="宋体" w:hAnsi="宋体" w:cs="Arial"/>
                <w:color w:val="auto"/>
                <w:sz w:val="18"/>
                <w:szCs w:val="18"/>
              </w:rPr>
              <w:t>50Hz：25fps(2560×1440，1920×1080，1280×960，1280×720)；</w:t>
            </w:r>
          </w:p>
          <w:p w14:paraId="0DB59838">
            <w:pPr>
              <w:widowControl/>
              <w:spacing w:line="400" w:lineRule="exact"/>
              <w:jc w:val="left"/>
              <w:rPr>
                <w:rFonts w:ascii="宋体" w:hAnsi="宋体" w:cs="Arial"/>
                <w:color w:val="auto"/>
                <w:sz w:val="18"/>
                <w:szCs w:val="18"/>
              </w:rPr>
            </w:pPr>
            <w:r>
              <w:rPr>
                <w:rFonts w:hint="eastAsia" w:ascii="宋体" w:hAnsi="宋体" w:cs="Arial"/>
                <w:color w:val="auto"/>
                <w:sz w:val="18"/>
                <w:szCs w:val="18"/>
              </w:rPr>
              <w:t>60Hz：30fps(2560×1440，1920×1080，1280×960，1280×720)；</w:t>
            </w:r>
          </w:p>
          <w:p w14:paraId="5067F8D2">
            <w:pPr>
              <w:widowControl/>
              <w:spacing w:line="400" w:lineRule="exact"/>
              <w:jc w:val="left"/>
              <w:rPr>
                <w:rFonts w:ascii="宋体" w:hAnsi="宋体" w:cs="Arial"/>
                <w:color w:val="auto"/>
                <w:sz w:val="18"/>
                <w:szCs w:val="18"/>
              </w:rPr>
            </w:pPr>
            <w:r>
              <w:rPr>
                <w:rFonts w:hint="eastAsia" w:ascii="宋体" w:hAnsi="宋体" w:cs="Arial"/>
                <w:color w:val="auto"/>
                <w:sz w:val="18"/>
                <w:szCs w:val="18"/>
              </w:rPr>
              <w:t>子码流分辨率：</w:t>
            </w:r>
          </w:p>
          <w:p w14:paraId="7D3BE130">
            <w:pPr>
              <w:widowControl/>
              <w:spacing w:line="400" w:lineRule="exact"/>
              <w:jc w:val="left"/>
              <w:rPr>
                <w:rFonts w:ascii="宋体" w:hAnsi="宋体" w:cs="Arial"/>
                <w:color w:val="auto"/>
                <w:sz w:val="18"/>
                <w:szCs w:val="18"/>
              </w:rPr>
            </w:pPr>
            <w:r>
              <w:rPr>
                <w:rFonts w:hint="eastAsia" w:ascii="宋体" w:hAnsi="宋体" w:cs="Arial"/>
                <w:color w:val="auto"/>
                <w:sz w:val="18"/>
                <w:szCs w:val="18"/>
              </w:rPr>
              <w:t>50Hz：25fps(704×576，640×480，352×288)；</w:t>
            </w:r>
          </w:p>
          <w:p w14:paraId="57216F80">
            <w:pPr>
              <w:widowControl/>
              <w:spacing w:line="400" w:lineRule="exact"/>
              <w:jc w:val="left"/>
              <w:rPr>
                <w:rFonts w:ascii="宋体" w:hAnsi="宋体" w:cs="Arial"/>
                <w:color w:val="auto"/>
                <w:sz w:val="18"/>
                <w:szCs w:val="18"/>
              </w:rPr>
            </w:pPr>
            <w:r>
              <w:rPr>
                <w:rFonts w:hint="eastAsia" w:ascii="宋体" w:hAnsi="宋体" w:cs="Arial"/>
                <w:color w:val="auto"/>
                <w:sz w:val="18"/>
                <w:szCs w:val="18"/>
              </w:rPr>
              <w:t>60Hz：30fps(704×480，640×480，352×240)；</w:t>
            </w:r>
          </w:p>
          <w:p w14:paraId="1FB86EEF">
            <w:pPr>
              <w:widowControl/>
              <w:spacing w:line="400" w:lineRule="exact"/>
              <w:jc w:val="left"/>
              <w:rPr>
                <w:rFonts w:ascii="宋体" w:hAnsi="宋体" w:cs="Arial"/>
                <w:color w:val="auto"/>
                <w:sz w:val="18"/>
                <w:szCs w:val="18"/>
              </w:rPr>
            </w:pPr>
            <w:r>
              <w:rPr>
                <w:rFonts w:hint="eastAsia" w:ascii="宋体" w:hAnsi="宋体" w:cs="Arial"/>
                <w:color w:val="auto"/>
                <w:sz w:val="18"/>
                <w:szCs w:val="18"/>
              </w:rPr>
              <w:t>视频编码支持H.265/H.264；</w:t>
            </w:r>
          </w:p>
          <w:p w14:paraId="573FB500">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支持图像增强，超宽动态，强光抑制，背光补偿等功能；</w:t>
            </w:r>
          </w:p>
          <w:p w14:paraId="6B580B61">
            <w:pPr>
              <w:widowControl/>
              <w:spacing w:line="400" w:lineRule="exact"/>
              <w:jc w:val="left"/>
              <w:rPr>
                <w:rFonts w:ascii="宋体" w:hAnsi="宋体" w:cs="Arial"/>
                <w:color w:val="auto"/>
                <w:sz w:val="18"/>
                <w:szCs w:val="18"/>
              </w:rPr>
            </w:pPr>
            <w:r>
              <w:rPr>
                <w:rFonts w:hint="eastAsia" w:ascii="宋体" w:hAnsi="宋体" w:cs="Arial"/>
                <w:color w:val="auto"/>
                <w:sz w:val="18"/>
                <w:szCs w:val="18"/>
              </w:rPr>
              <w:t>水平视角不低于107.4~39.8º(广角-望远)；</w:t>
            </w:r>
          </w:p>
          <w:p w14:paraId="03337CBC">
            <w:pPr>
              <w:widowControl/>
              <w:spacing w:line="400" w:lineRule="exact"/>
              <w:jc w:val="left"/>
              <w:rPr>
                <w:rFonts w:ascii="宋体" w:hAnsi="宋体" w:cs="Arial"/>
                <w:color w:val="auto"/>
                <w:sz w:val="18"/>
                <w:szCs w:val="18"/>
              </w:rPr>
            </w:pPr>
            <w:r>
              <w:rPr>
                <w:rFonts w:hint="eastAsia" w:ascii="宋体" w:hAnsi="宋体" w:cs="Arial"/>
                <w:color w:val="auto"/>
                <w:sz w:val="18"/>
                <w:szCs w:val="18"/>
              </w:rPr>
              <w:t>13.配备千兆网口，支持有线网络通信；配备4G/5G全网通模块，支持5G NR、FDD-LTE、TDD-LTE；</w:t>
            </w:r>
          </w:p>
          <w:p w14:paraId="168B6049">
            <w:pPr>
              <w:widowControl/>
              <w:spacing w:line="400" w:lineRule="exact"/>
              <w:jc w:val="left"/>
              <w:rPr>
                <w:rFonts w:ascii="宋体" w:hAnsi="宋体" w:cs="Arial"/>
                <w:color w:val="auto"/>
                <w:sz w:val="18"/>
                <w:szCs w:val="18"/>
              </w:rPr>
            </w:pPr>
            <w:r>
              <w:rPr>
                <w:rFonts w:hint="eastAsia" w:ascii="宋体" w:hAnsi="宋体" w:cs="Arial"/>
                <w:color w:val="auto"/>
                <w:sz w:val="18"/>
                <w:szCs w:val="18"/>
              </w:rPr>
              <w:t>14.支持通过卫星收发关键数据：</w:t>
            </w:r>
          </w:p>
          <w:p w14:paraId="2EA59B2C">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(1).配备高增益微带天线，等效口径不低于0.15m，波束角≥20º；</w:t>
            </w:r>
          </w:p>
          <w:p w14:paraId="59E8CDCF">
            <w:pPr>
              <w:widowControl/>
              <w:spacing w:line="400" w:lineRule="exact"/>
              <w:jc w:val="left"/>
              <w:rPr>
                <w:rFonts w:ascii="宋体" w:hAnsi="宋体" w:cs="Arial"/>
                <w:color w:val="auto"/>
                <w:sz w:val="18"/>
                <w:szCs w:val="18"/>
              </w:rPr>
            </w:pPr>
            <w:r>
              <w:rPr>
                <w:rFonts w:hint="eastAsia" w:ascii="宋体" w:hAnsi="宋体" w:cs="Arial"/>
                <w:color w:val="auto"/>
                <w:sz w:val="18"/>
                <w:szCs w:val="18"/>
              </w:rPr>
              <w:t>(2).接收频率支持3.7~4.2GHz，发射频率支持5.925~6.425GHz；</w:t>
            </w:r>
          </w:p>
          <w:p w14:paraId="69FD697D">
            <w:pPr>
              <w:widowControl/>
              <w:spacing w:line="400" w:lineRule="exact"/>
              <w:jc w:val="left"/>
              <w:rPr>
                <w:rFonts w:ascii="宋体" w:hAnsi="宋体" w:cs="Arial"/>
                <w:color w:val="auto"/>
                <w:sz w:val="18"/>
                <w:szCs w:val="18"/>
              </w:rPr>
            </w:pPr>
            <w:r>
              <w:rPr>
                <w:rFonts w:hint="eastAsia" w:ascii="宋体" w:hAnsi="宋体" w:cs="Arial"/>
                <w:color w:val="auto"/>
                <w:sz w:val="18"/>
                <w:szCs w:val="18"/>
              </w:rPr>
              <w:t>(3).下行最高通信速率≥256Kbps；</w:t>
            </w:r>
          </w:p>
          <w:p w14:paraId="4E65D5AD">
            <w:pPr>
              <w:widowControl/>
              <w:spacing w:line="400" w:lineRule="exact"/>
              <w:jc w:val="left"/>
              <w:rPr>
                <w:rFonts w:ascii="宋体" w:hAnsi="宋体" w:cs="Arial"/>
                <w:color w:val="auto"/>
                <w:sz w:val="18"/>
                <w:szCs w:val="18"/>
              </w:rPr>
            </w:pPr>
            <w:r>
              <w:rPr>
                <w:rFonts w:hint="eastAsia" w:ascii="宋体" w:hAnsi="宋体" w:cs="Arial"/>
                <w:color w:val="auto"/>
                <w:sz w:val="18"/>
                <w:szCs w:val="18"/>
              </w:rPr>
              <w:t>(4).上行最高通信速率≥20Kbps；</w:t>
            </w:r>
          </w:p>
          <w:p w14:paraId="6121193F">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(5).支持自动功率控制；</w:t>
            </w:r>
          </w:p>
          <w:p w14:paraId="1BCEA750">
            <w:pPr>
              <w:widowControl/>
              <w:spacing w:line="400" w:lineRule="exact"/>
              <w:jc w:val="left"/>
              <w:rPr>
                <w:rFonts w:ascii="宋体" w:hAnsi="宋体" w:cs="Arial"/>
                <w:color w:val="auto"/>
                <w:sz w:val="18"/>
                <w:szCs w:val="18"/>
              </w:rPr>
            </w:pPr>
            <w:r>
              <w:rPr>
                <w:rFonts w:hint="eastAsia" w:ascii="宋体" w:hAnsi="宋体" w:cs="Arial"/>
                <w:color w:val="auto"/>
                <w:sz w:val="18"/>
                <w:szCs w:val="18"/>
              </w:rPr>
              <w:t>15.支持市电供电，同时内置太阳能供电系统(配备≥4800Wh磷酸铁锂电池)，支持过冲，过放，短路等保护功能；</w:t>
            </w:r>
          </w:p>
          <w:p w14:paraId="1E2FBE83">
            <w:pPr>
              <w:widowControl/>
              <w:spacing w:line="400" w:lineRule="exact"/>
              <w:jc w:val="left"/>
              <w:rPr>
                <w:rFonts w:ascii="宋体" w:hAnsi="宋体" w:cs="Arial"/>
                <w:color w:val="auto"/>
                <w:sz w:val="18"/>
                <w:szCs w:val="18"/>
              </w:rPr>
            </w:pPr>
            <w:r>
              <w:rPr>
                <w:rFonts w:hint="eastAsia" w:ascii="宋体" w:hAnsi="宋体" w:cs="Arial"/>
                <w:color w:val="auto"/>
                <w:sz w:val="18"/>
                <w:szCs w:val="18"/>
              </w:rPr>
              <w:t>16.光伏电池片效率≥20%；表面配备钢化玻璃，金属边框；功率≥600W；</w:t>
            </w:r>
          </w:p>
          <w:p w14:paraId="79C94ED7">
            <w:pPr>
              <w:widowControl/>
              <w:spacing w:line="400" w:lineRule="exact"/>
              <w:jc w:val="left"/>
              <w:rPr>
                <w:rFonts w:ascii="宋体" w:hAnsi="宋体" w:cs="Arial"/>
                <w:color w:val="auto"/>
                <w:sz w:val="18"/>
                <w:szCs w:val="18"/>
              </w:rPr>
            </w:pPr>
            <w:r>
              <w:rPr>
                <w:rFonts w:hint="eastAsia" w:ascii="宋体" w:hAnsi="宋体" w:cs="Arial"/>
                <w:color w:val="auto"/>
                <w:sz w:val="18"/>
                <w:szCs w:val="18"/>
              </w:rPr>
              <w:t>17.太阳能控制器支持12V/24V/48V DC多电压自适应，充电电流≥20A，放电电流≥20A；配备液晶屏，可显示电压、电流、状态等；内置浪涌保护器、过载保护器、短路保护器等；</w:t>
            </w:r>
          </w:p>
          <w:p w14:paraId="20DBFA0D">
            <w:pPr>
              <w:widowControl/>
              <w:spacing w:line="400" w:lineRule="exact"/>
              <w:jc w:val="left"/>
              <w:rPr>
                <w:rFonts w:ascii="宋体" w:hAnsi="宋体" w:cs="Arial"/>
                <w:color w:val="auto"/>
                <w:sz w:val="18"/>
                <w:szCs w:val="18"/>
              </w:rPr>
            </w:pPr>
            <w:r>
              <w:rPr>
                <w:rFonts w:hint="eastAsia" w:ascii="宋体" w:hAnsi="宋体" w:cs="Arial"/>
                <w:color w:val="auto"/>
                <w:sz w:val="18"/>
                <w:szCs w:val="18"/>
              </w:rPr>
              <w:t>18.终端防护等级≥IP65；</w:t>
            </w:r>
          </w:p>
          <w:p w14:paraId="594DCBED">
            <w:pPr>
              <w:widowControl/>
              <w:spacing w:line="400" w:lineRule="exact"/>
              <w:jc w:val="left"/>
              <w:rPr>
                <w:rFonts w:ascii="宋体" w:hAnsi="宋体" w:cs="Arial"/>
                <w:color w:val="auto"/>
                <w:sz w:val="18"/>
                <w:szCs w:val="18"/>
              </w:rPr>
            </w:pPr>
            <w:r>
              <w:rPr>
                <w:rFonts w:hint="eastAsia" w:ascii="宋体" w:hAnsi="宋体" w:cs="Arial"/>
                <w:color w:val="auto"/>
                <w:sz w:val="18"/>
                <w:szCs w:val="18"/>
              </w:rPr>
              <w:t>19.支持通过阈值模型、视频AI模型、预警模型多种模型融合综合判断预警：</w:t>
            </w:r>
          </w:p>
          <w:p w14:paraId="2E837255">
            <w:pPr>
              <w:widowControl/>
              <w:spacing w:line="400" w:lineRule="exact"/>
              <w:jc w:val="left"/>
              <w:rPr>
                <w:rFonts w:ascii="宋体" w:hAnsi="宋体" w:cs="Arial"/>
                <w:color w:val="auto"/>
                <w:sz w:val="18"/>
                <w:szCs w:val="18"/>
              </w:rPr>
            </w:pPr>
            <w:r>
              <w:rPr>
                <w:rFonts w:hint="eastAsia" w:ascii="宋体" w:hAnsi="宋体" w:cs="Arial"/>
                <w:color w:val="auto"/>
                <w:sz w:val="18"/>
                <w:szCs w:val="18"/>
              </w:rPr>
              <w:t>(1).预警模型：具备暴雨-河流洪水、暴雨-山洪、暴雨-城市内涝和暴雨-地质灾害等预警模型分析能力，能根据DEM、网格降雨预报等数据，计算山洪、河流洪水、城市内涝发生的淹没范围、淹没水深、淹没概率、时间范围；支持评估各坡度单元滑坡风险，并输出灾害发生概率；</w:t>
            </w:r>
          </w:p>
          <w:p w14:paraId="5A19F26D">
            <w:pPr>
              <w:widowControl/>
              <w:spacing w:line="400" w:lineRule="exact"/>
              <w:jc w:val="left"/>
              <w:rPr>
                <w:rFonts w:ascii="宋体" w:hAnsi="宋体" w:cs="Arial"/>
                <w:color w:val="auto"/>
                <w:sz w:val="18"/>
                <w:szCs w:val="18"/>
              </w:rPr>
            </w:pPr>
            <w:r>
              <w:rPr>
                <w:rFonts w:hint="eastAsia" w:ascii="宋体" w:hAnsi="宋体" w:cs="Arial"/>
                <w:color w:val="auto"/>
                <w:sz w:val="18"/>
                <w:szCs w:val="18"/>
              </w:rPr>
              <w:t>(2).阈值模型：内置基于实时感知数据的暴雨预警、河流水位预警、山洪预警等阈值模型，对传感器采集的各项致灾因子数值综合分析，快速生成临灾预警信号；</w:t>
            </w:r>
          </w:p>
          <w:p w14:paraId="3E6FC736">
            <w:pPr>
              <w:widowControl/>
              <w:spacing w:line="400" w:lineRule="exact"/>
              <w:jc w:val="left"/>
              <w:rPr>
                <w:rFonts w:ascii="宋体" w:hAnsi="宋体" w:cs="Arial"/>
                <w:color w:val="auto"/>
                <w:sz w:val="18"/>
                <w:szCs w:val="18"/>
              </w:rPr>
            </w:pPr>
            <w:r>
              <w:rPr>
                <w:rFonts w:hint="eastAsia" w:ascii="宋体" w:hAnsi="宋体" w:cs="Arial"/>
                <w:color w:val="auto"/>
                <w:sz w:val="18"/>
                <w:szCs w:val="18"/>
              </w:rPr>
              <w:t>(3).视频AI模型：内置河道、地质相关的视觉AI识别模型，通过本地GPU算力对视频图像分析，对正在发生的灾害或者隐患分析并发出警戒；支持自动识别河道淤积、桥涵堵塞等水情异常，以及落石、边坡裂缝、地面裂缝、路面塌陷等险情。</w:t>
            </w:r>
          </w:p>
          <w:p w14:paraId="47C9F906">
            <w:pPr>
              <w:widowControl/>
              <w:spacing w:line="400" w:lineRule="exact"/>
              <w:jc w:val="left"/>
              <w:rPr>
                <w:rFonts w:ascii="宋体" w:hAnsi="宋体" w:cs="Arial"/>
                <w:color w:val="auto"/>
                <w:sz w:val="18"/>
                <w:szCs w:val="18"/>
              </w:rPr>
            </w:pPr>
            <w:r>
              <w:rPr>
                <w:rFonts w:hint="eastAsia" w:ascii="宋体" w:hAnsi="宋体" w:cs="Arial"/>
                <w:color w:val="auto"/>
                <w:sz w:val="18"/>
                <w:szCs w:val="18"/>
              </w:rPr>
              <w:t>▲20.本次安装的多灾种智能感知预警终端需能接入招标人原有安全报警系统，并保持联动，确保报警信息能够实时上传至值班室与指挥大厅，实现“单点触发、多点报警设施联动响应”(需提供承诺函，格式自拟)。</w:t>
            </w:r>
          </w:p>
          <w:p w14:paraId="6177E45F">
            <w:pPr>
              <w:widowControl/>
              <w:spacing w:line="400" w:lineRule="exact"/>
              <w:jc w:val="left"/>
              <w:rPr>
                <w:rFonts w:ascii="宋体" w:hAnsi="宋体" w:cs="Arial"/>
                <w:color w:val="auto"/>
                <w:sz w:val="18"/>
                <w:szCs w:val="18"/>
              </w:rPr>
            </w:pPr>
            <w:r>
              <w:rPr>
                <w:rFonts w:ascii="宋体" w:hAnsi="宋体" w:cs="Arial"/>
                <w:color w:val="auto"/>
                <w:sz w:val="18"/>
                <w:szCs w:val="18"/>
              </w:rPr>
              <w:t>中标公示结束后5个日历日内，中标人须前往盱眙县应急管理局自行搭建测试环境，完成对应产品的现场</w:t>
            </w:r>
            <w:r>
              <w:rPr>
                <w:rFonts w:hint="eastAsia" w:ascii="宋体" w:hAnsi="宋体" w:cs="Arial"/>
                <w:color w:val="auto"/>
                <w:sz w:val="18"/>
                <w:szCs w:val="18"/>
              </w:rPr>
              <w:t>接入</w:t>
            </w:r>
            <w:r>
              <w:rPr>
                <w:rFonts w:ascii="宋体" w:hAnsi="宋体" w:cs="Arial"/>
                <w:color w:val="auto"/>
                <w:sz w:val="18"/>
                <w:szCs w:val="18"/>
              </w:rPr>
              <w:t>测试(需按附件7格式提供承诺函)。</w:t>
            </w:r>
          </w:p>
        </w:tc>
        <w:tc>
          <w:tcPr>
            <w:tcW w:w="900" w:type="dxa"/>
            <w:tcBorders>
              <w:top w:val="nil"/>
              <w:left w:val="nil"/>
              <w:bottom w:val="single" w:color="auto" w:sz="4" w:space="0"/>
              <w:right w:val="single" w:color="auto" w:sz="4" w:space="0"/>
            </w:tcBorders>
            <w:vAlign w:val="center"/>
          </w:tcPr>
          <w:p w14:paraId="4F8103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 </w:t>
            </w:r>
          </w:p>
        </w:tc>
        <w:tc>
          <w:tcPr>
            <w:tcW w:w="849" w:type="dxa"/>
            <w:gridSpan w:val="2"/>
            <w:tcBorders>
              <w:top w:val="nil"/>
              <w:left w:val="nil"/>
              <w:bottom w:val="single" w:color="auto" w:sz="4" w:space="0"/>
              <w:right w:val="single" w:color="auto" w:sz="4" w:space="0"/>
            </w:tcBorders>
            <w:vAlign w:val="center"/>
          </w:tcPr>
          <w:p w14:paraId="2379C4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30F7F6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6659B9C">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灾害风险监测预警感知数据分析</w:t>
            </w:r>
          </w:p>
        </w:tc>
      </w:tr>
      <w:tr w14:paraId="252F913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9729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62864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智能感知信息接入</w:t>
            </w:r>
          </w:p>
        </w:tc>
        <w:tc>
          <w:tcPr>
            <w:tcW w:w="5717" w:type="dxa"/>
            <w:tcBorders>
              <w:top w:val="nil"/>
              <w:left w:val="nil"/>
              <w:bottom w:val="single" w:color="auto" w:sz="4" w:space="0"/>
              <w:right w:val="single" w:color="auto" w:sz="4" w:space="0"/>
            </w:tcBorders>
            <w:vAlign w:val="center"/>
          </w:tcPr>
          <w:p w14:paraId="1372F791">
            <w:pPr>
              <w:widowControl/>
              <w:spacing w:line="400" w:lineRule="exact"/>
              <w:rPr>
                <w:rFonts w:ascii="宋体" w:hAnsi="宋体" w:cs="Arial"/>
                <w:color w:val="auto"/>
                <w:sz w:val="18"/>
                <w:szCs w:val="18"/>
              </w:rPr>
            </w:pPr>
            <w:r>
              <w:rPr>
                <w:rFonts w:hint="eastAsia" w:ascii="宋体" w:hAnsi="宋体" w:cs="Arial"/>
                <w:color w:val="auto"/>
                <w:sz w:val="18"/>
                <w:szCs w:val="18"/>
              </w:rPr>
              <w:t>物联网数据接入模块将聚焦气象、水文类、地质监测物联网数据的定向接入与整合，通过多渠道数据汇聚、标准化处理与体系化构建，形成结构化、可复用的物联网数据资源池。预警信息接入模块将风险隐患及预警信息全面接入与整合校验，通过智能感知与行业推送双渠道汇聚，为系统预警处置与信息推送提供信息支撑。监测预警信息可视化模块实现监测预警数据的系统化、可视化展示与高效管理。具体要求如下：</w:t>
            </w:r>
          </w:p>
          <w:p w14:paraId="065EEFFB">
            <w:pPr>
              <w:widowControl/>
              <w:spacing w:line="400" w:lineRule="exact"/>
              <w:rPr>
                <w:rFonts w:ascii="宋体" w:hAnsi="宋体" w:cs="Arial"/>
                <w:color w:val="auto"/>
                <w:sz w:val="18"/>
                <w:szCs w:val="18"/>
              </w:rPr>
            </w:pPr>
            <w:r>
              <w:rPr>
                <w:rFonts w:hint="eastAsia" w:ascii="宋体" w:hAnsi="宋体" w:cs="Arial"/>
                <w:color w:val="auto"/>
                <w:sz w:val="18"/>
                <w:szCs w:val="18"/>
              </w:rPr>
              <w:t>1.物联网数据接入：</w:t>
            </w:r>
          </w:p>
          <w:p w14:paraId="3E3C3AB8">
            <w:pPr>
              <w:widowControl/>
              <w:spacing w:line="400" w:lineRule="exact"/>
              <w:rPr>
                <w:rFonts w:ascii="宋体" w:hAnsi="宋体" w:cs="Arial"/>
                <w:color w:val="auto"/>
                <w:sz w:val="18"/>
                <w:szCs w:val="18"/>
              </w:rPr>
            </w:pPr>
            <w:r>
              <w:rPr>
                <w:rFonts w:hint="eastAsia" w:ascii="宋体" w:hAnsi="宋体" w:cs="Arial"/>
                <w:color w:val="auto"/>
                <w:sz w:val="18"/>
                <w:szCs w:val="18"/>
              </w:rPr>
              <w:t>（1）接入多灾种智能监测终端实时监测的雨量、温度、湿度、风速等气象信息，水位、流速等水文信息，视频监控等物联网监测数据，经清洗校准后在系统内直观展示各监测点实时数值、设备在线状态与数据变化趋势，形成可视化物联网监测信息面板。</w:t>
            </w:r>
          </w:p>
          <w:p w14:paraId="4F6CD0A5">
            <w:pPr>
              <w:widowControl/>
              <w:spacing w:line="400" w:lineRule="exact"/>
              <w:rPr>
                <w:rFonts w:ascii="宋体" w:hAnsi="宋体" w:cs="Arial"/>
                <w:color w:val="auto"/>
                <w:sz w:val="18"/>
                <w:szCs w:val="18"/>
              </w:rPr>
            </w:pPr>
            <w:r>
              <w:rPr>
                <w:rFonts w:hint="eastAsia" w:ascii="宋体" w:hAnsi="宋体" w:cs="Arial"/>
                <w:color w:val="auto"/>
                <w:sz w:val="18"/>
                <w:szCs w:val="18"/>
              </w:rPr>
              <w:t>▲（2）物联网感知数据能够无缝对接国家自然灾害监测预警相关系统，实现系统数据的对接与共享</w:t>
            </w:r>
            <w:r>
              <w:rPr>
                <w:rFonts w:ascii="宋体" w:hAnsi="宋体" w:cs="Arial"/>
                <w:color w:val="auto"/>
                <w:sz w:val="18"/>
                <w:szCs w:val="18"/>
              </w:rPr>
              <w:t>(需提供</w:t>
            </w:r>
            <w:r>
              <w:rPr>
                <w:rFonts w:hint="eastAsia" w:ascii="宋体" w:hAnsi="宋体" w:cs="Arial"/>
                <w:color w:val="auto"/>
                <w:sz w:val="18"/>
                <w:szCs w:val="18"/>
              </w:rPr>
              <w:t>承诺函</w:t>
            </w:r>
            <w:r>
              <w:rPr>
                <w:rFonts w:ascii="宋体" w:hAnsi="宋体" w:cs="Arial"/>
                <w:color w:val="auto"/>
                <w:sz w:val="18"/>
                <w:szCs w:val="18"/>
              </w:rPr>
              <w:t>，格式自拟)</w:t>
            </w:r>
            <w:r>
              <w:rPr>
                <w:rFonts w:hint="eastAsia" w:ascii="宋体" w:hAnsi="宋体" w:cs="Arial"/>
                <w:color w:val="auto"/>
                <w:sz w:val="18"/>
                <w:szCs w:val="18"/>
              </w:rPr>
              <w:t>。</w:t>
            </w:r>
          </w:p>
          <w:p w14:paraId="00AA38CD">
            <w:pPr>
              <w:widowControl/>
              <w:spacing w:line="400" w:lineRule="exact"/>
              <w:rPr>
                <w:rFonts w:ascii="宋体" w:hAnsi="宋体" w:cs="Arial"/>
                <w:color w:val="auto"/>
                <w:sz w:val="18"/>
                <w:szCs w:val="18"/>
              </w:rPr>
            </w:pPr>
            <w:r>
              <w:rPr>
                <w:rFonts w:hint="eastAsia" w:ascii="宋体" w:hAnsi="宋体" w:cs="Arial"/>
                <w:color w:val="auto"/>
                <w:sz w:val="18"/>
                <w:szCs w:val="18"/>
              </w:rPr>
              <w:t>中标公示结束后5个日历日内，中标人须前往盱眙县应急管理局自行搭建测试环境，完成对应产品的现场接入测试(需按附件7格式提供承诺函)。</w:t>
            </w:r>
          </w:p>
          <w:p w14:paraId="665561BF">
            <w:pPr>
              <w:widowControl/>
              <w:spacing w:line="400" w:lineRule="exact"/>
              <w:rPr>
                <w:rFonts w:ascii="宋体" w:hAnsi="宋体" w:cs="Arial"/>
                <w:color w:val="auto"/>
                <w:sz w:val="18"/>
                <w:szCs w:val="18"/>
              </w:rPr>
            </w:pPr>
            <w:r>
              <w:rPr>
                <w:rFonts w:hint="eastAsia" w:ascii="宋体" w:hAnsi="宋体" w:cs="Arial"/>
                <w:color w:val="auto"/>
                <w:sz w:val="18"/>
                <w:szCs w:val="18"/>
              </w:rPr>
              <w:t>2.预警信息接入：接入智能监测设备自动预警信息及气象、水利、应急等行业官方预警信息，在系统内集中展示预警指标、等级、位置与预警时间，实现多源预警信息统一可视化呈现。</w:t>
            </w:r>
          </w:p>
          <w:p w14:paraId="6783CE6C">
            <w:pPr>
              <w:widowControl/>
              <w:spacing w:line="400" w:lineRule="exact"/>
              <w:rPr>
                <w:rFonts w:ascii="宋体" w:hAnsi="宋体" w:cs="Arial"/>
                <w:color w:val="auto"/>
                <w:sz w:val="18"/>
                <w:szCs w:val="18"/>
              </w:rPr>
            </w:pPr>
            <w:r>
              <w:rPr>
                <w:rFonts w:hint="eastAsia" w:ascii="宋体" w:hAnsi="宋体" w:cs="Arial"/>
                <w:color w:val="auto"/>
                <w:sz w:val="18"/>
                <w:szCs w:val="18"/>
              </w:rPr>
              <w:t>3.监测预警信息可视化：本功能将在 GIS 地图上实现山洪、地质、中小河流、暴雨等多源监测预警信息的一体化可视化展示，可通过数据资源目录进行数据分类和数据勾选，通过图层管理功能对图层添加、删除、隐藏、叠加、排序等操作，通过图例功能将实现对可视化展示中的各类数据标识、颜色、图标、符号等元素进行统一说明，工具箱中集成全幅、地图测量、地图标绘、地图打印、图层清空等实用工具。</w:t>
            </w:r>
          </w:p>
          <w:p w14:paraId="66A3F7C9">
            <w:pPr>
              <w:widowControl/>
              <w:spacing w:line="400" w:lineRule="exact"/>
              <w:rPr>
                <w:rFonts w:ascii="宋体" w:hAnsi="宋体" w:cs="Arial"/>
                <w:color w:val="auto"/>
                <w:sz w:val="18"/>
                <w:szCs w:val="18"/>
              </w:rPr>
            </w:pPr>
            <w:r>
              <w:rPr>
                <w:rFonts w:hint="eastAsia" w:ascii="宋体" w:hAnsi="宋体" w:cs="Arial"/>
                <w:color w:val="auto"/>
                <w:sz w:val="18"/>
                <w:szCs w:val="18"/>
              </w:rPr>
              <w:t>▲4.本次接入的多灾种智能感知预警终端设备，后台配套管理系统可以进行设备通信、运行状态检测等管理，投标人需提供“通信管理服务”和“设备运行检测”相关内容的软件著作权登记证书扫描件并加盖投标人公章。</w:t>
            </w:r>
          </w:p>
        </w:tc>
        <w:tc>
          <w:tcPr>
            <w:tcW w:w="900" w:type="dxa"/>
            <w:tcBorders>
              <w:top w:val="nil"/>
              <w:left w:val="nil"/>
              <w:bottom w:val="single" w:color="auto" w:sz="4" w:space="0"/>
              <w:right w:val="single" w:color="auto" w:sz="4" w:space="0"/>
            </w:tcBorders>
            <w:vAlign w:val="center"/>
          </w:tcPr>
          <w:p w14:paraId="3B65B4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D72E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0F62D2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E1B1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696499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临灾分析评估</w:t>
            </w:r>
          </w:p>
        </w:tc>
        <w:tc>
          <w:tcPr>
            <w:tcW w:w="5717" w:type="dxa"/>
            <w:tcBorders>
              <w:top w:val="nil"/>
              <w:left w:val="nil"/>
              <w:bottom w:val="single" w:color="auto" w:sz="4" w:space="0"/>
              <w:right w:val="single" w:color="auto" w:sz="4" w:space="0"/>
            </w:tcBorders>
            <w:vAlign w:val="center"/>
          </w:tcPr>
          <w:p w14:paraId="105E75B5">
            <w:pPr>
              <w:widowControl/>
              <w:spacing w:line="400" w:lineRule="exact"/>
              <w:rPr>
                <w:rFonts w:ascii="宋体" w:hAnsi="宋体" w:cs="Arial"/>
                <w:color w:val="auto"/>
                <w:sz w:val="18"/>
                <w:szCs w:val="18"/>
              </w:rPr>
            </w:pPr>
            <w:r>
              <w:rPr>
                <w:rFonts w:hint="eastAsia" w:ascii="宋体" w:hAnsi="宋体" w:cs="Arial"/>
                <w:color w:val="auto"/>
                <w:sz w:val="18"/>
                <w:szCs w:val="18"/>
              </w:rPr>
              <w:t>暴雨监测预警子模块聚焦暴雨灾害全流程监测与预警， 依托多设备协同监测与精准预测模型， 实现从降雨动态捕捉、趋势预测到预警发布、应急联动的全链条管控，提前预判暴雨灾害态势并快速输出预警信息，支撑防汛应急处置提前部署； 多源数据整合与分析子模块通过对气象、水文、地质等多领域异构数据的全面汇总、标准化融合与深度分析，消除数据偏差， 构建统一数据基础，挖掘数据关联价值，为灾害风险评估提供多维度、高可靠性的数据支撑。灾害风险评估模型构建与优化模块根据盱眙县灾害类型特点，定制化构建洪涝水动力模型、机器学习模型等灾害风险评估模型，通过指标体系搭建、参数率定验证及动态训练更新，持续提升模型预测精度。其中：</w:t>
            </w:r>
          </w:p>
          <w:p w14:paraId="46C2C691">
            <w:pPr>
              <w:widowControl/>
              <w:spacing w:line="400" w:lineRule="exact"/>
              <w:rPr>
                <w:rFonts w:ascii="宋体" w:hAnsi="宋体" w:cs="Arial"/>
                <w:color w:val="auto"/>
                <w:sz w:val="18"/>
                <w:szCs w:val="18"/>
              </w:rPr>
            </w:pPr>
            <w:r>
              <w:rPr>
                <w:rFonts w:hint="eastAsia" w:ascii="宋体" w:hAnsi="宋体" w:cs="Arial"/>
                <w:color w:val="auto"/>
                <w:sz w:val="18"/>
                <w:szCs w:val="18"/>
              </w:rPr>
              <w:t>1.暴雨监测预警：通过接入短临预报降雨数据，在系统内展示未来三小时逐6分钟降雨、逐小时降雨、三小时累计降雨，根据滚动监测数据与短临降水预测结果自动判别暴雨预警，并展示暴雨预警的指标，同时支持接入气象局推送的气象暴雨预警，实现暴雨监测过程与预警信息实时可视化展示。</w:t>
            </w:r>
          </w:p>
          <w:p w14:paraId="53526D76">
            <w:pPr>
              <w:widowControl/>
              <w:spacing w:line="400" w:lineRule="exact"/>
              <w:rPr>
                <w:rFonts w:ascii="宋体" w:hAnsi="宋体" w:cs="Arial"/>
                <w:color w:val="auto"/>
                <w:sz w:val="18"/>
                <w:szCs w:val="18"/>
              </w:rPr>
            </w:pPr>
            <w:r>
              <w:rPr>
                <w:rFonts w:hint="eastAsia" w:ascii="宋体" w:hAnsi="宋体" w:cs="Arial"/>
                <w:color w:val="auto"/>
                <w:sz w:val="18"/>
                <w:szCs w:val="18"/>
              </w:rPr>
              <w:t>2.洪涝水动力模型构建：洪涝水动力模型的构建需基于≤30米空间分辨率的高精度地形格网作为动力参考，考虑干湿边界、排水能力等指标，同时支持根据土地类型调整下渗模型参数和曼宁系数。模型计算完成后可动态展示逐小时的洪水淹没范围和每小时最大积水深度。</w:t>
            </w:r>
          </w:p>
        </w:tc>
        <w:tc>
          <w:tcPr>
            <w:tcW w:w="900" w:type="dxa"/>
            <w:tcBorders>
              <w:top w:val="nil"/>
              <w:left w:val="nil"/>
              <w:bottom w:val="single" w:color="auto" w:sz="4" w:space="0"/>
              <w:right w:val="single" w:color="auto" w:sz="4" w:space="0"/>
            </w:tcBorders>
            <w:vAlign w:val="center"/>
          </w:tcPr>
          <w:p w14:paraId="1C3E1A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5949A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38140A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481D2D0">
            <w:pPr>
              <w:widowControl/>
              <w:spacing w:line="400" w:lineRule="exact"/>
              <w:jc w:val="left"/>
              <w:rPr>
                <w:rFonts w:ascii="宋体" w:hAnsi="宋体" w:cs="Arial"/>
                <w:color w:val="auto"/>
                <w:sz w:val="18"/>
                <w:szCs w:val="18"/>
              </w:rPr>
            </w:pPr>
            <w:r>
              <w:rPr>
                <w:rFonts w:hint="eastAsia" w:ascii="宋体" w:hAnsi="宋体" w:cs="Arial"/>
                <w:b/>
                <w:bCs/>
                <w:color w:val="auto"/>
                <w:sz w:val="18"/>
                <w:szCs w:val="18"/>
              </w:rPr>
              <w:t>提升宣教培训和应急演练能力</w:t>
            </w:r>
          </w:p>
        </w:tc>
      </w:tr>
      <w:tr w14:paraId="62A4735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099AD91">
            <w:pPr>
              <w:widowControl/>
              <w:spacing w:line="400" w:lineRule="exact"/>
              <w:jc w:val="left"/>
              <w:rPr>
                <w:rFonts w:ascii="宋体" w:hAnsi="宋体" w:cs="Arial"/>
                <w:color w:val="auto"/>
                <w:sz w:val="18"/>
                <w:szCs w:val="18"/>
              </w:rPr>
            </w:pPr>
            <w:r>
              <w:rPr>
                <w:rFonts w:hint="eastAsia" w:ascii="宋体" w:hAnsi="宋体" w:cs="Arial"/>
                <w:color w:val="auto"/>
                <w:sz w:val="18"/>
                <w:szCs w:val="18"/>
              </w:rPr>
              <w:t>减灾科普场馆建设（支撑环境升级改造）</w:t>
            </w:r>
          </w:p>
        </w:tc>
      </w:tr>
      <w:tr w14:paraId="7CC386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EA68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0B940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造型吊顶（复杂）</w:t>
            </w:r>
          </w:p>
        </w:tc>
        <w:tc>
          <w:tcPr>
            <w:tcW w:w="5717" w:type="dxa"/>
            <w:tcBorders>
              <w:top w:val="nil"/>
              <w:left w:val="nil"/>
              <w:bottom w:val="single" w:color="auto" w:sz="4" w:space="0"/>
              <w:right w:val="single" w:color="auto" w:sz="4" w:space="0"/>
            </w:tcBorders>
            <w:vAlign w:val="center"/>
          </w:tcPr>
          <w:p w14:paraId="2DA1552E">
            <w:pPr>
              <w:widowControl/>
              <w:spacing w:line="400" w:lineRule="exact"/>
              <w:jc w:val="left"/>
              <w:rPr>
                <w:rFonts w:ascii="宋体" w:hAnsi="宋体" w:cs="Arial"/>
                <w:color w:val="auto"/>
                <w:sz w:val="18"/>
                <w:szCs w:val="18"/>
              </w:rPr>
            </w:pPr>
            <w:r>
              <w:rPr>
                <w:rFonts w:hint="eastAsia" w:ascii="宋体" w:hAnsi="宋体" w:cs="Arial"/>
                <w:color w:val="auto"/>
                <w:sz w:val="18"/>
                <w:szCs w:val="18"/>
              </w:rPr>
              <w:t>凹凸造型、带灯槽、异型等，满足图纸及甲方要求</w:t>
            </w:r>
          </w:p>
          <w:p w14:paraId="35C725BF">
            <w:pPr>
              <w:widowControl/>
              <w:spacing w:line="400" w:lineRule="exact"/>
              <w:jc w:val="left"/>
              <w:rPr>
                <w:rFonts w:ascii="宋体" w:hAnsi="宋体" w:cs="Arial"/>
                <w:color w:val="auto"/>
                <w:sz w:val="18"/>
                <w:szCs w:val="18"/>
              </w:rPr>
            </w:pPr>
            <w:r>
              <w:rPr>
                <w:rFonts w:hint="eastAsia" w:ascii="宋体" w:hAnsi="宋体" w:cs="Arial"/>
                <w:color w:val="auto"/>
                <w:sz w:val="18"/>
                <w:szCs w:val="18"/>
              </w:rPr>
              <w:t>1.φ8 全丝吊筋+50 系列轻钢龙骨</w:t>
            </w:r>
          </w:p>
          <w:p w14:paraId="7A429654">
            <w:pPr>
              <w:widowControl/>
              <w:spacing w:line="400" w:lineRule="exact"/>
              <w:jc w:val="left"/>
              <w:rPr>
                <w:rFonts w:ascii="宋体" w:hAnsi="宋体" w:cs="Arial"/>
                <w:color w:val="auto"/>
                <w:sz w:val="18"/>
                <w:szCs w:val="18"/>
              </w:rPr>
            </w:pPr>
            <w:r>
              <w:rPr>
                <w:rFonts w:hint="eastAsia" w:ascii="宋体" w:hAnsi="宋体" w:cs="Arial"/>
                <w:color w:val="auto"/>
                <w:sz w:val="18"/>
                <w:szCs w:val="18"/>
              </w:rPr>
              <w:t>2.局部 18mm 木工板基层，刷防火涂料三遍</w:t>
            </w:r>
          </w:p>
          <w:p w14:paraId="2DFEEEFF">
            <w:pPr>
              <w:widowControl/>
              <w:spacing w:line="400" w:lineRule="exact"/>
              <w:jc w:val="left"/>
              <w:rPr>
                <w:rFonts w:ascii="宋体" w:hAnsi="宋体" w:cs="Arial"/>
                <w:color w:val="auto"/>
                <w:sz w:val="18"/>
                <w:szCs w:val="18"/>
              </w:rPr>
            </w:pPr>
            <w:r>
              <w:rPr>
                <w:rFonts w:hint="eastAsia" w:ascii="宋体" w:hAnsi="宋体" w:cs="Arial"/>
                <w:color w:val="auto"/>
                <w:sz w:val="18"/>
                <w:szCs w:val="18"/>
              </w:rPr>
              <w:t>3.纸面石膏板：2440*1220*9MM</w:t>
            </w:r>
          </w:p>
        </w:tc>
        <w:tc>
          <w:tcPr>
            <w:tcW w:w="900" w:type="dxa"/>
            <w:tcBorders>
              <w:top w:val="nil"/>
              <w:left w:val="nil"/>
              <w:bottom w:val="single" w:color="auto" w:sz="4" w:space="0"/>
              <w:right w:val="single" w:color="auto" w:sz="4" w:space="0"/>
            </w:tcBorders>
            <w:vAlign w:val="center"/>
          </w:tcPr>
          <w:p w14:paraId="282372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129.84 </w:t>
            </w:r>
          </w:p>
        </w:tc>
        <w:tc>
          <w:tcPr>
            <w:tcW w:w="849" w:type="dxa"/>
            <w:gridSpan w:val="2"/>
            <w:tcBorders>
              <w:top w:val="nil"/>
              <w:left w:val="nil"/>
              <w:bottom w:val="single" w:color="auto" w:sz="4" w:space="0"/>
              <w:right w:val="single" w:color="auto" w:sz="4" w:space="0"/>
            </w:tcBorders>
            <w:vAlign w:val="center"/>
          </w:tcPr>
          <w:p w14:paraId="72E2AA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C9C543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FF95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F0FE8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顶面亚克力灯箱</w:t>
            </w:r>
          </w:p>
        </w:tc>
        <w:tc>
          <w:tcPr>
            <w:tcW w:w="5717" w:type="dxa"/>
            <w:tcBorders>
              <w:top w:val="nil"/>
              <w:left w:val="nil"/>
              <w:bottom w:val="single" w:color="auto" w:sz="4" w:space="0"/>
              <w:right w:val="single" w:color="auto" w:sz="4" w:space="0"/>
            </w:tcBorders>
            <w:vAlign w:val="center"/>
          </w:tcPr>
          <w:p w14:paraId="4E6D833B">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1.轻钢龙骨/3*4（非标）木龙骨，18mm 木工板造型刷防火涂料三遍，LED 灯带</w:t>
            </w:r>
          </w:p>
          <w:p w14:paraId="105BC50D">
            <w:pPr>
              <w:widowControl/>
              <w:spacing w:line="400" w:lineRule="exact"/>
              <w:jc w:val="left"/>
              <w:rPr>
                <w:rFonts w:ascii="宋体" w:hAnsi="宋体" w:cs="Arial"/>
                <w:color w:val="auto"/>
                <w:sz w:val="18"/>
                <w:szCs w:val="18"/>
              </w:rPr>
            </w:pPr>
            <w:r>
              <w:rPr>
                <w:rFonts w:hint="eastAsia" w:ascii="宋体" w:hAnsi="宋体" w:cs="Arial"/>
                <w:color w:val="auto"/>
                <w:sz w:val="18"/>
                <w:szCs w:val="18"/>
              </w:rPr>
              <w:t>2.面层材料种类：纸面石膏板，亚克力灯片，造型写真 LED 灯带，乳白有机板 3MM 板</w:t>
            </w:r>
          </w:p>
        </w:tc>
        <w:tc>
          <w:tcPr>
            <w:tcW w:w="900" w:type="dxa"/>
            <w:tcBorders>
              <w:top w:val="nil"/>
              <w:left w:val="nil"/>
              <w:bottom w:val="single" w:color="auto" w:sz="4" w:space="0"/>
              <w:right w:val="single" w:color="auto" w:sz="4" w:space="0"/>
            </w:tcBorders>
            <w:vAlign w:val="center"/>
          </w:tcPr>
          <w:p w14:paraId="2BA33A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30050B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B991C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57A0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0AE11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顶面白色乳胶漆</w:t>
            </w:r>
          </w:p>
        </w:tc>
        <w:tc>
          <w:tcPr>
            <w:tcW w:w="5717" w:type="dxa"/>
            <w:tcBorders>
              <w:top w:val="nil"/>
              <w:left w:val="nil"/>
              <w:bottom w:val="single" w:color="auto" w:sz="4" w:space="0"/>
              <w:right w:val="single" w:color="auto" w:sz="4" w:space="0"/>
            </w:tcBorders>
            <w:vAlign w:val="center"/>
          </w:tcPr>
          <w:p w14:paraId="56A94350">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40D6C032">
            <w:pPr>
              <w:widowControl/>
              <w:spacing w:line="400" w:lineRule="exact"/>
              <w:jc w:val="left"/>
              <w:rPr>
                <w:rFonts w:ascii="宋体" w:hAnsi="宋体" w:cs="Arial"/>
                <w:color w:val="auto"/>
                <w:sz w:val="18"/>
                <w:szCs w:val="18"/>
              </w:rPr>
            </w:pPr>
            <w:r>
              <w:rPr>
                <w:rFonts w:hint="eastAsia" w:ascii="宋体" w:hAnsi="宋体" w:cs="Arial"/>
                <w:color w:val="auto"/>
                <w:sz w:val="18"/>
                <w:szCs w:val="18"/>
              </w:rPr>
              <w:t>2.刷三遍白色乳胶漆</w:t>
            </w:r>
          </w:p>
        </w:tc>
        <w:tc>
          <w:tcPr>
            <w:tcW w:w="900" w:type="dxa"/>
            <w:tcBorders>
              <w:top w:val="nil"/>
              <w:left w:val="nil"/>
              <w:bottom w:val="single" w:color="auto" w:sz="4" w:space="0"/>
              <w:right w:val="single" w:color="auto" w:sz="4" w:space="0"/>
            </w:tcBorders>
            <w:vAlign w:val="center"/>
          </w:tcPr>
          <w:p w14:paraId="099822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129.84 </w:t>
            </w:r>
          </w:p>
        </w:tc>
        <w:tc>
          <w:tcPr>
            <w:tcW w:w="849" w:type="dxa"/>
            <w:gridSpan w:val="2"/>
            <w:tcBorders>
              <w:top w:val="nil"/>
              <w:left w:val="nil"/>
              <w:bottom w:val="single" w:color="auto" w:sz="4" w:space="0"/>
              <w:right w:val="single" w:color="auto" w:sz="4" w:space="0"/>
            </w:tcBorders>
            <w:vAlign w:val="center"/>
          </w:tcPr>
          <w:p w14:paraId="2C7E7D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10A2EB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BF2E9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0E24B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检修口</w:t>
            </w:r>
          </w:p>
        </w:tc>
        <w:tc>
          <w:tcPr>
            <w:tcW w:w="5717" w:type="dxa"/>
            <w:tcBorders>
              <w:top w:val="nil"/>
              <w:left w:val="nil"/>
              <w:bottom w:val="single" w:color="auto" w:sz="4" w:space="0"/>
              <w:right w:val="single" w:color="auto" w:sz="4" w:space="0"/>
            </w:tcBorders>
            <w:vAlign w:val="center"/>
          </w:tcPr>
          <w:p w14:paraId="248343FE">
            <w:pPr>
              <w:widowControl/>
              <w:spacing w:line="400" w:lineRule="exact"/>
              <w:jc w:val="left"/>
              <w:rPr>
                <w:rFonts w:ascii="宋体" w:hAnsi="宋体" w:cs="Arial"/>
                <w:color w:val="auto"/>
                <w:sz w:val="18"/>
                <w:szCs w:val="18"/>
              </w:rPr>
            </w:pPr>
            <w:r>
              <w:rPr>
                <w:rFonts w:hint="eastAsia" w:ascii="宋体" w:hAnsi="宋体" w:cs="Arial"/>
                <w:color w:val="auto"/>
                <w:sz w:val="18"/>
                <w:szCs w:val="18"/>
              </w:rPr>
              <w:t>1.规格：600*600mm</w:t>
            </w:r>
          </w:p>
          <w:p w14:paraId="1974427F">
            <w:pPr>
              <w:widowControl/>
              <w:spacing w:line="400" w:lineRule="exact"/>
              <w:jc w:val="left"/>
              <w:rPr>
                <w:rFonts w:ascii="宋体" w:hAnsi="宋体" w:cs="Arial"/>
                <w:color w:val="auto"/>
                <w:sz w:val="18"/>
                <w:szCs w:val="18"/>
              </w:rPr>
            </w:pPr>
            <w:r>
              <w:rPr>
                <w:rFonts w:hint="eastAsia" w:ascii="宋体" w:hAnsi="宋体" w:cs="Arial"/>
                <w:color w:val="auto"/>
                <w:sz w:val="18"/>
                <w:szCs w:val="18"/>
              </w:rPr>
              <w:t>2.φ8 全丝吊筋+50 系列轻钢龙骨+18mm 木工板刷防火涂料三遍</w:t>
            </w:r>
          </w:p>
          <w:p w14:paraId="0464CF5E">
            <w:pPr>
              <w:widowControl/>
              <w:spacing w:line="400" w:lineRule="exact"/>
              <w:jc w:val="left"/>
              <w:rPr>
                <w:rFonts w:ascii="宋体" w:hAnsi="宋体" w:cs="Arial"/>
                <w:color w:val="auto"/>
                <w:sz w:val="18"/>
                <w:szCs w:val="18"/>
              </w:rPr>
            </w:pPr>
            <w:r>
              <w:rPr>
                <w:rFonts w:hint="eastAsia" w:ascii="宋体" w:hAnsi="宋体" w:cs="Arial"/>
                <w:color w:val="auto"/>
                <w:sz w:val="18"/>
                <w:szCs w:val="18"/>
              </w:rPr>
              <w:t>3.纸面石膏板：2440*1220*9MM</w:t>
            </w:r>
          </w:p>
        </w:tc>
        <w:tc>
          <w:tcPr>
            <w:tcW w:w="900" w:type="dxa"/>
            <w:tcBorders>
              <w:top w:val="nil"/>
              <w:left w:val="nil"/>
              <w:bottom w:val="single" w:color="auto" w:sz="4" w:space="0"/>
              <w:right w:val="single" w:color="auto" w:sz="4" w:space="0"/>
            </w:tcBorders>
            <w:vAlign w:val="center"/>
          </w:tcPr>
          <w:p w14:paraId="2A7406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3371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4AF03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4003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13DA2E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原顶面喷黑</w:t>
            </w:r>
          </w:p>
        </w:tc>
        <w:tc>
          <w:tcPr>
            <w:tcW w:w="5717" w:type="dxa"/>
            <w:tcBorders>
              <w:top w:val="nil"/>
              <w:left w:val="nil"/>
              <w:bottom w:val="single" w:color="auto" w:sz="4" w:space="0"/>
              <w:right w:val="single" w:color="auto" w:sz="4" w:space="0"/>
            </w:tcBorders>
            <w:vAlign w:val="center"/>
          </w:tcPr>
          <w:p w14:paraId="34352F32">
            <w:pPr>
              <w:widowControl/>
              <w:spacing w:line="400" w:lineRule="exact"/>
              <w:jc w:val="left"/>
              <w:rPr>
                <w:rFonts w:ascii="宋体" w:hAnsi="宋体" w:cs="Arial"/>
                <w:color w:val="auto"/>
                <w:sz w:val="18"/>
                <w:szCs w:val="18"/>
              </w:rPr>
            </w:pPr>
            <w:r>
              <w:rPr>
                <w:rFonts w:hint="eastAsia" w:ascii="宋体" w:hAnsi="宋体" w:cs="Arial"/>
                <w:color w:val="auto"/>
                <w:sz w:val="18"/>
                <w:szCs w:val="18"/>
              </w:rPr>
              <w:t>1.喷刷涂料部位：滚涂深灰色乳胶漆两遍，（分色处理）每遍打磨一次。</w:t>
            </w:r>
          </w:p>
        </w:tc>
        <w:tc>
          <w:tcPr>
            <w:tcW w:w="900" w:type="dxa"/>
            <w:tcBorders>
              <w:top w:val="nil"/>
              <w:left w:val="nil"/>
              <w:bottom w:val="single" w:color="auto" w:sz="4" w:space="0"/>
              <w:right w:val="single" w:color="auto" w:sz="4" w:space="0"/>
            </w:tcBorders>
            <w:vAlign w:val="center"/>
          </w:tcPr>
          <w:p w14:paraId="776072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206.82 </w:t>
            </w:r>
          </w:p>
        </w:tc>
        <w:tc>
          <w:tcPr>
            <w:tcW w:w="849" w:type="dxa"/>
            <w:gridSpan w:val="2"/>
            <w:tcBorders>
              <w:top w:val="nil"/>
              <w:left w:val="nil"/>
              <w:bottom w:val="single" w:color="auto" w:sz="4" w:space="0"/>
              <w:right w:val="single" w:color="auto" w:sz="4" w:space="0"/>
            </w:tcBorders>
            <w:vAlign w:val="center"/>
          </w:tcPr>
          <w:p w14:paraId="4A09CA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7DD93E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1EED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296A8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顶面软膜灯箱</w:t>
            </w:r>
          </w:p>
        </w:tc>
        <w:tc>
          <w:tcPr>
            <w:tcW w:w="5717" w:type="dxa"/>
            <w:tcBorders>
              <w:top w:val="nil"/>
              <w:left w:val="nil"/>
              <w:bottom w:val="single" w:color="auto" w:sz="4" w:space="0"/>
              <w:right w:val="single" w:color="auto" w:sz="4" w:space="0"/>
            </w:tcBorders>
            <w:vAlign w:val="center"/>
          </w:tcPr>
          <w:p w14:paraId="3E320E62">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1.轻钢龙骨/3*4（非标）木龙骨，18mm 木工板造型刷防火涂料三遍，LED 灯带</w:t>
            </w:r>
          </w:p>
          <w:p w14:paraId="461A6398">
            <w:pPr>
              <w:widowControl/>
              <w:spacing w:line="400" w:lineRule="exact"/>
              <w:jc w:val="left"/>
              <w:rPr>
                <w:rFonts w:ascii="宋体" w:hAnsi="宋体" w:cs="Arial"/>
                <w:color w:val="auto"/>
                <w:sz w:val="18"/>
                <w:szCs w:val="18"/>
              </w:rPr>
            </w:pPr>
            <w:r>
              <w:rPr>
                <w:rFonts w:hint="eastAsia" w:ascii="宋体" w:hAnsi="宋体" w:cs="Arial"/>
                <w:color w:val="auto"/>
                <w:sz w:val="18"/>
                <w:szCs w:val="18"/>
              </w:rPr>
              <w:t>2.面层材料种类：纸面石膏板，亚克力灯片，造型写真 LED 灯带</w:t>
            </w:r>
          </w:p>
          <w:p w14:paraId="58D9382B">
            <w:pPr>
              <w:widowControl/>
              <w:spacing w:line="400" w:lineRule="exact"/>
              <w:jc w:val="left"/>
              <w:rPr>
                <w:rFonts w:ascii="宋体" w:hAnsi="宋体" w:cs="Arial"/>
                <w:color w:val="auto"/>
                <w:sz w:val="18"/>
                <w:szCs w:val="18"/>
              </w:rPr>
            </w:pPr>
            <w:r>
              <w:rPr>
                <w:rFonts w:hint="eastAsia" w:ascii="宋体" w:hAnsi="宋体" w:cs="Arial"/>
                <w:color w:val="auto"/>
                <w:sz w:val="18"/>
                <w:szCs w:val="18"/>
              </w:rPr>
              <w:t>3.UV 软膜封面、扣边条，安装喷绘好的定制图案软膜</w:t>
            </w:r>
          </w:p>
        </w:tc>
        <w:tc>
          <w:tcPr>
            <w:tcW w:w="900" w:type="dxa"/>
            <w:tcBorders>
              <w:top w:val="nil"/>
              <w:left w:val="nil"/>
              <w:bottom w:val="single" w:color="auto" w:sz="4" w:space="0"/>
              <w:right w:val="single" w:color="auto" w:sz="4" w:space="0"/>
            </w:tcBorders>
            <w:vAlign w:val="center"/>
          </w:tcPr>
          <w:p w14:paraId="204CBC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AEAAC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7BFD7E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7F90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3AE410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轻钢龙骨隔墙（双面）</w:t>
            </w:r>
          </w:p>
        </w:tc>
        <w:tc>
          <w:tcPr>
            <w:tcW w:w="5717" w:type="dxa"/>
            <w:tcBorders>
              <w:top w:val="nil"/>
              <w:left w:val="nil"/>
              <w:bottom w:val="single" w:color="auto" w:sz="4" w:space="0"/>
              <w:right w:val="single" w:color="auto" w:sz="4" w:space="0"/>
            </w:tcBorders>
            <w:vAlign w:val="center"/>
          </w:tcPr>
          <w:p w14:paraId="2305F103">
            <w:pPr>
              <w:widowControl/>
              <w:spacing w:line="400" w:lineRule="exact"/>
              <w:jc w:val="left"/>
              <w:rPr>
                <w:rFonts w:ascii="宋体" w:hAnsi="宋体" w:cs="Arial"/>
                <w:color w:val="auto"/>
                <w:sz w:val="18"/>
                <w:szCs w:val="18"/>
              </w:rPr>
            </w:pPr>
            <w:r>
              <w:rPr>
                <w:rFonts w:hint="eastAsia" w:ascii="宋体" w:hAnsi="宋体" w:cs="Arial"/>
                <w:color w:val="auto"/>
                <w:sz w:val="18"/>
                <w:szCs w:val="18"/>
              </w:rPr>
              <w:t>1.隔墙 75 系列轻钢龙骨中距竖 0.4m，中龙骨横 1m</w:t>
            </w:r>
          </w:p>
          <w:p w14:paraId="1743AF66">
            <w:pPr>
              <w:widowControl/>
              <w:spacing w:line="400" w:lineRule="exact"/>
              <w:jc w:val="left"/>
              <w:rPr>
                <w:rFonts w:ascii="宋体" w:hAnsi="宋体" w:cs="Arial"/>
                <w:color w:val="auto"/>
                <w:sz w:val="18"/>
                <w:szCs w:val="18"/>
              </w:rPr>
            </w:pPr>
            <w:r>
              <w:rPr>
                <w:rFonts w:hint="eastAsia" w:ascii="宋体" w:hAnsi="宋体" w:cs="Arial"/>
                <w:color w:val="auto"/>
                <w:sz w:val="18"/>
                <w:szCs w:val="18"/>
              </w:rPr>
              <w:t>2.100 厚超细玻璃棉</w:t>
            </w:r>
          </w:p>
          <w:p w14:paraId="5A5F7EE7">
            <w:pPr>
              <w:widowControl/>
              <w:spacing w:line="400" w:lineRule="exact"/>
              <w:jc w:val="left"/>
              <w:rPr>
                <w:rFonts w:ascii="宋体" w:hAnsi="宋体" w:cs="Arial"/>
                <w:color w:val="auto"/>
                <w:sz w:val="18"/>
                <w:szCs w:val="18"/>
              </w:rPr>
            </w:pPr>
            <w:r>
              <w:rPr>
                <w:rFonts w:hint="eastAsia" w:ascii="宋体" w:hAnsi="宋体" w:cs="Arial"/>
                <w:color w:val="auto"/>
                <w:sz w:val="18"/>
                <w:szCs w:val="18"/>
              </w:rPr>
              <w:t>3.双面 18mm 木工板造型刷防火涂料三遍 2440*1220MM 4.双面纸面石膏板 2440*1220*9MM</w:t>
            </w:r>
          </w:p>
        </w:tc>
        <w:tc>
          <w:tcPr>
            <w:tcW w:w="900" w:type="dxa"/>
            <w:tcBorders>
              <w:top w:val="nil"/>
              <w:left w:val="nil"/>
              <w:bottom w:val="single" w:color="auto" w:sz="4" w:space="0"/>
              <w:right w:val="single" w:color="auto" w:sz="4" w:space="0"/>
            </w:tcBorders>
            <w:vAlign w:val="center"/>
          </w:tcPr>
          <w:p w14:paraId="1C9452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160.20 </w:t>
            </w:r>
          </w:p>
        </w:tc>
        <w:tc>
          <w:tcPr>
            <w:tcW w:w="849" w:type="dxa"/>
            <w:gridSpan w:val="2"/>
            <w:tcBorders>
              <w:top w:val="nil"/>
              <w:left w:val="nil"/>
              <w:bottom w:val="single" w:color="auto" w:sz="4" w:space="0"/>
              <w:right w:val="single" w:color="auto" w:sz="4" w:space="0"/>
            </w:tcBorders>
            <w:vAlign w:val="center"/>
          </w:tcPr>
          <w:p w14:paraId="012E49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478A8E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5CAC8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F7CDC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轻钢龙骨隔墙（单面）</w:t>
            </w:r>
          </w:p>
        </w:tc>
        <w:tc>
          <w:tcPr>
            <w:tcW w:w="5717" w:type="dxa"/>
            <w:tcBorders>
              <w:top w:val="nil"/>
              <w:left w:val="nil"/>
              <w:bottom w:val="single" w:color="auto" w:sz="4" w:space="0"/>
              <w:right w:val="single" w:color="auto" w:sz="4" w:space="0"/>
            </w:tcBorders>
            <w:vAlign w:val="center"/>
          </w:tcPr>
          <w:p w14:paraId="69C31DCD">
            <w:pPr>
              <w:widowControl/>
              <w:spacing w:line="400" w:lineRule="exact"/>
              <w:jc w:val="left"/>
              <w:rPr>
                <w:rFonts w:ascii="宋体" w:hAnsi="宋体" w:cs="Arial"/>
                <w:color w:val="auto"/>
                <w:sz w:val="18"/>
                <w:szCs w:val="18"/>
              </w:rPr>
            </w:pPr>
            <w:r>
              <w:rPr>
                <w:rFonts w:hint="eastAsia" w:ascii="宋体" w:hAnsi="宋体" w:cs="Arial"/>
                <w:color w:val="auto"/>
                <w:sz w:val="18"/>
                <w:szCs w:val="18"/>
              </w:rPr>
              <w:t>1.隔墙 75 系列轻钢龙骨中距竖 0.4m，中龙骨横 1m</w:t>
            </w:r>
          </w:p>
          <w:p w14:paraId="2BDA563C">
            <w:pPr>
              <w:widowControl/>
              <w:spacing w:line="400" w:lineRule="exact"/>
              <w:jc w:val="left"/>
              <w:rPr>
                <w:rFonts w:ascii="宋体" w:hAnsi="宋体" w:cs="Arial"/>
                <w:color w:val="auto"/>
                <w:sz w:val="18"/>
                <w:szCs w:val="18"/>
              </w:rPr>
            </w:pPr>
            <w:r>
              <w:rPr>
                <w:rFonts w:hint="eastAsia" w:ascii="宋体" w:hAnsi="宋体" w:cs="Arial"/>
                <w:color w:val="auto"/>
                <w:sz w:val="18"/>
                <w:szCs w:val="18"/>
              </w:rPr>
              <w:t>2.100 厚超细玻璃棉</w:t>
            </w:r>
          </w:p>
          <w:p w14:paraId="78856FEC">
            <w:pPr>
              <w:widowControl/>
              <w:spacing w:line="400" w:lineRule="exact"/>
              <w:jc w:val="left"/>
              <w:rPr>
                <w:rFonts w:ascii="宋体" w:hAnsi="宋体" w:cs="Arial"/>
                <w:color w:val="auto"/>
                <w:sz w:val="18"/>
                <w:szCs w:val="18"/>
              </w:rPr>
            </w:pPr>
            <w:r>
              <w:rPr>
                <w:rFonts w:hint="eastAsia" w:ascii="宋体" w:hAnsi="宋体" w:cs="Arial"/>
                <w:color w:val="auto"/>
                <w:sz w:val="18"/>
                <w:szCs w:val="18"/>
              </w:rPr>
              <w:t>3.单面 18mm 木工板造型刷防火涂料三遍 2440*1220MM</w:t>
            </w:r>
          </w:p>
          <w:p w14:paraId="442DCAE7">
            <w:pPr>
              <w:widowControl/>
              <w:spacing w:line="400" w:lineRule="exact"/>
              <w:jc w:val="left"/>
              <w:rPr>
                <w:rFonts w:ascii="宋体" w:hAnsi="宋体" w:cs="Arial"/>
                <w:color w:val="auto"/>
                <w:sz w:val="18"/>
                <w:szCs w:val="18"/>
              </w:rPr>
            </w:pPr>
            <w:r>
              <w:rPr>
                <w:rFonts w:hint="eastAsia" w:ascii="宋体" w:hAnsi="宋体" w:cs="Arial"/>
                <w:color w:val="auto"/>
                <w:sz w:val="18"/>
                <w:szCs w:val="18"/>
              </w:rPr>
              <w:t>4.单面纸面石膏板 2440*1220*9MM</w:t>
            </w:r>
          </w:p>
        </w:tc>
        <w:tc>
          <w:tcPr>
            <w:tcW w:w="900" w:type="dxa"/>
            <w:tcBorders>
              <w:top w:val="nil"/>
              <w:left w:val="nil"/>
              <w:bottom w:val="single" w:color="auto" w:sz="4" w:space="0"/>
              <w:right w:val="single" w:color="auto" w:sz="4" w:space="0"/>
            </w:tcBorders>
            <w:vAlign w:val="center"/>
          </w:tcPr>
          <w:p w14:paraId="2BCDE4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23.40 </w:t>
            </w:r>
          </w:p>
        </w:tc>
        <w:tc>
          <w:tcPr>
            <w:tcW w:w="849" w:type="dxa"/>
            <w:gridSpan w:val="2"/>
            <w:tcBorders>
              <w:top w:val="nil"/>
              <w:left w:val="nil"/>
              <w:bottom w:val="single" w:color="auto" w:sz="4" w:space="0"/>
              <w:right w:val="single" w:color="auto" w:sz="4" w:space="0"/>
            </w:tcBorders>
            <w:vAlign w:val="center"/>
          </w:tcPr>
          <w:p w14:paraId="14BA27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F7EF30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F3E8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F35EB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造型墙</w:t>
            </w:r>
          </w:p>
        </w:tc>
        <w:tc>
          <w:tcPr>
            <w:tcW w:w="5717" w:type="dxa"/>
            <w:tcBorders>
              <w:top w:val="nil"/>
              <w:left w:val="nil"/>
              <w:bottom w:val="single" w:color="auto" w:sz="4" w:space="0"/>
              <w:right w:val="single" w:color="auto" w:sz="4" w:space="0"/>
            </w:tcBorders>
            <w:vAlign w:val="center"/>
          </w:tcPr>
          <w:p w14:paraId="1A53E676">
            <w:pPr>
              <w:widowControl/>
              <w:spacing w:line="400" w:lineRule="exact"/>
              <w:jc w:val="left"/>
              <w:rPr>
                <w:rFonts w:ascii="宋体" w:hAnsi="宋体" w:cs="Arial"/>
                <w:color w:val="auto"/>
                <w:sz w:val="18"/>
                <w:szCs w:val="18"/>
              </w:rPr>
            </w:pPr>
            <w:r>
              <w:rPr>
                <w:rFonts w:hint="eastAsia" w:ascii="宋体" w:hAnsi="宋体" w:cs="Arial"/>
                <w:color w:val="auto"/>
                <w:sz w:val="18"/>
                <w:szCs w:val="18"/>
              </w:rPr>
              <w:t>1.轻钢龙骨/木龙骨结构刷防火涂料三遍</w:t>
            </w:r>
          </w:p>
          <w:p w14:paraId="2E4352CE">
            <w:pPr>
              <w:widowControl/>
              <w:spacing w:line="400" w:lineRule="exact"/>
              <w:jc w:val="left"/>
              <w:rPr>
                <w:rFonts w:ascii="宋体" w:hAnsi="宋体" w:cs="Arial"/>
                <w:color w:val="auto"/>
                <w:sz w:val="18"/>
                <w:szCs w:val="18"/>
              </w:rPr>
            </w:pPr>
            <w:r>
              <w:rPr>
                <w:rFonts w:hint="eastAsia" w:ascii="宋体" w:hAnsi="宋体" w:cs="Arial"/>
                <w:color w:val="auto"/>
                <w:sz w:val="18"/>
                <w:szCs w:val="18"/>
              </w:rPr>
              <w:t>2.18mm 木工板造型刷防火涂料三遍</w:t>
            </w:r>
          </w:p>
          <w:p w14:paraId="72A19C81">
            <w:pPr>
              <w:widowControl/>
              <w:spacing w:line="400" w:lineRule="exact"/>
              <w:jc w:val="left"/>
              <w:rPr>
                <w:rFonts w:ascii="宋体" w:hAnsi="宋体" w:cs="Arial"/>
                <w:color w:val="auto"/>
                <w:sz w:val="18"/>
                <w:szCs w:val="18"/>
              </w:rPr>
            </w:pPr>
            <w:r>
              <w:rPr>
                <w:rFonts w:hint="eastAsia" w:ascii="宋体" w:hAnsi="宋体" w:cs="Arial"/>
                <w:color w:val="auto"/>
                <w:sz w:val="18"/>
                <w:szCs w:val="18"/>
              </w:rPr>
              <w:t>4：木龙骨基层石膏板饰面擦腻子处理</w:t>
            </w:r>
          </w:p>
        </w:tc>
        <w:tc>
          <w:tcPr>
            <w:tcW w:w="900" w:type="dxa"/>
            <w:tcBorders>
              <w:top w:val="nil"/>
              <w:left w:val="nil"/>
              <w:bottom w:val="single" w:color="auto" w:sz="4" w:space="0"/>
              <w:right w:val="single" w:color="auto" w:sz="4" w:space="0"/>
            </w:tcBorders>
            <w:vAlign w:val="center"/>
          </w:tcPr>
          <w:p w14:paraId="3CFE01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320.00 </w:t>
            </w:r>
          </w:p>
        </w:tc>
        <w:tc>
          <w:tcPr>
            <w:tcW w:w="849" w:type="dxa"/>
            <w:gridSpan w:val="2"/>
            <w:tcBorders>
              <w:top w:val="nil"/>
              <w:left w:val="nil"/>
              <w:bottom w:val="single" w:color="auto" w:sz="4" w:space="0"/>
              <w:right w:val="single" w:color="auto" w:sz="4" w:space="0"/>
            </w:tcBorders>
            <w:vAlign w:val="center"/>
          </w:tcPr>
          <w:p w14:paraId="779879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7496F0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43D14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655BE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墙面分色乳胶漆</w:t>
            </w:r>
          </w:p>
        </w:tc>
        <w:tc>
          <w:tcPr>
            <w:tcW w:w="5717" w:type="dxa"/>
            <w:tcBorders>
              <w:top w:val="nil"/>
              <w:left w:val="nil"/>
              <w:bottom w:val="single" w:color="auto" w:sz="4" w:space="0"/>
              <w:right w:val="single" w:color="auto" w:sz="4" w:space="0"/>
            </w:tcBorders>
            <w:vAlign w:val="center"/>
          </w:tcPr>
          <w:p w14:paraId="2B7BDB7F">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4278E22D">
            <w:pPr>
              <w:widowControl/>
              <w:spacing w:line="400" w:lineRule="exact"/>
              <w:jc w:val="left"/>
              <w:rPr>
                <w:rFonts w:ascii="宋体" w:hAnsi="宋体" w:cs="Arial"/>
                <w:color w:val="auto"/>
                <w:sz w:val="18"/>
                <w:szCs w:val="18"/>
              </w:rPr>
            </w:pPr>
            <w:r>
              <w:rPr>
                <w:rFonts w:hint="eastAsia" w:ascii="宋体" w:hAnsi="宋体" w:cs="Arial"/>
                <w:color w:val="auto"/>
                <w:sz w:val="18"/>
                <w:szCs w:val="18"/>
              </w:rPr>
              <w:t>2.刷三遍分色乳胶漆</w:t>
            </w:r>
          </w:p>
        </w:tc>
        <w:tc>
          <w:tcPr>
            <w:tcW w:w="900" w:type="dxa"/>
            <w:tcBorders>
              <w:top w:val="nil"/>
              <w:left w:val="nil"/>
              <w:bottom w:val="single" w:color="auto" w:sz="4" w:space="0"/>
              <w:right w:val="single" w:color="auto" w:sz="4" w:space="0"/>
            </w:tcBorders>
            <w:vAlign w:val="center"/>
          </w:tcPr>
          <w:p w14:paraId="3289B7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210.00 </w:t>
            </w:r>
          </w:p>
        </w:tc>
        <w:tc>
          <w:tcPr>
            <w:tcW w:w="849" w:type="dxa"/>
            <w:gridSpan w:val="2"/>
            <w:tcBorders>
              <w:top w:val="nil"/>
              <w:left w:val="nil"/>
              <w:bottom w:val="single" w:color="auto" w:sz="4" w:space="0"/>
              <w:right w:val="single" w:color="auto" w:sz="4" w:space="0"/>
            </w:tcBorders>
            <w:vAlign w:val="center"/>
          </w:tcPr>
          <w:p w14:paraId="684C04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6FCAEB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34D4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70CA24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墙面写真</w:t>
            </w:r>
          </w:p>
        </w:tc>
        <w:tc>
          <w:tcPr>
            <w:tcW w:w="5717" w:type="dxa"/>
            <w:tcBorders>
              <w:top w:val="nil"/>
              <w:left w:val="nil"/>
              <w:bottom w:val="single" w:color="auto" w:sz="4" w:space="0"/>
              <w:right w:val="single" w:color="auto" w:sz="4" w:space="0"/>
            </w:tcBorders>
            <w:vAlign w:val="center"/>
          </w:tcPr>
          <w:p w14:paraId="27FEBC51">
            <w:pPr>
              <w:widowControl/>
              <w:spacing w:line="400" w:lineRule="exact"/>
              <w:jc w:val="left"/>
              <w:rPr>
                <w:rFonts w:ascii="宋体" w:hAnsi="宋体" w:cs="Arial"/>
                <w:color w:val="auto"/>
                <w:sz w:val="18"/>
                <w:szCs w:val="18"/>
              </w:rPr>
            </w:pPr>
            <w:r>
              <w:rPr>
                <w:rFonts w:hint="eastAsia" w:ascii="宋体" w:hAnsi="宋体" w:cs="Arial"/>
                <w:color w:val="auto"/>
                <w:sz w:val="18"/>
                <w:szCs w:val="18"/>
              </w:rPr>
              <w:t>1.满擦耐水腻子两遍，打磨平整</w:t>
            </w:r>
          </w:p>
          <w:p w14:paraId="15E133FD">
            <w:pPr>
              <w:widowControl/>
              <w:spacing w:line="400" w:lineRule="exact"/>
              <w:jc w:val="left"/>
              <w:rPr>
                <w:rFonts w:ascii="宋体" w:hAnsi="宋体" w:cs="Arial"/>
                <w:color w:val="auto"/>
                <w:sz w:val="18"/>
                <w:szCs w:val="18"/>
              </w:rPr>
            </w:pPr>
            <w:r>
              <w:rPr>
                <w:rFonts w:hint="eastAsia" w:ascii="宋体" w:hAnsi="宋体" w:cs="Arial"/>
                <w:color w:val="auto"/>
                <w:sz w:val="18"/>
                <w:szCs w:val="18"/>
              </w:rPr>
              <w:t>2.背景定制宣绒布写真</w:t>
            </w:r>
          </w:p>
        </w:tc>
        <w:tc>
          <w:tcPr>
            <w:tcW w:w="900" w:type="dxa"/>
            <w:tcBorders>
              <w:top w:val="nil"/>
              <w:left w:val="nil"/>
              <w:bottom w:val="single" w:color="auto" w:sz="4" w:space="0"/>
              <w:right w:val="single" w:color="auto" w:sz="4" w:space="0"/>
            </w:tcBorders>
            <w:vAlign w:val="center"/>
          </w:tcPr>
          <w:p w14:paraId="7B9439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430.00 </w:t>
            </w:r>
          </w:p>
        </w:tc>
        <w:tc>
          <w:tcPr>
            <w:tcW w:w="849" w:type="dxa"/>
            <w:gridSpan w:val="2"/>
            <w:tcBorders>
              <w:top w:val="nil"/>
              <w:left w:val="nil"/>
              <w:bottom w:val="single" w:color="auto" w:sz="4" w:space="0"/>
              <w:right w:val="single" w:color="auto" w:sz="4" w:space="0"/>
            </w:tcBorders>
            <w:vAlign w:val="center"/>
          </w:tcPr>
          <w:p w14:paraId="007516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00A3E8D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6C702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5BC5A4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造型展板</w:t>
            </w:r>
          </w:p>
        </w:tc>
        <w:tc>
          <w:tcPr>
            <w:tcW w:w="5717" w:type="dxa"/>
            <w:tcBorders>
              <w:top w:val="nil"/>
              <w:left w:val="nil"/>
              <w:bottom w:val="single" w:color="auto" w:sz="4" w:space="0"/>
              <w:right w:val="single" w:color="auto" w:sz="4" w:space="0"/>
            </w:tcBorders>
            <w:vAlign w:val="center"/>
          </w:tcPr>
          <w:p w14:paraId="630DF851">
            <w:pPr>
              <w:widowControl/>
              <w:spacing w:line="400" w:lineRule="exact"/>
              <w:jc w:val="left"/>
              <w:rPr>
                <w:rFonts w:ascii="宋体" w:hAnsi="宋体" w:cs="Arial"/>
                <w:color w:val="auto"/>
                <w:sz w:val="18"/>
                <w:szCs w:val="18"/>
              </w:rPr>
            </w:pPr>
            <w:r>
              <w:rPr>
                <w:rFonts w:hint="eastAsia" w:ascii="宋体" w:hAnsi="宋体" w:cs="Arial"/>
                <w:color w:val="auto"/>
                <w:sz w:val="18"/>
                <w:szCs w:val="18"/>
              </w:rPr>
              <w:t>1.10mmPVC 基层</w:t>
            </w:r>
          </w:p>
          <w:p w14:paraId="48486EAD">
            <w:pPr>
              <w:widowControl/>
              <w:spacing w:line="400" w:lineRule="exact"/>
              <w:jc w:val="left"/>
              <w:rPr>
                <w:rFonts w:ascii="宋体" w:hAnsi="宋体" w:cs="Arial"/>
                <w:color w:val="auto"/>
                <w:sz w:val="18"/>
                <w:szCs w:val="18"/>
              </w:rPr>
            </w:pPr>
            <w:r>
              <w:rPr>
                <w:rFonts w:hint="eastAsia" w:ascii="宋体" w:hAnsi="宋体" w:cs="Arial"/>
                <w:color w:val="auto"/>
                <w:sz w:val="18"/>
                <w:szCs w:val="18"/>
              </w:rPr>
              <w:t>2.PVC 基层，背景定制高清写真</w:t>
            </w:r>
          </w:p>
        </w:tc>
        <w:tc>
          <w:tcPr>
            <w:tcW w:w="900" w:type="dxa"/>
            <w:tcBorders>
              <w:top w:val="nil"/>
              <w:left w:val="nil"/>
              <w:bottom w:val="single" w:color="auto" w:sz="4" w:space="0"/>
              <w:right w:val="single" w:color="auto" w:sz="4" w:space="0"/>
            </w:tcBorders>
            <w:vAlign w:val="center"/>
          </w:tcPr>
          <w:p w14:paraId="1DCACE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12.00 </w:t>
            </w:r>
          </w:p>
        </w:tc>
        <w:tc>
          <w:tcPr>
            <w:tcW w:w="849" w:type="dxa"/>
            <w:gridSpan w:val="2"/>
            <w:tcBorders>
              <w:top w:val="nil"/>
              <w:left w:val="nil"/>
              <w:bottom w:val="single" w:color="auto" w:sz="4" w:space="0"/>
              <w:right w:val="single" w:color="auto" w:sz="4" w:space="0"/>
            </w:tcBorders>
            <w:vAlign w:val="center"/>
          </w:tcPr>
          <w:p w14:paraId="08675E9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44975C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279B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298D12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墙面 LED 灯带</w:t>
            </w:r>
          </w:p>
        </w:tc>
        <w:tc>
          <w:tcPr>
            <w:tcW w:w="5717" w:type="dxa"/>
            <w:tcBorders>
              <w:top w:val="nil"/>
              <w:left w:val="nil"/>
              <w:bottom w:val="single" w:color="auto" w:sz="4" w:space="0"/>
              <w:right w:val="single" w:color="auto" w:sz="4" w:space="0"/>
            </w:tcBorders>
            <w:vAlign w:val="center"/>
          </w:tcPr>
          <w:p w14:paraId="47249F3D">
            <w:pPr>
              <w:widowControl/>
              <w:spacing w:line="400" w:lineRule="exact"/>
              <w:jc w:val="left"/>
              <w:rPr>
                <w:rFonts w:ascii="宋体" w:hAnsi="宋体" w:cs="Arial"/>
                <w:color w:val="auto"/>
                <w:sz w:val="18"/>
                <w:szCs w:val="18"/>
              </w:rPr>
            </w:pPr>
            <w:r>
              <w:rPr>
                <w:rFonts w:hint="eastAsia" w:ascii="宋体" w:hAnsi="宋体" w:cs="Arial"/>
                <w:color w:val="auto"/>
                <w:sz w:val="18"/>
                <w:szCs w:val="18"/>
              </w:rPr>
              <w:t>1.铝合金型材边框</w:t>
            </w:r>
          </w:p>
          <w:p w14:paraId="241CA8FE">
            <w:pPr>
              <w:widowControl/>
              <w:spacing w:line="400" w:lineRule="exact"/>
              <w:jc w:val="left"/>
              <w:rPr>
                <w:rFonts w:ascii="宋体" w:hAnsi="宋体" w:cs="Arial"/>
                <w:color w:val="auto"/>
                <w:sz w:val="18"/>
                <w:szCs w:val="18"/>
              </w:rPr>
            </w:pPr>
            <w:r>
              <w:rPr>
                <w:rFonts w:hint="eastAsia" w:ascii="宋体" w:hAnsi="宋体" w:cs="Arial"/>
                <w:color w:val="auto"/>
                <w:sz w:val="18"/>
                <w:szCs w:val="18"/>
              </w:rPr>
              <w:t>2.内部两排，单根长度 900mm，12w 白光泛光灯条并联</w:t>
            </w:r>
          </w:p>
        </w:tc>
        <w:tc>
          <w:tcPr>
            <w:tcW w:w="900" w:type="dxa"/>
            <w:tcBorders>
              <w:top w:val="nil"/>
              <w:left w:val="nil"/>
              <w:bottom w:val="single" w:color="auto" w:sz="4" w:space="0"/>
              <w:right w:val="single" w:color="auto" w:sz="4" w:space="0"/>
            </w:tcBorders>
            <w:vAlign w:val="center"/>
          </w:tcPr>
          <w:p w14:paraId="7A8BD6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80.00 </w:t>
            </w:r>
          </w:p>
        </w:tc>
        <w:tc>
          <w:tcPr>
            <w:tcW w:w="849" w:type="dxa"/>
            <w:gridSpan w:val="2"/>
            <w:tcBorders>
              <w:top w:val="nil"/>
              <w:left w:val="nil"/>
              <w:bottom w:val="single" w:color="auto" w:sz="4" w:space="0"/>
              <w:right w:val="single" w:color="auto" w:sz="4" w:space="0"/>
            </w:tcBorders>
            <w:vAlign w:val="center"/>
          </w:tcPr>
          <w:p w14:paraId="61B693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80C2D1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373B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3EFD83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玻璃门</w:t>
            </w:r>
          </w:p>
        </w:tc>
        <w:tc>
          <w:tcPr>
            <w:tcW w:w="5717" w:type="dxa"/>
            <w:tcBorders>
              <w:top w:val="nil"/>
              <w:left w:val="nil"/>
              <w:bottom w:val="single" w:color="auto" w:sz="4" w:space="0"/>
              <w:right w:val="single" w:color="auto" w:sz="4" w:space="0"/>
            </w:tcBorders>
            <w:vAlign w:val="center"/>
          </w:tcPr>
          <w:p w14:paraId="394CCC6B">
            <w:pPr>
              <w:widowControl/>
              <w:spacing w:line="400" w:lineRule="exact"/>
              <w:jc w:val="left"/>
              <w:rPr>
                <w:rFonts w:ascii="宋体" w:hAnsi="宋体" w:cs="Arial"/>
                <w:color w:val="auto"/>
                <w:sz w:val="18"/>
                <w:szCs w:val="18"/>
              </w:rPr>
            </w:pPr>
            <w:r>
              <w:rPr>
                <w:rFonts w:hint="eastAsia" w:ascii="宋体" w:hAnsi="宋体" w:cs="Arial"/>
                <w:color w:val="auto"/>
                <w:sz w:val="18"/>
                <w:szCs w:val="18"/>
              </w:rPr>
              <w:t>1.木工板（木龙骨）基层</w:t>
            </w:r>
          </w:p>
          <w:p w14:paraId="2059F1F7">
            <w:pPr>
              <w:widowControl/>
              <w:spacing w:line="400" w:lineRule="exact"/>
              <w:jc w:val="left"/>
              <w:rPr>
                <w:rFonts w:ascii="宋体" w:hAnsi="宋体" w:cs="Arial"/>
                <w:color w:val="auto"/>
                <w:sz w:val="18"/>
                <w:szCs w:val="18"/>
              </w:rPr>
            </w:pPr>
            <w:r>
              <w:rPr>
                <w:rFonts w:hint="eastAsia" w:ascii="宋体" w:hAnsi="宋体" w:cs="Arial"/>
                <w:color w:val="auto"/>
                <w:sz w:val="18"/>
                <w:szCs w:val="18"/>
              </w:rPr>
              <w:t>2.不锈钢门套</w:t>
            </w:r>
          </w:p>
          <w:p w14:paraId="1EADC4BF">
            <w:pPr>
              <w:widowControl/>
              <w:spacing w:line="400" w:lineRule="exact"/>
              <w:jc w:val="left"/>
              <w:rPr>
                <w:rFonts w:ascii="宋体" w:hAnsi="宋体" w:cs="Arial"/>
                <w:color w:val="auto"/>
                <w:sz w:val="18"/>
                <w:szCs w:val="18"/>
              </w:rPr>
            </w:pPr>
            <w:r>
              <w:rPr>
                <w:rFonts w:hint="eastAsia" w:ascii="宋体" w:hAnsi="宋体" w:cs="Arial"/>
                <w:color w:val="auto"/>
                <w:sz w:val="18"/>
                <w:szCs w:val="18"/>
              </w:rPr>
              <w:t>3.10mm 钢化玻璃</w:t>
            </w:r>
          </w:p>
        </w:tc>
        <w:tc>
          <w:tcPr>
            <w:tcW w:w="900" w:type="dxa"/>
            <w:tcBorders>
              <w:top w:val="nil"/>
              <w:left w:val="nil"/>
              <w:bottom w:val="single" w:color="auto" w:sz="4" w:space="0"/>
              <w:right w:val="single" w:color="auto" w:sz="4" w:space="0"/>
            </w:tcBorders>
            <w:vAlign w:val="center"/>
          </w:tcPr>
          <w:p w14:paraId="0B619B9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3A9BDA22">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6284B36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2B4E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565F5D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亚克力字</w:t>
            </w:r>
          </w:p>
        </w:tc>
        <w:tc>
          <w:tcPr>
            <w:tcW w:w="5717" w:type="dxa"/>
            <w:tcBorders>
              <w:top w:val="nil"/>
              <w:left w:val="nil"/>
              <w:bottom w:val="single" w:color="auto" w:sz="4" w:space="0"/>
              <w:right w:val="single" w:color="auto" w:sz="4" w:space="0"/>
            </w:tcBorders>
            <w:vAlign w:val="center"/>
          </w:tcPr>
          <w:p w14:paraId="7E238585">
            <w:pPr>
              <w:widowControl/>
              <w:spacing w:line="400" w:lineRule="exact"/>
              <w:jc w:val="left"/>
              <w:rPr>
                <w:rFonts w:ascii="宋体" w:hAnsi="宋体" w:cs="Arial"/>
                <w:color w:val="auto"/>
                <w:sz w:val="18"/>
                <w:szCs w:val="18"/>
              </w:rPr>
            </w:pPr>
            <w:r>
              <w:rPr>
                <w:rFonts w:hint="eastAsia" w:ascii="宋体" w:hAnsi="宋体" w:cs="Arial"/>
                <w:color w:val="auto"/>
                <w:sz w:val="18"/>
                <w:szCs w:val="18"/>
              </w:rPr>
              <w:t>1.亚克力发光字，（字体颜色甲方确定）</w:t>
            </w:r>
          </w:p>
          <w:p w14:paraId="238C80B0">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2.规格：180*180MM</w:t>
            </w:r>
          </w:p>
        </w:tc>
        <w:tc>
          <w:tcPr>
            <w:tcW w:w="900" w:type="dxa"/>
            <w:tcBorders>
              <w:top w:val="nil"/>
              <w:left w:val="nil"/>
              <w:bottom w:val="single" w:color="auto" w:sz="4" w:space="0"/>
              <w:right w:val="single" w:color="auto" w:sz="4" w:space="0"/>
            </w:tcBorders>
            <w:vAlign w:val="center"/>
          </w:tcPr>
          <w:p w14:paraId="6031AE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33.00 </w:t>
            </w:r>
          </w:p>
        </w:tc>
        <w:tc>
          <w:tcPr>
            <w:tcW w:w="849" w:type="dxa"/>
            <w:gridSpan w:val="2"/>
            <w:tcBorders>
              <w:top w:val="nil"/>
              <w:left w:val="nil"/>
              <w:bottom w:val="single" w:color="auto" w:sz="4" w:space="0"/>
              <w:right w:val="single" w:color="auto" w:sz="4" w:space="0"/>
            </w:tcBorders>
            <w:vAlign w:val="center"/>
          </w:tcPr>
          <w:p w14:paraId="6D048C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32DC2C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E3A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136EB1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水泥砂浆找平</w:t>
            </w:r>
          </w:p>
        </w:tc>
        <w:tc>
          <w:tcPr>
            <w:tcW w:w="5717" w:type="dxa"/>
            <w:tcBorders>
              <w:top w:val="nil"/>
              <w:left w:val="nil"/>
              <w:bottom w:val="single" w:color="auto" w:sz="4" w:space="0"/>
              <w:right w:val="single" w:color="auto" w:sz="4" w:space="0"/>
            </w:tcBorders>
            <w:vAlign w:val="center"/>
          </w:tcPr>
          <w:p w14:paraId="1890252E">
            <w:pPr>
              <w:widowControl/>
              <w:spacing w:line="400" w:lineRule="exact"/>
              <w:jc w:val="left"/>
              <w:rPr>
                <w:rFonts w:ascii="宋体" w:hAnsi="宋体" w:cs="Arial"/>
                <w:color w:val="auto"/>
                <w:sz w:val="18"/>
                <w:szCs w:val="18"/>
              </w:rPr>
            </w:pPr>
            <w:r>
              <w:rPr>
                <w:rFonts w:hint="eastAsia" w:ascii="宋体" w:hAnsi="宋体" w:cs="Arial"/>
                <w:color w:val="auto"/>
                <w:sz w:val="18"/>
                <w:szCs w:val="18"/>
              </w:rPr>
              <w:t>素水泥浆一道，≤50mm 厚 1：3 水泥砂浆找平</w:t>
            </w:r>
          </w:p>
        </w:tc>
        <w:tc>
          <w:tcPr>
            <w:tcW w:w="900" w:type="dxa"/>
            <w:tcBorders>
              <w:top w:val="nil"/>
              <w:left w:val="nil"/>
              <w:bottom w:val="single" w:color="auto" w:sz="4" w:space="0"/>
              <w:right w:val="single" w:color="auto" w:sz="4" w:space="0"/>
            </w:tcBorders>
            <w:vAlign w:val="center"/>
          </w:tcPr>
          <w:p w14:paraId="6CEF05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28B92E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2722EB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960F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30EBFE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自流平</w:t>
            </w:r>
          </w:p>
        </w:tc>
        <w:tc>
          <w:tcPr>
            <w:tcW w:w="5717" w:type="dxa"/>
            <w:tcBorders>
              <w:top w:val="nil"/>
              <w:left w:val="nil"/>
              <w:bottom w:val="single" w:color="auto" w:sz="4" w:space="0"/>
              <w:right w:val="single" w:color="auto" w:sz="4" w:space="0"/>
            </w:tcBorders>
            <w:vAlign w:val="center"/>
          </w:tcPr>
          <w:p w14:paraId="688CBE1D">
            <w:pPr>
              <w:widowControl/>
              <w:spacing w:line="400" w:lineRule="exact"/>
              <w:jc w:val="left"/>
              <w:rPr>
                <w:rFonts w:ascii="宋体" w:hAnsi="宋体" w:cs="Arial"/>
                <w:color w:val="auto"/>
                <w:sz w:val="18"/>
                <w:szCs w:val="18"/>
              </w:rPr>
            </w:pPr>
            <w:r>
              <w:rPr>
                <w:rFonts w:hint="eastAsia" w:ascii="宋体" w:hAnsi="宋体" w:cs="Arial"/>
                <w:color w:val="auto"/>
                <w:sz w:val="18"/>
                <w:szCs w:val="18"/>
              </w:rPr>
              <w:t>防滑地胶基层3-5mm</w:t>
            </w:r>
          </w:p>
        </w:tc>
        <w:tc>
          <w:tcPr>
            <w:tcW w:w="900" w:type="dxa"/>
            <w:tcBorders>
              <w:top w:val="nil"/>
              <w:left w:val="nil"/>
              <w:bottom w:val="single" w:color="auto" w:sz="4" w:space="0"/>
              <w:right w:val="single" w:color="auto" w:sz="4" w:space="0"/>
            </w:tcBorders>
            <w:vAlign w:val="center"/>
          </w:tcPr>
          <w:p w14:paraId="7A665D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442DAB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4898AE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B32A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5182DA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防滑地胶</w:t>
            </w:r>
          </w:p>
        </w:tc>
        <w:tc>
          <w:tcPr>
            <w:tcW w:w="5717" w:type="dxa"/>
            <w:tcBorders>
              <w:top w:val="nil"/>
              <w:left w:val="nil"/>
              <w:bottom w:val="single" w:color="auto" w:sz="4" w:space="0"/>
              <w:right w:val="single" w:color="auto" w:sz="4" w:space="0"/>
            </w:tcBorders>
            <w:vAlign w:val="center"/>
          </w:tcPr>
          <w:p w14:paraId="2411E637">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防滑 PVC 地胶铺设,颜色款式甲方确定</w:t>
            </w:r>
          </w:p>
        </w:tc>
        <w:tc>
          <w:tcPr>
            <w:tcW w:w="900" w:type="dxa"/>
            <w:tcBorders>
              <w:top w:val="nil"/>
              <w:left w:val="nil"/>
              <w:bottom w:val="single" w:color="auto" w:sz="4" w:space="0"/>
              <w:right w:val="single" w:color="auto" w:sz="4" w:space="0"/>
            </w:tcBorders>
            <w:vAlign w:val="center"/>
          </w:tcPr>
          <w:p w14:paraId="5DB985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313E92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0DCF8E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5BE0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73CFE6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不锈钢踢脚线</w:t>
            </w:r>
          </w:p>
        </w:tc>
        <w:tc>
          <w:tcPr>
            <w:tcW w:w="5717" w:type="dxa"/>
            <w:tcBorders>
              <w:top w:val="nil"/>
              <w:left w:val="nil"/>
              <w:bottom w:val="single" w:color="auto" w:sz="4" w:space="0"/>
              <w:right w:val="single" w:color="auto" w:sz="4" w:space="0"/>
            </w:tcBorders>
            <w:vAlign w:val="center"/>
          </w:tcPr>
          <w:p w14:paraId="09C585EF">
            <w:pPr>
              <w:widowControl/>
              <w:spacing w:line="400" w:lineRule="exact"/>
              <w:jc w:val="left"/>
              <w:rPr>
                <w:rFonts w:ascii="宋体" w:hAnsi="宋体" w:cs="Arial"/>
                <w:color w:val="auto"/>
                <w:sz w:val="18"/>
                <w:szCs w:val="18"/>
              </w:rPr>
            </w:pPr>
            <w:r>
              <w:rPr>
                <w:rFonts w:hint="eastAsia" w:ascii="宋体" w:hAnsi="宋体" w:cs="Arial"/>
                <w:color w:val="auto"/>
                <w:sz w:val="18"/>
                <w:szCs w:val="18"/>
              </w:rPr>
              <w:t>木龙骨结构刷防火涂料三遍、12mm 木工板造型刷防火涂料三遍、不锈钢折弯自攻丝、枪钉、结构胶安装</w:t>
            </w:r>
          </w:p>
        </w:tc>
        <w:tc>
          <w:tcPr>
            <w:tcW w:w="900" w:type="dxa"/>
            <w:tcBorders>
              <w:top w:val="nil"/>
              <w:left w:val="nil"/>
              <w:bottom w:val="single" w:color="auto" w:sz="4" w:space="0"/>
              <w:right w:val="single" w:color="auto" w:sz="4" w:space="0"/>
            </w:tcBorders>
            <w:vAlign w:val="center"/>
          </w:tcPr>
          <w:p w14:paraId="79AFD6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190.60 </w:t>
            </w:r>
          </w:p>
        </w:tc>
        <w:tc>
          <w:tcPr>
            <w:tcW w:w="849" w:type="dxa"/>
            <w:gridSpan w:val="2"/>
            <w:tcBorders>
              <w:top w:val="nil"/>
              <w:left w:val="nil"/>
              <w:bottom w:val="single" w:color="auto" w:sz="4" w:space="0"/>
              <w:right w:val="single" w:color="auto" w:sz="4" w:space="0"/>
            </w:tcBorders>
            <w:vAlign w:val="center"/>
          </w:tcPr>
          <w:p w14:paraId="69D5F9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6459A16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4672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51A5EF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地贴</w:t>
            </w:r>
          </w:p>
        </w:tc>
        <w:tc>
          <w:tcPr>
            <w:tcW w:w="5717" w:type="dxa"/>
            <w:tcBorders>
              <w:top w:val="nil"/>
              <w:left w:val="nil"/>
              <w:bottom w:val="single" w:color="auto" w:sz="4" w:space="0"/>
              <w:right w:val="single" w:color="auto" w:sz="4" w:space="0"/>
            </w:tcBorders>
            <w:vAlign w:val="center"/>
          </w:tcPr>
          <w:p w14:paraId="65E8B93B">
            <w:pPr>
              <w:widowControl/>
              <w:spacing w:line="400" w:lineRule="exact"/>
              <w:jc w:val="left"/>
              <w:rPr>
                <w:rFonts w:ascii="宋体" w:hAnsi="宋体" w:cs="Arial"/>
                <w:color w:val="auto"/>
                <w:sz w:val="18"/>
                <w:szCs w:val="18"/>
              </w:rPr>
            </w:pPr>
            <w:r>
              <w:rPr>
                <w:rFonts w:hint="eastAsia" w:ascii="宋体" w:hAnsi="宋体" w:cs="Arial"/>
                <w:color w:val="auto"/>
                <w:sz w:val="18"/>
                <w:szCs w:val="18"/>
              </w:rPr>
              <w:t>1.成品地贴铺设，图案满足设计及甲方要求</w:t>
            </w:r>
          </w:p>
        </w:tc>
        <w:tc>
          <w:tcPr>
            <w:tcW w:w="900" w:type="dxa"/>
            <w:tcBorders>
              <w:top w:val="nil"/>
              <w:left w:val="nil"/>
              <w:bottom w:val="single" w:color="auto" w:sz="4" w:space="0"/>
              <w:right w:val="single" w:color="auto" w:sz="4" w:space="0"/>
            </w:tcBorders>
            <w:vAlign w:val="center"/>
          </w:tcPr>
          <w:p w14:paraId="2C16F0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7084C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2F923C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91C5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C5B84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电路改造</w:t>
            </w:r>
          </w:p>
        </w:tc>
        <w:tc>
          <w:tcPr>
            <w:tcW w:w="5717" w:type="dxa"/>
            <w:tcBorders>
              <w:top w:val="nil"/>
              <w:left w:val="nil"/>
              <w:bottom w:val="single" w:color="auto" w:sz="4" w:space="0"/>
              <w:right w:val="single" w:color="auto" w:sz="4" w:space="0"/>
            </w:tcBorders>
            <w:vAlign w:val="center"/>
          </w:tcPr>
          <w:p w14:paraId="573AA62A">
            <w:pPr>
              <w:widowControl/>
              <w:spacing w:line="400" w:lineRule="exact"/>
              <w:jc w:val="left"/>
              <w:rPr>
                <w:rFonts w:ascii="宋体" w:hAnsi="宋体" w:cs="Arial"/>
                <w:color w:val="auto"/>
                <w:sz w:val="18"/>
                <w:szCs w:val="18"/>
              </w:rPr>
            </w:pPr>
            <w:r>
              <w:rPr>
                <w:rFonts w:hint="eastAsia" w:ascii="宋体" w:hAnsi="宋体" w:cs="Arial"/>
                <w:color w:val="auto"/>
                <w:sz w:val="18"/>
                <w:szCs w:val="18"/>
              </w:rPr>
              <w:t>1 地面、墙面开槽及恢复</w:t>
            </w:r>
          </w:p>
          <w:p w14:paraId="706A4638">
            <w:pPr>
              <w:widowControl/>
              <w:spacing w:line="400" w:lineRule="exact"/>
              <w:jc w:val="left"/>
              <w:rPr>
                <w:rFonts w:ascii="宋体" w:hAnsi="宋体" w:cs="Arial"/>
                <w:color w:val="auto"/>
                <w:sz w:val="18"/>
                <w:szCs w:val="18"/>
              </w:rPr>
            </w:pPr>
            <w:r>
              <w:rPr>
                <w:rFonts w:hint="eastAsia" w:ascii="宋体" w:hAnsi="宋体" w:cs="Arial"/>
                <w:color w:val="auto"/>
                <w:sz w:val="18"/>
                <w:szCs w:val="18"/>
              </w:rPr>
              <w:t>2.预埋 2.0PVC 线管，2.5/4 平方单股铜芯线</w:t>
            </w:r>
          </w:p>
          <w:p w14:paraId="10FB0EB0">
            <w:pPr>
              <w:widowControl/>
              <w:spacing w:line="400" w:lineRule="exact"/>
              <w:jc w:val="left"/>
              <w:rPr>
                <w:rFonts w:ascii="宋体" w:hAnsi="宋体" w:cs="Arial"/>
                <w:color w:val="auto"/>
                <w:sz w:val="18"/>
                <w:szCs w:val="18"/>
              </w:rPr>
            </w:pPr>
            <w:r>
              <w:rPr>
                <w:rFonts w:hint="eastAsia" w:ascii="宋体" w:hAnsi="宋体" w:cs="Arial"/>
                <w:color w:val="auto"/>
                <w:sz w:val="18"/>
                <w:szCs w:val="18"/>
              </w:rPr>
              <w:t>3.强电改造</w:t>
            </w:r>
          </w:p>
          <w:p w14:paraId="1DF90B76">
            <w:pPr>
              <w:widowControl/>
              <w:spacing w:line="400" w:lineRule="exact"/>
              <w:jc w:val="left"/>
              <w:rPr>
                <w:rFonts w:ascii="宋体" w:hAnsi="宋体" w:cs="Arial"/>
                <w:color w:val="auto"/>
                <w:sz w:val="18"/>
                <w:szCs w:val="18"/>
              </w:rPr>
            </w:pPr>
            <w:r>
              <w:rPr>
                <w:rFonts w:hint="eastAsia" w:ascii="宋体" w:hAnsi="宋体" w:cs="Arial"/>
                <w:color w:val="auto"/>
                <w:sz w:val="18"/>
                <w:szCs w:val="18"/>
              </w:rPr>
              <w:t>4.地面切割，开槽，水泥砂浆找平，横平竖直，凿好管线槽排入专用阻燃型电线管</w:t>
            </w:r>
          </w:p>
        </w:tc>
        <w:tc>
          <w:tcPr>
            <w:tcW w:w="900" w:type="dxa"/>
            <w:tcBorders>
              <w:top w:val="nil"/>
              <w:left w:val="nil"/>
              <w:bottom w:val="single" w:color="auto" w:sz="4" w:space="0"/>
              <w:right w:val="single" w:color="auto" w:sz="4" w:space="0"/>
            </w:tcBorders>
            <w:vAlign w:val="center"/>
          </w:tcPr>
          <w:p w14:paraId="763979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336.66 </w:t>
            </w:r>
          </w:p>
        </w:tc>
        <w:tc>
          <w:tcPr>
            <w:tcW w:w="849" w:type="dxa"/>
            <w:gridSpan w:val="2"/>
            <w:tcBorders>
              <w:top w:val="nil"/>
              <w:left w:val="nil"/>
              <w:bottom w:val="single" w:color="auto" w:sz="4" w:space="0"/>
              <w:right w:val="single" w:color="auto" w:sz="4" w:space="0"/>
            </w:tcBorders>
            <w:vAlign w:val="center"/>
          </w:tcPr>
          <w:p w14:paraId="15F5D5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m²</w:t>
            </w:r>
          </w:p>
        </w:tc>
      </w:tr>
      <w:tr w14:paraId="5A0097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DDC3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28A614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照明开关</w:t>
            </w:r>
          </w:p>
        </w:tc>
        <w:tc>
          <w:tcPr>
            <w:tcW w:w="5717" w:type="dxa"/>
            <w:tcBorders>
              <w:top w:val="nil"/>
              <w:left w:val="nil"/>
              <w:bottom w:val="single" w:color="auto" w:sz="4" w:space="0"/>
              <w:right w:val="single" w:color="auto" w:sz="4" w:space="0"/>
            </w:tcBorders>
            <w:vAlign w:val="center"/>
          </w:tcPr>
          <w:p w14:paraId="6712E7FA">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1.名称：照明开关，款式甲方确定</w:t>
            </w:r>
          </w:p>
          <w:p w14:paraId="33B785A4">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2.材质：电流 10A,注塑面板，PC 阻燃</w:t>
            </w:r>
          </w:p>
          <w:p w14:paraId="0667DB6D">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3.规格：86 型</w:t>
            </w:r>
          </w:p>
        </w:tc>
        <w:tc>
          <w:tcPr>
            <w:tcW w:w="900" w:type="dxa"/>
            <w:tcBorders>
              <w:top w:val="nil"/>
              <w:left w:val="nil"/>
              <w:bottom w:val="single" w:color="auto" w:sz="4" w:space="0"/>
              <w:right w:val="single" w:color="auto" w:sz="4" w:space="0"/>
            </w:tcBorders>
            <w:vAlign w:val="center"/>
          </w:tcPr>
          <w:p w14:paraId="59599B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5DAD3C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BA2D55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CF25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1CCEF6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w:t>
            </w:r>
          </w:p>
        </w:tc>
        <w:tc>
          <w:tcPr>
            <w:tcW w:w="5717" w:type="dxa"/>
            <w:tcBorders>
              <w:top w:val="nil"/>
              <w:left w:val="nil"/>
              <w:bottom w:val="single" w:color="auto" w:sz="4" w:space="0"/>
              <w:right w:val="single" w:color="auto" w:sz="4" w:space="0"/>
            </w:tcBorders>
            <w:vAlign w:val="center"/>
          </w:tcPr>
          <w:p w14:paraId="55DBE6B1">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1.名称：五孔插座，款式甲方确定</w:t>
            </w:r>
          </w:p>
          <w:p w14:paraId="4ADF756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2.规格：86 型二三插座，带保护门</w:t>
            </w:r>
          </w:p>
        </w:tc>
        <w:tc>
          <w:tcPr>
            <w:tcW w:w="900" w:type="dxa"/>
            <w:tcBorders>
              <w:top w:val="nil"/>
              <w:left w:val="nil"/>
              <w:bottom w:val="single" w:color="auto" w:sz="4" w:space="0"/>
              <w:right w:val="single" w:color="auto" w:sz="4" w:space="0"/>
            </w:tcBorders>
            <w:vAlign w:val="center"/>
          </w:tcPr>
          <w:p w14:paraId="79A719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1A78E9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B08783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DFAF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4051C2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五孔插座（地插）</w:t>
            </w:r>
          </w:p>
        </w:tc>
        <w:tc>
          <w:tcPr>
            <w:tcW w:w="5717" w:type="dxa"/>
            <w:tcBorders>
              <w:top w:val="nil"/>
              <w:left w:val="nil"/>
              <w:bottom w:val="single" w:color="auto" w:sz="4" w:space="0"/>
              <w:right w:val="single" w:color="auto" w:sz="4" w:space="0"/>
            </w:tcBorders>
            <w:vAlign w:val="center"/>
          </w:tcPr>
          <w:p w14:paraId="30FB1FE0">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1.名称：五孔插座，款式甲方确定</w:t>
            </w:r>
          </w:p>
          <w:p w14:paraId="593E9888">
            <w:pPr>
              <w:widowControl/>
              <w:spacing w:line="400" w:lineRule="exact"/>
              <w:jc w:val="left"/>
              <w:rPr>
                <w:rFonts w:ascii="宋体" w:hAnsi="宋体" w:cs="Arial"/>
                <w:color w:val="auto"/>
                <w:sz w:val="18"/>
                <w:szCs w:val="18"/>
              </w:rPr>
            </w:pPr>
            <w:r>
              <w:rPr>
                <w:rFonts w:hint="eastAsia" w:ascii="宋体" w:hAnsi="宋体" w:cs="Arial"/>
                <w:color w:val="auto"/>
                <w:sz w:val="18"/>
                <w:szCs w:val="18"/>
              </w:rPr>
              <w:t>2.材质：地插座全铜防水</w:t>
            </w:r>
          </w:p>
          <w:p w14:paraId="1BAAE294">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3.规格：带保护门单相两极双用</w:t>
            </w:r>
          </w:p>
        </w:tc>
        <w:tc>
          <w:tcPr>
            <w:tcW w:w="900" w:type="dxa"/>
            <w:tcBorders>
              <w:top w:val="nil"/>
              <w:left w:val="nil"/>
              <w:bottom w:val="single" w:color="auto" w:sz="4" w:space="0"/>
              <w:right w:val="single" w:color="auto" w:sz="4" w:space="0"/>
            </w:tcBorders>
            <w:vAlign w:val="center"/>
          </w:tcPr>
          <w:p w14:paraId="05C312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 </w:t>
            </w:r>
          </w:p>
        </w:tc>
        <w:tc>
          <w:tcPr>
            <w:tcW w:w="849" w:type="dxa"/>
            <w:gridSpan w:val="2"/>
            <w:tcBorders>
              <w:top w:val="nil"/>
              <w:left w:val="nil"/>
              <w:bottom w:val="single" w:color="auto" w:sz="4" w:space="0"/>
              <w:right w:val="single" w:color="auto" w:sz="4" w:space="0"/>
            </w:tcBorders>
            <w:vAlign w:val="center"/>
          </w:tcPr>
          <w:p w14:paraId="27B3E2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E26F2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F8F3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3FA188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可调节 LED 射灯</w:t>
            </w:r>
          </w:p>
        </w:tc>
        <w:tc>
          <w:tcPr>
            <w:tcW w:w="5717" w:type="dxa"/>
            <w:tcBorders>
              <w:top w:val="nil"/>
              <w:left w:val="nil"/>
              <w:bottom w:val="single" w:color="auto" w:sz="4" w:space="0"/>
              <w:right w:val="single" w:color="auto" w:sz="4" w:space="0"/>
            </w:tcBorders>
            <w:vAlign w:val="center"/>
          </w:tcPr>
          <w:p w14:paraId="1924DD13">
            <w:pPr>
              <w:widowControl/>
              <w:spacing w:line="400" w:lineRule="exact"/>
              <w:jc w:val="left"/>
              <w:rPr>
                <w:rFonts w:ascii="宋体" w:hAnsi="宋体" w:cs="Arial"/>
                <w:color w:val="auto"/>
                <w:sz w:val="18"/>
                <w:szCs w:val="18"/>
              </w:rPr>
            </w:pPr>
            <w:r>
              <w:rPr>
                <w:rFonts w:hint="eastAsia" w:ascii="宋体" w:hAnsi="宋体" w:cs="Arial"/>
                <w:color w:val="auto"/>
                <w:sz w:val="18"/>
                <w:szCs w:val="18"/>
              </w:rPr>
              <w:t>1.名称：LED 射灯</w:t>
            </w:r>
          </w:p>
          <w:p w14:paraId="16D77996">
            <w:pPr>
              <w:widowControl/>
              <w:spacing w:line="400" w:lineRule="exact"/>
              <w:jc w:val="left"/>
              <w:rPr>
                <w:rFonts w:ascii="宋体" w:hAnsi="宋体" w:cs="Arial"/>
                <w:color w:val="auto"/>
                <w:sz w:val="18"/>
                <w:szCs w:val="18"/>
              </w:rPr>
            </w:pPr>
            <w:r>
              <w:rPr>
                <w:rFonts w:hint="eastAsia" w:ascii="宋体" w:hAnsi="宋体" w:cs="Arial"/>
                <w:color w:val="auto"/>
                <w:sz w:val="18"/>
                <w:szCs w:val="18"/>
              </w:rPr>
              <w:t>2.型号：Ф75MM，高 58MM</w:t>
            </w:r>
          </w:p>
          <w:p w14:paraId="7A7AD224">
            <w:pPr>
              <w:widowControl/>
              <w:spacing w:line="400" w:lineRule="exact"/>
              <w:jc w:val="left"/>
              <w:rPr>
                <w:rFonts w:ascii="宋体" w:hAnsi="宋体" w:cs="Arial"/>
                <w:color w:val="auto"/>
                <w:sz w:val="18"/>
                <w:szCs w:val="18"/>
              </w:rPr>
            </w:pPr>
            <w:r>
              <w:rPr>
                <w:rFonts w:hint="eastAsia" w:ascii="宋体" w:hAnsi="宋体" w:cs="Arial"/>
                <w:color w:val="auto"/>
                <w:sz w:val="18"/>
                <w:szCs w:val="18"/>
              </w:rPr>
              <w:t>3.规格：7W 正白光射灯</w:t>
            </w:r>
          </w:p>
          <w:p w14:paraId="32F22607">
            <w:pPr>
              <w:widowControl/>
              <w:spacing w:line="400" w:lineRule="exact"/>
              <w:jc w:val="left"/>
              <w:rPr>
                <w:rFonts w:ascii="宋体" w:hAnsi="宋体" w:cs="Arial"/>
                <w:color w:val="auto"/>
                <w:sz w:val="18"/>
                <w:szCs w:val="18"/>
              </w:rPr>
            </w:pPr>
            <w:r>
              <w:rPr>
                <w:rFonts w:hint="eastAsia" w:ascii="宋体" w:hAnsi="宋体" w:cs="Arial"/>
                <w:color w:val="auto"/>
                <w:sz w:val="18"/>
                <w:szCs w:val="18"/>
              </w:rPr>
              <w:t>4.类型：嵌入式</w:t>
            </w:r>
          </w:p>
        </w:tc>
        <w:tc>
          <w:tcPr>
            <w:tcW w:w="900" w:type="dxa"/>
            <w:tcBorders>
              <w:top w:val="nil"/>
              <w:left w:val="nil"/>
              <w:bottom w:val="single" w:color="auto" w:sz="4" w:space="0"/>
              <w:right w:val="single" w:color="auto" w:sz="4" w:space="0"/>
            </w:tcBorders>
            <w:vAlign w:val="center"/>
          </w:tcPr>
          <w:p w14:paraId="0EA9A1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90.00 </w:t>
            </w:r>
          </w:p>
        </w:tc>
        <w:tc>
          <w:tcPr>
            <w:tcW w:w="849" w:type="dxa"/>
            <w:gridSpan w:val="2"/>
            <w:tcBorders>
              <w:top w:val="nil"/>
              <w:left w:val="nil"/>
              <w:bottom w:val="single" w:color="auto" w:sz="4" w:space="0"/>
              <w:right w:val="single" w:color="auto" w:sz="4" w:space="0"/>
            </w:tcBorders>
            <w:vAlign w:val="center"/>
          </w:tcPr>
          <w:p w14:paraId="1CB105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10B483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429F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bottom"/>
          </w:tcPr>
          <w:p w14:paraId="61E35D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配电箱</w:t>
            </w:r>
          </w:p>
        </w:tc>
        <w:tc>
          <w:tcPr>
            <w:tcW w:w="5717" w:type="dxa"/>
            <w:tcBorders>
              <w:top w:val="nil"/>
              <w:left w:val="nil"/>
              <w:bottom w:val="single" w:color="auto" w:sz="4" w:space="0"/>
              <w:right w:val="single" w:color="auto" w:sz="4" w:space="0"/>
            </w:tcBorders>
            <w:vAlign w:val="bottom"/>
          </w:tcPr>
          <w:p w14:paraId="6A7B1AEE">
            <w:pPr>
              <w:widowControl/>
              <w:spacing w:line="400" w:lineRule="exact"/>
              <w:jc w:val="left"/>
              <w:rPr>
                <w:rFonts w:ascii="宋体" w:hAnsi="宋体" w:cs="Arial"/>
                <w:color w:val="auto"/>
                <w:sz w:val="18"/>
                <w:szCs w:val="18"/>
              </w:rPr>
            </w:pPr>
            <w:r>
              <w:rPr>
                <w:rFonts w:hint="eastAsia" w:ascii="宋体" w:hAnsi="宋体" w:cs="Arial"/>
                <w:color w:val="auto"/>
                <w:sz w:val="18"/>
                <w:szCs w:val="18"/>
              </w:rPr>
              <w:t>配电箱含空开漏保等电子元件，满足甲方使用要求</w:t>
            </w:r>
          </w:p>
        </w:tc>
        <w:tc>
          <w:tcPr>
            <w:tcW w:w="900" w:type="dxa"/>
            <w:tcBorders>
              <w:top w:val="nil"/>
              <w:left w:val="nil"/>
              <w:bottom w:val="single" w:color="auto" w:sz="4" w:space="0"/>
              <w:right w:val="single" w:color="auto" w:sz="4" w:space="0"/>
            </w:tcBorders>
            <w:vAlign w:val="bottom"/>
          </w:tcPr>
          <w:p w14:paraId="0FC51F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849" w:type="dxa"/>
            <w:gridSpan w:val="2"/>
            <w:tcBorders>
              <w:top w:val="nil"/>
              <w:left w:val="nil"/>
              <w:bottom w:val="single" w:color="auto" w:sz="4" w:space="0"/>
              <w:right w:val="single" w:color="auto" w:sz="4" w:space="0"/>
            </w:tcBorders>
            <w:vAlign w:val="bottom"/>
          </w:tcPr>
          <w:p w14:paraId="1856B2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41557C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DD82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27</w:t>
            </w:r>
          </w:p>
        </w:tc>
        <w:tc>
          <w:tcPr>
            <w:tcW w:w="1397" w:type="dxa"/>
            <w:tcBorders>
              <w:top w:val="nil"/>
              <w:left w:val="nil"/>
              <w:bottom w:val="single" w:color="auto" w:sz="4" w:space="0"/>
              <w:right w:val="single" w:color="auto" w:sz="4" w:space="0"/>
            </w:tcBorders>
            <w:vAlign w:val="bottom"/>
          </w:tcPr>
          <w:p w14:paraId="24E913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施工垃圾清运</w:t>
            </w:r>
          </w:p>
        </w:tc>
        <w:tc>
          <w:tcPr>
            <w:tcW w:w="5717" w:type="dxa"/>
            <w:tcBorders>
              <w:top w:val="nil"/>
              <w:left w:val="nil"/>
              <w:bottom w:val="single" w:color="auto" w:sz="4" w:space="0"/>
              <w:right w:val="single" w:color="auto" w:sz="4" w:space="0"/>
            </w:tcBorders>
            <w:vAlign w:val="center"/>
          </w:tcPr>
          <w:p w14:paraId="1C9E44D6">
            <w:pPr>
              <w:widowControl/>
              <w:spacing w:line="400" w:lineRule="exact"/>
              <w:rPr>
                <w:rFonts w:ascii="宋体" w:hAnsi="宋体" w:cs="Arial"/>
                <w:color w:val="auto"/>
                <w:sz w:val="18"/>
                <w:szCs w:val="18"/>
              </w:rPr>
            </w:pPr>
            <w:r>
              <w:rPr>
                <w:rFonts w:hint="eastAsia" w:ascii="宋体" w:hAnsi="宋体" w:cs="Arial"/>
                <w:color w:val="auto"/>
                <w:sz w:val="18"/>
                <w:szCs w:val="18"/>
              </w:rPr>
              <w:t>1.装修垃圾运输至指点堆放点；2.不包含外运费用</w:t>
            </w:r>
          </w:p>
        </w:tc>
        <w:tc>
          <w:tcPr>
            <w:tcW w:w="900" w:type="dxa"/>
            <w:tcBorders>
              <w:top w:val="nil"/>
              <w:left w:val="nil"/>
              <w:bottom w:val="single" w:color="auto" w:sz="4" w:space="0"/>
              <w:right w:val="single" w:color="auto" w:sz="4" w:space="0"/>
            </w:tcBorders>
            <w:vAlign w:val="center"/>
          </w:tcPr>
          <w:p w14:paraId="7EC37AB7">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2C47A86E">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5F24B4E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1D65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28</w:t>
            </w:r>
          </w:p>
        </w:tc>
        <w:tc>
          <w:tcPr>
            <w:tcW w:w="1397" w:type="dxa"/>
            <w:tcBorders>
              <w:top w:val="nil"/>
              <w:left w:val="nil"/>
              <w:bottom w:val="single" w:color="auto" w:sz="4" w:space="0"/>
              <w:right w:val="single" w:color="auto" w:sz="4" w:space="0"/>
            </w:tcBorders>
            <w:vAlign w:val="bottom"/>
          </w:tcPr>
          <w:p w14:paraId="27CD74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材料运输费</w:t>
            </w:r>
          </w:p>
        </w:tc>
        <w:tc>
          <w:tcPr>
            <w:tcW w:w="5717" w:type="dxa"/>
            <w:tcBorders>
              <w:top w:val="nil"/>
              <w:left w:val="nil"/>
              <w:bottom w:val="single" w:color="auto" w:sz="4" w:space="0"/>
              <w:right w:val="single" w:color="auto" w:sz="4" w:space="0"/>
            </w:tcBorders>
            <w:vAlign w:val="center"/>
          </w:tcPr>
          <w:p w14:paraId="0FFE2863">
            <w:pPr>
              <w:widowControl/>
              <w:spacing w:line="400" w:lineRule="exact"/>
              <w:rPr>
                <w:rFonts w:ascii="宋体" w:hAnsi="宋体" w:cs="Arial"/>
                <w:color w:val="auto"/>
                <w:sz w:val="18"/>
                <w:szCs w:val="18"/>
              </w:rPr>
            </w:pPr>
            <w:r>
              <w:rPr>
                <w:rFonts w:hint="eastAsia" w:ascii="宋体" w:hAnsi="宋体" w:cs="Arial"/>
                <w:color w:val="auto"/>
                <w:sz w:val="18"/>
                <w:szCs w:val="18"/>
              </w:rPr>
              <w:t>1.材料运输搬运上楼费用</w:t>
            </w:r>
          </w:p>
        </w:tc>
        <w:tc>
          <w:tcPr>
            <w:tcW w:w="900" w:type="dxa"/>
            <w:tcBorders>
              <w:top w:val="nil"/>
              <w:left w:val="nil"/>
              <w:bottom w:val="single" w:color="auto" w:sz="4" w:space="0"/>
              <w:right w:val="single" w:color="auto" w:sz="4" w:space="0"/>
            </w:tcBorders>
            <w:vAlign w:val="center"/>
          </w:tcPr>
          <w:p w14:paraId="2460108B">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14676F47">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781B4EE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3D186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29</w:t>
            </w:r>
          </w:p>
        </w:tc>
        <w:tc>
          <w:tcPr>
            <w:tcW w:w="1397" w:type="dxa"/>
            <w:tcBorders>
              <w:top w:val="nil"/>
              <w:left w:val="nil"/>
              <w:bottom w:val="single" w:color="auto" w:sz="4" w:space="0"/>
              <w:right w:val="single" w:color="auto" w:sz="4" w:space="0"/>
            </w:tcBorders>
            <w:vAlign w:val="bottom"/>
          </w:tcPr>
          <w:p w14:paraId="28DCEA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脚手架租赁费用</w:t>
            </w:r>
          </w:p>
        </w:tc>
        <w:tc>
          <w:tcPr>
            <w:tcW w:w="5717" w:type="dxa"/>
            <w:tcBorders>
              <w:top w:val="nil"/>
              <w:left w:val="nil"/>
              <w:bottom w:val="single" w:color="auto" w:sz="4" w:space="0"/>
              <w:right w:val="single" w:color="auto" w:sz="4" w:space="0"/>
            </w:tcBorders>
            <w:vAlign w:val="center"/>
          </w:tcPr>
          <w:p w14:paraId="3E1DF3BE">
            <w:pPr>
              <w:widowControl/>
              <w:spacing w:line="400" w:lineRule="exact"/>
              <w:rPr>
                <w:rFonts w:ascii="宋体" w:hAnsi="宋体" w:cs="Arial"/>
                <w:color w:val="auto"/>
                <w:sz w:val="18"/>
                <w:szCs w:val="18"/>
              </w:rPr>
            </w:pPr>
            <w:r>
              <w:rPr>
                <w:rFonts w:hint="eastAsia" w:ascii="宋体" w:hAnsi="宋体" w:cs="Arial"/>
                <w:color w:val="auto"/>
                <w:sz w:val="18"/>
                <w:szCs w:val="18"/>
              </w:rPr>
              <w:t>1.租赁费用</w:t>
            </w:r>
          </w:p>
        </w:tc>
        <w:tc>
          <w:tcPr>
            <w:tcW w:w="900" w:type="dxa"/>
            <w:tcBorders>
              <w:top w:val="nil"/>
              <w:left w:val="nil"/>
              <w:bottom w:val="single" w:color="auto" w:sz="4" w:space="0"/>
              <w:right w:val="single" w:color="auto" w:sz="4" w:space="0"/>
            </w:tcBorders>
            <w:vAlign w:val="center"/>
          </w:tcPr>
          <w:p w14:paraId="1E1C8A6E">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47F75F99">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332FC4C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AF5B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30</w:t>
            </w:r>
          </w:p>
        </w:tc>
        <w:tc>
          <w:tcPr>
            <w:tcW w:w="1397" w:type="dxa"/>
            <w:tcBorders>
              <w:top w:val="nil"/>
              <w:left w:val="nil"/>
              <w:bottom w:val="single" w:color="auto" w:sz="4" w:space="0"/>
              <w:right w:val="single" w:color="auto" w:sz="4" w:space="0"/>
            </w:tcBorders>
            <w:vAlign w:val="bottom"/>
          </w:tcPr>
          <w:p w14:paraId="444889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完工保洁</w:t>
            </w:r>
          </w:p>
        </w:tc>
        <w:tc>
          <w:tcPr>
            <w:tcW w:w="5717" w:type="dxa"/>
            <w:tcBorders>
              <w:top w:val="nil"/>
              <w:left w:val="nil"/>
              <w:bottom w:val="single" w:color="auto" w:sz="4" w:space="0"/>
              <w:right w:val="single" w:color="auto" w:sz="4" w:space="0"/>
            </w:tcBorders>
            <w:vAlign w:val="center"/>
          </w:tcPr>
          <w:p w14:paraId="2DC69B9E">
            <w:pPr>
              <w:widowControl/>
              <w:spacing w:line="400" w:lineRule="exact"/>
              <w:rPr>
                <w:rFonts w:ascii="宋体" w:hAnsi="宋体" w:cs="Arial"/>
                <w:color w:val="auto"/>
                <w:sz w:val="18"/>
                <w:szCs w:val="18"/>
              </w:rPr>
            </w:pPr>
            <w:r>
              <w:rPr>
                <w:rFonts w:hint="eastAsia" w:ascii="宋体" w:hAnsi="宋体" w:cs="Arial"/>
                <w:color w:val="auto"/>
                <w:sz w:val="18"/>
                <w:szCs w:val="18"/>
              </w:rPr>
              <w:t>1.完工开荒保洁费用</w:t>
            </w:r>
          </w:p>
        </w:tc>
        <w:tc>
          <w:tcPr>
            <w:tcW w:w="900" w:type="dxa"/>
            <w:tcBorders>
              <w:top w:val="nil"/>
              <w:left w:val="nil"/>
              <w:bottom w:val="single" w:color="auto" w:sz="4" w:space="0"/>
              <w:right w:val="single" w:color="auto" w:sz="4" w:space="0"/>
            </w:tcBorders>
            <w:vAlign w:val="center"/>
          </w:tcPr>
          <w:p w14:paraId="374CD2CB">
            <w:pPr>
              <w:widowControl/>
              <w:spacing w:line="400" w:lineRule="exact"/>
              <w:rPr>
                <w:rFonts w:ascii="宋体" w:hAnsi="宋体" w:cs="Arial"/>
                <w:color w:val="auto"/>
                <w:sz w:val="18"/>
                <w:szCs w:val="18"/>
              </w:rPr>
            </w:pPr>
            <w:r>
              <w:rPr>
                <w:rFonts w:hint="eastAsia" w:ascii="宋体" w:hAnsi="宋体" w:cs="Arial"/>
                <w:color w:val="auto"/>
                <w:sz w:val="18"/>
                <w:szCs w:val="18"/>
              </w:rPr>
              <w:t>336.66</w:t>
            </w:r>
          </w:p>
        </w:tc>
        <w:tc>
          <w:tcPr>
            <w:tcW w:w="849" w:type="dxa"/>
            <w:gridSpan w:val="2"/>
            <w:tcBorders>
              <w:top w:val="nil"/>
              <w:left w:val="nil"/>
              <w:bottom w:val="single" w:color="auto" w:sz="4" w:space="0"/>
              <w:right w:val="single" w:color="auto" w:sz="4" w:space="0"/>
            </w:tcBorders>
            <w:vAlign w:val="center"/>
          </w:tcPr>
          <w:p w14:paraId="193F79C9">
            <w:pPr>
              <w:widowControl/>
              <w:spacing w:line="400" w:lineRule="exact"/>
              <w:rPr>
                <w:rFonts w:ascii="宋体" w:hAnsi="宋体" w:cs="Arial"/>
                <w:color w:val="auto"/>
                <w:sz w:val="18"/>
                <w:szCs w:val="18"/>
              </w:rPr>
            </w:pPr>
            <w:r>
              <w:rPr>
                <w:rFonts w:hint="eastAsia" w:ascii="宋体" w:hAnsi="宋体" w:cs="Arial"/>
                <w:color w:val="auto"/>
                <w:sz w:val="18"/>
                <w:szCs w:val="18"/>
              </w:rPr>
              <w:t>m²</w:t>
            </w:r>
          </w:p>
        </w:tc>
      </w:tr>
      <w:tr w14:paraId="07A4AE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9DA9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31</w:t>
            </w:r>
          </w:p>
        </w:tc>
        <w:tc>
          <w:tcPr>
            <w:tcW w:w="1397" w:type="dxa"/>
            <w:tcBorders>
              <w:top w:val="nil"/>
              <w:left w:val="nil"/>
              <w:bottom w:val="single" w:color="auto" w:sz="4" w:space="0"/>
              <w:right w:val="single" w:color="auto" w:sz="4" w:space="0"/>
            </w:tcBorders>
            <w:vAlign w:val="bottom"/>
          </w:tcPr>
          <w:p w14:paraId="1D7B0E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垃圾清运</w:t>
            </w:r>
          </w:p>
        </w:tc>
        <w:tc>
          <w:tcPr>
            <w:tcW w:w="5717" w:type="dxa"/>
            <w:tcBorders>
              <w:top w:val="nil"/>
              <w:left w:val="nil"/>
              <w:bottom w:val="single" w:color="auto" w:sz="4" w:space="0"/>
              <w:right w:val="single" w:color="auto" w:sz="4" w:space="0"/>
            </w:tcBorders>
            <w:vAlign w:val="center"/>
          </w:tcPr>
          <w:p w14:paraId="14E911C9">
            <w:pPr>
              <w:widowControl/>
              <w:spacing w:line="400" w:lineRule="exact"/>
              <w:rPr>
                <w:rFonts w:ascii="宋体" w:hAnsi="宋体" w:cs="Arial"/>
                <w:color w:val="auto"/>
                <w:sz w:val="18"/>
                <w:szCs w:val="18"/>
              </w:rPr>
            </w:pPr>
            <w:r>
              <w:rPr>
                <w:rFonts w:hint="eastAsia" w:ascii="宋体" w:hAnsi="宋体" w:cs="Arial"/>
                <w:color w:val="auto"/>
                <w:sz w:val="18"/>
                <w:szCs w:val="18"/>
              </w:rPr>
              <w:t>现场拆除垃圾装车外运</w:t>
            </w:r>
          </w:p>
        </w:tc>
        <w:tc>
          <w:tcPr>
            <w:tcW w:w="900" w:type="dxa"/>
            <w:tcBorders>
              <w:top w:val="nil"/>
              <w:left w:val="nil"/>
              <w:bottom w:val="single" w:color="auto" w:sz="4" w:space="0"/>
              <w:right w:val="single" w:color="auto" w:sz="4" w:space="0"/>
            </w:tcBorders>
            <w:vAlign w:val="center"/>
          </w:tcPr>
          <w:p w14:paraId="4C5BFD19">
            <w:pPr>
              <w:widowControl/>
              <w:spacing w:line="400" w:lineRule="exact"/>
              <w:rPr>
                <w:rFonts w:ascii="宋体" w:hAnsi="宋体" w:cs="Arial"/>
                <w:color w:val="auto"/>
                <w:sz w:val="18"/>
                <w:szCs w:val="18"/>
              </w:rPr>
            </w:pPr>
            <w:r>
              <w:rPr>
                <w:rFonts w:hint="eastAsia" w:ascii="宋体" w:hAnsi="宋体" w:cs="Arial"/>
                <w:color w:val="auto"/>
                <w:sz w:val="18"/>
                <w:szCs w:val="18"/>
              </w:rPr>
              <w:t>5</w:t>
            </w:r>
          </w:p>
        </w:tc>
        <w:tc>
          <w:tcPr>
            <w:tcW w:w="849" w:type="dxa"/>
            <w:gridSpan w:val="2"/>
            <w:tcBorders>
              <w:top w:val="nil"/>
              <w:left w:val="nil"/>
              <w:bottom w:val="single" w:color="auto" w:sz="4" w:space="0"/>
              <w:right w:val="single" w:color="auto" w:sz="4" w:space="0"/>
            </w:tcBorders>
            <w:vAlign w:val="center"/>
          </w:tcPr>
          <w:p w14:paraId="000980F4">
            <w:pPr>
              <w:widowControl/>
              <w:spacing w:line="400" w:lineRule="exact"/>
              <w:rPr>
                <w:rFonts w:ascii="宋体" w:hAnsi="宋体" w:cs="Arial"/>
                <w:color w:val="auto"/>
                <w:sz w:val="18"/>
                <w:szCs w:val="18"/>
              </w:rPr>
            </w:pPr>
            <w:r>
              <w:rPr>
                <w:rFonts w:hint="eastAsia" w:ascii="宋体" w:hAnsi="宋体" w:cs="Arial"/>
                <w:color w:val="auto"/>
                <w:sz w:val="18"/>
                <w:szCs w:val="18"/>
              </w:rPr>
              <w:t>车</w:t>
            </w:r>
          </w:p>
        </w:tc>
      </w:tr>
      <w:tr w14:paraId="7069514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ABE44FB">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灾害认知科普厅</w:t>
            </w:r>
          </w:p>
        </w:tc>
      </w:tr>
      <w:tr w14:paraId="010407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6134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337E0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灾害风险数字沙盘</w:t>
            </w:r>
          </w:p>
        </w:tc>
        <w:tc>
          <w:tcPr>
            <w:tcW w:w="5717" w:type="dxa"/>
            <w:tcBorders>
              <w:top w:val="nil"/>
              <w:left w:val="nil"/>
              <w:bottom w:val="single" w:color="auto" w:sz="4" w:space="0"/>
              <w:right w:val="single" w:color="auto" w:sz="4" w:space="0"/>
            </w:tcBorders>
            <w:vAlign w:val="center"/>
          </w:tcPr>
          <w:p w14:paraId="31207033">
            <w:pPr>
              <w:widowControl/>
              <w:spacing w:line="400" w:lineRule="exact"/>
              <w:rPr>
                <w:rFonts w:ascii="宋体" w:hAnsi="宋体" w:cs="Arial"/>
                <w:color w:val="auto"/>
                <w:sz w:val="18"/>
                <w:szCs w:val="18"/>
              </w:rPr>
            </w:pPr>
            <w:r>
              <w:rPr>
                <w:rFonts w:hint="eastAsia" w:ascii="宋体" w:hAnsi="宋体" w:cs="Arial"/>
                <w:color w:val="auto"/>
                <w:sz w:val="18"/>
                <w:szCs w:val="18"/>
              </w:rPr>
              <w:t>配备触摸屏、高清展示系统，以及金属底座；包含定制开发的灾害风险数字沙盘控制程序，支持触控屏与展示系统联动：</w:t>
            </w:r>
          </w:p>
          <w:p w14:paraId="0D102FDF">
            <w:pPr>
              <w:widowControl/>
              <w:spacing w:line="400" w:lineRule="exact"/>
              <w:rPr>
                <w:rFonts w:ascii="宋体" w:hAnsi="宋体" w:cs="Arial"/>
                <w:color w:val="auto"/>
                <w:sz w:val="18"/>
                <w:szCs w:val="18"/>
              </w:rPr>
            </w:pPr>
            <w:r>
              <w:rPr>
                <w:rFonts w:hint="eastAsia" w:ascii="宋体" w:hAnsi="宋体" w:cs="Arial"/>
                <w:color w:val="auto"/>
                <w:sz w:val="18"/>
                <w:szCs w:val="18"/>
              </w:rPr>
              <w:t>1.以3D地图形式展示中国地质灾害分布，并重点呈现盱眙地方特色案例；</w:t>
            </w:r>
          </w:p>
          <w:p w14:paraId="1BF554F8">
            <w:pPr>
              <w:widowControl/>
              <w:spacing w:line="400" w:lineRule="exact"/>
              <w:rPr>
                <w:rFonts w:ascii="宋体" w:hAnsi="宋体" w:cs="Arial"/>
                <w:color w:val="auto"/>
                <w:sz w:val="18"/>
                <w:szCs w:val="18"/>
              </w:rPr>
            </w:pPr>
            <w:r>
              <w:rPr>
                <w:rFonts w:hint="eastAsia" w:ascii="宋体" w:hAnsi="宋体" w:cs="Arial"/>
                <w:color w:val="auto"/>
                <w:sz w:val="18"/>
                <w:szCs w:val="18"/>
              </w:rPr>
              <w:t>2.以3D地图形式展示洪水高发区域分布，并重点呈现盱眙地方特色案例；</w:t>
            </w:r>
          </w:p>
          <w:p w14:paraId="2299C53D">
            <w:pPr>
              <w:widowControl/>
              <w:spacing w:line="400" w:lineRule="exact"/>
              <w:rPr>
                <w:rFonts w:ascii="宋体" w:hAnsi="宋体" w:cs="Arial"/>
                <w:color w:val="auto"/>
                <w:sz w:val="18"/>
                <w:szCs w:val="18"/>
              </w:rPr>
            </w:pPr>
            <w:r>
              <w:rPr>
                <w:rFonts w:hint="eastAsia" w:ascii="宋体" w:hAnsi="宋体" w:cs="Arial"/>
                <w:color w:val="auto"/>
                <w:sz w:val="18"/>
                <w:szCs w:val="18"/>
              </w:rPr>
              <w:t>3.以3D地图形式展示中国地震带分布，并重点呈现盱眙地方特色案例。</w:t>
            </w:r>
          </w:p>
          <w:p w14:paraId="5DD193E0">
            <w:pPr>
              <w:widowControl/>
              <w:spacing w:line="400" w:lineRule="exact"/>
              <w:rPr>
                <w:rFonts w:ascii="宋体" w:hAnsi="宋体" w:cs="Arial"/>
                <w:color w:val="auto"/>
                <w:sz w:val="18"/>
                <w:szCs w:val="18"/>
              </w:rPr>
            </w:pPr>
          </w:p>
          <w:p w14:paraId="7009BAF9">
            <w:pPr>
              <w:widowControl/>
              <w:spacing w:line="400" w:lineRule="exact"/>
              <w:rPr>
                <w:rFonts w:ascii="宋体" w:hAnsi="宋体" w:cs="Arial"/>
                <w:color w:val="auto"/>
                <w:sz w:val="18"/>
                <w:szCs w:val="18"/>
              </w:rPr>
            </w:pPr>
            <w:r>
              <w:rPr>
                <w:rFonts w:hint="eastAsia" w:ascii="宋体" w:hAnsi="宋体" w:cs="Arial"/>
                <w:color w:val="auto"/>
                <w:sz w:val="18"/>
                <w:szCs w:val="18"/>
              </w:rPr>
              <w:t>硬件配置：</w:t>
            </w:r>
          </w:p>
          <w:p w14:paraId="60565E4F">
            <w:pPr>
              <w:widowControl/>
              <w:spacing w:line="400" w:lineRule="exact"/>
              <w:rPr>
                <w:rFonts w:ascii="宋体" w:hAnsi="宋体" w:cs="Arial"/>
                <w:color w:val="auto"/>
                <w:sz w:val="18"/>
                <w:szCs w:val="18"/>
              </w:rPr>
            </w:pPr>
            <w:r>
              <w:rPr>
                <w:rFonts w:hint="eastAsia" w:ascii="宋体" w:hAnsi="宋体" w:cs="Arial"/>
                <w:color w:val="auto"/>
                <w:sz w:val="18"/>
                <w:szCs w:val="18"/>
              </w:rPr>
              <w:t>1.触摸屏：电容触摸屏，尺寸≥32英寸，分辨率≥1920X1080，亮度≥300cd/m²，工作温度支持0~40℃，响应时间≤5.5ms，屏幕表面物理钢化防爆玻璃(≥莫氏7级)；包含H型底座，冷轧碳钢薄板材质，表面为高温烘烤固化处理涂层；</w:t>
            </w:r>
          </w:p>
          <w:p w14:paraId="29E1B61A">
            <w:pPr>
              <w:widowControl/>
              <w:spacing w:line="400" w:lineRule="exact"/>
              <w:rPr>
                <w:rFonts w:ascii="宋体" w:hAnsi="宋体" w:cs="Arial"/>
                <w:color w:val="auto"/>
                <w:sz w:val="18"/>
                <w:szCs w:val="18"/>
              </w:rPr>
            </w:pPr>
            <w:r>
              <w:rPr>
                <w:rFonts w:hint="eastAsia" w:ascii="宋体" w:hAnsi="宋体" w:cs="Arial"/>
                <w:color w:val="auto"/>
                <w:sz w:val="18"/>
                <w:szCs w:val="18"/>
              </w:rPr>
              <w:t>2.智能主机：CPU≥4核2.0GHz，内存≥8GB，存储≥256GB；</w:t>
            </w:r>
          </w:p>
          <w:p w14:paraId="3C2E4A6A">
            <w:pPr>
              <w:widowControl/>
              <w:spacing w:line="400" w:lineRule="exact"/>
              <w:rPr>
                <w:rFonts w:ascii="宋体" w:hAnsi="宋体" w:cs="Arial"/>
                <w:color w:val="auto"/>
                <w:sz w:val="18"/>
                <w:szCs w:val="18"/>
              </w:rPr>
            </w:pPr>
            <w:r>
              <w:rPr>
                <w:rFonts w:hint="eastAsia" w:ascii="宋体" w:hAnsi="宋体" w:cs="Arial"/>
                <w:color w:val="auto"/>
                <w:sz w:val="18"/>
                <w:szCs w:val="18"/>
              </w:rPr>
              <w:t>3.展示系统：LCD显示屏，屏幕比例支持16：9，尺寸≥55英寸，刷屏率≥144Hz，CPU≥四核，内存≥3GB，储存≥64GB，响应时间≤9.5ms，配备≥2个USB接口、≥2个HDMI2.0接口，支持WiFi；包含挂架配件，联动展示软件。</w:t>
            </w:r>
          </w:p>
          <w:p w14:paraId="5D66773E">
            <w:pPr>
              <w:widowControl/>
              <w:spacing w:line="400" w:lineRule="exact"/>
              <w:rPr>
                <w:rFonts w:ascii="宋体" w:hAnsi="宋体" w:cs="Arial"/>
                <w:color w:val="auto"/>
                <w:sz w:val="18"/>
                <w:szCs w:val="18"/>
              </w:rPr>
            </w:pPr>
          </w:p>
          <w:p w14:paraId="0044FF08">
            <w:pPr>
              <w:widowControl/>
              <w:spacing w:line="400" w:lineRule="exact"/>
              <w:rPr>
                <w:rFonts w:ascii="宋体" w:hAnsi="宋体" w:cs="Arial"/>
                <w:color w:val="auto"/>
                <w:sz w:val="18"/>
                <w:szCs w:val="18"/>
              </w:rPr>
            </w:pPr>
            <w:r>
              <w:rPr>
                <w:rFonts w:hint="eastAsia" w:ascii="宋体" w:hAnsi="宋体" w:cs="Arial"/>
                <w:color w:val="auto"/>
                <w:sz w:val="18"/>
                <w:szCs w:val="18"/>
              </w:rPr>
              <w:t>软件功能：</w:t>
            </w:r>
          </w:p>
          <w:p w14:paraId="63B8E8EF">
            <w:pPr>
              <w:widowControl/>
              <w:spacing w:line="400" w:lineRule="exact"/>
              <w:rPr>
                <w:rFonts w:ascii="宋体" w:hAnsi="宋体" w:cs="Arial"/>
                <w:color w:val="auto"/>
                <w:sz w:val="18"/>
                <w:szCs w:val="18"/>
              </w:rPr>
            </w:pPr>
            <w:r>
              <w:rPr>
                <w:rFonts w:hint="eastAsia" w:ascii="宋体" w:hAnsi="宋体" w:cs="Arial"/>
                <w:color w:val="auto"/>
                <w:sz w:val="18"/>
                <w:szCs w:val="18"/>
              </w:rPr>
              <w:t>1.地质灾害风险数字沙盘：以3D地图的形式展示中国地质灾害(含崩塌、滑坡、泥石流等)的分布格局，体验者可点击不同灾害高发区，通过弹出的文字解说和视频介绍深入学习相关知识。软件采用触控屏和显示屏联动形式，显示屏常态下循环播放2009年~2025年中国及周边地质灾害案例视频，同时融入盱眙地方特色，重点呈现当地低山丘陵区的地质灾害隐患点分布，以及典型治理工程，让体验者直观了解地质灾害防治知识，实现安全科普目标；</w:t>
            </w:r>
          </w:p>
          <w:p w14:paraId="1D666B58">
            <w:pPr>
              <w:widowControl/>
              <w:spacing w:line="400" w:lineRule="exact"/>
              <w:rPr>
                <w:rFonts w:ascii="宋体" w:hAnsi="宋体" w:cs="Arial"/>
                <w:color w:val="auto"/>
                <w:sz w:val="18"/>
                <w:szCs w:val="18"/>
              </w:rPr>
            </w:pPr>
            <w:r>
              <w:rPr>
                <w:rFonts w:hint="eastAsia" w:ascii="宋体" w:hAnsi="宋体" w:cs="Arial"/>
                <w:color w:val="auto"/>
                <w:sz w:val="18"/>
                <w:szCs w:val="18"/>
              </w:rPr>
              <w:t>2.洪水灾害风险数字沙盘：以3D地图的形式展示中国七大江河下游及东南沿海等洪水高发区域分布，体验者可点击不同流域或灾害点，通过弹出的文字解说和视频介绍学习洪水类型、成因及避险知识。软件采用触控屏和显示屏联动形式，显示屏常态下循环播放2009年~2025年中国及周边洪水灾害案例视频，特别嵌入盱眙地方特色案例，帮助体验者高效掌握洪水安全知识，达成科普目的；</w:t>
            </w:r>
          </w:p>
          <w:p w14:paraId="61AD8DFB">
            <w:pPr>
              <w:widowControl/>
              <w:spacing w:line="400" w:lineRule="exact"/>
              <w:rPr>
                <w:rFonts w:ascii="宋体" w:hAnsi="宋体" w:cs="Arial"/>
                <w:color w:val="auto"/>
                <w:sz w:val="18"/>
                <w:szCs w:val="18"/>
              </w:rPr>
            </w:pPr>
            <w:r>
              <w:rPr>
                <w:rFonts w:hint="eastAsia" w:ascii="宋体" w:hAnsi="宋体" w:cs="Arial"/>
                <w:color w:val="auto"/>
                <w:sz w:val="18"/>
                <w:szCs w:val="18"/>
              </w:rPr>
              <w:t>3.地震灾害风险数字沙盘：以3D地图的形式展示中国的地震带分布，体验者可以通过点击不同的地震带，根据弹出的文字解说和视频介绍进行了解学习，文字与视频内容同步融入盱眙地方特色案例，同时采用触控屏和显示屏联动的形式，并在显示屏常状态下循环播放2009年-2025年中国及周边地震视频，更加直观地让体验者了解学习中国地震带的相关知识，达到安全科普的目的。</w:t>
            </w:r>
          </w:p>
        </w:tc>
        <w:tc>
          <w:tcPr>
            <w:tcW w:w="900" w:type="dxa"/>
            <w:tcBorders>
              <w:top w:val="nil"/>
              <w:left w:val="nil"/>
              <w:bottom w:val="single" w:color="auto" w:sz="4" w:space="0"/>
              <w:right w:val="single" w:color="auto" w:sz="4" w:space="0"/>
            </w:tcBorders>
            <w:vAlign w:val="center"/>
          </w:tcPr>
          <w:p w14:paraId="5A2CC8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0312BD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709AB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B17D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3E34C6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历史灾害档案墙</w:t>
            </w:r>
          </w:p>
        </w:tc>
        <w:tc>
          <w:tcPr>
            <w:tcW w:w="5717" w:type="dxa"/>
            <w:tcBorders>
              <w:top w:val="nil"/>
              <w:left w:val="nil"/>
              <w:bottom w:val="single" w:color="auto" w:sz="4" w:space="0"/>
              <w:right w:val="single" w:color="auto" w:sz="4" w:space="0"/>
            </w:tcBorders>
            <w:vAlign w:val="center"/>
          </w:tcPr>
          <w:p w14:paraId="562138BC">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配备一体机，外壳为书本造型，包含定制开发的控制程序：支持手势感应互动，实现挥手翻阅数字化历史灾害档案的功能。</w:t>
            </w:r>
          </w:p>
          <w:p w14:paraId="010796D6">
            <w:pPr>
              <w:widowControl/>
              <w:spacing w:line="400" w:lineRule="exact"/>
              <w:jc w:val="left"/>
              <w:rPr>
                <w:rFonts w:ascii="宋体" w:hAnsi="宋体" w:cs="Arial"/>
                <w:color w:val="auto"/>
                <w:sz w:val="18"/>
                <w:szCs w:val="18"/>
              </w:rPr>
            </w:pPr>
          </w:p>
          <w:p w14:paraId="7101DBC2">
            <w:pPr>
              <w:widowControl/>
              <w:spacing w:line="400" w:lineRule="exact"/>
              <w:jc w:val="left"/>
              <w:rPr>
                <w:rFonts w:ascii="宋体" w:hAnsi="宋体" w:cs="Arial"/>
                <w:color w:val="auto"/>
                <w:sz w:val="18"/>
                <w:szCs w:val="18"/>
              </w:rPr>
            </w:pPr>
            <w:r>
              <w:rPr>
                <w:rFonts w:hint="eastAsia" w:ascii="宋体" w:hAnsi="宋体" w:cs="Arial"/>
                <w:color w:val="auto"/>
                <w:sz w:val="18"/>
                <w:szCs w:val="18"/>
              </w:rPr>
              <w:t>1.一体机配置：LCD显示屏幕≥32英寸，比例支持16：9，刷新率≥60Hz，CPU≥四核，内存≥1GB，存储≥8GB，响应＜6.5ms；支持WiFi，配备≥2个USB接口、≥1个HDMI 2.0接口；配备COMS感应器，分辨率≥720p；配备书本造型外壳；</w:t>
            </w:r>
          </w:p>
          <w:p w14:paraId="09BEC4DF">
            <w:pPr>
              <w:widowControl/>
              <w:spacing w:line="400" w:lineRule="exact"/>
              <w:jc w:val="left"/>
              <w:rPr>
                <w:rFonts w:ascii="宋体" w:hAnsi="宋体" w:cs="Arial"/>
                <w:color w:val="auto"/>
                <w:sz w:val="18"/>
                <w:szCs w:val="18"/>
              </w:rPr>
            </w:pPr>
            <w:r>
              <w:rPr>
                <w:rFonts w:hint="eastAsia" w:ascii="宋体" w:hAnsi="宋体" w:cs="Arial"/>
                <w:color w:val="auto"/>
                <w:sz w:val="18"/>
                <w:szCs w:val="18"/>
              </w:rPr>
              <w:t>2.软件功能：以“时光之窗”为设计概念，将盱眙历史上发生的重大洪涝、山体滑坡等灾害事件进行数字化归档；参观者挥手即可“翻开”不同的历史事件页面，可查看当年的灾情记录、救灾影像与经验教训，形成纵向的历史灾害认知。</w:t>
            </w:r>
          </w:p>
        </w:tc>
        <w:tc>
          <w:tcPr>
            <w:tcW w:w="900" w:type="dxa"/>
            <w:tcBorders>
              <w:top w:val="nil"/>
              <w:left w:val="nil"/>
              <w:bottom w:val="single" w:color="auto" w:sz="4" w:space="0"/>
              <w:right w:val="single" w:color="auto" w:sz="4" w:space="0"/>
            </w:tcBorders>
            <w:vAlign w:val="center"/>
          </w:tcPr>
          <w:p w14:paraId="769352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CDEB6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3A55A2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906F0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A5590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灾害科学原理科普宣传展板，防灾减灾科普宣传手册、漫画（电子版） 、折页（电子版） 等</w:t>
            </w:r>
          </w:p>
        </w:tc>
        <w:tc>
          <w:tcPr>
            <w:tcW w:w="5717" w:type="dxa"/>
            <w:tcBorders>
              <w:top w:val="nil"/>
              <w:left w:val="nil"/>
              <w:bottom w:val="single" w:color="auto" w:sz="4" w:space="0"/>
              <w:right w:val="single" w:color="auto" w:sz="4" w:space="0"/>
            </w:tcBorders>
            <w:vAlign w:val="center"/>
          </w:tcPr>
          <w:p w14:paraId="3391D0D7">
            <w:pPr>
              <w:widowControl/>
              <w:spacing w:line="400" w:lineRule="exact"/>
              <w:jc w:val="left"/>
              <w:rPr>
                <w:rFonts w:ascii="宋体" w:hAnsi="宋体" w:cs="Arial"/>
                <w:color w:val="auto"/>
                <w:sz w:val="18"/>
                <w:szCs w:val="18"/>
              </w:rPr>
            </w:pPr>
            <w:r>
              <w:rPr>
                <w:rFonts w:hint="eastAsia" w:ascii="宋体" w:hAnsi="宋体" w:cs="Arial"/>
                <w:color w:val="auto"/>
                <w:sz w:val="18"/>
                <w:szCs w:val="18"/>
              </w:rPr>
              <w:t>需熟悉应急管理和防灾减灾救灾工作宣传教育工作标准与规范，依照业主工作部署、宣传口径、审核标准，短时间完成防灾减灾救灾主题宣传物料制作。</w:t>
            </w:r>
          </w:p>
          <w:p w14:paraId="7E761A58">
            <w:pPr>
              <w:widowControl/>
              <w:spacing w:line="400" w:lineRule="exact"/>
              <w:jc w:val="left"/>
              <w:rPr>
                <w:rFonts w:ascii="宋体" w:hAnsi="宋体" w:cs="Arial"/>
                <w:color w:val="auto"/>
                <w:sz w:val="18"/>
                <w:szCs w:val="18"/>
              </w:rPr>
            </w:pPr>
          </w:p>
          <w:p w14:paraId="356768FA">
            <w:pPr>
              <w:widowControl/>
              <w:spacing w:line="400" w:lineRule="exact"/>
              <w:jc w:val="left"/>
              <w:rPr>
                <w:rFonts w:ascii="宋体" w:hAnsi="宋体" w:cs="Arial"/>
                <w:color w:val="auto"/>
                <w:sz w:val="18"/>
                <w:szCs w:val="18"/>
              </w:rPr>
            </w:pPr>
            <w:r>
              <w:rPr>
                <w:rFonts w:hint="eastAsia" w:ascii="宋体" w:hAnsi="宋体" w:cs="Arial"/>
                <w:color w:val="auto"/>
                <w:sz w:val="18"/>
                <w:szCs w:val="18"/>
              </w:rPr>
              <w:t>宣传展板：</w:t>
            </w:r>
          </w:p>
          <w:p w14:paraId="52E3F5F4">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1.数量：8块；</w:t>
            </w:r>
          </w:p>
          <w:p w14:paraId="7E20FA0D">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2.规格：1600*1200mm（MM）；</w:t>
            </w:r>
          </w:p>
          <w:p w14:paraId="0B9C4578">
            <w:pPr>
              <w:widowControl/>
              <w:spacing w:line="400" w:lineRule="exact"/>
              <w:jc w:val="left"/>
              <w:rPr>
                <w:rFonts w:ascii="宋体" w:hAnsi="宋体" w:cs="Arial"/>
                <w:color w:val="auto"/>
                <w:sz w:val="18"/>
                <w:szCs w:val="18"/>
              </w:rPr>
            </w:pPr>
            <w:r>
              <w:rPr>
                <w:rFonts w:hint="eastAsia" w:ascii="宋体" w:hAnsi="宋体" w:cs="Arial"/>
                <w:color w:val="auto"/>
                <w:sz w:val="18"/>
                <w:szCs w:val="18"/>
              </w:rPr>
              <w:t>3.材质：3mm亚克力+8mmPVC展板，UV打印画面；</w:t>
            </w:r>
          </w:p>
          <w:p w14:paraId="7C2854D1">
            <w:pPr>
              <w:widowControl/>
              <w:spacing w:line="400" w:lineRule="exact"/>
              <w:jc w:val="left"/>
              <w:rPr>
                <w:rFonts w:ascii="宋体" w:hAnsi="宋体" w:cs="Arial"/>
                <w:color w:val="auto"/>
                <w:sz w:val="18"/>
                <w:szCs w:val="18"/>
              </w:rPr>
            </w:pPr>
            <w:r>
              <w:rPr>
                <w:rFonts w:hint="eastAsia" w:ascii="宋体" w:hAnsi="宋体" w:cs="Arial"/>
                <w:color w:val="auto"/>
                <w:sz w:val="18"/>
                <w:szCs w:val="18"/>
              </w:rPr>
              <w:t>4.内容包含本地灾害概况、常见灾害情况、常见灾害的应对防范等，涉及地震、地质、洪涝、台风和森林草原火灾等。</w:t>
            </w:r>
          </w:p>
          <w:p w14:paraId="7D335414">
            <w:pPr>
              <w:widowControl/>
              <w:spacing w:line="400" w:lineRule="exact"/>
              <w:jc w:val="left"/>
              <w:rPr>
                <w:rFonts w:ascii="宋体" w:hAnsi="宋体" w:cs="Arial"/>
                <w:color w:val="auto"/>
                <w:sz w:val="18"/>
                <w:szCs w:val="18"/>
              </w:rPr>
            </w:pPr>
          </w:p>
          <w:p w14:paraId="2C6D17B0">
            <w:pPr>
              <w:widowControl/>
              <w:spacing w:line="400" w:lineRule="exact"/>
              <w:jc w:val="left"/>
              <w:rPr>
                <w:rFonts w:ascii="宋体" w:hAnsi="宋体" w:cs="Arial"/>
                <w:color w:val="auto"/>
                <w:sz w:val="18"/>
                <w:szCs w:val="18"/>
              </w:rPr>
            </w:pPr>
            <w:r>
              <w:rPr>
                <w:rFonts w:hint="eastAsia" w:ascii="宋体" w:hAnsi="宋体" w:cs="Arial"/>
                <w:color w:val="auto"/>
                <w:sz w:val="18"/>
                <w:szCs w:val="18"/>
              </w:rPr>
              <w:t>防灾减灾科普手册：</w:t>
            </w:r>
          </w:p>
          <w:p w14:paraId="5BD0B283">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1.数量：500册；</w:t>
            </w:r>
          </w:p>
          <w:p w14:paraId="425A68A6">
            <w:pPr>
              <w:widowControl/>
              <w:spacing w:line="400" w:lineRule="exact"/>
              <w:jc w:val="left"/>
              <w:rPr>
                <w:rFonts w:ascii="宋体" w:hAnsi="宋体" w:cs="Arial"/>
                <w:color w:val="auto"/>
                <w:sz w:val="18"/>
                <w:szCs w:val="18"/>
              </w:rPr>
            </w:pPr>
            <w:r>
              <w:rPr>
                <w:rFonts w:hint="eastAsia" w:ascii="宋体" w:hAnsi="宋体" w:cs="Arial"/>
                <w:color w:val="auto"/>
                <w:sz w:val="18"/>
                <w:szCs w:val="18"/>
              </w:rPr>
              <w:t>2.规格：140×270mm；</w:t>
            </w:r>
          </w:p>
          <w:p w14:paraId="7F942937">
            <w:pPr>
              <w:widowControl/>
              <w:spacing w:line="400" w:lineRule="exact"/>
              <w:jc w:val="left"/>
              <w:rPr>
                <w:rFonts w:ascii="宋体" w:hAnsi="宋体" w:cs="Arial"/>
                <w:color w:val="auto"/>
                <w:sz w:val="18"/>
                <w:szCs w:val="18"/>
              </w:rPr>
            </w:pPr>
            <w:r>
              <w:rPr>
                <w:rFonts w:hint="eastAsia" w:ascii="宋体" w:hAnsi="宋体" w:cs="Arial"/>
                <w:color w:val="auto"/>
                <w:sz w:val="18"/>
                <w:szCs w:val="18"/>
              </w:rPr>
              <w:t>3.材质：140g特种纸，正背四色印刷；</w:t>
            </w:r>
          </w:p>
          <w:p w14:paraId="3DC0D203">
            <w:pPr>
              <w:widowControl/>
              <w:spacing w:line="400" w:lineRule="exact"/>
              <w:jc w:val="left"/>
              <w:rPr>
                <w:rFonts w:ascii="宋体" w:hAnsi="宋体" w:cs="Arial"/>
                <w:color w:val="auto"/>
                <w:sz w:val="18"/>
                <w:szCs w:val="18"/>
              </w:rPr>
            </w:pPr>
            <w:r>
              <w:rPr>
                <w:rFonts w:hint="eastAsia" w:ascii="宋体" w:hAnsi="宋体" w:cs="Arial"/>
                <w:color w:val="auto"/>
                <w:sz w:val="18"/>
                <w:szCs w:val="18"/>
              </w:rPr>
              <w:t>3.内容包含《社区应急手册》《家庭应急手册》《地震灾害应对手册》《洪涝灾害应对手册》《台风灾害应对手册》《地质灾害应对手册》《森林草原火灾应对手册》等，深度解读灾害原理、本地案例及技术应对。</w:t>
            </w:r>
          </w:p>
          <w:p w14:paraId="6BD3501E">
            <w:pPr>
              <w:widowControl/>
              <w:spacing w:line="400" w:lineRule="exact"/>
              <w:jc w:val="left"/>
              <w:rPr>
                <w:rFonts w:ascii="宋体" w:hAnsi="宋体" w:cs="Arial"/>
                <w:color w:val="auto"/>
                <w:sz w:val="18"/>
                <w:szCs w:val="18"/>
              </w:rPr>
            </w:pPr>
          </w:p>
          <w:p w14:paraId="5FEFDBDA">
            <w:pPr>
              <w:widowControl/>
              <w:spacing w:line="400" w:lineRule="exact"/>
              <w:jc w:val="left"/>
              <w:rPr>
                <w:rFonts w:ascii="宋体" w:hAnsi="宋体" w:cs="Arial"/>
                <w:color w:val="auto"/>
                <w:sz w:val="18"/>
                <w:szCs w:val="18"/>
              </w:rPr>
            </w:pPr>
            <w:r>
              <w:rPr>
                <w:rFonts w:hint="eastAsia" w:ascii="宋体" w:hAnsi="宋体" w:cs="Arial"/>
                <w:color w:val="auto"/>
                <w:sz w:val="18"/>
                <w:szCs w:val="18"/>
              </w:rPr>
              <w:t>折页（电子版）：</w:t>
            </w:r>
          </w:p>
          <w:p w14:paraId="0BC17324">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1.数量：1份；</w:t>
            </w:r>
          </w:p>
          <w:p w14:paraId="7971035E">
            <w:pPr>
              <w:widowControl/>
              <w:spacing w:line="400" w:lineRule="exact"/>
              <w:jc w:val="left"/>
              <w:rPr>
                <w:rFonts w:ascii="宋体" w:hAnsi="宋体" w:cs="Arial"/>
                <w:color w:val="auto"/>
                <w:sz w:val="18"/>
                <w:szCs w:val="18"/>
              </w:rPr>
            </w:pPr>
            <w:r>
              <w:rPr>
                <w:rFonts w:hint="eastAsia" w:ascii="宋体" w:hAnsi="宋体" w:cs="Arial"/>
                <w:color w:val="auto"/>
                <w:sz w:val="18"/>
                <w:szCs w:val="18"/>
              </w:rPr>
              <w:t>2.文件格式：JPG/PDF/TIFF/EPS；</w:t>
            </w:r>
          </w:p>
          <w:p w14:paraId="7E8F4E5E">
            <w:pPr>
              <w:widowControl/>
              <w:spacing w:line="400" w:lineRule="exact"/>
              <w:jc w:val="left"/>
              <w:rPr>
                <w:rFonts w:ascii="宋体" w:hAnsi="宋体" w:cs="Arial"/>
                <w:color w:val="auto"/>
                <w:sz w:val="18"/>
                <w:szCs w:val="18"/>
              </w:rPr>
            </w:pPr>
            <w:r>
              <w:rPr>
                <w:rFonts w:hint="eastAsia" w:ascii="宋体" w:hAnsi="宋体" w:cs="Arial"/>
                <w:color w:val="auto"/>
                <w:sz w:val="18"/>
                <w:szCs w:val="18"/>
              </w:rPr>
              <w:t>3.画面尺寸：210×297mm 或 自定义，含 3mm 出血；</w:t>
            </w:r>
          </w:p>
          <w:p w14:paraId="56948756">
            <w:pPr>
              <w:widowControl/>
              <w:spacing w:line="400" w:lineRule="exact"/>
              <w:jc w:val="left"/>
              <w:rPr>
                <w:rFonts w:ascii="宋体" w:hAnsi="宋体" w:cs="Arial"/>
                <w:color w:val="auto"/>
                <w:sz w:val="18"/>
                <w:szCs w:val="18"/>
              </w:rPr>
            </w:pPr>
            <w:r>
              <w:rPr>
                <w:rFonts w:hint="eastAsia" w:ascii="宋体" w:hAnsi="宋体" w:cs="Arial"/>
                <w:color w:val="auto"/>
                <w:sz w:val="18"/>
                <w:szCs w:val="18"/>
              </w:rPr>
              <w:t>4.分辨率：300dpi（印刷级）/72dpi（线上阅览）；</w:t>
            </w:r>
          </w:p>
          <w:p w14:paraId="2427981E">
            <w:pPr>
              <w:widowControl/>
              <w:spacing w:line="400" w:lineRule="exact"/>
              <w:jc w:val="left"/>
              <w:rPr>
                <w:rFonts w:ascii="宋体" w:hAnsi="宋体" w:cs="Arial"/>
                <w:color w:val="auto"/>
                <w:sz w:val="18"/>
                <w:szCs w:val="18"/>
              </w:rPr>
            </w:pPr>
            <w:r>
              <w:rPr>
                <w:rFonts w:hint="eastAsia" w:ascii="宋体" w:hAnsi="宋体" w:cs="Arial"/>
                <w:color w:val="auto"/>
                <w:sz w:val="18"/>
                <w:szCs w:val="18"/>
              </w:rPr>
              <w:t>5.色彩模式：RGB/CMYK；</w:t>
            </w:r>
          </w:p>
          <w:p w14:paraId="069B7974">
            <w:pPr>
              <w:widowControl/>
              <w:spacing w:line="400" w:lineRule="exact"/>
              <w:jc w:val="left"/>
              <w:rPr>
                <w:rFonts w:ascii="宋体" w:hAnsi="宋体" w:cs="Arial"/>
                <w:color w:val="auto"/>
                <w:sz w:val="18"/>
                <w:szCs w:val="18"/>
              </w:rPr>
            </w:pPr>
            <w:r>
              <w:rPr>
                <w:rFonts w:hint="eastAsia" w:ascii="宋体" w:hAnsi="宋体" w:cs="Arial"/>
                <w:color w:val="auto"/>
                <w:sz w:val="18"/>
                <w:szCs w:val="18"/>
              </w:rPr>
              <w:t>6.内容包含台风篇、地震篇、洪涝篇，浓缩防灾原理与避险要点。</w:t>
            </w:r>
          </w:p>
          <w:p w14:paraId="2A8BCD19">
            <w:pPr>
              <w:widowControl/>
              <w:spacing w:line="400" w:lineRule="exact"/>
              <w:jc w:val="left"/>
              <w:rPr>
                <w:rFonts w:ascii="宋体" w:hAnsi="宋体" w:cs="Arial"/>
                <w:color w:val="auto"/>
                <w:sz w:val="18"/>
                <w:szCs w:val="18"/>
              </w:rPr>
            </w:pPr>
          </w:p>
          <w:p w14:paraId="77C4BDD3">
            <w:pPr>
              <w:widowControl/>
              <w:spacing w:line="400" w:lineRule="exact"/>
              <w:jc w:val="left"/>
              <w:rPr>
                <w:rFonts w:ascii="宋体" w:hAnsi="宋体" w:cs="Arial"/>
                <w:color w:val="auto"/>
                <w:sz w:val="18"/>
                <w:szCs w:val="18"/>
              </w:rPr>
            </w:pPr>
            <w:r>
              <w:rPr>
                <w:rFonts w:hint="eastAsia" w:ascii="宋体" w:hAnsi="宋体" w:cs="Arial"/>
                <w:color w:val="auto"/>
                <w:sz w:val="18"/>
                <w:szCs w:val="18"/>
              </w:rPr>
              <w:t>四格漫画（电子版）：</w:t>
            </w:r>
          </w:p>
          <w:p w14:paraId="66D28320">
            <w:pPr>
              <w:widowControl/>
              <w:spacing w:line="400" w:lineRule="exact"/>
              <w:jc w:val="left"/>
              <w:rPr>
                <w:rFonts w:ascii="宋体" w:hAnsi="宋体" w:cs="Arial"/>
                <w:color w:val="auto"/>
                <w:sz w:val="18"/>
                <w:szCs w:val="18"/>
              </w:rPr>
            </w:pPr>
            <w:r>
              <w:rPr>
                <w:rFonts w:hint="eastAsia" w:ascii="宋体" w:hAnsi="宋体" w:cs="Arial"/>
                <w:color w:val="auto"/>
                <w:sz w:val="18"/>
                <w:szCs w:val="18"/>
              </w:rPr>
              <w:t>1.数量：1份；</w:t>
            </w:r>
          </w:p>
          <w:p w14:paraId="77CDD04C">
            <w:pPr>
              <w:widowControl/>
              <w:spacing w:line="400" w:lineRule="exact"/>
              <w:jc w:val="left"/>
              <w:rPr>
                <w:rFonts w:ascii="宋体" w:hAnsi="宋体" w:cs="Arial"/>
                <w:color w:val="auto"/>
                <w:sz w:val="18"/>
                <w:szCs w:val="18"/>
              </w:rPr>
            </w:pPr>
            <w:r>
              <w:rPr>
                <w:rFonts w:hint="eastAsia" w:ascii="宋体" w:hAnsi="宋体" w:cs="Arial"/>
                <w:color w:val="auto"/>
                <w:sz w:val="18"/>
                <w:szCs w:val="18"/>
              </w:rPr>
              <w:t>2.文件格式：JPG/PDF/TIFF/EPS；</w:t>
            </w:r>
          </w:p>
          <w:p w14:paraId="42F6BA59">
            <w:pPr>
              <w:widowControl/>
              <w:spacing w:line="400" w:lineRule="exact"/>
              <w:jc w:val="left"/>
              <w:rPr>
                <w:rFonts w:ascii="宋体" w:hAnsi="宋体" w:cs="Arial"/>
                <w:color w:val="auto"/>
                <w:sz w:val="18"/>
                <w:szCs w:val="18"/>
              </w:rPr>
            </w:pPr>
            <w:r>
              <w:rPr>
                <w:rFonts w:hint="eastAsia" w:ascii="宋体" w:hAnsi="宋体" w:cs="Arial"/>
                <w:color w:val="auto"/>
                <w:sz w:val="18"/>
                <w:szCs w:val="18"/>
              </w:rPr>
              <w:t>3.画面尺寸：210×297mm 或 自定义；</w:t>
            </w:r>
          </w:p>
          <w:p w14:paraId="59CEEBFD">
            <w:pPr>
              <w:widowControl/>
              <w:spacing w:line="400" w:lineRule="exact"/>
              <w:jc w:val="left"/>
              <w:rPr>
                <w:rFonts w:ascii="宋体" w:hAnsi="宋体" w:cs="Arial"/>
                <w:color w:val="auto"/>
                <w:sz w:val="18"/>
                <w:szCs w:val="18"/>
              </w:rPr>
            </w:pPr>
            <w:r>
              <w:rPr>
                <w:rFonts w:hint="eastAsia" w:ascii="宋体" w:hAnsi="宋体" w:cs="Arial"/>
                <w:color w:val="auto"/>
                <w:sz w:val="18"/>
                <w:szCs w:val="18"/>
              </w:rPr>
              <w:t>4.分辨率：300dpi（印刷级）/ 72dpi（线上阅览）；</w:t>
            </w:r>
          </w:p>
          <w:p w14:paraId="2367BB91">
            <w:pPr>
              <w:widowControl/>
              <w:spacing w:line="400" w:lineRule="exact"/>
              <w:jc w:val="left"/>
              <w:rPr>
                <w:rFonts w:ascii="宋体" w:hAnsi="宋体" w:cs="Arial"/>
                <w:color w:val="auto"/>
                <w:sz w:val="18"/>
                <w:szCs w:val="18"/>
              </w:rPr>
            </w:pPr>
            <w:r>
              <w:rPr>
                <w:rFonts w:hint="eastAsia" w:ascii="宋体" w:hAnsi="宋体" w:cs="Arial"/>
                <w:color w:val="auto"/>
                <w:sz w:val="18"/>
                <w:szCs w:val="18"/>
              </w:rPr>
              <w:t>5.色彩模式：RGB/CMYK；</w:t>
            </w:r>
          </w:p>
          <w:p w14:paraId="0F94BD77">
            <w:pPr>
              <w:widowControl/>
              <w:spacing w:line="400" w:lineRule="exact"/>
              <w:jc w:val="left"/>
              <w:rPr>
                <w:rFonts w:ascii="宋体" w:hAnsi="宋体" w:cs="Arial"/>
                <w:color w:val="auto"/>
                <w:sz w:val="18"/>
                <w:szCs w:val="18"/>
              </w:rPr>
            </w:pPr>
            <w:r>
              <w:rPr>
                <w:rFonts w:hint="eastAsia" w:ascii="宋体" w:hAnsi="宋体" w:cs="Arial"/>
                <w:color w:val="auto"/>
                <w:sz w:val="18"/>
                <w:szCs w:val="18"/>
              </w:rPr>
              <w:t>6.内容包含8~10张防汛减灾科普四格漫画，以盱眙场景为故事线用人物形式表现，趣味解读原理与避险。</w:t>
            </w:r>
          </w:p>
        </w:tc>
        <w:tc>
          <w:tcPr>
            <w:tcW w:w="900" w:type="dxa"/>
            <w:tcBorders>
              <w:top w:val="nil"/>
              <w:left w:val="nil"/>
              <w:bottom w:val="single" w:color="auto" w:sz="4" w:space="0"/>
              <w:right w:val="single" w:color="auto" w:sz="4" w:space="0"/>
            </w:tcBorders>
            <w:vAlign w:val="center"/>
          </w:tcPr>
          <w:p w14:paraId="58353E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DAF28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ACA045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817F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7F269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灾害交互装置</w:t>
            </w:r>
          </w:p>
        </w:tc>
        <w:tc>
          <w:tcPr>
            <w:tcW w:w="5717" w:type="dxa"/>
            <w:tcBorders>
              <w:top w:val="nil"/>
              <w:left w:val="nil"/>
              <w:bottom w:val="single" w:color="auto" w:sz="4" w:space="0"/>
              <w:right w:val="single" w:color="auto" w:sz="4" w:space="0"/>
            </w:tcBorders>
            <w:vAlign w:val="center"/>
          </w:tcPr>
          <w:p w14:paraId="7E37BB7C">
            <w:pPr>
              <w:widowControl/>
              <w:spacing w:line="400" w:lineRule="exact"/>
              <w:jc w:val="left"/>
              <w:rPr>
                <w:rFonts w:ascii="宋体" w:hAnsi="宋体" w:cs="Arial"/>
                <w:color w:val="auto"/>
                <w:sz w:val="18"/>
                <w:szCs w:val="18"/>
              </w:rPr>
            </w:pPr>
            <w:r>
              <w:rPr>
                <w:rFonts w:hint="eastAsia" w:ascii="宋体" w:hAnsi="宋体" w:cs="Arial"/>
                <w:color w:val="auto"/>
                <w:sz w:val="18"/>
                <w:szCs w:val="18"/>
              </w:rPr>
              <w:t>1.地震模拟演示：</w:t>
            </w:r>
          </w:p>
          <w:p w14:paraId="698F9C38">
            <w:pPr>
              <w:widowControl/>
              <w:spacing w:line="400" w:lineRule="exact"/>
              <w:jc w:val="left"/>
              <w:rPr>
                <w:rFonts w:ascii="宋体" w:hAnsi="宋体" w:cs="Arial"/>
                <w:color w:val="auto"/>
                <w:sz w:val="18"/>
                <w:szCs w:val="18"/>
              </w:rPr>
            </w:pPr>
            <w:r>
              <w:rPr>
                <w:rFonts w:hint="eastAsia" w:ascii="宋体" w:hAnsi="宋体" w:cs="Arial"/>
                <w:color w:val="auto"/>
                <w:sz w:val="18"/>
                <w:szCs w:val="18"/>
              </w:rPr>
              <w:t>主体为模拟横波运动的电动式运动平台，台面上安装六组不同的抗震结构模型(分别为未采取抗震设施的高楼建筑模型、悬吊质量摆抗震建筑模型、液体耗能减震建筑模型、滑动支座隔震建筑模型、强度抗震结构模型、悬挂隔震建筑模型)，可点击演示按钮让震动平台产生晃动，进行观察比较；</w:t>
            </w:r>
          </w:p>
          <w:p w14:paraId="67F21BF5">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电动式运动平台，平台尺寸≥1000mm*1000mm，集成震动机构、语音系统及灯光系统；配备金属烤漆台体，主体结构采用钣金设计制作，表面经喷塑处理；配备仿真沙盘模型，沙盘表面包含模拟小屋、烟囱、山川、河流、树木等元素；控制系统能驱动平台产生模拟横波运动，支持观众通过按钮触发演示，同步控制六组不同抗震结构模型的灯光指示。</w:t>
            </w:r>
          </w:p>
          <w:p w14:paraId="581BCD10">
            <w:pPr>
              <w:widowControl/>
              <w:spacing w:line="400" w:lineRule="exact"/>
              <w:jc w:val="left"/>
              <w:rPr>
                <w:rFonts w:ascii="宋体" w:hAnsi="宋体" w:cs="Arial"/>
                <w:color w:val="auto"/>
                <w:sz w:val="18"/>
                <w:szCs w:val="18"/>
              </w:rPr>
            </w:pPr>
          </w:p>
          <w:p w14:paraId="59DD9459">
            <w:pPr>
              <w:widowControl/>
              <w:spacing w:line="400" w:lineRule="exact"/>
              <w:jc w:val="left"/>
              <w:rPr>
                <w:rFonts w:ascii="宋体" w:hAnsi="宋体" w:cs="Arial"/>
                <w:color w:val="auto"/>
                <w:sz w:val="18"/>
                <w:szCs w:val="18"/>
              </w:rPr>
            </w:pPr>
            <w:r>
              <w:rPr>
                <w:rFonts w:hint="eastAsia" w:ascii="宋体" w:hAnsi="宋体" w:cs="Arial"/>
                <w:color w:val="auto"/>
                <w:sz w:val="18"/>
                <w:szCs w:val="18"/>
              </w:rPr>
              <w:t>2.洪水+山体滑坡演示：</w:t>
            </w:r>
          </w:p>
          <w:p w14:paraId="69C89893">
            <w:pPr>
              <w:widowControl/>
              <w:spacing w:line="400" w:lineRule="exact"/>
              <w:jc w:val="left"/>
              <w:rPr>
                <w:rFonts w:ascii="宋体" w:hAnsi="宋体" w:cs="Arial"/>
                <w:color w:val="auto"/>
                <w:sz w:val="18"/>
                <w:szCs w:val="18"/>
              </w:rPr>
            </w:pPr>
            <w:r>
              <w:rPr>
                <w:rFonts w:hint="eastAsia" w:ascii="宋体" w:hAnsi="宋体" w:cs="Arial"/>
                <w:color w:val="auto"/>
                <w:sz w:val="18"/>
                <w:szCs w:val="18"/>
              </w:rPr>
              <w:t>以真实地形地貌为原型搭建立体沙盘，精准还原山谷、建筑、堤坝等实景场景；支持洪水/山体滑坡双模式切换：选择洪水模式时，动态模拟溃坝瞬时的洪峰冲击过程(水流效果、音效、视觉特效同步联动)；切换至山体滑坡模式，则可呈现坡面土体崩塌、裹挟物推移的灾害过程，让体验者“直面”两种灾害的汹涌/崩塌态势。将“可视化灾害模拟+场景化知识讲解”深度融合，既能直观感知洪水泥石流、山体滑坡的破坏力，更能有效提升公众的防灾避险素养；</w:t>
            </w:r>
          </w:p>
          <w:p w14:paraId="359F7183">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定制沙盘模型，尺寸≥2m*2m，精准还原山谷、建筑、堤坝等实景场景；配备亮度≥6000流明的激光投影机，分辨率支持WUXGA(1920*1200像素)，宽高比支持16：10(兼容4：3)，对比度≥5000000：1，光源寿命≥20000小时，输入接口配备：HDMI、USB、VGAin、Audioin(minijack，3.5mm)；输出接口配备：Audioout(minijack，3.5mm)、VGAout；控制接口配备：RS232、RJ45；</w:t>
            </w:r>
          </w:p>
          <w:p w14:paraId="79D6D97A">
            <w:pPr>
              <w:widowControl/>
              <w:spacing w:line="400" w:lineRule="exact"/>
              <w:jc w:val="left"/>
              <w:rPr>
                <w:rFonts w:ascii="宋体" w:hAnsi="宋体" w:cs="Arial"/>
                <w:color w:val="auto"/>
                <w:sz w:val="18"/>
                <w:szCs w:val="18"/>
              </w:rPr>
            </w:pPr>
            <w:r>
              <w:rPr>
                <w:rFonts w:hint="eastAsia" w:ascii="宋体" w:hAnsi="宋体" w:cs="Arial"/>
                <w:color w:val="auto"/>
                <w:sz w:val="18"/>
                <w:szCs w:val="18"/>
              </w:rPr>
              <w:t>支持数字梯形校正；软件系统支持洪水与山体滑坡双模式切换，并能实现水流效果、音效、视觉特效的同步联动。</w:t>
            </w:r>
          </w:p>
        </w:tc>
        <w:tc>
          <w:tcPr>
            <w:tcW w:w="900" w:type="dxa"/>
            <w:tcBorders>
              <w:top w:val="nil"/>
              <w:left w:val="nil"/>
              <w:bottom w:val="single" w:color="auto" w:sz="4" w:space="0"/>
              <w:right w:val="single" w:color="auto" w:sz="4" w:space="0"/>
            </w:tcBorders>
            <w:vAlign w:val="center"/>
          </w:tcPr>
          <w:p w14:paraId="42620D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6AC4B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1A5F9E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15DD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8E79A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AR 灾害演变场景</w:t>
            </w:r>
          </w:p>
        </w:tc>
        <w:tc>
          <w:tcPr>
            <w:tcW w:w="5717" w:type="dxa"/>
            <w:tcBorders>
              <w:top w:val="nil"/>
              <w:left w:val="nil"/>
              <w:bottom w:val="single" w:color="auto" w:sz="4" w:space="0"/>
              <w:right w:val="single" w:color="auto" w:sz="4" w:space="0"/>
            </w:tcBorders>
            <w:vAlign w:val="center"/>
          </w:tcPr>
          <w:p w14:paraId="65E2EB7D">
            <w:pPr>
              <w:widowControl/>
              <w:spacing w:line="400" w:lineRule="exact"/>
              <w:rPr>
                <w:rFonts w:ascii="宋体" w:hAnsi="宋体" w:cs="Arial"/>
                <w:color w:val="auto"/>
                <w:sz w:val="18"/>
                <w:szCs w:val="18"/>
              </w:rPr>
            </w:pPr>
            <w:r>
              <w:rPr>
                <w:rFonts w:hint="eastAsia" w:ascii="宋体" w:hAnsi="宋体" w:cs="Arial"/>
                <w:color w:val="auto"/>
                <w:sz w:val="18"/>
                <w:szCs w:val="18"/>
              </w:rPr>
              <w:t>扫描特定图卡后，在屏幕上叠加呈现灾害场景变化过程的AR动画，在场景中发现和了解防灾减灾相关知识，提高体验者的安全意识；</w:t>
            </w:r>
          </w:p>
          <w:p w14:paraId="0228E37C">
            <w:pPr>
              <w:widowControl/>
              <w:spacing w:line="400" w:lineRule="exact"/>
              <w:rPr>
                <w:rFonts w:ascii="宋体" w:hAnsi="宋体" w:cs="Arial"/>
                <w:color w:val="auto"/>
                <w:sz w:val="18"/>
                <w:szCs w:val="18"/>
              </w:rPr>
            </w:pPr>
            <w:r>
              <w:rPr>
                <w:rFonts w:hint="eastAsia" w:ascii="宋体" w:hAnsi="宋体" w:cs="Arial"/>
                <w:color w:val="auto"/>
                <w:sz w:val="18"/>
                <w:szCs w:val="18"/>
              </w:rPr>
              <w:t>配备演示终端，屏幕≥10英寸，分辨率≥1920*1200，内存≥6GB，存储≥128GB，带前置、后置摄像头；</w:t>
            </w:r>
          </w:p>
          <w:p w14:paraId="59B6DFA7">
            <w:pPr>
              <w:widowControl/>
              <w:spacing w:line="400" w:lineRule="exact"/>
              <w:rPr>
                <w:rFonts w:ascii="宋体" w:hAnsi="宋体" w:cs="Arial"/>
                <w:color w:val="auto"/>
                <w:sz w:val="18"/>
                <w:szCs w:val="18"/>
              </w:rPr>
            </w:pPr>
            <w:r>
              <w:rPr>
                <w:rFonts w:hint="eastAsia" w:ascii="宋体" w:hAnsi="宋体" w:cs="Arial"/>
                <w:color w:val="auto"/>
                <w:sz w:val="18"/>
                <w:szCs w:val="18"/>
              </w:rPr>
              <w:t>配备≥5套AR识别图卡（亚克力板材质），每张识别卡对应动画时长≥5秒，知识讲解科普视频≥20秒。</w:t>
            </w:r>
          </w:p>
          <w:p w14:paraId="6E68A0B8">
            <w:pPr>
              <w:widowControl/>
              <w:spacing w:line="400" w:lineRule="exact"/>
              <w:rPr>
                <w:rFonts w:ascii="宋体" w:hAnsi="宋体" w:cs="Arial"/>
                <w:color w:val="auto"/>
                <w:sz w:val="18"/>
                <w:szCs w:val="18"/>
              </w:rPr>
            </w:pPr>
            <w:r>
              <w:rPr>
                <w:rFonts w:hint="eastAsia" w:ascii="宋体" w:hAnsi="宋体" w:cs="Arial"/>
                <w:color w:val="auto"/>
                <w:sz w:val="18"/>
                <w:szCs w:val="18"/>
              </w:rPr>
              <w:t>1.洪涝避险场景</w:t>
            </w:r>
          </w:p>
          <w:p w14:paraId="4B90745E">
            <w:pPr>
              <w:widowControl/>
              <w:spacing w:line="400" w:lineRule="exact"/>
              <w:rPr>
                <w:rFonts w:ascii="宋体" w:hAnsi="宋体" w:cs="Arial"/>
                <w:color w:val="auto"/>
                <w:sz w:val="18"/>
                <w:szCs w:val="18"/>
              </w:rPr>
            </w:pPr>
            <w:r>
              <w:rPr>
                <w:rFonts w:hint="eastAsia" w:ascii="宋体" w:hAnsi="宋体" w:cs="Arial"/>
                <w:color w:val="auto"/>
                <w:sz w:val="18"/>
                <w:szCs w:val="18"/>
              </w:rPr>
              <w:t>(1).扫描对应图案或物品出现洪涝避险内容，学习洪涝来临前的自救逃生知识、室外场景学习洪涝来临时的应急逃生知识；</w:t>
            </w:r>
          </w:p>
          <w:p w14:paraId="78A18CCC">
            <w:pPr>
              <w:widowControl/>
              <w:spacing w:line="400" w:lineRule="exact"/>
              <w:rPr>
                <w:rFonts w:ascii="宋体" w:hAnsi="宋体" w:cs="Arial"/>
                <w:color w:val="auto"/>
                <w:sz w:val="18"/>
                <w:szCs w:val="18"/>
              </w:rPr>
            </w:pPr>
            <w:r>
              <w:rPr>
                <w:rFonts w:hint="eastAsia" w:ascii="宋体" w:hAnsi="宋体" w:cs="Arial"/>
                <w:color w:val="auto"/>
                <w:sz w:val="18"/>
                <w:szCs w:val="18"/>
              </w:rPr>
              <w:t>(2).洪涝来临前关闭电闸燃气阀、带上正确的求生物品、吃高热量食物等知识点；</w:t>
            </w:r>
          </w:p>
          <w:p w14:paraId="5DC96778">
            <w:pPr>
              <w:widowControl/>
              <w:spacing w:line="400" w:lineRule="exact"/>
              <w:rPr>
                <w:rFonts w:ascii="宋体" w:hAnsi="宋体" w:cs="Arial"/>
                <w:color w:val="auto"/>
                <w:sz w:val="18"/>
                <w:szCs w:val="18"/>
              </w:rPr>
            </w:pPr>
            <w:r>
              <w:rPr>
                <w:rFonts w:hint="eastAsia" w:ascii="宋体" w:hAnsi="宋体" w:cs="Arial"/>
                <w:color w:val="auto"/>
                <w:sz w:val="18"/>
                <w:szCs w:val="18"/>
              </w:rPr>
              <w:t>(3).室外逃生共有不独自涉水、远离触电水域、木筏转移、木棍探水、高地呼救等学习场景。</w:t>
            </w:r>
          </w:p>
          <w:p w14:paraId="35DF56B6">
            <w:pPr>
              <w:widowControl/>
              <w:spacing w:line="400" w:lineRule="exact"/>
              <w:rPr>
                <w:rFonts w:ascii="宋体" w:hAnsi="宋体" w:cs="Arial"/>
                <w:color w:val="auto"/>
                <w:sz w:val="18"/>
                <w:szCs w:val="18"/>
              </w:rPr>
            </w:pPr>
            <w:r>
              <w:rPr>
                <w:rFonts w:hint="eastAsia" w:ascii="宋体" w:hAnsi="宋体" w:cs="Arial"/>
                <w:color w:val="auto"/>
                <w:sz w:val="18"/>
                <w:szCs w:val="18"/>
              </w:rPr>
              <w:t>2.山体滑坡场景</w:t>
            </w:r>
          </w:p>
          <w:p w14:paraId="479EA183">
            <w:pPr>
              <w:widowControl/>
              <w:spacing w:line="400" w:lineRule="exact"/>
              <w:rPr>
                <w:rFonts w:ascii="宋体" w:hAnsi="宋体" w:cs="Arial"/>
                <w:color w:val="auto"/>
                <w:sz w:val="18"/>
                <w:szCs w:val="18"/>
              </w:rPr>
            </w:pPr>
            <w:r>
              <w:rPr>
                <w:rFonts w:hint="eastAsia" w:ascii="宋体" w:hAnsi="宋体" w:cs="Arial"/>
                <w:color w:val="auto"/>
                <w:sz w:val="18"/>
                <w:szCs w:val="18"/>
              </w:rPr>
              <w:t>(1).还原山体滑坡发生场景，学习山体滑坡来临前兆知识，如山体裂缝、泉水复活、山坡鼓起、动物异常等；</w:t>
            </w:r>
          </w:p>
          <w:p w14:paraId="3D0EA2BB">
            <w:pPr>
              <w:widowControl/>
              <w:spacing w:line="400" w:lineRule="exact"/>
              <w:rPr>
                <w:rFonts w:ascii="宋体" w:hAnsi="宋体" w:cs="Arial"/>
                <w:color w:val="auto"/>
                <w:sz w:val="18"/>
                <w:szCs w:val="18"/>
              </w:rPr>
            </w:pPr>
            <w:r>
              <w:rPr>
                <w:rFonts w:hint="eastAsia" w:ascii="宋体" w:hAnsi="宋体" w:cs="Arial"/>
                <w:color w:val="auto"/>
                <w:sz w:val="18"/>
                <w:szCs w:val="18"/>
              </w:rPr>
              <w:t>(2).学习山体滑坡发生时正确的逃生路线，观看错误逃生路线被是石头掩埋和采用正确逃生路线成功逃生的动画。</w:t>
            </w:r>
          </w:p>
          <w:p w14:paraId="271D8821">
            <w:pPr>
              <w:widowControl/>
              <w:spacing w:line="400" w:lineRule="exact"/>
              <w:rPr>
                <w:rFonts w:ascii="宋体" w:hAnsi="宋体" w:cs="Arial"/>
                <w:color w:val="auto"/>
                <w:sz w:val="18"/>
                <w:szCs w:val="18"/>
              </w:rPr>
            </w:pPr>
            <w:r>
              <w:rPr>
                <w:rFonts w:hint="eastAsia" w:ascii="宋体" w:hAnsi="宋体" w:cs="Arial"/>
                <w:color w:val="auto"/>
                <w:sz w:val="18"/>
                <w:szCs w:val="18"/>
              </w:rPr>
              <w:t>3.地震场景</w:t>
            </w:r>
          </w:p>
          <w:p w14:paraId="0C46CCC4">
            <w:pPr>
              <w:widowControl/>
              <w:spacing w:line="400" w:lineRule="exact"/>
              <w:rPr>
                <w:rFonts w:ascii="宋体" w:hAnsi="宋体" w:cs="Arial"/>
                <w:color w:val="auto"/>
                <w:sz w:val="18"/>
                <w:szCs w:val="18"/>
              </w:rPr>
            </w:pPr>
            <w:r>
              <w:rPr>
                <w:rFonts w:hint="eastAsia" w:ascii="宋体" w:hAnsi="宋体" w:cs="Arial"/>
                <w:color w:val="auto"/>
                <w:sz w:val="18"/>
                <w:szCs w:val="18"/>
              </w:rPr>
              <w:t>(1).含地震形成原理、识别地震前兆、地震应急避险训练等模块；</w:t>
            </w:r>
          </w:p>
          <w:p w14:paraId="54D1D4EF">
            <w:pPr>
              <w:widowControl/>
              <w:spacing w:line="400" w:lineRule="exact"/>
              <w:rPr>
                <w:rFonts w:ascii="宋体" w:hAnsi="宋体" w:cs="Arial"/>
                <w:color w:val="auto"/>
                <w:sz w:val="18"/>
                <w:szCs w:val="18"/>
              </w:rPr>
            </w:pPr>
            <w:r>
              <w:rPr>
                <w:rFonts w:hint="eastAsia" w:ascii="宋体" w:hAnsi="宋体" w:cs="Arial"/>
                <w:color w:val="auto"/>
                <w:sz w:val="18"/>
                <w:szCs w:val="18"/>
              </w:rPr>
              <w:t>(2).地震形成原理模块：地球内部结构可视化，动态演示纵波、横波的传播特性、速度差异及其对地表造成的不同影响，直观理解地震原理；</w:t>
            </w:r>
          </w:p>
          <w:p w14:paraId="63987E53">
            <w:pPr>
              <w:widowControl/>
              <w:spacing w:line="400" w:lineRule="exact"/>
              <w:rPr>
                <w:rFonts w:ascii="宋体" w:hAnsi="宋体" w:cs="Arial"/>
                <w:color w:val="auto"/>
                <w:sz w:val="18"/>
                <w:szCs w:val="18"/>
              </w:rPr>
            </w:pPr>
            <w:r>
              <w:rPr>
                <w:rFonts w:hint="eastAsia" w:ascii="宋体" w:hAnsi="宋体" w:cs="Arial"/>
                <w:color w:val="auto"/>
                <w:sz w:val="18"/>
                <w:szCs w:val="18"/>
              </w:rPr>
              <w:t>(3).识别地震前兆模块：学习震前动物异常行为，呈现地震引发的泥石流、山体塌方等次生灾害场景，体验接收到地震预警信息紧迫感，掌握黄金史剑避险技能；</w:t>
            </w:r>
          </w:p>
          <w:p w14:paraId="0054F9CB">
            <w:pPr>
              <w:widowControl/>
              <w:spacing w:line="400" w:lineRule="exact"/>
              <w:rPr>
                <w:rFonts w:ascii="宋体" w:hAnsi="宋体" w:cs="Arial"/>
                <w:color w:val="auto"/>
                <w:sz w:val="18"/>
                <w:szCs w:val="18"/>
              </w:rPr>
            </w:pPr>
            <w:r>
              <w:rPr>
                <w:rFonts w:hint="eastAsia" w:ascii="宋体" w:hAnsi="宋体" w:cs="Arial"/>
                <w:color w:val="auto"/>
                <w:sz w:val="18"/>
                <w:szCs w:val="18"/>
              </w:rPr>
              <w:t>(4).地震应急避险训练模块：仿真家庭、教室等多场景逃生演练，学习室内正确与错误逃生方法，学习如何快速、安全地进行室内避震或根据指令有序撤离，掌握避开建筑物、玻璃、电线杆等危险源；</w:t>
            </w:r>
          </w:p>
          <w:p w14:paraId="229EC625">
            <w:pPr>
              <w:widowControl/>
              <w:spacing w:line="400" w:lineRule="exact"/>
              <w:rPr>
                <w:rFonts w:ascii="宋体" w:hAnsi="宋体" w:cs="Arial"/>
                <w:color w:val="auto"/>
                <w:sz w:val="18"/>
                <w:szCs w:val="18"/>
              </w:rPr>
            </w:pPr>
            <w:r>
              <w:rPr>
                <w:rFonts w:hint="eastAsia" w:ascii="宋体" w:hAnsi="宋体" w:cs="Arial"/>
                <w:color w:val="auto"/>
                <w:sz w:val="18"/>
                <w:szCs w:val="18"/>
              </w:rPr>
              <w:t>(5).拥有教室、操场、客厅、楼梯间、街道、废墟等地震逃生场景；</w:t>
            </w:r>
          </w:p>
          <w:p w14:paraId="4B0F14AD">
            <w:pPr>
              <w:widowControl/>
              <w:spacing w:line="400" w:lineRule="exact"/>
              <w:rPr>
                <w:rFonts w:ascii="宋体" w:hAnsi="宋体" w:cs="Arial"/>
                <w:color w:val="auto"/>
                <w:sz w:val="18"/>
                <w:szCs w:val="18"/>
              </w:rPr>
            </w:pPr>
            <w:r>
              <w:rPr>
                <w:rFonts w:hint="eastAsia" w:ascii="宋体" w:hAnsi="宋体" w:cs="Arial"/>
                <w:color w:val="auto"/>
                <w:sz w:val="18"/>
                <w:szCs w:val="18"/>
              </w:rPr>
              <w:t>(6).学会地震时如何迅速寻找就近掩体躲避、伏地、遮挡、手抓牢、震时不乱跑、不跳楼、不使用电梯逃生、不把车停在立交桥、大树或者电线杆下等地震逃生知识点。</w:t>
            </w:r>
          </w:p>
          <w:p w14:paraId="3527E007">
            <w:pPr>
              <w:widowControl/>
              <w:spacing w:line="400" w:lineRule="exact"/>
              <w:rPr>
                <w:rFonts w:ascii="宋体" w:hAnsi="宋体" w:cs="Arial"/>
                <w:color w:val="auto"/>
                <w:sz w:val="18"/>
                <w:szCs w:val="18"/>
              </w:rPr>
            </w:pPr>
            <w:r>
              <w:rPr>
                <w:rFonts w:hint="eastAsia" w:ascii="宋体" w:hAnsi="宋体" w:cs="Arial"/>
                <w:color w:val="auto"/>
                <w:sz w:val="18"/>
                <w:szCs w:val="18"/>
              </w:rPr>
              <w:t>4.泥石流场景</w:t>
            </w:r>
          </w:p>
          <w:p w14:paraId="47F5DD92">
            <w:pPr>
              <w:widowControl/>
              <w:spacing w:line="400" w:lineRule="exact"/>
              <w:rPr>
                <w:rFonts w:ascii="宋体" w:hAnsi="宋体" w:cs="Arial"/>
                <w:color w:val="auto"/>
                <w:sz w:val="18"/>
                <w:szCs w:val="18"/>
              </w:rPr>
            </w:pPr>
            <w:r>
              <w:rPr>
                <w:rFonts w:hint="eastAsia" w:ascii="宋体" w:hAnsi="宋体" w:cs="Arial"/>
                <w:color w:val="auto"/>
                <w:sz w:val="18"/>
                <w:szCs w:val="18"/>
              </w:rPr>
              <w:t>(1).还原泥石流发生场景，学习泥石流避险知识，如泥石流发生前的火车轰鸣声、逃生时尽量拿上衣物、向沟谷两侧山坡或高地跑等应急逃生知识；</w:t>
            </w:r>
          </w:p>
          <w:p w14:paraId="082B02ED">
            <w:pPr>
              <w:widowControl/>
              <w:spacing w:line="400" w:lineRule="exact"/>
              <w:rPr>
                <w:rFonts w:ascii="宋体" w:hAnsi="宋体" w:cs="Arial"/>
                <w:color w:val="auto"/>
                <w:sz w:val="18"/>
                <w:szCs w:val="18"/>
              </w:rPr>
            </w:pPr>
            <w:r>
              <w:rPr>
                <w:rFonts w:hint="eastAsia" w:ascii="宋体" w:hAnsi="宋体" w:cs="Arial"/>
                <w:color w:val="auto"/>
                <w:sz w:val="18"/>
                <w:szCs w:val="18"/>
              </w:rPr>
              <w:t>(2).每个知识点都配置灾害动画，如土地塌陷、滚石落下、树木被泥石流冲走、直升机救援。</w:t>
            </w:r>
          </w:p>
          <w:p w14:paraId="4EE9853A">
            <w:pPr>
              <w:widowControl/>
              <w:spacing w:line="400" w:lineRule="exact"/>
              <w:rPr>
                <w:rFonts w:ascii="宋体" w:hAnsi="宋体" w:cs="Arial"/>
                <w:color w:val="auto"/>
                <w:sz w:val="18"/>
                <w:szCs w:val="18"/>
              </w:rPr>
            </w:pPr>
            <w:r>
              <w:rPr>
                <w:rFonts w:hint="eastAsia" w:ascii="宋体" w:hAnsi="宋体" w:cs="Arial"/>
                <w:color w:val="auto"/>
                <w:sz w:val="18"/>
                <w:szCs w:val="18"/>
              </w:rPr>
              <w:t>5.暴雨场景</w:t>
            </w:r>
          </w:p>
          <w:p w14:paraId="3A545EF9">
            <w:pPr>
              <w:widowControl/>
              <w:spacing w:line="400" w:lineRule="exact"/>
              <w:rPr>
                <w:rFonts w:ascii="宋体" w:hAnsi="宋体" w:cs="Arial"/>
                <w:color w:val="auto"/>
                <w:sz w:val="18"/>
                <w:szCs w:val="18"/>
              </w:rPr>
            </w:pPr>
            <w:r>
              <w:rPr>
                <w:rFonts w:hint="eastAsia" w:ascii="宋体" w:hAnsi="宋体" w:cs="Arial"/>
                <w:color w:val="auto"/>
                <w:sz w:val="18"/>
                <w:szCs w:val="18"/>
              </w:rPr>
              <w:t>(1).介绍暴雨蓝色预警、橙色预警、黄色预警、红色预警的概念和对应预警信号图标；</w:t>
            </w:r>
          </w:p>
          <w:p w14:paraId="2808B013">
            <w:pPr>
              <w:widowControl/>
              <w:spacing w:line="400" w:lineRule="exact"/>
              <w:rPr>
                <w:rFonts w:ascii="宋体" w:hAnsi="宋体" w:cs="Arial"/>
                <w:color w:val="auto"/>
                <w:sz w:val="18"/>
                <w:szCs w:val="18"/>
              </w:rPr>
            </w:pPr>
            <w:r>
              <w:rPr>
                <w:rFonts w:hint="eastAsia" w:ascii="宋体" w:hAnsi="宋体" w:cs="Arial"/>
                <w:color w:val="auto"/>
                <w:sz w:val="18"/>
                <w:szCs w:val="18"/>
              </w:rPr>
              <w:t>(2).含室内、户外、驾车等场景下暴雨避险；</w:t>
            </w:r>
          </w:p>
          <w:p w14:paraId="696D8E56">
            <w:pPr>
              <w:widowControl/>
              <w:spacing w:line="400" w:lineRule="exact"/>
              <w:rPr>
                <w:rFonts w:ascii="宋体" w:hAnsi="宋体" w:cs="Arial"/>
                <w:color w:val="auto"/>
                <w:sz w:val="18"/>
                <w:szCs w:val="18"/>
              </w:rPr>
            </w:pPr>
            <w:r>
              <w:rPr>
                <w:rFonts w:hint="eastAsia" w:ascii="宋体" w:hAnsi="宋体" w:cs="Arial"/>
                <w:color w:val="auto"/>
                <w:sz w:val="18"/>
                <w:szCs w:val="18"/>
              </w:rPr>
              <w:t>(3).学习暴雨室内避险关闭门窗、远离金属管道、关闭电闸、燃气开光等知识点；</w:t>
            </w:r>
          </w:p>
          <w:p w14:paraId="63A4F805">
            <w:pPr>
              <w:widowControl/>
              <w:spacing w:line="400" w:lineRule="exact"/>
              <w:rPr>
                <w:rFonts w:ascii="宋体" w:hAnsi="宋体" w:cs="Arial"/>
                <w:color w:val="auto"/>
                <w:sz w:val="18"/>
                <w:szCs w:val="18"/>
              </w:rPr>
            </w:pPr>
            <w:r>
              <w:rPr>
                <w:rFonts w:hint="eastAsia" w:ascii="宋体" w:hAnsi="宋体" w:cs="Arial"/>
                <w:color w:val="auto"/>
                <w:sz w:val="18"/>
                <w:szCs w:val="18"/>
              </w:rPr>
              <w:t>(4).支持户外暴雨避险避开积水区域、积水旋涡区域、高空路牌区域，以及驾车遇到暴雨时涉水逃生等情景体验。</w:t>
            </w:r>
          </w:p>
          <w:p w14:paraId="0484FF08">
            <w:pPr>
              <w:widowControl/>
              <w:spacing w:line="400" w:lineRule="exact"/>
              <w:rPr>
                <w:rFonts w:ascii="宋体" w:hAnsi="宋体" w:cs="Arial"/>
                <w:color w:val="auto"/>
                <w:sz w:val="18"/>
                <w:szCs w:val="18"/>
              </w:rPr>
            </w:pPr>
            <w:r>
              <w:rPr>
                <w:rFonts w:hint="eastAsia" w:ascii="宋体" w:hAnsi="宋体" w:cs="Arial"/>
                <w:color w:val="auto"/>
                <w:sz w:val="18"/>
                <w:szCs w:val="18"/>
              </w:rPr>
              <w:t>6.冰雹场景</w:t>
            </w:r>
          </w:p>
          <w:p w14:paraId="7FA1A7C0">
            <w:pPr>
              <w:widowControl/>
              <w:spacing w:line="400" w:lineRule="exact"/>
              <w:rPr>
                <w:rFonts w:ascii="宋体" w:hAnsi="宋体" w:cs="Arial"/>
                <w:color w:val="auto"/>
                <w:sz w:val="18"/>
                <w:szCs w:val="18"/>
              </w:rPr>
            </w:pPr>
            <w:r>
              <w:rPr>
                <w:rFonts w:hint="eastAsia" w:ascii="宋体" w:hAnsi="宋体" w:cs="Arial"/>
                <w:color w:val="auto"/>
                <w:sz w:val="18"/>
                <w:szCs w:val="18"/>
              </w:rPr>
              <w:t>(1).含冰雹形成认知、户外冰雹避险、冰雹防御指南、室内冰雹防护等知识场景；</w:t>
            </w:r>
          </w:p>
          <w:p w14:paraId="51C22A2F">
            <w:pPr>
              <w:widowControl/>
              <w:spacing w:line="400" w:lineRule="exact"/>
              <w:rPr>
                <w:rFonts w:ascii="宋体" w:hAnsi="宋体" w:cs="Arial"/>
                <w:color w:val="auto"/>
                <w:sz w:val="18"/>
                <w:szCs w:val="18"/>
              </w:rPr>
            </w:pPr>
            <w:r>
              <w:rPr>
                <w:rFonts w:hint="eastAsia" w:ascii="宋体" w:hAnsi="宋体" w:cs="Arial"/>
                <w:color w:val="auto"/>
                <w:sz w:val="18"/>
                <w:szCs w:val="18"/>
              </w:rPr>
              <w:t>(2).支持冰雹形成认知学习，如冰雹产生的气象条件，形成与下落的过程，冰雹灾害对人身安全与设施的危害认知等；</w:t>
            </w:r>
          </w:p>
          <w:p w14:paraId="455AB4D1">
            <w:pPr>
              <w:widowControl/>
              <w:spacing w:line="400" w:lineRule="exact"/>
              <w:rPr>
                <w:rFonts w:ascii="宋体" w:hAnsi="宋体" w:cs="Arial"/>
                <w:color w:val="auto"/>
                <w:sz w:val="18"/>
                <w:szCs w:val="18"/>
              </w:rPr>
            </w:pPr>
            <w:r>
              <w:rPr>
                <w:rFonts w:hint="eastAsia" w:ascii="宋体" w:hAnsi="宋体" w:cs="Arial"/>
                <w:color w:val="auto"/>
                <w:sz w:val="18"/>
                <w:szCs w:val="18"/>
              </w:rPr>
              <w:t>(3).支持户外冰雹避险学习，如快速寻找安全遮蔽物，避免停留在空旷地带、不靠近临时搭建物与树木、不用手臂或头部硬抗冰雹，利用书包、衣物等进行防护等；</w:t>
            </w:r>
          </w:p>
          <w:p w14:paraId="4225C7AF">
            <w:pPr>
              <w:widowControl/>
              <w:spacing w:line="400" w:lineRule="exact"/>
              <w:rPr>
                <w:rFonts w:ascii="宋体" w:hAnsi="宋体" w:cs="Arial"/>
                <w:color w:val="auto"/>
                <w:sz w:val="18"/>
                <w:szCs w:val="18"/>
              </w:rPr>
            </w:pPr>
            <w:r>
              <w:rPr>
                <w:rFonts w:hint="eastAsia" w:ascii="宋体" w:hAnsi="宋体" w:cs="Arial"/>
                <w:color w:val="auto"/>
                <w:sz w:val="18"/>
                <w:szCs w:val="18"/>
              </w:rPr>
              <w:t>(4).支持冰雹防御指南学习，如政府部分应急与抢先工作、气象部门防冰雹作业、户外行人暂避、家禽及易受袭击的物品、防御伴随的雷电灾害等；</w:t>
            </w:r>
          </w:p>
          <w:p w14:paraId="0F3C76A2">
            <w:pPr>
              <w:widowControl/>
              <w:spacing w:line="400" w:lineRule="exact"/>
              <w:rPr>
                <w:rFonts w:ascii="宋体" w:hAnsi="宋体" w:cs="Arial"/>
                <w:color w:val="auto"/>
                <w:sz w:val="18"/>
                <w:szCs w:val="18"/>
              </w:rPr>
            </w:pPr>
            <w:r>
              <w:rPr>
                <w:rFonts w:hint="eastAsia" w:ascii="宋体" w:hAnsi="宋体" w:cs="Arial"/>
                <w:color w:val="auto"/>
                <w:sz w:val="18"/>
                <w:szCs w:val="18"/>
              </w:rPr>
              <w:t>(5).支持室内冰雹防护，如包括远离门窗与玻璃，避免在屋顶薄弱处停留，及时关闭门窗，寻找相对安全的室内角落保护自身，避免外出迎险等；</w:t>
            </w:r>
          </w:p>
          <w:p w14:paraId="1BCCF710">
            <w:pPr>
              <w:widowControl/>
              <w:spacing w:line="400" w:lineRule="exact"/>
              <w:rPr>
                <w:rFonts w:ascii="宋体" w:hAnsi="宋体" w:cs="Arial"/>
                <w:color w:val="auto"/>
                <w:sz w:val="18"/>
                <w:szCs w:val="18"/>
              </w:rPr>
            </w:pPr>
            <w:r>
              <w:rPr>
                <w:rFonts w:hint="eastAsia" w:ascii="宋体" w:hAnsi="宋体" w:cs="Arial"/>
                <w:color w:val="auto"/>
                <w:sz w:val="18"/>
                <w:szCs w:val="18"/>
              </w:rPr>
              <w:t>(6).配套多类型冰雹避险场景，并配套精细化模型资源：</w:t>
            </w:r>
          </w:p>
          <w:p w14:paraId="2155B5B9">
            <w:pPr>
              <w:widowControl/>
              <w:spacing w:line="400" w:lineRule="exact"/>
              <w:rPr>
                <w:rFonts w:ascii="宋体" w:hAnsi="宋体" w:cs="Arial"/>
                <w:color w:val="auto"/>
                <w:sz w:val="18"/>
                <w:szCs w:val="18"/>
              </w:rPr>
            </w:pPr>
            <w:r>
              <w:rPr>
                <w:rFonts w:hint="eastAsia" w:ascii="宋体" w:hAnsi="宋体" w:cs="Arial"/>
                <w:color w:val="auto"/>
                <w:sz w:val="18"/>
                <w:szCs w:val="18"/>
              </w:rPr>
              <w:t>a)含城市街道、住宅小区、室内房间、公交车站等多样化环境及冰雹天气场景；</w:t>
            </w:r>
          </w:p>
          <w:p w14:paraId="79540704">
            <w:pPr>
              <w:widowControl/>
              <w:spacing w:line="400" w:lineRule="exact"/>
              <w:rPr>
                <w:rFonts w:ascii="宋体" w:hAnsi="宋体" w:cs="Arial"/>
                <w:color w:val="auto"/>
                <w:sz w:val="18"/>
                <w:szCs w:val="18"/>
              </w:rPr>
            </w:pPr>
            <w:r>
              <w:rPr>
                <w:rFonts w:hint="eastAsia" w:ascii="宋体" w:hAnsi="宋体" w:cs="Arial"/>
                <w:color w:val="auto"/>
                <w:sz w:val="18"/>
                <w:szCs w:val="18"/>
              </w:rPr>
              <w:t>b)可实现冰雹坠落声、屋顶与地面撞击声、玻璃破碎声、伴随的光效等增强沉浸感；</w:t>
            </w:r>
          </w:p>
          <w:p w14:paraId="7747A5EA">
            <w:pPr>
              <w:widowControl/>
              <w:spacing w:line="400" w:lineRule="exact"/>
              <w:rPr>
                <w:rFonts w:ascii="宋体" w:hAnsi="宋体" w:cs="Arial"/>
                <w:color w:val="auto"/>
                <w:sz w:val="18"/>
                <w:szCs w:val="18"/>
              </w:rPr>
            </w:pPr>
            <w:r>
              <w:rPr>
                <w:rFonts w:hint="eastAsia" w:ascii="宋体" w:hAnsi="宋体" w:cs="Arial"/>
                <w:color w:val="auto"/>
                <w:sz w:val="18"/>
                <w:szCs w:val="18"/>
              </w:rPr>
              <w:t>c)配备雨棚、木板、房屋门窗、衣物、急救物品等防护设施模型；</w:t>
            </w:r>
          </w:p>
          <w:p w14:paraId="45873EEA">
            <w:pPr>
              <w:widowControl/>
              <w:spacing w:line="400" w:lineRule="exact"/>
              <w:rPr>
                <w:rFonts w:ascii="宋体" w:hAnsi="宋体" w:cs="Arial"/>
                <w:color w:val="auto"/>
                <w:sz w:val="18"/>
                <w:szCs w:val="18"/>
              </w:rPr>
            </w:pPr>
            <w:r>
              <w:rPr>
                <w:rFonts w:hint="eastAsia" w:ascii="宋体" w:hAnsi="宋体" w:cs="Arial"/>
                <w:color w:val="auto"/>
                <w:sz w:val="18"/>
                <w:szCs w:val="18"/>
              </w:rPr>
              <w:t>d)配备大块冰雹、变压器、高压电线、照明线路等危险元素与道具。</w:t>
            </w:r>
          </w:p>
          <w:p w14:paraId="47EE4188">
            <w:pPr>
              <w:widowControl/>
              <w:spacing w:line="400" w:lineRule="exact"/>
              <w:rPr>
                <w:rFonts w:ascii="宋体" w:hAnsi="宋体" w:cs="Arial"/>
                <w:color w:val="auto"/>
                <w:sz w:val="18"/>
                <w:szCs w:val="18"/>
              </w:rPr>
            </w:pPr>
            <w:r>
              <w:rPr>
                <w:rFonts w:hint="eastAsia" w:ascii="宋体" w:hAnsi="宋体" w:cs="Arial"/>
                <w:color w:val="auto"/>
                <w:sz w:val="18"/>
                <w:szCs w:val="18"/>
              </w:rPr>
              <w:t>7.雪灾场景</w:t>
            </w:r>
          </w:p>
          <w:p w14:paraId="46825D55">
            <w:pPr>
              <w:widowControl/>
              <w:spacing w:line="400" w:lineRule="exact"/>
              <w:rPr>
                <w:rFonts w:ascii="宋体" w:hAnsi="宋体" w:cs="Arial"/>
                <w:color w:val="auto"/>
                <w:sz w:val="18"/>
                <w:szCs w:val="18"/>
              </w:rPr>
            </w:pPr>
            <w:r>
              <w:rPr>
                <w:rFonts w:hint="eastAsia" w:ascii="宋体" w:hAnsi="宋体" w:cs="Arial"/>
                <w:color w:val="auto"/>
                <w:sz w:val="18"/>
                <w:szCs w:val="18"/>
              </w:rPr>
              <w:t>(1).通过动态天气模拟，解析雪的形成规律，了解雪灾造成的危害；</w:t>
            </w:r>
          </w:p>
          <w:p w14:paraId="3C127AA8">
            <w:pPr>
              <w:widowControl/>
              <w:spacing w:line="400" w:lineRule="exact"/>
              <w:rPr>
                <w:rFonts w:ascii="宋体" w:hAnsi="宋体" w:cs="Arial"/>
                <w:color w:val="auto"/>
                <w:sz w:val="18"/>
                <w:szCs w:val="18"/>
              </w:rPr>
            </w:pPr>
            <w:r>
              <w:rPr>
                <w:rFonts w:hint="eastAsia" w:ascii="宋体" w:hAnsi="宋体" w:cs="Arial"/>
                <w:color w:val="auto"/>
                <w:sz w:val="18"/>
                <w:szCs w:val="18"/>
              </w:rPr>
              <w:t>(2).支持积雪及其危害内容学习体验，如认识积雪，了解积雪导致交通阻断、建筑受压、树木倒伏等典型危害；</w:t>
            </w:r>
          </w:p>
          <w:p w14:paraId="70CF7C2F">
            <w:pPr>
              <w:widowControl/>
              <w:spacing w:line="400" w:lineRule="exact"/>
              <w:rPr>
                <w:rFonts w:ascii="宋体" w:hAnsi="宋体" w:cs="Arial"/>
                <w:color w:val="auto"/>
                <w:sz w:val="18"/>
                <w:szCs w:val="18"/>
              </w:rPr>
            </w:pPr>
            <w:r>
              <w:rPr>
                <w:rFonts w:hint="eastAsia" w:ascii="宋体" w:hAnsi="宋体" w:cs="Arial"/>
                <w:color w:val="auto"/>
                <w:sz w:val="18"/>
                <w:szCs w:val="18"/>
              </w:rPr>
              <w:t>(3).支持吹雪及其危害内容学习体验，如通过风场模拟系统再现强风裹挟雪粒导致的吹雪现象，了解能见度骤降、道路湿滑及设备冻损等具体危害；</w:t>
            </w:r>
          </w:p>
          <w:p w14:paraId="2BF80446">
            <w:pPr>
              <w:widowControl/>
              <w:spacing w:line="400" w:lineRule="exact"/>
              <w:rPr>
                <w:rFonts w:ascii="宋体" w:hAnsi="宋体" w:cs="Arial"/>
                <w:color w:val="auto"/>
                <w:sz w:val="18"/>
                <w:szCs w:val="18"/>
              </w:rPr>
            </w:pPr>
            <w:r>
              <w:rPr>
                <w:rFonts w:hint="eastAsia" w:ascii="宋体" w:hAnsi="宋体" w:cs="Arial"/>
                <w:color w:val="auto"/>
                <w:sz w:val="18"/>
                <w:szCs w:val="18"/>
              </w:rPr>
              <w:t>(4).支持雪暴及其危害内容学习体验，如沉浸式体验雪暴来袭的全过程，包括风速骤增、气温骤降与瞬时强降雪等变化，认识雪暴导致交通瘫痪、断电与公共设施损毁等危害；</w:t>
            </w:r>
          </w:p>
          <w:p w14:paraId="013740C6">
            <w:pPr>
              <w:widowControl/>
              <w:spacing w:line="400" w:lineRule="exact"/>
              <w:rPr>
                <w:rFonts w:ascii="宋体" w:hAnsi="宋体" w:cs="Arial"/>
                <w:color w:val="auto"/>
                <w:sz w:val="18"/>
                <w:szCs w:val="18"/>
              </w:rPr>
            </w:pPr>
            <w:r>
              <w:rPr>
                <w:rFonts w:hint="eastAsia" w:ascii="宋体" w:hAnsi="宋体" w:cs="Arial"/>
                <w:color w:val="auto"/>
                <w:sz w:val="18"/>
                <w:szCs w:val="18"/>
              </w:rPr>
              <w:t>(5).支持雪崩及其危害内容学习体验，如通过三维地形与雪层下降模拟还原雪崩全过程，了解雪崩冲击破坏力与可能引发的次生灾害等内容；</w:t>
            </w:r>
          </w:p>
          <w:p w14:paraId="444FF287">
            <w:pPr>
              <w:widowControl/>
              <w:spacing w:line="400" w:lineRule="exact"/>
              <w:rPr>
                <w:rFonts w:ascii="宋体" w:hAnsi="宋体" w:cs="Arial"/>
                <w:color w:val="auto"/>
                <w:sz w:val="18"/>
                <w:szCs w:val="18"/>
              </w:rPr>
            </w:pPr>
            <w:r>
              <w:rPr>
                <w:rFonts w:hint="eastAsia" w:ascii="宋体" w:hAnsi="宋体" w:cs="Arial"/>
                <w:color w:val="auto"/>
                <w:sz w:val="18"/>
                <w:szCs w:val="18"/>
              </w:rPr>
              <w:t>(6).支持暴雪来临准备学习体验，如模拟居家储备急需物资、关好门窗，做好防寒保暖准备等内容；</w:t>
            </w:r>
          </w:p>
          <w:p w14:paraId="17FB5A5C">
            <w:pPr>
              <w:widowControl/>
              <w:spacing w:line="400" w:lineRule="exact"/>
              <w:rPr>
                <w:rFonts w:ascii="宋体" w:hAnsi="宋体" w:cs="Arial"/>
                <w:color w:val="auto"/>
                <w:sz w:val="18"/>
                <w:szCs w:val="18"/>
              </w:rPr>
            </w:pPr>
            <w:r>
              <w:rPr>
                <w:rFonts w:hint="eastAsia" w:ascii="宋体" w:hAnsi="宋体" w:cs="Arial"/>
                <w:color w:val="auto"/>
                <w:sz w:val="18"/>
                <w:szCs w:val="18"/>
              </w:rPr>
              <w:t>(7).支持暴雪出行安全学习体验，如模拟暴雪天气出行场景，学习步行远离广告牌、临时搭建物以及老树等避免砸伤，驾车出行时与前车保持安全距离、转弯前减速以及视线受阻时的信号标识判断及公共交通避险，暴雪后配合相关部门积极除雪等要点；</w:t>
            </w:r>
          </w:p>
          <w:p w14:paraId="6F3E3100">
            <w:pPr>
              <w:widowControl/>
              <w:spacing w:line="400" w:lineRule="exact"/>
              <w:rPr>
                <w:rFonts w:ascii="宋体" w:hAnsi="宋体" w:cs="Arial"/>
                <w:color w:val="auto"/>
                <w:sz w:val="18"/>
                <w:szCs w:val="18"/>
              </w:rPr>
            </w:pPr>
            <w:r>
              <w:rPr>
                <w:rFonts w:hint="eastAsia" w:ascii="宋体" w:hAnsi="宋体" w:cs="Arial"/>
                <w:color w:val="auto"/>
                <w:sz w:val="18"/>
                <w:szCs w:val="18"/>
              </w:rPr>
              <w:t>(8).配套极端雪灾动态场景，并配套模型资源：</w:t>
            </w:r>
          </w:p>
          <w:p w14:paraId="290C4C79">
            <w:pPr>
              <w:widowControl/>
              <w:spacing w:line="400" w:lineRule="exact"/>
              <w:rPr>
                <w:rFonts w:ascii="宋体" w:hAnsi="宋体" w:cs="Arial"/>
                <w:color w:val="auto"/>
                <w:sz w:val="18"/>
                <w:szCs w:val="18"/>
              </w:rPr>
            </w:pPr>
            <w:r>
              <w:rPr>
                <w:rFonts w:hint="eastAsia" w:ascii="宋体" w:hAnsi="宋体" w:cs="Arial"/>
                <w:color w:val="auto"/>
                <w:sz w:val="18"/>
                <w:szCs w:val="18"/>
              </w:rPr>
              <w:t>a)含积雪覆盖、暴风雪侵袭、道路湿滑、车辆失控、雪崩冲击等雪灾动态模拟；</w:t>
            </w:r>
          </w:p>
          <w:p w14:paraId="0FD17189">
            <w:pPr>
              <w:widowControl/>
              <w:spacing w:line="400" w:lineRule="exact"/>
              <w:rPr>
                <w:rFonts w:ascii="宋体" w:hAnsi="宋体" w:cs="Arial"/>
                <w:color w:val="auto"/>
                <w:sz w:val="18"/>
                <w:szCs w:val="18"/>
              </w:rPr>
            </w:pPr>
            <w:r>
              <w:rPr>
                <w:rFonts w:hint="eastAsia" w:ascii="宋体" w:hAnsi="宋体" w:cs="Arial"/>
                <w:color w:val="auto"/>
                <w:sz w:val="18"/>
                <w:szCs w:val="18"/>
              </w:rPr>
              <w:t>b)含积雪层结构模型、山地地形模型、汽车与道路模型、屋顶积雪承压模型、广告牌掉落、临时搭建棚倒塌、准备应急物资等；</w:t>
            </w:r>
          </w:p>
          <w:p w14:paraId="4308252F">
            <w:pPr>
              <w:widowControl/>
              <w:spacing w:line="400" w:lineRule="exact"/>
              <w:rPr>
                <w:rFonts w:ascii="宋体" w:hAnsi="宋体" w:cs="Arial"/>
                <w:color w:val="auto"/>
                <w:sz w:val="18"/>
                <w:szCs w:val="18"/>
              </w:rPr>
            </w:pPr>
            <w:r>
              <w:rPr>
                <w:rFonts w:hint="eastAsia" w:ascii="宋体" w:hAnsi="宋体" w:cs="Arial"/>
                <w:color w:val="auto"/>
                <w:sz w:val="18"/>
                <w:szCs w:val="18"/>
              </w:rPr>
              <w:t>c)含居家人员、行人、司机等角色的动态人群模拟。</w:t>
            </w:r>
          </w:p>
          <w:p w14:paraId="072A78A2">
            <w:pPr>
              <w:widowControl/>
              <w:spacing w:line="400" w:lineRule="exact"/>
              <w:rPr>
                <w:rFonts w:ascii="宋体" w:hAnsi="宋体" w:cs="Arial"/>
                <w:color w:val="auto"/>
                <w:sz w:val="18"/>
                <w:szCs w:val="18"/>
              </w:rPr>
            </w:pPr>
          </w:p>
          <w:p w14:paraId="78189B72">
            <w:pPr>
              <w:widowControl/>
              <w:spacing w:line="400" w:lineRule="exact"/>
              <w:rPr>
                <w:rFonts w:ascii="宋体" w:hAnsi="宋体" w:cs="Arial"/>
                <w:color w:val="auto"/>
                <w:sz w:val="18"/>
                <w:szCs w:val="18"/>
              </w:rPr>
            </w:pPr>
            <w:r>
              <w:rPr>
                <w:rFonts w:hint="eastAsia" w:ascii="宋体" w:hAnsi="宋体" w:cs="Arial"/>
                <w:color w:val="auto"/>
                <w:sz w:val="18"/>
                <w:szCs w:val="18"/>
              </w:rPr>
              <w:t>▲设备供应商需提供“防震减灾学习系统”相关内容的软件著作权登记证书扫描件并加盖原厂公章。</w:t>
            </w:r>
          </w:p>
        </w:tc>
        <w:tc>
          <w:tcPr>
            <w:tcW w:w="900" w:type="dxa"/>
            <w:tcBorders>
              <w:top w:val="nil"/>
              <w:left w:val="nil"/>
              <w:bottom w:val="single" w:color="auto" w:sz="4" w:space="0"/>
              <w:right w:val="single" w:color="auto" w:sz="4" w:space="0"/>
            </w:tcBorders>
            <w:vAlign w:val="center"/>
          </w:tcPr>
          <w:p w14:paraId="63106C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081326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67730B4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F2988D4">
            <w:pPr>
              <w:widowControl/>
              <w:spacing w:line="400" w:lineRule="exact"/>
              <w:jc w:val="left"/>
              <w:rPr>
                <w:rFonts w:ascii="宋体" w:hAnsi="宋体" w:cs="Arial"/>
                <w:color w:val="auto"/>
                <w:sz w:val="18"/>
                <w:szCs w:val="18"/>
              </w:rPr>
            </w:pPr>
            <w:r>
              <w:rPr>
                <w:rFonts w:hint="eastAsia" w:ascii="宋体" w:hAnsi="宋体" w:cs="Arial"/>
                <w:color w:val="auto"/>
                <w:sz w:val="18"/>
                <w:szCs w:val="18"/>
              </w:rPr>
              <w:t>沉浸式灾害体验区</w:t>
            </w:r>
          </w:p>
        </w:tc>
      </w:tr>
      <w:tr w14:paraId="2D2FECB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8469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9D405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4D 灾种情景模拟舱</w:t>
            </w:r>
          </w:p>
        </w:tc>
        <w:tc>
          <w:tcPr>
            <w:tcW w:w="5717" w:type="dxa"/>
            <w:tcBorders>
              <w:top w:val="nil"/>
              <w:left w:val="nil"/>
              <w:bottom w:val="single" w:color="auto" w:sz="4" w:space="0"/>
              <w:right w:val="single" w:color="auto" w:sz="4" w:space="0"/>
            </w:tcBorders>
            <w:vAlign w:val="center"/>
          </w:tcPr>
          <w:p w14:paraId="5175F37E">
            <w:pPr>
              <w:widowControl/>
              <w:spacing w:line="400" w:lineRule="exact"/>
              <w:jc w:val="left"/>
              <w:rPr>
                <w:rFonts w:ascii="宋体" w:hAnsi="宋体" w:cs="Arial"/>
                <w:color w:val="auto"/>
                <w:sz w:val="18"/>
                <w:szCs w:val="18"/>
              </w:rPr>
            </w:pPr>
            <w:r>
              <w:rPr>
                <w:rFonts w:hint="eastAsia" w:ascii="宋体" w:hAnsi="宋体" w:cs="Arial"/>
                <w:color w:val="auto"/>
                <w:sz w:val="18"/>
                <w:szCs w:val="18"/>
              </w:rPr>
              <w:t>沉浸式 4D 情景模拟空间，配备动感座椅平台，具备多自由度运动模拟能力；可播放3D自然灾害影片，支持环境模拟设备与影片实现同步联动。</w:t>
            </w:r>
          </w:p>
          <w:p w14:paraId="039B0543">
            <w:pPr>
              <w:widowControl/>
              <w:spacing w:line="400" w:lineRule="exact"/>
              <w:jc w:val="left"/>
              <w:rPr>
                <w:rFonts w:ascii="宋体" w:hAnsi="宋体" w:cs="Arial"/>
                <w:color w:val="auto"/>
                <w:sz w:val="18"/>
                <w:szCs w:val="18"/>
              </w:rPr>
            </w:pPr>
            <w:r>
              <w:rPr>
                <w:rFonts w:hint="eastAsia" w:ascii="宋体" w:hAnsi="宋体" w:cs="Arial"/>
                <w:color w:val="auto"/>
                <w:sz w:val="18"/>
                <w:szCs w:val="18"/>
              </w:rPr>
              <w:t>能精准复刻森林火灾、洪水、台风等多类灾害场景：体验者入座后，随着场景启动，座椅会随灾害进程同步传递震动、倾斜等体感反馈，环绕的风机送来贴合场景的气流变化，频闪灯光则模拟灾害中的光影骤变；配合高清环幕呈现的灾害动态视效，再加上立体环音系统还原的轰鸣、呼啸等环境音效，直观了解灾害从发生到演进的全过程。</w:t>
            </w:r>
          </w:p>
          <w:p w14:paraId="53D685C1">
            <w:pPr>
              <w:widowControl/>
              <w:spacing w:line="400" w:lineRule="exact"/>
              <w:jc w:val="left"/>
              <w:rPr>
                <w:rFonts w:ascii="宋体" w:hAnsi="宋体" w:cs="Arial"/>
                <w:color w:val="auto"/>
                <w:sz w:val="18"/>
                <w:szCs w:val="18"/>
              </w:rPr>
            </w:pPr>
          </w:p>
          <w:p w14:paraId="1BB9DAA0">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硬件配备：</w:t>
            </w:r>
          </w:p>
          <w:p w14:paraId="0B84174A">
            <w:pPr>
              <w:widowControl/>
              <w:spacing w:line="400" w:lineRule="exact"/>
              <w:jc w:val="left"/>
              <w:rPr>
                <w:rFonts w:ascii="宋体" w:hAnsi="宋体" w:cs="Arial"/>
                <w:color w:val="auto"/>
                <w:sz w:val="18"/>
                <w:szCs w:val="18"/>
              </w:rPr>
            </w:pPr>
            <w:r>
              <w:rPr>
                <w:rFonts w:hint="eastAsia" w:ascii="宋体" w:hAnsi="宋体" w:cs="Arial"/>
                <w:color w:val="auto"/>
                <w:sz w:val="18"/>
                <w:szCs w:val="18"/>
              </w:rPr>
              <w:t>1.动感座椅平台，具备多自由度运动模拟能力，结构分贝≤50分贝；载客数≥4人/组，座椅采用高密度海绵，充分考虑防水、防潮、阻燃及耐磨特性，支持特效扶手、座椅特效；俯仰幅度≥±15°，俯仰速度符合0-30°/s，俯仰加速度符合0-60°/s^2；摇摆幅度≥±10°，摇摆速度符合0-30°/s，摇摆加速度符合0-60°/s^2；升降幅度符合0~160mm，升降速度符合0-200mm/s，升降加速度≥0.5g；振动频率符合5Hz-10Hz；电缸数量≥3个，电机数量≥3个；</w:t>
            </w:r>
          </w:p>
          <w:p w14:paraId="36D5E4C8">
            <w:pPr>
              <w:widowControl/>
              <w:spacing w:line="400" w:lineRule="exact"/>
              <w:jc w:val="left"/>
              <w:rPr>
                <w:rFonts w:ascii="宋体" w:hAnsi="宋体" w:cs="Arial"/>
                <w:color w:val="auto"/>
                <w:sz w:val="18"/>
                <w:szCs w:val="18"/>
              </w:rPr>
            </w:pPr>
            <w:r>
              <w:rPr>
                <w:rFonts w:hint="eastAsia" w:ascii="宋体" w:hAnsi="宋体" w:cs="Arial"/>
                <w:color w:val="auto"/>
                <w:sz w:val="18"/>
                <w:szCs w:val="18"/>
              </w:rPr>
              <w:t>2.系统处理主机：CPU≥6核2.9GHz，内存≥8G，硬盘≥250 GB；显卡：并行处理单元≥4500个，显存≥8GB，位宽≥256bit；</w:t>
            </w:r>
          </w:p>
          <w:p w14:paraId="64471409">
            <w:pPr>
              <w:widowControl/>
              <w:spacing w:line="400" w:lineRule="exact"/>
              <w:jc w:val="left"/>
              <w:rPr>
                <w:rFonts w:ascii="宋体" w:hAnsi="宋体" w:cs="Arial"/>
                <w:color w:val="auto"/>
                <w:sz w:val="18"/>
                <w:szCs w:val="18"/>
              </w:rPr>
            </w:pPr>
            <w:r>
              <w:rPr>
                <w:rFonts w:hint="eastAsia" w:ascii="宋体" w:hAnsi="宋体" w:cs="Arial"/>
                <w:color w:val="auto"/>
                <w:sz w:val="18"/>
                <w:szCs w:val="18"/>
              </w:rPr>
              <w:t>3.投影仪：激光光源，分辨率≥1920*1200；光通量≥5000lm(中心亮度)，光源寿命≥20000h，照度均匀性≥85%，对比度≥5000000：1；投射比</w:t>
            </w:r>
            <w:r>
              <w:rPr>
                <w:rFonts w:ascii="Cambria Math" w:hAnsi="Cambria Math" w:cs="Cambria Math"/>
                <w:color w:val="auto"/>
                <w:sz w:val="18"/>
                <w:szCs w:val="18"/>
              </w:rPr>
              <w:t>≺</w:t>
            </w:r>
            <w:r>
              <w:rPr>
                <w:rFonts w:hint="eastAsia" w:ascii="宋体" w:hAnsi="宋体" w:cs="Arial"/>
                <w:color w:val="auto"/>
                <w:sz w:val="18"/>
                <w:szCs w:val="18"/>
              </w:rPr>
              <w:t>0.6；接口配备：VGA、HDMI、Audio in、Audio out、USB、LAN等；配备2台投影仪以及投影吊架；</w:t>
            </w:r>
          </w:p>
          <w:p w14:paraId="308B8EBC">
            <w:pPr>
              <w:widowControl/>
              <w:spacing w:line="400" w:lineRule="exact"/>
              <w:jc w:val="left"/>
              <w:rPr>
                <w:rFonts w:ascii="宋体" w:hAnsi="宋体" w:cs="Arial"/>
                <w:color w:val="auto"/>
                <w:sz w:val="18"/>
                <w:szCs w:val="18"/>
              </w:rPr>
            </w:pPr>
            <w:r>
              <w:rPr>
                <w:rFonts w:hint="eastAsia" w:ascii="宋体" w:hAnsi="宋体" w:cs="Arial"/>
                <w:color w:val="auto"/>
                <w:sz w:val="18"/>
                <w:szCs w:val="18"/>
              </w:rPr>
              <w:t>4.多通道几何校正与融合系统：支持多通道且向下兼容，可自定义融合边，可实现一字型、田字形等融合画面自由组合；支持几何校正，适用于弧幕、360°环幕、异型幕、折幕等；支持信号融合，比如可融主屏信号，融扩展屏信号等；支持调整投影仪偏色；支持投影画面遮罩；配备8通道；</w:t>
            </w:r>
          </w:p>
          <w:p w14:paraId="276DFA94">
            <w:pPr>
              <w:widowControl/>
              <w:spacing w:line="400" w:lineRule="exact"/>
              <w:jc w:val="left"/>
              <w:rPr>
                <w:rFonts w:ascii="宋体" w:hAnsi="宋体" w:cs="Arial"/>
                <w:color w:val="auto"/>
                <w:sz w:val="18"/>
                <w:szCs w:val="18"/>
              </w:rPr>
            </w:pPr>
            <w:r>
              <w:rPr>
                <w:rFonts w:hint="eastAsia" w:ascii="宋体" w:hAnsi="宋体" w:cs="Arial"/>
                <w:color w:val="auto"/>
                <w:sz w:val="18"/>
                <w:szCs w:val="18"/>
              </w:rPr>
              <w:t>5.专业音响系统：功率≥150W(单个)，峰值功率≥300W(单个)；频率响应符合20Hz~20kHz，音箱阻抗符合 4~8欧姆；喇叭单元配备：≥8寸低音*1，≥2.5英寸高音*2，≥3寸中音*2；</w:t>
            </w:r>
          </w:p>
          <w:p w14:paraId="53DC031F">
            <w:pPr>
              <w:widowControl/>
              <w:spacing w:line="400" w:lineRule="exact"/>
              <w:jc w:val="left"/>
              <w:rPr>
                <w:rFonts w:ascii="宋体" w:hAnsi="宋体" w:cs="Arial"/>
                <w:color w:val="auto"/>
                <w:sz w:val="18"/>
                <w:szCs w:val="18"/>
              </w:rPr>
            </w:pPr>
            <w:r>
              <w:rPr>
                <w:rFonts w:hint="eastAsia" w:ascii="宋体" w:hAnsi="宋体" w:cs="Arial"/>
                <w:color w:val="auto"/>
                <w:sz w:val="18"/>
                <w:szCs w:val="18"/>
              </w:rPr>
              <w:t>6.环境模拟系统：所有特效设备能与中控系统实现同步联动；配备仿真雷积云*1套；风机*2套；频闪*1套：支持白光、彩光，声控、自走速度可调；泡泡机*2套：吹高距离符合4-6米，支持手动、遥控。</w:t>
            </w:r>
          </w:p>
          <w:p w14:paraId="0E3ADE1A">
            <w:pPr>
              <w:widowControl/>
              <w:spacing w:line="400" w:lineRule="exact"/>
              <w:jc w:val="left"/>
              <w:rPr>
                <w:rFonts w:ascii="宋体" w:hAnsi="宋体" w:cs="Arial"/>
                <w:color w:val="auto"/>
                <w:sz w:val="18"/>
                <w:szCs w:val="18"/>
              </w:rPr>
            </w:pPr>
          </w:p>
          <w:p w14:paraId="2A223E34">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软件功能：</w:t>
            </w:r>
          </w:p>
          <w:p w14:paraId="1C98886D">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配备3部3D自然灾害影片，包含洪水、森林火灾、台风主题，影片总时长≥24分钟，采用CG制作技术；</w:t>
            </w:r>
          </w:p>
          <w:p w14:paraId="4B64BFDA">
            <w:pPr>
              <w:widowControl/>
              <w:spacing w:line="400" w:lineRule="exact"/>
              <w:jc w:val="left"/>
              <w:rPr>
                <w:rFonts w:ascii="宋体" w:hAnsi="宋体" w:cs="Arial"/>
                <w:color w:val="auto"/>
                <w:sz w:val="18"/>
                <w:szCs w:val="18"/>
              </w:rPr>
            </w:pPr>
            <w:r>
              <w:rPr>
                <w:rFonts w:hint="eastAsia" w:ascii="宋体" w:hAnsi="宋体" w:cs="Arial"/>
                <w:color w:val="auto"/>
                <w:sz w:val="18"/>
                <w:szCs w:val="18"/>
              </w:rPr>
              <w:t>1.森林火灾：以 “防患未燃” 为核心，先展现湿地森林静谧生态，再以丢弃烟头为导火索呈现火情蔓延全过程，随后刻画消防队伍与群众协同救援场景，最后直击火灾高发隐患并科普防火知识，形成完整的安全警示叙事；</w:t>
            </w:r>
          </w:p>
          <w:p w14:paraId="4FA93BFE">
            <w:pPr>
              <w:widowControl/>
              <w:spacing w:line="400" w:lineRule="exact"/>
              <w:jc w:val="left"/>
              <w:rPr>
                <w:rFonts w:ascii="宋体" w:hAnsi="宋体" w:cs="Arial"/>
                <w:color w:val="auto"/>
                <w:sz w:val="18"/>
                <w:szCs w:val="18"/>
              </w:rPr>
            </w:pPr>
            <w:r>
              <w:rPr>
                <w:rFonts w:hint="eastAsia" w:ascii="宋体" w:hAnsi="宋体" w:cs="Arial"/>
                <w:color w:val="auto"/>
                <w:sz w:val="18"/>
                <w:szCs w:val="18"/>
              </w:rPr>
              <w:t>2.台风灾害：聚焦 15 级台风 “凤凰” 登陆事件，通过老渔民出海归航、城市民众备战避险的多线叙事，展现灾难中的坚守与牵挂，最终以渔船靠港、亲人重逢、城市重生收尾，传递勇气、亲情与 “风雨过后有晴天” 的希望；</w:t>
            </w:r>
          </w:p>
          <w:p w14:paraId="65DEF1D7">
            <w:pPr>
              <w:widowControl/>
              <w:spacing w:line="400" w:lineRule="exact"/>
              <w:jc w:val="left"/>
              <w:rPr>
                <w:rFonts w:ascii="宋体" w:hAnsi="宋体" w:cs="Arial"/>
                <w:color w:val="auto"/>
                <w:sz w:val="18"/>
                <w:szCs w:val="18"/>
              </w:rPr>
            </w:pPr>
            <w:r>
              <w:rPr>
                <w:rFonts w:hint="eastAsia" w:ascii="宋体" w:hAnsi="宋体" w:cs="Arial"/>
                <w:color w:val="auto"/>
                <w:sz w:val="18"/>
                <w:szCs w:val="18"/>
              </w:rPr>
              <w:t>3.洪水灾害：围绕洪水灾害，依次呈现灾害前征兆、灾害发生时的破坏力、实用自救科普及灾后重建过程，既展现洪水与泥石流的危害，也传递抢险救援力量与避险知识，兼具警示性与实用性。</w:t>
            </w:r>
          </w:p>
        </w:tc>
        <w:tc>
          <w:tcPr>
            <w:tcW w:w="900" w:type="dxa"/>
            <w:tcBorders>
              <w:top w:val="nil"/>
              <w:left w:val="nil"/>
              <w:bottom w:val="single" w:color="auto" w:sz="4" w:space="0"/>
              <w:right w:val="single" w:color="auto" w:sz="4" w:space="0"/>
            </w:tcBorders>
            <w:vAlign w:val="center"/>
          </w:tcPr>
          <w:p w14:paraId="34F0A7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F4D8D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FE48E2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9A2C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0FB6D2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地震体验屋</w:t>
            </w:r>
          </w:p>
        </w:tc>
        <w:tc>
          <w:tcPr>
            <w:tcW w:w="5717" w:type="dxa"/>
            <w:tcBorders>
              <w:top w:val="nil"/>
              <w:left w:val="nil"/>
              <w:bottom w:val="single" w:color="auto" w:sz="4" w:space="0"/>
              <w:right w:val="single" w:color="auto" w:sz="4" w:space="0"/>
            </w:tcBorders>
            <w:vAlign w:val="center"/>
          </w:tcPr>
          <w:p w14:paraId="0FA5DD96">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配备模拟地震平台、显示屏、电容触摸屏、动感控制系统，以及墙皮倒塌等特效模块，依托硬件实景、软件仿真，打造地震避险学习空间；</w:t>
            </w:r>
          </w:p>
          <w:p w14:paraId="506115E3">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硬件部分以 1：1 比例真实还原客厅、厨房等居家场景，底部搭载的动感晃动平台，能依据软件指令，模拟 3-4.5 级、4.5-6 级、6-7 级不同震级的晃动效果，从轻微震颤到剧烈摇晃，并联动3D 影片进行对应震级的晃动；</w:t>
            </w:r>
          </w:p>
          <w:p w14:paraId="6274B486">
            <w:pPr>
              <w:widowControl/>
              <w:spacing w:line="400" w:lineRule="exact"/>
              <w:jc w:val="left"/>
              <w:rPr>
                <w:rFonts w:ascii="宋体" w:hAnsi="宋体" w:cs="Arial"/>
                <w:color w:val="auto"/>
                <w:sz w:val="18"/>
                <w:szCs w:val="18"/>
              </w:rPr>
            </w:pPr>
            <w:r>
              <w:rPr>
                <w:color w:val="auto"/>
                <w:sz w:val="18"/>
                <w:szCs w:val="18"/>
              </w:rPr>
              <w:t>​</w:t>
            </w:r>
            <w:r>
              <w:rPr>
                <w:rFonts w:hint="eastAsia" w:ascii="宋体" w:hAnsi="宋体" w:cs="Arial"/>
                <w:color w:val="auto"/>
                <w:sz w:val="18"/>
                <w:szCs w:val="18"/>
              </w:rPr>
              <w:t>软件系统中知识课堂板块中地震科普以图文形式解析地震的定义、前兆以及可能引发的次生灾害；地震避险与救援模块结合图文和视频，科普地震发生时的自救技巧与互救方法；</w:t>
            </w:r>
          </w:p>
          <w:p w14:paraId="20FE0FCB">
            <w:pPr>
              <w:widowControl/>
              <w:spacing w:line="400" w:lineRule="exact"/>
              <w:jc w:val="left"/>
              <w:rPr>
                <w:rFonts w:ascii="宋体" w:hAnsi="宋体" w:cs="Arial"/>
                <w:color w:val="auto"/>
                <w:sz w:val="18"/>
                <w:szCs w:val="18"/>
              </w:rPr>
            </w:pPr>
          </w:p>
          <w:p w14:paraId="0DA0BB72">
            <w:pPr>
              <w:widowControl/>
              <w:spacing w:line="400" w:lineRule="exact"/>
              <w:jc w:val="left"/>
              <w:rPr>
                <w:rFonts w:ascii="宋体" w:hAnsi="宋体" w:cs="Arial"/>
                <w:color w:val="auto"/>
                <w:sz w:val="18"/>
                <w:szCs w:val="18"/>
              </w:rPr>
            </w:pPr>
            <w:r>
              <w:rPr>
                <w:rFonts w:hint="eastAsia" w:ascii="宋体" w:hAnsi="宋体" w:cs="Arial"/>
                <w:color w:val="auto"/>
                <w:sz w:val="18"/>
                <w:szCs w:val="18"/>
              </w:rPr>
              <w:t>1.模拟地震平台：尺寸≥3m*3m，行程≥150mm，采用6自由度液压或电动伺服驱动，有效负荷≥1500Kg，动作响应时间≤20ms；</w:t>
            </w:r>
          </w:p>
          <w:p w14:paraId="44CFA208">
            <w:pPr>
              <w:widowControl/>
              <w:spacing w:line="400" w:lineRule="exact"/>
              <w:jc w:val="left"/>
              <w:rPr>
                <w:rFonts w:ascii="宋体" w:hAnsi="宋体" w:cs="Arial"/>
                <w:color w:val="auto"/>
                <w:sz w:val="18"/>
                <w:szCs w:val="18"/>
              </w:rPr>
            </w:pPr>
            <w:r>
              <w:rPr>
                <w:rFonts w:hint="eastAsia" w:ascii="宋体" w:hAnsi="宋体" w:cs="Arial"/>
                <w:color w:val="auto"/>
                <w:sz w:val="18"/>
                <w:szCs w:val="18"/>
              </w:rPr>
              <w:t>2.展示系统：LCD显示屏，屏幕尺寸≥75英寸，比例支持16：9，刷新率≥144Hz；支持WiFi；CPU≥四核，内存≥2GB，储存≥32GB；接口配备：≥2个USB，≥2个HDMI2.0；配套展示信息。</w:t>
            </w:r>
          </w:p>
          <w:p w14:paraId="3591F4B7">
            <w:pPr>
              <w:widowControl/>
              <w:spacing w:line="400" w:lineRule="exact"/>
              <w:jc w:val="left"/>
              <w:rPr>
                <w:rFonts w:ascii="宋体" w:hAnsi="宋体" w:cs="Arial"/>
                <w:color w:val="auto"/>
                <w:sz w:val="18"/>
                <w:szCs w:val="18"/>
              </w:rPr>
            </w:pPr>
            <w:r>
              <w:rPr>
                <w:rFonts w:hint="eastAsia" w:ascii="宋体" w:hAnsi="宋体" w:cs="Arial"/>
                <w:color w:val="auto"/>
                <w:sz w:val="18"/>
                <w:szCs w:val="18"/>
              </w:rPr>
              <w:t>3.触摸屏：电容触摸屏，钢化玻璃硬度≥莫氏7级，屏幕尺寸≥32英寸，分辨率≥1920*1080，比例支持16：9，亮度≥300cd/m，响应时间＜5.5ms；</w:t>
            </w:r>
          </w:p>
          <w:p w14:paraId="4C65C54B">
            <w:pPr>
              <w:widowControl/>
              <w:spacing w:line="400" w:lineRule="exact"/>
              <w:jc w:val="left"/>
              <w:rPr>
                <w:rFonts w:ascii="宋体" w:hAnsi="宋体" w:cs="Arial"/>
                <w:color w:val="auto"/>
                <w:sz w:val="18"/>
                <w:szCs w:val="18"/>
              </w:rPr>
            </w:pPr>
            <w:r>
              <w:rPr>
                <w:rFonts w:hint="eastAsia" w:ascii="宋体" w:hAnsi="宋体" w:cs="Arial"/>
                <w:color w:val="auto"/>
                <w:sz w:val="18"/>
                <w:szCs w:val="18"/>
              </w:rPr>
              <w:t>4.控制主机，CPU≥4核3.5GHz，内存≥8GB，硬盘≥250GB；配备独立显卡；</w:t>
            </w:r>
          </w:p>
          <w:p w14:paraId="200060C0">
            <w:pPr>
              <w:widowControl/>
              <w:spacing w:line="400" w:lineRule="exact"/>
              <w:jc w:val="left"/>
              <w:rPr>
                <w:rFonts w:ascii="宋体" w:hAnsi="宋体" w:cs="Arial"/>
                <w:color w:val="auto"/>
                <w:sz w:val="18"/>
                <w:szCs w:val="18"/>
              </w:rPr>
            </w:pPr>
            <w:r>
              <w:rPr>
                <w:rFonts w:hint="eastAsia" w:ascii="宋体" w:hAnsi="宋体" w:cs="Arial"/>
                <w:color w:val="auto"/>
                <w:sz w:val="18"/>
                <w:szCs w:val="18"/>
              </w:rPr>
              <w:t>5.动感控制系统：支持太网局域网和CAN/485总线通讯控制，可实现六轴网络化伺服控制功能；电机转速≥3000rpm，行程≥15cm，响应≤20ms；</w:t>
            </w:r>
          </w:p>
          <w:p w14:paraId="2D7D9BBD">
            <w:pPr>
              <w:widowControl/>
              <w:spacing w:line="400" w:lineRule="exact"/>
              <w:jc w:val="left"/>
              <w:rPr>
                <w:rFonts w:ascii="宋体" w:hAnsi="宋体" w:cs="Arial"/>
                <w:color w:val="auto"/>
                <w:sz w:val="18"/>
                <w:szCs w:val="18"/>
              </w:rPr>
            </w:pPr>
            <w:r>
              <w:rPr>
                <w:rFonts w:hint="eastAsia" w:ascii="宋体" w:hAnsi="宋体" w:cs="Arial"/>
                <w:color w:val="auto"/>
                <w:sz w:val="18"/>
                <w:szCs w:val="18"/>
              </w:rPr>
              <w:t>6.平台钢架：6自由度；有效负荷≥1500Kg；平台高度≥2.7m；平台尺寸≥3m*3m；</w:t>
            </w:r>
          </w:p>
          <w:p w14:paraId="73ABD5A8">
            <w:pPr>
              <w:widowControl/>
              <w:spacing w:line="400" w:lineRule="exact"/>
              <w:jc w:val="left"/>
              <w:rPr>
                <w:rFonts w:ascii="宋体" w:hAnsi="宋体" w:cs="Arial"/>
                <w:color w:val="auto"/>
                <w:sz w:val="18"/>
                <w:szCs w:val="18"/>
              </w:rPr>
            </w:pPr>
            <w:r>
              <w:rPr>
                <w:rFonts w:hint="eastAsia" w:ascii="宋体" w:hAnsi="宋体" w:cs="Arial"/>
                <w:color w:val="auto"/>
                <w:sz w:val="18"/>
                <w:szCs w:val="18"/>
              </w:rPr>
              <w:t>7.墙皮倒塌模块：模拟墙皮脱落效果，可自动收回；地震互动装置：改装挂画、桌子、椅子等；挂架配件；控制箱：可控制模块及平台特效等。</w:t>
            </w:r>
          </w:p>
        </w:tc>
        <w:tc>
          <w:tcPr>
            <w:tcW w:w="900" w:type="dxa"/>
            <w:tcBorders>
              <w:top w:val="nil"/>
              <w:left w:val="nil"/>
              <w:bottom w:val="single" w:color="auto" w:sz="4" w:space="0"/>
              <w:right w:val="single" w:color="auto" w:sz="4" w:space="0"/>
            </w:tcBorders>
            <w:vAlign w:val="center"/>
          </w:tcPr>
          <w:p w14:paraId="22307F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985DF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间</w:t>
            </w:r>
          </w:p>
        </w:tc>
      </w:tr>
      <w:tr w14:paraId="4BC89F3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E2F49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727C9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暴雨洪水逃生舱</w:t>
            </w:r>
          </w:p>
        </w:tc>
        <w:tc>
          <w:tcPr>
            <w:tcW w:w="5717" w:type="dxa"/>
            <w:tcBorders>
              <w:top w:val="nil"/>
              <w:left w:val="nil"/>
              <w:bottom w:val="single" w:color="auto" w:sz="4" w:space="0"/>
              <w:right w:val="single" w:color="auto" w:sz="4" w:space="0"/>
            </w:tcBorders>
            <w:vAlign w:val="center"/>
          </w:tcPr>
          <w:p w14:paraId="28BFA7D1">
            <w:pPr>
              <w:widowControl/>
              <w:spacing w:line="400" w:lineRule="exact"/>
              <w:jc w:val="left"/>
              <w:rPr>
                <w:rFonts w:ascii="宋体" w:hAnsi="宋体" w:cs="Arial"/>
                <w:color w:val="auto"/>
                <w:sz w:val="18"/>
                <w:szCs w:val="18"/>
              </w:rPr>
            </w:pPr>
            <w:r>
              <w:rPr>
                <w:rFonts w:hint="eastAsia" w:ascii="宋体" w:hAnsi="宋体" w:cs="Arial"/>
                <w:color w:val="auto"/>
                <w:sz w:val="18"/>
                <w:szCs w:val="18"/>
              </w:rPr>
              <w:t>水压模拟体验安全培训产品，配备 1：1 逃生舱与智能阻力系统，可模拟 30cm、60cm、80cm 水深对应的水压，体验者能尝试不同水位下的推门阻力；</w:t>
            </w:r>
          </w:p>
          <w:p w14:paraId="1E966C4A">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软件整合了汽车落水安全知识科普、虚拟水位车门阻力体验功能，能通过操作安全锤 “砸碎” 模拟车窗的显示屏完成逃生挑战，全程通过 “知识学习→虚实体验→实操演练”让体验者掌握汽车落水后的科学自救方法。</w:t>
            </w:r>
          </w:p>
          <w:p w14:paraId="2565D17C">
            <w:pPr>
              <w:widowControl/>
              <w:spacing w:line="400" w:lineRule="exact"/>
              <w:jc w:val="left"/>
              <w:rPr>
                <w:rFonts w:ascii="宋体" w:hAnsi="宋体" w:cs="Arial"/>
                <w:color w:val="auto"/>
                <w:sz w:val="18"/>
                <w:szCs w:val="18"/>
              </w:rPr>
            </w:pPr>
          </w:p>
          <w:p w14:paraId="1600F297">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1.触控一体机，屏幕尺寸≥18.5英寸，分辨率≥1366*768，响应时间＜3ms，亮度≥250cd/m²，屏幕硬度＞6H；</w:t>
            </w:r>
          </w:p>
          <w:p w14:paraId="3DBAC9F2">
            <w:pPr>
              <w:widowControl/>
              <w:spacing w:line="400" w:lineRule="exact"/>
              <w:jc w:val="left"/>
              <w:rPr>
                <w:rFonts w:ascii="宋体" w:hAnsi="宋体" w:cs="Arial"/>
                <w:color w:val="auto"/>
                <w:sz w:val="18"/>
                <w:szCs w:val="18"/>
              </w:rPr>
            </w:pPr>
            <w:r>
              <w:rPr>
                <w:rFonts w:hint="eastAsia" w:ascii="宋体" w:hAnsi="宋体" w:cs="Arial"/>
                <w:color w:val="auto"/>
                <w:sz w:val="18"/>
                <w:szCs w:val="18"/>
              </w:rPr>
              <w:t>2.液压杆及智能阻力系统：能模拟30cm、60cm、80cm水深对应的推门阻力；</w:t>
            </w:r>
          </w:p>
          <w:p w14:paraId="1C648BE4">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3.配备救生锤；灯带：LED蓝色灯带；水雾机：雾化喷水能与控制系统实现联动；</w:t>
            </w:r>
          </w:p>
          <w:p w14:paraId="2C74A48C">
            <w:pPr>
              <w:widowControl/>
              <w:spacing w:line="400" w:lineRule="exact"/>
              <w:jc w:val="left"/>
              <w:rPr>
                <w:rFonts w:ascii="宋体" w:hAnsi="宋体" w:cs="Arial"/>
                <w:color w:val="auto"/>
                <w:sz w:val="18"/>
                <w:szCs w:val="18"/>
              </w:rPr>
            </w:pPr>
            <w:r>
              <w:rPr>
                <w:rFonts w:hint="eastAsia" w:ascii="宋体" w:hAnsi="宋体" w:cs="Arial"/>
                <w:color w:val="auto"/>
                <w:sz w:val="18"/>
                <w:szCs w:val="18"/>
              </w:rPr>
              <w:t>4.仿真逃生舱：仿真汽车座舱造型，包含驾驶位及车门结构，支持与液压阻力系统、声光特效装置联动。</w:t>
            </w:r>
          </w:p>
        </w:tc>
        <w:tc>
          <w:tcPr>
            <w:tcW w:w="900" w:type="dxa"/>
            <w:tcBorders>
              <w:top w:val="nil"/>
              <w:left w:val="nil"/>
              <w:bottom w:val="single" w:color="auto" w:sz="4" w:space="0"/>
              <w:right w:val="single" w:color="auto" w:sz="4" w:space="0"/>
            </w:tcBorders>
            <w:vAlign w:val="center"/>
          </w:tcPr>
          <w:p w14:paraId="11D94C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8623CF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BFCD26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9043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B7901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模拟烟雾逃生体验系统</w:t>
            </w:r>
          </w:p>
        </w:tc>
        <w:tc>
          <w:tcPr>
            <w:tcW w:w="5717" w:type="dxa"/>
            <w:tcBorders>
              <w:top w:val="nil"/>
              <w:left w:val="nil"/>
              <w:bottom w:val="single" w:color="auto" w:sz="4" w:space="0"/>
              <w:right w:val="single" w:color="auto" w:sz="4" w:space="0"/>
            </w:tcBorders>
            <w:vAlign w:val="center"/>
          </w:tcPr>
          <w:p w14:paraId="2B3E8407">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系统由视频学习、火灾警示、火灾演练等组成；可通过视频向体验者科普火灾逃生方法、展示现实生活中的火灾事故案例；配备3D 场景逃生体验功能，可让体验者以逃生者视角参与演练，逃生过程中辅以对应问题，实现边逃生边答题；配备实景互动体验功能，搭配真实搭建的逃生通道场景，配备烟雾机、火焰模拟装置、应急灯等设备，具备逃生物品选择、限时逃生功能，支持体验者选择合适逃生物品，并在90 秒规定时间内完成逃生任务；具备软硬件联动功能，内置限高感应灯、手动报警按钮、电梯开门按钮等设备，可与软件内容实时联动；具备自动评分功能，逃生结束后系统可自动为体验者生成逃生成绩。</w:t>
            </w:r>
          </w:p>
          <w:p w14:paraId="1229E913">
            <w:pPr>
              <w:widowControl/>
              <w:spacing w:line="400" w:lineRule="exact"/>
              <w:jc w:val="left"/>
              <w:rPr>
                <w:rFonts w:ascii="宋体" w:hAnsi="宋体" w:cs="Arial"/>
                <w:color w:val="auto"/>
                <w:sz w:val="18"/>
                <w:szCs w:val="18"/>
              </w:rPr>
            </w:pPr>
          </w:p>
          <w:p w14:paraId="4D58BB2A">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1.展示系统：LCD显示屏，屏幕尺寸≥55英寸，比例支持16：9，刷新率≥144Hz，响应＜9.5ms；CPU≥四核，内存≥3GB，存储≥64GB；接口配备：≥2个USB接口，≥2个HDMI2.0接口；配套展示信息。</w:t>
            </w:r>
          </w:p>
          <w:p w14:paraId="093460A8">
            <w:pPr>
              <w:widowControl/>
              <w:spacing w:line="400" w:lineRule="exact"/>
              <w:jc w:val="left"/>
              <w:rPr>
                <w:rFonts w:ascii="宋体" w:hAnsi="宋体" w:cs="Arial"/>
                <w:color w:val="auto"/>
                <w:sz w:val="18"/>
                <w:szCs w:val="18"/>
              </w:rPr>
            </w:pPr>
            <w:r>
              <w:rPr>
                <w:rFonts w:hint="eastAsia" w:ascii="宋体" w:hAnsi="宋体" w:cs="Arial"/>
                <w:color w:val="auto"/>
                <w:sz w:val="18"/>
                <w:szCs w:val="18"/>
              </w:rPr>
              <w:t>2.电容触摸屏：电容触摸屏，配备≥4mm钢化防爆玻璃，屏幕尺寸≥43英寸，分辨率≥1920*1080，亮度≥300cd/m²，响应＜9.5ms；</w:t>
            </w:r>
          </w:p>
          <w:p w14:paraId="1B645570">
            <w:pPr>
              <w:widowControl/>
              <w:spacing w:line="400" w:lineRule="exact"/>
              <w:jc w:val="left"/>
              <w:rPr>
                <w:rFonts w:ascii="宋体" w:hAnsi="宋体" w:cs="Arial"/>
                <w:color w:val="auto"/>
                <w:sz w:val="18"/>
                <w:szCs w:val="18"/>
              </w:rPr>
            </w:pPr>
            <w:r>
              <w:rPr>
                <w:rFonts w:hint="eastAsia" w:ascii="宋体" w:hAnsi="宋体" w:cs="Arial"/>
                <w:color w:val="auto"/>
                <w:sz w:val="18"/>
                <w:szCs w:val="18"/>
              </w:rPr>
              <w:t>3.控制主机，CPU≥四核，内存≥8GB，硬盘≥256GB；</w:t>
            </w:r>
          </w:p>
          <w:p w14:paraId="2C2FDA9E">
            <w:pPr>
              <w:widowControl/>
              <w:spacing w:line="400" w:lineRule="exact"/>
              <w:jc w:val="left"/>
              <w:rPr>
                <w:rFonts w:ascii="宋体" w:hAnsi="宋体" w:cs="Arial"/>
                <w:color w:val="auto"/>
                <w:sz w:val="18"/>
                <w:szCs w:val="18"/>
              </w:rPr>
            </w:pPr>
            <w:r>
              <w:rPr>
                <w:rFonts w:hint="eastAsia" w:ascii="宋体" w:hAnsi="宋体" w:cs="Arial"/>
                <w:color w:val="auto"/>
                <w:sz w:val="18"/>
                <w:szCs w:val="18"/>
              </w:rPr>
              <w:t>4.环境模拟设备：烟雾发生器*2套；火焰发生器*1套：配备LED红灯珠、蓝灯珠；限高灯组*1套：配备光学透镜，激光管芯功率符合200mw-500mw；红外检测装置*4套：红外距离符合10-100m；多功能应急灯*3套：应急灯+疏散标识，应急时间≥90分钟；监控系统：摄像机*3套、存储装置*1套：NVR网络硬盘录像机，可接入4路，配备1T监控硬盘；手动报警器*1套；语音播报器*1套：声道支持2.1，接口配备音频AUX。</w:t>
            </w:r>
          </w:p>
        </w:tc>
        <w:tc>
          <w:tcPr>
            <w:tcW w:w="900" w:type="dxa"/>
            <w:tcBorders>
              <w:top w:val="nil"/>
              <w:left w:val="nil"/>
              <w:bottom w:val="single" w:color="auto" w:sz="4" w:space="0"/>
              <w:right w:val="single" w:color="auto" w:sz="4" w:space="0"/>
            </w:tcBorders>
            <w:vAlign w:val="center"/>
          </w:tcPr>
          <w:p w14:paraId="42E2B8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EBE0C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6B6049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20CE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0EA875F8">
            <w:pPr>
              <w:widowControl/>
              <w:spacing w:line="400" w:lineRule="exact"/>
              <w:jc w:val="center"/>
              <w:rPr>
                <w:rFonts w:ascii="宋体" w:hAnsi="宋体" w:cs="Arial"/>
                <w:color w:val="auto"/>
                <w:sz w:val="18"/>
                <w:szCs w:val="18"/>
              </w:rPr>
            </w:pPr>
            <w:r>
              <w:rPr>
                <w:rFonts w:hint="eastAsia" w:ascii="宋体" w:hAnsi="宋体" w:cs="Arial"/>
                <w:color w:val="auto"/>
                <w:sz w:val="18"/>
                <w:szCs w:val="18"/>
              </w:rPr>
              <w:t>VR 应急逃生训练站</w:t>
            </w:r>
          </w:p>
        </w:tc>
        <w:tc>
          <w:tcPr>
            <w:tcW w:w="5717" w:type="dxa"/>
            <w:tcBorders>
              <w:top w:val="nil"/>
              <w:left w:val="nil"/>
              <w:bottom w:val="single" w:color="auto" w:sz="4" w:space="0"/>
              <w:right w:val="single" w:color="auto" w:sz="4" w:space="0"/>
            </w:tcBorders>
            <w:vAlign w:val="center"/>
          </w:tcPr>
          <w:p w14:paraId="552BE0C1">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VR头盔、演示终端、电视，以及3D自然灾害处置训练场景，可通过虚拟现实技术还原对应灾害真实场景，模拟复杂突发情况；场景体验时长8~12分钟，在较短时间内使体验者学习正确知识；支持体感识别，支持空间位置感应，支持体验中多场景自由行走、移动。</w:t>
            </w:r>
          </w:p>
          <w:p w14:paraId="146E2547">
            <w:pPr>
              <w:widowControl/>
              <w:spacing w:line="400" w:lineRule="exact"/>
              <w:jc w:val="left"/>
              <w:rPr>
                <w:rFonts w:ascii="宋体" w:hAnsi="宋体" w:cs="Arial"/>
                <w:color w:val="auto"/>
                <w:sz w:val="18"/>
                <w:szCs w:val="18"/>
              </w:rPr>
            </w:pPr>
            <w:r>
              <w:rPr>
                <w:rFonts w:hint="eastAsia" w:ascii="宋体" w:hAnsi="宋体" w:cs="Arial"/>
                <w:color w:val="auto"/>
                <w:sz w:val="18"/>
                <w:szCs w:val="18"/>
              </w:rPr>
              <w:t>1.演示终端，内存≥6GB，存储≥128GB；</w:t>
            </w:r>
          </w:p>
          <w:p w14:paraId="5ED2218D">
            <w:pPr>
              <w:widowControl/>
              <w:spacing w:line="400" w:lineRule="exact"/>
              <w:jc w:val="left"/>
              <w:rPr>
                <w:rFonts w:hint="eastAsia" w:ascii="宋体" w:hAnsi="宋体" w:cs="Arial"/>
                <w:color w:val="auto"/>
                <w:sz w:val="18"/>
                <w:szCs w:val="18"/>
              </w:rPr>
            </w:pPr>
            <w:r>
              <w:rPr>
                <w:rFonts w:hint="eastAsia" w:ascii="宋体" w:hAnsi="宋体" w:cs="Arial"/>
                <w:color w:val="auto"/>
                <w:sz w:val="18"/>
                <w:szCs w:val="18"/>
              </w:rPr>
              <w:t>2.展示系统≥85英寸，屏幕比例约16：9，内存≥3GB，存储≥64GB；配套展示场景。</w:t>
            </w:r>
          </w:p>
          <w:p w14:paraId="35BD5297">
            <w:pPr>
              <w:widowControl/>
              <w:spacing w:line="400" w:lineRule="exact"/>
              <w:jc w:val="left"/>
              <w:rPr>
                <w:rFonts w:ascii="宋体" w:hAnsi="宋体" w:cs="Arial"/>
                <w:color w:val="auto"/>
                <w:sz w:val="18"/>
                <w:szCs w:val="18"/>
              </w:rPr>
            </w:pPr>
            <w:r>
              <w:rPr>
                <w:rFonts w:hint="eastAsia" w:ascii="宋体" w:hAnsi="宋体" w:cs="Arial"/>
                <w:color w:val="auto"/>
                <w:sz w:val="18"/>
                <w:szCs w:val="18"/>
              </w:rPr>
              <w:t>3.VR头盔≥10台，内存≥6GB，存储≥256G，分辨率≥3664*1920，视场角≥98º，支持物理瞳距调节；配备9轴传感器，前置摄像头以及鱼眼摄像头，支持头部 6DoF 定位；配备6DoF体感手柄，支持光学定位，配备线性振动马达；内置扬声器。</w:t>
            </w:r>
          </w:p>
          <w:p w14:paraId="5DD80F0B">
            <w:pPr>
              <w:widowControl/>
              <w:spacing w:line="400" w:lineRule="exact"/>
              <w:jc w:val="left"/>
              <w:rPr>
                <w:rFonts w:ascii="宋体" w:hAnsi="宋体" w:cs="Arial"/>
                <w:color w:val="auto"/>
                <w:sz w:val="18"/>
                <w:szCs w:val="18"/>
              </w:rPr>
            </w:pPr>
          </w:p>
          <w:p w14:paraId="7DD0160F">
            <w:pPr>
              <w:widowControl/>
              <w:spacing w:line="400" w:lineRule="exact"/>
              <w:jc w:val="left"/>
              <w:rPr>
                <w:rFonts w:ascii="宋体" w:hAnsi="宋体" w:cs="Arial"/>
                <w:color w:val="auto"/>
                <w:sz w:val="18"/>
                <w:szCs w:val="18"/>
              </w:rPr>
            </w:pPr>
            <w:r>
              <w:rPr>
                <w:rFonts w:hint="eastAsia" w:ascii="宋体" w:hAnsi="宋体" w:cs="Arial"/>
                <w:color w:val="auto"/>
                <w:sz w:val="18"/>
                <w:szCs w:val="18"/>
              </w:rPr>
              <w:t>1.台风避险场景</w:t>
            </w:r>
          </w:p>
          <w:p w14:paraId="05BA40A5">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(1).包含知识科普和情景模拟等板块内容；</w:t>
            </w:r>
          </w:p>
          <w:p w14:paraId="43A532F8">
            <w:pPr>
              <w:widowControl/>
              <w:spacing w:line="400" w:lineRule="exact"/>
              <w:jc w:val="left"/>
              <w:rPr>
                <w:rFonts w:ascii="宋体" w:hAnsi="宋体" w:cs="Arial"/>
                <w:color w:val="auto"/>
                <w:sz w:val="18"/>
                <w:szCs w:val="18"/>
              </w:rPr>
            </w:pPr>
            <w:r>
              <w:rPr>
                <w:rFonts w:hint="eastAsia" w:ascii="宋体" w:hAnsi="宋体" w:cs="Arial"/>
                <w:color w:val="auto"/>
                <w:sz w:val="18"/>
                <w:szCs w:val="18"/>
              </w:rPr>
              <w:t>(2).知识科普板块有热带气旋生成动画、蓝色预警、橙色预警、黄色预警、红色预警时对应的天气预兆动画；</w:t>
            </w:r>
          </w:p>
          <w:p w14:paraId="49F3156B">
            <w:pPr>
              <w:widowControl/>
              <w:spacing w:line="400" w:lineRule="exact"/>
              <w:jc w:val="left"/>
              <w:rPr>
                <w:rFonts w:ascii="宋体" w:hAnsi="宋体" w:cs="Arial"/>
                <w:color w:val="auto"/>
                <w:sz w:val="18"/>
                <w:szCs w:val="18"/>
              </w:rPr>
            </w:pPr>
            <w:r>
              <w:rPr>
                <w:rFonts w:hint="eastAsia" w:ascii="宋体" w:hAnsi="宋体" w:cs="Arial"/>
                <w:color w:val="auto"/>
                <w:sz w:val="18"/>
                <w:szCs w:val="18"/>
              </w:rPr>
              <w:t>(3).情景模拟板块分为室外避险和室内避险等板块，体验者可通过交互学习台风相应知识；</w:t>
            </w:r>
          </w:p>
          <w:p w14:paraId="6F3592CC">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(4).支持学习台风登陆前如关紧门窗、收拾阳台杂物、准备好物资、贴米字贴等台风登录前应急知识点；</w:t>
            </w:r>
          </w:p>
          <w:p w14:paraId="39874805">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(5).支持学习台风登录时在户外不要站在广告牌下、不要站在大树下、寻找应急避难场所、避开触电水域等应急知识点；</w:t>
            </w:r>
          </w:p>
          <w:p w14:paraId="3646260D">
            <w:pPr>
              <w:widowControl/>
              <w:spacing w:line="400" w:lineRule="exact"/>
              <w:jc w:val="left"/>
              <w:rPr>
                <w:rFonts w:ascii="宋体" w:hAnsi="宋体" w:cs="Arial"/>
                <w:color w:val="auto"/>
                <w:sz w:val="18"/>
                <w:szCs w:val="18"/>
              </w:rPr>
            </w:pPr>
            <w:r>
              <w:rPr>
                <w:rFonts w:hint="eastAsia" w:ascii="宋体" w:hAnsi="宋体" w:cs="Arial"/>
                <w:color w:val="auto"/>
                <w:sz w:val="18"/>
                <w:szCs w:val="18"/>
              </w:rPr>
              <w:t>(6).将射线对准需要交互的位置并扣动扳机键即可交互；</w:t>
            </w:r>
          </w:p>
          <w:p w14:paraId="608533A9">
            <w:pPr>
              <w:widowControl/>
              <w:spacing w:line="400" w:lineRule="exact"/>
              <w:jc w:val="left"/>
              <w:rPr>
                <w:rFonts w:ascii="宋体" w:hAnsi="宋体" w:cs="Arial"/>
                <w:color w:val="auto"/>
                <w:sz w:val="18"/>
                <w:szCs w:val="18"/>
              </w:rPr>
            </w:pPr>
            <w:r>
              <w:rPr>
                <w:rFonts w:hint="eastAsia" w:ascii="宋体" w:hAnsi="宋体" w:cs="Arial"/>
                <w:color w:val="auto"/>
                <w:sz w:val="18"/>
                <w:szCs w:val="18"/>
              </w:rPr>
              <w:t>(7).场景体验时长8~12分钟，在较短时间内使体验者学习正确知识；</w:t>
            </w:r>
          </w:p>
          <w:p w14:paraId="4EBBB505">
            <w:pPr>
              <w:widowControl/>
              <w:spacing w:line="400" w:lineRule="exact"/>
              <w:jc w:val="left"/>
              <w:rPr>
                <w:rFonts w:ascii="宋体" w:hAnsi="宋体" w:cs="Arial"/>
                <w:color w:val="auto"/>
                <w:sz w:val="18"/>
                <w:szCs w:val="18"/>
              </w:rPr>
            </w:pPr>
            <w:r>
              <w:rPr>
                <w:rFonts w:hint="eastAsia" w:ascii="宋体" w:hAnsi="宋体" w:cs="Arial"/>
                <w:color w:val="auto"/>
                <w:sz w:val="18"/>
                <w:szCs w:val="18"/>
              </w:rPr>
              <w:t>(8).支持体感识别，支持空间位置感应，支持体验中多场景自由行走、移动。</w:t>
            </w:r>
          </w:p>
          <w:p w14:paraId="666C9E14">
            <w:pPr>
              <w:widowControl/>
              <w:spacing w:line="400" w:lineRule="exact"/>
              <w:jc w:val="left"/>
              <w:rPr>
                <w:rFonts w:ascii="宋体" w:hAnsi="宋体" w:cs="Arial"/>
                <w:color w:val="auto"/>
                <w:sz w:val="18"/>
                <w:szCs w:val="18"/>
              </w:rPr>
            </w:pPr>
          </w:p>
          <w:p w14:paraId="4AF35E14">
            <w:pPr>
              <w:widowControl/>
              <w:spacing w:line="400" w:lineRule="exact"/>
              <w:jc w:val="left"/>
              <w:rPr>
                <w:rFonts w:ascii="宋体" w:hAnsi="宋体" w:cs="Arial"/>
                <w:color w:val="auto"/>
                <w:sz w:val="18"/>
                <w:szCs w:val="18"/>
              </w:rPr>
            </w:pPr>
            <w:r>
              <w:rPr>
                <w:rFonts w:hint="eastAsia" w:ascii="宋体" w:hAnsi="宋体" w:cs="Arial"/>
                <w:color w:val="auto"/>
                <w:sz w:val="18"/>
                <w:szCs w:val="18"/>
              </w:rPr>
              <w:t>2.暴雨避险场景</w:t>
            </w:r>
          </w:p>
          <w:p w14:paraId="73E4E50F">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(1).包含知识科普和情景模拟等板块内容；</w:t>
            </w:r>
          </w:p>
          <w:p w14:paraId="0B1479EF">
            <w:pPr>
              <w:widowControl/>
              <w:spacing w:line="400" w:lineRule="exact"/>
              <w:jc w:val="left"/>
              <w:rPr>
                <w:rFonts w:ascii="宋体" w:hAnsi="宋体" w:cs="Arial"/>
                <w:color w:val="auto"/>
                <w:sz w:val="18"/>
                <w:szCs w:val="18"/>
              </w:rPr>
            </w:pPr>
            <w:r>
              <w:rPr>
                <w:rFonts w:hint="eastAsia" w:ascii="宋体" w:hAnsi="宋体" w:cs="Arial"/>
                <w:color w:val="auto"/>
                <w:sz w:val="18"/>
                <w:szCs w:val="18"/>
              </w:rPr>
              <w:t>(2).知识科普板块有暴雨蓝色预警、橙色预警、黄色预警、红色预警的相应概念介绍和对应的预警信号图标；</w:t>
            </w:r>
          </w:p>
          <w:p w14:paraId="47846776">
            <w:pPr>
              <w:widowControl/>
              <w:spacing w:line="400" w:lineRule="exact"/>
              <w:jc w:val="left"/>
              <w:rPr>
                <w:rFonts w:ascii="宋体" w:hAnsi="宋体" w:cs="Arial"/>
                <w:color w:val="auto"/>
                <w:sz w:val="18"/>
                <w:szCs w:val="18"/>
              </w:rPr>
            </w:pPr>
            <w:r>
              <w:rPr>
                <w:rFonts w:hint="eastAsia" w:ascii="宋体" w:hAnsi="宋体" w:cs="Arial"/>
                <w:color w:val="auto"/>
                <w:sz w:val="18"/>
                <w:szCs w:val="18"/>
              </w:rPr>
              <w:t>(3).情景模拟板块板块支持体验依次体验室内、户外、驾车等场景的暴雨避险体验；</w:t>
            </w:r>
          </w:p>
          <w:p w14:paraId="3F830080">
            <w:pPr>
              <w:widowControl/>
              <w:spacing w:line="400" w:lineRule="exact"/>
              <w:jc w:val="left"/>
              <w:rPr>
                <w:rFonts w:ascii="宋体" w:hAnsi="宋体" w:cs="Arial"/>
                <w:color w:val="auto"/>
                <w:sz w:val="18"/>
                <w:szCs w:val="18"/>
              </w:rPr>
            </w:pPr>
            <w:r>
              <w:rPr>
                <w:rFonts w:hint="eastAsia" w:ascii="宋体" w:hAnsi="宋体" w:cs="Arial"/>
                <w:color w:val="auto"/>
                <w:sz w:val="18"/>
                <w:szCs w:val="18"/>
              </w:rPr>
              <w:t>(4).支持学习暴雨室内避险关闭门窗、远离金属管道、关闭电闸、燃气开光等知识点，并与之参与互动；</w:t>
            </w:r>
          </w:p>
          <w:p w14:paraId="4C715BA6">
            <w:pPr>
              <w:widowControl/>
              <w:spacing w:line="400" w:lineRule="exact"/>
              <w:jc w:val="left"/>
              <w:rPr>
                <w:rFonts w:ascii="宋体" w:hAnsi="宋体" w:cs="Arial"/>
                <w:color w:val="auto"/>
                <w:sz w:val="18"/>
                <w:szCs w:val="18"/>
              </w:rPr>
            </w:pPr>
            <w:r>
              <w:rPr>
                <w:rFonts w:hint="eastAsia" w:ascii="宋体" w:hAnsi="宋体" w:cs="Arial"/>
                <w:color w:val="auto"/>
                <w:sz w:val="18"/>
                <w:szCs w:val="18"/>
              </w:rPr>
              <w:t>(5).支持户外暴雨避险避开积水区域、积水旋涡区域、高空路牌区域等；</w:t>
            </w:r>
          </w:p>
          <w:p w14:paraId="298FD944">
            <w:pPr>
              <w:widowControl/>
              <w:spacing w:line="400" w:lineRule="exact"/>
              <w:jc w:val="left"/>
              <w:rPr>
                <w:rFonts w:ascii="宋体" w:hAnsi="宋体" w:cs="Arial"/>
                <w:color w:val="auto"/>
                <w:sz w:val="18"/>
                <w:szCs w:val="18"/>
              </w:rPr>
            </w:pPr>
            <w:r>
              <w:rPr>
                <w:rFonts w:hint="eastAsia" w:ascii="宋体" w:hAnsi="宋体" w:cs="Arial"/>
                <w:color w:val="auto"/>
                <w:sz w:val="18"/>
                <w:szCs w:val="18"/>
              </w:rPr>
              <w:t>(6).支持驾车遇到暴雨时涉水逃生等情景体验。</w:t>
            </w:r>
          </w:p>
          <w:p w14:paraId="15A1FD08">
            <w:pPr>
              <w:widowControl/>
              <w:spacing w:line="400" w:lineRule="exact"/>
              <w:jc w:val="left"/>
              <w:rPr>
                <w:rFonts w:ascii="宋体" w:hAnsi="宋体" w:cs="Arial"/>
                <w:color w:val="auto"/>
                <w:sz w:val="18"/>
                <w:szCs w:val="18"/>
              </w:rPr>
            </w:pPr>
          </w:p>
          <w:p w14:paraId="56A39001">
            <w:pPr>
              <w:widowControl/>
              <w:spacing w:line="400" w:lineRule="exact"/>
              <w:jc w:val="left"/>
              <w:rPr>
                <w:rFonts w:ascii="宋体" w:hAnsi="宋体" w:cs="Arial"/>
                <w:color w:val="auto"/>
                <w:sz w:val="18"/>
                <w:szCs w:val="18"/>
              </w:rPr>
            </w:pPr>
            <w:r>
              <w:rPr>
                <w:rFonts w:hint="eastAsia" w:ascii="宋体" w:hAnsi="宋体" w:cs="Arial"/>
                <w:color w:val="auto"/>
                <w:sz w:val="18"/>
                <w:szCs w:val="18"/>
              </w:rPr>
              <w:t>3.洪涝避险场景</w:t>
            </w:r>
          </w:p>
          <w:p w14:paraId="17164636">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(1).包含室内室外两个场景；</w:t>
            </w:r>
          </w:p>
          <w:p w14:paraId="56078714">
            <w:pPr>
              <w:widowControl/>
              <w:spacing w:line="400" w:lineRule="exact"/>
              <w:jc w:val="left"/>
              <w:rPr>
                <w:rFonts w:ascii="宋体" w:hAnsi="宋体" w:cs="Arial"/>
                <w:color w:val="auto"/>
                <w:sz w:val="18"/>
                <w:szCs w:val="18"/>
              </w:rPr>
            </w:pPr>
            <w:r>
              <w:rPr>
                <w:rFonts w:hint="eastAsia" w:ascii="宋体" w:hAnsi="宋体" w:cs="Arial"/>
                <w:color w:val="auto"/>
                <w:sz w:val="18"/>
                <w:szCs w:val="18"/>
              </w:rPr>
              <w:t>(2).室内场景学习洪涝来临前的自救逃生知识；室外场景学习洪涝来临时的应急逃生知识；</w:t>
            </w:r>
          </w:p>
          <w:p w14:paraId="1C6BFF31">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(3).支持学习洪涝来临前关闭电闸燃气阀、带上正确的求生物品、吃高热量食物等知识点；</w:t>
            </w:r>
          </w:p>
          <w:p w14:paraId="3A3792A3">
            <w:pPr>
              <w:widowControl/>
              <w:spacing w:line="400" w:lineRule="exact"/>
              <w:jc w:val="left"/>
              <w:rPr>
                <w:rFonts w:ascii="宋体" w:hAnsi="宋体" w:cs="Arial"/>
                <w:color w:val="auto"/>
                <w:sz w:val="18"/>
                <w:szCs w:val="18"/>
              </w:rPr>
            </w:pPr>
            <w:r>
              <w:rPr>
                <w:rFonts w:hint="eastAsia" w:ascii="宋体" w:hAnsi="宋体" w:cs="Arial"/>
                <w:color w:val="auto"/>
                <w:sz w:val="18"/>
                <w:szCs w:val="18"/>
              </w:rPr>
              <w:t>(4).室外逃生共有不独自涉水、远离触电水域、木筏转移、木棍探水、高地呼救等学习场景。</w:t>
            </w:r>
          </w:p>
          <w:p w14:paraId="26EC01A9">
            <w:pPr>
              <w:widowControl/>
              <w:spacing w:line="400" w:lineRule="exact"/>
              <w:jc w:val="left"/>
              <w:rPr>
                <w:rFonts w:ascii="宋体" w:hAnsi="宋体" w:cs="Arial"/>
                <w:color w:val="auto"/>
                <w:sz w:val="18"/>
                <w:szCs w:val="18"/>
              </w:rPr>
            </w:pPr>
          </w:p>
          <w:p w14:paraId="2C7B4AAE">
            <w:pPr>
              <w:widowControl/>
              <w:spacing w:line="400" w:lineRule="exact"/>
              <w:jc w:val="left"/>
              <w:rPr>
                <w:rFonts w:ascii="宋体" w:hAnsi="宋体" w:cs="Arial"/>
                <w:color w:val="auto"/>
                <w:sz w:val="18"/>
                <w:szCs w:val="18"/>
              </w:rPr>
            </w:pPr>
            <w:r>
              <w:rPr>
                <w:rFonts w:hint="eastAsia" w:ascii="宋体" w:hAnsi="宋体" w:cs="Arial"/>
                <w:color w:val="auto"/>
                <w:sz w:val="18"/>
                <w:szCs w:val="18"/>
              </w:rPr>
              <w:t>4.泥石流避险场景</w:t>
            </w:r>
          </w:p>
          <w:p w14:paraId="6668A78F">
            <w:pPr>
              <w:widowControl/>
              <w:spacing w:line="400" w:lineRule="exact"/>
              <w:jc w:val="left"/>
              <w:rPr>
                <w:rFonts w:ascii="宋体" w:hAnsi="宋体" w:cs="Arial"/>
                <w:color w:val="auto"/>
                <w:sz w:val="18"/>
                <w:szCs w:val="18"/>
              </w:rPr>
            </w:pPr>
            <w:r>
              <w:rPr>
                <w:rFonts w:hint="eastAsia" w:ascii="宋体" w:hAnsi="宋体" w:cs="Arial"/>
                <w:color w:val="auto"/>
                <w:sz w:val="18"/>
                <w:szCs w:val="18"/>
              </w:rPr>
              <w:t>(1).真实还原泥石流发生场景，学习泥石流避险知识，有7个泥石流避险知识点，如泥石流发生前的火车轰鸣声、逃生时尽量拿上衣物、向沟谷两侧山坡或高地跑等应急逃生知识；</w:t>
            </w:r>
          </w:p>
          <w:p w14:paraId="54034582">
            <w:pPr>
              <w:widowControl/>
              <w:spacing w:line="400" w:lineRule="exact"/>
              <w:jc w:val="left"/>
              <w:rPr>
                <w:rFonts w:ascii="宋体" w:hAnsi="宋体" w:cs="Arial"/>
                <w:color w:val="auto"/>
                <w:sz w:val="18"/>
                <w:szCs w:val="18"/>
              </w:rPr>
            </w:pPr>
            <w:r>
              <w:rPr>
                <w:rFonts w:hint="eastAsia" w:ascii="宋体" w:hAnsi="宋体" w:cs="Arial"/>
                <w:color w:val="auto"/>
                <w:sz w:val="18"/>
                <w:szCs w:val="18"/>
              </w:rPr>
              <w:t>(2).支持每个知识点都配置灾害动画，如土地塌陷、滚石落下、树木被泥石流冲走、直升机救援，让每个知识点印象深刻。</w:t>
            </w:r>
          </w:p>
          <w:p w14:paraId="1E8C84BD">
            <w:pPr>
              <w:widowControl/>
              <w:spacing w:line="400" w:lineRule="exact"/>
              <w:jc w:val="left"/>
              <w:rPr>
                <w:rFonts w:ascii="宋体" w:hAnsi="宋体" w:cs="Arial"/>
                <w:color w:val="auto"/>
                <w:sz w:val="18"/>
                <w:szCs w:val="18"/>
              </w:rPr>
            </w:pPr>
          </w:p>
          <w:p w14:paraId="461ABD16">
            <w:pPr>
              <w:widowControl/>
              <w:spacing w:line="400" w:lineRule="exact"/>
              <w:jc w:val="left"/>
              <w:rPr>
                <w:rFonts w:ascii="宋体" w:hAnsi="宋体" w:cs="Arial"/>
                <w:color w:val="auto"/>
                <w:sz w:val="18"/>
                <w:szCs w:val="18"/>
              </w:rPr>
            </w:pPr>
            <w:r>
              <w:rPr>
                <w:rFonts w:hint="eastAsia" w:ascii="宋体" w:hAnsi="宋体" w:cs="Arial"/>
                <w:color w:val="auto"/>
                <w:sz w:val="18"/>
                <w:szCs w:val="18"/>
              </w:rPr>
              <w:t>5.雪灾避险场景</w:t>
            </w:r>
          </w:p>
          <w:p w14:paraId="1EAB4E99">
            <w:pPr>
              <w:widowControl/>
              <w:spacing w:line="400" w:lineRule="exact"/>
              <w:jc w:val="left"/>
              <w:rPr>
                <w:rFonts w:ascii="宋体" w:hAnsi="宋体" w:cs="Arial"/>
                <w:color w:val="auto"/>
                <w:sz w:val="18"/>
                <w:szCs w:val="18"/>
              </w:rPr>
            </w:pPr>
            <w:r>
              <w:rPr>
                <w:rFonts w:hint="eastAsia" w:ascii="宋体" w:hAnsi="宋体" w:cs="Arial"/>
                <w:color w:val="auto"/>
                <w:sz w:val="18"/>
                <w:szCs w:val="18"/>
              </w:rPr>
              <w:t>(1).包含雪灾的定义与分级、雪灾预警等级和雪灾危害与防护措施等内容板块；支持系统学习雪灾的知识和避险措施；</w:t>
            </w:r>
          </w:p>
          <w:p w14:paraId="04FBF293">
            <w:pPr>
              <w:widowControl/>
              <w:spacing w:line="400" w:lineRule="exact"/>
              <w:jc w:val="left"/>
              <w:rPr>
                <w:rFonts w:ascii="宋体" w:hAnsi="宋体" w:cs="Arial"/>
                <w:color w:val="auto"/>
                <w:sz w:val="18"/>
                <w:szCs w:val="18"/>
              </w:rPr>
            </w:pPr>
            <w:r>
              <w:rPr>
                <w:rFonts w:hint="eastAsia" w:ascii="宋体" w:hAnsi="宋体" w:cs="Arial"/>
                <w:color w:val="auto"/>
                <w:sz w:val="18"/>
                <w:szCs w:val="18"/>
              </w:rPr>
              <w:t>(2).雪灾定义与分级板块通过多媒体视频科普雪灾的相关知识点；</w:t>
            </w:r>
          </w:p>
          <w:p w14:paraId="18F43120">
            <w:pPr>
              <w:widowControl/>
              <w:spacing w:line="400" w:lineRule="exact"/>
              <w:jc w:val="left"/>
              <w:rPr>
                <w:rFonts w:ascii="宋体" w:hAnsi="宋体" w:cs="Arial"/>
                <w:color w:val="auto"/>
                <w:sz w:val="18"/>
                <w:szCs w:val="18"/>
              </w:rPr>
            </w:pPr>
            <w:r>
              <w:rPr>
                <w:rFonts w:hint="eastAsia" w:ascii="宋体" w:hAnsi="宋体" w:cs="Arial"/>
                <w:color w:val="auto"/>
                <w:sz w:val="18"/>
                <w:szCs w:val="18"/>
              </w:rPr>
              <w:t>(3).雪灾预警等级版块通过文字详解、图片展示与语音科普，多方面介绍不同预警信息的含义和防御指南等；</w:t>
            </w:r>
          </w:p>
          <w:p w14:paraId="7CADFF41">
            <w:pPr>
              <w:widowControl/>
              <w:spacing w:line="400" w:lineRule="exact"/>
              <w:jc w:val="left"/>
              <w:rPr>
                <w:rFonts w:ascii="宋体" w:hAnsi="宋体" w:cs="Arial"/>
                <w:color w:val="auto"/>
                <w:sz w:val="18"/>
                <w:szCs w:val="18"/>
              </w:rPr>
            </w:pPr>
            <w:r>
              <w:rPr>
                <w:rFonts w:hint="eastAsia" w:ascii="宋体" w:hAnsi="宋体" w:cs="Arial"/>
                <w:color w:val="auto"/>
                <w:sz w:val="18"/>
                <w:szCs w:val="18"/>
              </w:rPr>
              <w:t>(4).雪灾危害与防护措施板块分为雪灾事故事故选择模块、防护措施、雪灾案例等学习内容；</w:t>
            </w:r>
          </w:p>
          <w:p w14:paraId="6CDE895C">
            <w:pPr>
              <w:widowControl/>
              <w:spacing w:line="400" w:lineRule="exact"/>
              <w:jc w:val="left"/>
              <w:rPr>
                <w:rFonts w:ascii="宋体" w:hAnsi="宋体" w:cs="Arial"/>
                <w:color w:val="auto"/>
                <w:sz w:val="18"/>
                <w:szCs w:val="18"/>
              </w:rPr>
            </w:pPr>
            <w:r>
              <w:rPr>
                <w:rFonts w:hint="eastAsia" w:ascii="宋体" w:hAnsi="宋体" w:cs="Arial"/>
                <w:color w:val="auto"/>
                <w:sz w:val="18"/>
                <w:szCs w:val="18"/>
              </w:rPr>
              <w:t>a)灾事故事故选择模块通过高精度建模动画演示、文字详解与语音讲解等科普形式，全方位认识雪灾造成的电力中断、供水中断、交通伤亡事故、交通中断事故、对畜牧业的影响等危害；</w:t>
            </w:r>
          </w:p>
          <w:p w14:paraId="69FC08CC">
            <w:pPr>
              <w:widowControl/>
              <w:spacing w:line="400" w:lineRule="exact"/>
              <w:jc w:val="left"/>
              <w:rPr>
                <w:rFonts w:ascii="宋体" w:hAnsi="宋体" w:cs="Arial"/>
                <w:color w:val="auto"/>
                <w:sz w:val="18"/>
                <w:szCs w:val="18"/>
              </w:rPr>
            </w:pPr>
            <w:r>
              <w:rPr>
                <w:rFonts w:hint="eastAsia" w:ascii="宋体" w:hAnsi="宋体" w:cs="Arial"/>
                <w:color w:val="auto"/>
                <w:sz w:val="18"/>
                <w:szCs w:val="18"/>
              </w:rPr>
              <w:t>b)防护措施分为室内与室外两种雪灾场景，通过高精度动画情景模拟演示雪灾易引发的危险事件与安全防护措施，体验内容不少于不要外出、注意保暖、保持室内温度、防止摔伤、压垮建筑物、当心雪天路滑、自行车胎放气和高空坠物等知识点；</w:t>
            </w:r>
          </w:p>
          <w:p w14:paraId="32A53DC3">
            <w:pPr>
              <w:widowControl/>
              <w:spacing w:line="400" w:lineRule="exact"/>
              <w:jc w:val="left"/>
              <w:rPr>
                <w:rFonts w:ascii="宋体" w:hAnsi="宋体" w:cs="Arial"/>
                <w:color w:val="auto"/>
                <w:sz w:val="18"/>
                <w:szCs w:val="18"/>
              </w:rPr>
            </w:pPr>
            <w:r>
              <w:rPr>
                <w:rFonts w:hint="eastAsia" w:ascii="宋体" w:hAnsi="宋体" w:cs="Arial"/>
                <w:color w:val="auto"/>
                <w:sz w:val="18"/>
                <w:szCs w:val="18"/>
              </w:rPr>
              <w:t>c)雪灾案例通过图文与语音讲解科普近些年重大雪灾事件；</w:t>
            </w:r>
          </w:p>
          <w:p w14:paraId="6FC252E1">
            <w:pPr>
              <w:widowControl/>
              <w:spacing w:line="400" w:lineRule="exact"/>
              <w:jc w:val="left"/>
              <w:rPr>
                <w:rFonts w:ascii="宋体" w:hAnsi="宋体" w:cs="Arial"/>
                <w:color w:val="auto"/>
                <w:sz w:val="18"/>
                <w:szCs w:val="18"/>
              </w:rPr>
            </w:pPr>
            <w:r>
              <w:rPr>
                <w:rFonts w:hint="eastAsia" w:ascii="宋体" w:hAnsi="宋体" w:cs="Arial"/>
                <w:color w:val="auto"/>
                <w:sz w:val="18"/>
                <w:szCs w:val="18"/>
              </w:rPr>
              <w:t>(5).体验场景包含家庭、城市街景、雪天户外道路等场景建模；高精度建模不少于大楼、电塔、草场、牲畜、列车、水龙头、汽车、窗户、红绿灯、自行车等模型。</w:t>
            </w:r>
          </w:p>
        </w:tc>
        <w:tc>
          <w:tcPr>
            <w:tcW w:w="900" w:type="dxa"/>
            <w:tcBorders>
              <w:top w:val="nil"/>
              <w:left w:val="nil"/>
              <w:bottom w:val="single" w:color="auto" w:sz="4" w:space="0"/>
              <w:right w:val="single" w:color="auto" w:sz="4" w:space="0"/>
            </w:tcBorders>
            <w:vAlign w:val="center"/>
          </w:tcPr>
          <w:p w14:paraId="0CF26C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4B4810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部</w:t>
            </w:r>
          </w:p>
        </w:tc>
      </w:tr>
      <w:tr w14:paraId="6421F1B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FD9D8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34495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家庭避灾场景模拟</w:t>
            </w:r>
          </w:p>
        </w:tc>
        <w:tc>
          <w:tcPr>
            <w:tcW w:w="5717" w:type="dxa"/>
            <w:tcBorders>
              <w:top w:val="nil"/>
              <w:left w:val="nil"/>
              <w:bottom w:val="single" w:color="auto" w:sz="4" w:space="0"/>
              <w:right w:val="single" w:color="auto" w:sz="4" w:space="0"/>
            </w:tcBorders>
            <w:vAlign w:val="center"/>
          </w:tcPr>
          <w:p w14:paraId="7A1B53D3">
            <w:pPr>
              <w:widowControl/>
              <w:spacing w:line="400" w:lineRule="exact"/>
              <w:jc w:val="left"/>
              <w:rPr>
                <w:rFonts w:ascii="宋体" w:hAnsi="宋体" w:cs="Arial"/>
                <w:color w:val="auto"/>
                <w:sz w:val="18"/>
                <w:szCs w:val="18"/>
              </w:rPr>
            </w:pPr>
            <w:r>
              <w:rPr>
                <w:rFonts w:hint="eastAsia" w:ascii="宋体" w:hAnsi="宋体" w:cs="Arial"/>
                <w:color w:val="auto"/>
                <w:sz w:val="18"/>
                <w:szCs w:val="18"/>
              </w:rPr>
              <w:t>以“展板科普 + 实物互动”为核心形式，聚焦高层住宅火灾逃生、台风前物资筹备两大家庭高频应急场景，参观者可通过图文展板快速掌握知识要点，再结合实物道具进行模拟操作，直观掌握高层火灾时的逃生技巧、台风来临前的物资准备逻辑，兼顾认知普及与实操体验。</w:t>
            </w:r>
          </w:p>
          <w:p w14:paraId="0FD1F412">
            <w:pPr>
              <w:widowControl/>
              <w:spacing w:line="400" w:lineRule="exact"/>
              <w:jc w:val="left"/>
              <w:rPr>
                <w:rFonts w:ascii="宋体" w:hAnsi="宋体" w:cs="Arial"/>
                <w:color w:val="auto"/>
                <w:sz w:val="18"/>
                <w:szCs w:val="18"/>
              </w:rPr>
            </w:pPr>
          </w:p>
          <w:p w14:paraId="2FE042FB">
            <w:pPr>
              <w:widowControl/>
              <w:spacing w:line="400" w:lineRule="exact"/>
              <w:jc w:val="left"/>
              <w:rPr>
                <w:rFonts w:ascii="宋体" w:hAnsi="宋体" w:cs="Arial"/>
                <w:color w:val="auto"/>
                <w:sz w:val="18"/>
                <w:szCs w:val="18"/>
              </w:rPr>
            </w:pPr>
            <w:r>
              <w:rPr>
                <w:rFonts w:hint="eastAsia" w:ascii="宋体" w:hAnsi="宋体" w:cs="Arial"/>
                <w:color w:val="auto"/>
                <w:sz w:val="18"/>
                <w:szCs w:val="18"/>
              </w:rPr>
              <w:t>1.知识展板：涵盖高层火灾风险特点、安全逃生路径、防烟要点、逃生工具使用禁忌、电梯禁用警示，以及台风预警等级对应准备要点、家庭应急物资分类、物资储备标准、居家隐患排查清单等；</w:t>
            </w:r>
          </w:p>
          <w:p w14:paraId="60AC9B69">
            <w:pPr>
              <w:widowControl/>
              <w:spacing w:line="400" w:lineRule="exact"/>
              <w:jc w:val="left"/>
              <w:rPr>
                <w:rFonts w:ascii="宋体" w:hAnsi="宋体" w:cs="Arial"/>
                <w:color w:val="auto"/>
                <w:sz w:val="18"/>
                <w:szCs w:val="18"/>
              </w:rPr>
            </w:pPr>
            <w:r>
              <w:rPr>
                <w:rFonts w:hint="eastAsia" w:ascii="宋体" w:hAnsi="宋体" w:cs="Arial"/>
                <w:color w:val="auto"/>
                <w:sz w:val="18"/>
                <w:szCs w:val="18"/>
              </w:rPr>
              <w:t>高层火灾逃生知识展板：包含风险特点、安全逃生路径(楼梯间 / 避难层选择)、防烟要点(湿毛巾捂鼻 / 低姿前行)、逃生工具(缓降器 / 逃生绳)使用禁忌、电梯禁用警示；</w:t>
            </w:r>
          </w:p>
          <w:p w14:paraId="2E7EFF85">
            <w:pPr>
              <w:widowControl/>
              <w:spacing w:line="400" w:lineRule="exact"/>
              <w:jc w:val="left"/>
              <w:rPr>
                <w:rFonts w:ascii="宋体" w:hAnsi="宋体" w:cs="Arial"/>
                <w:color w:val="auto"/>
                <w:sz w:val="18"/>
                <w:szCs w:val="18"/>
              </w:rPr>
            </w:pPr>
            <w:r>
              <w:rPr>
                <w:rFonts w:hint="eastAsia" w:ascii="宋体" w:hAnsi="宋体" w:cs="Arial"/>
                <w:color w:val="auto"/>
                <w:sz w:val="18"/>
                <w:szCs w:val="18"/>
              </w:rPr>
              <w:t>台风来临前物资准备知识展板：包含台风预警等级对应准备要点、家庭应急物资分类(生活类 / 急救类 / 工具类)、物资储备标准(按家庭人数 / 滞留时长)、居家隐患排查清单等。</w:t>
            </w:r>
          </w:p>
          <w:p w14:paraId="584013BA">
            <w:pPr>
              <w:widowControl/>
              <w:spacing w:line="400" w:lineRule="exact"/>
              <w:jc w:val="left"/>
              <w:rPr>
                <w:rFonts w:ascii="宋体" w:hAnsi="宋体" w:cs="Arial"/>
                <w:color w:val="auto"/>
                <w:sz w:val="18"/>
                <w:szCs w:val="18"/>
              </w:rPr>
            </w:pPr>
            <w:r>
              <w:rPr>
                <w:rFonts w:hint="eastAsia" w:ascii="宋体" w:hAnsi="宋体" w:cs="Arial"/>
                <w:color w:val="auto"/>
                <w:sz w:val="18"/>
                <w:szCs w:val="18"/>
              </w:rPr>
              <w:t>2.实物应急物资：配备实物≥20项，如湿毛巾、简易防毒面罩、缓降器、逃生绳、饮用水、应急食品(压缩饼干 / 自热米饭)、急救包、手电筒、备用电源、防风胶带、防汛沙袋、灭火器、防火手套、安全口哨、应急逃生毯、防滑鞋套、门窗防风挡板、多功能工具钳、便携急救剪刀、反光警示背心等；</w:t>
            </w:r>
          </w:p>
          <w:p w14:paraId="091B7B26">
            <w:pPr>
              <w:widowControl/>
              <w:spacing w:line="400" w:lineRule="exact"/>
              <w:jc w:val="left"/>
              <w:rPr>
                <w:rFonts w:ascii="宋体" w:hAnsi="宋体" w:cs="Arial"/>
                <w:color w:val="auto"/>
                <w:sz w:val="18"/>
                <w:szCs w:val="18"/>
              </w:rPr>
            </w:pPr>
            <w:r>
              <w:rPr>
                <w:rFonts w:hint="eastAsia" w:ascii="宋体" w:hAnsi="宋体" w:cs="Arial"/>
                <w:color w:val="auto"/>
                <w:sz w:val="18"/>
                <w:szCs w:val="18"/>
              </w:rPr>
              <w:t>3.实物展示柜：1套，材质为冷轧碳钢薄板，表面经静电粉末喷涂高温固化处理。</w:t>
            </w:r>
          </w:p>
        </w:tc>
        <w:tc>
          <w:tcPr>
            <w:tcW w:w="900" w:type="dxa"/>
            <w:tcBorders>
              <w:top w:val="nil"/>
              <w:left w:val="nil"/>
              <w:bottom w:val="single" w:color="auto" w:sz="4" w:space="0"/>
              <w:right w:val="single" w:color="auto" w:sz="4" w:space="0"/>
            </w:tcBorders>
            <w:vAlign w:val="center"/>
          </w:tcPr>
          <w:p w14:paraId="7E5023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362E6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C675B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4319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7A2BA9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校园应急演练模拟</w:t>
            </w:r>
          </w:p>
        </w:tc>
        <w:tc>
          <w:tcPr>
            <w:tcW w:w="5717" w:type="dxa"/>
            <w:tcBorders>
              <w:top w:val="nil"/>
              <w:left w:val="nil"/>
              <w:bottom w:val="single" w:color="auto" w:sz="4" w:space="0"/>
              <w:right w:val="single" w:color="auto" w:sz="4" w:space="0"/>
            </w:tcBorders>
            <w:vAlign w:val="center"/>
          </w:tcPr>
          <w:p w14:paraId="4E009C49">
            <w:pPr>
              <w:widowControl/>
              <w:spacing w:line="400" w:lineRule="exact"/>
              <w:jc w:val="left"/>
              <w:rPr>
                <w:rFonts w:ascii="宋体" w:hAnsi="宋体" w:cs="Arial"/>
                <w:color w:val="auto"/>
                <w:sz w:val="18"/>
                <w:szCs w:val="18"/>
              </w:rPr>
            </w:pPr>
            <w:r>
              <w:rPr>
                <w:rFonts w:hint="eastAsia" w:ascii="宋体" w:hAnsi="宋体" w:cs="Arial"/>
                <w:color w:val="auto"/>
                <w:sz w:val="18"/>
                <w:szCs w:val="18"/>
              </w:rPr>
              <w:t>以 “展板科普 + 实物场景还原” 为形式，聚焦校园地震疏散、踩踏事件应对两大应急场景，参观者可通过展板了解校园应急知识，并在还原教室的实物场景中模拟紧急情况下的躲避、疏散动作，识别踩踏风险点并掌握应对技巧，实现 “学-练-结” 的校园应急能力提升。</w:t>
            </w:r>
          </w:p>
          <w:p w14:paraId="0F7E6350">
            <w:pPr>
              <w:widowControl/>
              <w:spacing w:line="400" w:lineRule="exact"/>
              <w:jc w:val="left"/>
              <w:rPr>
                <w:rFonts w:ascii="宋体" w:hAnsi="宋体" w:cs="Arial"/>
                <w:color w:val="auto"/>
                <w:sz w:val="18"/>
                <w:szCs w:val="18"/>
              </w:rPr>
            </w:pPr>
          </w:p>
          <w:p w14:paraId="7646AB60">
            <w:pPr>
              <w:widowControl/>
              <w:spacing w:line="400" w:lineRule="exact"/>
              <w:jc w:val="left"/>
              <w:rPr>
                <w:rFonts w:ascii="宋体" w:hAnsi="宋体" w:cs="Arial"/>
                <w:color w:val="auto"/>
                <w:sz w:val="18"/>
                <w:szCs w:val="18"/>
              </w:rPr>
            </w:pPr>
            <w:r>
              <w:rPr>
                <w:rFonts w:hint="eastAsia" w:ascii="宋体" w:hAnsi="宋体" w:cs="Arial"/>
                <w:color w:val="auto"/>
                <w:sz w:val="18"/>
                <w:szCs w:val="18"/>
              </w:rPr>
              <w:t>1.知识展板：配备校园地震疏散、踩踏事件应对知识展板，内容涵盖教室内课桌椅/书包的避险用法、疏散指示标识识别、地震疏散行动规范、防踩踏缓冲垫使用场景、急救包初步伤处处理要点等；</w:t>
            </w:r>
          </w:p>
          <w:p w14:paraId="22C95284">
            <w:pPr>
              <w:widowControl/>
              <w:spacing w:line="400" w:lineRule="exact"/>
              <w:jc w:val="left"/>
              <w:rPr>
                <w:rFonts w:ascii="宋体" w:hAnsi="宋体" w:cs="Arial"/>
                <w:color w:val="auto"/>
                <w:sz w:val="18"/>
                <w:szCs w:val="18"/>
              </w:rPr>
            </w:pPr>
            <w:r>
              <w:rPr>
                <w:rFonts w:hint="eastAsia" w:ascii="宋体" w:hAnsi="宋体" w:cs="Arial"/>
                <w:color w:val="auto"/>
                <w:sz w:val="18"/>
                <w:szCs w:val="18"/>
              </w:rPr>
              <w:t>2.模拟教室场景实物：1套，包含课桌、课椅、书包、疏散指示标识等关键道具；</w:t>
            </w:r>
          </w:p>
          <w:p w14:paraId="6A14A41E">
            <w:pPr>
              <w:widowControl/>
              <w:spacing w:line="400" w:lineRule="exact"/>
              <w:jc w:val="left"/>
              <w:rPr>
                <w:rFonts w:ascii="宋体" w:hAnsi="宋体" w:cs="Arial"/>
                <w:color w:val="auto"/>
                <w:sz w:val="18"/>
                <w:szCs w:val="18"/>
              </w:rPr>
            </w:pPr>
            <w:r>
              <w:rPr>
                <w:rFonts w:hint="eastAsia" w:ascii="宋体" w:hAnsi="宋体" w:cs="Arial"/>
                <w:color w:val="auto"/>
                <w:sz w:val="18"/>
                <w:szCs w:val="18"/>
              </w:rPr>
              <w:t>3.防踩踏缓冲垫：1套，材质为高密度海绵，外皮为加厚加密有机硅帆布；</w:t>
            </w:r>
          </w:p>
          <w:p w14:paraId="781DEE3E">
            <w:pPr>
              <w:widowControl/>
              <w:spacing w:line="400" w:lineRule="exact"/>
              <w:jc w:val="left"/>
              <w:rPr>
                <w:rFonts w:ascii="宋体" w:hAnsi="宋体" w:cs="Arial"/>
                <w:color w:val="auto"/>
                <w:sz w:val="18"/>
                <w:szCs w:val="18"/>
              </w:rPr>
            </w:pPr>
            <w:r>
              <w:rPr>
                <w:rFonts w:hint="eastAsia" w:ascii="宋体" w:hAnsi="宋体" w:cs="Arial"/>
                <w:color w:val="auto"/>
                <w:sz w:val="18"/>
                <w:szCs w:val="18"/>
              </w:rPr>
              <w:t>4.急救包：1套，含碘伏棉棒、绷带、酒精棉片、纱布、医用胶带、生理盐水等20种医疗急救配件。</w:t>
            </w:r>
          </w:p>
        </w:tc>
        <w:tc>
          <w:tcPr>
            <w:tcW w:w="900" w:type="dxa"/>
            <w:tcBorders>
              <w:top w:val="nil"/>
              <w:left w:val="nil"/>
              <w:bottom w:val="single" w:color="auto" w:sz="4" w:space="0"/>
              <w:right w:val="single" w:color="auto" w:sz="4" w:space="0"/>
            </w:tcBorders>
            <w:vAlign w:val="center"/>
          </w:tcPr>
          <w:p w14:paraId="2F49B9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A5F7D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E249862">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6E2996B">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应急技能实训工坊</w:t>
            </w:r>
          </w:p>
        </w:tc>
      </w:tr>
      <w:tr w14:paraId="1AD82C9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CF69A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B8E41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心肺复苏急救训练系统</w:t>
            </w:r>
          </w:p>
        </w:tc>
        <w:tc>
          <w:tcPr>
            <w:tcW w:w="5717" w:type="dxa"/>
            <w:tcBorders>
              <w:top w:val="nil"/>
              <w:left w:val="nil"/>
              <w:bottom w:val="single" w:color="auto" w:sz="4" w:space="0"/>
              <w:right w:val="single" w:color="auto" w:sz="4" w:space="0"/>
            </w:tcBorders>
            <w:vAlign w:val="center"/>
          </w:tcPr>
          <w:p w14:paraId="6C5DC050">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体验装置设置了模拟实物操作系统，体验者按照指示对假人模型进行心肺复苏术操作，通过心肺复苏体验系统，掌握正确的心肺复苏术方法和操作步骤。</w:t>
            </w:r>
          </w:p>
          <w:p w14:paraId="340397A9">
            <w:pPr>
              <w:widowControl/>
              <w:spacing w:line="400" w:lineRule="exact"/>
              <w:jc w:val="left"/>
              <w:rPr>
                <w:rFonts w:ascii="宋体" w:hAnsi="宋体" w:cs="Arial"/>
                <w:color w:val="auto"/>
                <w:sz w:val="18"/>
                <w:szCs w:val="18"/>
              </w:rPr>
            </w:pPr>
          </w:p>
          <w:p w14:paraId="4A0B4AAA">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1.触摸一体机：电容触摸屏，面板尺寸≥43英寸，像素≥1920X1080，亮度≥300cd/m²，表面≥4mm钢化防爆玻璃；</w:t>
            </w:r>
          </w:p>
          <w:p w14:paraId="58E948D8">
            <w:pPr>
              <w:widowControl/>
              <w:spacing w:line="400" w:lineRule="exact"/>
              <w:jc w:val="left"/>
              <w:rPr>
                <w:rFonts w:ascii="宋体" w:hAnsi="宋体" w:cs="Arial"/>
                <w:color w:val="auto"/>
                <w:sz w:val="18"/>
                <w:szCs w:val="18"/>
              </w:rPr>
            </w:pPr>
            <w:r>
              <w:rPr>
                <w:rFonts w:hint="eastAsia" w:ascii="宋体" w:hAnsi="宋体" w:cs="Arial"/>
                <w:color w:val="auto"/>
                <w:sz w:val="18"/>
                <w:szCs w:val="18"/>
              </w:rPr>
              <w:t>2.复苏全身人体模型：面皮肤、颈皮肤、胸皮肤、头发，采用进口热塑弹性体混合胶材料，由不锈钢摸具、经注塑机高温注压而成，具有解剖标志准确、手感真实、肤色统一、形态逼真、消毒清洗不变形、拆装更换方便等特点；</w:t>
            </w:r>
          </w:p>
          <w:p w14:paraId="3B645AA3">
            <w:pPr>
              <w:widowControl/>
              <w:spacing w:line="400" w:lineRule="exact"/>
              <w:jc w:val="left"/>
              <w:rPr>
                <w:rFonts w:ascii="宋体" w:hAnsi="宋体" w:cs="Arial"/>
                <w:color w:val="auto"/>
                <w:sz w:val="18"/>
                <w:szCs w:val="18"/>
              </w:rPr>
            </w:pPr>
            <w:r>
              <w:rPr>
                <w:rFonts w:hint="eastAsia" w:ascii="宋体" w:hAnsi="宋体" w:cs="Arial"/>
                <w:color w:val="auto"/>
                <w:sz w:val="18"/>
                <w:szCs w:val="18"/>
              </w:rPr>
              <w:t>3.控制程序功能：训练操作可进行按压与吹气练习，每次操作的按压深度和潮气量不在标准范围内时有语音提示；一键考核模式只需输入学员信息后就可开始考核，有语音提示；实战竟赛模式可自由设置参数，包括操作时间、操作频率，按压和吹气的比例次数、循环次数、合格的正确率。</w:t>
            </w:r>
          </w:p>
        </w:tc>
        <w:tc>
          <w:tcPr>
            <w:tcW w:w="900" w:type="dxa"/>
            <w:tcBorders>
              <w:top w:val="nil"/>
              <w:left w:val="nil"/>
              <w:bottom w:val="single" w:color="auto" w:sz="4" w:space="0"/>
              <w:right w:val="single" w:color="auto" w:sz="4" w:space="0"/>
            </w:tcBorders>
            <w:vAlign w:val="center"/>
          </w:tcPr>
          <w:p w14:paraId="13F5F1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5D2CCD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EEA29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23283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6DF40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模拟灭火体验装置</w:t>
            </w:r>
          </w:p>
        </w:tc>
        <w:tc>
          <w:tcPr>
            <w:tcW w:w="5717" w:type="dxa"/>
            <w:tcBorders>
              <w:top w:val="nil"/>
              <w:left w:val="nil"/>
              <w:bottom w:val="single" w:color="auto" w:sz="4" w:space="0"/>
              <w:right w:val="single" w:color="auto" w:sz="4" w:space="0"/>
            </w:tcBorders>
            <w:vAlign w:val="center"/>
          </w:tcPr>
          <w:p w14:paraId="75498449">
            <w:pPr>
              <w:widowControl/>
              <w:spacing w:line="400" w:lineRule="exact"/>
              <w:jc w:val="left"/>
              <w:rPr>
                <w:rFonts w:ascii="宋体" w:hAnsi="宋体" w:cs="Arial"/>
                <w:color w:val="auto"/>
                <w:sz w:val="18"/>
                <w:szCs w:val="18"/>
              </w:rPr>
            </w:pPr>
            <w:r>
              <w:rPr>
                <w:rFonts w:hint="eastAsia" w:ascii="宋体" w:hAnsi="宋体" w:cs="Arial"/>
                <w:color w:val="auto"/>
                <w:sz w:val="18"/>
                <w:szCs w:val="18"/>
              </w:rPr>
              <w:t>采用软硬件结合形式，实现智能灭火器与软件联动，支持控制台按钮选择操作；</w:t>
            </w:r>
          </w:p>
          <w:p w14:paraId="59C13DB7">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硬件部分含智能主机，改装灭火器，电视机，控制机柜；</w:t>
            </w:r>
          </w:p>
          <w:p w14:paraId="19000D0B">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软件部分为知识科普、灭火演练、灭火测试；</w:t>
            </w:r>
          </w:p>
          <w:p w14:paraId="6D11EA6E">
            <w:pPr>
              <w:widowControl/>
              <w:spacing w:line="400" w:lineRule="exact"/>
              <w:jc w:val="left"/>
              <w:rPr>
                <w:rFonts w:ascii="宋体" w:hAnsi="宋体" w:cs="Arial"/>
                <w:color w:val="auto"/>
                <w:sz w:val="18"/>
                <w:szCs w:val="18"/>
              </w:rPr>
            </w:pPr>
            <w:r>
              <w:rPr>
                <w:rFonts w:hint="eastAsia" w:ascii="宋体" w:hAnsi="宋体" w:cs="Arial"/>
                <w:color w:val="auto"/>
                <w:sz w:val="18"/>
                <w:szCs w:val="18"/>
              </w:rPr>
              <w:t>需具备文字、图文、MG 动画多形式教学能力，可科普 A-F 类六种火灾类型，以及干粉、二氧化碳、水基泡沫、水基清水等灭火器的适用场景与使用方法；</w:t>
            </w:r>
          </w:p>
          <w:p w14:paraId="45D91C0A">
            <w:pPr>
              <w:widowControl/>
              <w:spacing w:line="400" w:lineRule="exact"/>
              <w:jc w:val="left"/>
              <w:rPr>
                <w:rFonts w:ascii="宋体" w:hAnsi="宋体" w:cs="Arial"/>
                <w:color w:val="auto"/>
                <w:sz w:val="18"/>
                <w:szCs w:val="18"/>
              </w:rPr>
            </w:pPr>
            <w:r>
              <w:rPr>
                <w:rFonts w:hint="eastAsia" w:ascii="宋体" w:hAnsi="宋体" w:cs="Arial"/>
                <w:color w:val="auto"/>
                <w:sz w:val="18"/>
                <w:szCs w:val="18"/>
              </w:rPr>
              <w:t>需具备丰富灭火演练场景，含施工场地类的变配电设备室火灾、动火作业场所火灾、工地厨房火灾、员工宿舍火灾、易燃材料库房火灾；居民楼类的厨房火灾、客厅火灾、楼道火灾、书房火灾、卧室火灾；工厂类的百货仓库火灾，含车间火灾、总控室火灾、旧厂房火灾、生产线火灾；汽车类电气系统火灾、汽车内部火灾、汽车油路系统火灾；校园类化学实验室火灾、教室火灾、计算机房火灾、学生宿舍火灾等蓝牙天线。</w:t>
            </w:r>
          </w:p>
          <w:p w14:paraId="1629DF12">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1.展示系统≥55英寸，屏幕比例约16：9，刷屏率≥144HZ，内存≥3GB，存储≥64GB，配备≥2个USB接口，≥2个Hdmi2.0接口；配套展示信息。</w:t>
            </w:r>
          </w:p>
          <w:p w14:paraId="0DBFD7FB">
            <w:pPr>
              <w:widowControl/>
              <w:spacing w:line="400" w:lineRule="exact"/>
              <w:jc w:val="left"/>
              <w:rPr>
                <w:rFonts w:ascii="宋体" w:hAnsi="宋体" w:cs="Arial"/>
                <w:color w:val="auto"/>
                <w:sz w:val="18"/>
                <w:szCs w:val="18"/>
              </w:rPr>
            </w:pPr>
            <w:r>
              <w:rPr>
                <w:rFonts w:hint="eastAsia" w:ascii="宋体" w:hAnsi="宋体" w:cs="Arial"/>
                <w:color w:val="auto"/>
                <w:sz w:val="18"/>
                <w:szCs w:val="18"/>
              </w:rPr>
              <w:t>2.冷轧板喷涂防潮处理机柜，配备圆形按钮，根据电磁感应原理给灭火器进行自动充电。</w:t>
            </w:r>
          </w:p>
        </w:tc>
        <w:tc>
          <w:tcPr>
            <w:tcW w:w="900" w:type="dxa"/>
            <w:tcBorders>
              <w:top w:val="nil"/>
              <w:left w:val="nil"/>
              <w:bottom w:val="single" w:color="auto" w:sz="4" w:space="0"/>
              <w:right w:val="single" w:color="auto" w:sz="4" w:space="0"/>
            </w:tcBorders>
            <w:vAlign w:val="center"/>
          </w:tcPr>
          <w:p w14:paraId="13CD6A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4A6BA6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A3437F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54C9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7C887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应急包扎/县架制作工作站</w:t>
            </w:r>
          </w:p>
        </w:tc>
        <w:tc>
          <w:tcPr>
            <w:tcW w:w="5717" w:type="dxa"/>
            <w:tcBorders>
              <w:top w:val="nil"/>
              <w:left w:val="nil"/>
              <w:bottom w:val="single" w:color="auto" w:sz="4" w:space="0"/>
              <w:right w:val="single" w:color="auto" w:sz="4" w:space="0"/>
            </w:tcBorders>
            <w:vAlign w:val="center"/>
          </w:tcPr>
          <w:p w14:paraId="6E936531">
            <w:pPr>
              <w:widowControl/>
              <w:spacing w:line="400" w:lineRule="exact"/>
              <w:jc w:val="left"/>
              <w:rPr>
                <w:rFonts w:ascii="宋体" w:hAnsi="宋体" w:cs="Arial"/>
                <w:color w:val="auto"/>
                <w:sz w:val="18"/>
                <w:szCs w:val="18"/>
              </w:rPr>
            </w:pPr>
            <w:r>
              <w:rPr>
                <w:rFonts w:hint="eastAsia" w:ascii="宋体" w:hAnsi="宋体" w:cs="Arial"/>
                <w:color w:val="auto"/>
                <w:sz w:val="18"/>
                <w:szCs w:val="18"/>
              </w:rPr>
              <w:t>硬件部分包含触控一体机，创伤功能假人和提供包扎材料和担架制作工具；</w:t>
            </w:r>
          </w:p>
          <w:p w14:paraId="70CFCAF1">
            <w:pPr>
              <w:widowControl/>
              <w:spacing w:line="400" w:lineRule="exact"/>
              <w:jc w:val="left"/>
              <w:rPr>
                <w:rFonts w:ascii="宋体" w:hAnsi="宋体" w:cs="Arial"/>
                <w:color w:val="auto"/>
                <w:sz w:val="18"/>
                <w:szCs w:val="18"/>
              </w:rPr>
            </w:pPr>
            <w:r>
              <w:rPr>
                <w:rFonts w:hint="eastAsia" w:ascii="宋体" w:hAnsi="宋体" w:cs="Arial"/>
                <w:color w:val="auto"/>
                <w:sz w:val="18"/>
                <w:szCs w:val="18"/>
              </w:rPr>
              <w:t>软件部分为公众将在工作站内学习如何进行基本的伤口包扎和担架制作的学习，提高自救互救能力。</w:t>
            </w:r>
          </w:p>
          <w:p w14:paraId="784BF8C9">
            <w:pPr>
              <w:widowControl/>
              <w:spacing w:line="400" w:lineRule="exact"/>
              <w:jc w:val="left"/>
              <w:rPr>
                <w:rFonts w:ascii="宋体" w:hAnsi="宋体" w:cs="Arial"/>
                <w:color w:val="auto"/>
                <w:sz w:val="18"/>
                <w:szCs w:val="18"/>
              </w:rPr>
            </w:pPr>
          </w:p>
          <w:p w14:paraId="6FB5F2DE">
            <w:pPr>
              <w:widowControl/>
              <w:spacing w:line="400" w:lineRule="exact"/>
              <w:jc w:val="left"/>
              <w:rPr>
                <w:rFonts w:ascii="宋体" w:hAnsi="宋体" w:cs="Arial"/>
                <w:color w:val="auto"/>
                <w:sz w:val="18"/>
                <w:szCs w:val="18"/>
              </w:rPr>
            </w:pPr>
            <w:r>
              <w:rPr>
                <w:rFonts w:hint="eastAsia" w:ascii="宋体" w:hAnsi="宋体" w:cs="Arial"/>
                <w:color w:val="auto"/>
                <w:sz w:val="18"/>
                <w:szCs w:val="18"/>
              </w:rPr>
              <w:t>1.一体机：触摸屏幕尺寸≥32英寸，分辨率≥1920*1080，内存≥4GB，硬盘≥128GB；</w:t>
            </w:r>
          </w:p>
          <w:p w14:paraId="7045D6C4">
            <w:pPr>
              <w:widowControl/>
              <w:spacing w:line="400" w:lineRule="exact"/>
              <w:jc w:val="left"/>
              <w:rPr>
                <w:rFonts w:ascii="宋体" w:hAnsi="宋体" w:cs="Arial"/>
                <w:color w:val="auto"/>
                <w:sz w:val="18"/>
                <w:szCs w:val="18"/>
              </w:rPr>
            </w:pPr>
            <w:r>
              <w:rPr>
                <w:rFonts w:hint="eastAsia" w:ascii="宋体" w:hAnsi="宋体" w:cs="Arial"/>
                <w:color w:val="auto"/>
                <w:sz w:val="18"/>
                <w:szCs w:val="18"/>
              </w:rPr>
              <w:t>2.创伤功能假人模型：含面部烧伤、撕裂伤口、开放性骨折等多种创伤模块；</w:t>
            </w:r>
          </w:p>
          <w:p w14:paraId="33133F6D">
            <w:pPr>
              <w:widowControl/>
              <w:spacing w:line="400" w:lineRule="exact"/>
              <w:jc w:val="left"/>
              <w:rPr>
                <w:rFonts w:ascii="宋体" w:hAnsi="宋体" w:cs="Arial"/>
                <w:color w:val="auto"/>
                <w:sz w:val="18"/>
                <w:szCs w:val="18"/>
              </w:rPr>
            </w:pPr>
            <w:r>
              <w:rPr>
                <w:rFonts w:hint="eastAsia" w:ascii="宋体" w:hAnsi="宋体" w:cs="Arial"/>
                <w:color w:val="auto"/>
                <w:sz w:val="18"/>
                <w:szCs w:val="18"/>
              </w:rPr>
              <w:t>3.提供简易担架制作材料(如木棍、床单、绳子)及应急包扎实物。</w:t>
            </w:r>
          </w:p>
        </w:tc>
        <w:tc>
          <w:tcPr>
            <w:tcW w:w="900" w:type="dxa"/>
            <w:tcBorders>
              <w:top w:val="nil"/>
              <w:left w:val="nil"/>
              <w:bottom w:val="single" w:color="auto" w:sz="4" w:space="0"/>
              <w:right w:val="single" w:color="auto" w:sz="4" w:space="0"/>
            </w:tcBorders>
            <w:vAlign w:val="center"/>
          </w:tcPr>
          <w:p w14:paraId="047518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B39F9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1FD4FC8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0537836">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7D3791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洪涝灾害实训设备</w:t>
            </w:r>
          </w:p>
        </w:tc>
        <w:tc>
          <w:tcPr>
            <w:tcW w:w="5717" w:type="dxa"/>
            <w:tcBorders>
              <w:top w:val="nil"/>
              <w:left w:val="nil"/>
              <w:bottom w:val="single" w:color="auto" w:sz="4" w:space="0"/>
              <w:right w:val="single" w:color="auto" w:sz="4" w:space="0"/>
            </w:tcBorders>
            <w:vAlign w:val="center"/>
          </w:tcPr>
          <w:p w14:paraId="205D33E9">
            <w:pPr>
              <w:widowControl/>
              <w:spacing w:line="400" w:lineRule="exact"/>
              <w:jc w:val="left"/>
              <w:rPr>
                <w:rFonts w:ascii="宋体" w:hAnsi="宋体" w:cs="Arial"/>
                <w:color w:val="auto"/>
                <w:sz w:val="18"/>
                <w:szCs w:val="18"/>
              </w:rPr>
            </w:pPr>
            <w:r>
              <w:rPr>
                <w:rFonts w:hint="eastAsia" w:ascii="宋体" w:hAnsi="宋体" w:cs="Arial"/>
                <w:color w:val="auto"/>
                <w:sz w:val="18"/>
                <w:szCs w:val="18"/>
              </w:rPr>
              <w:t>学习不同结绳方法，包括五种8字类、六种基础类、五种连接类、六种捆绑类等结绳方法；</w:t>
            </w:r>
          </w:p>
          <w:p w14:paraId="558B5B0E">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体验者可点击不同模块以视频演示和分解步骤学习不同的结绳方法；同时包括救生绳结训练和自制漂浮装置制作。</w:t>
            </w:r>
          </w:p>
          <w:p w14:paraId="1D3CE391">
            <w:pPr>
              <w:widowControl/>
              <w:spacing w:line="400" w:lineRule="exact"/>
              <w:jc w:val="left"/>
              <w:rPr>
                <w:rFonts w:ascii="宋体" w:hAnsi="宋体" w:cs="Arial"/>
                <w:color w:val="auto"/>
                <w:sz w:val="18"/>
                <w:szCs w:val="18"/>
              </w:rPr>
            </w:pPr>
          </w:p>
          <w:p w14:paraId="5CC8C73D">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1.触控一体机：触摸屏尺寸≥32英寸，分辨率≥1920*1080，内存≥4GB，硬盘≥128GB；</w:t>
            </w:r>
          </w:p>
          <w:p w14:paraId="44082E44">
            <w:pPr>
              <w:widowControl/>
              <w:spacing w:line="400" w:lineRule="exact"/>
              <w:jc w:val="left"/>
              <w:rPr>
                <w:rFonts w:ascii="宋体" w:hAnsi="宋体" w:cs="Arial"/>
                <w:color w:val="auto"/>
                <w:sz w:val="18"/>
                <w:szCs w:val="18"/>
              </w:rPr>
            </w:pPr>
            <w:r>
              <w:rPr>
                <w:rFonts w:hint="eastAsia" w:ascii="宋体" w:hAnsi="宋体" w:cs="Arial"/>
                <w:color w:val="auto"/>
                <w:sz w:val="18"/>
                <w:szCs w:val="18"/>
              </w:rPr>
              <w:t>2.教学模块至少包含8字类、基础类、连接类、捆绑类等结绳方法；</w:t>
            </w:r>
          </w:p>
          <w:p w14:paraId="246705C8">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3.配备实物绳结；</w:t>
            </w:r>
          </w:p>
          <w:p w14:paraId="318286ED">
            <w:pPr>
              <w:widowControl/>
              <w:spacing w:line="400" w:lineRule="exact"/>
              <w:jc w:val="left"/>
              <w:rPr>
                <w:rFonts w:ascii="宋体" w:hAnsi="宋体" w:cs="Arial"/>
                <w:color w:val="auto"/>
                <w:sz w:val="18"/>
                <w:szCs w:val="18"/>
              </w:rPr>
            </w:pPr>
            <w:r>
              <w:rPr>
                <w:rFonts w:hint="eastAsia" w:ascii="宋体" w:hAnsi="宋体" w:cs="Arial"/>
                <w:color w:val="auto"/>
                <w:sz w:val="18"/>
                <w:szCs w:val="18"/>
              </w:rPr>
              <w:t>4.洪涝灾害自救知识展板：涵盖救生绳结训练与自制漂浮装置制作方法；</w:t>
            </w:r>
          </w:p>
          <w:p w14:paraId="57C3721D">
            <w:pPr>
              <w:widowControl/>
              <w:spacing w:line="400" w:lineRule="exact"/>
              <w:jc w:val="left"/>
              <w:rPr>
                <w:rFonts w:ascii="宋体" w:hAnsi="宋体" w:cs="Arial"/>
                <w:color w:val="auto"/>
                <w:sz w:val="18"/>
                <w:szCs w:val="18"/>
              </w:rPr>
            </w:pPr>
            <w:r>
              <w:rPr>
                <w:rFonts w:hint="eastAsia" w:ascii="宋体" w:hAnsi="宋体" w:cs="Arial"/>
                <w:color w:val="auto"/>
                <w:sz w:val="18"/>
                <w:szCs w:val="18"/>
              </w:rPr>
              <w:t>5.实训道具套装包括塑料瓶、泡沫板、绳索(或胶带)、剪刀等材料。</w:t>
            </w:r>
          </w:p>
        </w:tc>
        <w:tc>
          <w:tcPr>
            <w:tcW w:w="900" w:type="dxa"/>
            <w:tcBorders>
              <w:top w:val="nil"/>
              <w:left w:val="nil"/>
              <w:bottom w:val="single" w:color="auto" w:sz="4" w:space="0"/>
              <w:right w:val="single" w:color="auto" w:sz="4" w:space="0"/>
            </w:tcBorders>
            <w:vAlign w:val="center"/>
          </w:tcPr>
          <w:p w14:paraId="7FFDA1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033D7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6253E8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8E897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1E14FF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地质灾害实训设备</w:t>
            </w:r>
          </w:p>
        </w:tc>
        <w:tc>
          <w:tcPr>
            <w:tcW w:w="5717" w:type="dxa"/>
            <w:tcBorders>
              <w:top w:val="nil"/>
              <w:left w:val="nil"/>
              <w:bottom w:val="single" w:color="auto" w:sz="4" w:space="0"/>
              <w:right w:val="single" w:color="auto" w:sz="4" w:space="0"/>
            </w:tcBorders>
            <w:vAlign w:val="center"/>
          </w:tcPr>
          <w:p w14:paraId="5C481268">
            <w:pPr>
              <w:widowControl/>
              <w:spacing w:line="400" w:lineRule="exact"/>
              <w:jc w:val="left"/>
              <w:rPr>
                <w:rFonts w:ascii="宋体" w:hAnsi="宋体" w:cs="Arial"/>
                <w:color w:val="auto"/>
                <w:sz w:val="18"/>
                <w:szCs w:val="18"/>
              </w:rPr>
            </w:pPr>
            <w:r>
              <w:rPr>
                <w:rFonts w:hint="eastAsia" w:ascii="宋体" w:hAnsi="宋体" w:cs="Arial"/>
                <w:color w:val="auto"/>
                <w:sz w:val="18"/>
                <w:szCs w:val="18"/>
              </w:rPr>
              <w:t>让公众学习如何制作和使用简易滑坡监测仪，通过监测仪实时数据反馈，公众将了解滑坡等地质灾害的预警信号和应对措施。</w:t>
            </w:r>
          </w:p>
          <w:p w14:paraId="46BBC473">
            <w:pPr>
              <w:widowControl/>
              <w:spacing w:line="400" w:lineRule="exact"/>
              <w:jc w:val="left"/>
              <w:rPr>
                <w:rFonts w:ascii="宋体" w:hAnsi="宋体" w:cs="Arial"/>
                <w:color w:val="auto"/>
                <w:sz w:val="18"/>
                <w:szCs w:val="18"/>
              </w:rPr>
            </w:pPr>
          </w:p>
          <w:p w14:paraId="4FBE962D">
            <w:pPr>
              <w:widowControl/>
              <w:spacing w:line="400" w:lineRule="exact"/>
              <w:jc w:val="left"/>
              <w:rPr>
                <w:rFonts w:ascii="宋体" w:hAnsi="宋体" w:cs="Arial"/>
                <w:color w:val="auto"/>
                <w:sz w:val="18"/>
                <w:szCs w:val="18"/>
              </w:rPr>
            </w:pPr>
            <w:r>
              <w:rPr>
                <w:rFonts w:hint="eastAsia" w:ascii="宋体" w:hAnsi="宋体" w:cs="Arial"/>
                <w:color w:val="auto"/>
                <w:sz w:val="18"/>
                <w:szCs w:val="18"/>
              </w:rPr>
              <w:t>1.位移监测仪支持4G、有线网络、无线WIFI等传输方式；</w:t>
            </w:r>
          </w:p>
          <w:p w14:paraId="154C3F4D">
            <w:pPr>
              <w:widowControl/>
              <w:spacing w:line="400" w:lineRule="exact"/>
              <w:jc w:val="left"/>
              <w:rPr>
                <w:rFonts w:ascii="宋体" w:hAnsi="宋体" w:cs="Arial"/>
                <w:color w:val="auto"/>
                <w:sz w:val="18"/>
                <w:szCs w:val="18"/>
              </w:rPr>
            </w:pPr>
            <w:r>
              <w:rPr>
                <w:rFonts w:hint="eastAsia" w:ascii="宋体" w:hAnsi="宋体" w:cs="Arial"/>
                <w:color w:val="auto"/>
                <w:sz w:val="18"/>
                <w:szCs w:val="18"/>
              </w:rPr>
              <w:t>2.数据上传频率≤1分钟/次，本地数据存储容量≥50万条；</w:t>
            </w:r>
          </w:p>
          <w:p w14:paraId="2697AB8D">
            <w:pPr>
              <w:widowControl/>
              <w:spacing w:line="400" w:lineRule="exact"/>
              <w:jc w:val="left"/>
              <w:rPr>
                <w:rFonts w:ascii="宋体" w:hAnsi="宋体" w:cs="Arial"/>
                <w:color w:val="auto"/>
                <w:sz w:val="18"/>
                <w:szCs w:val="18"/>
              </w:rPr>
            </w:pPr>
            <w:r>
              <w:rPr>
                <w:rFonts w:hint="eastAsia" w:ascii="宋体" w:hAnsi="宋体" w:cs="Arial"/>
                <w:color w:val="auto"/>
                <w:sz w:val="18"/>
                <w:szCs w:val="18"/>
              </w:rPr>
              <w:t>3.展示系统能实时显示经度、纬度、高度、水平位移、垂直位移等监测数据及设备状态、报警信息。</w:t>
            </w:r>
          </w:p>
        </w:tc>
        <w:tc>
          <w:tcPr>
            <w:tcW w:w="900" w:type="dxa"/>
            <w:tcBorders>
              <w:top w:val="nil"/>
              <w:left w:val="nil"/>
              <w:bottom w:val="single" w:color="auto" w:sz="4" w:space="0"/>
              <w:right w:val="single" w:color="auto" w:sz="4" w:space="0"/>
            </w:tcBorders>
            <w:vAlign w:val="center"/>
          </w:tcPr>
          <w:p w14:paraId="239D07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A34C9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7670AA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DD8B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4742624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家庭应急实训台</w:t>
            </w:r>
          </w:p>
        </w:tc>
        <w:tc>
          <w:tcPr>
            <w:tcW w:w="5717" w:type="dxa"/>
            <w:tcBorders>
              <w:top w:val="nil"/>
              <w:left w:val="nil"/>
              <w:bottom w:val="single" w:color="auto" w:sz="4" w:space="0"/>
              <w:right w:val="single" w:color="auto" w:sz="4" w:space="0"/>
            </w:tcBorders>
            <w:vAlign w:val="center"/>
          </w:tcPr>
          <w:p w14:paraId="13238D61">
            <w:pPr>
              <w:widowControl/>
              <w:spacing w:line="400" w:lineRule="exact"/>
              <w:jc w:val="left"/>
              <w:rPr>
                <w:rFonts w:ascii="宋体" w:hAnsi="宋体" w:cs="Arial"/>
                <w:color w:val="auto"/>
                <w:sz w:val="18"/>
                <w:szCs w:val="18"/>
              </w:rPr>
            </w:pPr>
            <w:r>
              <w:rPr>
                <w:rFonts w:hint="eastAsia" w:ascii="宋体" w:hAnsi="宋体" w:cs="Arial"/>
                <w:color w:val="auto"/>
                <w:sz w:val="18"/>
                <w:szCs w:val="18"/>
              </w:rPr>
              <w:t>含触摸一体机，实物空开等家庭应急断电、断气操作相关的部件；</w:t>
            </w:r>
          </w:p>
          <w:p w14:paraId="79F76821">
            <w:pPr>
              <w:widowControl/>
              <w:spacing w:line="400" w:lineRule="exact"/>
              <w:jc w:val="left"/>
              <w:rPr>
                <w:rFonts w:ascii="宋体" w:hAnsi="宋体" w:cs="Arial"/>
                <w:color w:val="auto"/>
                <w:sz w:val="18"/>
                <w:szCs w:val="18"/>
              </w:rPr>
            </w:pPr>
            <w:r>
              <w:rPr>
                <w:rFonts w:hint="eastAsia" w:ascii="宋体" w:hAnsi="宋体" w:cs="Arial"/>
                <w:color w:val="auto"/>
                <w:sz w:val="18"/>
                <w:szCs w:val="18"/>
              </w:rPr>
              <w:t>可学习家庭紧急情况下断电、断气的规范操作流程；同时结合展台上实物部件，直观认知空开等设备的功能与位置，提升居家安全防护能力。</w:t>
            </w:r>
          </w:p>
          <w:p w14:paraId="1CCA4458">
            <w:pPr>
              <w:widowControl/>
              <w:spacing w:line="400" w:lineRule="exact"/>
              <w:jc w:val="left"/>
              <w:rPr>
                <w:rFonts w:ascii="宋体" w:hAnsi="宋体" w:cs="Arial"/>
                <w:color w:val="auto"/>
                <w:sz w:val="18"/>
                <w:szCs w:val="18"/>
              </w:rPr>
            </w:pPr>
          </w:p>
          <w:p w14:paraId="78F542A8">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1.触控一体机：屏幕尺寸≥32英寸，分辨率≥1920*1080，内存≥4GB，硬盘≥128GB；</w:t>
            </w:r>
          </w:p>
          <w:p w14:paraId="6A436219">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2.配备实物空开等家庭应急断电、断气操作相关部件；</w:t>
            </w:r>
          </w:p>
          <w:p w14:paraId="58C00505">
            <w:pPr>
              <w:widowControl/>
              <w:spacing w:line="400" w:lineRule="exact"/>
              <w:jc w:val="left"/>
              <w:rPr>
                <w:rFonts w:ascii="宋体" w:hAnsi="宋体" w:cs="Arial"/>
                <w:color w:val="auto"/>
                <w:sz w:val="18"/>
                <w:szCs w:val="18"/>
              </w:rPr>
            </w:pPr>
            <w:r>
              <w:rPr>
                <w:rFonts w:hint="eastAsia" w:ascii="宋体" w:hAnsi="宋体" w:cs="Arial"/>
                <w:color w:val="auto"/>
                <w:sz w:val="18"/>
                <w:szCs w:val="18"/>
              </w:rPr>
              <w:t>3.能演示家庭紧急情况下断电、断气的规范操作流程。</w:t>
            </w:r>
          </w:p>
        </w:tc>
        <w:tc>
          <w:tcPr>
            <w:tcW w:w="900" w:type="dxa"/>
            <w:tcBorders>
              <w:top w:val="nil"/>
              <w:left w:val="nil"/>
              <w:bottom w:val="single" w:color="auto" w:sz="4" w:space="0"/>
              <w:right w:val="single" w:color="auto" w:sz="4" w:space="0"/>
            </w:tcBorders>
            <w:vAlign w:val="center"/>
          </w:tcPr>
          <w:p w14:paraId="598D6D8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1AEBB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FA77885">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4F900FC">
            <w:pPr>
              <w:widowControl/>
              <w:spacing w:line="400" w:lineRule="exact"/>
              <w:jc w:val="left"/>
              <w:rPr>
                <w:rFonts w:ascii="宋体" w:hAnsi="宋体" w:cs="Arial"/>
                <w:color w:val="auto"/>
                <w:sz w:val="18"/>
                <w:szCs w:val="18"/>
              </w:rPr>
            </w:pPr>
            <w:r>
              <w:rPr>
                <w:rFonts w:hint="eastAsia" w:ascii="宋体" w:hAnsi="宋体" w:cs="Arial"/>
                <w:color w:val="auto"/>
                <w:sz w:val="18"/>
                <w:szCs w:val="18"/>
              </w:rPr>
              <w:t>智慧防灾科技展区</w:t>
            </w:r>
          </w:p>
        </w:tc>
      </w:tr>
      <w:tr w14:paraId="4F9F8AE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6C770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C2AB4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无人机搜救演示系统</w:t>
            </w:r>
          </w:p>
        </w:tc>
        <w:tc>
          <w:tcPr>
            <w:tcW w:w="5717" w:type="dxa"/>
            <w:tcBorders>
              <w:top w:val="nil"/>
              <w:left w:val="nil"/>
              <w:bottom w:val="single" w:color="auto" w:sz="4" w:space="0"/>
              <w:right w:val="single" w:color="auto" w:sz="4" w:space="0"/>
            </w:tcBorders>
            <w:vAlign w:val="center"/>
          </w:tcPr>
          <w:p w14:paraId="34EC43AE">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配备智能主机、挂架配件、底座、显示屏、触控屏等；</w:t>
            </w:r>
          </w:p>
          <w:p w14:paraId="37023C46">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系统展示无人机、物联网传感器、机器人等新型装备在灾情侦察、信息传递、生命搜救、早期报警等方面的应用前景，通过实物与视频结合，展现科技赋能防灾减灾。</w:t>
            </w:r>
          </w:p>
          <w:p w14:paraId="05BF51C6">
            <w:pPr>
              <w:widowControl/>
              <w:spacing w:line="400" w:lineRule="exact"/>
              <w:jc w:val="left"/>
              <w:rPr>
                <w:rFonts w:ascii="宋体" w:hAnsi="宋体" w:cs="Arial"/>
                <w:color w:val="auto"/>
                <w:sz w:val="18"/>
                <w:szCs w:val="18"/>
              </w:rPr>
            </w:pPr>
          </w:p>
          <w:p w14:paraId="76DD6996">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1.展示系统尺寸≥65英寸，刷新率≥144Hz，运行内存≥2GB，存储内存≥32GB；配套展示信息。</w:t>
            </w:r>
          </w:p>
          <w:p w14:paraId="59A92242">
            <w:pPr>
              <w:widowControl/>
              <w:spacing w:line="400" w:lineRule="exact"/>
              <w:jc w:val="left"/>
              <w:rPr>
                <w:rFonts w:ascii="宋体" w:hAnsi="宋体" w:cs="Arial"/>
                <w:color w:val="auto"/>
                <w:sz w:val="18"/>
                <w:szCs w:val="18"/>
              </w:rPr>
            </w:pPr>
            <w:r>
              <w:rPr>
                <w:rFonts w:hint="eastAsia" w:ascii="宋体" w:hAnsi="宋体" w:cs="Arial"/>
                <w:color w:val="auto"/>
                <w:sz w:val="18"/>
                <w:szCs w:val="18"/>
              </w:rPr>
              <w:t>2.触控屏尺寸≥32英寸，分辨率≥1920*1080，亮度≥300cd/m²，响应时间＜5.5ms；</w:t>
            </w:r>
          </w:p>
          <w:p w14:paraId="77004076">
            <w:pPr>
              <w:widowControl/>
              <w:spacing w:line="400" w:lineRule="exact"/>
              <w:jc w:val="left"/>
              <w:rPr>
                <w:rFonts w:ascii="宋体" w:hAnsi="宋体" w:cs="Arial"/>
                <w:color w:val="auto"/>
                <w:sz w:val="18"/>
                <w:szCs w:val="18"/>
              </w:rPr>
            </w:pPr>
            <w:r>
              <w:rPr>
                <w:rFonts w:hint="eastAsia" w:ascii="宋体" w:hAnsi="宋体" w:cs="Arial"/>
                <w:color w:val="auto"/>
                <w:sz w:val="18"/>
                <w:szCs w:val="18"/>
              </w:rPr>
              <w:t>3.智能主机内存≥8GB，硬盘≥512GB；</w:t>
            </w:r>
          </w:p>
          <w:p w14:paraId="2D5782C6">
            <w:pPr>
              <w:widowControl/>
              <w:spacing w:line="400" w:lineRule="exact"/>
              <w:jc w:val="left"/>
              <w:rPr>
                <w:rFonts w:ascii="宋体" w:hAnsi="宋体" w:cs="Arial"/>
                <w:color w:val="auto"/>
                <w:sz w:val="18"/>
                <w:szCs w:val="18"/>
              </w:rPr>
            </w:pPr>
            <w:r>
              <w:rPr>
                <w:rFonts w:hint="eastAsia" w:ascii="宋体" w:hAnsi="宋体" w:cs="Arial"/>
                <w:color w:val="auto"/>
                <w:sz w:val="18"/>
                <w:szCs w:val="18"/>
              </w:rPr>
              <w:t>4.配备金属底座，冷轧碳钢薄板材质，表面经静电粉末喷涂高温固化处理。</w:t>
            </w:r>
          </w:p>
        </w:tc>
        <w:tc>
          <w:tcPr>
            <w:tcW w:w="900" w:type="dxa"/>
            <w:tcBorders>
              <w:top w:val="nil"/>
              <w:left w:val="nil"/>
              <w:bottom w:val="single" w:color="auto" w:sz="4" w:space="0"/>
              <w:right w:val="single" w:color="auto" w:sz="4" w:space="0"/>
            </w:tcBorders>
            <w:vAlign w:val="center"/>
          </w:tcPr>
          <w:p w14:paraId="1140B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ADEC7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2B77F4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6A14D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652483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楼层火灾模拟逃生系统</w:t>
            </w:r>
          </w:p>
        </w:tc>
        <w:tc>
          <w:tcPr>
            <w:tcW w:w="5717" w:type="dxa"/>
            <w:tcBorders>
              <w:top w:val="nil"/>
              <w:left w:val="nil"/>
              <w:bottom w:val="single" w:color="auto" w:sz="4" w:space="0"/>
              <w:right w:val="single" w:color="auto" w:sz="4" w:space="0"/>
            </w:tcBorders>
            <w:vAlign w:val="center"/>
          </w:tcPr>
          <w:p w14:paraId="6164FA13">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配备展示系统，智能主机，蓝牙手柄；通过手柄操作模拟火灾逃生；通过动画讲解科普消防知识，使体验者了解并学习到火灾逃生相关知识；</w:t>
            </w:r>
          </w:p>
          <w:p w14:paraId="52A13679">
            <w:pPr>
              <w:widowControl/>
              <w:spacing w:line="400" w:lineRule="exact"/>
              <w:jc w:val="left"/>
              <w:rPr>
                <w:rFonts w:ascii="宋体" w:hAnsi="宋体" w:cs="Arial"/>
                <w:color w:val="auto"/>
                <w:sz w:val="18"/>
                <w:szCs w:val="18"/>
              </w:rPr>
            </w:pPr>
            <w:r>
              <w:rPr>
                <w:rFonts w:hint="eastAsia" w:ascii="宋体" w:hAnsi="宋体" w:cs="Arial"/>
                <w:color w:val="auto"/>
                <w:sz w:val="18"/>
                <w:szCs w:val="18"/>
              </w:rPr>
              <w:t>游戏体验模拟3D仿真火宅现场场景，体验者按照提示用手柄操作游戏中的虚拟人物在五分钟内进行逃生，直到逃生成功；同时穿插火灾逃生小知识，让体验者自己操控人物进行火灾逃生，加深体验感受，了解掌握火灾逃生技巧。</w:t>
            </w:r>
          </w:p>
          <w:p w14:paraId="4178923E">
            <w:pPr>
              <w:widowControl/>
              <w:spacing w:line="400" w:lineRule="exact"/>
              <w:jc w:val="left"/>
              <w:rPr>
                <w:rFonts w:ascii="宋体" w:hAnsi="宋体" w:cs="Arial"/>
                <w:color w:val="auto"/>
                <w:sz w:val="18"/>
                <w:szCs w:val="18"/>
              </w:rPr>
            </w:pPr>
          </w:p>
          <w:p w14:paraId="14CFF903">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1.展示系统尺寸≥55英寸，刷新率≥144Hz，内存≥3GB，存储≥64GB，响应时间＜9.5ms；配套展示软件。</w:t>
            </w:r>
          </w:p>
          <w:p w14:paraId="0D4508FD">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44C36601">
            <w:pPr>
              <w:widowControl/>
              <w:spacing w:line="400" w:lineRule="exact"/>
              <w:jc w:val="left"/>
              <w:rPr>
                <w:rFonts w:ascii="宋体" w:hAnsi="宋体" w:cs="Arial"/>
                <w:color w:val="auto"/>
                <w:sz w:val="18"/>
                <w:szCs w:val="18"/>
              </w:rPr>
            </w:pPr>
            <w:r>
              <w:rPr>
                <w:rFonts w:hint="eastAsia" w:ascii="宋体" w:hAnsi="宋体" w:cs="Arial"/>
                <w:color w:val="auto"/>
                <w:sz w:val="18"/>
                <w:szCs w:val="18"/>
              </w:rPr>
              <w:t>3.软件包含消防知识学习和楼层火灾模拟逃生两大板块，逃生场景需为3D仿真模型。</w:t>
            </w:r>
          </w:p>
        </w:tc>
        <w:tc>
          <w:tcPr>
            <w:tcW w:w="900" w:type="dxa"/>
            <w:tcBorders>
              <w:top w:val="nil"/>
              <w:left w:val="nil"/>
              <w:bottom w:val="single" w:color="auto" w:sz="4" w:space="0"/>
              <w:right w:val="single" w:color="auto" w:sz="4" w:space="0"/>
            </w:tcBorders>
            <w:vAlign w:val="center"/>
          </w:tcPr>
          <w:p w14:paraId="172D12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7304A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D22D2F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999E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746575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燃气泄漏实训系统</w:t>
            </w:r>
          </w:p>
        </w:tc>
        <w:tc>
          <w:tcPr>
            <w:tcW w:w="5717" w:type="dxa"/>
            <w:tcBorders>
              <w:top w:val="nil"/>
              <w:left w:val="nil"/>
              <w:bottom w:val="single" w:color="auto" w:sz="4" w:space="0"/>
              <w:right w:val="single" w:color="auto" w:sz="4" w:space="0"/>
            </w:tcBorders>
            <w:vAlign w:val="center"/>
          </w:tcPr>
          <w:p w14:paraId="58610A39">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配备触摸一体机、挂架配件、燃气泄漏模拟装置、模拟窗户模块、报警装置、厨房灶台环境装修搭建；</w:t>
            </w:r>
          </w:p>
          <w:p w14:paraId="20C192F6">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基础讲解让体验者掌握燃气泄漏处置的核心要点；随后进入实训环节：通过烟雾模拟燃气泄漏场景，同时燃气报警器自动响起，体验者需在规定时间内，完成关闭燃气阀门、开窗通风等关键操作，掌握燃气泄漏的科学处置方法。</w:t>
            </w:r>
          </w:p>
          <w:p w14:paraId="67009A61">
            <w:pPr>
              <w:widowControl/>
              <w:spacing w:line="400" w:lineRule="exact"/>
              <w:jc w:val="left"/>
              <w:rPr>
                <w:rFonts w:ascii="宋体" w:hAnsi="宋体" w:cs="Arial"/>
                <w:color w:val="auto"/>
                <w:sz w:val="18"/>
                <w:szCs w:val="18"/>
              </w:rPr>
            </w:pPr>
          </w:p>
          <w:p w14:paraId="3EFECDFC">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1.触控一体机：屏幕尺寸≥32英寸，分辨率≥1920*1080，内存≥4GB，硬盘≥128GB；</w:t>
            </w:r>
          </w:p>
          <w:p w14:paraId="06EC9D5D">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2.配备燃气泄漏模拟装置、模拟窗户模块、报警装置；配备厨房灶台环境装修搭建；</w:t>
            </w:r>
          </w:p>
          <w:p w14:paraId="7369B69F">
            <w:pPr>
              <w:widowControl/>
              <w:spacing w:line="400" w:lineRule="exact"/>
              <w:jc w:val="left"/>
              <w:rPr>
                <w:rFonts w:ascii="宋体" w:hAnsi="宋体" w:cs="Arial"/>
                <w:color w:val="auto"/>
                <w:sz w:val="18"/>
                <w:szCs w:val="18"/>
              </w:rPr>
            </w:pPr>
            <w:r>
              <w:rPr>
                <w:rFonts w:hint="eastAsia" w:ascii="宋体" w:hAnsi="宋体" w:cs="Arial"/>
                <w:color w:val="auto"/>
                <w:sz w:val="18"/>
                <w:szCs w:val="18"/>
              </w:rPr>
              <w:t>3.系统包含基础知识讲解和实训操作环节，能通过烟雾模拟泄漏场景，要求体验者完成关闭阀门、开窗通风等关键操作。</w:t>
            </w:r>
          </w:p>
        </w:tc>
        <w:tc>
          <w:tcPr>
            <w:tcW w:w="900" w:type="dxa"/>
            <w:tcBorders>
              <w:top w:val="nil"/>
              <w:left w:val="nil"/>
              <w:bottom w:val="single" w:color="auto" w:sz="4" w:space="0"/>
              <w:right w:val="single" w:color="auto" w:sz="4" w:space="0"/>
            </w:tcBorders>
            <w:vAlign w:val="center"/>
          </w:tcPr>
          <w:p w14:paraId="398FF4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2A41E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4FF8AD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03FE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03C25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楼宇火灾自动报警与联动演示系统</w:t>
            </w:r>
          </w:p>
        </w:tc>
        <w:tc>
          <w:tcPr>
            <w:tcW w:w="5717" w:type="dxa"/>
            <w:tcBorders>
              <w:top w:val="nil"/>
              <w:left w:val="nil"/>
              <w:bottom w:val="single" w:color="auto" w:sz="4" w:space="0"/>
              <w:right w:val="single" w:color="auto" w:sz="4" w:space="0"/>
            </w:tcBorders>
            <w:vAlign w:val="center"/>
          </w:tcPr>
          <w:p w14:paraId="644ACB9B">
            <w:pPr>
              <w:widowControl/>
              <w:spacing w:line="400" w:lineRule="exact"/>
              <w:jc w:val="left"/>
              <w:rPr>
                <w:rFonts w:ascii="宋体" w:hAnsi="宋体" w:cs="Arial"/>
                <w:color w:val="auto"/>
                <w:sz w:val="18"/>
                <w:szCs w:val="18"/>
              </w:rPr>
            </w:pPr>
            <w:r>
              <w:rPr>
                <w:rFonts w:hint="eastAsia" w:ascii="宋体" w:hAnsi="宋体" w:cs="Arial"/>
                <w:color w:val="auto"/>
                <w:sz w:val="18"/>
                <w:szCs w:val="18"/>
              </w:rPr>
              <w:t>由建筑场景剖面图板、中央控制器模块、联动演示控制主机、触控展示系统等组成；</w:t>
            </w:r>
          </w:p>
          <w:p w14:paraId="3DD52971">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体验模式分手动报警演示和自动报警演示，手动模式下有多种触发方式：如手动报警器、烟感和温感；自动模式包含：灯光形式；</w:t>
            </w:r>
          </w:p>
          <w:p w14:paraId="64108CF6">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系统展示联动设施的运作过程及原理，包括从发生火灾开始到火灾被完全扑灭。</w:t>
            </w:r>
          </w:p>
          <w:p w14:paraId="1ED26E70">
            <w:pPr>
              <w:widowControl/>
              <w:spacing w:line="400" w:lineRule="exact"/>
              <w:jc w:val="left"/>
              <w:rPr>
                <w:rFonts w:ascii="宋体" w:hAnsi="宋体" w:cs="Arial"/>
                <w:color w:val="auto"/>
                <w:sz w:val="18"/>
                <w:szCs w:val="18"/>
              </w:rPr>
            </w:pPr>
          </w:p>
          <w:p w14:paraId="78ECA0E8">
            <w:pPr>
              <w:widowControl/>
              <w:spacing w:line="400" w:lineRule="exact"/>
              <w:jc w:val="left"/>
              <w:rPr>
                <w:rFonts w:ascii="宋体" w:hAnsi="宋体" w:cs="Arial"/>
                <w:color w:val="auto"/>
                <w:sz w:val="18"/>
                <w:szCs w:val="18"/>
              </w:rPr>
            </w:pPr>
            <w:r>
              <w:rPr>
                <w:rFonts w:hint="eastAsia" w:ascii="宋体" w:hAnsi="宋体" w:cs="Arial"/>
                <w:color w:val="auto"/>
                <w:sz w:val="18"/>
                <w:szCs w:val="18"/>
              </w:rPr>
              <w:t>1.建筑场景剖面图板，尺寸≥2400cm*1500cm，内置LED灯带；</w:t>
            </w:r>
          </w:p>
          <w:p w14:paraId="1311621D">
            <w:pPr>
              <w:widowControl/>
              <w:spacing w:line="400" w:lineRule="exact"/>
              <w:jc w:val="left"/>
              <w:rPr>
                <w:rFonts w:ascii="宋体" w:hAnsi="宋体" w:cs="Arial"/>
                <w:color w:val="auto"/>
                <w:sz w:val="18"/>
                <w:szCs w:val="18"/>
              </w:rPr>
            </w:pPr>
            <w:r>
              <w:rPr>
                <w:rFonts w:hint="eastAsia" w:ascii="宋体" w:hAnsi="宋体" w:cs="Arial"/>
                <w:color w:val="auto"/>
                <w:sz w:val="18"/>
                <w:szCs w:val="18"/>
              </w:rPr>
              <w:t>2.中央控制器模块，采用STM芯片/MEGA芯片，带光耦隔离继电器；</w:t>
            </w:r>
          </w:p>
          <w:p w14:paraId="6306BE45">
            <w:pPr>
              <w:widowControl/>
              <w:spacing w:line="400" w:lineRule="exact"/>
              <w:jc w:val="left"/>
              <w:rPr>
                <w:rFonts w:ascii="宋体" w:hAnsi="宋体" w:cs="Arial"/>
                <w:color w:val="auto"/>
                <w:sz w:val="18"/>
                <w:szCs w:val="18"/>
              </w:rPr>
            </w:pPr>
            <w:r>
              <w:rPr>
                <w:rFonts w:hint="eastAsia" w:ascii="宋体" w:hAnsi="宋体" w:cs="Arial"/>
                <w:color w:val="auto"/>
                <w:sz w:val="18"/>
                <w:szCs w:val="18"/>
              </w:rPr>
              <w:t>3.联动演示控制主机包含发烟、报警、水泵、喷淋、排烟动作模块；</w:t>
            </w:r>
          </w:p>
          <w:p w14:paraId="6374EF9C">
            <w:pPr>
              <w:widowControl/>
              <w:spacing w:line="400" w:lineRule="exact"/>
              <w:jc w:val="left"/>
              <w:rPr>
                <w:rFonts w:ascii="宋体" w:hAnsi="宋体" w:cs="Arial"/>
                <w:color w:val="auto"/>
                <w:sz w:val="18"/>
                <w:szCs w:val="18"/>
              </w:rPr>
            </w:pPr>
            <w:r>
              <w:rPr>
                <w:rFonts w:hint="eastAsia" w:ascii="宋体" w:hAnsi="宋体" w:cs="Arial"/>
                <w:color w:val="auto"/>
                <w:sz w:val="18"/>
                <w:szCs w:val="18"/>
              </w:rPr>
              <w:t>4.触控展示系统：屏幕尺寸≥21.5英寸，分辨率≥1920*1080，亮度≥250cd/m²，响应时间＜3ms；配套展示信息。</w:t>
            </w:r>
          </w:p>
          <w:p w14:paraId="2E6814DD">
            <w:pPr>
              <w:widowControl/>
              <w:spacing w:line="400" w:lineRule="exact"/>
              <w:jc w:val="left"/>
              <w:rPr>
                <w:rFonts w:ascii="宋体" w:hAnsi="宋体" w:cs="Arial"/>
                <w:color w:val="auto"/>
                <w:sz w:val="18"/>
                <w:szCs w:val="18"/>
              </w:rPr>
            </w:pPr>
            <w:r>
              <w:rPr>
                <w:rFonts w:hint="eastAsia" w:ascii="宋体" w:hAnsi="宋体" w:cs="Arial"/>
                <w:color w:val="auto"/>
                <w:sz w:val="18"/>
                <w:szCs w:val="18"/>
              </w:rPr>
              <w:t>5.演示三维动画时长≥100秒，能模拟演示火灾报警、喷淋、卷帘等系统的工作过程。</w:t>
            </w:r>
          </w:p>
        </w:tc>
        <w:tc>
          <w:tcPr>
            <w:tcW w:w="900" w:type="dxa"/>
            <w:tcBorders>
              <w:top w:val="nil"/>
              <w:left w:val="nil"/>
              <w:bottom w:val="single" w:color="auto" w:sz="4" w:space="0"/>
              <w:right w:val="single" w:color="auto" w:sz="4" w:space="0"/>
            </w:tcBorders>
            <w:vAlign w:val="center"/>
          </w:tcPr>
          <w:p w14:paraId="69F521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13F7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B17D0AF">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20A2AC7">
            <w:pPr>
              <w:widowControl/>
              <w:spacing w:line="400" w:lineRule="exact"/>
              <w:jc w:val="left"/>
              <w:rPr>
                <w:rFonts w:ascii="宋体" w:hAnsi="宋体" w:cs="Arial"/>
                <w:color w:val="auto"/>
                <w:sz w:val="18"/>
                <w:szCs w:val="18"/>
              </w:rPr>
            </w:pPr>
            <w:r>
              <w:rPr>
                <w:rFonts w:hint="eastAsia" w:ascii="宋体" w:hAnsi="宋体" w:cs="Arial"/>
                <w:color w:val="auto"/>
                <w:sz w:val="18"/>
                <w:szCs w:val="18"/>
              </w:rPr>
              <w:t>社区防灾协作空间</w:t>
            </w:r>
          </w:p>
        </w:tc>
      </w:tr>
      <w:tr w14:paraId="5256332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BADB2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1B327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“一村一策 ”协作图</w:t>
            </w:r>
          </w:p>
        </w:tc>
        <w:tc>
          <w:tcPr>
            <w:tcW w:w="5717" w:type="dxa"/>
            <w:tcBorders>
              <w:top w:val="nil"/>
              <w:left w:val="nil"/>
              <w:bottom w:val="single" w:color="auto" w:sz="4" w:space="0"/>
              <w:right w:val="single" w:color="auto" w:sz="4" w:space="0"/>
            </w:tcBorders>
            <w:vAlign w:val="center"/>
          </w:tcPr>
          <w:p w14:paraId="18C5971D">
            <w:pPr>
              <w:widowControl/>
              <w:spacing w:line="400" w:lineRule="exact"/>
              <w:jc w:val="left"/>
              <w:rPr>
                <w:rFonts w:ascii="宋体" w:hAnsi="宋体" w:cs="Arial"/>
                <w:color w:val="auto"/>
                <w:sz w:val="18"/>
                <w:szCs w:val="18"/>
              </w:rPr>
            </w:pPr>
            <w:r>
              <w:rPr>
                <w:rFonts w:hint="eastAsia" w:ascii="宋体" w:hAnsi="宋体" w:cs="Arial"/>
                <w:color w:val="auto"/>
                <w:sz w:val="18"/>
                <w:szCs w:val="18"/>
              </w:rPr>
              <w:t>针对本县45个高风险村/社区编制印刷版“一村一策”协作图。协作图作为村级防灾减灾的核心操作工具，以县级风险普查基础数据库为唯一数据源，精准标注灾害风险点位、规划逃生路线、明确应急物资储备点位，确保策略可执行、路径可操作、物资可调用，实现防灾减灾工作向村级的精准延伸。</w:t>
            </w:r>
          </w:p>
          <w:p w14:paraId="2100CAE0">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包含灾害风险标注、逃生路线规划、避难场所标注、应急物资储备点位等内容。</w:t>
            </w:r>
          </w:p>
        </w:tc>
        <w:tc>
          <w:tcPr>
            <w:tcW w:w="900" w:type="dxa"/>
            <w:tcBorders>
              <w:top w:val="nil"/>
              <w:left w:val="nil"/>
              <w:bottom w:val="single" w:color="auto" w:sz="4" w:space="0"/>
              <w:right w:val="single" w:color="auto" w:sz="4" w:space="0"/>
            </w:tcBorders>
            <w:vAlign w:val="center"/>
          </w:tcPr>
          <w:p w14:paraId="3673C2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207DA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2C422D4E">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C8743D6">
            <w:pPr>
              <w:widowControl/>
              <w:spacing w:line="400" w:lineRule="exact"/>
              <w:jc w:val="left"/>
              <w:rPr>
                <w:rFonts w:ascii="宋体" w:hAnsi="宋体" w:cs="Arial"/>
                <w:color w:val="auto"/>
                <w:sz w:val="18"/>
                <w:szCs w:val="18"/>
              </w:rPr>
            </w:pPr>
            <w:r>
              <w:rPr>
                <w:rFonts w:hint="eastAsia" w:ascii="宋体" w:hAnsi="宋体" w:cs="Arial"/>
                <w:color w:val="auto"/>
                <w:sz w:val="18"/>
                <w:szCs w:val="18"/>
              </w:rPr>
              <w:t>安全教育体验区</w:t>
            </w:r>
          </w:p>
        </w:tc>
      </w:tr>
      <w:tr w14:paraId="5B39695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D0C4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1105B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案例警示装置</w:t>
            </w:r>
          </w:p>
        </w:tc>
        <w:tc>
          <w:tcPr>
            <w:tcW w:w="5717" w:type="dxa"/>
            <w:tcBorders>
              <w:top w:val="nil"/>
              <w:left w:val="nil"/>
              <w:bottom w:val="single" w:color="auto" w:sz="4" w:space="0"/>
              <w:right w:val="single" w:color="auto" w:sz="4" w:space="0"/>
            </w:tcBorders>
            <w:vAlign w:val="center"/>
          </w:tcPr>
          <w:p w14:paraId="73B69A7E">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通过显示内容轮播，聚焦生产安全领域的典型事故警示案例，以视频解析形式，展示违规操作、管理疏漏等诱因导致的事故后果，强化安全责任意识。</w:t>
            </w:r>
          </w:p>
          <w:p w14:paraId="40B3F5C6">
            <w:pPr>
              <w:widowControl/>
              <w:spacing w:line="400" w:lineRule="exact"/>
              <w:jc w:val="left"/>
              <w:rPr>
                <w:rFonts w:ascii="宋体" w:hAnsi="宋体" w:cs="Arial"/>
                <w:color w:val="auto"/>
                <w:sz w:val="18"/>
                <w:szCs w:val="18"/>
              </w:rPr>
            </w:pPr>
            <w:r>
              <w:rPr>
                <w:rFonts w:hint="eastAsia" w:ascii="宋体" w:hAnsi="宋体" w:cs="Arial"/>
                <w:color w:val="auto"/>
                <w:sz w:val="18"/>
                <w:szCs w:val="18"/>
              </w:rPr>
              <w:t>1.展示系统：尺寸≥55英寸，刷新率≥144Hz，内存≥3GB，存储≥64GB，响应时间＜9.5ms；配套展示信息。</w:t>
            </w:r>
          </w:p>
          <w:p w14:paraId="2BA2F6EE">
            <w:pPr>
              <w:widowControl/>
              <w:spacing w:line="400" w:lineRule="exact"/>
              <w:jc w:val="left"/>
              <w:rPr>
                <w:rFonts w:ascii="宋体" w:hAnsi="宋体" w:cs="Arial"/>
                <w:color w:val="auto"/>
                <w:sz w:val="18"/>
                <w:szCs w:val="18"/>
              </w:rPr>
            </w:pPr>
            <w:r>
              <w:rPr>
                <w:rFonts w:hint="eastAsia" w:ascii="宋体" w:hAnsi="宋体" w:cs="Arial"/>
                <w:color w:val="auto"/>
                <w:sz w:val="18"/>
                <w:szCs w:val="18"/>
              </w:rPr>
              <w:t>2.内容为盱眙地方特色案例视频，聚焦生产安全领域，强化人员安全意识，视频长度≥120s。</w:t>
            </w:r>
          </w:p>
        </w:tc>
        <w:tc>
          <w:tcPr>
            <w:tcW w:w="900" w:type="dxa"/>
            <w:tcBorders>
              <w:top w:val="nil"/>
              <w:left w:val="nil"/>
              <w:bottom w:val="single" w:color="auto" w:sz="4" w:space="0"/>
              <w:right w:val="single" w:color="auto" w:sz="4" w:space="0"/>
            </w:tcBorders>
            <w:vAlign w:val="center"/>
          </w:tcPr>
          <w:p w14:paraId="25E7C7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DF43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720999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8BF6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884B3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安全带坠落模拟平台</w:t>
            </w:r>
          </w:p>
        </w:tc>
        <w:tc>
          <w:tcPr>
            <w:tcW w:w="5717" w:type="dxa"/>
            <w:tcBorders>
              <w:top w:val="nil"/>
              <w:left w:val="nil"/>
              <w:bottom w:val="single" w:color="auto" w:sz="4" w:space="0"/>
              <w:right w:val="single" w:color="auto" w:sz="4" w:space="0"/>
            </w:tcBorders>
            <w:vAlign w:val="center"/>
          </w:tcPr>
          <w:p w14:paraId="3F670FA4">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配备智能主机、触摸屏、安全带装置、VR头显、升降平台等；</w:t>
            </w:r>
          </w:p>
          <w:p w14:paraId="15291750">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系统结合VR技术，由知识科普、使用演示、知识考核和坠落体验等板块组成；</w:t>
            </w:r>
          </w:p>
          <w:p w14:paraId="3B37EAA1">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知识科普中版块中使体验者能全面了解安全带的重要性和使用方法；</w:t>
            </w:r>
          </w:p>
          <w:p w14:paraId="52A024ED">
            <w:pPr>
              <w:widowControl/>
              <w:spacing w:line="400" w:lineRule="exact"/>
              <w:jc w:val="left"/>
              <w:rPr>
                <w:rFonts w:ascii="宋体" w:hAnsi="宋体" w:cs="Arial"/>
                <w:color w:val="auto"/>
                <w:sz w:val="18"/>
                <w:szCs w:val="18"/>
              </w:rPr>
            </w:pPr>
            <w:r>
              <w:rPr>
                <w:rFonts w:hint="eastAsia" w:ascii="宋体" w:hAnsi="宋体" w:cs="Arial"/>
                <w:color w:val="auto"/>
                <w:sz w:val="18"/>
                <w:szCs w:val="18"/>
              </w:rPr>
              <w:t>使用演示模块中体验者可直观学习安全带使用教程；</w:t>
            </w:r>
          </w:p>
          <w:p w14:paraId="21ACC12B">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知识考核检测体验者所学习的知识点；</w:t>
            </w:r>
          </w:p>
          <w:p w14:paraId="473E15BB">
            <w:pPr>
              <w:widowControl/>
              <w:spacing w:line="400" w:lineRule="exact"/>
              <w:jc w:val="left"/>
              <w:rPr>
                <w:rFonts w:ascii="宋体" w:hAnsi="宋体" w:cs="Arial"/>
                <w:color w:val="auto"/>
                <w:sz w:val="18"/>
                <w:szCs w:val="18"/>
              </w:rPr>
            </w:pPr>
            <w:r>
              <w:rPr>
                <w:rFonts w:hint="eastAsia" w:ascii="宋体" w:hAnsi="宋体" w:cs="Arial"/>
                <w:color w:val="auto"/>
                <w:sz w:val="18"/>
                <w:szCs w:val="18"/>
              </w:rPr>
              <w:t>坠落体验模块包含多种VR场景，可选择任一场景挑战；</w:t>
            </w:r>
          </w:p>
          <w:p w14:paraId="7A0C8138">
            <w:pPr>
              <w:widowControl/>
              <w:spacing w:line="400" w:lineRule="exact"/>
              <w:jc w:val="left"/>
              <w:rPr>
                <w:rFonts w:ascii="宋体" w:hAnsi="宋体" w:cs="Arial"/>
                <w:color w:val="auto"/>
                <w:sz w:val="18"/>
                <w:szCs w:val="18"/>
              </w:rPr>
            </w:pPr>
            <w:r>
              <w:rPr>
                <w:rFonts w:hint="eastAsia" w:ascii="宋体" w:hAnsi="宋体" w:cs="Arial"/>
                <w:color w:val="auto"/>
                <w:sz w:val="18"/>
                <w:szCs w:val="18"/>
              </w:rPr>
              <w:t>升降平台与软件内容相联动，模拟真实坠落体验。</w:t>
            </w:r>
          </w:p>
          <w:p w14:paraId="6CC7A9DD">
            <w:pPr>
              <w:widowControl/>
              <w:spacing w:line="400" w:lineRule="exact"/>
              <w:jc w:val="left"/>
              <w:rPr>
                <w:rFonts w:ascii="宋体" w:hAnsi="宋体" w:cs="Arial"/>
                <w:color w:val="auto"/>
                <w:sz w:val="18"/>
                <w:szCs w:val="18"/>
              </w:rPr>
            </w:pPr>
          </w:p>
          <w:p w14:paraId="3753ACD2">
            <w:pPr>
              <w:widowControl/>
              <w:spacing w:line="400" w:lineRule="exact"/>
              <w:jc w:val="left"/>
              <w:rPr>
                <w:rFonts w:ascii="宋体" w:hAnsi="宋体" w:cs="Arial"/>
                <w:color w:val="auto"/>
                <w:sz w:val="18"/>
                <w:szCs w:val="18"/>
              </w:rPr>
            </w:pPr>
            <w:r>
              <w:rPr>
                <w:rFonts w:hint="eastAsia" w:ascii="宋体" w:hAnsi="宋体" w:cs="Arial"/>
                <w:color w:val="auto"/>
                <w:sz w:val="18"/>
                <w:szCs w:val="18"/>
              </w:rPr>
              <w:t>1.升降平台通过气缸进行升降操作，升降尺寸≥25公分；</w:t>
            </w:r>
          </w:p>
          <w:p w14:paraId="1805C52C">
            <w:pPr>
              <w:widowControl/>
              <w:spacing w:line="400" w:lineRule="exact"/>
              <w:jc w:val="left"/>
              <w:rPr>
                <w:rFonts w:ascii="宋体" w:hAnsi="宋体" w:cs="Arial"/>
                <w:color w:val="auto"/>
                <w:sz w:val="18"/>
                <w:szCs w:val="18"/>
              </w:rPr>
            </w:pPr>
            <w:r>
              <w:rPr>
                <w:rFonts w:hint="eastAsia" w:ascii="宋体" w:hAnsi="宋体" w:cs="Arial"/>
                <w:color w:val="auto"/>
                <w:sz w:val="18"/>
                <w:szCs w:val="18"/>
              </w:rPr>
              <w:t>2.VR头显分辨率≥2560x1440，视场角≥98°；</w:t>
            </w:r>
          </w:p>
          <w:p w14:paraId="6B632832">
            <w:pPr>
              <w:widowControl/>
              <w:spacing w:line="400" w:lineRule="exact"/>
              <w:jc w:val="left"/>
              <w:rPr>
                <w:rFonts w:hint="eastAsia" w:ascii="宋体" w:hAnsi="宋体" w:cs="Arial"/>
                <w:color w:val="auto"/>
                <w:sz w:val="18"/>
                <w:szCs w:val="18"/>
              </w:rPr>
            </w:pPr>
            <w:r>
              <w:rPr>
                <w:rFonts w:hint="eastAsia" w:ascii="宋体" w:hAnsi="宋体" w:cs="Arial"/>
                <w:color w:val="auto"/>
                <w:sz w:val="18"/>
                <w:szCs w:val="18"/>
              </w:rPr>
              <w:t>3.触摸交互系统：屏幕尺寸≥18.5英寸，分辨率≥1366*768，亮度≥250cd/m²，响应时间＜3ms；配套触摸交互展示场景。</w:t>
            </w:r>
          </w:p>
          <w:p w14:paraId="5880C308">
            <w:pPr>
              <w:widowControl/>
              <w:spacing w:line="400" w:lineRule="exact"/>
              <w:jc w:val="left"/>
              <w:rPr>
                <w:rFonts w:ascii="宋体" w:hAnsi="宋体" w:cs="Arial"/>
                <w:color w:val="auto"/>
                <w:sz w:val="18"/>
                <w:szCs w:val="18"/>
              </w:rPr>
            </w:pPr>
            <w:r>
              <w:rPr>
                <w:rFonts w:hint="eastAsia" w:ascii="宋体" w:hAnsi="宋体" w:cs="Arial"/>
                <w:color w:val="auto"/>
                <w:sz w:val="18"/>
                <w:szCs w:val="18"/>
              </w:rPr>
              <w:t>4.智能主机：内存≥8GB，硬盘≥256GB；</w:t>
            </w:r>
          </w:p>
          <w:p w14:paraId="1043FABE">
            <w:pPr>
              <w:widowControl/>
              <w:spacing w:line="400" w:lineRule="exact"/>
              <w:jc w:val="left"/>
              <w:rPr>
                <w:rFonts w:ascii="宋体" w:hAnsi="宋体" w:cs="Arial"/>
                <w:color w:val="auto"/>
                <w:sz w:val="18"/>
                <w:szCs w:val="18"/>
              </w:rPr>
            </w:pPr>
            <w:r>
              <w:rPr>
                <w:rFonts w:hint="eastAsia" w:ascii="宋体" w:hAnsi="宋体" w:cs="Arial"/>
                <w:color w:val="auto"/>
                <w:sz w:val="18"/>
                <w:szCs w:val="18"/>
              </w:rPr>
              <w:t>5.VR 体验场景≥9个(如高塔维修、绝缘子维修、升降车作业、可移动脚手架、仓库整理、私搭平台、墙外脚手架拆除、墙体维修、洞口坠落等)。</w:t>
            </w:r>
          </w:p>
          <w:p w14:paraId="101E2B38">
            <w:pPr>
              <w:widowControl/>
              <w:spacing w:line="400" w:lineRule="exact"/>
              <w:jc w:val="left"/>
              <w:rPr>
                <w:rFonts w:ascii="宋体" w:hAnsi="宋体" w:cs="Arial"/>
                <w:color w:val="auto"/>
                <w:sz w:val="18"/>
                <w:szCs w:val="18"/>
              </w:rPr>
            </w:pPr>
          </w:p>
          <w:p w14:paraId="25F3B4B1">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▲提供安全带坠落模拟平台展项的总装图、装配图、电气图、系统流程图、AV流程图。</w:t>
            </w:r>
          </w:p>
        </w:tc>
        <w:tc>
          <w:tcPr>
            <w:tcW w:w="900" w:type="dxa"/>
            <w:tcBorders>
              <w:top w:val="nil"/>
              <w:left w:val="nil"/>
              <w:bottom w:val="single" w:color="auto" w:sz="4" w:space="0"/>
              <w:right w:val="single" w:color="auto" w:sz="4" w:space="0"/>
            </w:tcBorders>
            <w:vAlign w:val="center"/>
          </w:tcPr>
          <w:p w14:paraId="1167BA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36F5B2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6E26A64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4066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42AB14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综合伤害体验装置</w:t>
            </w:r>
          </w:p>
        </w:tc>
        <w:tc>
          <w:tcPr>
            <w:tcW w:w="5717" w:type="dxa"/>
            <w:tcBorders>
              <w:top w:val="nil"/>
              <w:left w:val="nil"/>
              <w:bottom w:val="single" w:color="auto" w:sz="4" w:space="0"/>
              <w:right w:val="single" w:color="auto" w:sz="4" w:space="0"/>
            </w:tcBorders>
            <w:vAlign w:val="center"/>
          </w:tcPr>
          <w:p w14:paraId="16B3FC32">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配备主机、触摸交互系统、坠物模块、安全鞋防护模块、压力机夹手模块和触电模块、额外附</w:t>
            </w:r>
            <w:r>
              <w:rPr>
                <w:rFonts w:hint="eastAsia" w:ascii="宋体" w:hAnsi="宋体" w:cs="Arial"/>
                <w:color w:val="auto"/>
                <w:sz w:val="18"/>
                <w:szCs w:val="18"/>
                <w:lang w:val="en-US" w:eastAsia="zh-CN"/>
              </w:rPr>
              <w:t>戴</w:t>
            </w:r>
            <w:r>
              <w:rPr>
                <w:rFonts w:hint="eastAsia" w:ascii="宋体" w:hAnsi="宋体" w:cs="Arial"/>
                <w:color w:val="auto"/>
                <w:sz w:val="18"/>
                <w:szCs w:val="18"/>
              </w:rPr>
              <w:t>安全帽；</w:t>
            </w:r>
          </w:p>
          <w:p w14:paraId="2A5A4007">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系统将理论知识教育、安全知识考核和实体伤害模拟体验结合，含多个培训板块：模拟安全帽坠物体验、安全鞋防护体验、防触电体验和压力机夹手体验；</w:t>
            </w:r>
          </w:p>
          <w:p w14:paraId="1CA5861C">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实物联动装置模拟高空坠物、重物砸脚、机械夹手、漏电触电(16v、18v、20v和24v)等事故，给用户真实体验反馈，并通过系统性测试，将力度调整至安全的范围内，使体验者感受事故发生的冲击感和恐惧感，提高体验者安全意识，达到安全培训目的。</w:t>
            </w:r>
          </w:p>
          <w:p w14:paraId="213EB58B">
            <w:pPr>
              <w:widowControl/>
              <w:spacing w:line="400" w:lineRule="exact"/>
              <w:jc w:val="left"/>
              <w:rPr>
                <w:rFonts w:ascii="宋体" w:hAnsi="宋体" w:cs="Arial"/>
                <w:color w:val="auto"/>
                <w:sz w:val="18"/>
                <w:szCs w:val="18"/>
              </w:rPr>
            </w:pPr>
          </w:p>
          <w:p w14:paraId="6477A566">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1.触摸交互系统：屏幕≥21.5英寸，分辨率≥1366*768，亮度≥250cd/m²，响应时间＜3ms；支持触摸交互联动功能。</w:t>
            </w:r>
          </w:p>
          <w:p w14:paraId="75FDE9CA">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52BA396F">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3.配备坠物模拟模块、安全鞋防护模块、压力机夹手模块、触电模块等实体伤害模拟装置；</w:t>
            </w:r>
          </w:p>
          <w:p w14:paraId="4CC4C6B2">
            <w:pPr>
              <w:widowControl/>
              <w:spacing w:line="400" w:lineRule="exact"/>
              <w:jc w:val="left"/>
              <w:rPr>
                <w:rFonts w:ascii="宋体" w:hAnsi="宋体" w:cs="Arial"/>
                <w:color w:val="auto"/>
                <w:sz w:val="18"/>
                <w:szCs w:val="18"/>
              </w:rPr>
            </w:pPr>
            <w:r>
              <w:rPr>
                <w:rFonts w:hint="eastAsia" w:ascii="宋体" w:hAnsi="宋体" w:cs="Arial"/>
                <w:color w:val="auto"/>
                <w:sz w:val="18"/>
                <w:szCs w:val="18"/>
              </w:rPr>
              <w:t>4.联动功能包含模拟安全帽坠物体验、安全鞋防护体验、防触电体验、压力机夹手体验；具备三位一体综合培训模式，可实现理论知识教育、安全知识考核、实体伤害模拟体验三者结合；具备实物联动装置，可模拟高空坠物、重物砸脚、机械夹手、漏电触电等事故场景，其中漏电触电需支持 16V、18V、20V、24V 多档位调节；具备安全力度调控功能，通过系统性测试将体验力度调整至安全范围。</w:t>
            </w:r>
          </w:p>
          <w:p w14:paraId="1ECAD67E">
            <w:pPr>
              <w:widowControl/>
              <w:spacing w:line="400" w:lineRule="exact"/>
              <w:jc w:val="left"/>
              <w:rPr>
                <w:rFonts w:ascii="宋体" w:hAnsi="宋体" w:cs="Arial"/>
                <w:color w:val="auto"/>
                <w:sz w:val="18"/>
                <w:szCs w:val="18"/>
              </w:rPr>
            </w:pPr>
          </w:p>
          <w:p w14:paraId="3836A929">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▲提供综合伤害体验装置展项的总装图、装配图、电气图、系统流程图、AV流程图。</w:t>
            </w:r>
          </w:p>
        </w:tc>
        <w:tc>
          <w:tcPr>
            <w:tcW w:w="900" w:type="dxa"/>
            <w:tcBorders>
              <w:top w:val="nil"/>
              <w:left w:val="nil"/>
              <w:bottom w:val="single" w:color="auto" w:sz="4" w:space="0"/>
              <w:right w:val="single" w:color="auto" w:sz="4" w:space="0"/>
            </w:tcBorders>
            <w:vAlign w:val="center"/>
          </w:tcPr>
          <w:p w14:paraId="240465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7C6513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5E9757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BC724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1C2C4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机械事故模拟平台</w:t>
            </w:r>
          </w:p>
        </w:tc>
        <w:tc>
          <w:tcPr>
            <w:tcW w:w="5717" w:type="dxa"/>
            <w:tcBorders>
              <w:top w:val="nil"/>
              <w:left w:val="nil"/>
              <w:bottom w:val="single" w:color="auto" w:sz="4" w:space="0"/>
              <w:right w:val="single" w:color="auto" w:sz="4" w:space="0"/>
            </w:tcBorders>
            <w:vAlign w:val="center"/>
          </w:tcPr>
          <w:p w14:paraId="3EDED98D">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配备主机、触摸交互系统、高温烫伤模块、尖锐穿刺模块、利刃割伤模块、轧机夹伤模块、旋转绞伤模块；</w:t>
            </w:r>
          </w:p>
          <w:p w14:paraId="486A0EEE">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体验项目包含高温烫伤、尖锐穿刺、利刃割伤、轧机夹伤、旋转绞伤等板块；</w:t>
            </w:r>
          </w:p>
          <w:p w14:paraId="477E3E12">
            <w:pPr>
              <w:widowControl/>
              <w:spacing w:line="400" w:lineRule="exact"/>
              <w:jc w:val="left"/>
              <w:rPr>
                <w:rFonts w:ascii="宋体" w:hAnsi="宋体" w:cs="Arial"/>
                <w:color w:val="auto"/>
                <w:sz w:val="18"/>
                <w:szCs w:val="18"/>
              </w:rPr>
            </w:pPr>
            <w:r>
              <w:rPr>
                <w:rFonts w:hint="eastAsia" w:ascii="宋体" w:hAnsi="宋体" w:cs="Arial"/>
                <w:color w:val="auto"/>
                <w:sz w:val="18"/>
                <w:szCs w:val="18"/>
              </w:rPr>
              <w:t>通过预防措施、知识考核、实体伤害相结合，实现理论、考核、实体体验三位一体的综合培训；</w:t>
            </w:r>
          </w:p>
          <w:p w14:paraId="544E9D5A">
            <w:pPr>
              <w:widowControl/>
              <w:spacing w:line="400" w:lineRule="exact"/>
              <w:jc w:val="left"/>
              <w:rPr>
                <w:rFonts w:ascii="宋体" w:hAnsi="宋体" w:cs="Arial"/>
                <w:color w:val="auto"/>
                <w:sz w:val="18"/>
                <w:szCs w:val="18"/>
              </w:rPr>
            </w:pPr>
            <w:r>
              <w:rPr>
                <w:rFonts w:hint="eastAsia" w:ascii="宋体" w:hAnsi="宋体" w:cs="Arial"/>
                <w:color w:val="auto"/>
                <w:sz w:val="18"/>
                <w:szCs w:val="18"/>
              </w:rPr>
              <w:t>体验过程中在保证安全的前提下，使体验者感受事故发生的冲击感和恐惧感，提高体验者安全意识，达到安全培训目的。</w:t>
            </w:r>
          </w:p>
          <w:p w14:paraId="3CC5292C">
            <w:pPr>
              <w:widowControl/>
              <w:spacing w:line="400" w:lineRule="exact"/>
              <w:jc w:val="left"/>
              <w:rPr>
                <w:rFonts w:ascii="宋体" w:hAnsi="宋体" w:cs="Arial"/>
                <w:color w:val="auto"/>
                <w:sz w:val="18"/>
                <w:szCs w:val="18"/>
              </w:rPr>
            </w:pPr>
          </w:p>
          <w:p w14:paraId="30FACF7D">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1.触控交互系统：屏幕≥21.5英寸，分辨率≥1920*1080，亮度≥250cd/m²，响应时间＜3ms；配套触摸交互展示软件。</w:t>
            </w:r>
          </w:p>
          <w:p w14:paraId="362DD3C5">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0BA24065">
            <w:pPr>
              <w:widowControl/>
              <w:spacing w:line="400" w:lineRule="exact"/>
              <w:jc w:val="left"/>
              <w:rPr>
                <w:rFonts w:ascii="宋体" w:hAnsi="宋体" w:cs="Arial"/>
                <w:color w:val="auto"/>
                <w:sz w:val="18"/>
                <w:szCs w:val="18"/>
              </w:rPr>
            </w:pPr>
            <w:r>
              <w:rPr>
                <w:rFonts w:hint="eastAsia" w:ascii="宋体" w:hAnsi="宋体" w:cs="Arial"/>
                <w:color w:val="auto"/>
                <w:sz w:val="18"/>
                <w:szCs w:val="18"/>
              </w:rPr>
              <w:t>3.系统体验包含高温烫伤体验、尖锐穿刺体验、利刃割伤体验、轧机夹伤体验、旋转绞伤体验；每个体验含讲解、知识考核、实体伤害模拟三者结合。</w:t>
            </w:r>
          </w:p>
          <w:p w14:paraId="3F989850">
            <w:pPr>
              <w:widowControl/>
              <w:spacing w:line="400" w:lineRule="exact"/>
              <w:jc w:val="left"/>
              <w:rPr>
                <w:rFonts w:ascii="宋体" w:hAnsi="宋体" w:cs="Arial"/>
                <w:color w:val="auto"/>
                <w:sz w:val="18"/>
                <w:szCs w:val="18"/>
              </w:rPr>
            </w:pPr>
          </w:p>
          <w:p w14:paraId="280ACE36">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▲提供机械事故模拟平台展项的总装图、装配图、电气图、系统流程图、AV流程图。</w:t>
            </w:r>
          </w:p>
        </w:tc>
        <w:tc>
          <w:tcPr>
            <w:tcW w:w="900" w:type="dxa"/>
            <w:tcBorders>
              <w:top w:val="nil"/>
              <w:left w:val="nil"/>
              <w:bottom w:val="single" w:color="auto" w:sz="4" w:space="0"/>
              <w:right w:val="single" w:color="auto" w:sz="4" w:space="0"/>
            </w:tcBorders>
            <w:vAlign w:val="center"/>
          </w:tcPr>
          <w:p w14:paraId="4195B3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7265D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5A7E90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4C10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925AA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综合安全用电模拟平台</w:t>
            </w:r>
          </w:p>
        </w:tc>
        <w:tc>
          <w:tcPr>
            <w:tcW w:w="5717" w:type="dxa"/>
            <w:tcBorders>
              <w:top w:val="nil"/>
              <w:left w:val="nil"/>
              <w:bottom w:val="single" w:color="auto" w:sz="4" w:space="0"/>
              <w:right w:val="single" w:color="auto" w:sz="4" w:space="0"/>
            </w:tcBorders>
            <w:vAlign w:val="center"/>
          </w:tcPr>
          <w:p w14:paraId="22A17E5A">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配备主机、触摸交互系统、干湿触电模块、过载模块、短路模块、电流表、电压表；</w:t>
            </w:r>
          </w:p>
          <w:p w14:paraId="43608978">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系统包括知识科普、警示案例、知识考核和智能模拟板块；</w:t>
            </w:r>
          </w:p>
          <w:p w14:paraId="68F4079E">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知识科普含触电、短路和过载等相关知识；</w:t>
            </w:r>
          </w:p>
          <w:p w14:paraId="3270830D">
            <w:pPr>
              <w:widowControl/>
              <w:spacing w:line="400" w:lineRule="exact"/>
              <w:jc w:val="left"/>
              <w:rPr>
                <w:rFonts w:ascii="宋体" w:hAnsi="宋体" w:cs="Arial"/>
                <w:color w:val="auto"/>
                <w:sz w:val="18"/>
                <w:szCs w:val="18"/>
              </w:rPr>
            </w:pPr>
            <w:r>
              <w:rPr>
                <w:rFonts w:hint="eastAsia" w:ascii="宋体" w:hAnsi="宋体" w:cs="Arial"/>
                <w:color w:val="auto"/>
                <w:sz w:val="18"/>
                <w:szCs w:val="18"/>
              </w:rPr>
              <w:t>警示案例通过视频科普了解触电、短路和过载的危害；</w:t>
            </w:r>
          </w:p>
          <w:p w14:paraId="06F87E18">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知识考核检测体验者所学习的知识点，加强体验者对相关知识掌握；</w:t>
            </w:r>
          </w:p>
          <w:p w14:paraId="4E377981">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智能模拟板块通过在智能触电模拟体验装置中设置4档电压，使体验者感受不同电压带来的电击感；并配备漏电保护器，使体验更加安全；</w:t>
            </w:r>
          </w:p>
          <w:p w14:paraId="6252F944">
            <w:pPr>
              <w:widowControl/>
              <w:spacing w:line="400" w:lineRule="exact"/>
              <w:jc w:val="left"/>
              <w:rPr>
                <w:rFonts w:ascii="宋体" w:hAnsi="宋体" w:cs="Arial"/>
                <w:color w:val="auto"/>
                <w:sz w:val="18"/>
                <w:szCs w:val="18"/>
              </w:rPr>
            </w:pPr>
            <w:r>
              <w:rPr>
                <w:rFonts w:hint="eastAsia" w:ascii="宋体" w:hAnsi="宋体" w:cs="Arial"/>
                <w:color w:val="auto"/>
                <w:sz w:val="18"/>
                <w:szCs w:val="18"/>
              </w:rPr>
              <w:t>在电路短路、过载模拟体验版块中，通过改变安全屋内导线的电流电压值，模拟还原了电路短路、过载发生时的危害。</w:t>
            </w:r>
          </w:p>
          <w:p w14:paraId="1DE4DBE8">
            <w:pPr>
              <w:widowControl/>
              <w:spacing w:line="400" w:lineRule="exact"/>
              <w:jc w:val="left"/>
              <w:rPr>
                <w:rFonts w:ascii="宋体" w:hAnsi="宋体" w:cs="Arial"/>
                <w:color w:val="auto"/>
                <w:sz w:val="18"/>
                <w:szCs w:val="18"/>
              </w:rPr>
            </w:pPr>
          </w:p>
          <w:p w14:paraId="5CAFF848">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1.触控交互系统≥18.5英寸，分辨率≥1366*768，亮度≥250cd/m²，响应时间＜3ms；配套触摸交互展示软件。</w:t>
            </w:r>
          </w:p>
          <w:p w14:paraId="302855AF">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46E2944D">
            <w:pPr>
              <w:widowControl/>
              <w:spacing w:line="400" w:lineRule="exact"/>
              <w:jc w:val="left"/>
              <w:rPr>
                <w:rFonts w:ascii="宋体" w:hAnsi="宋体" w:cs="Arial"/>
                <w:color w:val="auto"/>
                <w:sz w:val="18"/>
                <w:szCs w:val="18"/>
              </w:rPr>
            </w:pPr>
            <w:r>
              <w:rPr>
                <w:rFonts w:hint="eastAsia" w:ascii="宋体" w:hAnsi="宋体" w:cs="Arial"/>
                <w:color w:val="auto"/>
                <w:sz w:val="18"/>
                <w:szCs w:val="18"/>
              </w:rPr>
              <w:t>3.干湿触电模拟模块：提供16v、18v、20v和24v四档电压，包含过载模块、短路模块；</w:t>
            </w:r>
          </w:p>
          <w:p w14:paraId="6B8B37C0">
            <w:pPr>
              <w:widowControl/>
              <w:spacing w:line="400" w:lineRule="exact"/>
              <w:jc w:val="left"/>
              <w:rPr>
                <w:rFonts w:ascii="宋体" w:hAnsi="宋体" w:cs="Arial"/>
                <w:color w:val="auto"/>
                <w:sz w:val="18"/>
                <w:szCs w:val="18"/>
              </w:rPr>
            </w:pPr>
            <w:r>
              <w:rPr>
                <w:rFonts w:hint="eastAsia" w:ascii="宋体" w:hAnsi="宋体" w:cs="Arial"/>
                <w:color w:val="auto"/>
                <w:sz w:val="18"/>
                <w:szCs w:val="18"/>
              </w:rPr>
              <w:t>4.软件功能包含知识科普、警示案例、知识考核、智能模拟。</w:t>
            </w:r>
          </w:p>
          <w:p w14:paraId="6CD8AA25">
            <w:pPr>
              <w:widowControl/>
              <w:spacing w:line="400" w:lineRule="exact"/>
              <w:jc w:val="left"/>
              <w:rPr>
                <w:rFonts w:ascii="宋体" w:hAnsi="宋体" w:cs="Arial"/>
                <w:color w:val="auto"/>
                <w:sz w:val="18"/>
                <w:szCs w:val="18"/>
              </w:rPr>
            </w:pPr>
          </w:p>
          <w:p w14:paraId="450BDAEE">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▲提供综合安全用电模拟平台展项的总装图、装配图、电气图、系统流程图、AV流程图。</w:t>
            </w:r>
          </w:p>
        </w:tc>
        <w:tc>
          <w:tcPr>
            <w:tcW w:w="900" w:type="dxa"/>
            <w:tcBorders>
              <w:top w:val="nil"/>
              <w:left w:val="nil"/>
              <w:bottom w:val="single" w:color="auto" w:sz="4" w:space="0"/>
              <w:right w:val="single" w:color="auto" w:sz="4" w:space="0"/>
            </w:tcBorders>
            <w:vAlign w:val="center"/>
          </w:tcPr>
          <w:p w14:paraId="72DAA6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93D74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F2452D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A3F9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E9463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粉尘爆炸模拟</w:t>
            </w:r>
          </w:p>
        </w:tc>
        <w:tc>
          <w:tcPr>
            <w:tcW w:w="5717" w:type="dxa"/>
            <w:tcBorders>
              <w:top w:val="nil"/>
              <w:left w:val="nil"/>
              <w:bottom w:val="single" w:color="auto" w:sz="4" w:space="0"/>
              <w:right w:val="single" w:color="auto" w:sz="4" w:space="0"/>
            </w:tcBorders>
            <w:vAlign w:val="center"/>
          </w:tcPr>
          <w:p w14:paraId="70ED3E3D">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配备仿真厂房模型、通风管道系统、遥控器、点火引燃装置、实体灭火器；</w:t>
            </w:r>
          </w:p>
          <w:p w14:paraId="4BBDC3CF">
            <w:pPr>
              <w:widowControl/>
              <w:spacing w:line="400" w:lineRule="exact"/>
              <w:jc w:val="left"/>
              <w:rPr>
                <w:rFonts w:ascii="宋体" w:hAnsi="宋体" w:cs="Arial"/>
                <w:color w:val="auto"/>
                <w:sz w:val="18"/>
                <w:szCs w:val="18"/>
              </w:rPr>
            </w:pPr>
            <w:r>
              <w:rPr>
                <w:rFonts w:hint="eastAsia" w:ascii="宋体" w:hAnsi="宋体" w:cs="Arial"/>
                <w:color w:val="auto"/>
                <w:sz w:val="18"/>
                <w:szCs w:val="18"/>
              </w:rPr>
              <w:t>展示密闭器皿用于存放粉尘，并与点火系统相连；通过在器皿内部引燃粉尘，可引发爆炸，模拟粉尘爆炸实际情况；</w:t>
            </w:r>
          </w:p>
          <w:p w14:paraId="0BA008B6">
            <w:pPr>
              <w:widowControl/>
              <w:spacing w:line="400" w:lineRule="exact"/>
              <w:jc w:val="left"/>
              <w:rPr>
                <w:rFonts w:ascii="宋体" w:hAnsi="宋体" w:cs="Arial"/>
                <w:color w:val="auto"/>
                <w:sz w:val="18"/>
                <w:szCs w:val="18"/>
              </w:rPr>
            </w:pPr>
            <w:r>
              <w:rPr>
                <w:rFonts w:hint="eastAsia" w:ascii="宋体" w:hAnsi="宋体" w:cs="Arial"/>
                <w:color w:val="auto"/>
                <w:sz w:val="18"/>
                <w:szCs w:val="18"/>
              </w:rPr>
              <w:t>能理解粉尘积累和爆炸过程中的潜在风险，激发对安全措施的重视，提高人员对粉尘爆炸危险的认识和理解。</w:t>
            </w:r>
          </w:p>
          <w:p w14:paraId="291B9423">
            <w:pPr>
              <w:widowControl/>
              <w:spacing w:line="400" w:lineRule="exact"/>
              <w:jc w:val="left"/>
              <w:rPr>
                <w:rFonts w:ascii="宋体" w:hAnsi="宋体" w:cs="Arial"/>
                <w:color w:val="auto"/>
                <w:sz w:val="18"/>
                <w:szCs w:val="18"/>
              </w:rPr>
            </w:pPr>
          </w:p>
          <w:p w14:paraId="2EE8287E">
            <w:pPr>
              <w:widowControl/>
              <w:spacing w:line="400" w:lineRule="exact"/>
              <w:jc w:val="left"/>
              <w:rPr>
                <w:rFonts w:ascii="宋体" w:hAnsi="宋体" w:cs="Arial"/>
                <w:color w:val="auto"/>
                <w:sz w:val="18"/>
                <w:szCs w:val="18"/>
              </w:rPr>
            </w:pPr>
            <w:r>
              <w:rPr>
                <w:rFonts w:hint="eastAsia" w:ascii="宋体" w:hAnsi="宋体" w:cs="Arial"/>
                <w:color w:val="auto"/>
                <w:sz w:val="18"/>
                <w:szCs w:val="18"/>
              </w:rPr>
              <w:t>1.仿真厂房模型：尺寸≥400(L)*260(W)*高240(H)mm，采用优质冷轧碳素结构钢薄板基材，通过静电粉末喷涂完成精密表面处理；</w:t>
            </w:r>
          </w:p>
          <w:p w14:paraId="3B5CA54E">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2.配件含通风管道、点火引燃装置、安全提示灯、紧急制动系统、灭火器等；</w:t>
            </w:r>
          </w:p>
          <w:p w14:paraId="339DE3CE">
            <w:pPr>
              <w:widowControl/>
              <w:spacing w:line="400" w:lineRule="exact"/>
              <w:jc w:val="left"/>
              <w:rPr>
                <w:rFonts w:ascii="宋体" w:hAnsi="宋体" w:cs="Arial"/>
                <w:color w:val="auto"/>
                <w:sz w:val="18"/>
                <w:szCs w:val="18"/>
              </w:rPr>
            </w:pPr>
            <w:r>
              <w:rPr>
                <w:rFonts w:hint="eastAsia" w:ascii="宋体" w:hAnsi="宋体" w:cs="Arial"/>
                <w:color w:val="auto"/>
                <w:sz w:val="18"/>
                <w:szCs w:val="18"/>
              </w:rPr>
              <w:t>3.支持遥控器控制触发。</w:t>
            </w:r>
          </w:p>
          <w:p w14:paraId="6BB313D8">
            <w:pPr>
              <w:widowControl/>
              <w:spacing w:line="400" w:lineRule="exact"/>
              <w:jc w:val="left"/>
              <w:rPr>
                <w:rFonts w:ascii="宋体" w:hAnsi="宋体" w:cs="Arial"/>
                <w:color w:val="auto"/>
                <w:sz w:val="18"/>
                <w:szCs w:val="18"/>
              </w:rPr>
            </w:pPr>
          </w:p>
          <w:p w14:paraId="3DA97CDC">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▲提供模拟粉尘爆炸模拟台展项的总装图、装配图、电气图、系统流程图、AV流程图。</w:t>
            </w:r>
          </w:p>
        </w:tc>
        <w:tc>
          <w:tcPr>
            <w:tcW w:w="900" w:type="dxa"/>
            <w:tcBorders>
              <w:top w:val="nil"/>
              <w:left w:val="nil"/>
              <w:bottom w:val="single" w:color="auto" w:sz="4" w:space="0"/>
              <w:right w:val="single" w:color="auto" w:sz="4" w:space="0"/>
            </w:tcBorders>
            <w:vAlign w:val="center"/>
          </w:tcPr>
          <w:p w14:paraId="2A27DD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65C54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071D95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F8B66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1F314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有限空间智能实训系统</w:t>
            </w:r>
          </w:p>
        </w:tc>
        <w:tc>
          <w:tcPr>
            <w:tcW w:w="5717" w:type="dxa"/>
            <w:tcBorders>
              <w:top w:val="nil"/>
              <w:left w:val="nil"/>
              <w:bottom w:val="single" w:color="auto" w:sz="4" w:space="0"/>
              <w:right w:val="single" w:color="auto" w:sz="4" w:space="0"/>
            </w:tcBorders>
            <w:vAlign w:val="center"/>
          </w:tcPr>
          <w:p w14:paraId="27C3AE68">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系统由学习课堂、知识考核以及仿真实训模块组成；</w:t>
            </w:r>
          </w:p>
          <w:p w14:paraId="2BFBD9BE">
            <w:pPr>
              <w:widowControl/>
              <w:spacing w:line="400" w:lineRule="exact"/>
              <w:jc w:val="left"/>
              <w:rPr>
                <w:rFonts w:ascii="宋体" w:hAnsi="宋体" w:cs="Arial"/>
                <w:color w:val="auto"/>
                <w:sz w:val="18"/>
                <w:szCs w:val="18"/>
              </w:rPr>
            </w:pPr>
            <w:r>
              <w:rPr>
                <w:rFonts w:hint="eastAsia" w:ascii="宋体" w:hAnsi="宋体" w:cs="Arial"/>
                <w:color w:val="auto"/>
                <w:sz w:val="18"/>
                <w:szCs w:val="18"/>
              </w:rPr>
              <w:t>学习课堂模块中，通过图文科普和3D模型，深入了解有限空间的相关知识；</w:t>
            </w:r>
          </w:p>
          <w:p w14:paraId="765E2859">
            <w:pPr>
              <w:widowControl/>
              <w:spacing w:line="400" w:lineRule="exact"/>
              <w:jc w:val="left"/>
              <w:rPr>
                <w:rFonts w:ascii="宋体" w:hAnsi="宋体" w:cs="Arial"/>
                <w:color w:val="auto"/>
                <w:sz w:val="18"/>
                <w:szCs w:val="18"/>
              </w:rPr>
            </w:pPr>
            <w:r>
              <w:rPr>
                <w:rFonts w:hint="eastAsia" w:ascii="宋体" w:hAnsi="宋体" w:cs="Arial"/>
                <w:color w:val="auto"/>
                <w:sz w:val="18"/>
                <w:szCs w:val="18"/>
              </w:rPr>
              <w:t>知识考核模块，能通过考核巩固知识点；</w:t>
            </w:r>
          </w:p>
          <w:p w14:paraId="262B93B1">
            <w:pPr>
              <w:widowControl/>
              <w:spacing w:line="400" w:lineRule="exact"/>
              <w:jc w:val="left"/>
              <w:rPr>
                <w:rFonts w:ascii="宋体" w:hAnsi="宋体" w:cs="Arial"/>
                <w:color w:val="auto"/>
                <w:sz w:val="18"/>
                <w:szCs w:val="18"/>
              </w:rPr>
            </w:pPr>
            <w:r>
              <w:rPr>
                <w:rFonts w:hint="eastAsia" w:ascii="宋体" w:hAnsi="宋体" w:cs="Arial"/>
                <w:color w:val="auto"/>
                <w:sz w:val="18"/>
                <w:szCs w:val="18"/>
              </w:rPr>
              <w:t>仿真实训模块包括“作业规范模拟”和“应急救援演练”等环节。</w:t>
            </w:r>
          </w:p>
          <w:p w14:paraId="20F3268A">
            <w:pPr>
              <w:widowControl/>
              <w:spacing w:line="400" w:lineRule="exact"/>
              <w:jc w:val="left"/>
              <w:rPr>
                <w:rFonts w:ascii="宋体" w:hAnsi="宋体" w:cs="Arial"/>
                <w:color w:val="auto"/>
                <w:sz w:val="18"/>
                <w:szCs w:val="18"/>
              </w:rPr>
            </w:pPr>
          </w:p>
          <w:p w14:paraId="266D87AC">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1.触摸交互系统：尺寸≥32英寸，分辨率≥1920*1080，亮度≥300cd/m²，响应时间＜5.5ms；配套触摸交互展示软件。</w:t>
            </w:r>
          </w:p>
          <w:p w14:paraId="751865FF">
            <w:pPr>
              <w:widowControl/>
              <w:spacing w:line="400" w:lineRule="exact"/>
              <w:jc w:val="left"/>
              <w:rPr>
                <w:rFonts w:ascii="宋体" w:hAnsi="宋体" w:cs="Arial"/>
                <w:color w:val="auto"/>
                <w:sz w:val="18"/>
                <w:szCs w:val="18"/>
              </w:rPr>
            </w:pPr>
            <w:r>
              <w:rPr>
                <w:rFonts w:hint="eastAsia" w:ascii="宋体" w:hAnsi="宋体" w:cs="Arial"/>
                <w:color w:val="auto"/>
                <w:sz w:val="18"/>
                <w:szCs w:val="18"/>
              </w:rPr>
              <w:t>2.智能主机：内存≥8GB，硬盘≥256GB；</w:t>
            </w:r>
          </w:p>
          <w:p w14:paraId="6067E42F">
            <w:pPr>
              <w:widowControl/>
              <w:spacing w:line="400" w:lineRule="exact"/>
              <w:jc w:val="left"/>
              <w:rPr>
                <w:rFonts w:ascii="宋体" w:hAnsi="宋体" w:cs="Arial"/>
                <w:color w:val="auto"/>
                <w:sz w:val="18"/>
                <w:szCs w:val="18"/>
              </w:rPr>
            </w:pPr>
            <w:r>
              <w:rPr>
                <w:rFonts w:hint="eastAsia" w:ascii="宋体" w:hAnsi="宋体" w:cs="Arial"/>
                <w:color w:val="auto"/>
                <w:sz w:val="18"/>
                <w:szCs w:val="18"/>
              </w:rPr>
              <w:t>3.配件含烟雾机、LED声光报警器、三脚架、手提式轴流风机、劳保用品、摄像头、仿真假人等设备；</w:t>
            </w:r>
          </w:p>
          <w:p w14:paraId="68F37A7A">
            <w:pPr>
              <w:widowControl/>
              <w:spacing w:line="400" w:lineRule="exact"/>
              <w:jc w:val="left"/>
              <w:rPr>
                <w:rFonts w:ascii="宋体" w:hAnsi="宋体" w:cs="Arial"/>
                <w:color w:val="auto"/>
                <w:sz w:val="18"/>
                <w:szCs w:val="18"/>
              </w:rPr>
            </w:pPr>
            <w:r>
              <w:rPr>
                <w:rFonts w:hint="eastAsia" w:ascii="宋体" w:hAnsi="宋体" w:cs="Arial"/>
                <w:color w:val="auto"/>
                <w:sz w:val="18"/>
                <w:szCs w:val="18"/>
              </w:rPr>
              <w:t>4.系统功能模块包含学习课堂、知识考核、仿真实训；具备图文、3D 模型多形式教学能力，可实现有限空间相关知识的深入科普与可视化展示；具备知识考核功能，可帮助体验者巩固知识点，检验有限空间安全知识掌握程度；具备双人协同实训功能，支持至少两名体验者分别担任监护人员和作业人员参与实训；具备仿真实训环节，可实现作业规范模拟与应急救援演练，作业规范模拟需涵盖设备检查、通风换气、气体检测等流程；具备软硬件联动功能，应急救援演练模块支持体验者同步操作软件选择劳保设备与穿戴真实劳保装备，利用三脚架或救援悬臂完成模拟受伤假人救援，且可联动烟雾机喷烟，还原真实有限空间场景。</w:t>
            </w:r>
          </w:p>
          <w:p w14:paraId="440CAAA9">
            <w:pPr>
              <w:widowControl/>
              <w:spacing w:line="400" w:lineRule="exact"/>
              <w:jc w:val="left"/>
              <w:rPr>
                <w:rFonts w:ascii="宋体" w:hAnsi="宋体" w:cs="Arial"/>
                <w:color w:val="auto"/>
                <w:sz w:val="18"/>
                <w:szCs w:val="18"/>
              </w:rPr>
            </w:pPr>
          </w:p>
          <w:p w14:paraId="25775F48">
            <w:pPr>
              <w:widowControl/>
              <w:spacing w:line="400" w:lineRule="exact"/>
              <w:jc w:val="left"/>
              <w:rPr>
                <w:rFonts w:ascii="宋体" w:hAnsi="宋体" w:cs="Arial"/>
                <w:color w:val="auto"/>
                <w:sz w:val="18"/>
                <w:szCs w:val="18"/>
              </w:rPr>
            </w:pPr>
            <w:r>
              <w:rPr>
                <w:rFonts w:hint="eastAsia" w:ascii="宋体" w:hAnsi="宋体" w:cs="Arial"/>
                <w:color w:val="auto"/>
                <w:sz w:val="18"/>
                <w:szCs w:val="18"/>
              </w:rPr>
              <w:t>▲提供有限空间实训系统展项的总装图、装配图、电气图、系统流程图、AV流程图。</w:t>
            </w:r>
          </w:p>
        </w:tc>
        <w:tc>
          <w:tcPr>
            <w:tcW w:w="900" w:type="dxa"/>
            <w:tcBorders>
              <w:top w:val="nil"/>
              <w:left w:val="nil"/>
              <w:bottom w:val="single" w:color="auto" w:sz="4" w:space="0"/>
              <w:right w:val="single" w:color="auto" w:sz="4" w:space="0"/>
            </w:tcBorders>
            <w:vAlign w:val="center"/>
          </w:tcPr>
          <w:p w14:paraId="6F8F1F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0A724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9294C3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50401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55AA90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智慧劳保用品展示</w:t>
            </w:r>
          </w:p>
        </w:tc>
        <w:tc>
          <w:tcPr>
            <w:tcW w:w="5717" w:type="dxa"/>
            <w:tcBorders>
              <w:top w:val="nil"/>
              <w:left w:val="nil"/>
              <w:bottom w:val="single" w:color="auto" w:sz="4" w:space="0"/>
              <w:right w:val="single" w:color="auto" w:sz="4" w:space="0"/>
            </w:tcBorders>
            <w:vAlign w:val="center"/>
          </w:tcPr>
          <w:p w14:paraId="3ECB1157">
            <w:pPr>
              <w:widowControl/>
              <w:spacing w:line="400" w:lineRule="exact"/>
              <w:jc w:val="left"/>
              <w:rPr>
                <w:rFonts w:ascii="宋体" w:hAnsi="宋体" w:cs="Arial"/>
                <w:color w:val="auto"/>
                <w:sz w:val="18"/>
                <w:szCs w:val="18"/>
              </w:rPr>
            </w:pPr>
            <w:r>
              <w:rPr>
                <w:rFonts w:hint="eastAsia" w:ascii="宋体" w:hAnsi="宋体" w:cs="Arial"/>
                <w:color w:val="auto"/>
                <w:sz w:val="18"/>
                <w:szCs w:val="18"/>
              </w:rPr>
              <w:t>配备触摸一体机、挂架配件、劳保装备实物若干；</w:t>
            </w:r>
          </w:p>
          <w:p w14:paraId="352BC074">
            <w:pPr>
              <w:widowControl/>
              <w:spacing w:line="400" w:lineRule="exact"/>
              <w:jc w:val="left"/>
              <w:rPr>
                <w:rFonts w:ascii="宋体" w:hAnsi="宋体" w:cs="Arial"/>
                <w:color w:val="auto"/>
                <w:sz w:val="18"/>
                <w:szCs w:val="18"/>
              </w:rPr>
            </w:pPr>
            <w:r>
              <w:rPr>
                <w:rFonts w:hint="eastAsia" w:ascii="宋体" w:hAnsi="宋体" w:cs="Arial"/>
                <w:color w:val="auto"/>
                <w:sz w:val="18"/>
                <w:szCs w:val="18"/>
              </w:rPr>
              <w:t>系统包含至少18种3D劳保用品学习内容，点击任意劳保用品有详细的文字介绍，还配有自动旋转的3D渲染图；通过按键切换随意查看劳保用品相关知识。</w:t>
            </w:r>
          </w:p>
          <w:p w14:paraId="3F207150">
            <w:pPr>
              <w:widowControl/>
              <w:spacing w:line="400" w:lineRule="exact"/>
              <w:jc w:val="left"/>
              <w:rPr>
                <w:rFonts w:ascii="宋体" w:hAnsi="宋体" w:cs="Arial"/>
                <w:color w:val="auto"/>
                <w:sz w:val="18"/>
                <w:szCs w:val="18"/>
              </w:rPr>
            </w:pPr>
          </w:p>
          <w:p w14:paraId="7363A32B">
            <w:pPr>
              <w:widowControl/>
              <w:spacing w:line="400" w:lineRule="exact"/>
              <w:jc w:val="left"/>
              <w:rPr>
                <w:rFonts w:ascii="宋体" w:hAnsi="宋体" w:cs="Arial"/>
                <w:color w:val="auto"/>
                <w:sz w:val="18"/>
                <w:szCs w:val="18"/>
              </w:rPr>
            </w:pPr>
            <w:r>
              <w:rPr>
                <w:rFonts w:hint="eastAsia" w:ascii="宋体" w:hAnsi="宋体" w:cs="Arial"/>
                <w:color w:val="auto"/>
                <w:sz w:val="18"/>
                <w:szCs w:val="18"/>
              </w:rPr>
              <w:t>1.触控一体机：屏幕尺寸≥32英寸，分辨率≥1920*1080；内存≥4G，硬盘≥128G；</w:t>
            </w:r>
          </w:p>
          <w:p w14:paraId="1804EA4E">
            <w:pPr>
              <w:widowControl/>
              <w:spacing w:line="400" w:lineRule="exact"/>
              <w:jc w:val="left"/>
              <w:rPr>
                <w:rFonts w:ascii="宋体" w:hAnsi="宋体" w:cs="Arial"/>
                <w:color w:val="auto"/>
                <w:sz w:val="18"/>
                <w:szCs w:val="18"/>
              </w:rPr>
            </w:pPr>
            <w:r>
              <w:rPr>
                <w:rFonts w:hint="eastAsia" w:ascii="宋体" w:hAnsi="宋体" w:cs="Arial"/>
                <w:color w:val="auto"/>
                <w:sz w:val="18"/>
                <w:szCs w:val="18"/>
              </w:rPr>
              <w:t>2.配件不少于18种劳保用品实物用于展示(如劳保假人、黄色安全帽、劳保服、棉纱手套、防穿刺鞋、监管安全帽(白色)、安全员安全帽(红色)、电焊面具、护目镜、3M防尘面罩、防毒面具、五点式安全带、三点式安全带、反光背心、电工手套、橡胶手套、劳保护膝、绝缘靴、防化靴等)；</w:t>
            </w:r>
          </w:p>
          <w:p w14:paraId="0B809F00">
            <w:pPr>
              <w:widowControl/>
              <w:spacing w:line="400" w:lineRule="exact"/>
              <w:jc w:val="left"/>
              <w:rPr>
                <w:rFonts w:ascii="宋体" w:hAnsi="宋体" w:cs="Arial"/>
                <w:color w:val="auto"/>
                <w:sz w:val="18"/>
                <w:szCs w:val="18"/>
              </w:rPr>
            </w:pPr>
            <w:r>
              <w:rPr>
                <w:rFonts w:hint="eastAsia" w:ascii="宋体" w:hAnsi="宋体" w:cs="Arial"/>
                <w:color w:val="auto"/>
                <w:sz w:val="18"/>
                <w:szCs w:val="18"/>
              </w:rPr>
              <w:t>3. 软件包含至少18种3D劳保用品学习内容，每种需有文字介绍和可旋转的3D渲染图。</w:t>
            </w:r>
          </w:p>
        </w:tc>
        <w:tc>
          <w:tcPr>
            <w:tcW w:w="900" w:type="dxa"/>
            <w:tcBorders>
              <w:top w:val="nil"/>
              <w:left w:val="nil"/>
              <w:bottom w:val="single" w:color="auto" w:sz="4" w:space="0"/>
              <w:right w:val="single" w:color="auto" w:sz="4" w:space="0"/>
            </w:tcBorders>
            <w:vAlign w:val="center"/>
          </w:tcPr>
          <w:p w14:paraId="606076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FB977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43C53BF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05E1C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5865B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反思墙</w:t>
            </w:r>
          </w:p>
        </w:tc>
        <w:tc>
          <w:tcPr>
            <w:tcW w:w="5717" w:type="dxa"/>
            <w:tcBorders>
              <w:top w:val="nil"/>
              <w:left w:val="nil"/>
              <w:bottom w:val="single" w:color="auto" w:sz="4" w:space="0"/>
              <w:right w:val="single" w:color="auto" w:sz="4" w:space="0"/>
            </w:tcBorders>
            <w:vAlign w:val="center"/>
          </w:tcPr>
          <w:p w14:paraId="23E1D38A">
            <w:pPr>
              <w:widowControl/>
              <w:spacing w:line="400" w:lineRule="exact"/>
              <w:jc w:val="left"/>
              <w:rPr>
                <w:rFonts w:ascii="宋体" w:hAnsi="宋体" w:cs="Arial"/>
                <w:color w:val="auto"/>
                <w:sz w:val="18"/>
                <w:szCs w:val="18"/>
              </w:rPr>
            </w:pPr>
            <w:r>
              <w:rPr>
                <w:rFonts w:hint="eastAsia" w:ascii="宋体" w:hAnsi="宋体" w:cs="Arial"/>
                <w:color w:val="auto"/>
                <w:sz w:val="18"/>
                <w:szCs w:val="18"/>
              </w:rPr>
              <w:t>工伤预防反思墙以亚克力板为核心载体，板身印有工伤案例反思引导文字、安全理念标语，整套配置包含定制化文字排版的亚克力展示板，可引导参与者结合工伤案例总结安全经验，是工伤预防学习中强化认知、沉淀思考的互动性展示标语等。</w:t>
            </w:r>
          </w:p>
          <w:p w14:paraId="3F01E059">
            <w:pPr>
              <w:widowControl/>
              <w:spacing w:line="400" w:lineRule="exact"/>
              <w:jc w:val="left"/>
              <w:rPr>
                <w:rFonts w:ascii="宋体" w:hAnsi="宋体" w:cs="Arial"/>
                <w:color w:val="auto"/>
                <w:sz w:val="18"/>
                <w:szCs w:val="18"/>
              </w:rPr>
            </w:pPr>
          </w:p>
          <w:p w14:paraId="53D73F67">
            <w:pPr>
              <w:widowControl/>
              <w:spacing w:line="400" w:lineRule="exact"/>
              <w:jc w:val="left"/>
              <w:rPr>
                <w:rFonts w:ascii="宋体" w:hAnsi="宋体" w:cs="Arial"/>
                <w:color w:val="auto"/>
                <w:sz w:val="18"/>
                <w:szCs w:val="18"/>
              </w:rPr>
            </w:pPr>
            <w:r>
              <w:rPr>
                <w:rFonts w:hint="eastAsia" w:ascii="宋体" w:hAnsi="宋体" w:cs="Arial"/>
                <w:color w:val="auto"/>
                <w:sz w:val="18"/>
                <w:szCs w:val="18"/>
              </w:rPr>
              <w:t>1.配备亚克力展示板1套，板身印制工伤案例反思引导文字及安全理念标语；</w:t>
            </w:r>
          </w:p>
          <w:p w14:paraId="7E76B177">
            <w:pPr>
              <w:widowControl/>
              <w:spacing w:line="400" w:lineRule="exact"/>
              <w:jc w:val="left"/>
              <w:rPr>
                <w:rFonts w:ascii="宋体" w:hAnsi="宋体" w:cs="Arial"/>
                <w:color w:val="auto"/>
                <w:sz w:val="18"/>
                <w:szCs w:val="18"/>
              </w:rPr>
            </w:pPr>
            <w:r>
              <w:rPr>
                <w:rFonts w:hint="eastAsia" w:ascii="宋体" w:hAnsi="宋体" w:cs="Arial"/>
                <w:color w:val="auto"/>
                <w:sz w:val="18"/>
                <w:szCs w:val="18"/>
              </w:rPr>
              <w:t>2.展示板文字内容需定制化排版设计，确保清晰醒目，能有效引导参与者结合案例总结安全经验。</w:t>
            </w:r>
          </w:p>
        </w:tc>
        <w:tc>
          <w:tcPr>
            <w:tcW w:w="900" w:type="dxa"/>
            <w:tcBorders>
              <w:top w:val="nil"/>
              <w:left w:val="nil"/>
              <w:bottom w:val="single" w:color="auto" w:sz="4" w:space="0"/>
              <w:right w:val="single" w:color="auto" w:sz="4" w:space="0"/>
            </w:tcBorders>
            <w:vAlign w:val="center"/>
          </w:tcPr>
          <w:p w14:paraId="2A8319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270FD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58B5501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4DCE11F">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山水广场/奥体中心应急避难场维修改造</w:t>
            </w:r>
          </w:p>
        </w:tc>
      </w:tr>
      <w:tr w14:paraId="681215DA">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73E32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标识标牌</w:t>
            </w:r>
          </w:p>
        </w:tc>
      </w:tr>
      <w:tr w14:paraId="250176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DD27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bottom"/>
          </w:tcPr>
          <w:p w14:paraId="774DF5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A 类标识牌画面更换新</w:t>
            </w:r>
          </w:p>
        </w:tc>
        <w:tc>
          <w:tcPr>
            <w:tcW w:w="5717" w:type="dxa"/>
            <w:tcBorders>
              <w:top w:val="nil"/>
              <w:left w:val="nil"/>
              <w:bottom w:val="single" w:color="auto" w:sz="4" w:space="0"/>
              <w:right w:val="single" w:color="auto" w:sz="4" w:space="0"/>
            </w:tcBorders>
            <w:vAlign w:val="center"/>
          </w:tcPr>
          <w:p w14:paraId="04DCFC52">
            <w:pPr>
              <w:widowControl/>
              <w:spacing w:line="400" w:lineRule="exact"/>
              <w:rPr>
                <w:rFonts w:ascii="宋体" w:hAnsi="宋体" w:cs="Arial"/>
                <w:color w:val="auto"/>
                <w:sz w:val="18"/>
                <w:szCs w:val="18"/>
              </w:rPr>
            </w:pPr>
            <w:r>
              <w:rPr>
                <w:rFonts w:hint="eastAsia" w:ascii="宋体" w:hAnsi="宋体" w:cs="Arial"/>
                <w:color w:val="auto"/>
                <w:sz w:val="18"/>
                <w:szCs w:val="18"/>
              </w:rPr>
              <w:t>15mmPVC+2mm 亚克力-UV、132cm*120cm，</w:t>
            </w:r>
          </w:p>
        </w:tc>
        <w:tc>
          <w:tcPr>
            <w:tcW w:w="900" w:type="dxa"/>
            <w:tcBorders>
              <w:top w:val="nil"/>
              <w:left w:val="nil"/>
              <w:bottom w:val="single" w:color="auto" w:sz="4" w:space="0"/>
              <w:right w:val="single" w:color="auto" w:sz="4" w:space="0"/>
            </w:tcBorders>
            <w:vAlign w:val="bottom"/>
          </w:tcPr>
          <w:p w14:paraId="2CC886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849" w:type="dxa"/>
            <w:gridSpan w:val="2"/>
            <w:tcBorders>
              <w:top w:val="nil"/>
              <w:left w:val="nil"/>
              <w:bottom w:val="single" w:color="auto" w:sz="4" w:space="0"/>
              <w:right w:val="single" w:color="auto" w:sz="4" w:space="0"/>
            </w:tcBorders>
            <w:vAlign w:val="bottom"/>
          </w:tcPr>
          <w:p w14:paraId="23E50B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447F31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43E63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bottom"/>
          </w:tcPr>
          <w:p w14:paraId="286A20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A 类标识牌画面更换新</w:t>
            </w:r>
          </w:p>
        </w:tc>
        <w:tc>
          <w:tcPr>
            <w:tcW w:w="5717" w:type="dxa"/>
            <w:tcBorders>
              <w:top w:val="nil"/>
              <w:left w:val="nil"/>
              <w:bottom w:val="single" w:color="auto" w:sz="4" w:space="0"/>
              <w:right w:val="single" w:color="auto" w:sz="4" w:space="0"/>
            </w:tcBorders>
            <w:vAlign w:val="center"/>
          </w:tcPr>
          <w:p w14:paraId="0A741624">
            <w:pPr>
              <w:widowControl/>
              <w:spacing w:line="400" w:lineRule="exact"/>
              <w:rPr>
                <w:rFonts w:ascii="宋体" w:hAnsi="宋体" w:cs="Arial"/>
                <w:color w:val="auto"/>
                <w:sz w:val="18"/>
                <w:szCs w:val="18"/>
              </w:rPr>
            </w:pPr>
            <w:r>
              <w:rPr>
                <w:rFonts w:hint="eastAsia" w:ascii="宋体" w:hAnsi="宋体" w:cs="Arial"/>
                <w:color w:val="auto"/>
                <w:sz w:val="18"/>
                <w:szCs w:val="18"/>
              </w:rPr>
              <w:t>15mmPVC+2mm 亚克力-UV、105cm*84cm</w:t>
            </w:r>
          </w:p>
        </w:tc>
        <w:tc>
          <w:tcPr>
            <w:tcW w:w="900" w:type="dxa"/>
            <w:tcBorders>
              <w:top w:val="nil"/>
              <w:left w:val="nil"/>
              <w:bottom w:val="single" w:color="auto" w:sz="4" w:space="0"/>
              <w:right w:val="single" w:color="auto" w:sz="4" w:space="0"/>
            </w:tcBorders>
            <w:vAlign w:val="bottom"/>
          </w:tcPr>
          <w:p w14:paraId="22822A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849" w:type="dxa"/>
            <w:gridSpan w:val="2"/>
            <w:tcBorders>
              <w:top w:val="nil"/>
              <w:left w:val="nil"/>
              <w:bottom w:val="single" w:color="auto" w:sz="4" w:space="0"/>
              <w:right w:val="single" w:color="auto" w:sz="4" w:space="0"/>
            </w:tcBorders>
            <w:vAlign w:val="bottom"/>
          </w:tcPr>
          <w:p w14:paraId="76AA74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630E24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4492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bottom"/>
          </w:tcPr>
          <w:p w14:paraId="7CC031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A 类标识牌画面更换新</w:t>
            </w:r>
          </w:p>
        </w:tc>
        <w:tc>
          <w:tcPr>
            <w:tcW w:w="5717" w:type="dxa"/>
            <w:tcBorders>
              <w:top w:val="nil"/>
              <w:left w:val="nil"/>
              <w:bottom w:val="single" w:color="auto" w:sz="4" w:space="0"/>
              <w:right w:val="single" w:color="auto" w:sz="4" w:space="0"/>
            </w:tcBorders>
            <w:vAlign w:val="center"/>
          </w:tcPr>
          <w:p w14:paraId="74339348">
            <w:pPr>
              <w:widowControl/>
              <w:spacing w:line="400" w:lineRule="exact"/>
              <w:rPr>
                <w:rFonts w:ascii="宋体" w:hAnsi="宋体" w:cs="Arial"/>
                <w:color w:val="auto"/>
                <w:sz w:val="18"/>
                <w:szCs w:val="18"/>
              </w:rPr>
            </w:pPr>
            <w:r>
              <w:rPr>
                <w:rFonts w:hint="eastAsia" w:ascii="宋体" w:hAnsi="宋体" w:cs="Arial"/>
                <w:color w:val="auto"/>
                <w:sz w:val="18"/>
                <w:szCs w:val="18"/>
              </w:rPr>
              <w:t>底漆重做（原有漆打磨、脱焊部位补焊、不锈钢，国标</w:t>
            </w:r>
          </w:p>
        </w:tc>
        <w:tc>
          <w:tcPr>
            <w:tcW w:w="900" w:type="dxa"/>
            <w:tcBorders>
              <w:top w:val="nil"/>
              <w:left w:val="nil"/>
              <w:bottom w:val="single" w:color="auto" w:sz="4" w:space="0"/>
              <w:right w:val="single" w:color="auto" w:sz="4" w:space="0"/>
            </w:tcBorders>
            <w:vAlign w:val="bottom"/>
          </w:tcPr>
          <w:p w14:paraId="79A615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849" w:type="dxa"/>
            <w:gridSpan w:val="2"/>
            <w:tcBorders>
              <w:top w:val="nil"/>
              <w:left w:val="nil"/>
              <w:bottom w:val="single" w:color="auto" w:sz="4" w:space="0"/>
              <w:right w:val="single" w:color="auto" w:sz="4" w:space="0"/>
            </w:tcBorders>
            <w:vAlign w:val="bottom"/>
          </w:tcPr>
          <w:p w14:paraId="739E97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F31C9B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6611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bottom"/>
          </w:tcPr>
          <w:p w14:paraId="32BEA0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B 类标识牌画面更换新</w:t>
            </w:r>
          </w:p>
        </w:tc>
        <w:tc>
          <w:tcPr>
            <w:tcW w:w="5717" w:type="dxa"/>
            <w:tcBorders>
              <w:top w:val="nil"/>
              <w:left w:val="nil"/>
              <w:bottom w:val="single" w:color="auto" w:sz="4" w:space="0"/>
              <w:right w:val="single" w:color="auto" w:sz="4" w:space="0"/>
            </w:tcBorders>
            <w:vAlign w:val="center"/>
          </w:tcPr>
          <w:p w14:paraId="56329B11">
            <w:pPr>
              <w:widowControl/>
              <w:spacing w:line="400" w:lineRule="exact"/>
              <w:rPr>
                <w:rFonts w:ascii="宋体" w:hAnsi="宋体" w:cs="Arial"/>
                <w:color w:val="auto"/>
                <w:sz w:val="18"/>
                <w:szCs w:val="18"/>
              </w:rPr>
            </w:pPr>
            <w:r>
              <w:rPr>
                <w:rFonts w:hint="eastAsia" w:ascii="宋体" w:hAnsi="宋体" w:cs="Arial"/>
                <w:color w:val="auto"/>
                <w:sz w:val="18"/>
                <w:szCs w:val="18"/>
              </w:rPr>
              <w:t>8mmPVC+2mm 亚克力-UV，49cm*36cm</w:t>
            </w:r>
          </w:p>
        </w:tc>
        <w:tc>
          <w:tcPr>
            <w:tcW w:w="900" w:type="dxa"/>
            <w:tcBorders>
              <w:top w:val="nil"/>
              <w:left w:val="nil"/>
              <w:bottom w:val="single" w:color="auto" w:sz="4" w:space="0"/>
              <w:right w:val="single" w:color="auto" w:sz="4" w:space="0"/>
            </w:tcBorders>
            <w:vAlign w:val="bottom"/>
          </w:tcPr>
          <w:p w14:paraId="6E73CB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849" w:type="dxa"/>
            <w:gridSpan w:val="2"/>
            <w:tcBorders>
              <w:top w:val="nil"/>
              <w:left w:val="nil"/>
              <w:bottom w:val="single" w:color="auto" w:sz="4" w:space="0"/>
              <w:right w:val="single" w:color="auto" w:sz="4" w:space="0"/>
            </w:tcBorders>
            <w:vAlign w:val="bottom"/>
          </w:tcPr>
          <w:p w14:paraId="6B60E4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0B89EB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41552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bottom"/>
          </w:tcPr>
          <w:p w14:paraId="310994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B 类标识牌画面更换新</w:t>
            </w:r>
          </w:p>
        </w:tc>
        <w:tc>
          <w:tcPr>
            <w:tcW w:w="5717" w:type="dxa"/>
            <w:tcBorders>
              <w:top w:val="nil"/>
              <w:left w:val="nil"/>
              <w:bottom w:val="single" w:color="auto" w:sz="4" w:space="0"/>
              <w:right w:val="single" w:color="auto" w:sz="4" w:space="0"/>
            </w:tcBorders>
            <w:vAlign w:val="center"/>
          </w:tcPr>
          <w:p w14:paraId="578CCA23">
            <w:pPr>
              <w:widowControl/>
              <w:spacing w:line="400" w:lineRule="exact"/>
              <w:rPr>
                <w:rFonts w:ascii="宋体" w:hAnsi="宋体" w:cs="Arial"/>
                <w:color w:val="auto"/>
                <w:sz w:val="18"/>
                <w:szCs w:val="18"/>
              </w:rPr>
            </w:pPr>
            <w:r>
              <w:rPr>
                <w:rFonts w:hint="eastAsia" w:ascii="宋体" w:hAnsi="宋体" w:cs="Arial"/>
                <w:color w:val="auto"/>
                <w:sz w:val="18"/>
                <w:szCs w:val="18"/>
              </w:rPr>
              <w:t>不锈钢折弯-UV，49cm*110cm</w:t>
            </w:r>
          </w:p>
        </w:tc>
        <w:tc>
          <w:tcPr>
            <w:tcW w:w="900" w:type="dxa"/>
            <w:tcBorders>
              <w:top w:val="nil"/>
              <w:left w:val="nil"/>
              <w:bottom w:val="single" w:color="auto" w:sz="4" w:space="0"/>
              <w:right w:val="single" w:color="auto" w:sz="4" w:space="0"/>
            </w:tcBorders>
            <w:vAlign w:val="bottom"/>
          </w:tcPr>
          <w:p w14:paraId="4F3376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849" w:type="dxa"/>
            <w:gridSpan w:val="2"/>
            <w:tcBorders>
              <w:top w:val="nil"/>
              <w:left w:val="nil"/>
              <w:bottom w:val="single" w:color="auto" w:sz="4" w:space="0"/>
              <w:right w:val="single" w:color="auto" w:sz="4" w:space="0"/>
            </w:tcBorders>
            <w:vAlign w:val="bottom"/>
          </w:tcPr>
          <w:p w14:paraId="044AB2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52777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AD64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bottom"/>
          </w:tcPr>
          <w:p w14:paraId="67F9B3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C 类标识牌画面更换新</w:t>
            </w:r>
          </w:p>
        </w:tc>
        <w:tc>
          <w:tcPr>
            <w:tcW w:w="5717" w:type="dxa"/>
            <w:tcBorders>
              <w:top w:val="nil"/>
              <w:left w:val="nil"/>
              <w:bottom w:val="single" w:color="auto" w:sz="4" w:space="0"/>
              <w:right w:val="single" w:color="auto" w:sz="4" w:space="0"/>
            </w:tcBorders>
            <w:vAlign w:val="center"/>
          </w:tcPr>
          <w:p w14:paraId="715D89E4">
            <w:pPr>
              <w:widowControl/>
              <w:spacing w:line="400" w:lineRule="exact"/>
              <w:rPr>
                <w:rFonts w:ascii="宋体" w:hAnsi="宋体" w:cs="Arial"/>
                <w:color w:val="auto"/>
                <w:sz w:val="18"/>
                <w:szCs w:val="18"/>
              </w:rPr>
            </w:pPr>
            <w:r>
              <w:rPr>
                <w:rFonts w:hint="eastAsia" w:ascii="宋体" w:hAnsi="宋体" w:cs="Arial"/>
                <w:color w:val="auto"/>
                <w:sz w:val="18"/>
                <w:szCs w:val="18"/>
              </w:rPr>
              <w:t>2mm 亚克力-背喷 UV，42cm*11cm</w:t>
            </w:r>
          </w:p>
        </w:tc>
        <w:tc>
          <w:tcPr>
            <w:tcW w:w="900" w:type="dxa"/>
            <w:tcBorders>
              <w:top w:val="nil"/>
              <w:left w:val="nil"/>
              <w:bottom w:val="single" w:color="auto" w:sz="4" w:space="0"/>
              <w:right w:val="single" w:color="auto" w:sz="4" w:space="0"/>
            </w:tcBorders>
            <w:vAlign w:val="bottom"/>
          </w:tcPr>
          <w:p w14:paraId="2C7FD7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150</w:t>
            </w:r>
          </w:p>
        </w:tc>
        <w:tc>
          <w:tcPr>
            <w:tcW w:w="849" w:type="dxa"/>
            <w:gridSpan w:val="2"/>
            <w:tcBorders>
              <w:top w:val="nil"/>
              <w:left w:val="nil"/>
              <w:bottom w:val="single" w:color="auto" w:sz="4" w:space="0"/>
              <w:right w:val="single" w:color="auto" w:sz="4" w:space="0"/>
            </w:tcBorders>
            <w:vAlign w:val="bottom"/>
          </w:tcPr>
          <w:p w14:paraId="3F6DDF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105F8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61992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bottom"/>
          </w:tcPr>
          <w:p w14:paraId="1E0F7F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D 类标识牌画面更换新</w:t>
            </w:r>
          </w:p>
        </w:tc>
        <w:tc>
          <w:tcPr>
            <w:tcW w:w="5717" w:type="dxa"/>
            <w:tcBorders>
              <w:top w:val="nil"/>
              <w:left w:val="nil"/>
              <w:bottom w:val="single" w:color="auto" w:sz="4" w:space="0"/>
              <w:right w:val="single" w:color="auto" w:sz="4" w:space="0"/>
            </w:tcBorders>
            <w:vAlign w:val="center"/>
          </w:tcPr>
          <w:p w14:paraId="5387FEB6">
            <w:pPr>
              <w:widowControl/>
              <w:spacing w:line="400" w:lineRule="exact"/>
              <w:rPr>
                <w:rFonts w:ascii="宋体" w:hAnsi="宋体" w:cs="Arial"/>
                <w:color w:val="auto"/>
                <w:sz w:val="18"/>
                <w:szCs w:val="18"/>
              </w:rPr>
            </w:pPr>
            <w:r>
              <w:rPr>
                <w:rFonts w:hint="eastAsia" w:ascii="宋体" w:hAnsi="宋体" w:cs="Arial"/>
                <w:color w:val="auto"/>
                <w:sz w:val="18"/>
                <w:szCs w:val="18"/>
              </w:rPr>
              <w:t>2.0mm 镀锌铁板激光切割-折弯-焊接-高温静电喷塑、画面 1.5mm 不锈钢折弯-UV，80cm*80cm</w:t>
            </w:r>
          </w:p>
        </w:tc>
        <w:tc>
          <w:tcPr>
            <w:tcW w:w="900" w:type="dxa"/>
            <w:tcBorders>
              <w:top w:val="nil"/>
              <w:left w:val="nil"/>
              <w:bottom w:val="single" w:color="auto" w:sz="4" w:space="0"/>
              <w:right w:val="single" w:color="auto" w:sz="4" w:space="0"/>
            </w:tcBorders>
            <w:vAlign w:val="bottom"/>
          </w:tcPr>
          <w:p w14:paraId="234372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55</w:t>
            </w:r>
          </w:p>
        </w:tc>
        <w:tc>
          <w:tcPr>
            <w:tcW w:w="849" w:type="dxa"/>
            <w:gridSpan w:val="2"/>
            <w:tcBorders>
              <w:top w:val="nil"/>
              <w:left w:val="nil"/>
              <w:bottom w:val="single" w:color="auto" w:sz="4" w:space="0"/>
              <w:right w:val="single" w:color="auto" w:sz="4" w:space="0"/>
            </w:tcBorders>
            <w:vAlign w:val="bottom"/>
          </w:tcPr>
          <w:p w14:paraId="6D8E23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49D7B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D2943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bottom"/>
          </w:tcPr>
          <w:p w14:paraId="131054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应急供电</w:t>
            </w:r>
          </w:p>
        </w:tc>
        <w:tc>
          <w:tcPr>
            <w:tcW w:w="5717" w:type="dxa"/>
            <w:tcBorders>
              <w:top w:val="nil"/>
              <w:left w:val="nil"/>
              <w:bottom w:val="single" w:color="auto" w:sz="4" w:space="0"/>
              <w:right w:val="single" w:color="auto" w:sz="4" w:space="0"/>
            </w:tcBorders>
            <w:vAlign w:val="center"/>
          </w:tcPr>
          <w:p w14:paraId="7489A274">
            <w:pPr>
              <w:widowControl/>
              <w:spacing w:line="400" w:lineRule="exact"/>
              <w:rPr>
                <w:rFonts w:ascii="宋体" w:hAnsi="宋体" w:cs="Arial"/>
                <w:color w:val="auto"/>
                <w:sz w:val="18"/>
                <w:szCs w:val="18"/>
              </w:rPr>
            </w:pPr>
            <w:r>
              <w:rPr>
                <w:rFonts w:hint="eastAsia" w:ascii="宋体" w:hAnsi="宋体" w:cs="Arial"/>
                <w:color w:val="auto"/>
                <w:sz w:val="18"/>
                <w:szCs w:val="18"/>
              </w:rPr>
              <w:t>2mm 亚克力-背喷 UV，70cm*35cm</w:t>
            </w:r>
          </w:p>
        </w:tc>
        <w:tc>
          <w:tcPr>
            <w:tcW w:w="900" w:type="dxa"/>
            <w:tcBorders>
              <w:top w:val="nil"/>
              <w:left w:val="nil"/>
              <w:bottom w:val="single" w:color="auto" w:sz="4" w:space="0"/>
              <w:right w:val="single" w:color="auto" w:sz="4" w:space="0"/>
            </w:tcBorders>
            <w:vAlign w:val="bottom"/>
          </w:tcPr>
          <w:p w14:paraId="5F2A43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849" w:type="dxa"/>
            <w:gridSpan w:val="2"/>
            <w:tcBorders>
              <w:top w:val="nil"/>
              <w:left w:val="nil"/>
              <w:bottom w:val="single" w:color="auto" w:sz="4" w:space="0"/>
              <w:right w:val="single" w:color="auto" w:sz="4" w:space="0"/>
            </w:tcBorders>
            <w:vAlign w:val="bottom"/>
          </w:tcPr>
          <w:p w14:paraId="736DC1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BCF571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91A6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bottom"/>
          </w:tcPr>
          <w:p w14:paraId="46B9CD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E 类标识牌 LOGO 更换新</w:t>
            </w:r>
          </w:p>
        </w:tc>
        <w:tc>
          <w:tcPr>
            <w:tcW w:w="5717" w:type="dxa"/>
            <w:tcBorders>
              <w:top w:val="nil"/>
              <w:left w:val="nil"/>
              <w:bottom w:val="single" w:color="auto" w:sz="4" w:space="0"/>
              <w:right w:val="single" w:color="auto" w:sz="4" w:space="0"/>
            </w:tcBorders>
            <w:vAlign w:val="center"/>
          </w:tcPr>
          <w:p w14:paraId="611D34A4">
            <w:pPr>
              <w:widowControl/>
              <w:spacing w:line="400" w:lineRule="exact"/>
              <w:rPr>
                <w:rFonts w:ascii="宋体" w:hAnsi="宋体" w:cs="Arial"/>
                <w:color w:val="auto"/>
                <w:sz w:val="18"/>
                <w:szCs w:val="18"/>
              </w:rPr>
            </w:pPr>
            <w:r>
              <w:rPr>
                <w:rFonts w:hint="eastAsia" w:ascii="宋体" w:hAnsi="宋体" w:cs="Arial"/>
                <w:color w:val="auto"/>
                <w:sz w:val="18"/>
                <w:szCs w:val="18"/>
              </w:rPr>
              <w:t>2mm 亚克力-背喷 UV，60cm*30cm</w:t>
            </w:r>
          </w:p>
        </w:tc>
        <w:tc>
          <w:tcPr>
            <w:tcW w:w="900" w:type="dxa"/>
            <w:tcBorders>
              <w:top w:val="nil"/>
              <w:left w:val="nil"/>
              <w:bottom w:val="single" w:color="auto" w:sz="4" w:space="0"/>
              <w:right w:val="single" w:color="auto" w:sz="4" w:space="0"/>
            </w:tcBorders>
            <w:vAlign w:val="bottom"/>
          </w:tcPr>
          <w:p w14:paraId="38795E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36</w:t>
            </w:r>
          </w:p>
        </w:tc>
        <w:tc>
          <w:tcPr>
            <w:tcW w:w="849" w:type="dxa"/>
            <w:gridSpan w:val="2"/>
            <w:tcBorders>
              <w:top w:val="nil"/>
              <w:left w:val="nil"/>
              <w:bottom w:val="single" w:color="auto" w:sz="4" w:space="0"/>
              <w:right w:val="single" w:color="auto" w:sz="4" w:space="0"/>
            </w:tcBorders>
            <w:vAlign w:val="bottom"/>
          </w:tcPr>
          <w:p w14:paraId="233D90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BF079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4D1F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bottom"/>
          </w:tcPr>
          <w:p w14:paraId="25BA19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应急摄像头</w:t>
            </w:r>
          </w:p>
        </w:tc>
        <w:tc>
          <w:tcPr>
            <w:tcW w:w="5717" w:type="dxa"/>
            <w:tcBorders>
              <w:top w:val="nil"/>
              <w:left w:val="nil"/>
              <w:bottom w:val="single" w:color="auto" w:sz="4" w:space="0"/>
              <w:right w:val="single" w:color="auto" w:sz="4" w:space="0"/>
            </w:tcBorders>
            <w:vAlign w:val="center"/>
          </w:tcPr>
          <w:p w14:paraId="6F7E3720">
            <w:pPr>
              <w:widowControl/>
              <w:spacing w:line="400" w:lineRule="exact"/>
              <w:rPr>
                <w:rFonts w:ascii="宋体" w:hAnsi="宋体" w:cs="Arial"/>
                <w:color w:val="auto"/>
                <w:sz w:val="18"/>
                <w:szCs w:val="18"/>
              </w:rPr>
            </w:pPr>
            <w:r>
              <w:rPr>
                <w:rFonts w:hint="eastAsia" w:ascii="宋体" w:hAnsi="宋体" w:cs="Arial"/>
                <w:color w:val="auto"/>
                <w:sz w:val="18"/>
                <w:szCs w:val="18"/>
              </w:rPr>
              <w:t>1.5mm 铝单板整套双折弯带轨道带抱箍，70cm*35cm</w:t>
            </w:r>
          </w:p>
        </w:tc>
        <w:tc>
          <w:tcPr>
            <w:tcW w:w="900" w:type="dxa"/>
            <w:tcBorders>
              <w:top w:val="nil"/>
              <w:left w:val="nil"/>
              <w:bottom w:val="single" w:color="auto" w:sz="4" w:space="0"/>
              <w:right w:val="single" w:color="auto" w:sz="4" w:space="0"/>
            </w:tcBorders>
            <w:vAlign w:val="bottom"/>
          </w:tcPr>
          <w:p w14:paraId="5815C7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849" w:type="dxa"/>
            <w:gridSpan w:val="2"/>
            <w:tcBorders>
              <w:top w:val="nil"/>
              <w:left w:val="nil"/>
              <w:bottom w:val="single" w:color="auto" w:sz="4" w:space="0"/>
              <w:right w:val="single" w:color="auto" w:sz="4" w:space="0"/>
            </w:tcBorders>
            <w:vAlign w:val="bottom"/>
          </w:tcPr>
          <w:p w14:paraId="5699236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150E96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8003C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bottom"/>
          </w:tcPr>
          <w:p w14:paraId="411CCF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应急广播</w:t>
            </w:r>
          </w:p>
        </w:tc>
        <w:tc>
          <w:tcPr>
            <w:tcW w:w="5717" w:type="dxa"/>
            <w:tcBorders>
              <w:top w:val="nil"/>
              <w:left w:val="nil"/>
              <w:bottom w:val="single" w:color="auto" w:sz="4" w:space="0"/>
              <w:right w:val="single" w:color="auto" w:sz="4" w:space="0"/>
            </w:tcBorders>
            <w:vAlign w:val="center"/>
          </w:tcPr>
          <w:p w14:paraId="094745FC">
            <w:pPr>
              <w:widowControl/>
              <w:spacing w:line="400" w:lineRule="exact"/>
              <w:rPr>
                <w:rFonts w:ascii="宋体" w:hAnsi="宋体" w:cs="Arial"/>
                <w:color w:val="auto"/>
                <w:sz w:val="18"/>
                <w:szCs w:val="18"/>
              </w:rPr>
            </w:pPr>
            <w:r>
              <w:rPr>
                <w:rFonts w:hint="eastAsia" w:ascii="宋体" w:hAnsi="宋体" w:cs="Arial"/>
                <w:color w:val="auto"/>
                <w:sz w:val="18"/>
                <w:szCs w:val="18"/>
              </w:rPr>
              <w:t>1.5mm 铝单板整套双折弯带轨道带抱箍，70cm*35cm</w:t>
            </w:r>
          </w:p>
        </w:tc>
        <w:tc>
          <w:tcPr>
            <w:tcW w:w="900" w:type="dxa"/>
            <w:tcBorders>
              <w:top w:val="nil"/>
              <w:left w:val="nil"/>
              <w:bottom w:val="single" w:color="auto" w:sz="4" w:space="0"/>
              <w:right w:val="single" w:color="auto" w:sz="4" w:space="0"/>
            </w:tcBorders>
            <w:vAlign w:val="bottom"/>
          </w:tcPr>
          <w:p w14:paraId="0E547A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849" w:type="dxa"/>
            <w:gridSpan w:val="2"/>
            <w:tcBorders>
              <w:top w:val="nil"/>
              <w:left w:val="nil"/>
              <w:bottom w:val="single" w:color="auto" w:sz="4" w:space="0"/>
              <w:right w:val="single" w:color="auto" w:sz="4" w:space="0"/>
            </w:tcBorders>
            <w:vAlign w:val="bottom"/>
          </w:tcPr>
          <w:p w14:paraId="59EAD74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E0B54E0">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F48FC7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应急监控及通讯系统</w:t>
            </w:r>
          </w:p>
        </w:tc>
      </w:tr>
      <w:tr w14:paraId="3F0671E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3C3EC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E60E6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网络枪型摄像机</w:t>
            </w:r>
          </w:p>
        </w:tc>
        <w:tc>
          <w:tcPr>
            <w:tcW w:w="5717" w:type="dxa"/>
            <w:tcBorders>
              <w:top w:val="nil"/>
              <w:left w:val="nil"/>
              <w:bottom w:val="single" w:color="auto" w:sz="4" w:space="0"/>
              <w:right w:val="single" w:color="auto" w:sz="4" w:space="0"/>
            </w:tcBorders>
            <w:vAlign w:val="center"/>
          </w:tcPr>
          <w:p w14:paraId="66C2059E">
            <w:pPr>
              <w:widowControl/>
              <w:spacing w:line="400" w:lineRule="exact"/>
              <w:rPr>
                <w:rFonts w:ascii="宋体" w:hAnsi="宋体" w:cs="Arial"/>
                <w:color w:val="auto"/>
                <w:sz w:val="18"/>
                <w:szCs w:val="18"/>
              </w:rPr>
            </w:pPr>
            <w:r>
              <w:rPr>
                <w:rFonts w:hint="eastAsia" w:ascii="宋体" w:hAnsi="宋体" w:cs="Arial"/>
                <w:color w:val="auto"/>
                <w:sz w:val="18"/>
                <w:szCs w:val="18"/>
              </w:rPr>
              <w:t>图像最大分辨率不低于 2560x1440</w:t>
            </w:r>
          </w:p>
          <w:p w14:paraId="1028CBC0">
            <w:pPr>
              <w:widowControl/>
              <w:spacing w:line="400" w:lineRule="exact"/>
              <w:rPr>
                <w:rFonts w:ascii="宋体" w:hAnsi="宋体" w:cs="Arial"/>
                <w:color w:val="auto"/>
                <w:sz w:val="18"/>
                <w:szCs w:val="18"/>
              </w:rPr>
            </w:pPr>
            <w:r>
              <w:rPr>
                <w:rFonts w:hint="eastAsia" w:ascii="宋体" w:hAnsi="宋体" w:cs="Arial"/>
                <w:color w:val="auto"/>
                <w:sz w:val="18"/>
                <w:szCs w:val="18"/>
              </w:rPr>
              <w:t>信噪比不小于 55dB</w:t>
            </w:r>
          </w:p>
          <w:p w14:paraId="648FB467">
            <w:pPr>
              <w:widowControl/>
              <w:spacing w:line="400" w:lineRule="exact"/>
              <w:rPr>
                <w:rFonts w:ascii="宋体" w:hAnsi="宋体" w:cs="Arial"/>
                <w:color w:val="auto"/>
                <w:sz w:val="18"/>
                <w:szCs w:val="18"/>
              </w:rPr>
            </w:pPr>
            <w:r>
              <w:rPr>
                <w:rFonts w:hint="eastAsia" w:ascii="宋体" w:hAnsi="宋体" w:cs="Arial"/>
                <w:color w:val="auto"/>
                <w:sz w:val="18"/>
                <w:szCs w:val="18"/>
              </w:rPr>
              <w:t>支持红外补光、白光补光，有效补光距离均能达到 30m</w:t>
            </w:r>
          </w:p>
          <w:p w14:paraId="0415FEAC">
            <w:pPr>
              <w:widowControl/>
              <w:spacing w:line="400" w:lineRule="exact"/>
              <w:rPr>
                <w:rFonts w:ascii="宋体" w:hAnsi="宋体" w:cs="Arial"/>
                <w:color w:val="auto"/>
                <w:sz w:val="18"/>
                <w:szCs w:val="18"/>
              </w:rPr>
            </w:pPr>
            <w:r>
              <w:rPr>
                <w:rFonts w:hint="eastAsia" w:ascii="宋体" w:hAnsi="宋体" w:cs="Arial"/>
                <w:color w:val="auto"/>
                <w:sz w:val="18"/>
                <w:szCs w:val="18"/>
              </w:rPr>
              <w:t>支持 IP66 防尘防水</w:t>
            </w:r>
          </w:p>
          <w:p w14:paraId="22B548FD">
            <w:pPr>
              <w:widowControl/>
              <w:spacing w:line="400" w:lineRule="exact"/>
              <w:rPr>
                <w:rFonts w:ascii="宋体" w:hAnsi="宋体" w:cs="Arial"/>
                <w:color w:val="auto"/>
                <w:sz w:val="18"/>
                <w:szCs w:val="18"/>
              </w:rPr>
            </w:pPr>
            <w:r>
              <w:rPr>
                <w:rFonts w:hint="eastAsia" w:ascii="宋体" w:hAnsi="宋体" w:cs="Arial"/>
                <w:color w:val="auto"/>
                <w:sz w:val="18"/>
                <w:szCs w:val="18"/>
              </w:rPr>
              <w:t>内置 1 个麦克风，1 个 RJ45 网络接口</w:t>
            </w:r>
          </w:p>
          <w:p w14:paraId="3682BD8F">
            <w:pPr>
              <w:widowControl/>
              <w:spacing w:line="400" w:lineRule="exact"/>
              <w:rPr>
                <w:rFonts w:ascii="宋体" w:hAnsi="宋体" w:cs="Arial"/>
                <w:color w:val="auto"/>
                <w:sz w:val="18"/>
                <w:szCs w:val="18"/>
              </w:rPr>
            </w:pPr>
            <w:r>
              <w:rPr>
                <w:rFonts w:hint="eastAsia" w:ascii="宋体" w:hAnsi="宋体" w:cs="Arial"/>
                <w:color w:val="auto"/>
                <w:sz w:val="18"/>
                <w:szCs w:val="18"/>
              </w:rPr>
              <w:t>靶面尺寸为 1/1.8 英寸</w:t>
            </w:r>
          </w:p>
        </w:tc>
        <w:tc>
          <w:tcPr>
            <w:tcW w:w="900" w:type="dxa"/>
            <w:tcBorders>
              <w:top w:val="nil"/>
              <w:left w:val="nil"/>
              <w:bottom w:val="single" w:color="auto" w:sz="4" w:space="0"/>
              <w:right w:val="single" w:color="auto" w:sz="4" w:space="0"/>
            </w:tcBorders>
            <w:vAlign w:val="center"/>
          </w:tcPr>
          <w:p w14:paraId="50AED9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15.00 </w:t>
            </w:r>
          </w:p>
        </w:tc>
        <w:tc>
          <w:tcPr>
            <w:tcW w:w="849" w:type="dxa"/>
            <w:gridSpan w:val="2"/>
            <w:tcBorders>
              <w:top w:val="nil"/>
              <w:left w:val="nil"/>
              <w:bottom w:val="single" w:color="auto" w:sz="4" w:space="0"/>
              <w:right w:val="single" w:color="auto" w:sz="4" w:space="0"/>
            </w:tcBorders>
            <w:vAlign w:val="center"/>
          </w:tcPr>
          <w:p w14:paraId="5ECECF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7925E12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4D0FA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85F286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硬盘录像机</w:t>
            </w:r>
          </w:p>
        </w:tc>
        <w:tc>
          <w:tcPr>
            <w:tcW w:w="5717" w:type="dxa"/>
            <w:tcBorders>
              <w:top w:val="nil"/>
              <w:left w:val="nil"/>
              <w:bottom w:val="single" w:color="auto" w:sz="4" w:space="0"/>
              <w:right w:val="single" w:color="auto" w:sz="4" w:space="0"/>
            </w:tcBorders>
            <w:vAlign w:val="center"/>
          </w:tcPr>
          <w:p w14:paraId="50FC1999">
            <w:pPr>
              <w:widowControl/>
              <w:spacing w:line="400" w:lineRule="exact"/>
              <w:rPr>
                <w:rFonts w:ascii="宋体" w:hAnsi="宋体" w:cs="Arial"/>
                <w:color w:val="auto"/>
                <w:sz w:val="18"/>
                <w:szCs w:val="18"/>
              </w:rPr>
            </w:pPr>
            <w:r>
              <w:rPr>
                <w:rFonts w:hint="eastAsia" w:ascii="宋体" w:hAnsi="宋体" w:cs="Arial"/>
                <w:color w:val="auto"/>
                <w:sz w:val="18"/>
                <w:szCs w:val="18"/>
              </w:rPr>
              <w:t>具有 2 个 HDMI 接口、2 个 VGA 接口、1 个 CVBS 接口、2 个 RJ45 千兆网络接口、2 个 USB2.0 接口、2 个 USB3.0 接口、1 个 RS232 接口、1 个 RS485 接口（可接入 RS485 键盘）、1 个 eSata 接口；具有 1 路音频输入接口、2 路音频输出接口，16 路报警输入接口、9 路报警输出接口；具有 1 路直流 12V 输出接口；可内置 16 个 SATA 接口硬盘</w:t>
            </w:r>
          </w:p>
          <w:p w14:paraId="659CE47B">
            <w:pPr>
              <w:widowControl/>
              <w:spacing w:line="400" w:lineRule="exact"/>
              <w:rPr>
                <w:rFonts w:ascii="宋体" w:hAnsi="宋体" w:cs="Arial"/>
                <w:color w:val="auto"/>
                <w:sz w:val="18"/>
                <w:szCs w:val="18"/>
              </w:rPr>
            </w:pPr>
            <w:r>
              <w:rPr>
                <w:rFonts w:hint="eastAsia" w:ascii="宋体" w:hAnsi="宋体" w:cs="Arial"/>
                <w:color w:val="auto"/>
                <w:sz w:val="18"/>
                <w:szCs w:val="18"/>
              </w:rPr>
              <w:t>支持网络广播音频设备（包括网络音响）的接入，支持以 POE 方式接入网络广播，支持网络广播绑定视频通道，支持以通道方式对绑定后的视频通道和网络广播进行对讲</w:t>
            </w:r>
          </w:p>
        </w:tc>
        <w:tc>
          <w:tcPr>
            <w:tcW w:w="900" w:type="dxa"/>
            <w:tcBorders>
              <w:top w:val="nil"/>
              <w:left w:val="nil"/>
              <w:bottom w:val="single" w:color="auto" w:sz="4" w:space="0"/>
              <w:right w:val="single" w:color="auto" w:sz="4" w:space="0"/>
            </w:tcBorders>
            <w:vAlign w:val="center"/>
          </w:tcPr>
          <w:p w14:paraId="4EF63B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74E7D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73F8AF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3B3D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4B546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硬盘</w:t>
            </w:r>
          </w:p>
        </w:tc>
        <w:tc>
          <w:tcPr>
            <w:tcW w:w="5717" w:type="dxa"/>
            <w:tcBorders>
              <w:top w:val="nil"/>
              <w:left w:val="nil"/>
              <w:bottom w:val="single" w:color="auto" w:sz="4" w:space="0"/>
              <w:right w:val="single" w:color="auto" w:sz="4" w:space="0"/>
            </w:tcBorders>
            <w:vAlign w:val="center"/>
          </w:tcPr>
          <w:p w14:paraId="596B0F7A">
            <w:pPr>
              <w:widowControl/>
              <w:spacing w:line="400" w:lineRule="exact"/>
              <w:rPr>
                <w:rFonts w:ascii="宋体" w:hAnsi="宋体" w:cs="Arial"/>
                <w:color w:val="auto"/>
                <w:sz w:val="18"/>
                <w:szCs w:val="18"/>
              </w:rPr>
            </w:pPr>
            <w:r>
              <w:rPr>
                <w:rFonts w:hint="eastAsia" w:ascii="宋体" w:hAnsi="宋体" w:cs="Arial"/>
                <w:color w:val="auto"/>
                <w:sz w:val="18"/>
                <w:szCs w:val="18"/>
              </w:rPr>
              <w:t>6T 硬盘，质量满足甲方要求</w:t>
            </w:r>
          </w:p>
        </w:tc>
        <w:tc>
          <w:tcPr>
            <w:tcW w:w="900" w:type="dxa"/>
            <w:tcBorders>
              <w:top w:val="nil"/>
              <w:left w:val="nil"/>
              <w:bottom w:val="single" w:color="auto" w:sz="4" w:space="0"/>
              <w:right w:val="single" w:color="auto" w:sz="4" w:space="0"/>
            </w:tcBorders>
            <w:vAlign w:val="center"/>
          </w:tcPr>
          <w:p w14:paraId="7B3D9A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0564CE00">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473648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C35C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0BCD57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显示器</w:t>
            </w:r>
          </w:p>
        </w:tc>
        <w:tc>
          <w:tcPr>
            <w:tcW w:w="5717" w:type="dxa"/>
            <w:tcBorders>
              <w:top w:val="nil"/>
              <w:left w:val="nil"/>
              <w:bottom w:val="single" w:color="auto" w:sz="4" w:space="0"/>
              <w:right w:val="single" w:color="auto" w:sz="4" w:space="0"/>
            </w:tcBorders>
            <w:vAlign w:val="center"/>
          </w:tcPr>
          <w:p w14:paraId="67567F09">
            <w:pPr>
              <w:widowControl/>
              <w:spacing w:line="400" w:lineRule="exact"/>
              <w:rPr>
                <w:rFonts w:ascii="宋体" w:hAnsi="宋体" w:cs="Arial"/>
                <w:color w:val="auto"/>
                <w:sz w:val="18"/>
                <w:szCs w:val="18"/>
              </w:rPr>
            </w:pPr>
            <w:r>
              <w:rPr>
                <w:rFonts w:hint="eastAsia" w:ascii="宋体" w:hAnsi="宋体" w:cs="Arial"/>
                <w:color w:val="auto"/>
                <w:sz w:val="18"/>
                <w:szCs w:val="18"/>
              </w:rPr>
              <w:t>55 寸，质量满足甲方要求</w:t>
            </w:r>
          </w:p>
        </w:tc>
        <w:tc>
          <w:tcPr>
            <w:tcW w:w="900" w:type="dxa"/>
            <w:tcBorders>
              <w:top w:val="nil"/>
              <w:left w:val="nil"/>
              <w:bottom w:val="single" w:color="auto" w:sz="4" w:space="0"/>
              <w:right w:val="single" w:color="auto" w:sz="4" w:space="0"/>
            </w:tcBorders>
            <w:vAlign w:val="center"/>
          </w:tcPr>
          <w:p w14:paraId="7C5474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F0D18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6F9E2F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E4C6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88D77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电话光端机</w:t>
            </w:r>
          </w:p>
        </w:tc>
        <w:tc>
          <w:tcPr>
            <w:tcW w:w="5717" w:type="dxa"/>
            <w:tcBorders>
              <w:top w:val="nil"/>
              <w:left w:val="nil"/>
              <w:bottom w:val="single" w:color="auto" w:sz="4" w:space="0"/>
              <w:right w:val="single" w:color="auto" w:sz="4" w:space="0"/>
            </w:tcBorders>
            <w:vAlign w:val="center"/>
          </w:tcPr>
          <w:p w14:paraId="661BE669">
            <w:pPr>
              <w:widowControl/>
              <w:spacing w:line="400" w:lineRule="exact"/>
              <w:rPr>
                <w:rFonts w:ascii="宋体" w:hAnsi="宋体" w:cs="Arial"/>
                <w:color w:val="auto"/>
                <w:sz w:val="18"/>
                <w:szCs w:val="18"/>
              </w:rPr>
            </w:pPr>
            <w:r>
              <w:rPr>
                <w:rFonts w:hint="eastAsia" w:ascii="宋体" w:hAnsi="宋体" w:cs="Arial"/>
                <w:color w:val="auto"/>
                <w:sz w:val="18"/>
                <w:szCs w:val="18"/>
              </w:rPr>
              <w:t>8 路，质量满足甲方要求</w:t>
            </w:r>
          </w:p>
        </w:tc>
        <w:tc>
          <w:tcPr>
            <w:tcW w:w="900" w:type="dxa"/>
            <w:tcBorders>
              <w:top w:val="nil"/>
              <w:left w:val="nil"/>
              <w:bottom w:val="single" w:color="auto" w:sz="4" w:space="0"/>
              <w:right w:val="single" w:color="auto" w:sz="4" w:space="0"/>
            </w:tcBorders>
            <w:vAlign w:val="center"/>
          </w:tcPr>
          <w:p w14:paraId="576344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3694D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EF9879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83E6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0E2725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程控电话</w:t>
            </w:r>
          </w:p>
        </w:tc>
        <w:tc>
          <w:tcPr>
            <w:tcW w:w="5717" w:type="dxa"/>
            <w:tcBorders>
              <w:top w:val="nil"/>
              <w:left w:val="nil"/>
              <w:bottom w:val="single" w:color="auto" w:sz="4" w:space="0"/>
              <w:right w:val="single" w:color="auto" w:sz="4" w:space="0"/>
            </w:tcBorders>
            <w:vAlign w:val="center"/>
          </w:tcPr>
          <w:p w14:paraId="0ED13156">
            <w:pPr>
              <w:widowControl/>
              <w:spacing w:line="400" w:lineRule="exact"/>
              <w:rPr>
                <w:rFonts w:ascii="宋体" w:hAnsi="宋体" w:cs="Arial"/>
                <w:color w:val="auto"/>
                <w:sz w:val="18"/>
                <w:szCs w:val="18"/>
              </w:rPr>
            </w:pPr>
            <w:r>
              <w:rPr>
                <w:rFonts w:hint="eastAsia" w:ascii="宋体" w:hAnsi="宋体" w:cs="Arial"/>
                <w:color w:val="auto"/>
                <w:sz w:val="18"/>
                <w:szCs w:val="18"/>
              </w:rPr>
              <w:t>4 路进线，16 路分机，质量满足甲方要求</w:t>
            </w:r>
          </w:p>
        </w:tc>
        <w:tc>
          <w:tcPr>
            <w:tcW w:w="900" w:type="dxa"/>
            <w:tcBorders>
              <w:top w:val="nil"/>
              <w:left w:val="nil"/>
              <w:bottom w:val="single" w:color="auto" w:sz="4" w:space="0"/>
              <w:right w:val="single" w:color="auto" w:sz="4" w:space="0"/>
            </w:tcBorders>
            <w:vAlign w:val="center"/>
          </w:tcPr>
          <w:p w14:paraId="0A5E6D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3A86A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637FE9D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D339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235452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监控立杆</w:t>
            </w:r>
          </w:p>
        </w:tc>
        <w:tc>
          <w:tcPr>
            <w:tcW w:w="5717" w:type="dxa"/>
            <w:tcBorders>
              <w:top w:val="nil"/>
              <w:left w:val="nil"/>
              <w:bottom w:val="single" w:color="auto" w:sz="4" w:space="0"/>
              <w:right w:val="single" w:color="auto" w:sz="4" w:space="0"/>
            </w:tcBorders>
            <w:vAlign w:val="center"/>
          </w:tcPr>
          <w:p w14:paraId="74F6AEB7">
            <w:pPr>
              <w:widowControl/>
              <w:spacing w:line="400" w:lineRule="exact"/>
              <w:rPr>
                <w:rFonts w:ascii="宋体" w:hAnsi="宋体" w:cs="Arial"/>
                <w:color w:val="auto"/>
                <w:sz w:val="18"/>
                <w:szCs w:val="18"/>
              </w:rPr>
            </w:pPr>
            <w:r>
              <w:rPr>
                <w:rFonts w:hint="eastAsia" w:ascii="宋体" w:hAnsi="宋体" w:cs="Arial"/>
                <w:color w:val="auto"/>
                <w:sz w:val="18"/>
                <w:szCs w:val="18"/>
              </w:rPr>
              <w:t>3.5M 标准监控立杆，含钢筋混凝土基础及基础土方作业，质量满足甲方要求</w:t>
            </w:r>
          </w:p>
        </w:tc>
        <w:tc>
          <w:tcPr>
            <w:tcW w:w="900" w:type="dxa"/>
            <w:tcBorders>
              <w:top w:val="nil"/>
              <w:left w:val="nil"/>
              <w:bottom w:val="single" w:color="auto" w:sz="4" w:space="0"/>
              <w:right w:val="single" w:color="auto" w:sz="4" w:space="0"/>
            </w:tcBorders>
            <w:vAlign w:val="center"/>
          </w:tcPr>
          <w:p w14:paraId="36999A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3DB854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根</w:t>
            </w:r>
          </w:p>
        </w:tc>
      </w:tr>
      <w:tr w14:paraId="340981B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3B19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1F55C9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设备箱</w:t>
            </w:r>
          </w:p>
        </w:tc>
        <w:tc>
          <w:tcPr>
            <w:tcW w:w="5717" w:type="dxa"/>
            <w:tcBorders>
              <w:top w:val="nil"/>
              <w:left w:val="nil"/>
              <w:bottom w:val="single" w:color="auto" w:sz="4" w:space="0"/>
              <w:right w:val="single" w:color="auto" w:sz="4" w:space="0"/>
            </w:tcBorders>
            <w:vAlign w:val="center"/>
          </w:tcPr>
          <w:p w14:paraId="391206C7">
            <w:pPr>
              <w:widowControl/>
              <w:spacing w:line="400" w:lineRule="exact"/>
              <w:rPr>
                <w:rFonts w:ascii="宋体" w:hAnsi="宋体" w:cs="Arial"/>
                <w:color w:val="auto"/>
                <w:sz w:val="18"/>
                <w:szCs w:val="18"/>
              </w:rPr>
            </w:pPr>
            <w:r>
              <w:rPr>
                <w:rFonts w:hint="eastAsia" w:ascii="宋体" w:hAnsi="宋体" w:cs="Arial"/>
                <w:color w:val="auto"/>
                <w:sz w:val="18"/>
                <w:szCs w:val="18"/>
              </w:rPr>
              <w:t>30*40，款式质量满足甲方要求</w:t>
            </w:r>
          </w:p>
        </w:tc>
        <w:tc>
          <w:tcPr>
            <w:tcW w:w="900" w:type="dxa"/>
            <w:tcBorders>
              <w:top w:val="nil"/>
              <w:left w:val="nil"/>
              <w:bottom w:val="single" w:color="auto" w:sz="4" w:space="0"/>
              <w:right w:val="single" w:color="auto" w:sz="4" w:space="0"/>
            </w:tcBorders>
            <w:vAlign w:val="center"/>
          </w:tcPr>
          <w:p w14:paraId="039AC9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center"/>
          </w:tcPr>
          <w:p w14:paraId="6433D8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CB2E2E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C2D1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2BEA25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室外汇聚箱</w:t>
            </w:r>
          </w:p>
        </w:tc>
        <w:tc>
          <w:tcPr>
            <w:tcW w:w="5717" w:type="dxa"/>
            <w:tcBorders>
              <w:top w:val="nil"/>
              <w:left w:val="nil"/>
              <w:bottom w:val="single" w:color="auto" w:sz="4" w:space="0"/>
              <w:right w:val="single" w:color="auto" w:sz="4" w:space="0"/>
            </w:tcBorders>
            <w:vAlign w:val="center"/>
          </w:tcPr>
          <w:p w14:paraId="50BD1C4F">
            <w:pPr>
              <w:widowControl/>
              <w:spacing w:line="400" w:lineRule="exact"/>
              <w:rPr>
                <w:rFonts w:ascii="宋体" w:hAnsi="宋体" w:cs="Arial"/>
                <w:color w:val="auto"/>
                <w:sz w:val="18"/>
                <w:szCs w:val="18"/>
              </w:rPr>
            </w:pPr>
            <w:r>
              <w:rPr>
                <w:rFonts w:hint="eastAsia" w:ascii="宋体" w:hAnsi="宋体" w:cs="Arial"/>
                <w:color w:val="auto"/>
                <w:sz w:val="18"/>
                <w:szCs w:val="18"/>
              </w:rPr>
              <w:t>60*60*120cm 室外监控汇聚箱，款式、质量满足甲方要求</w:t>
            </w:r>
          </w:p>
        </w:tc>
        <w:tc>
          <w:tcPr>
            <w:tcW w:w="900" w:type="dxa"/>
            <w:tcBorders>
              <w:top w:val="nil"/>
              <w:left w:val="nil"/>
              <w:bottom w:val="single" w:color="auto" w:sz="4" w:space="0"/>
              <w:right w:val="single" w:color="auto" w:sz="4" w:space="0"/>
            </w:tcBorders>
            <w:vAlign w:val="center"/>
          </w:tcPr>
          <w:p w14:paraId="01F3D3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1F91B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3F8623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B747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635002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前端交换机</w:t>
            </w:r>
          </w:p>
        </w:tc>
        <w:tc>
          <w:tcPr>
            <w:tcW w:w="5717" w:type="dxa"/>
            <w:tcBorders>
              <w:top w:val="nil"/>
              <w:left w:val="nil"/>
              <w:bottom w:val="single" w:color="auto" w:sz="4" w:space="0"/>
              <w:right w:val="single" w:color="auto" w:sz="4" w:space="0"/>
            </w:tcBorders>
            <w:vAlign w:val="center"/>
          </w:tcPr>
          <w:p w14:paraId="0F7DD94D">
            <w:pPr>
              <w:widowControl/>
              <w:spacing w:line="400" w:lineRule="exact"/>
              <w:rPr>
                <w:rFonts w:ascii="宋体" w:hAnsi="宋体" w:cs="Arial"/>
                <w:color w:val="auto"/>
                <w:sz w:val="18"/>
                <w:szCs w:val="18"/>
              </w:rPr>
            </w:pPr>
            <w:r>
              <w:rPr>
                <w:rFonts w:hint="eastAsia" w:ascii="宋体" w:hAnsi="宋体" w:cs="Arial"/>
                <w:color w:val="auto"/>
                <w:sz w:val="18"/>
                <w:szCs w:val="18"/>
              </w:rPr>
              <w:t>5 口千兆交换机，其中 4 口支持 POE 供电，质量满足甲方要求</w:t>
            </w:r>
          </w:p>
        </w:tc>
        <w:tc>
          <w:tcPr>
            <w:tcW w:w="900" w:type="dxa"/>
            <w:tcBorders>
              <w:top w:val="nil"/>
              <w:left w:val="nil"/>
              <w:bottom w:val="single" w:color="auto" w:sz="4" w:space="0"/>
              <w:right w:val="single" w:color="auto" w:sz="4" w:space="0"/>
            </w:tcBorders>
            <w:vAlign w:val="center"/>
          </w:tcPr>
          <w:p w14:paraId="6A0613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center"/>
          </w:tcPr>
          <w:p w14:paraId="063255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C3CDF5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DC13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67E4C8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汇聚交换机</w:t>
            </w:r>
          </w:p>
        </w:tc>
        <w:tc>
          <w:tcPr>
            <w:tcW w:w="5717" w:type="dxa"/>
            <w:tcBorders>
              <w:top w:val="nil"/>
              <w:left w:val="nil"/>
              <w:bottom w:val="single" w:color="auto" w:sz="4" w:space="0"/>
              <w:right w:val="single" w:color="auto" w:sz="4" w:space="0"/>
            </w:tcBorders>
            <w:vAlign w:val="center"/>
          </w:tcPr>
          <w:p w14:paraId="34389162">
            <w:pPr>
              <w:widowControl/>
              <w:spacing w:line="400" w:lineRule="exact"/>
              <w:rPr>
                <w:rFonts w:ascii="宋体" w:hAnsi="宋体" w:cs="Arial"/>
                <w:color w:val="auto"/>
                <w:sz w:val="18"/>
                <w:szCs w:val="18"/>
              </w:rPr>
            </w:pPr>
            <w:r>
              <w:rPr>
                <w:rFonts w:hint="eastAsia" w:ascii="宋体" w:hAnsi="宋体" w:cs="Arial"/>
                <w:color w:val="auto"/>
                <w:sz w:val="18"/>
                <w:szCs w:val="18"/>
              </w:rPr>
              <w:t>1．固化 10/100/1000M 以太网电口≥24，1000M/2.5G SFP 千兆光接口≥4 个，交换容量≥336Gbps，包转发率≥50Mpps</w:t>
            </w:r>
          </w:p>
          <w:p w14:paraId="7E137166">
            <w:pPr>
              <w:widowControl/>
              <w:spacing w:line="400" w:lineRule="exact"/>
              <w:rPr>
                <w:rFonts w:ascii="宋体" w:hAnsi="宋体" w:cs="Arial"/>
                <w:color w:val="auto"/>
                <w:sz w:val="18"/>
                <w:szCs w:val="18"/>
              </w:rPr>
            </w:pPr>
            <w:r>
              <w:rPr>
                <w:rFonts w:hint="eastAsia" w:ascii="宋体" w:hAnsi="宋体" w:cs="Arial"/>
                <w:color w:val="auto"/>
                <w:sz w:val="18"/>
                <w:szCs w:val="18"/>
              </w:rPr>
              <w:t>2．支持 POE 和 POE+，同时可 POE 供电端口≥24 个</w:t>
            </w:r>
          </w:p>
          <w:p w14:paraId="41A4FD13">
            <w:pPr>
              <w:widowControl/>
              <w:spacing w:line="400" w:lineRule="exact"/>
              <w:rPr>
                <w:rFonts w:ascii="宋体" w:hAnsi="宋体" w:cs="Arial"/>
                <w:color w:val="auto"/>
                <w:sz w:val="18"/>
                <w:szCs w:val="18"/>
              </w:rPr>
            </w:pPr>
            <w:r>
              <w:rPr>
                <w:rFonts w:hint="eastAsia" w:ascii="宋体" w:hAnsi="宋体" w:cs="Arial"/>
                <w:color w:val="auto"/>
                <w:sz w:val="18"/>
                <w:szCs w:val="18"/>
              </w:rPr>
              <w:t>3.支持端口浪涌抗扰度≥10KV（即具备 10KV 的防雷能力）</w:t>
            </w:r>
          </w:p>
          <w:p w14:paraId="4EE231DC">
            <w:pPr>
              <w:widowControl/>
              <w:spacing w:line="400" w:lineRule="exact"/>
              <w:rPr>
                <w:rFonts w:ascii="宋体" w:hAnsi="宋体" w:cs="Arial"/>
                <w:color w:val="auto"/>
                <w:sz w:val="18"/>
                <w:szCs w:val="18"/>
              </w:rPr>
            </w:pPr>
            <w:r>
              <w:rPr>
                <w:rFonts w:hint="eastAsia" w:ascii="宋体" w:hAnsi="宋体" w:cs="Arial"/>
                <w:color w:val="auto"/>
                <w:sz w:val="18"/>
                <w:szCs w:val="18"/>
              </w:rPr>
              <w:t>4.支持 IPV4/IPV6 静态路由协议</w:t>
            </w:r>
          </w:p>
        </w:tc>
        <w:tc>
          <w:tcPr>
            <w:tcW w:w="900" w:type="dxa"/>
            <w:tcBorders>
              <w:top w:val="nil"/>
              <w:left w:val="nil"/>
              <w:bottom w:val="single" w:color="auto" w:sz="4" w:space="0"/>
              <w:right w:val="single" w:color="auto" w:sz="4" w:space="0"/>
            </w:tcBorders>
            <w:vAlign w:val="center"/>
          </w:tcPr>
          <w:p w14:paraId="569FA8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601C0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A8959C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4FD6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4FEE8A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光模块</w:t>
            </w:r>
          </w:p>
        </w:tc>
        <w:tc>
          <w:tcPr>
            <w:tcW w:w="5717" w:type="dxa"/>
            <w:tcBorders>
              <w:top w:val="nil"/>
              <w:left w:val="nil"/>
              <w:bottom w:val="single" w:color="auto" w:sz="4" w:space="0"/>
              <w:right w:val="single" w:color="auto" w:sz="4" w:space="0"/>
            </w:tcBorders>
            <w:vAlign w:val="center"/>
          </w:tcPr>
          <w:p w14:paraId="0D31CED7">
            <w:pPr>
              <w:widowControl/>
              <w:spacing w:line="400" w:lineRule="exact"/>
              <w:rPr>
                <w:rFonts w:ascii="宋体" w:hAnsi="宋体" w:cs="Arial"/>
                <w:color w:val="auto"/>
                <w:sz w:val="18"/>
                <w:szCs w:val="18"/>
              </w:rPr>
            </w:pPr>
            <w:r>
              <w:rPr>
                <w:rFonts w:hint="eastAsia" w:ascii="宋体" w:hAnsi="宋体" w:cs="Arial"/>
                <w:color w:val="auto"/>
                <w:sz w:val="18"/>
                <w:szCs w:val="18"/>
              </w:rPr>
              <w:t>1000BASE-LX mini GBIC 转换模块（1310nm），10km，单模</w:t>
            </w:r>
          </w:p>
        </w:tc>
        <w:tc>
          <w:tcPr>
            <w:tcW w:w="900" w:type="dxa"/>
            <w:tcBorders>
              <w:top w:val="nil"/>
              <w:left w:val="nil"/>
              <w:bottom w:val="single" w:color="auto" w:sz="4" w:space="0"/>
              <w:right w:val="single" w:color="auto" w:sz="4" w:space="0"/>
            </w:tcBorders>
            <w:vAlign w:val="center"/>
          </w:tcPr>
          <w:p w14:paraId="4AD8CC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A2DCF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38D72F6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4679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34A8F7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光纤收发器</w:t>
            </w:r>
          </w:p>
        </w:tc>
        <w:tc>
          <w:tcPr>
            <w:tcW w:w="5717" w:type="dxa"/>
            <w:tcBorders>
              <w:top w:val="nil"/>
              <w:left w:val="nil"/>
              <w:bottom w:val="single" w:color="auto" w:sz="4" w:space="0"/>
              <w:right w:val="single" w:color="auto" w:sz="4" w:space="0"/>
            </w:tcBorders>
            <w:vAlign w:val="center"/>
          </w:tcPr>
          <w:p w14:paraId="512F0331">
            <w:pPr>
              <w:widowControl/>
              <w:spacing w:line="400" w:lineRule="exact"/>
              <w:rPr>
                <w:rFonts w:ascii="宋体" w:hAnsi="宋体" w:cs="Arial"/>
                <w:color w:val="auto"/>
                <w:sz w:val="18"/>
                <w:szCs w:val="18"/>
              </w:rPr>
            </w:pPr>
            <w:r>
              <w:rPr>
                <w:rFonts w:hint="eastAsia" w:ascii="宋体" w:hAnsi="宋体" w:cs="Arial"/>
                <w:color w:val="auto"/>
                <w:sz w:val="18"/>
                <w:szCs w:val="18"/>
              </w:rPr>
              <w:t>千兆单模，10KM</w:t>
            </w:r>
          </w:p>
        </w:tc>
        <w:tc>
          <w:tcPr>
            <w:tcW w:w="900" w:type="dxa"/>
            <w:tcBorders>
              <w:top w:val="nil"/>
              <w:left w:val="nil"/>
              <w:bottom w:val="single" w:color="auto" w:sz="4" w:space="0"/>
              <w:right w:val="single" w:color="auto" w:sz="4" w:space="0"/>
            </w:tcBorders>
            <w:vAlign w:val="center"/>
          </w:tcPr>
          <w:p w14:paraId="139A568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center"/>
          </w:tcPr>
          <w:p w14:paraId="22F5555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2782E42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242BC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14</w:t>
            </w:r>
          </w:p>
        </w:tc>
        <w:tc>
          <w:tcPr>
            <w:tcW w:w="1397" w:type="dxa"/>
            <w:tcBorders>
              <w:top w:val="nil"/>
              <w:left w:val="nil"/>
              <w:bottom w:val="single" w:color="auto" w:sz="4" w:space="0"/>
              <w:right w:val="single" w:color="auto" w:sz="4" w:space="0"/>
            </w:tcBorders>
            <w:vAlign w:val="center"/>
          </w:tcPr>
          <w:p w14:paraId="453F3B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光纤盒</w:t>
            </w:r>
          </w:p>
        </w:tc>
        <w:tc>
          <w:tcPr>
            <w:tcW w:w="5717" w:type="dxa"/>
            <w:tcBorders>
              <w:top w:val="nil"/>
              <w:left w:val="nil"/>
              <w:bottom w:val="single" w:color="auto" w:sz="4" w:space="0"/>
              <w:right w:val="single" w:color="auto" w:sz="4" w:space="0"/>
            </w:tcBorders>
            <w:vAlign w:val="center"/>
          </w:tcPr>
          <w:p w14:paraId="25E7FE87">
            <w:pPr>
              <w:widowControl/>
              <w:spacing w:line="400" w:lineRule="exact"/>
              <w:rPr>
                <w:rFonts w:ascii="宋体" w:hAnsi="宋体" w:cs="Arial"/>
                <w:color w:val="auto"/>
                <w:sz w:val="18"/>
                <w:szCs w:val="18"/>
              </w:rPr>
            </w:pPr>
            <w:r>
              <w:rPr>
                <w:rFonts w:hint="eastAsia" w:ascii="宋体" w:hAnsi="宋体" w:cs="Arial"/>
                <w:color w:val="auto"/>
                <w:sz w:val="18"/>
                <w:szCs w:val="18"/>
              </w:rPr>
              <w:t>8 芯光纤盘线盒</w:t>
            </w:r>
          </w:p>
        </w:tc>
        <w:tc>
          <w:tcPr>
            <w:tcW w:w="900" w:type="dxa"/>
            <w:tcBorders>
              <w:top w:val="nil"/>
              <w:left w:val="nil"/>
              <w:bottom w:val="single" w:color="auto" w:sz="4" w:space="0"/>
              <w:right w:val="single" w:color="auto" w:sz="4" w:space="0"/>
            </w:tcBorders>
            <w:vAlign w:val="center"/>
          </w:tcPr>
          <w:p w14:paraId="501C3CD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9.00 </w:t>
            </w:r>
          </w:p>
        </w:tc>
        <w:tc>
          <w:tcPr>
            <w:tcW w:w="849" w:type="dxa"/>
            <w:gridSpan w:val="2"/>
            <w:tcBorders>
              <w:top w:val="nil"/>
              <w:left w:val="nil"/>
              <w:bottom w:val="single" w:color="auto" w:sz="4" w:space="0"/>
              <w:right w:val="single" w:color="auto" w:sz="4" w:space="0"/>
            </w:tcBorders>
            <w:vAlign w:val="center"/>
          </w:tcPr>
          <w:p w14:paraId="6656B5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99CA7A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77F0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15</w:t>
            </w:r>
          </w:p>
        </w:tc>
        <w:tc>
          <w:tcPr>
            <w:tcW w:w="1397" w:type="dxa"/>
            <w:tcBorders>
              <w:top w:val="nil"/>
              <w:left w:val="nil"/>
              <w:bottom w:val="single" w:color="auto" w:sz="4" w:space="0"/>
              <w:right w:val="single" w:color="auto" w:sz="4" w:space="0"/>
            </w:tcBorders>
            <w:vAlign w:val="center"/>
          </w:tcPr>
          <w:p w14:paraId="0B5A143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网线</w:t>
            </w:r>
          </w:p>
        </w:tc>
        <w:tc>
          <w:tcPr>
            <w:tcW w:w="5717" w:type="dxa"/>
            <w:tcBorders>
              <w:top w:val="nil"/>
              <w:left w:val="nil"/>
              <w:bottom w:val="single" w:color="auto" w:sz="4" w:space="0"/>
              <w:right w:val="single" w:color="auto" w:sz="4" w:space="0"/>
            </w:tcBorders>
            <w:vAlign w:val="center"/>
          </w:tcPr>
          <w:p w14:paraId="19C742C0">
            <w:pPr>
              <w:widowControl/>
              <w:spacing w:line="400" w:lineRule="exact"/>
              <w:rPr>
                <w:rFonts w:ascii="宋体" w:hAnsi="宋体" w:cs="Arial"/>
                <w:color w:val="auto"/>
                <w:sz w:val="18"/>
                <w:szCs w:val="18"/>
              </w:rPr>
            </w:pPr>
            <w:r>
              <w:rPr>
                <w:rFonts w:hint="eastAsia" w:ascii="宋体" w:hAnsi="宋体" w:cs="Arial"/>
                <w:color w:val="auto"/>
                <w:sz w:val="18"/>
                <w:szCs w:val="18"/>
              </w:rPr>
              <w:t>CAT6</w:t>
            </w:r>
          </w:p>
        </w:tc>
        <w:tc>
          <w:tcPr>
            <w:tcW w:w="900" w:type="dxa"/>
            <w:tcBorders>
              <w:top w:val="nil"/>
              <w:left w:val="nil"/>
              <w:bottom w:val="single" w:color="auto" w:sz="4" w:space="0"/>
              <w:right w:val="single" w:color="auto" w:sz="4" w:space="0"/>
            </w:tcBorders>
            <w:vAlign w:val="center"/>
          </w:tcPr>
          <w:p w14:paraId="0C588A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500.00 </w:t>
            </w:r>
          </w:p>
        </w:tc>
        <w:tc>
          <w:tcPr>
            <w:tcW w:w="849" w:type="dxa"/>
            <w:gridSpan w:val="2"/>
            <w:tcBorders>
              <w:top w:val="nil"/>
              <w:left w:val="nil"/>
              <w:bottom w:val="single" w:color="auto" w:sz="4" w:space="0"/>
              <w:right w:val="single" w:color="auto" w:sz="4" w:space="0"/>
            </w:tcBorders>
            <w:vAlign w:val="center"/>
          </w:tcPr>
          <w:p w14:paraId="3BC181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502F8B6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D79A6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16</w:t>
            </w:r>
          </w:p>
        </w:tc>
        <w:tc>
          <w:tcPr>
            <w:tcW w:w="1397" w:type="dxa"/>
            <w:tcBorders>
              <w:top w:val="nil"/>
              <w:left w:val="nil"/>
              <w:bottom w:val="single" w:color="auto" w:sz="4" w:space="0"/>
              <w:right w:val="single" w:color="auto" w:sz="4" w:space="0"/>
            </w:tcBorders>
            <w:vAlign w:val="center"/>
          </w:tcPr>
          <w:p w14:paraId="3F4AAC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电源线</w:t>
            </w:r>
          </w:p>
        </w:tc>
        <w:tc>
          <w:tcPr>
            <w:tcW w:w="5717" w:type="dxa"/>
            <w:tcBorders>
              <w:top w:val="nil"/>
              <w:left w:val="nil"/>
              <w:bottom w:val="single" w:color="auto" w:sz="4" w:space="0"/>
              <w:right w:val="single" w:color="auto" w:sz="4" w:space="0"/>
            </w:tcBorders>
            <w:vAlign w:val="center"/>
          </w:tcPr>
          <w:p w14:paraId="2EB7FBCB">
            <w:pPr>
              <w:widowControl/>
              <w:spacing w:line="400" w:lineRule="exact"/>
              <w:rPr>
                <w:rFonts w:ascii="宋体" w:hAnsi="宋体" w:cs="Arial"/>
                <w:color w:val="auto"/>
                <w:sz w:val="18"/>
                <w:szCs w:val="18"/>
              </w:rPr>
            </w:pPr>
            <w:r>
              <w:rPr>
                <w:rFonts w:hint="eastAsia" w:ascii="宋体" w:hAnsi="宋体" w:cs="Arial"/>
                <w:color w:val="auto"/>
                <w:sz w:val="18"/>
                <w:szCs w:val="18"/>
              </w:rPr>
              <w:t>YJV2*2.5</w:t>
            </w:r>
          </w:p>
        </w:tc>
        <w:tc>
          <w:tcPr>
            <w:tcW w:w="900" w:type="dxa"/>
            <w:tcBorders>
              <w:top w:val="nil"/>
              <w:left w:val="nil"/>
              <w:bottom w:val="single" w:color="auto" w:sz="4" w:space="0"/>
              <w:right w:val="single" w:color="auto" w:sz="4" w:space="0"/>
            </w:tcBorders>
            <w:vAlign w:val="center"/>
          </w:tcPr>
          <w:p w14:paraId="634358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29AC40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78A0D43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B04D6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17</w:t>
            </w:r>
          </w:p>
        </w:tc>
        <w:tc>
          <w:tcPr>
            <w:tcW w:w="1397" w:type="dxa"/>
            <w:tcBorders>
              <w:top w:val="nil"/>
              <w:left w:val="nil"/>
              <w:bottom w:val="single" w:color="auto" w:sz="4" w:space="0"/>
              <w:right w:val="single" w:color="auto" w:sz="4" w:space="0"/>
            </w:tcBorders>
            <w:vAlign w:val="center"/>
          </w:tcPr>
          <w:p w14:paraId="13B50A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光缆</w:t>
            </w:r>
          </w:p>
        </w:tc>
        <w:tc>
          <w:tcPr>
            <w:tcW w:w="5717" w:type="dxa"/>
            <w:tcBorders>
              <w:top w:val="nil"/>
              <w:left w:val="nil"/>
              <w:bottom w:val="single" w:color="auto" w:sz="4" w:space="0"/>
              <w:right w:val="single" w:color="auto" w:sz="4" w:space="0"/>
            </w:tcBorders>
            <w:vAlign w:val="center"/>
          </w:tcPr>
          <w:p w14:paraId="23618FC6">
            <w:pPr>
              <w:widowControl/>
              <w:spacing w:line="400" w:lineRule="exact"/>
              <w:rPr>
                <w:rFonts w:ascii="宋体" w:hAnsi="宋体" w:cs="Arial"/>
                <w:color w:val="auto"/>
                <w:sz w:val="18"/>
                <w:szCs w:val="18"/>
              </w:rPr>
            </w:pPr>
            <w:r>
              <w:rPr>
                <w:rFonts w:hint="eastAsia" w:ascii="宋体" w:hAnsi="宋体" w:cs="Arial"/>
                <w:color w:val="auto"/>
                <w:sz w:val="18"/>
                <w:szCs w:val="18"/>
              </w:rPr>
              <w:t>8 芯室外光缆</w:t>
            </w:r>
          </w:p>
        </w:tc>
        <w:tc>
          <w:tcPr>
            <w:tcW w:w="900" w:type="dxa"/>
            <w:tcBorders>
              <w:top w:val="nil"/>
              <w:left w:val="nil"/>
              <w:bottom w:val="single" w:color="auto" w:sz="4" w:space="0"/>
              <w:right w:val="single" w:color="auto" w:sz="4" w:space="0"/>
            </w:tcBorders>
            <w:vAlign w:val="center"/>
          </w:tcPr>
          <w:p w14:paraId="70D551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429C13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3AC84F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CFB44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18</w:t>
            </w:r>
          </w:p>
        </w:tc>
        <w:tc>
          <w:tcPr>
            <w:tcW w:w="1397" w:type="dxa"/>
            <w:tcBorders>
              <w:top w:val="nil"/>
              <w:left w:val="nil"/>
              <w:bottom w:val="single" w:color="auto" w:sz="4" w:space="0"/>
              <w:right w:val="single" w:color="auto" w:sz="4" w:space="0"/>
            </w:tcBorders>
            <w:vAlign w:val="center"/>
          </w:tcPr>
          <w:p w14:paraId="5E7E39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电话线</w:t>
            </w:r>
          </w:p>
        </w:tc>
        <w:tc>
          <w:tcPr>
            <w:tcW w:w="5717" w:type="dxa"/>
            <w:tcBorders>
              <w:top w:val="nil"/>
              <w:left w:val="nil"/>
              <w:bottom w:val="single" w:color="auto" w:sz="4" w:space="0"/>
              <w:right w:val="single" w:color="auto" w:sz="4" w:space="0"/>
            </w:tcBorders>
            <w:vAlign w:val="center"/>
          </w:tcPr>
          <w:p w14:paraId="2B61C3A3">
            <w:pPr>
              <w:widowControl/>
              <w:spacing w:line="400" w:lineRule="exact"/>
              <w:rPr>
                <w:rFonts w:ascii="宋体" w:hAnsi="宋体" w:cs="Arial"/>
                <w:color w:val="auto"/>
                <w:sz w:val="18"/>
                <w:szCs w:val="18"/>
              </w:rPr>
            </w:pPr>
            <w:r>
              <w:rPr>
                <w:rFonts w:hint="eastAsia" w:ascii="宋体" w:hAnsi="宋体" w:cs="Arial"/>
                <w:color w:val="auto"/>
                <w:sz w:val="18"/>
                <w:szCs w:val="18"/>
              </w:rPr>
              <w:t>HYA5*2*0.5</w:t>
            </w:r>
          </w:p>
        </w:tc>
        <w:tc>
          <w:tcPr>
            <w:tcW w:w="900" w:type="dxa"/>
            <w:tcBorders>
              <w:top w:val="nil"/>
              <w:left w:val="nil"/>
              <w:bottom w:val="single" w:color="auto" w:sz="4" w:space="0"/>
              <w:right w:val="single" w:color="auto" w:sz="4" w:space="0"/>
            </w:tcBorders>
            <w:vAlign w:val="center"/>
          </w:tcPr>
          <w:p w14:paraId="609AFD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1000.00 </w:t>
            </w:r>
          </w:p>
        </w:tc>
        <w:tc>
          <w:tcPr>
            <w:tcW w:w="849" w:type="dxa"/>
            <w:gridSpan w:val="2"/>
            <w:tcBorders>
              <w:top w:val="nil"/>
              <w:left w:val="nil"/>
              <w:bottom w:val="single" w:color="auto" w:sz="4" w:space="0"/>
              <w:right w:val="single" w:color="auto" w:sz="4" w:space="0"/>
            </w:tcBorders>
            <w:vAlign w:val="center"/>
          </w:tcPr>
          <w:p w14:paraId="34F1C9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6E14FC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1A889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19</w:t>
            </w:r>
          </w:p>
        </w:tc>
        <w:tc>
          <w:tcPr>
            <w:tcW w:w="1397" w:type="dxa"/>
            <w:tcBorders>
              <w:top w:val="nil"/>
              <w:left w:val="nil"/>
              <w:bottom w:val="single" w:color="auto" w:sz="4" w:space="0"/>
              <w:right w:val="single" w:color="auto" w:sz="4" w:space="0"/>
            </w:tcBorders>
            <w:vAlign w:val="center"/>
          </w:tcPr>
          <w:p w14:paraId="299EFE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管道</w:t>
            </w:r>
          </w:p>
        </w:tc>
        <w:tc>
          <w:tcPr>
            <w:tcW w:w="5717" w:type="dxa"/>
            <w:tcBorders>
              <w:top w:val="nil"/>
              <w:left w:val="nil"/>
              <w:bottom w:val="single" w:color="auto" w:sz="4" w:space="0"/>
              <w:right w:val="single" w:color="auto" w:sz="4" w:space="0"/>
            </w:tcBorders>
            <w:vAlign w:val="center"/>
          </w:tcPr>
          <w:p w14:paraId="539696F2">
            <w:pPr>
              <w:widowControl/>
              <w:spacing w:line="400" w:lineRule="exact"/>
              <w:rPr>
                <w:rFonts w:ascii="宋体" w:hAnsi="宋体" w:cs="Arial"/>
                <w:color w:val="auto"/>
                <w:sz w:val="18"/>
                <w:szCs w:val="18"/>
              </w:rPr>
            </w:pPr>
            <w:r>
              <w:rPr>
                <w:rFonts w:hint="eastAsia" w:ascii="宋体" w:hAnsi="宋体" w:cs="Arial"/>
                <w:color w:val="auto"/>
                <w:sz w:val="18"/>
                <w:szCs w:val="18"/>
              </w:rPr>
              <w:t>PE50保护管，包含铺设相关工作内容</w:t>
            </w:r>
          </w:p>
        </w:tc>
        <w:tc>
          <w:tcPr>
            <w:tcW w:w="900" w:type="dxa"/>
            <w:tcBorders>
              <w:top w:val="nil"/>
              <w:left w:val="nil"/>
              <w:bottom w:val="single" w:color="auto" w:sz="4" w:space="0"/>
              <w:right w:val="single" w:color="auto" w:sz="4" w:space="0"/>
            </w:tcBorders>
            <w:vAlign w:val="center"/>
          </w:tcPr>
          <w:p w14:paraId="532993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7D1E1A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1D4F10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BE79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20</w:t>
            </w:r>
          </w:p>
        </w:tc>
        <w:tc>
          <w:tcPr>
            <w:tcW w:w="1397" w:type="dxa"/>
            <w:tcBorders>
              <w:top w:val="nil"/>
              <w:left w:val="nil"/>
              <w:bottom w:val="single" w:color="auto" w:sz="4" w:space="0"/>
              <w:right w:val="single" w:color="auto" w:sz="4" w:space="0"/>
            </w:tcBorders>
            <w:vAlign w:val="center"/>
          </w:tcPr>
          <w:p w14:paraId="02427FC3">
            <w:pPr>
              <w:widowControl/>
              <w:spacing w:line="400" w:lineRule="exact"/>
              <w:jc w:val="center"/>
              <w:rPr>
                <w:rFonts w:ascii="宋体" w:hAnsi="宋体" w:cs="Arial"/>
                <w:color w:val="auto"/>
                <w:sz w:val="18"/>
                <w:szCs w:val="18"/>
              </w:rPr>
            </w:pPr>
            <w:r>
              <w:rPr>
                <w:rFonts w:hint="eastAsia" w:ascii="宋体" w:hAnsi="宋体" w:cs="Arial"/>
                <w:color w:val="auto"/>
                <w:sz w:val="18"/>
                <w:szCs w:val="18"/>
              </w:rPr>
              <w:t>ups 配电箱</w:t>
            </w:r>
          </w:p>
        </w:tc>
        <w:tc>
          <w:tcPr>
            <w:tcW w:w="5717" w:type="dxa"/>
            <w:tcBorders>
              <w:top w:val="nil"/>
              <w:left w:val="nil"/>
              <w:bottom w:val="single" w:color="auto" w:sz="4" w:space="0"/>
              <w:right w:val="single" w:color="auto" w:sz="4" w:space="0"/>
            </w:tcBorders>
            <w:vAlign w:val="center"/>
          </w:tcPr>
          <w:p w14:paraId="4C2C1E4D">
            <w:pPr>
              <w:widowControl/>
              <w:spacing w:line="400" w:lineRule="exact"/>
              <w:rPr>
                <w:rFonts w:ascii="宋体" w:hAnsi="宋体" w:cs="Arial"/>
                <w:color w:val="auto"/>
                <w:sz w:val="18"/>
                <w:szCs w:val="18"/>
              </w:rPr>
            </w:pPr>
            <w:r>
              <w:rPr>
                <w:rFonts w:hint="eastAsia" w:ascii="宋体" w:hAnsi="宋体" w:cs="Arial"/>
                <w:color w:val="auto"/>
                <w:sz w:val="18"/>
                <w:szCs w:val="18"/>
              </w:rPr>
              <w:t>根据现场定制，款式、质量满足甲方要求</w:t>
            </w:r>
          </w:p>
        </w:tc>
        <w:tc>
          <w:tcPr>
            <w:tcW w:w="900" w:type="dxa"/>
            <w:tcBorders>
              <w:top w:val="nil"/>
              <w:left w:val="nil"/>
              <w:bottom w:val="single" w:color="auto" w:sz="4" w:space="0"/>
              <w:right w:val="single" w:color="auto" w:sz="4" w:space="0"/>
            </w:tcBorders>
            <w:vAlign w:val="center"/>
          </w:tcPr>
          <w:p w14:paraId="53934E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52D31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E7905B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12FA5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21</w:t>
            </w:r>
          </w:p>
        </w:tc>
        <w:tc>
          <w:tcPr>
            <w:tcW w:w="1397" w:type="dxa"/>
            <w:tcBorders>
              <w:top w:val="nil"/>
              <w:left w:val="nil"/>
              <w:bottom w:val="single" w:color="auto" w:sz="4" w:space="0"/>
              <w:right w:val="single" w:color="auto" w:sz="4" w:space="0"/>
            </w:tcBorders>
            <w:vAlign w:val="center"/>
          </w:tcPr>
          <w:p w14:paraId="3BDC12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UPS</w:t>
            </w:r>
          </w:p>
        </w:tc>
        <w:tc>
          <w:tcPr>
            <w:tcW w:w="5717" w:type="dxa"/>
            <w:tcBorders>
              <w:top w:val="nil"/>
              <w:left w:val="nil"/>
              <w:bottom w:val="single" w:color="auto" w:sz="4" w:space="0"/>
              <w:right w:val="single" w:color="auto" w:sz="4" w:space="0"/>
            </w:tcBorders>
            <w:vAlign w:val="center"/>
          </w:tcPr>
          <w:p w14:paraId="615D3107">
            <w:pPr>
              <w:widowControl/>
              <w:spacing w:line="400" w:lineRule="exact"/>
              <w:rPr>
                <w:rFonts w:ascii="宋体" w:hAnsi="宋体" w:cs="Arial"/>
                <w:color w:val="auto"/>
                <w:sz w:val="18"/>
                <w:szCs w:val="18"/>
              </w:rPr>
            </w:pPr>
            <w:r>
              <w:rPr>
                <w:rFonts w:hint="eastAsia" w:ascii="宋体" w:hAnsi="宋体" w:cs="Arial"/>
                <w:color w:val="auto"/>
                <w:sz w:val="18"/>
                <w:szCs w:val="18"/>
              </w:rPr>
              <w:t>1.主机为三进三出20kVA 在线式高频塔式 UPS，支持输入电压380/400/415V（线电压），输入频率范围 40～70Hz，UPS 输入功率因数高达0.99，整机最大效率可达 96%</w:t>
            </w:r>
          </w:p>
          <w:p w14:paraId="2FFC613A">
            <w:pPr>
              <w:widowControl/>
              <w:spacing w:line="400" w:lineRule="exact"/>
              <w:rPr>
                <w:rFonts w:ascii="宋体" w:hAnsi="宋体" w:cs="Arial"/>
                <w:color w:val="auto"/>
                <w:sz w:val="18"/>
                <w:szCs w:val="18"/>
              </w:rPr>
            </w:pPr>
            <w:r>
              <w:rPr>
                <w:rFonts w:hint="eastAsia" w:ascii="宋体" w:hAnsi="宋体" w:cs="Arial"/>
                <w:color w:val="auto"/>
                <w:sz w:val="18"/>
                <w:szCs w:val="18"/>
              </w:rPr>
              <w:t>2.具备单板级和器件级防护功能，对于敏感精密板件，采取特殊防护装置设计，机柜内集成独立主路输入空开、旁路输入空开、输出空开以及维修旁路空开</w:t>
            </w:r>
          </w:p>
          <w:p w14:paraId="0ADD6BB4">
            <w:pPr>
              <w:widowControl/>
              <w:spacing w:line="400" w:lineRule="exact"/>
              <w:rPr>
                <w:rFonts w:ascii="宋体" w:hAnsi="宋体" w:cs="Arial"/>
                <w:color w:val="auto"/>
                <w:sz w:val="18"/>
                <w:szCs w:val="18"/>
              </w:rPr>
            </w:pPr>
            <w:r>
              <w:rPr>
                <w:rFonts w:hint="eastAsia" w:ascii="宋体" w:hAnsi="宋体" w:cs="Arial"/>
                <w:color w:val="auto"/>
                <w:sz w:val="18"/>
                <w:szCs w:val="18"/>
              </w:rPr>
              <w:t>3.输出功率因数为1（1kVA=1kW），支持电池组节数±16~±22 节可设置</w:t>
            </w:r>
          </w:p>
          <w:p w14:paraId="04BFBC55">
            <w:pPr>
              <w:widowControl/>
              <w:spacing w:line="400" w:lineRule="exact"/>
              <w:rPr>
                <w:rFonts w:ascii="宋体" w:hAnsi="宋体" w:cs="Arial"/>
                <w:color w:val="auto"/>
                <w:sz w:val="18"/>
                <w:szCs w:val="18"/>
              </w:rPr>
            </w:pPr>
            <w:r>
              <w:rPr>
                <w:rFonts w:hint="eastAsia" w:ascii="宋体" w:hAnsi="宋体" w:cs="Arial"/>
                <w:color w:val="auto"/>
                <w:sz w:val="18"/>
                <w:szCs w:val="18"/>
              </w:rPr>
              <w:t>4.系统可监控关键部件参数，实现故障可控可管，可设置风扇更换时间到期提示功能，提供不少于 8 个温度监控点</w:t>
            </w:r>
          </w:p>
        </w:tc>
        <w:tc>
          <w:tcPr>
            <w:tcW w:w="900" w:type="dxa"/>
            <w:tcBorders>
              <w:top w:val="nil"/>
              <w:left w:val="nil"/>
              <w:bottom w:val="single" w:color="auto" w:sz="4" w:space="0"/>
              <w:right w:val="single" w:color="auto" w:sz="4" w:space="0"/>
            </w:tcBorders>
            <w:vAlign w:val="center"/>
          </w:tcPr>
          <w:p w14:paraId="4AA8C2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74BB5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3B3285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3DC93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22</w:t>
            </w:r>
          </w:p>
        </w:tc>
        <w:tc>
          <w:tcPr>
            <w:tcW w:w="1397" w:type="dxa"/>
            <w:tcBorders>
              <w:top w:val="nil"/>
              <w:left w:val="nil"/>
              <w:bottom w:val="single" w:color="auto" w:sz="4" w:space="0"/>
              <w:right w:val="single" w:color="auto" w:sz="4" w:space="0"/>
            </w:tcBorders>
            <w:vAlign w:val="center"/>
          </w:tcPr>
          <w:p w14:paraId="0008BA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配套电池</w:t>
            </w:r>
          </w:p>
        </w:tc>
        <w:tc>
          <w:tcPr>
            <w:tcW w:w="5717" w:type="dxa"/>
            <w:tcBorders>
              <w:top w:val="nil"/>
              <w:left w:val="nil"/>
              <w:bottom w:val="single" w:color="auto" w:sz="4" w:space="0"/>
              <w:right w:val="single" w:color="auto" w:sz="4" w:space="0"/>
            </w:tcBorders>
            <w:vAlign w:val="center"/>
          </w:tcPr>
          <w:p w14:paraId="1E1E067A">
            <w:pPr>
              <w:widowControl/>
              <w:spacing w:line="400" w:lineRule="exact"/>
              <w:rPr>
                <w:rFonts w:ascii="宋体" w:hAnsi="宋体" w:cs="Arial"/>
                <w:color w:val="auto"/>
                <w:sz w:val="18"/>
                <w:szCs w:val="18"/>
              </w:rPr>
            </w:pPr>
            <w:r>
              <w:rPr>
                <w:rFonts w:hint="eastAsia" w:ascii="宋体" w:hAnsi="宋体" w:cs="Arial"/>
                <w:color w:val="auto"/>
                <w:sz w:val="18"/>
                <w:szCs w:val="18"/>
              </w:rPr>
              <w:t>1.铅酸蓄电池， 配置 1 组 12V100AH、每组≥32 节</w:t>
            </w:r>
          </w:p>
          <w:p w14:paraId="5B7DE873">
            <w:pPr>
              <w:widowControl/>
              <w:spacing w:line="400" w:lineRule="exact"/>
              <w:rPr>
                <w:rFonts w:ascii="宋体" w:hAnsi="宋体" w:cs="Arial"/>
                <w:color w:val="auto"/>
                <w:sz w:val="18"/>
                <w:szCs w:val="18"/>
              </w:rPr>
            </w:pPr>
            <w:r>
              <w:rPr>
                <w:rFonts w:hint="eastAsia" w:ascii="宋体" w:hAnsi="宋体" w:cs="Arial"/>
                <w:color w:val="auto"/>
                <w:sz w:val="18"/>
                <w:szCs w:val="18"/>
              </w:rPr>
              <w:t>2.蓄电池正常使用时保持气密和液密状态。当内部气压超过预定值时，安全阀自动开启，释放气体；当内部气压降低后，安全阀自动闭合使其密封，防止外部空气进入蓄电池内部</w:t>
            </w:r>
          </w:p>
          <w:p w14:paraId="5490255F">
            <w:pPr>
              <w:widowControl/>
              <w:spacing w:line="400" w:lineRule="exact"/>
              <w:rPr>
                <w:rFonts w:ascii="宋体" w:hAnsi="宋体" w:cs="Arial"/>
                <w:color w:val="auto"/>
                <w:sz w:val="18"/>
                <w:szCs w:val="18"/>
              </w:rPr>
            </w:pPr>
            <w:r>
              <w:rPr>
                <w:rFonts w:hint="eastAsia" w:ascii="宋体" w:hAnsi="宋体" w:cs="Arial"/>
                <w:color w:val="auto"/>
                <w:sz w:val="18"/>
                <w:szCs w:val="18"/>
              </w:rPr>
              <w:t>3.蓄电池外观无变形、漏液、裂纹及污迹；标识清晰；正负端子有明显标志，便于连接</w:t>
            </w:r>
          </w:p>
          <w:p w14:paraId="69E62904">
            <w:pPr>
              <w:widowControl/>
              <w:spacing w:line="400" w:lineRule="exact"/>
              <w:rPr>
                <w:rFonts w:ascii="宋体" w:hAnsi="宋体" w:cs="Arial"/>
                <w:color w:val="auto"/>
                <w:sz w:val="18"/>
                <w:szCs w:val="18"/>
              </w:rPr>
            </w:pPr>
            <w:r>
              <w:rPr>
                <w:rFonts w:hint="eastAsia" w:ascii="宋体" w:hAnsi="宋体" w:cs="Arial"/>
                <w:color w:val="auto"/>
                <w:sz w:val="18"/>
                <w:szCs w:val="18"/>
              </w:rPr>
              <w:t>4.蓄电池采用高可靠阀控密封式设计，电池不漏（渗）液、无酸雾、不腐蚀，并在充电时产生的气体基本被吸收还原成电解液，在使用时无需加水、补液</w:t>
            </w:r>
          </w:p>
        </w:tc>
        <w:tc>
          <w:tcPr>
            <w:tcW w:w="900" w:type="dxa"/>
            <w:tcBorders>
              <w:top w:val="nil"/>
              <w:left w:val="nil"/>
              <w:bottom w:val="single" w:color="auto" w:sz="4" w:space="0"/>
              <w:right w:val="single" w:color="auto" w:sz="4" w:space="0"/>
            </w:tcBorders>
            <w:vAlign w:val="center"/>
          </w:tcPr>
          <w:p w14:paraId="3DC06AB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32.00 </w:t>
            </w:r>
          </w:p>
        </w:tc>
        <w:tc>
          <w:tcPr>
            <w:tcW w:w="849" w:type="dxa"/>
            <w:gridSpan w:val="2"/>
            <w:tcBorders>
              <w:top w:val="nil"/>
              <w:left w:val="nil"/>
              <w:bottom w:val="single" w:color="auto" w:sz="4" w:space="0"/>
              <w:right w:val="single" w:color="auto" w:sz="4" w:space="0"/>
            </w:tcBorders>
            <w:vAlign w:val="center"/>
          </w:tcPr>
          <w:p w14:paraId="19CB34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节</w:t>
            </w:r>
          </w:p>
        </w:tc>
      </w:tr>
      <w:tr w14:paraId="1BFE55D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B1EE7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23</w:t>
            </w:r>
          </w:p>
        </w:tc>
        <w:tc>
          <w:tcPr>
            <w:tcW w:w="1397" w:type="dxa"/>
            <w:tcBorders>
              <w:top w:val="nil"/>
              <w:left w:val="nil"/>
              <w:bottom w:val="single" w:color="auto" w:sz="4" w:space="0"/>
              <w:right w:val="single" w:color="auto" w:sz="4" w:space="0"/>
            </w:tcBorders>
            <w:vAlign w:val="center"/>
          </w:tcPr>
          <w:p w14:paraId="5B928A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电池柜</w:t>
            </w:r>
          </w:p>
        </w:tc>
        <w:tc>
          <w:tcPr>
            <w:tcW w:w="5717" w:type="dxa"/>
            <w:tcBorders>
              <w:top w:val="nil"/>
              <w:left w:val="nil"/>
              <w:bottom w:val="single" w:color="auto" w:sz="4" w:space="0"/>
              <w:right w:val="single" w:color="auto" w:sz="4" w:space="0"/>
            </w:tcBorders>
            <w:vAlign w:val="center"/>
          </w:tcPr>
          <w:p w14:paraId="1FDC2E95">
            <w:pPr>
              <w:widowControl/>
              <w:spacing w:line="400" w:lineRule="exact"/>
              <w:rPr>
                <w:rFonts w:ascii="宋体" w:hAnsi="宋体" w:cs="Arial"/>
                <w:color w:val="auto"/>
                <w:sz w:val="18"/>
                <w:szCs w:val="18"/>
              </w:rPr>
            </w:pPr>
            <w:r>
              <w:rPr>
                <w:rFonts w:hint="eastAsia" w:ascii="宋体" w:hAnsi="宋体" w:cs="Arial"/>
                <w:color w:val="auto"/>
                <w:sz w:val="18"/>
                <w:szCs w:val="18"/>
              </w:rPr>
              <w:t>电池柜含连接线空开等电子元件、配件，质量满足甲方要求</w:t>
            </w:r>
          </w:p>
        </w:tc>
        <w:tc>
          <w:tcPr>
            <w:tcW w:w="900" w:type="dxa"/>
            <w:tcBorders>
              <w:top w:val="nil"/>
              <w:left w:val="nil"/>
              <w:bottom w:val="single" w:color="auto" w:sz="4" w:space="0"/>
              <w:right w:val="single" w:color="auto" w:sz="4" w:space="0"/>
            </w:tcBorders>
            <w:vAlign w:val="center"/>
          </w:tcPr>
          <w:p w14:paraId="5CF3CE8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04757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3D35A95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30D5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24</w:t>
            </w:r>
          </w:p>
        </w:tc>
        <w:tc>
          <w:tcPr>
            <w:tcW w:w="1397" w:type="dxa"/>
            <w:tcBorders>
              <w:top w:val="nil"/>
              <w:left w:val="nil"/>
              <w:bottom w:val="single" w:color="auto" w:sz="4" w:space="0"/>
              <w:right w:val="single" w:color="auto" w:sz="4" w:space="0"/>
            </w:tcBorders>
            <w:vAlign w:val="center"/>
          </w:tcPr>
          <w:p w14:paraId="777998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管理电脑</w:t>
            </w:r>
          </w:p>
        </w:tc>
        <w:tc>
          <w:tcPr>
            <w:tcW w:w="5717" w:type="dxa"/>
            <w:tcBorders>
              <w:top w:val="nil"/>
              <w:left w:val="nil"/>
              <w:bottom w:val="single" w:color="auto" w:sz="4" w:space="0"/>
              <w:right w:val="single" w:color="auto" w:sz="4" w:space="0"/>
            </w:tcBorders>
            <w:vAlign w:val="center"/>
          </w:tcPr>
          <w:p w14:paraId="7AB28237">
            <w:pPr>
              <w:widowControl/>
              <w:spacing w:line="400" w:lineRule="exact"/>
              <w:rPr>
                <w:rFonts w:ascii="宋体" w:hAnsi="宋体" w:cs="Arial"/>
                <w:color w:val="auto"/>
                <w:sz w:val="18"/>
                <w:szCs w:val="18"/>
              </w:rPr>
            </w:pPr>
            <w:r>
              <w:rPr>
                <w:rFonts w:hint="eastAsia" w:ascii="宋体" w:hAnsi="宋体" w:cs="Arial"/>
                <w:color w:val="auto"/>
                <w:sz w:val="18"/>
                <w:szCs w:val="18"/>
              </w:rPr>
              <w:t>CPU：6 核/2.5GHz</w:t>
            </w:r>
          </w:p>
          <w:p w14:paraId="38DF00DA">
            <w:pPr>
              <w:widowControl/>
              <w:spacing w:line="400" w:lineRule="exact"/>
              <w:rPr>
                <w:rFonts w:ascii="宋体" w:hAnsi="宋体" w:cs="Arial"/>
                <w:color w:val="auto"/>
                <w:sz w:val="18"/>
                <w:szCs w:val="18"/>
              </w:rPr>
            </w:pPr>
            <w:r>
              <w:rPr>
                <w:rFonts w:hint="eastAsia" w:ascii="宋体" w:hAnsi="宋体" w:cs="Arial"/>
                <w:color w:val="auto"/>
                <w:sz w:val="18"/>
                <w:szCs w:val="18"/>
              </w:rPr>
              <w:t>内存：8GB，最大支持 64 GB 内存；</w:t>
            </w:r>
          </w:p>
          <w:p w14:paraId="04B4AFBB">
            <w:pPr>
              <w:widowControl/>
              <w:spacing w:line="400" w:lineRule="exact"/>
              <w:rPr>
                <w:rFonts w:ascii="宋体" w:hAnsi="宋体" w:cs="Arial"/>
                <w:color w:val="auto"/>
                <w:sz w:val="18"/>
                <w:szCs w:val="18"/>
              </w:rPr>
            </w:pPr>
            <w:r>
              <w:rPr>
                <w:rFonts w:hint="eastAsia" w:ascii="宋体" w:hAnsi="宋体" w:cs="Arial"/>
                <w:color w:val="auto"/>
                <w:sz w:val="18"/>
                <w:szCs w:val="18"/>
              </w:rPr>
              <w:t>硬盘： 256G SSD</w:t>
            </w:r>
          </w:p>
          <w:p w14:paraId="43E34F1C">
            <w:pPr>
              <w:widowControl/>
              <w:spacing w:line="400" w:lineRule="exact"/>
              <w:rPr>
                <w:rFonts w:ascii="宋体" w:hAnsi="宋体" w:cs="Arial"/>
                <w:color w:val="auto"/>
                <w:sz w:val="18"/>
                <w:szCs w:val="18"/>
              </w:rPr>
            </w:pPr>
            <w:r>
              <w:rPr>
                <w:rFonts w:hint="eastAsia" w:ascii="宋体" w:hAnsi="宋体" w:cs="Arial"/>
                <w:color w:val="auto"/>
                <w:sz w:val="18"/>
                <w:szCs w:val="18"/>
              </w:rPr>
              <w:t>支持超高清 4K 解码实景播放；支持双系统同时开机同时使用；支持对操作系统进行镜像备份和恢复；可支持远程开关机，支持远程唤醒</w:t>
            </w:r>
          </w:p>
          <w:p w14:paraId="0EE1625C">
            <w:pPr>
              <w:widowControl/>
              <w:spacing w:line="400" w:lineRule="exact"/>
              <w:rPr>
                <w:rFonts w:ascii="宋体" w:hAnsi="宋体" w:cs="Arial"/>
                <w:color w:val="auto"/>
                <w:sz w:val="18"/>
                <w:szCs w:val="18"/>
              </w:rPr>
            </w:pPr>
            <w:r>
              <w:rPr>
                <w:rFonts w:hint="eastAsia" w:ascii="宋体" w:hAnsi="宋体" w:cs="Arial"/>
                <w:color w:val="auto"/>
                <w:sz w:val="18"/>
                <w:szCs w:val="18"/>
              </w:rPr>
              <w:t>支持多窗口播放：支持全屏、单屏、2 分屏、4 分屏、9 分屏、16 分屏播放。</w:t>
            </w:r>
          </w:p>
        </w:tc>
        <w:tc>
          <w:tcPr>
            <w:tcW w:w="900" w:type="dxa"/>
            <w:tcBorders>
              <w:top w:val="nil"/>
              <w:left w:val="nil"/>
              <w:bottom w:val="single" w:color="auto" w:sz="4" w:space="0"/>
              <w:right w:val="single" w:color="auto" w:sz="4" w:space="0"/>
            </w:tcBorders>
            <w:vAlign w:val="center"/>
          </w:tcPr>
          <w:p w14:paraId="77871F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5C838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041644B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AF34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25</w:t>
            </w:r>
          </w:p>
        </w:tc>
        <w:tc>
          <w:tcPr>
            <w:tcW w:w="1397" w:type="dxa"/>
            <w:tcBorders>
              <w:top w:val="nil"/>
              <w:left w:val="nil"/>
              <w:bottom w:val="single" w:color="auto" w:sz="4" w:space="0"/>
              <w:right w:val="single" w:color="auto" w:sz="4" w:space="0"/>
            </w:tcBorders>
            <w:vAlign w:val="center"/>
          </w:tcPr>
          <w:p w14:paraId="327F97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机柜</w:t>
            </w:r>
          </w:p>
        </w:tc>
        <w:tc>
          <w:tcPr>
            <w:tcW w:w="5717" w:type="dxa"/>
            <w:tcBorders>
              <w:top w:val="nil"/>
              <w:left w:val="nil"/>
              <w:bottom w:val="single" w:color="auto" w:sz="4" w:space="0"/>
              <w:right w:val="single" w:color="auto" w:sz="4" w:space="0"/>
            </w:tcBorders>
            <w:vAlign w:val="center"/>
          </w:tcPr>
          <w:p w14:paraId="63E6F5DC">
            <w:pPr>
              <w:widowControl/>
              <w:spacing w:line="400" w:lineRule="exact"/>
              <w:rPr>
                <w:rFonts w:ascii="宋体" w:hAnsi="宋体" w:cs="Arial"/>
                <w:color w:val="auto"/>
                <w:sz w:val="18"/>
                <w:szCs w:val="18"/>
              </w:rPr>
            </w:pPr>
            <w:r>
              <w:rPr>
                <w:rFonts w:hint="eastAsia" w:ascii="宋体" w:hAnsi="宋体" w:cs="Arial"/>
                <w:color w:val="auto"/>
                <w:sz w:val="18"/>
                <w:szCs w:val="18"/>
              </w:rPr>
              <w:t>600*1000*2000 冷轧机柜，立柱 2.0MM，整体 1.2MM。款式、质量满足甲方要求</w:t>
            </w:r>
          </w:p>
        </w:tc>
        <w:tc>
          <w:tcPr>
            <w:tcW w:w="900" w:type="dxa"/>
            <w:tcBorders>
              <w:top w:val="nil"/>
              <w:left w:val="nil"/>
              <w:bottom w:val="single" w:color="auto" w:sz="4" w:space="0"/>
              <w:right w:val="single" w:color="auto" w:sz="4" w:space="0"/>
            </w:tcBorders>
            <w:vAlign w:val="center"/>
          </w:tcPr>
          <w:p w14:paraId="2E72E4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8BE35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C851C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57E2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26</w:t>
            </w:r>
          </w:p>
        </w:tc>
        <w:tc>
          <w:tcPr>
            <w:tcW w:w="1397" w:type="dxa"/>
            <w:tcBorders>
              <w:top w:val="nil"/>
              <w:left w:val="nil"/>
              <w:bottom w:val="single" w:color="auto" w:sz="4" w:space="0"/>
              <w:right w:val="single" w:color="auto" w:sz="4" w:space="0"/>
            </w:tcBorders>
            <w:vAlign w:val="center"/>
          </w:tcPr>
          <w:p w14:paraId="7788BD7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开挖回填</w:t>
            </w:r>
          </w:p>
        </w:tc>
        <w:tc>
          <w:tcPr>
            <w:tcW w:w="5717" w:type="dxa"/>
            <w:tcBorders>
              <w:top w:val="nil"/>
              <w:left w:val="nil"/>
              <w:bottom w:val="single" w:color="auto" w:sz="4" w:space="0"/>
              <w:right w:val="single" w:color="auto" w:sz="4" w:space="0"/>
            </w:tcBorders>
            <w:vAlign w:val="center"/>
          </w:tcPr>
          <w:p w14:paraId="53D90114">
            <w:pPr>
              <w:widowControl/>
              <w:spacing w:line="400" w:lineRule="exact"/>
              <w:rPr>
                <w:rFonts w:ascii="宋体" w:hAnsi="宋体" w:cs="Arial"/>
                <w:color w:val="auto"/>
                <w:sz w:val="18"/>
                <w:szCs w:val="18"/>
              </w:rPr>
            </w:pPr>
            <w:r>
              <w:rPr>
                <w:rFonts w:hint="eastAsia" w:ascii="宋体" w:hAnsi="宋体" w:cs="Arial"/>
                <w:color w:val="auto"/>
                <w:sz w:val="18"/>
                <w:szCs w:val="18"/>
              </w:rPr>
              <w:t>线路土方开挖及回填</w:t>
            </w:r>
          </w:p>
        </w:tc>
        <w:tc>
          <w:tcPr>
            <w:tcW w:w="900" w:type="dxa"/>
            <w:tcBorders>
              <w:top w:val="nil"/>
              <w:left w:val="nil"/>
              <w:bottom w:val="single" w:color="auto" w:sz="4" w:space="0"/>
              <w:right w:val="single" w:color="auto" w:sz="4" w:space="0"/>
            </w:tcBorders>
            <w:vAlign w:val="center"/>
          </w:tcPr>
          <w:p w14:paraId="470B32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39D81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4B95CF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9C58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27</w:t>
            </w:r>
          </w:p>
        </w:tc>
        <w:tc>
          <w:tcPr>
            <w:tcW w:w="1397" w:type="dxa"/>
            <w:tcBorders>
              <w:top w:val="nil"/>
              <w:left w:val="nil"/>
              <w:bottom w:val="single" w:color="auto" w:sz="4" w:space="0"/>
              <w:right w:val="single" w:color="auto" w:sz="4" w:space="0"/>
            </w:tcBorders>
            <w:vAlign w:val="center"/>
          </w:tcPr>
          <w:p w14:paraId="3DF7F6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弱电井</w:t>
            </w:r>
          </w:p>
        </w:tc>
        <w:tc>
          <w:tcPr>
            <w:tcW w:w="5717" w:type="dxa"/>
            <w:tcBorders>
              <w:top w:val="nil"/>
              <w:left w:val="nil"/>
              <w:bottom w:val="single" w:color="auto" w:sz="4" w:space="0"/>
              <w:right w:val="single" w:color="auto" w:sz="4" w:space="0"/>
            </w:tcBorders>
            <w:vAlign w:val="center"/>
          </w:tcPr>
          <w:p w14:paraId="6CA6547D">
            <w:pPr>
              <w:widowControl/>
              <w:spacing w:line="400" w:lineRule="exact"/>
              <w:rPr>
                <w:rFonts w:ascii="宋体" w:hAnsi="宋体" w:cs="Arial"/>
                <w:color w:val="auto"/>
                <w:sz w:val="18"/>
                <w:szCs w:val="18"/>
              </w:rPr>
            </w:pPr>
            <w:r>
              <w:rPr>
                <w:rFonts w:hint="eastAsia" w:ascii="宋体" w:hAnsi="宋体" w:cs="Arial"/>
                <w:color w:val="auto"/>
                <w:sz w:val="18"/>
                <w:szCs w:val="18"/>
              </w:rPr>
              <w:t>规格：600*600*1000，砖砌井，内侧抹灰，底板 C25 混凝土浇筑、预制混凝土盖板</w:t>
            </w:r>
          </w:p>
        </w:tc>
        <w:tc>
          <w:tcPr>
            <w:tcW w:w="900" w:type="dxa"/>
            <w:tcBorders>
              <w:top w:val="nil"/>
              <w:left w:val="nil"/>
              <w:bottom w:val="single" w:color="auto" w:sz="4" w:space="0"/>
              <w:right w:val="single" w:color="auto" w:sz="4" w:space="0"/>
            </w:tcBorders>
            <w:vAlign w:val="center"/>
          </w:tcPr>
          <w:p w14:paraId="440439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14.00 </w:t>
            </w:r>
          </w:p>
        </w:tc>
        <w:tc>
          <w:tcPr>
            <w:tcW w:w="849" w:type="dxa"/>
            <w:gridSpan w:val="2"/>
            <w:tcBorders>
              <w:top w:val="nil"/>
              <w:left w:val="nil"/>
              <w:bottom w:val="single" w:color="auto" w:sz="4" w:space="0"/>
              <w:right w:val="single" w:color="auto" w:sz="4" w:space="0"/>
            </w:tcBorders>
            <w:vAlign w:val="center"/>
          </w:tcPr>
          <w:p w14:paraId="711D86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68464FA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630DA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28</w:t>
            </w:r>
          </w:p>
        </w:tc>
        <w:tc>
          <w:tcPr>
            <w:tcW w:w="1397" w:type="dxa"/>
            <w:tcBorders>
              <w:top w:val="nil"/>
              <w:left w:val="nil"/>
              <w:bottom w:val="single" w:color="auto" w:sz="4" w:space="0"/>
              <w:right w:val="single" w:color="auto" w:sz="4" w:space="0"/>
            </w:tcBorders>
            <w:vAlign w:val="center"/>
          </w:tcPr>
          <w:p w14:paraId="3B4BBC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安装调试费</w:t>
            </w:r>
          </w:p>
        </w:tc>
        <w:tc>
          <w:tcPr>
            <w:tcW w:w="5717" w:type="dxa"/>
            <w:tcBorders>
              <w:top w:val="nil"/>
              <w:left w:val="nil"/>
              <w:bottom w:val="single" w:color="auto" w:sz="4" w:space="0"/>
              <w:right w:val="single" w:color="auto" w:sz="4" w:space="0"/>
            </w:tcBorders>
            <w:vAlign w:val="center"/>
          </w:tcPr>
          <w:p w14:paraId="63978E64">
            <w:pPr>
              <w:widowControl/>
              <w:spacing w:line="400" w:lineRule="exact"/>
              <w:rPr>
                <w:rFonts w:ascii="宋体" w:hAnsi="宋体" w:cs="Arial"/>
                <w:color w:val="auto"/>
                <w:sz w:val="18"/>
                <w:szCs w:val="18"/>
              </w:rPr>
            </w:pPr>
            <w:r>
              <w:rPr>
                <w:rFonts w:hint="eastAsia" w:ascii="宋体" w:hAnsi="宋体" w:cs="Arial"/>
                <w:color w:val="auto"/>
                <w:sz w:val="18"/>
                <w:szCs w:val="18"/>
              </w:rPr>
              <w:t>设备安装调试</w:t>
            </w:r>
          </w:p>
        </w:tc>
        <w:tc>
          <w:tcPr>
            <w:tcW w:w="900" w:type="dxa"/>
            <w:tcBorders>
              <w:top w:val="nil"/>
              <w:left w:val="nil"/>
              <w:bottom w:val="single" w:color="auto" w:sz="4" w:space="0"/>
              <w:right w:val="single" w:color="auto" w:sz="4" w:space="0"/>
            </w:tcBorders>
            <w:vAlign w:val="center"/>
          </w:tcPr>
          <w:p w14:paraId="483E84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17A34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5D07B4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23BA9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应急广播部分</w:t>
            </w:r>
          </w:p>
        </w:tc>
      </w:tr>
      <w:tr w14:paraId="0525674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158DA2">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7E766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音柱</w:t>
            </w:r>
          </w:p>
        </w:tc>
        <w:tc>
          <w:tcPr>
            <w:tcW w:w="5717" w:type="dxa"/>
            <w:tcBorders>
              <w:top w:val="nil"/>
              <w:left w:val="nil"/>
              <w:bottom w:val="single" w:color="auto" w:sz="4" w:space="0"/>
              <w:right w:val="single" w:color="auto" w:sz="4" w:space="0"/>
            </w:tcBorders>
            <w:vAlign w:val="center"/>
          </w:tcPr>
          <w:p w14:paraId="73657614">
            <w:pPr>
              <w:widowControl/>
              <w:spacing w:line="400" w:lineRule="exact"/>
              <w:rPr>
                <w:rFonts w:ascii="宋体" w:hAnsi="宋体" w:cs="Arial"/>
                <w:color w:val="auto"/>
                <w:sz w:val="18"/>
                <w:szCs w:val="18"/>
              </w:rPr>
            </w:pPr>
            <w:r>
              <w:rPr>
                <w:rFonts w:hint="eastAsia" w:ascii="宋体" w:hAnsi="宋体" w:cs="Arial"/>
                <w:color w:val="auto"/>
                <w:sz w:val="18"/>
                <w:szCs w:val="18"/>
              </w:rPr>
              <w:t>不低于 65W，满足甲方要求</w:t>
            </w:r>
          </w:p>
        </w:tc>
        <w:tc>
          <w:tcPr>
            <w:tcW w:w="900" w:type="dxa"/>
            <w:tcBorders>
              <w:top w:val="nil"/>
              <w:left w:val="nil"/>
              <w:bottom w:val="single" w:color="auto" w:sz="4" w:space="0"/>
              <w:right w:val="single" w:color="auto" w:sz="4" w:space="0"/>
            </w:tcBorders>
            <w:vAlign w:val="center"/>
          </w:tcPr>
          <w:p w14:paraId="166FDC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C6AB8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D61FB5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6F710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F3116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调音台</w:t>
            </w:r>
          </w:p>
        </w:tc>
        <w:tc>
          <w:tcPr>
            <w:tcW w:w="5717" w:type="dxa"/>
            <w:tcBorders>
              <w:top w:val="nil"/>
              <w:left w:val="nil"/>
              <w:bottom w:val="single" w:color="auto" w:sz="4" w:space="0"/>
              <w:right w:val="single" w:color="auto" w:sz="4" w:space="0"/>
            </w:tcBorders>
            <w:vAlign w:val="center"/>
          </w:tcPr>
          <w:p w14:paraId="443E0DB1">
            <w:pPr>
              <w:widowControl/>
              <w:spacing w:line="400" w:lineRule="exact"/>
              <w:rPr>
                <w:rFonts w:ascii="宋体" w:hAnsi="宋体" w:cs="Arial"/>
                <w:color w:val="auto"/>
                <w:sz w:val="18"/>
                <w:szCs w:val="18"/>
              </w:rPr>
            </w:pPr>
            <w:r>
              <w:rPr>
                <w:rFonts w:hint="eastAsia" w:ascii="宋体" w:hAnsi="宋体" w:cs="Arial"/>
                <w:color w:val="auto"/>
                <w:sz w:val="18"/>
                <w:szCs w:val="18"/>
              </w:rPr>
              <w:t>1.低噪声离散式麦克风前置放大器和+48V幻象电源</w:t>
            </w:r>
          </w:p>
          <w:p w14:paraId="6910BED1">
            <w:pPr>
              <w:widowControl/>
              <w:spacing w:line="400" w:lineRule="exact"/>
              <w:rPr>
                <w:rFonts w:ascii="宋体" w:hAnsi="宋体" w:cs="Arial"/>
                <w:color w:val="auto"/>
                <w:sz w:val="18"/>
                <w:szCs w:val="18"/>
              </w:rPr>
            </w:pPr>
            <w:r>
              <w:rPr>
                <w:rFonts w:hint="eastAsia" w:ascii="宋体" w:hAnsi="宋体" w:cs="Arial"/>
                <w:color w:val="auto"/>
                <w:sz w:val="18"/>
                <w:szCs w:val="18"/>
              </w:rPr>
              <w:t>2.提供 8 路 Mic 输入接口兼容 6 路线路输入接口，话筒输入接口带48V 幻像电源</w:t>
            </w:r>
          </w:p>
          <w:p w14:paraId="266D2D95">
            <w:pPr>
              <w:widowControl/>
              <w:spacing w:line="400" w:lineRule="exact"/>
              <w:rPr>
                <w:rFonts w:ascii="宋体" w:hAnsi="宋体" w:cs="Arial"/>
                <w:color w:val="auto"/>
                <w:sz w:val="18"/>
                <w:szCs w:val="18"/>
              </w:rPr>
            </w:pPr>
            <w:r>
              <w:rPr>
                <w:rFonts w:hint="eastAsia" w:ascii="宋体" w:hAnsi="宋体" w:cs="Arial"/>
                <w:color w:val="auto"/>
                <w:sz w:val="18"/>
                <w:szCs w:val="18"/>
              </w:rPr>
              <w:t>3.提供 2 组立体声输入，4 路 RCA 输入，可连接立体设备</w:t>
            </w:r>
          </w:p>
          <w:p w14:paraId="0573CDFB">
            <w:pPr>
              <w:widowControl/>
              <w:spacing w:line="400" w:lineRule="exact"/>
              <w:rPr>
                <w:rFonts w:ascii="宋体" w:hAnsi="宋体" w:cs="Arial"/>
                <w:color w:val="auto"/>
                <w:sz w:val="18"/>
                <w:szCs w:val="18"/>
              </w:rPr>
            </w:pPr>
            <w:r>
              <w:rPr>
                <w:rFonts w:hint="eastAsia" w:ascii="宋体" w:hAnsi="宋体" w:cs="Arial"/>
                <w:color w:val="auto"/>
                <w:sz w:val="18"/>
                <w:szCs w:val="18"/>
              </w:rPr>
              <w:t>4.提供 2 组立体主输出、4 路编组输出、4 路辅助输出、1 组立体声监听输出、1 个耳机监听输出、2 个效果输出</w:t>
            </w:r>
          </w:p>
          <w:p w14:paraId="2DF3E5AC">
            <w:pPr>
              <w:widowControl/>
              <w:spacing w:line="400" w:lineRule="exact"/>
              <w:rPr>
                <w:rFonts w:ascii="宋体" w:hAnsi="宋体" w:cs="Arial"/>
                <w:color w:val="auto"/>
                <w:sz w:val="18"/>
                <w:szCs w:val="18"/>
              </w:rPr>
            </w:pPr>
            <w:r>
              <w:rPr>
                <w:rFonts w:hint="eastAsia" w:ascii="宋体" w:hAnsi="宋体" w:cs="Arial"/>
                <w:color w:val="auto"/>
                <w:sz w:val="18"/>
                <w:szCs w:val="18"/>
              </w:rPr>
              <w:t>5.提供 1 组主混音断点插入、6 个断点插入，可连接额外的处理器（压缩器、均衡器。限幅器等）</w:t>
            </w:r>
          </w:p>
          <w:p w14:paraId="2F9FDACC">
            <w:pPr>
              <w:widowControl/>
              <w:spacing w:line="400" w:lineRule="exact"/>
              <w:rPr>
                <w:rFonts w:ascii="宋体" w:hAnsi="宋体" w:cs="Arial"/>
                <w:color w:val="auto"/>
                <w:sz w:val="18"/>
                <w:szCs w:val="18"/>
              </w:rPr>
            </w:pPr>
            <w:r>
              <w:rPr>
                <w:rFonts w:hint="eastAsia" w:ascii="宋体" w:hAnsi="宋体" w:cs="Arial"/>
                <w:color w:val="auto"/>
                <w:sz w:val="18"/>
                <w:szCs w:val="18"/>
              </w:rPr>
              <w:t>6.具有 13 个 60mm 行程的高精密碳膜推子</w:t>
            </w:r>
          </w:p>
          <w:p w14:paraId="777EB0C7">
            <w:pPr>
              <w:widowControl/>
              <w:spacing w:line="400" w:lineRule="exact"/>
              <w:rPr>
                <w:rFonts w:ascii="宋体" w:hAnsi="宋体" w:cs="Arial"/>
                <w:color w:val="auto"/>
                <w:sz w:val="18"/>
                <w:szCs w:val="18"/>
              </w:rPr>
            </w:pPr>
            <w:r>
              <w:rPr>
                <w:rFonts w:hint="eastAsia" w:ascii="宋体" w:hAnsi="宋体" w:cs="Arial"/>
                <w:color w:val="auto"/>
                <w:sz w:val="18"/>
                <w:szCs w:val="18"/>
              </w:rPr>
              <w:t>7.内置 MP3 播放器，支持 1 路 USB 接口，外接 U 盘播放音乐</w:t>
            </w:r>
          </w:p>
          <w:p w14:paraId="008E54FD">
            <w:pPr>
              <w:widowControl/>
              <w:spacing w:line="400" w:lineRule="exact"/>
              <w:rPr>
                <w:rFonts w:ascii="宋体" w:hAnsi="宋体" w:cs="Arial"/>
                <w:color w:val="auto"/>
                <w:sz w:val="18"/>
                <w:szCs w:val="18"/>
              </w:rPr>
            </w:pPr>
            <w:r>
              <w:rPr>
                <w:rFonts w:hint="eastAsia" w:ascii="宋体" w:hAnsi="宋体" w:cs="Arial"/>
                <w:color w:val="auto"/>
                <w:sz w:val="18"/>
                <w:szCs w:val="18"/>
              </w:rPr>
              <w:t>8.内置 USB 声卡，连接电脑进行音乐播放和声音录音</w:t>
            </w:r>
          </w:p>
          <w:p w14:paraId="2EB90E57">
            <w:pPr>
              <w:widowControl/>
              <w:spacing w:line="400" w:lineRule="exact"/>
              <w:rPr>
                <w:rFonts w:ascii="宋体" w:hAnsi="宋体" w:cs="Arial"/>
                <w:color w:val="auto"/>
                <w:sz w:val="18"/>
                <w:szCs w:val="18"/>
              </w:rPr>
            </w:pPr>
            <w:r>
              <w:rPr>
                <w:rFonts w:hint="eastAsia" w:ascii="宋体" w:hAnsi="宋体" w:cs="Arial"/>
                <w:color w:val="auto"/>
                <w:sz w:val="18"/>
                <w:szCs w:val="18"/>
              </w:rPr>
              <w:t>9.内置 24 位 DSP 效果器，提供 100 种预设效果</w:t>
            </w:r>
          </w:p>
          <w:p w14:paraId="08194749">
            <w:pPr>
              <w:widowControl/>
              <w:spacing w:line="400" w:lineRule="exact"/>
              <w:rPr>
                <w:rFonts w:ascii="宋体" w:hAnsi="宋体" w:cs="Arial"/>
                <w:color w:val="auto"/>
                <w:sz w:val="18"/>
                <w:szCs w:val="18"/>
              </w:rPr>
            </w:pPr>
            <w:r>
              <w:rPr>
                <w:rFonts w:hint="eastAsia" w:ascii="宋体" w:hAnsi="宋体" w:cs="Arial"/>
                <w:color w:val="auto"/>
                <w:sz w:val="18"/>
                <w:szCs w:val="18"/>
              </w:rPr>
              <w:t>10、提供 1 个 USB 供电接口，可连接 USB 照明灯</w:t>
            </w:r>
          </w:p>
          <w:p w14:paraId="2930660E">
            <w:pPr>
              <w:widowControl/>
              <w:spacing w:line="400" w:lineRule="exact"/>
              <w:rPr>
                <w:rFonts w:ascii="宋体" w:hAnsi="宋体" w:cs="Arial"/>
                <w:color w:val="auto"/>
                <w:sz w:val="18"/>
                <w:szCs w:val="18"/>
              </w:rPr>
            </w:pPr>
            <w:r>
              <w:rPr>
                <w:rFonts w:hint="eastAsia" w:ascii="宋体" w:hAnsi="宋体" w:cs="Arial"/>
                <w:color w:val="auto"/>
                <w:sz w:val="18"/>
                <w:szCs w:val="18"/>
              </w:rPr>
              <w:t>11.支持 7 段图示均衡推子调节</w:t>
            </w:r>
          </w:p>
        </w:tc>
        <w:tc>
          <w:tcPr>
            <w:tcW w:w="900" w:type="dxa"/>
            <w:tcBorders>
              <w:top w:val="nil"/>
              <w:left w:val="nil"/>
              <w:bottom w:val="single" w:color="auto" w:sz="4" w:space="0"/>
              <w:right w:val="single" w:color="auto" w:sz="4" w:space="0"/>
            </w:tcBorders>
            <w:vAlign w:val="center"/>
          </w:tcPr>
          <w:p w14:paraId="40C7EC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0D318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5862D9D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2F521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11A1C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有线话筒</w:t>
            </w:r>
          </w:p>
        </w:tc>
        <w:tc>
          <w:tcPr>
            <w:tcW w:w="5717" w:type="dxa"/>
            <w:tcBorders>
              <w:top w:val="nil"/>
              <w:left w:val="nil"/>
              <w:bottom w:val="single" w:color="auto" w:sz="4" w:space="0"/>
              <w:right w:val="single" w:color="auto" w:sz="4" w:space="0"/>
            </w:tcBorders>
            <w:vAlign w:val="center"/>
          </w:tcPr>
          <w:p w14:paraId="009D54F2">
            <w:pPr>
              <w:widowControl/>
              <w:spacing w:line="400" w:lineRule="exact"/>
              <w:rPr>
                <w:rFonts w:ascii="宋体" w:hAnsi="宋体" w:cs="Arial"/>
                <w:color w:val="auto"/>
                <w:sz w:val="18"/>
                <w:szCs w:val="18"/>
              </w:rPr>
            </w:pPr>
            <w:r>
              <w:rPr>
                <w:rFonts w:hint="eastAsia" w:ascii="宋体" w:hAnsi="宋体" w:cs="Arial"/>
                <w:color w:val="auto"/>
                <w:sz w:val="18"/>
                <w:szCs w:val="18"/>
              </w:rPr>
              <w:t>1.换能方式：电容式</w:t>
            </w:r>
          </w:p>
          <w:p w14:paraId="0EC440E2">
            <w:pPr>
              <w:widowControl/>
              <w:spacing w:line="400" w:lineRule="exact"/>
              <w:rPr>
                <w:rFonts w:ascii="宋体" w:hAnsi="宋体" w:cs="Arial"/>
                <w:color w:val="auto"/>
                <w:sz w:val="18"/>
                <w:szCs w:val="18"/>
              </w:rPr>
            </w:pPr>
            <w:r>
              <w:rPr>
                <w:rFonts w:hint="eastAsia" w:ascii="宋体" w:hAnsi="宋体" w:cs="Arial"/>
                <w:color w:val="auto"/>
                <w:sz w:val="18"/>
                <w:szCs w:val="18"/>
              </w:rPr>
              <w:t>2.指向性：心型指向</w:t>
            </w:r>
          </w:p>
          <w:p w14:paraId="22D99A9F">
            <w:pPr>
              <w:widowControl/>
              <w:spacing w:line="400" w:lineRule="exact"/>
              <w:rPr>
                <w:rFonts w:ascii="宋体" w:hAnsi="宋体" w:cs="Arial"/>
                <w:color w:val="auto"/>
                <w:sz w:val="18"/>
                <w:szCs w:val="18"/>
              </w:rPr>
            </w:pPr>
            <w:r>
              <w:rPr>
                <w:rFonts w:hint="eastAsia" w:ascii="宋体" w:hAnsi="宋体" w:cs="Arial"/>
                <w:color w:val="auto"/>
                <w:sz w:val="18"/>
                <w:szCs w:val="18"/>
              </w:rPr>
              <w:t>3.钟声提示：带钟声提示功能</w:t>
            </w:r>
          </w:p>
          <w:p w14:paraId="4F39E083">
            <w:pPr>
              <w:widowControl/>
              <w:spacing w:line="400" w:lineRule="exact"/>
              <w:rPr>
                <w:rFonts w:ascii="宋体" w:hAnsi="宋体" w:cs="Arial"/>
                <w:color w:val="auto"/>
                <w:sz w:val="18"/>
                <w:szCs w:val="18"/>
              </w:rPr>
            </w:pPr>
            <w:r>
              <w:rPr>
                <w:rFonts w:hint="eastAsia" w:ascii="宋体" w:hAnsi="宋体" w:cs="Arial"/>
                <w:color w:val="auto"/>
                <w:sz w:val="18"/>
                <w:szCs w:val="18"/>
              </w:rPr>
              <w:t>4.线材配备：10 米（卡农母头转 6.35 音频线）</w:t>
            </w:r>
          </w:p>
          <w:p w14:paraId="5A990317">
            <w:pPr>
              <w:widowControl/>
              <w:spacing w:line="400" w:lineRule="exact"/>
              <w:rPr>
                <w:rFonts w:ascii="宋体" w:hAnsi="宋体" w:cs="Arial"/>
                <w:color w:val="auto"/>
                <w:sz w:val="18"/>
                <w:szCs w:val="18"/>
              </w:rPr>
            </w:pPr>
            <w:r>
              <w:rPr>
                <w:rFonts w:hint="eastAsia" w:ascii="宋体" w:hAnsi="宋体" w:cs="Arial"/>
                <w:color w:val="auto"/>
                <w:sz w:val="18"/>
                <w:szCs w:val="18"/>
              </w:rPr>
              <w:t>5.频率响应：40Hz-16KHz</w:t>
            </w:r>
          </w:p>
          <w:p w14:paraId="34C722A0">
            <w:pPr>
              <w:widowControl/>
              <w:spacing w:line="400" w:lineRule="exact"/>
              <w:rPr>
                <w:rFonts w:ascii="宋体" w:hAnsi="宋体" w:cs="Arial"/>
                <w:color w:val="auto"/>
                <w:sz w:val="18"/>
                <w:szCs w:val="18"/>
              </w:rPr>
            </w:pPr>
            <w:r>
              <w:rPr>
                <w:rFonts w:hint="eastAsia" w:ascii="宋体" w:hAnsi="宋体" w:cs="Arial"/>
                <w:color w:val="auto"/>
                <w:sz w:val="18"/>
                <w:szCs w:val="18"/>
              </w:rPr>
              <w:t>6.阻抗：200Ω</w:t>
            </w:r>
          </w:p>
          <w:p w14:paraId="40D3F45A">
            <w:pPr>
              <w:widowControl/>
              <w:spacing w:line="400" w:lineRule="exact"/>
              <w:rPr>
                <w:rFonts w:ascii="宋体" w:hAnsi="宋体" w:cs="Arial"/>
                <w:color w:val="auto"/>
                <w:sz w:val="18"/>
                <w:szCs w:val="18"/>
              </w:rPr>
            </w:pPr>
            <w:r>
              <w:rPr>
                <w:rFonts w:hint="eastAsia" w:ascii="宋体" w:hAnsi="宋体" w:cs="Arial"/>
                <w:color w:val="auto"/>
                <w:sz w:val="18"/>
                <w:szCs w:val="18"/>
              </w:rPr>
              <w:t>7.灵敏度：-45dB±2dB</w:t>
            </w:r>
          </w:p>
          <w:p w14:paraId="71D48E94">
            <w:pPr>
              <w:widowControl/>
              <w:spacing w:line="400" w:lineRule="exact"/>
              <w:rPr>
                <w:rFonts w:ascii="宋体" w:hAnsi="宋体" w:cs="Arial"/>
                <w:color w:val="auto"/>
                <w:sz w:val="18"/>
                <w:szCs w:val="18"/>
              </w:rPr>
            </w:pPr>
            <w:r>
              <w:rPr>
                <w:rFonts w:hint="eastAsia" w:ascii="宋体" w:hAnsi="宋体" w:cs="Arial"/>
                <w:color w:val="auto"/>
                <w:sz w:val="18"/>
                <w:szCs w:val="18"/>
              </w:rPr>
              <w:t>8.咪杆长度：390mm</w:t>
            </w:r>
          </w:p>
        </w:tc>
        <w:tc>
          <w:tcPr>
            <w:tcW w:w="900" w:type="dxa"/>
            <w:tcBorders>
              <w:top w:val="nil"/>
              <w:left w:val="nil"/>
              <w:bottom w:val="single" w:color="auto" w:sz="4" w:space="0"/>
              <w:right w:val="single" w:color="auto" w:sz="4" w:space="0"/>
            </w:tcBorders>
            <w:vAlign w:val="center"/>
          </w:tcPr>
          <w:p w14:paraId="026EC5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EA8AF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1060338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34CBB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noWrap/>
            <w:vAlign w:val="center"/>
          </w:tcPr>
          <w:p w14:paraId="11C574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功放</w:t>
            </w:r>
          </w:p>
        </w:tc>
        <w:tc>
          <w:tcPr>
            <w:tcW w:w="5717" w:type="dxa"/>
            <w:tcBorders>
              <w:top w:val="nil"/>
              <w:left w:val="nil"/>
              <w:bottom w:val="single" w:color="auto" w:sz="4" w:space="0"/>
              <w:right w:val="single" w:color="auto" w:sz="4" w:space="0"/>
            </w:tcBorders>
            <w:vAlign w:val="center"/>
          </w:tcPr>
          <w:p w14:paraId="5971CBE5">
            <w:pPr>
              <w:widowControl/>
              <w:spacing w:line="400" w:lineRule="exact"/>
              <w:rPr>
                <w:rFonts w:ascii="宋体" w:hAnsi="宋体" w:cs="Arial"/>
                <w:color w:val="auto"/>
                <w:sz w:val="18"/>
                <w:szCs w:val="18"/>
              </w:rPr>
            </w:pPr>
            <w:r>
              <w:rPr>
                <w:rFonts w:hint="eastAsia" w:ascii="宋体" w:hAnsi="宋体" w:cs="Arial"/>
                <w:color w:val="auto"/>
                <w:sz w:val="18"/>
                <w:szCs w:val="18"/>
              </w:rPr>
              <w:t>1.额定输出功率：500W</w:t>
            </w:r>
          </w:p>
          <w:p w14:paraId="7DA7FB56">
            <w:pPr>
              <w:widowControl/>
              <w:spacing w:line="400" w:lineRule="exact"/>
              <w:rPr>
                <w:rFonts w:ascii="宋体" w:hAnsi="宋体" w:cs="Arial"/>
                <w:color w:val="auto"/>
                <w:sz w:val="18"/>
                <w:szCs w:val="18"/>
              </w:rPr>
            </w:pPr>
            <w:r>
              <w:rPr>
                <w:rFonts w:hint="eastAsia" w:ascii="宋体" w:hAnsi="宋体" w:cs="Arial"/>
                <w:color w:val="auto"/>
                <w:sz w:val="18"/>
                <w:szCs w:val="18"/>
              </w:rPr>
              <w:t>2.扬声器输出：70V，100V&amp;4～16Ω</w:t>
            </w:r>
          </w:p>
          <w:p w14:paraId="306208B5">
            <w:pPr>
              <w:widowControl/>
              <w:spacing w:line="400" w:lineRule="exact"/>
              <w:rPr>
                <w:rFonts w:ascii="宋体" w:hAnsi="宋体" w:cs="Arial"/>
                <w:color w:val="auto"/>
                <w:sz w:val="18"/>
                <w:szCs w:val="18"/>
              </w:rPr>
            </w:pPr>
            <w:r>
              <w:rPr>
                <w:rFonts w:hint="eastAsia" w:ascii="宋体" w:hAnsi="宋体" w:cs="Arial"/>
                <w:color w:val="auto"/>
                <w:sz w:val="18"/>
                <w:szCs w:val="18"/>
              </w:rPr>
              <w:t>3.输入灵敏度&amp;输入阻抗：MIC1，2，3：5mV/600Ω，不平衡TRS端子输入</w:t>
            </w:r>
          </w:p>
          <w:p w14:paraId="3BF4C1F9">
            <w:pPr>
              <w:widowControl/>
              <w:spacing w:line="400" w:lineRule="exact"/>
              <w:rPr>
                <w:rFonts w:ascii="宋体" w:hAnsi="宋体" w:cs="Arial"/>
                <w:color w:val="auto"/>
                <w:sz w:val="18"/>
                <w:szCs w:val="18"/>
              </w:rPr>
            </w:pPr>
            <w:r>
              <w:rPr>
                <w:rFonts w:hint="eastAsia" w:ascii="宋体" w:hAnsi="宋体" w:cs="Arial"/>
                <w:color w:val="auto"/>
                <w:sz w:val="18"/>
                <w:szCs w:val="18"/>
              </w:rPr>
              <w:t>MIC2，3Line输入：775mV/10KΩ，不平衡RCA端子输入</w:t>
            </w:r>
          </w:p>
          <w:p w14:paraId="37C24C78">
            <w:pPr>
              <w:widowControl/>
              <w:spacing w:line="400" w:lineRule="exact"/>
              <w:rPr>
                <w:rFonts w:ascii="宋体" w:hAnsi="宋体" w:cs="Arial"/>
                <w:color w:val="auto"/>
                <w:sz w:val="18"/>
                <w:szCs w:val="18"/>
              </w:rPr>
            </w:pPr>
            <w:r>
              <w:rPr>
                <w:rFonts w:hint="eastAsia" w:ascii="宋体" w:hAnsi="宋体" w:cs="Arial"/>
                <w:color w:val="auto"/>
                <w:sz w:val="18"/>
                <w:szCs w:val="18"/>
              </w:rPr>
              <w:t>Aux1，2：350mV/10KΩ，不平衡RCA端子输入</w:t>
            </w:r>
          </w:p>
          <w:p w14:paraId="33FC575C">
            <w:pPr>
              <w:widowControl/>
              <w:spacing w:line="400" w:lineRule="exact"/>
              <w:rPr>
                <w:rFonts w:ascii="宋体" w:hAnsi="宋体" w:cs="Arial"/>
                <w:color w:val="auto"/>
                <w:sz w:val="18"/>
                <w:szCs w:val="18"/>
              </w:rPr>
            </w:pPr>
            <w:r>
              <w:rPr>
                <w:rFonts w:hint="eastAsia" w:ascii="宋体" w:hAnsi="宋体" w:cs="Arial"/>
                <w:color w:val="auto"/>
                <w:sz w:val="18"/>
                <w:szCs w:val="18"/>
              </w:rPr>
              <w:t>EMC：775mV/10KΩ，不平衡DG7.62端子输入</w:t>
            </w:r>
          </w:p>
          <w:p w14:paraId="72B02E00">
            <w:pPr>
              <w:widowControl/>
              <w:spacing w:line="400" w:lineRule="exact"/>
              <w:rPr>
                <w:rFonts w:ascii="宋体" w:hAnsi="宋体" w:cs="Arial"/>
                <w:color w:val="auto"/>
                <w:sz w:val="18"/>
                <w:szCs w:val="18"/>
              </w:rPr>
            </w:pPr>
            <w:r>
              <w:rPr>
                <w:rFonts w:hint="eastAsia" w:ascii="宋体" w:hAnsi="宋体" w:cs="Arial"/>
                <w:color w:val="auto"/>
                <w:sz w:val="18"/>
                <w:szCs w:val="18"/>
              </w:rPr>
              <w:t>4.输出灵敏度&amp;输出源阻抗：MI×OUT：1000mV/470Ω，不平衡RCA端子输出</w:t>
            </w:r>
          </w:p>
          <w:p w14:paraId="6BE19E13">
            <w:pPr>
              <w:widowControl/>
              <w:spacing w:line="400" w:lineRule="exact"/>
              <w:rPr>
                <w:rFonts w:ascii="宋体" w:hAnsi="宋体" w:cs="Arial"/>
                <w:color w:val="auto"/>
                <w:sz w:val="18"/>
                <w:szCs w:val="18"/>
              </w:rPr>
            </w:pPr>
            <w:r>
              <w:rPr>
                <w:rFonts w:hint="eastAsia" w:ascii="宋体" w:hAnsi="宋体" w:cs="Arial"/>
                <w:color w:val="auto"/>
                <w:sz w:val="18"/>
                <w:szCs w:val="18"/>
              </w:rPr>
              <w:t>5.过载源电动势：MIC1，2，3：＞12dB，不平衡TRS端子输入</w:t>
            </w:r>
          </w:p>
          <w:p w14:paraId="497A2448">
            <w:pPr>
              <w:widowControl/>
              <w:spacing w:line="400" w:lineRule="exact"/>
              <w:rPr>
                <w:rFonts w:ascii="宋体" w:hAnsi="宋体" w:cs="Arial"/>
                <w:color w:val="auto"/>
                <w:sz w:val="18"/>
                <w:szCs w:val="18"/>
              </w:rPr>
            </w:pPr>
            <w:r>
              <w:rPr>
                <w:rFonts w:hint="eastAsia" w:ascii="宋体" w:hAnsi="宋体" w:cs="Arial"/>
                <w:color w:val="auto"/>
                <w:sz w:val="18"/>
                <w:szCs w:val="18"/>
              </w:rPr>
              <w:t>MIC1，2，3Line输入：＞12dB，不平衡RCA端子输入</w:t>
            </w:r>
          </w:p>
          <w:p w14:paraId="6DCEAEDA">
            <w:pPr>
              <w:widowControl/>
              <w:spacing w:line="400" w:lineRule="exact"/>
              <w:rPr>
                <w:rFonts w:ascii="宋体" w:hAnsi="宋体" w:cs="Arial"/>
                <w:color w:val="auto"/>
                <w:sz w:val="18"/>
                <w:szCs w:val="18"/>
              </w:rPr>
            </w:pPr>
            <w:r>
              <w:rPr>
                <w:rFonts w:hint="eastAsia" w:ascii="宋体" w:hAnsi="宋体" w:cs="Arial"/>
                <w:color w:val="auto"/>
                <w:sz w:val="18"/>
                <w:szCs w:val="18"/>
              </w:rPr>
              <w:t>Aux1，2：＞20dB，不平衡RCA端子输入</w:t>
            </w:r>
          </w:p>
          <w:p w14:paraId="2D16D316">
            <w:pPr>
              <w:widowControl/>
              <w:spacing w:line="400" w:lineRule="exact"/>
              <w:rPr>
                <w:rFonts w:ascii="宋体" w:hAnsi="宋体" w:cs="Arial"/>
                <w:color w:val="auto"/>
                <w:sz w:val="18"/>
                <w:szCs w:val="18"/>
              </w:rPr>
            </w:pPr>
            <w:r>
              <w:rPr>
                <w:rFonts w:hint="eastAsia" w:ascii="宋体" w:hAnsi="宋体" w:cs="Arial"/>
                <w:color w:val="auto"/>
                <w:sz w:val="18"/>
                <w:szCs w:val="18"/>
              </w:rPr>
              <w:t>EMC：＞12dB，不平衡DG7.62端子输入</w:t>
            </w:r>
          </w:p>
          <w:p w14:paraId="5FACD06D">
            <w:pPr>
              <w:widowControl/>
              <w:spacing w:line="400" w:lineRule="exact"/>
              <w:rPr>
                <w:rFonts w:ascii="宋体" w:hAnsi="宋体" w:cs="Arial"/>
                <w:color w:val="auto"/>
                <w:sz w:val="18"/>
                <w:szCs w:val="18"/>
              </w:rPr>
            </w:pPr>
            <w:r>
              <w:rPr>
                <w:rFonts w:hint="eastAsia" w:ascii="宋体" w:hAnsi="宋体" w:cs="Arial"/>
                <w:color w:val="auto"/>
                <w:sz w:val="18"/>
                <w:szCs w:val="18"/>
              </w:rPr>
              <w:t>6.音调：低音：±10dBat100Hz；高音：±10dBat10KHz</w:t>
            </w:r>
          </w:p>
          <w:p w14:paraId="03C4D2D9">
            <w:pPr>
              <w:widowControl/>
              <w:spacing w:line="400" w:lineRule="exact"/>
              <w:rPr>
                <w:rFonts w:ascii="宋体" w:hAnsi="宋体" w:cs="Arial"/>
                <w:color w:val="auto"/>
                <w:sz w:val="18"/>
                <w:szCs w:val="18"/>
              </w:rPr>
            </w:pPr>
            <w:r>
              <w:rPr>
                <w:rFonts w:hint="eastAsia" w:ascii="宋体" w:hAnsi="宋体" w:cs="Arial"/>
                <w:color w:val="auto"/>
                <w:sz w:val="18"/>
                <w:szCs w:val="18"/>
              </w:rPr>
              <w:t>7.频响：50Hz～16KHz(+1dB，-3dB)</w:t>
            </w:r>
          </w:p>
          <w:p w14:paraId="30D97BDD">
            <w:pPr>
              <w:widowControl/>
              <w:spacing w:line="400" w:lineRule="exact"/>
              <w:rPr>
                <w:rFonts w:ascii="宋体" w:hAnsi="宋体" w:cs="Arial"/>
                <w:color w:val="auto"/>
                <w:sz w:val="18"/>
                <w:szCs w:val="18"/>
              </w:rPr>
            </w:pPr>
            <w:r>
              <w:rPr>
                <w:rFonts w:hint="eastAsia" w:ascii="宋体" w:hAnsi="宋体" w:cs="Arial"/>
                <w:color w:val="auto"/>
                <w:sz w:val="18"/>
                <w:szCs w:val="18"/>
              </w:rPr>
              <w:t>8.信噪比：MIC1，2，3：66dB;Aux1，2：80dB</w:t>
            </w:r>
          </w:p>
          <w:p w14:paraId="2271AD7F">
            <w:pPr>
              <w:widowControl/>
              <w:spacing w:line="400" w:lineRule="exact"/>
              <w:rPr>
                <w:rFonts w:ascii="宋体" w:hAnsi="宋体" w:cs="Arial"/>
                <w:color w:val="auto"/>
                <w:sz w:val="18"/>
                <w:szCs w:val="18"/>
              </w:rPr>
            </w:pPr>
            <w:r>
              <w:rPr>
                <w:rFonts w:hint="eastAsia" w:ascii="宋体" w:hAnsi="宋体" w:cs="Arial"/>
                <w:color w:val="auto"/>
                <w:sz w:val="18"/>
                <w:szCs w:val="18"/>
              </w:rPr>
              <w:t>9.总谐波失真：1KHz时0.5%，1/3输出功率</w:t>
            </w:r>
          </w:p>
          <w:p w14:paraId="7E199D4D">
            <w:pPr>
              <w:widowControl/>
              <w:spacing w:line="400" w:lineRule="exact"/>
              <w:rPr>
                <w:rFonts w:ascii="宋体" w:hAnsi="宋体" w:cs="Arial"/>
                <w:color w:val="auto"/>
                <w:sz w:val="18"/>
                <w:szCs w:val="18"/>
              </w:rPr>
            </w:pPr>
            <w:r>
              <w:rPr>
                <w:rFonts w:hint="eastAsia" w:ascii="宋体" w:hAnsi="宋体" w:cs="Arial"/>
                <w:color w:val="auto"/>
                <w:sz w:val="18"/>
                <w:szCs w:val="18"/>
              </w:rPr>
              <w:t>10.默音功能：MIC1优先其他通道；0-30dB可调</w:t>
            </w:r>
          </w:p>
          <w:p w14:paraId="5F157095">
            <w:pPr>
              <w:widowControl/>
              <w:spacing w:line="400" w:lineRule="exact"/>
              <w:rPr>
                <w:rFonts w:ascii="宋体" w:hAnsi="宋体" w:cs="Arial"/>
                <w:color w:val="auto"/>
                <w:sz w:val="18"/>
                <w:szCs w:val="18"/>
              </w:rPr>
            </w:pPr>
            <w:r>
              <w:rPr>
                <w:rFonts w:hint="eastAsia" w:ascii="宋体" w:hAnsi="宋体" w:cs="Arial"/>
                <w:color w:val="auto"/>
                <w:sz w:val="18"/>
                <w:szCs w:val="18"/>
              </w:rPr>
              <w:t>11.通道串音衰减：≤50dB</w:t>
            </w:r>
          </w:p>
        </w:tc>
        <w:tc>
          <w:tcPr>
            <w:tcW w:w="900" w:type="dxa"/>
            <w:tcBorders>
              <w:top w:val="nil"/>
              <w:left w:val="nil"/>
              <w:bottom w:val="single" w:color="auto" w:sz="4" w:space="0"/>
              <w:right w:val="single" w:color="auto" w:sz="4" w:space="0"/>
            </w:tcBorders>
            <w:vAlign w:val="center"/>
          </w:tcPr>
          <w:p w14:paraId="548CED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D8AC9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DB504B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A56C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635D1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音响线</w:t>
            </w:r>
          </w:p>
        </w:tc>
        <w:tc>
          <w:tcPr>
            <w:tcW w:w="5717" w:type="dxa"/>
            <w:tcBorders>
              <w:top w:val="nil"/>
              <w:left w:val="nil"/>
              <w:bottom w:val="single" w:color="auto" w:sz="4" w:space="0"/>
              <w:right w:val="single" w:color="auto" w:sz="4" w:space="0"/>
            </w:tcBorders>
            <w:vAlign w:val="center"/>
          </w:tcPr>
          <w:p w14:paraId="19A0B8DC">
            <w:pPr>
              <w:widowControl/>
              <w:spacing w:line="400" w:lineRule="exact"/>
              <w:rPr>
                <w:rFonts w:ascii="宋体" w:hAnsi="宋体" w:cs="Arial"/>
                <w:color w:val="auto"/>
                <w:sz w:val="18"/>
                <w:szCs w:val="18"/>
              </w:rPr>
            </w:pPr>
            <w:r>
              <w:rPr>
                <w:rFonts w:hint="eastAsia" w:ascii="宋体" w:hAnsi="宋体" w:cs="Arial"/>
                <w:color w:val="auto"/>
                <w:sz w:val="18"/>
                <w:szCs w:val="18"/>
              </w:rPr>
              <w:t>RVV2*2.5，铺设线路根据现场实际情况</w:t>
            </w:r>
          </w:p>
        </w:tc>
        <w:tc>
          <w:tcPr>
            <w:tcW w:w="900" w:type="dxa"/>
            <w:tcBorders>
              <w:top w:val="nil"/>
              <w:left w:val="nil"/>
              <w:bottom w:val="single" w:color="auto" w:sz="4" w:space="0"/>
              <w:right w:val="single" w:color="auto" w:sz="4" w:space="0"/>
            </w:tcBorders>
            <w:vAlign w:val="center"/>
          </w:tcPr>
          <w:p w14:paraId="45E096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2500.00 </w:t>
            </w:r>
          </w:p>
        </w:tc>
        <w:tc>
          <w:tcPr>
            <w:tcW w:w="849" w:type="dxa"/>
            <w:gridSpan w:val="2"/>
            <w:tcBorders>
              <w:top w:val="nil"/>
              <w:left w:val="nil"/>
              <w:bottom w:val="single" w:color="auto" w:sz="4" w:space="0"/>
              <w:right w:val="single" w:color="auto" w:sz="4" w:space="0"/>
            </w:tcBorders>
            <w:vAlign w:val="center"/>
          </w:tcPr>
          <w:p w14:paraId="53E971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9ECFB3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837F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23AF19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安装调试费</w:t>
            </w:r>
          </w:p>
        </w:tc>
        <w:tc>
          <w:tcPr>
            <w:tcW w:w="5717" w:type="dxa"/>
            <w:tcBorders>
              <w:top w:val="nil"/>
              <w:left w:val="nil"/>
              <w:bottom w:val="single" w:color="auto" w:sz="4" w:space="0"/>
              <w:right w:val="single" w:color="auto" w:sz="4" w:space="0"/>
            </w:tcBorders>
            <w:vAlign w:val="center"/>
          </w:tcPr>
          <w:p w14:paraId="0F7F9624">
            <w:pPr>
              <w:widowControl/>
              <w:spacing w:line="400" w:lineRule="exact"/>
              <w:rPr>
                <w:rFonts w:ascii="宋体" w:hAnsi="宋体" w:cs="Arial"/>
                <w:color w:val="auto"/>
                <w:sz w:val="18"/>
                <w:szCs w:val="18"/>
              </w:rPr>
            </w:pPr>
            <w:r>
              <w:rPr>
                <w:rFonts w:hint="eastAsia" w:ascii="宋体" w:hAnsi="宋体" w:cs="Arial"/>
                <w:color w:val="auto"/>
                <w:sz w:val="18"/>
                <w:szCs w:val="18"/>
              </w:rPr>
              <w:t>设备安装调试</w:t>
            </w:r>
          </w:p>
        </w:tc>
        <w:tc>
          <w:tcPr>
            <w:tcW w:w="900" w:type="dxa"/>
            <w:tcBorders>
              <w:top w:val="nil"/>
              <w:left w:val="nil"/>
              <w:bottom w:val="single" w:color="auto" w:sz="4" w:space="0"/>
              <w:right w:val="single" w:color="auto" w:sz="4" w:space="0"/>
            </w:tcBorders>
            <w:vAlign w:val="center"/>
          </w:tcPr>
          <w:p w14:paraId="2CAFA3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926A0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EE65B1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1F494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应急用水系统维修</w:t>
            </w:r>
          </w:p>
        </w:tc>
      </w:tr>
      <w:tr w14:paraId="41D1966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64177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 </w:t>
            </w:r>
          </w:p>
        </w:tc>
        <w:tc>
          <w:tcPr>
            <w:tcW w:w="1397" w:type="dxa"/>
            <w:tcBorders>
              <w:top w:val="nil"/>
              <w:left w:val="nil"/>
              <w:bottom w:val="single" w:color="auto" w:sz="4" w:space="0"/>
              <w:right w:val="single" w:color="auto" w:sz="4" w:space="0"/>
            </w:tcBorders>
            <w:vAlign w:val="center"/>
          </w:tcPr>
          <w:p w14:paraId="08848E9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水表</w:t>
            </w:r>
          </w:p>
        </w:tc>
        <w:tc>
          <w:tcPr>
            <w:tcW w:w="5717" w:type="dxa"/>
            <w:tcBorders>
              <w:top w:val="nil"/>
              <w:left w:val="nil"/>
              <w:bottom w:val="single" w:color="auto" w:sz="4" w:space="0"/>
              <w:right w:val="single" w:color="auto" w:sz="4" w:space="0"/>
            </w:tcBorders>
            <w:vAlign w:val="center"/>
          </w:tcPr>
          <w:p w14:paraId="605F5A59">
            <w:pPr>
              <w:widowControl/>
              <w:spacing w:line="400" w:lineRule="exact"/>
              <w:rPr>
                <w:rFonts w:ascii="宋体" w:hAnsi="宋体" w:cs="Arial"/>
                <w:color w:val="auto"/>
                <w:sz w:val="18"/>
                <w:szCs w:val="18"/>
              </w:rPr>
            </w:pPr>
            <w:r>
              <w:rPr>
                <w:rFonts w:hint="eastAsia" w:ascii="宋体" w:hAnsi="宋体" w:cs="Arial"/>
                <w:color w:val="auto"/>
                <w:sz w:val="18"/>
                <w:szCs w:val="18"/>
              </w:rPr>
              <w:t>规格尺寸：1 寸水表</w:t>
            </w:r>
          </w:p>
        </w:tc>
        <w:tc>
          <w:tcPr>
            <w:tcW w:w="900" w:type="dxa"/>
            <w:tcBorders>
              <w:top w:val="nil"/>
              <w:left w:val="nil"/>
              <w:bottom w:val="single" w:color="auto" w:sz="4" w:space="0"/>
              <w:right w:val="single" w:color="auto" w:sz="4" w:space="0"/>
            </w:tcBorders>
            <w:vAlign w:val="bottom"/>
          </w:tcPr>
          <w:p w14:paraId="4519EF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0EFAAD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E9A32C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08389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 </w:t>
            </w:r>
          </w:p>
        </w:tc>
        <w:tc>
          <w:tcPr>
            <w:tcW w:w="1397" w:type="dxa"/>
            <w:tcBorders>
              <w:top w:val="nil"/>
              <w:left w:val="nil"/>
              <w:bottom w:val="single" w:color="auto" w:sz="4" w:space="0"/>
              <w:right w:val="single" w:color="auto" w:sz="4" w:space="0"/>
            </w:tcBorders>
            <w:vAlign w:val="center"/>
          </w:tcPr>
          <w:p w14:paraId="71480A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塑料管</w:t>
            </w:r>
          </w:p>
        </w:tc>
        <w:tc>
          <w:tcPr>
            <w:tcW w:w="5717" w:type="dxa"/>
            <w:tcBorders>
              <w:top w:val="nil"/>
              <w:left w:val="nil"/>
              <w:bottom w:val="single" w:color="auto" w:sz="4" w:space="0"/>
              <w:right w:val="single" w:color="auto" w:sz="4" w:space="0"/>
            </w:tcBorders>
            <w:vAlign w:val="center"/>
          </w:tcPr>
          <w:p w14:paraId="73D42175">
            <w:pPr>
              <w:widowControl/>
              <w:spacing w:line="400" w:lineRule="exact"/>
              <w:rPr>
                <w:rFonts w:ascii="宋体" w:hAnsi="宋体" w:cs="Arial"/>
                <w:color w:val="auto"/>
                <w:sz w:val="18"/>
                <w:szCs w:val="18"/>
              </w:rPr>
            </w:pPr>
            <w:r>
              <w:rPr>
                <w:rFonts w:hint="eastAsia" w:ascii="宋体" w:hAnsi="宋体" w:cs="Arial"/>
                <w:color w:val="auto"/>
                <w:sz w:val="18"/>
                <w:szCs w:val="18"/>
              </w:rPr>
              <w:t>规格尺寸：PE 给水管 Φ32</w:t>
            </w:r>
          </w:p>
        </w:tc>
        <w:tc>
          <w:tcPr>
            <w:tcW w:w="900" w:type="dxa"/>
            <w:tcBorders>
              <w:top w:val="nil"/>
              <w:left w:val="nil"/>
              <w:bottom w:val="single" w:color="auto" w:sz="4" w:space="0"/>
              <w:right w:val="single" w:color="auto" w:sz="4" w:space="0"/>
            </w:tcBorders>
            <w:vAlign w:val="bottom"/>
          </w:tcPr>
          <w:p w14:paraId="2C1479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bottom"/>
          </w:tcPr>
          <w:p w14:paraId="2882D7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0E3D09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9B48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 </w:t>
            </w:r>
          </w:p>
        </w:tc>
        <w:tc>
          <w:tcPr>
            <w:tcW w:w="1397" w:type="dxa"/>
            <w:tcBorders>
              <w:top w:val="nil"/>
              <w:left w:val="nil"/>
              <w:bottom w:val="single" w:color="auto" w:sz="4" w:space="0"/>
              <w:right w:val="single" w:color="auto" w:sz="4" w:space="0"/>
            </w:tcBorders>
          </w:tcPr>
          <w:p w14:paraId="2C43A228">
            <w:pPr>
              <w:widowControl/>
              <w:spacing w:line="400" w:lineRule="exact"/>
              <w:jc w:val="center"/>
              <w:rPr>
                <w:rFonts w:ascii="宋体" w:hAnsi="宋体" w:cs="Arial"/>
                <w:color w:val="auto"/>
                <w:sz w:val="18"/>
                <w:szCs w:val="18"/>
              </w:rPr>
            </w:pPr>
            <w:r>
              <w:rPr>
                <w:rFonts w:hint="eastAsia" w:ascii="宋体" w:hAnsi="宋体" w:cs="Arial"/>
                <w:color w:val="auto"/>
                <w:sz w:val="18"/>
                <w:szCs w:val="18"/>
              </w:rPr>
              <w:t>球阀</w:t>
            </w:r>
          </w:p>
        </w:tc>
        <w:tc>
          <w:tcPr>
            <w:tcW w:w="5717" w:type="dxa"/>
            <w:tcBorders>
              <w:top w:val="nil"/>
              <w:left w:val="nil"/>
              <w:bottom w:val="single" w:color="auto" w:sz="4" w:space="0"/>
              <w:right w:val="single" w:color="auto" w:sz="4" w:space="0"/>
            </w:tcBorders>
            <w:vAlign w:val="center"/>
          </w:tcPr>
          <w:p w14:paraId="39B0A449">
            <w:pPr>
              <w:widowControl/>
              <w:spacing w:line="400" w:lineRule="exact"/>
              <w:rPr>
                <w:rFonts w:ascii="宋体" w:hAnsi="宋体" w:cs="Arial"/>
                <w:color w:val="auto"/>
                <w:sz w:val="18"/>
                <w:szCs w:val="18"/>
              </w:rPr>
            </w:pPr>
            <w:r>
              <w:rPr>
                <w:rFonts w:hint="eastAsia" w:ascii="宋体" w:hAnsi="宋体" w:cs="Arial"/>
                <w:color w:val="auto"/>
                <w:sz w:val="18"/>
                <w:szCs w:val="18"/>
              </w:rPr>
              <w:t>规格尺寸：PE 球阀 Φ32(DN40)</w:t>
            </w:r>
          </w:p>
        </w:tc>
        <w:tc>
          <w:tcPr>
            <w:tcW w:w="900" w:type="dxa"/>
            <w:tcBorders>
              <w:top w:val="nil"/>
              <w:left w:val="nil"/>
              <w:bottom w:val="single" w:color="auto" w:sz="4" w:space="0"/>
              <w:right w:val="single" w:color="auto" w:sz="4" w:space="0"/>
            </w:tcBorders>
            <w:vAlign w:val="bottom"/>
          </w:tcPr>
          <w:p w14:paraId="489B50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096BF9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0638ABB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69BFD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 </w:t>
            </w:r>
          </w:p>
        </w:tc>
        <w:tc>
          <w:tcPr>
            <w:tcW w:w="1397" w:type="dxa"/>
            <w:tcBorders>
              <w:top w:val="nil"/>
              <w:left w:val="nil"/>
              <w:bottom w:val="single" w:color="auto" w:sz="4" w:space="0"/>
              <w:right w:val="single" w:color="auto" w:sz="4" w:space="0"/>
            </w:tcBorders>
          </w:tcPr>
          <w:p w14:paraId="3967B8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闸阀</w:t>
            </w:r>
          </w:p>
        </w:tc>
        <w:tc>
          <w:tcPr>
            <w:tcW w:w="5717" w:type="dxa"/>
            <w:tcBorders>
              <w:top w:val="nil"/>
              <w:left w:val="nil"/>
              <w:bottom w:val="single" w:color="auto" w:sz="4" w:space="0"/>
              <w:right w:val="single" w:color="auto" w:sz="4" w:space="0"/>
            </w:tcBorders>
            <w:vAlign w:val="center"/>
          </w:tcPr>
          <w:p w14:paraId="5B1F867C">
            <w:pPr>
              <w:widowControl/>
              <w:spacing w:line="400" w:lineRule="exact"/>
              <w:rPr>
                <w:rFonts w:ascii="宋体" w:hAnsi="宋体" w:cs="Arial"/>
                <w:color w:val="auto"/>
                <w:sz w:val="18"/>
                <w:szCs w:val="18"/>
              </w:rPr>
            </w:pPr>
            <w:r>
              <w:rPr>
                <w:rFonts w:hint="eastAsia" w:ascii="宋体" w:hAnsi="宋体" w:cs="Arial"/>
                <w:color w:val="auto"/>
                <w:sz w:val="18"/>
                <w:szCs w:val="18"/>
              </w:rPr>
              <w:t>规格尺寸：PE 闸阀 Φ40</w:t>
            </w:r>
          </w:p>
        </w:tc>
        <w:tc>
          <w:tcPr>
            <w:tcW w:w="900" w:type="dxa"/>
            <w:tcBorders>
              <w:top w:val="nil"/>
              <w:left w:val="nil"/>
              <w:bottom w:val="single" w:color="auto" w:sz="4" w:space="0"/>
              <w:right w:val="single" w:color="auto" w:sz="4" w:space="0"/>
            </w:tcBorders>
            <w:vAlign w:val="bottom"/>
          </w:tcPr>
          <w:p w14:paraId="637722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6C7958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8FC1B6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71F43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 </w:t>
            </w:r>
          </w:p>
        </w:tc>
        <w:tc>
          <w:tcPr>
            <w:tcW w:w="1397" w:type="dxa"/>
            <w:tcBorders>
              <w:top w:val="nil"/>
              <w:left w:val="nil"/>
              <w:bottom w:val="single" w:color="auto" w:sz="4" w:space="0"/>
              <w:right w:val="single" w:color="auto" w:sz="4" w:space="0"/>
            </w:tcBorders>
          </w:tcPr>
          <w:p w14:paraId="1578C02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弯头</w:t>
            </w:r>
          </w:p>
        </w:tc>
        <w:tc>
          <w:tcPr>
            <w:tcW w:w="5717" w:type="dxa"/>
            <w:tcBorders>
              <w:top w:val="nil"/>
              <w:left w:val="nil"/>
              <w:bottom w:val="single" w:color="auto" w:sz="4" w:space="0"/>
              <w:right w:val="single" w:color="auto" w:sz="4" w:space="0"/>
            </w:tcBorders>
            <w:vAlign w:val="center"/>
          </w:tcPr>
          <w:p w14:paraId="54715ABC">
            <w:pPr>
              <w:widowControl/>
              <w:spacing w:line="400" w:lineRule="exact"/>
              <w:rPr>
                <w:rFonts w:ascii="宋体" w:hAnsi="宋体" w:cs="Arial"/>
                <w:color w:val="auto"/>
                <w:sz w:val="18"/>
                <w:szCs w:val="18"/>
              </w:rPr>
            </w:pPr>
            <w:r>
              <w:rPr>
                <w:rFonts w:hint="eastAsia" w:ascii="宋体" w:hAnsi="宋体" w:cs="Arial"/>
                <w:color w:val="auto"/>
                <w:sz w:val="18"/>
                <w:szCs w:val="18"/>
              </w:rPr>
              <w:t>规格尺寸：PEΦ32 弯头</w:t>
            </w:r>
          </w:p>
        </w:tc>
        <w:tc>
          <w:tcPr>
            <w:tcW w:w="900" w:type="dxa"/>
            <w:tcBorders>
              <w:top w:val="nil"/>
              <w:left w:val="nil"/>
              <w:bottom w:val="single" w:color="auto" w:sz="4" w:space="0"/>
              <w:right w:val="single" w:color="auto" w:sz="4" w:space="0"/>
            </w:tcBorders>
            <w:vAlign w:val="bottom"/>
          </w:tcPr>
          <w:p w14:paraId="1BB2B6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bottom"/>
          </w:tcPr>
          <w:p w14:paraId="32184A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719CC0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B538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 </w:t>
            </w:r>
          </w:p>
        </w:tc>
        <w:tc>
          <w:tcPr>
            <w:tcW w:w="1397" w:type="dxa"/>
            <w:tcBorders>
              <w:top w:val="nil"/>
              <w:left w:val="nil"/>
              <w:bottom w:val="single" w:color="auto" w:sz="4" w:space="0"/>
              <w:right w:val="single" w:color="auto" w:sz="4" w:space="0"/>
            </w:tcBorders>
          </w:tcPr>
          <w:p w14:paraId="0542BC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6C3D2A2F">
            <w:pPr>
              <w:widowControl/>
              <w:spacing w:line="400" w:lineRule="exact"/>
              <w:rPr>
                <w:rFonts w:ascii="宋体" w:hAnsi="宋体" w:cs="Arial"/>
                <w:color w:val="auto"/>
                <w:sz w:val="18"/>
                <w:szCs w:val="18"/>
              </w:rPr>
            </w:pPr>
            <w:r>
              <w:rPr>
                <w:rFonts w:hint="eastAsia" w:ascii="宋体" w:hAnsi="宋体" w:cs="Arial"/>
                <w:color w:val="auto"/>
                <w:sz w:val="18"/>
                <w:szCs w:val="18"/>
              </w:rPr>
              <w:t>规格尺寸：PEΦ32 直接</w:t>
            </w:r>
          </w:p>
        </w:tc>
        <w:tc>
          <w:tcPr>
            <w:tcW w:w="900" w:type="dxa"/>
            <w:tcBorders>
              <w:top w:val="nil"/>
              <w:left w:val="nil"/>
              <w:bottom w:val="single" w:color="auto" w:sz="4" w:space="0"/>
              <w:right w:val="single" w:color="auto" w:sz="4" w:space="0"/>
            </w:tcBorders>
            <w:vAlign w:val="bottom"/>
          </w:tcPr>
          <w:p w14:paraId="018830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bottom"/>
          </w:tcPr>
          <w:p w14:paraId="60C23F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75A19BA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B4B7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 </w:t>
            </w:r>
          </w:p>
        </w:tc>
        <w:tc>
          <w:tcPr>
            <w:tcW w:w="1397" w:type="dxa"/>
            <w:tcBorders>
              <w:top w:val="nil"/>
              <w:left w:val="nil"/>
              <w:bottom w:val="single" w:color="auto" w:sz="4" w:space="0"/>
              <w:right w:val="single" w:color="auto" w:sz="4" w:space="0"/>
            </w:tcBorders>
          </w:tcPr>
          <w:p w14:paraId="5702DB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23B30865">
            <w:pPr>
              <w:widowControl/>
              <w:spacing w:line="400" w:lineRule="exact"/>
              <w:rPr>
                <w:rFonts w:ascii="宋体" w:hAnsi="宋体" w:cs="Arial"/>
                <w:color w:val="auto"/>
                <w:sz w:val="18"/>
                <w:szCs w:val="18"/>
              </w:rPr>
            </w:pPr>
            <w:r>
              <w:rPr>
                <w:rFonts w:hint="eastAsia" w:ascii="宋体" w:hAnsi="宋体" w:cs="Arial"/>
                <w:color w:val="auto"/>
                <w:sz w:val="18"/>
                <w:szCs w:val="18"/>
              </w:rPr>
              <w:t>规格尺寸：PE40/32 三通</w:t>
            </w:r>
          </w:p>
        </w:tc>
        <w:tc>
          <w:tcPr>
            <w:tcW w:w="900" w:type="dxa"/>
            <w:tcBorders>
              <w:top w:val="nil"/>
              <w:left w:val="nil"/>
              <w:bottom w:val="single" w:color="auto" w:sz="4" w:space="0"/>
              <w:right w:val="single" w:color="auto" w:sz="4" w:space="0"/>
            </w:tcBorders>
            <w:vAlign w:val="bottom"/>
          </w:tcPr>
          <w:p w14:paraId="2655BE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426D494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46185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DC8A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 </w:t>
            </w:r>
          </w:p>
        </w:tc>
        <w:tc>
          <w:tcPr>
            <w:tcW w:w="1397" w:type="dxa"/>
            <w:tcBorders>
              <w:top w:val="nil"/>
              <w:left w:val="nil"/>
              <w:bottom w:val="single" w:color="auto" w:sz="4" w:space="0"/>
              <w:right w:val="single" w:color="auto" w:sz="4" w:space="0"/>
            </w:tcBorders>
          </w:tcPr>
          <w:p w14:paraId="4EB7DC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塑料管</w:t>
            </w:r>
          </w:p>
        </w:tc>
        <w:tc>
          <w:tcPr>
            <w:tcW w:w="5717" w:type="dxa"/>
            <w:tcBorders>
              <w:top w:val="nil"/>
              <w:left w:val="nil"/>
              <w:bottom w:val="single" w:color="auto" w:sz="4" w:space="0"/>
              <w:right w:val="single" w:color="auto" w:sz="4" w:space="0"/>
            </w:tcBorders>
            <w:vAlign w:val="center"/>
          </w:tcPr>
          <w:p w14:paraId="7E9E96CF">
            <w:pPr>
              <w:widowControl/>
              <w:spacing w:line="400" w:lineRule="exact"/>
              <w:rPr>
                <w:rFonts w:ascii="宋体" w:hAnsi="宋体" w:cs="Arial"/>
                <w:color w:val="auto"/>
                <w:sz w:val="18"/>
                <w:szCs w:val="18"/>
              </w:rPr>
            </w:pPr>
            <w:r>
              <w:rPr>
                <w:rFonts w:hint="eastAsia" w:ascii="宋体" w:hAnsi="宋体" w:cs="Arial"/>
                <w:color w:val="auto"/>
                <w:sz w:val="18"/>
                <w:szCs w:val="18"/>
              </w:rPr>
              <w:t>规格尺寸：PE40 给水管</w:t>
            </w:r>
          </w:p>
        </w:tc>
        <w:tc>
          <w:tcPr>
            <w:tcW w:w="900" w:type="dxa"/>
            <w:tcBorders>
              <w:top w:val="nil"/>
              <w:left w:val="nil"/>
              <w:bottom w:val="single" w:color="auto" w:sz="4" w:space="0"/>
              <w:right w:val="single" w:color="auto" w:sz="4" w:space="0"/>
            </w:tcBorders>
            <w:vAlign w:val="bottom"/>
          </w:tcPr>
          <w:p w14:paraId="250C8A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bottom"/>
          </w:tcPr>
          <w:p w14:paraId="6D280C01">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2EC35E1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4521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9 </w:t>
            </w:r>
          </w:p>
        </w:tc>
        <w:tc>
          <w:tcPr>
            <w:tcW w:w="1397" w:type="dxa"/>
            <w:tcBorders>
              <w:top w:val="nil"/>
              <w:left w:val="nil"/>
              <w:bottom w:val="single" w:color="auto" w:sz="4" w:space="0"/>
              <w:right w:val="single" w:color="auto" w:sz="4" w:space="0"/>
            </w:tcBorders>
          </w:tcPr>
          <w:p w14:paraId="23256BA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6DA0A7EF">
            <w:pPr>
              <w:widowControl/>
              <w:spacing w:line="400" w:lineRule="exact"/>
              <w:rPr>
                <w:rFonts w:ascii="宋体" w:hAnsi="宋体" w:cs="Arial"/>
                <w:color w:val="auto"/>
                <w:sz w:val="18"/>
                <w:szCs w:val="18"/>
              </w:rPr>
            </w:pPr>
            <w:r>
              <w:rPr>
                <w:rFonts w:hint="eastAsia" w:ascii="宋体" w:hAnsi="宋体" w:cs="Arial"/>
                <w:color w:val="auto"/>
                <w:sz w:val="18"/>
                <w:szCs w:val="18"/>
              </w:rPr>
              <w:t>规格尺寸：PE40 直接</w:t>
            </w:r>
          </w:p>
        </w:tc>
        <w:tc>
          <w:tcPr>
            <w:tcW w:w="900" w:type="dxa"/>
            <w:tcBorders>
              <w:top w:val="nil"/>
              <w:left w:val="nil"/>
              <w:bottom w:val="single" w:color="auto" w:sz="4" w:space="0"/>
              <w:right w:val="single" w:color="auto" w:sz="4" w:space="0"/>
            </w:tcBorders>
            <w:vAlign w:val="bottom"/>
          </w:tcPr>
          <w:p w14:paraId="47575E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bottom"/>
          </w:tcPr>
          <w:p w14:paraId="7DD9FC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F0E37B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FEA0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 </w:t>
            </w:r>
          </w:p>
        </w:tc>
        <w:tc>
          <w:tcPr>
            <w:tcW w:w="1397" w:type="dxa"/>
            <w:tcBorders>
              <w:top w:val="nil"/>
              <w:left w:val="nil"/>
              <w:bottom w:val="single" w:color="auto" w:sz="4" w:space="0"/>
              <w:right w:val="single" w:color="auto" w:sz="4" w:space="0"/>
            </w:tcBorders>
          </w:tcPr>
          <w:p w14:paraId="1E642F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048D8EDA">
            <w:pPr>
              <w:widowControl/>
              <w:spacing w:line="400" w:lineRule="exact"/>
              <w:rPr>
                <w:rFonts w:ascii="宋体" w:hAnsi="宋体" w:cs="Arial"/>
                <w:color w:val="auto"/>
                <w:sz w:val="18"/>
                <w:szCs w:val="18"/>
              </w:rPr>
            </w:pPr>
            <w:r>
              <w:rPr>
                <w:rFonts w:hint="eastAsia" w:ascii="宋体" w:hAnsi="宋体" w:cs="Arial"/>
                <w:color w:val="auto"/>
                <w:sz w:val="18"/>
                <w:szCs w:val="18"/>
              </w:rPr>
              <w:t>规格尺寸：PE40/32 直接</w:t>
            </w:r>
          </w:p>
        </w:tc>
        <w:tc>
          <w:tcPr>
            <w:tcW w:w="900" w:type="dxa"/>
            <w:tcBorders>
              <w:top w:val="nil"/>
              <w:left w:val="nil"/>
              <w:bottom w:val="single" w:color="auto" w:sz="4" w:space="0"/>
              <w:right w:val="single" w:color="auto" w:sz="4" w:space="0"/>
            </w:tcBorders>
            <w:vAlign w:val="bottom"/>
          </w:tcPr>
          <w:p w14:paraId="45ADF8F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bottom"/>
          </w:tcPr>
          <w:p w14:paraId="3E3414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DFEC67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F7B3E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11 </w:t>
            </w:r>
          </w:p>
        </w:tc>
        <w:tc>
          <w:tcPr>
            <w:tcW w:w="1397" w:type="dxa"/>
            <w:tcBorders>
              <w:top w:val="nil"/>
              <w:left w:val="nil"/>
              <w:bottom w:val="single" w:color="auto" w:sz="4" w:space="0"/>
              <w:right w:val="single" w:color="auto" w:sz="4" w:space="0"/>
            </w:tcBorders>
          </w:tcPr>
          <w:p w14:paraId="061A373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36C58DC7">
            <w:pPr>
              <w:widowControl/>
              <w:spacing w:line="400" w:lineRule="exact"/>
              <w:rPr>
                <w:rFonts w:ascii="宋体" w:hAnsi="宋体" w:cs="Arial"/>
                <w:color w:val="auto"/>
                <w:sz w:val="18"/>
                <w:szCs w:val="18"/>
              </w:rPr>
            </w:pPr>
            <w:r>
              <w:rPr>
                <w:rFonts w:hint="eastAsia" w:ascii="宋体" w:hAnsi="宋体" w:cs="Arial"/>
                <w:color w:val="auto"/>
                <w:sz w:val="18"/>
                <w:szCs w:val="18"/>
              </w:rPr>
              <w:t>规格尺寸：PE50/40 三通</w:t>
            </w:r>
          </w:p>
        </w:tc>
        <w:tc>
          <w:tcPr>
            <w:tcW w:w="900" w:type="dxa"/>
            <w:tcBorders>
              <w:top w:val="nil"/>
              <w:left w:val="nil"/>
              <w:bottom w:val="single" w:color="auto" w:sz="4" w:space="0"/>
              <w:right w:val="single" w:color="auto" w:sz="4" w:space="0"/>
            </w:tcBorders>
            <w:vAlign w:val="center"/>
          </w:tcPr>
          <w:p w14:paraId="53DCDFB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5B80245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689C12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20FB6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12 </w:t>
            </w:r>
          </w:p>
        </w:tc>
        <w:tc>
          <w:tcPr>
            <w:tcW w:w="1397" w:type="dxa"/>
            <w:tcBorders>
              <w:top w:val="nil"/>
              <w:left w:val="nil"/>
              <w:bottom w:val="single" w:color="auto" w:sz="4" w:space="0"/>
              <w:right w:val="single" w:color="auto" w:sz="4" w:space="0"/>
            </w:tcBorders>
          </w:tcPr>
          <w:p w14:paraId="7FDF7A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3B7A3C38">
            <w:pPr>
              <w:widowControl/>
              <w:spacing w:line="400" w:lineRule="exact"/>
              <w:rPr>
                <w:rFonts w:ascii="宋体" w:hAnsi="宋体" w:cs="Arial"/>
                <w:color w:val="auto"/>
                <w:sz w:val="18"/>
                <w:szCs w:val="18"/>
              </w:rPr>
            </w:pPr>
            <w:r>
              <w:rPr>
                <w:rFonts w:hint="eastAsia" w:ascii="宋体" w:hAnsi="宋体" w:cs="Arial"/>
                <w:color w:val="auto"/>
                <w:sz w:val="18"/>
                <w:szCs w:val="18"/>
              </w:rPr>
              <w:t>规格尺寸：PE40 三通</w:t>
            </w:r>
          </w:p>
        </w:tc>
        <w:tc>
          <w:tcPr>
            <w:tcW w:w="900" w:type="dxa"/>
            <w:tcBorders>
              <w:top w:val="nil"/>
              <w:left w:val="nil"/>
              <w:bottom w:val="single" w:color="auto" w:sz="4" w:space="0"/>
              <w:right w:val="single" w:color="auto" w:sz="4" w:space="0"/>
            </w:tcBorders>
            <w:vAlign w:val="center"/>
          </w:tcPr>
          <w:p w14:paraId="5B64FD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C6194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ADA562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C384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 </w:t>
            </w:r>
          </w:p>
        </w:tc>
        <w:tc>
          <w:tcPr>
            <w:tcW w:w="1397" w:type="dxa"/>
            <w:tcBorders>
              <w:top w:val="nil"/>
              <w:left w:val="nil"/>
              <w:bottom w:val="single" w:color="auto" w:sz="4" w:space="0"/>
              <w:right w:val="single" w:color="auto" w:sz="4" w:space="0"/>
            </w:tcBorders>
          </w:tcPr>
          <w:p w14:paraId="50BD32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三通</w:t>
            </w:r>
          </w:p>
        </w:tc>
        <w:tc>
          <w:tcPr>
            <w:tcW w:w="5717" w:type="dxa"/>
            <w:tcBorders>
              <w:top w:val="nil"/>
              <w:left w:val="nil"/>
              <w:bottom w:val="single" w:color="auto" w:sz="4" w:space="0"/>
              <w:right w:val="single" w:color="auto" w:sz="4" w:space="0"/>
            </w:tcBorders>
            <w:vAlign w:val="center"/>
          </w:tcPr>
          <w:p w14:paraId="0536FE50">
            <w:pPr>
              <w:widowControl/>
              <w:spacing w:line="400" w:lineRule="exact"/>
              <w:rPr>
                <w:rFonts w:ascii="宋体" w:hAnsi="宋体" w:cs="Arial"/>
                <w:color w:val="auto"/>
                <w:sz w:val="18"/>
                <w:szCs w:val="18"/>
              </w:rPr>
            </w:pPr>
            <w:r>
              <w:rPr>
                <w:rFonts w:hint="eastAsia" w:ascii="宋体" w:hAnsi="宋体" w:cs="Arial"/>
                <w:color w:val="auto"/>
                <w:sz w:val="18"/>
                <w:szCs w:val="18"/>
              </w:rPr>
              <w:t>规格尺寸：PE110/40 快速三通</w:t>
            </w:r>
          </w:p>
        </w:tc>
        <w:tc>
          <w:tcPr>
            <w:tcW w:w="900" w:type="dxa"/>
            <w:tcBorders>
              <w:top w:val="nil"/>
              <w:left w:val="nil"/>
              <w:bottom w:val="single" w:color="auto" w:sz="4" w:space="0"/>
              <w:right w:val="single" w:color="auto" w:sz="4" w:space="0"/>
            </w:tcBorders>
            <w:vAlign w:val="center"/>
          </w:tcPr>
          <w:p w14:paraId="29C6FC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51DB73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49766D9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27DD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 </w:t>
            </w:r>
          </w:p>
        </w:tc>
        <w:tc>
          <w:tcPr>
            <w:tcW w:w="1397" w:type="dxa"/>
            <w:tcBorders>
              <w:top w:val="nil"/>
              <w:left w:val="nil"/>
              <w:bottom w:val="single" w:color="auto" w:sz="4" w:space="0"/>
              <w:right w:val="single" w:color="auto" w:sz="4" w:space="0"/>
            </w:tcBorders>
          </w:tcPr>
          <w:p w14:paraId="755AEF0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3C921BDE">
            <w:pPr>
              <w:widowControl/>
              <w:spacing w:line="400" w:lineRule="exact"/>
              <w:rPr>
                <w:rFonts w:ascii="宋体" w:hAnsi="宋体" w:cs="Arial"/>
                <w:color w:val="auto"/>
                <w:sz w:val="18"/>
                <w:szCs w:val="18"/>
              </w:rPr>
            </w:pPr>
            <w:r>
              <w:rPr>
                <w:rFonts w:hint="eastAsia" w:ascii="宋体" w:hAnsi="宋体" w:cs="Arial"/>
                <w:color w:val="auto"/>
                <w:sz w:val="18"/>
                <w:szCs w:val="18"/>
              </w:rPr>
              <w:t>规格尺寸：PE50/40 外丝直接</w:t>
            </w:r>
          </w:p>
        </w:tc>
        <w:tc>
          <w:tcPr>
            <w:tcW w:w="900" w:type="dxa"/>
            <w:tcBorders>
              <w:top w:val="nil"/>
              <w:left w:val="nil"/>
              <w:bottom w:val="single" w:color="auto" w:sz="4" w:space="0"/>
              <w:right w:val="single" w:color="auto" w:sz="4" w:space="0"/>
            </w:tcBorders>
            <w:vAlign w:val="center"/>
          </w:tcPr>
          <w:p w14:paraId="4C43F2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65BE1D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6146A24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F56D4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 </w:t>
            </w:r>
          </w:p>
        </w:tc>
        <w:tc>
          <w:tcPr>
            <w:tcW w:w="1397" w:type="dxa"/>
            <w:tcBorders>
              <w:top w:val="nil"/>
              <w:left w:val="nil"/>
              <w:bottom w:val="single" w:color="auto" w:sz="4" w:space="0"/>
              <w:right w:val="single" w:color="auto" w:sz="4" w:space="0"/>
            </w:tcBorders>
          </w:tcPr>
          <w:p w14:paraId="212FB1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取水口</w:t>
            </w:r>
          </w:p>
        </w:tc>
        <w:tc>
          <w:tcPr>
            <w:tcW w:w="5717" w:type="dxa"/>
            <w:tcBorders>
              <w:top w:val="nil"/>
              <w:left w:val="nil"/>
              <w:bottom w:val="single" w:color="auto" w:sz="4" w:space="0"/>
              <w:right w:val="single" w:color="auto" w:sz="4" w:space="0"/>
            </w:tcBorders>
            <w:vAlign w:val="center"/>
          </w:tcPr>
          <w:p w14:paraId="3DC6635E">
            <w:pPr>
              <w:widowControl/>
              <w:spacing w:line="400" w:lineRule="exact"/>
              <w:rPr>
                <w:rFonts w:ascii="宋体" w:hAnsi="宋体" w:cs="Arial"/>
                <w:color w:val="auto"/>
                <w:sz w:val="18"/>
                <w:szCs w:val="18"/>
              </w:rPr>
            </w:pPr>
            <w:r>
              <w:rPr>
                <w:rFonts w:hint="eastAsia" w:ascii="宋体" w:hAnsi="宋体" w:cs="Arial"/>
                <w:color w:val="auto"/>
                <w:sz w:val="18"/>
                <w:szCs w:val="18"/>
              </w:rPr>
              <w:t>规格尺寸：快速取水口 Φ32</w:t>
            </w:r>
          </w:p>
        </w:tc>
        <w:tc>
          <w:tcPr>
            <w:tcW w:w="900" w:type="dxa"/>
            <w:tcBorders>
              <w:top w:val="nil"/>
              <w:left w:val="nil"/>
              <w:bottom w:val="single" w:color="auto" w:sz="4" w:space="0"/>
              <w:right w:val="single" w:color="auto" w:sz="4" w:space="0"/>
            </w:tcBorders>
            <w:vAlign w:val="center"/>
          </w:tcPr>
          <w:p w14:paraId="7EDED3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14.00 </w:t>
            </w:r>
          </w:p>
        </w:tc>
        <w:tc>
          <w:tcPr>
            <w:tcW w:w="849" w:type="dxa"/>
            <w:gridSpan w:val="2"/>
            <w:tcBorders>
              <w:top w:val="nil"/>
              <w:left w:val="nil"/>
              <w:bottom w:val="single" w:color="auto" w:sz="4" w:space="0"/>
              <w:right w:val="single" w:color="auto" w:sz="4" w:space="0"/>
            </w:tcBorders>
            <w:vAlign w:val="center"/>
          </w:tcPr>
          <w:p w14:paraId="45762A6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1334D11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CCD3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16 </w:t>
            </w:r>
          </w:p>
        </w:tc>
        <w:tc>
          <w:tcPr>
            <w:tcW w:w="1397" w:type="dxa"/>
            <w:tcBorders>
              <w:top w:val="nil"/>
              <w:left w:val="nil"/>
              <w:bottom w:val="single" w:color="auto" w:sz="4" w:space="0"/>
              <w:right w:val="single" w:color="auto" w:sz="4" w:space="0"/>
            </w:tcBorders>
          </w:tcPr>
          <w:p w14:paraId="65C8FE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直接</w:t>
            </w:r>
          </w:p>
        </w:tc>
        <w:tc>
          <w:tcPr>
            <w:tcW w:w="5717" w:type="dxa"/>
            <w:tcBorders>
              <w:top w:val="nil"/>
              <w:left w:val="nil"/>
              <w:bottom w:val="single" w:color="auto" w:sz="4" w:space="0"/>
              <w:right w:val="single" w:color="auto" w:sz="4" w:space="0"/>
            </w:tcBorders>
            <w:vAlign w:val="center"/>
          </w:tcPr>
          <w:p w14:paraId="6AD93710">
            <w:pPr>
              <w:widowControl/>
              <w:spacing w:line="400" w:lineRule="exact"/>
              <w:rPr>
                <w:rFonts w:ascii="宋体" w:hAnsi="宋体" w:cs="Arial"/>
                <w:color w:val="auto"/>
                <w:sz w:val="18"/>
                <w:szCs w:val="18"/>
              </w:rPr>
            </w:pPr>
            <w:r>
              <w:rPr>
                <w:rFonts w:hint="eastAsia" w:ascii="宋体" w:hAnsi="宋体" w:cs="Arial"/>
                <w:color w:val="auto"/>
                <w:sz w:val="18"/>
                <w:szCs w:val="18"/>
              </w:rPr>
              <w:t>规格尺寸：PEΦ32 外丝直接</w:t>
            </w:r>
          </w:p>
        </w:tc>
        <w:tc>
          <w:tcPr>
            <w:tcW w:w="900" w:type="dxa"/>
            <w:tcBorders>
              <w:top w:val="nil"/>
              <w:left w:val="nil"/>
              <w:bottom w:val="single" w:color="auto" w:sz="4" w:space="0"/>
              <w:right w:val="single" w:color="auto" w:sz="4" w:space="0"/>
            </w:tcBorders>
            <w:vAlign w:val="center"/>
          </w:tcPr>
          <w:p w14:paraId="2A225F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14.00 </w:t>
            </w:r>
          </w:p>
        </w:tc>
        <w:tc>
          <w:tcPr>
            <w:tcW w:w="849" w:type="dxa"/>
            <w:gridSpan w:val="2"/>
            <w:tcBorders>
              <w:top w:val="nil"/>
              <w:left w:val="nil"/>
              <w:bottom w:val="single" w:color="auto" w:sz="4" w:space="0"/>
              <w:right w:val="single" w:color="auto" w:sz="4" w:space="0"/>
            </w:tcBorders>
            <w:vAlign w:val="center"/>
          </w:tcPr>
          <w:p w14:paraId="03BA0A9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570419C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C464CD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17 </w:t>
            </w:r>
          </w:p>
        </w:tc>
        <w:tc>
          <w:tcPr>
            <w:tcW w:w="1397" w:type="dxa"/>
            <w:tcBorders>
              <w:top w:val="nil"/>
              <w:left w:val="nil"/>
              <w:bottom w:val="single" w:color="auto" w:sz="4" w:space="0"/>
              <w:right w:val="single" w:color="auto" w:sz="4" w:space="0"/>
            </w:tcBorders>
          </w:tcPr>
          <w:p w14:paraId="5FFE22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堵头</w:t>
            </w:r>
          </w:p>
        </w:tc>
        <w:tc>
          <w:tcPr>
            <w:tcW w:w="5717" w:type="dxa"/>
            <w:tcBorders>
              <w:top w:val="nil"/>
              <w:left w:val="nil"/>
              <w:bottom w:val="single" w:color="auto" w:sz="4" w:space="0"/>
              <w:right w:val="single" w:color="auto" w:sz="4" w:space="0"/>
            </w:tcBorders>
            <w:vAlign w:val="center"/>
          </w:tcPr>
          <w:p w14:paraId="338FBE7D">
            <w:pPr>
              <w:widowControl/>
              <w:spacing w:line="400" w:lineRule="exact"/>
              <w:rPr>
                <w:rFonts w:ascii="宋体" w:hAnsi="宋体" w:cs="Arial"/>
                <w:color w:val="auto"/>
                <w:sz w:val="18"/>
                <w:szCs w:val="18"/>
              </w:rPr>
            </w:pPr>
            <w:r>
              <w:rPr>
                <w:rFonts w:hint="eastAsia" w:ascii="宋体" w:hAnsi="宋体" w:cs="Arial"/>
                <w:color w:val="auto"/>
                <w:sz w:val="18"/>
                <w:szCs w:val="18"/>
              </w:rPr>
              <w:t>规格尺寸：堵头 32 3/4</w:t>
            </w:r>
          </w:p>
        </w:tc>
        <w:tc>
          <w:tcPr>
            <w:tcW w:w="900" w:type="dxa"/>
            <w:tcBorders>
              <w:top w:val="nil"/>
              <w:left w:val="nil"/>
              <w:bottom w:val="single" w:color="auto" w:sz="4" w:space="0"/>
              <w:right w:val="single" w:color="auto" w:sz="4" w:space="0"/>
            </w:tcBorders>
            <w:vAlign w:val="center"/>
          </w:tcPr>
          <w:p w14:paraId="2C8B7E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 </w:t>
            </w:r>
          </w:p>
        </w:tc>
        <w:tc>
          <w:tcPr>
            <w:tcW w:w="849" w:type="dxa"/>
            <w:gridSpan w:val="2"/>
            <w:tcBorders>
              <w:top w:val="nil"/>
              <w:left w:val="nil"/>
              <w:bottom w:val="single" w:color="auto" w:sz="4" w:space="0"/>
              <w:right w:val="single" w:color="auto" w:sz="4" w:space="0"/>
            </w:tcBorders>
            <w:vAlign w:val="center"/>
          </w:tcPr>
          <w:p w14:paraId="7E88893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只</w:t>
            </w:r>
          </w:p>
        </w:tc>
      </w:tr>
      <w:tr w14:paraId="33D366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5DE6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18 </w:t>
            </w:r>
          </w:p>
        </w:tc>
        <w:tc>
          <w:tcPr>
            <w:tcW w:w="1397" w:type="dxa"/>
            <w:tcBorders>
              <w:top w:val="nil"/>
              <w:left w:val="nil"/>
              <w:bottom w:val="single" w:color="auto" w:sz="4" w:space="0"/>
              <w:right w:val="single" w:color="auto" w:sz="4" w:space="0"/>
            </w:tcBorders>
            <w:vAlign w:val="center"/>
          </w:tcPr>
          <w:p w14:paraId="546446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生料带</w:t>
            </w:r>
          </w:p>
        </w:tc>
        <w:tc>
          <w:tcPr>
            <w:tcW w:w="5717" w:type="dxa"/>
            <w:tcBorders>
              <w:top w:val="nil"/>
              <w:left w:val="nil"/>
              <w:bottom w:val="single" w:color="auto" w:sz="4" w:space="0"/>
              <w:right w:val="single" w:color="auto" w:sz="4" w:space="0"/>
            </w:tcBorders>
            <w:vAlign w:val="center"/>
          </w:tcPr>
          <w:p w14:paraId="25EC1BE7">
            <w:pPr>
              <w:widowControl/>
              <w:spacing w:line="400" w:lineRule="exac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6DF736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3FF84D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卷</w:t>
            </w:r>
          </w:p>
        </w:tc>
      </w:tr>
      <w:tr w14:paraId="56C3B60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01AB1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 </w:t>
            </w:r>
          </w:p>
        </w:tc>
        <w:tc>
          <w:tcPr>
            <w:tcW w:w="1397" w:type="dxa"/>
            <w:tcBorders>
              <w:top w:val="nil"/>
              <w:left w:val="nil"/>
              <w:bottom w:val="single" w:color="auto" w:sz="4" w:space="0"/>
              <w:right w:val="single" w:color="auto" w:sz="4" w:space="0"/>
            </w:tcBorders>
            <w:vAlign w:val="center"/>
          </w:tcPr>
          <w:p w14:paraId="2B1EAA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水表井</w:t>
            </w:r>
          </w:p>
        </w:tc>
        <w:tc>
          <w:tcPr>
            <w:tcW w:w="5717" w:type="dxa"/>
            <w:tcBorders>
              <w:top w:val="nil"/>
              <w:left w:val="nil"/>
              <w:bottom w:val="single" w:color="auto" w:sz="4" w:space="0"/>
              <w:right w:val="single" w:color="auto" w:sz="4" w:space="0"/>
            </w:tcBorders>
            <w:vAlign w:val="center"/>
          </w:tcPr>
          <w:p w14:paraId="52850DEC">
            <w:pPr>
              <w:widowControl/>
              <w:spacing w:line="400" w:lineRule="exact"/>
              <w:rPr>
                <w:rFonts w:ascii="宋体" w:hAnsi="宋体" w:cs="Arial"/>
                <w:color w:val="auto"/>
                <w:sz w:val="18"/>
                <w:szCs w:val="18"/>
              </w:rPr>
            </w:pPr>
            <w:r>
              <w:rPr>
                <w:rFonts w:hint="eastAsia" w:ascii="宋体" w:hAnsi="宋体" w:cs="Arial"/>
                <w:color w:val="auto"/>
                <w:sz w:val="18"/>
                <w:szCs w:val="18"/>
              </w:rPr>
              <w:t>规格尺寸：400x600x600、M7.5 水泥砂浆砖砌、底板 C25 混凝土浇筑、预制混凝土盖板</w:t>
            </w:r>
          </w:p>
        </w:tc>
        <w:tc>
          <w:tcPr>
            <w:tcW w:w="900" w:type="dxa"/>
            <w:tcBorders>
              <w:top w:val="nil"/>
              <w:left w:val="nil"/>
              <w:bottom w:val="single" w:color="auto" w:sz="4" w:space="0"/>
              <w:right w:val="single" w:color="auto" w:sz="4" w:space="0"/>
            </w:tcBorders>
            <w:vAlign w:val="center"/>
          </w:tcPr>
          <w:p w14:paraId="557407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center"/>
          </w:tcPr>
          <w:p w14:paraId="5F4AE1C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D5FDB4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D2C041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 </w:t>
            </w:r>
          </w:p>
        </w:tc>
        <w:tc>
          <w:tcPr>
            <w:tcW w:w="1397" w:type="dxa"/>
            <w:tcBorders>
              <w:top w:val="nil"/>
              <w:left w:val="nil"/>
              <w:bottom w:val="single" w:color="auto" w:sz="4" w:space="0"/>
              <w:right w:val="single" w:color="auto" w:sz="4" w:space="0"/>
            </w:tcBorders>
            <w:vAlign w:val="center"/>
          </w:tcPr>
          <w:p w14:paraId="0CA69BE3">
            <w:pPr>
              <w:widowControl/>
              <w:spacing w:line="400" w:lineRule="exact"/>
              <w:jc w:val="center"/>
              <w:rPr>
                <w:rFonts w:ascii="宋体" w:hAnsi="宋体" w:cs="Arial"/>
                <w:color w:val="auto"/>
                <w:sz w:val="18"/>
                <w:szCs w:val="18"/>
              </w:rPr>
            </w:pPr>
            <w:r>
              <w:rPr>
                <w:rFonts w:hint="eastAsia" w:ascii="宋体" w:hAnsi="宋体" w:cs="Arial"/>
                <w:color w:val="auto"/>
                <w:sz w:val="18"/>
                <w:szCs w:val="18"/>
              </w:rPr>
              <w:t>草坪拆除及恢复</w:t>
            </w:r>
          </w:p>
        </w:tc>
        <w:tc>
          <w:tcPr>
            <w:tcW w:w="5717" w:type="dxa"/>
            <w:tcBorders>
              <w:top w:val="nil"/>
              <w:left w:val="nil"/>
              <w:bottom w:val="single" w:color="auto" w:sz="4" w:space="0"/>
              <w:right w:val="single" w:color="auto" w:sz="4" w:space="0"/>
            </w:tcBorders>
            <w:vAlign w:val="center"/>
          </w:tcPr>
          <w:p w14:paraId="6EB714A6">
            <w:pPr>
              <w:widowControl/>
              <w:spacing w:line="400" w:lineRule="exact"/>
              <w:rPr>
                <w:rFonts w:ascii="宋体" w:hAnsi="宋体" w:cs="Arial"/>
                <w:color w:val="auto"/>
                <w:sz w:val="18"/>
                <w:szCs w:val="18"/>
              </w:rPr>
            </w:pPr>
            <w:r>
              <w:rPr>
                <w:rFonts w:hint="eastAsia" w:ascii="宋体" w:hAnsi="宋体" w:cs="Arial"/>
                <w:color w:val="auto"/>
                <w:sz w:val="18"/>
                <w:szCs w:val="18"/>
              </w:rPr>
              <w:t>施工需要草坪部分拆除，施工完成恢复</w:t>
            </w:r>
          </w:p>
        </w:tc>
        <w:tc>
          <w:tcPr>
            <w:tcW w:w="900" w:type="dxa"/>
            <w:tcBorders>
              <w:top w:val="nil"/>
              <w:left w:val="nil"/>
              <w:bottom w:val="single" w:color="auto" w:sz="4" w:space="0"/>
              <w:right w:val="single" w:color="auto" w:sz="4" w:space="0"/>
            </w:tcBorders>
            <w:vAlign w:val="center"/>
          </w:tcPr>
          <w:p w14:paraId="00A0258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100.00 </w:t>
            </w:r>
          </w:p>
        </w:tc>
        <w:tc>
          <w:tcPr>
            <w:tcW w:w="849" w:type="dxa"/>
            <w:gridSpan w:val="2"/>
            <w:tcBorders>
              <w:top w:val="nil"/>
              <w:left w:val="nil"/>
              <w:bottom w:val="single" w:color="auto" w:sz="4" w:space="0"/>
              <w:right w:val="single" w:color="auto" w:sz="4" w:space="0"/>
            </w:tcBorders>
            <w:vAlign w:val="center"/>
          </w:tcPr>
          <w:p w14:paraId="1ACD9F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5BD07BD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6C5A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21 </w:t>
            </w:r>
          </w:p>
        </w:tc>
        <w:tc>
          <w:tcPr>
            <w:tcW w:w="1397" w:type="dxa"/>
            <w:tcBorders>
              <w:top w:val="nil"/>
              <w:left w:val="nil"/>
              <w:bottom w:val="single" w:color="auto" w:sz="4" w:space="0"/>
              <w:right w:val="single" w:color="auto" w:sz="4" w:space="0"/>
            </w:tcBorders>
            <w:vAlign w:val="center"/>
          </w:tcPr>
          <w:p w14:paraId="74D3BE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人工挖沟 </w:t>
            </w:r>
          </w:p>
        </w:tc>
        <w:tc>
          <w:tcPr>
            <w:tcW w:w="5717" w:type="dxa"/>
            <w:tcBorders>
              <w:top w:val="nil"/>
              <w:left w:val="nil"/>
              <w:bottom w:val="single" w:color="auto" w:sz="4" w:space="0"/>
              <w:right w:val="single" w:color="auto" w:sz="4" w:space="0"/>
            </w:tcBorders>
            <w:vAlign w:val="center"/>
          </w:tcPr>
          <w:p w14:paraId="7A3BA790">
            <w:pPr>
              <w:widowControl/>
              <w:spacing w:line="400" w:lineRule="exact"/>
              <w:rPr>
                <w:rFonts w:ascii="宋体" w:hAnsi="宋体" w:cs="Arial"/>
                <w:color w:val="auto"/>
                <w:sz w:val="18"/>
                <w:szCs w:val="18"/>
              </w:rPr>
            </w:pPr>
            <w:r>
              <w:rPr>
                <w:rFonts w:hint="eastAsia" w:ascii="宋体" w:hAnsi="宋体" w:cs="Arial"/>
                <w:color w:val="auto"/>
                <w:sz w:val="18"/>
                <w:szCs w:val="18"/>
              </w:rPr>
              <w:t>500 宽 x700 深土方的开挖及回填</w:t>
            </w:r>
          </w:p>
        </w:tc>
        <w:tc>
          <w:tcPr>
            <w:tcW w:w="900" w:type="dxa"/>
            <w:tcBorders>
              <w:top w:val="nil"/>
              <w:left w:val="nil"/>
              <w:bottom w:val="single" w:color="auto" w:sz="4" w:space="0"/>
              <w:right w:val="single" w:color="auto" w:sz="4" w:space="0"/>
            </w:tcBorders>
            <w:vAlign w:val="center"/>
          </w:tcPr>
          <w:p w14:paraId="5D984A2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200.00 </w:t>
            </w:r>
          </w:p>
        </w:tc>
        <w:tc>
          <w:tcPr>
            <w:tcW w:w="849" w:type="dxa"/>
            <w:gridSpan w:val="2"/>
            <w:tcBorders>
              <w:top w:val="nil"/>
              <w:left w:val="nil"/>
              <w:bottom w:val="single" w:color="auto" w:sz="4" w:space="0"/>
              <w:right w:val="single" w:color="auto" w:sz="4" w:space="0"/>
            </w:tcBorders>
            <w:vAlign w:val="center"/>
          </w:tcPr>
          <w:p w14:paraId="3661AA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m</w:t>
            </w:r>
          </w:p>
        </w:tc>
      </w:tr>
      <w:tr w14:paraId="1FDD3AA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2C7FD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22 </w:t>
            </w:r>
          </w:p>
        </w:tc>
        <w:tc>
          <w:tcPr>
            <w:tcW w:w="1397" w:type="dxa"/>
            <w:tcBorders>
              <w:top w:val="nil"/>
              <w:left w:val="nil"/>
              <w:bottom w:val="single" w:color="auto" w:sz="4" w:space="0"/>
              <w:right w:val="single" w:color="auto" w:sz="4" w:space="0"/>
            </w:tcBorders>
            <w:vAlign w:val="center"/>
          </w:tcPr>
          <w:p w14:paraId="0E320C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3105A64B">
            <w:pPr>
              <w:widowControl/>
              <w:spacing w:line="400" w:lineRule="exac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40C95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6CDCA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29EE8B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2009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23 </w:t>
            </w:r>
          </w:p>
        </w:tc>
        <w:tc>
          <w:tcPr>
            <w:tcW w:w="1397" w:type="dxa"/>
            <w:tcBorders>
              <w:top w:val="nil"/>
              <w:left w:val="nil"/>
              <w:bottom w:val="single" w:color="auto" w:sz="4" w:space="0"/>
              <w:right w:val="single" w:color="auto" w:sz="4" w:space="0"/>
            </w:tcBorders>
            <w:vAlign w:val="center"/>
          </w:tcPr>
          <w:p w14:paraId="3916CF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3B1C817D">
            <w:pPr>
              <w:widowControl/>
              <w:spacing w:line="400" w:lineRule="exac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4FA066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577D07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30CBC1AB">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7FF8630">
            <w:pPr>
              <w:widowControl/>
              <w:spacing w:line="400" w:lineRule="exact"/>
              <w:jc w:val="center"/>
              <w:rPr>
                <w:rFonts w:ascii="宋体" w:hAnsi="宋体" w:cs="Arial"/>
                <w:b/>
                <w:bCs/>
                <w:color w:val="auto"/>
                <w:sz w:val="18"/>
                <w:szCs w:val="18"/>
              </w:rPr>
            </w:pPr>
            <w:r>
              <w:rPr>
                <w:rFonts w:hint="eastAsia" w:ascii="宋体" w:hAnsi="宋体" w:cs="Arial"/>
                <w:b/>
                <w:bCs/>
                <w:color w:val="auto"/>
                <w:sz w:val="18"/>
                <w:szCs w:val="18"/>
              </w:rPr>
              <w:t>4 处学校应急避难场所维修改造</w:t>
            </w:r>
          </w:p>
        </w:tc>
      </w:tr>
      <w:tr w14:paraId="48F05BF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DCF68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一. 盱眙技师学院固定避难场所项目</w:t>
            </w:r>
          </w:p>
        </w:tc>
      </w:tr>
      <w:tr w14:paraId="311E0BA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0755A83">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w:t>
            </w:r>
          </w:p>
        </w:tc>
      </w:tr>
      <w:tr w14:paraId="21114D5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8B140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315ED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B33FF6A">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镀锌方管焊架加 1.5mm 铝单板折弯加晶彩格反光膜，0.6*0.3m</w:t>
            </w:r>
          </w:p>
        </w:tc>
        <w:tc>
          <w:tcPr>
            <w:tcW w:w="900" w:type="dxa"/>
            <w:tcBorders>
              <w:top w:val="nil"/>
              <w:left w:val="nil"/>
              <w:bottom w:val="single" w:color="auto" w:sz="4" w:space="0"/>
              <w:right w:val="single" w:color="auto" w:sz="4" w:space="0"/>
            </w:tcBorders>
            <w:vAlign w:val="center"/>
          </w:tcPr>
          <w:p w14:paraId="04DA4A5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4563CF3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32C5BE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FD1E7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2AD660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1306898">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铝单板加晶彩格反光膜带轨道，0.6*0.3m</w:t>
            </w:r>
          </w:p>
        </w:tc>
        <w:tc>
          <w:tcPr>
            <w:tcW w:w="900" w:type="dxa"/>
            <w:tcBorders>
              <w:top w:val="nil"/>
              <w:left w:val="nil"/>
              <w:bottom w:val="single" w:color="auto" w:sz="4" w:space="0"/>
              <w:right w:val="single" w:color="auto" w:sz="4" w:space="0"/>
            </w:tcBorders>
            <w:vAlign w:val="center"/>
          </w:tcPr>
          <w:p w14:paraId="69297C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77A154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B0B015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7CD7FE8">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1B0D7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854A3BF">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应急避难场所出入口铝单板折弯加轨道加抱箍-晶彩格加镀锌钢管站柱，1*0.66</w:t>
            </w:r>
          </w:p>
        </w:tc>
        <w:tc>
          <w:tcPr>
            <w:tcW w:w="900" w:type="dxa"/>
            <w:tcBorders>
              <w:top w:val="nil"/>
              <w:left w:val="nil"/>
              <w:bottom w:val="single" w:color="auto" w:sz="4" w:space="0"/>
              <w:right w:val="single" w:color="auto" w:sz="4" w:space="0"/>
            </w:tcBorders>
            <w:vAlign w:val="center"/>
          </w:tcPr>
          <w:p w14:paraId="621ADE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3BD23A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14D258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03FF6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70CFED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3DAF759">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铝单板加晶彩格反光膜，0.6*0.3m</w:t>
            </w:r>
          </w:p>
        </w:tc>
        <w:tc>
          <w:tcPr>
            <w:tcW w:w="900" w:type="dxa"/>
            <w:tcBorders>
              <w:top w:val="nil"/>
              <w:left w:val="nil"/>
              <w:bottom w:val="single" w:color="auto" w:sz="4" w:space="0"/>
              <w:right w:val="single" w:color="auto" w:sz="4" w:space="0"/>
            </w:tcBorders>
            <w:vAlign w:val="center"/>
          </w:tcPr>
          <w:p w14:paraId="324FF9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60.00 </w:t>
            </w:r>
          </w:p>
        </w:tc>
        <w:tc>
          <w:tcPr>
            <w:tcW w:w="849" w:type="dxa"/>
            <w:gridSpan w:val="2"/>
            <w:tcBorders>
              <w:top w:val="nil"/>
              <w:left w:val="nil"/>
              <w:bottom w:val="single" w:color="auto" w:sz="4" w:space="0"/>
              <w:right w:val="single" w:color="auto" w:sz="4" w:space="0"/>
            </w:tcBorders>
            <w:vAlign w:val="center"/>
          </w:tcPr>
          <w:p w14:paraId="411FF0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86E51A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7A523E1">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655E29E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687B87D5">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晶彩格反光膜，2*1m</w:t>
            </w:r>
          </w:p>
        </w:tc>
        <w:tc>
          <w:tcPr>
            <w:tcW w:w="900" w:type="dxa"/>
            <w:tcBorders>
              <w:top w:val="nil"/>
              <w:left w:val="nil"/>
              <w:bottom w:val="single" w:color="auto" w:sz="4" w:space="0"/>
              <w:right w:val="single" w:color="auto" w:sz="4" w:space="0"/>
            </w:tcBorders>
            <w:vAlign w:val="center"/>
          </w:tcPr>
          <w:p w14:paraId="6616DB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60211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E83E5F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403C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1A5EE9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462AE129">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晶彩格反光膜，0.81*0.2m</w:t>
            </w:r>
          </w:p>
        </w:tc>
        <w:tc>
          <w:tcPr>
            <w:tcW w:w="900" w:type="dxa"/>
            <w:tcBorders>
              <w:top w:val="nil"/>
              <w:left w:val="nil"/>
              <w:bottom w:val="single" w:color="auto" w:sz="4" w:space="0"/>
              <w:right w:val="single" w:color="auto" w:sz="4" w:space="0"/>
            </w:tcBorders>
            <w:vAlign w:val="center"/>
          </w:tcPr>
          <w:p w14:paraId="760CB5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33.00 </w:t>
            </w:r>
          </w:p>
        </w:tc>
        <w:tc>
          <w:tcPr>
            <w:tcW w:w="849" w:type="dxa"/>
            <w:gridSpan w:val="2"/>
            <w:tcBorders>
              <w:top w:val="nil"/>
              <w:left w:val="nil"/>
              <w:bottom w:val="single" w:color="auto" w:sz="4" w:space="0"/>
              <w:right w:val="single" w:color="auto" w:sz="4" w:space="0"/>
            </w:tcBorders>
            <w:vAlign w:val="center"/>
          </w:tcPr>
          <w:p w14:paraId="60AD96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9F317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51A86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05A7D9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13560276">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UV，1.08*0.51m</w:t>
            </w:r>
          </w:p>
        </w:tc>
        <w:tc>
          <w:tcPr>
            <w:tcW w:w="900" w:type="dxa"/>
            <w:tcBorders>
              <w:top w:val="nil"/>
              <w:left w:val="nil"/>
              <w:bottom w:val="single" w:color="auto" w:sz="4" w:space="0"/>
              <w:right w:val="single" w:color="auto" w:sz="4" w:space="0"/>
            </w:tcBorders>
            <w:vAlign w:val="center"/>
          </w:tcPr>
          <w:p w14:paraId="65A9291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2599D7A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D98716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D4CB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79ADF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noWrap/>
            <w:vAlign w:val="bottom"/>
          </w:tcPr>
          <w:p w14:paraId="5B744091">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UV，0.65*0.35m</w:t>
            </w:r>
          </w:p>
        </w:tc>
        <w:tc>
          <w:tcPr>
            <w:tcW w:w="900" w:type="dxa"/>
            <w:tcBorders>
              <w:top w:val="nil"/>
              <w:left w:val="nil"/>
              <w:bottom w:val="single" w:color="auto" w:sz="4" w:space="0"/>
              <w:right w:val="single" w:color="auto" w:sz="4" w:space="0"/>
            </w:tcBorders>
            <w:vAlign w:val="center"/>
          </w:tcPr>
          <w:p w14:paraId="15DDE7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F77D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A25AC3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4334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59436D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AD9DDE6">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UV，0.65*1.22</w:t>
            </w:r>
          </w:p>
        </w:tc>
        <w:tc>
          <w:tcPr>
            <w:tcW w:w="900" w:type="dxa"/>
            <w:tcBorders>
              <w:top w:val="nil"/>
              <w:left w:val="nil"/>
              <w:bottom w:val="single" w:color="auto" w:sz="4" w:space="0"/>
              <w:right w:val="single" w:color="auto" w:sz="4" w:space="0"/>
            </w:tcBorders>
            <w:vAlign w:val="center"/>
          </w:tcPr>
          <w:p w14:paraId="63227F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D87B4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62F34F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CD1C2E9">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智能化</w:t>
            </w:r>
          </w:p>
        </w:tc>
      </w:tr>
      <w:tr w14:paraId="60558EB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C0FDD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7A3A0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网络枪型摄像机</w:t>
            </w:r>
          </w:p>
        </w:tc>
        <w:tc>
          <w:tcPr>
            <w:tcW w:w="5717" w:type="dxa"/>
            <w:tcBorders>
              <w:top w:val="nil"/>
              <w:left w:val="nil"/>
              <w:bottom w:val="single" w:color="auto" w:sz="4" w:space="0"/>
              <w:right w:val="single" w:color="auto" w:sz="4" w:space="0"/>
            </w:tcBorders>
            <w:vAlign w:val="center"/>
          </w:tcPr>
          <w:p w14:paraId="0B428A46">
            <w:pPr>
              <w:widowControl/>
              <w:spacing w:line="400" w:lineRule="exact"/>
              <w:jc w:val="left"/>
              <w:rPr>
                <w:rFonts w:ascii="宋体" w:hAnsi="宋体" w:cs="Arial"/>
                <w:color w:val="auto"/>
                <w:sz w:val="18"/>
                <w:szCs w:val="18"/>
              </w:rPr>
            </w:pPr>
            <w:r>
              <w:rPr>
                <w:rFonts w:hint="eastAsia" w:ascii="宋体" w:hAnsi="宋体" w:cs="Arial"/>
                <w:color w:val="auto"/>
                <w:sz w:val="18"/>
                <w:szCs w:val="18"/>
              </w:rPr>
              <w:t>图像最大分辨率不低于2560x1440，信噪比不小于 55dB，支持红外补光、白光补光，有效补光距离达到 30m，支持 IP66 防尘防水，内置 1 个麦克风，1 个RJ45 网络接口</w:t>
            </w:r>
          </w:p>
        </w:tc>
        <w:tc>
          <w:tcPr>
            <w:tcW w:w="900" w:type="dxa"/>
            <w:tcBorders>
              <w:top w:val="nil"/>
              <w:left w:val="nil"/>
              <w:bottom w:val="single" w:color="auto" w:sz="4" w:space="0"/>
              <w:right w:val="single" w:color="auto" w:sz="4" w:space="0"/>
            </w:tcBorders>
            <w:vAlign w:val="center"/>
          </w:tcPr>
          <w:p w14:paraId="12BF5E1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5288AC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F0B683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51C858">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57FB01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摄像机支架</w:t>
            </w:r>
          </w:p>
        </w:tc>
        <w:tc>
          <w:tcPr>
            <w:tcW w:w="5717" w:type="dxa"/>
            <w:tcBorders>
              <w:top w:val="nil"/>
              <w:left w:val="nil"/>
              <w:bottom w:val="single" w:color="auto" w:sz="4" w:space="0"/>
              <w:right w:val="single" w:color="auto" w:sz="4" w:space="0"/>
            </w:tcBorders>
            <w:vAlign w:val="center"/>
          </w:tcPr>
          <w:p w14:paraId="1E9306D9">
            <w:pPr>
              <w:widowControl/>
              <w:spacing w:line="400" w:lineRule="exact"/>
              <w:jc w:val="left"/>
              <w:rPr>
                <w:rFonts w:ascii="宋体" w:hAnsi="宋体" w:cs="Arial"/>
                <w:color w:val="auto"/>
                <w:sz w:val="18"/>
                <w:szCs w:val="18"/>
              </w:rPr>
            </w:pPr>
            <w:r>
              <w:rPr>
                <w:rFonts w:hint="eastAsia" w:ascii="宋体" w:hAnsi="宋体" w:cs="Arial"/>
                <w:color w:val="auto"/>
                <w:sz w:val="18"/>
                <w:szCs w:val="18"/>
              </w:rPr>
              <w:t>外观颜色：白色；承重：1.0kg；安装方式：壁装</w:t>
            </w:r>
          </w:p>
        </w:tc>
        <w:tc>
          <w:tcPr>
            <w:tcW w:w="900" w:type="dxa"/>
            <w:tcBorders>
              <w:top w:val="nil"/>
              <w:left w:val="nil"/>
              <w:bottom w:val="single" w:color="auto" w:sz="4" w:space="0"/>
              <w:right w:val="single" w:color="auto" w:sz="4" w:space="0"/>
            </w:tcBorders>
            <w:vAlign w:val="center"/>
          </w:tcPr>
          <w:p w14:paraId="097A77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A573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2A15B6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A992CB">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bottom"/>
          </w:tcPr>
          <w:p w14:paraId="0B7151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壁柜音响</w:t>
            </w:r>
          </w:p>
        </w:tc>
        <w:tc>
          <w:tcPr>
            <w:tcW w:w="5717" w:type="dxa"/>
            <w:tcBorders>
              <w:top w:val="nil"/>
              <w:left w:val="nil"/>
              <w:bottom w:val="single" w:color="auto" w:sz="4" w:space="0"/>
              <w:right w:val="single" w:color="auto" w:sz="4" w:space="0"/>
            </w:tcBorders>
            <w:vAlign w:val="bottom"/>
          </w:tcPr>
          <w:p w14:paraId="15601B28">
            <w:pPr>
              <w:widowControl/>
              <w:spacing w:line="400" w:lineRule="exact"/>
              <w:jc w:val="left"/>
              <w:rPr>
                <w:rFonts w:ascii="宋体" w:hAnsi="宋体" w:cs="Arial"/>
                <w:color w:val="auto"/>
                <w:sz w:val="18"/>
                <w:szCs w:val="18"/>
              </w:rPr>
            </w:pPr>
            <w:r>
              <w:rPr>
                <w:rFonts w:hint="eastAsia" w:ascii="宋体" w:hAnsi="宋体" w:cs="Arial"/>
                <w:color w:val="auto"/>
                <w:sz w:val="18"/>
                <w:szCs w:val="18"/>
              </w:rPr>
              <w:t>不低于 15W，满足甲方使用要求</w:t>
            </w:r>
          </w:p>
        </w:tc>
        <w:tc>
          <w:tcPr>
            <w:tcW w:w="900" w:type="dxa"/>
            <w:tcBorders>
              <w:top w:val="nil"/>
              <w:left w:val="nil"/>
              <w:bottom w:val="single" w:color="auto" w:sz="4" w:space="0"/>
              <w:right w:val="single" w:color="auto" w:sz="4" w:space="0"/>
            </w:tcBorders>
            <w:vAlign w:val="center"/>
          </w:tcPr>
          <w:p w14:paraId="22FE9A4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C70AF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6F0188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0AE4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bottom"/>
          </w:tcPr>
          <w:p w14:paraId="22FEF2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网线</w:t>
            </w:r>
          </w:p>
        </w:tc>
        <w:tc>
          <w:tcPr>
            <w:tcW w:w="5717" w:type="dxa"/>
            <w:tcBorders>
              <w:top w:val="nil"/>
              <w:left w:val="nil"/>
              <w:bottom w:val="single" w:color="auto" w:sz="4" w:space="0"/>
              <w:right w:val="single" w:color="auto" w:sz="4" w:space="0"/>
            </w:tcBorders>
            <w:vAlign w:val="bottom"/>
          </w:tcPr>
          <w:p w14:paraId="29B0EF54">
            <w:pPr>
              <w:widowControl/>
              <w:spacing w:line="400" w:lineRule="exact"/>
              <w:jc w:val="left"/>
              <w:rPr>
                <w:rFonts w:ascii="宋体" w:hAnsi="宋体" w:cs="Arial"/>
                <w:color w:val="auto"/>
                <w:sz w:val="18"/>
                <w:szCs w:val="18"/>
              </w:rPr>
            </w:pPr>
            <w:r>
              <w:rPr>
                <w:rFonts w:hint="eastAsia" w:ascii="宋体" w:hAnsi="宋体" w:cs="Arial"/>
                <w:color w:val="auto"/>
                <w:sz w:val="18"/>
                <w:szCs w:val="18"/>
              </w:rPr>
              <w:t>CAT6</w:t>
            </w:r>
          </w:p>
        </w:tc>
        <w:tc>
          <w:tcPr>
            <w:tcW w:w="900" w:type="dxa"/>
            <w:tcBorders>
              <w:top w:val="nil"/>
              <w:left w:val="nil"/>
              <w:bottom w:val="single" w:color="auto" w:sz="4" w:space="0"/>
              <w:right w:val="single" w:color="auto" w:sz="4" w:space="0"/>
            </w:tcBorders>
            <w:vAlign w:val="center"/>
          </w:tcPr>
          <w:p w14:paraId="03DA35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300.00 </w:t>
            </w:r>
          </w:p>
        </w:tc>
        <w:tc>
          <w:tcPr>
            <w:tcW w:w="849" w:type="dxa"/>
            <w:gridSpan w:val="2"/>
            <w:tcBorders>
              <w:top w:val="nil"/>
              <w:left w:val="nil"/>
              <w:bottom w:val="single" w:color="auto" w:sz="4" w:space="0"/>
              <w:right w:val="single" w:color="auto" w:sz="4" w:space="0"/>
            </w:tcBorders>
            <w:vAlign w:val="center"/>
          </w:tcPr>
          <w:p w14:paraId="654303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5EB41F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3EAAE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bottom"/>
          </w:tcPr>
          <w:p w14:paraId="6D4345B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电源线</w:t>
            </w:r>
          </w:p>
        </w:tc>
        <w:tc>
          <w:tcPr>
            <w:tcW w:w="5717" w:type="dxa"/>
            <w:tcBorders>
              <w:top w:val="nil"/>
              <w:left w:val="nil"/>
              <w:bottom w:val="single" w:color="auto" w:sz="4" w:space="0"/>
              <w:right w:val="single" w:color="auto" w:sz="4" w:space="0"/>
            </w:tcBorders>
            <w:vAlign w:val="bottom"/>
          </w:tcPr>
          <w:p w14:paraId="48D6CA8F">
            <w:pPr>
              <w:widowControl/>
              <w:spacing w:line="400" w:lineRule="exact"/>
              <w:jc w:val="left"/>
              <w:rPr>
                <w:rFonts w:ascii="宋体" w:hAnsi="宋体" w:cs="Arial"/>
                <w:color w:val="auto"/>
                <w:sz w:val="18"/>
                <w:szCs w:val="18"/>
              </w:rPr>
            </w:pPr>
            <w:r>
              <w:rPr>
                <w:rFonts w:hint="eastAsia" w:ascii="宋体" w:hAnsi="宋体" w:cs="Arial"/>
                <w:color w:val="auto"/>
                <w:sz w:val="18"/>
                <w:szCs w:val="18"/>
              </w:rPr>
              <w:t>RVV3*2.5</w:t>
            </w:r>
          </w:p>
        </w:tc>
        <w:tc>
          <w:tcPr>
            <w:tcW w:w="900" w:type="dxa"/>
            <w:tcBorders>
              <w:top w:val="nil"/>
              <w:left w:val="nil"/>
              <w:bottom w:val="single" w:color="auto" w:sz="4" w:space="0"/>
              <w:right w:val="single" w:color="auto" w:sz="4" w:space="0"/>
            </w:tcBorders>
            <w:vAlign w:val="center"/>
          </w:tcPr>
          <w:p w14:paraId="7325AF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750.00 </w:t>
            </w:r>
          </w:p>
        </w:tc>
        <w:tc>
          <w:tcPr>
            <w:tcW w:w="849" w:type="dxa"/>
            <w:gridSpan w:val="2"/>
            <w:tcBorders>
              <w:top w:val="nil"/>
              <w:left w:val="nil"/>
              <w:bottom w:val="single" w:color="auto" w:sz="4" w:space="0"/>
              <w:right w:val="single" w:color="auto" w:sz="4" w:space="0"/>
            </w:tcBorders>
            <w:vAlign w:val="center"/>
          </w:tcPr>
          <w:p w14:paraId="07CFB1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0CD150E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4DCC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bottom"/>
          </w:tcPr>
          <w:p w14:paraId="5CA5D1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音响线</w:t>
            </w:r>
          </w:p>
        </w:tc>
        <w:tc>
          <w:tcPr>
            <w:tcW w:w="5717" w:type="dxa"/>
            <w:tcBorders>
              <w:top w:val="nil"/>
              <w:left w:val="nil"/>
              <w:bottom w:val="single" w:color="auto" w:sz="4" w:space="0"/>
              <w:right w:val="single" w:color="auto" w:sz="4" w:space="0"/>
            </w:tcBorders>
            <w:vAlign w:val="bottom"/>
          </w:tcPr>
          <w:p w14:paraId="605EDFCA">
            <w:pPr>
              <w:widowControl/>
              <w:spacing w:line="400" w:lineRule="exact"/>
              <w:jc w:val="left"/>
              <w:rPr>
                <w:rFonts w:ascii="宋体" w:hAnsi="宋体" w:cs="Arial"/>
                <w:color w:val="auto"/>
                <w:sz w:val="18"/>
                <w:szCs w:val="18"/>
              </w:rPr>
            </w:pPr>
            <w:r>
              <w:rPr>
                <w:rFonts w:hint="eastAsia" w:ascii="宋体" w:hAnsi="宋体" w:cs="Arial"/>
                <w:color w:val="auto"/>
                <w:sz w:val="18"/>
                <w:szCs w:val="18"/>
              </w:rPr>
              <w:t>RVV2*2.5</w:t>
            </w:r>
          </w:p>
        </w:tc>
        <w:tc>
          <w:tcPr>
            <w:tcW w:w="900" w:type="dxa"/>
            <w:tcBorders>
              <w:top w:val="nil"/>
              <w:left w:val="nil"/>
              <w:bottom w:val="single" w:color="auto" w:sz="4" w:space="0"/>
              <w:right w:val="single" w:color="auto" w:sz="4" w:space="0"/>
            </w:tcBorders>
            <w:vAlign w:val="center"/>
          </w:tcPr>
          <w:p w14:paraId="32BC28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750.00 </w:t>
            </w:r>
          </w:p>
        </w:tc>
        <w:tc>
          <w:tcPr>
            <w:tcW w:w="849" w:type="dxa"/>
            <w:gridSpan w:val="2"/>
            <w:tcBorders>
              <w:top w:val="nil"/>
              <w:left w:val="nil"/>
              <w:bottom w:val="single" w:color="auto" w:sz="4" w:space="0"/>
              <w:right w:val="single" w:color="auto" w:sz="4" w:space="0"/>
            </w:tcBorders>
            <w:vAlign w:val="center"/>
          </w:tcPr>
          <w:p w14:paraId="77798ADE">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6925CC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1950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bottom"/>
          </w:tcPr>
          <w:p w14:paraId="4741CD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光缆</w:t>
            </w:r>
          </w:p>
        </w:tc>
        <w:tc>
          <w:tcPr>
            <w:tcW w:w="5717" w:type="dxa"/>
            <w:tcBorders>
              <w:top w:val="nil"/>
              <w:left w:val="nil"/>
              <w:bottom w:val="single" w:color="auto" w:sz="4" w:space="0"/>
              <w:right w:val="single" w:color="auto" w:sz="4" w:space="0"/>
            </w:tcBorders>
            <w:vAlign w:val="bottom"/>
          </w:tcPr>
          <w:p w14:paraId="4281963B">
            <w:pPr>
              <w:widowControl/>
              <w:spacing w:line="400" w:lineRule="exact"/>
              <w:jc w:val="left"/>
              <w:rPr>
                <w:rFonts w:ascii="宋体" w:hAnsi="宋体" w:cs="Arial"/>
                <w:color w:val="auto"/>
                <w:sz w:val="18"/>
                <w:szCs w:val="18"/>
              </w:rPr>
            </w:pPr>
            <w:r>
              <w:rPr>
                <w:rFonts w:hint="eastAsia" w:ascii="宋体" w:hAnsi="宋体" w:cs="Arial"/>
                <w:color w:val="auto"/>
                <w:sz w:val="18"/>
                <w:szCs w:val="18"/>
              </w:rPr>
              <w:t>8 芯</w:t>
            </w:r>
          </w:p>
        </w:tc>
        <w:tc>
          <w:tcPr>
            <w:tcW w:w="900" w:type="dxa"/>
            <w:tcBorders>
              <w:top w:val="nil"/>
              <w:left w:val="nil"/>
              <w:bottom w:val="single" w:color="auto" w:sz="4" w:space="0"/>
              <w:right w:val="single" w:color="auto" w:sz="4" w:space="0"/>
            </w:tcBorders>
            <w:vAlign w:val="center"/>
          </w:tcPr>
          <w:p w14:paraId="006D1DF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450.00 </w:t>
            </w:r>
          </w:p>
        </w:tc>
        <w:tc>
          <w:tcPr>
            <w:tcW w:w="849" w:type="dxa"/>
            <w:gridSpan w:val="2"/>
            <w:tcBorders>
              <w:top w:val="nil"/>
              <w:left w:val="nil"/>
              <w:bottom w:val="single" w:color="auto" w:sz="4" w:space="0"/>
              <w:right w:val="single" w:color="auto" w:sz="4" w:space="0"/>
            </w:tcBorders>
            <w:vAlign w:val="center"/>
          </w:tcPr>
          <w:p w14:paraId="75235F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D9F73B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A1384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bottom"/>
          </w:tcPr>
          <w:p w14:paraId="09D566B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施工费</w:t>
            </w:r>
          </w:p>
        </w:tc>
        <w:tc>
          <w:tcPr>
            <w:tcW w:w="5717" w:type="dxa"/>
            <w:tcBorders>
              <w:top w:val="nil"/>
              <w:left w:val="nil"/>
              <w:bottom w:val="single" w:color="auto" w:sz="4" w:space="0"/>
              <w:right w:val="single" w:color="auto" w:sz="4" w:space="0"/>
            </w:tcBorders>
            <w:noWrap/>
            <w:vAlign w:val="bottom"/>
          </w:tcPr>
          <w:p w14:paraId="5AD17495">
            <w:pPr>
              <w:widowControl/>
              <w:spacing w:line="400" w:lineRule="exact"/>
              <w:jc w:val="left"/>
              <w:rPr>
                <w:rFonts w:ascii="宋体" w:hAnsi="宋体" w:cs="Arial"/>
                <w:color w:val="auto"/>
                <w:sz w:val="18"/>
                <w:szCs w:val="18"/>
              </w:rPr>
            </w:pPr>
            <w:r>
              <w:rPr>
                <w:rFonts w:hint="eastAsia" w:ascii="宋体" w:hAnsi="宋体" w:cs="Arial"/>
                <w:color w:val="auto"/>
                <w:sz w:val="18"/>
                <w:szCs w:val="18"/>
              </w:rPr>
              <w:t>-</w:t>
            </w:r>
          </w:p>
        </w:tc>
        <w:tc>
          <w:tcPr>
            <w:tcW w:w="900" w:type="dxa"/>
            <w:tcBorders>
              <w:top w:val="nil"/>
              <w:left w:val="nil"/>
              <w:bottom w:val="single" w:color="auto" w:sz="4" w:space="0"/>
              <w:right w:val="single" w:color="auto" w:sz="4" w:space="0"/>
            </w:tcBorders>
            <w:vAlign w:val="center"/>
          </w:tcPr>
          <w:p w14:paraId="307261A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F182D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462EECF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280F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0F3D6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7570970B">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7B5F69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16689B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97830C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1453D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86006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06D83673">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2FAD83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2E89D9E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019DEAE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3C075D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二.五墩实验小学固定避难场所项目</w:t>
            </w:r>
          </w:p>
        </w:tc>
      </w:tr>
      <w:tr w14:paraId="723A810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29E694C">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w:t>
            </w:r>
          </w:p>
        </w:tc>
      </w:tr>
      <w:tr w14:paraId="4399E31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97472AF">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136083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8A99250">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镀锌方管焊架加 1.5mm 铝单板折弯加晶彩格反光膜，0.6*0.3m</w:t>
            </w:r>
          </w:p>
        </w:tc>
        <w:tc>
          <w:tcPr>
            <w:tcW w:w="900" w:type="dxa"/>
            <w:tcBorders>
              <w:top w:val="nil"/>
              <w:left w:val="nil"/>
              <w:bottom w:val="single" w:color="auto" w:sz="4" w:space="0"/>
              <w:right w:val="single" w:color="auto" w:sz="4" w:space="0"/>
            </w:tcBorders>
            <w:vAlign w:val="center"/>
          </w:tcPr>
          <w:p w14:paraId="1C5F05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472CF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FBD57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AA462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C52C4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E53C204">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铝单板加晶彩格反光膜带轨道，0.6*0.3m</w:t>
            </w:r>
          </w:p>
        </w:tc>
        <w:tc>
          <w:tcPr>
            <w:tcW w:w="900" w:type="dxa"/>
            <w:tcBorders>
              <w:top w:val="nil"/>
              <w:left w:val="nil"/>
              <w:bottom w:val="single" w:color="auto" w:sz="4" w:space="0"/>
              <w:right w:val="single" w:color="auto" w:sz="4" w:space="0"/>
            </w:tcBorders>
            <w:vAlign w:val="center"/>
          </w:tcPr>
          <w:p w14:paraId="3E46C9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8.00 </w:t>
            </w:r>
          </w:p>
        </w:tc>
        <w:tc>
          <w:tcPr>
            <w:tcW w:w="849" w:type="dxa"/>
            <w:gridSpan w:val="2"/>
            <w:tcBorders>
              <w:top w:val="nil"/>
              <w:left w:val="nil"/>
              <w:bottom w:val="single" w:color="auto" w:sz="4" w:space="0"/>
              <w:right w:val="single" w:color="auto" w:sz="4" w:space="0"/>
            </w:tcBorders>
            <w:vAlign w:val="center"/>
          </w:tcPr>
          <w:p w14:paraId="3CB1E5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B81510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DDE55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584C2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511E500C">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铝单板加晶彩格反光膜，0.6*0.3m</w:t>
            </w:r>
          </w:p>
        </w:tc>
        <w:tc>
          <w:tcPr>
            <w:tcW w:w="900" w:type="dxa"/>
            <w:tcBorders>
              <w:top w:val="nil"/>
              <w:left w:val="nil"/>
              <w:bottom w:val="single" w:color="auto" w:sz="4" w:space="0"/>
              <w:right w:val="single" w:color="auto" w:sz="4" w:space="0"/>
            </w:tcBorders>
            <w:vAlign w:val="center"/>
          </w:tcPr>
          <w:p w14:paraId="12F1BA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42.00 </w:t>
            </w:r>
          </w:p>
        </w:tc>
        <w:tc>
          <w:tcPr>
            <w:tcW w:w="849" w:type="dxa"/>
            <w:gridSpan w:val="2"/>
            <w:tcBorders>
              <w:top w:val="nil"/>
              <w:left w:val="nil"/>
              <w:bottom w:val="single" w:color="auto" w:sz="4" w:space="0"/>
              <w:right w:val="single" w:color="auto" w:sz="4" w:space="0"/>
            </w:tcBorders>
            <w:vAlign w:val="center"/>
          </w:tcPr>
          <w:p w14:paraId="5E9CAC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3F9902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B0E5F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216D93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3C38D7B">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铝单板折弯加轨道加晶彩格反光膜，0.6*0.3m</w:t>
            </w:r>
          </w:p>
        </w:tc>
        <w:tc>
          <w:tcPr>
            <w:tcW w:w="900" w:type="dxa"/>
            <w:tcBorders>
              <w:top w:val="nil"/>
              <w:left w:val="nil"/>
              <w:bottom w:val="single" w:color="auto" w:sz="4" w:space="0"/>
              <w:right w:val="single" w:color="auto" w:sz="4" w:space="0"/>
            </w:tcBorders>
            <w:vAlign w:val="center"/>
          </w:tcPr>
          <w:p w14:paraId="00174C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18E63E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18F31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81CA1ED">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6D7CBC5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65532F9F">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应急避难场所出入口铝单板折弯加轨道加抱箍-晶彩格加镀锌钢管站柱，1*0.66</w:t>
            </w:r>
          </w:p>
        </w:tc>
        <w:tc>
          <w:tcPr>
            <w:tcW w:w="900" w:type="dxa"/>
            <w:tcBorders>
              <w:top w:val="nil"/>
              <w:left w:val="nil"/>
              <w:bottom w:val="single" w:color="auto" w:sz="4" w:space="0"/>
              <w:right w:val="single" w:color="auto" w:sz="4" w:space="0"/>
            </w:tcBorders>
            <w:vAlign w:val="center"/>
          </w:tcPr>
          <w:p w14:paraId="4356E01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6DEEF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6751B5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78E3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1C9B94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2D58A2C">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晶彩格反光膜，2*1m</w:t>
            </w:r>
          </w:p>
        </w:tc>
        <w:tc>
          <w:tcPr>
            <w:tcW w:w="900" w:type="dxa"/>
            <w:tcBorders>
              <w:top w:val="nil"/>
              <w:left w:val="nil"/>
              <w:bottom w:val="single" w:color="auto" w:sz="4" w:space="0"/>
              <w:right w:val="single" w:color="auto" w:sz="4" w:space="0"/>
            </w:tcBorders>
            <w:vAlign w:val="center"/>
          </w:tcPr>
          <w:p w14:paraId="752288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8D60B1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2710D1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5A6E791">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F0E95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D8616DC">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晶彩格反光膜，0.81*0.2m</w:t>
            </w:r>
          </w:p>
        </w:tc>
        <w:tc>
          <w:tcPr>
            <w:tcW w:w="900" w:type="dxa"/>
            <w:tcBorders>
              <w:top w:val="nil"/>
              <w:left w:val="nil"/>
              <w:bottom w:val="single" w:color="auto" w:sz="4" w:space="0"/>
              <w:right w:val="single" w:color="auto" w:sz="4" w:space="0"/>
            </w:tcBorders>
            <w:vAlign w:val="center"/>
          </w:tcPr>
          <w:p w14:paraId="1C27E7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34.00 </w:t>
            </w:r>
          </w:p>
        </w:tc>
        <w:tc>
          <w:tcPr>
            <w:tcW w:w="849" w:type="dxa"/>
            <w:gridSpan w:val="2"/>
            <w:tcBorders>
              <w:top w:val="nil"/>
              <w:left w:val="nil"/>
              <w:bottom w:val="single" w:color="auto" w:sz="4" w:space="0"/>
              <w:right w:val="single" w:color="auto" w:sz="4" w:space="0"/>
            </w:tcBorders>
            <w:vAlign w:val="center"/>
          </w:tcPr>
          <w:p w14:paraId="41EC547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4138EF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60FACC7">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26439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59FC7426">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UV，1.05*0.51m</w:t>
            </w:r>
          </w:p>
        </w:tc>
        <w:tc>
          <w:tcPr>
            <w:tcW w:w="900" w:type="dxa"/>
            <w:tcBorders>
              <w:top w:val="nil"/>
              <w:left w:val="nil"/>
              <w:bottom w:val="single" w:color="auto" w:sz="4" w:space="0"/>
              <w:right w:val="single" w:color="auto" w:sz="4" w:space="0"/>
            </w:tcBorders>
            <w:vAlign w:val="center"/>
          </w:tcPr>
          <w:p w14:paraId="4500B6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475F0A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F21B69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61704E">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3E1E257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noWrap/>
            <w:vAlign w:val="bottom"/>
          </w:tcPr>
          <w:p w14:paraId="259145B7">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UV，0.65*0.35m</w:t>
            </w:r>
          </w:p>
        </w:tc>
        <w:tc>
          <w:tcPr>
            <w:tcW w:w="900" w:type="dxa"/>
            <w:tcBorders>
              <w:top w:val="nil"/>
              <w:left w:val="nil"/>
              <w:bottom w:val="single" w:color="auto" w:sz="4" w:space="0"/>
              <w:right w:val="single" w:color="auto" w:sz="4" w:space="0"/>
            </w:tcBorders>
            <w:vAlign w:val="center"/>
          </w:tcPr>
          <w:p w14:paraId="512C49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B080E8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B2BE78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B66BA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2F0D1C2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4FE2724">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UV，0.65*1.22</w:t>
            </w:r>
          </w:p>
        </w:tc>
        <w:tc>
          <w:tcPr>
            <w:tcW w:w="900" w:type="dxa"/>
            <w:tcBorders>
              <w:top w:val="nil"/>
              <w:left w:val="nil"/>
              <w:bottom w:val="single" w:color="auto" w:sz="4" w:space="0"/>
              <w:right w:val="single" w:color="auto" w:sz="4" w:space="0"/>
            </w:tcBorders>
            <w:vAlign w:val="center"/>
          </w:tcPr>
          <w:p w14:paraId="453046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8010B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BBCE5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E5E74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78A7098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3B25ED31">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UV，0.3*1.95</w:t>
            </w:r>
          </w:p>
        </w:tc>
        <w:tc>
          <w:tcPr>
            <w:tcW w:w="900" w:type="dxa"/>
            <w:tcBorders>
              <w:top w:val="nil"/>
              <w:left w:val="nil"/>
              <w:bottom w:val="single" w:color="auto" w:sz="4" w:space="0"/>
              <w:right w:val="single" w:color="auto" w:sz="4" w:space="0"/>
            </w:tcBorders>
            <w:vAlign w:val="center"/>
          </w:tcPr>
          <w:p w14:paraId="390946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3E60E3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F489C7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8BEE5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0E84CC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立柱</w:t>
            </w:r>
          </w:p>
        </w:tc>
        <w:tc>
          <w:tcPr>
            <w:tcW w:w="5717" w:type="dxa"/>
            <w:tcBorders>
              <w:top w:val="nil"/>
              <w:left w:val="nil"/>
              <w:bottom w:val="single" w:color="auto" w:sz="4" w:space="0"/>
              <w:right w:val="single" w:color="auto" w:sz="4" w:space="0"/>
            </w:tcBorders>
            <w:vAlign w:val="center"/>
          </w:tcPr>
          <w:p w14:paraId="17AC61E3">
            <w:pPr>
              <w:widowControl/>
              <w:spacing w:line="400" w:lineRule="exact"/>
              <w:jc w:val="left"/>
              <w:rPr>
                <w:rFonts w:ascii="宋体" w:hAnsi="宋体" w:cs="Arial"/>
                <w:color w:val="auto"/>
                <w:sz w:val="18"/>
                <w:szCs w:val="18"/>
              </w:rPr>
            </w:pPr>
            <w:r>
              <w:rPr>
                <w:rFonts w:hint="eastAsia" w:ascii="宋体" w:hAnsi="宋体" w:cs="Arial"/>
                <w:color w:val="auto"/>
                <w:sz w:val="18"/>
                <w:szCs w:val="18"/>
              </w:rPr>
              <w:t>1.5 镀锌圆管 75 直径，高度3米，包含钢筋混凝土基础及基础土方</w:t>
            </w:r>
          </w:p>
        </w:tc>
        <w:tc>
          <w:tcPr>
            <w:tcW w:w="900" w:type="dxa"/>
            <w:tcBorders>
              <w:top w:val="nil"/>
              <w:left w:val="nil"/>
              <w:bottom w:val="single" w:color="auto" w:sz="4" w:space="0"/>
              <w:right w:val="single" w:color="auto" w:sz="4" w:space="0"/>
            </w:tcBorders>
            <w:vAlign w:val="center"/>
          </w:tcPr>
          <w:p w14:paraId="4B3409E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66D6F0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根</w:t>
            </w:r>
          </w:p>
        </w:tc>
      </w:tr>
      <w:tr w14:paraId="00FDE1E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BD7CDC5">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智能化</w:t>
            </w:r>
          </w:p>
        </w:tc>
      </w:tr>
      <w:tr w14:paraId="532A4A1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6D0EF08">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386EC6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交换机</w:t>
            </w:r>
          </w:p>
        </w:tc>
        <w:tc>
          <w:tcPr>
            <w:tcW w:w="5717" w:type="dxa"/>
            <w:tcBorders>
              <w:top w:val="nil"/>
              <w:left w:val="nil"/>
              <w:bottom w:val="single" w:color="auto" w:sz="4" w:space="0"/>
              <w:right w:val="single" w:color="auto" w:sz="4" w:space="0"/>
            </w:tcBorders>
            <w:vAlign w:val="center"/>
          </w:tcPr>
          <w:p w14:paraId="0CC78AE3">
            <w:pPr>
              <w:widowControl/>
              <w:spacing w:line="400" w:lineRule="exact"/>
              <w:jc w:val="left"/>
              <w:rPr>
                <w:rFonts w:ascii="宋体" w:hAnsi="宋体" w:cs="Arial"/>
                <w:color w:val="auto"/>
                <w:sz w:val="18"/>
                <w:szCs w:val="18"/>
              </w:rPr>
            </w:pPr>
            <w:r>
              <w:rPr>
                <w:rFonts w:hint="eastAsia" w:ascii="宋体" w:hAnsi="宋体" w:cs="Arial"/>
                <w:color w:val="auto"/>
                <w:sz w:val="18"/>
                <w:szCs w:val="18"/>
              </w:rPr>
              <w:t>8 口千兆+2 光口</w:t>
            </w:r>
          </w:p>
        </w:tc>
        <w:tc>
          <w:tcPr>
            <w:tcW w:w="900" w:type="dxa"/>
            <w:tcBorders>
              <w:top w:val="nil"/>
              <w:left w:val="nil"/>
              <w:bottom w:val="single" w:color="auto" w:sz="4" w:space="0"/>
              <w:right w:val="single" w:color="auto" w:sz="4" w:space="0"/>
            </w:tcBorders>
            <w:vAlign w:val="center"/>
          </w:tcPr>
          <w:p w14:paraId="5E27E7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BEECC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32F71F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8691A6B">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32727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调音台</w:t>
            </w:r>
          </w:p>
        </w:tc>
        <w:tc>
          <w:tcPr>
            <w:tcW w:w="5717" w:type="dxa"/>
            <w:tcBorders>
              <w:top w:val="nil"/>
              <w:left w:val="nil"/>
              <w:bottom w:val="single" w:color="auto" w:sz="4" w:space="0"/>
              <w:right w:val="single" w:color="auto" w:sz="4" w:space="0"/>
            </w:tcBorders>
            <w:vAlign w:val="center"/>
          </w:tcPr>
          <w:p w14:paraId="1AF02541">
            <w:pPr>
              <w:widowControl/>
              <w:spacing w:line="400" w:lineRule="exact"/>
              <w:jc w:val="left"/>
              <w:rPr>
                <w:rFonts w:ascii="宋体" w:hAnsi="宋体" w:cs="Arial"/>
                <w:color w:val="auto"/>
                <w:sz w:val="18"/>
                <w:szCs w:val="18"/>
              </w:rPr>
            </w:pPr>
            <w:r>
              <w:rPr>
                <w:rFonts w:hint="eastAsia" w:ascii="宋体" w:hAnsi="宋体" w:cs="Arial"/>
                <w:color w:val="auto"/>
                <w:sz w:val="18"/>
                <w:szCs w:val="18"/>
              </w:rPr>
              <w:t>1.麦克风输入：8 路（8 个 XLR 接口）</w:t>
            </w:r>
          </w:p>
          <w:p w14:paraId="603588FF">
            <w:pPr>
              <w:widowControl/>
              <w:spacing w:line="400" w:lineRule="exact"/>
              <w:jc w:val="left"/>
              <w:rPr>
                <w:rFonts w:ascii="宋体" w:hAnsi="宋体" w:cs="Arial"/>
                <w:color w:val="auto"/>
                <w:sz w:val="18"/>
                <w:szCs w:val="18"/>
              </w:rPr>
            </w:pPr>
            <w:r>
              <w:rPr>
                <w:rFonts w:hint="eastAsia" w:ascii="宋体" w:hAnsi="宋体" w:cs="Arial"/>
                <w:color w:val="auto"/>
                <w:sz w:val="18"/>
                <w:szCs w:val="18"/>
              </w:rPr>
              <w:t>2.线路输入：6 路单插单声道/立体声自动切换混合接口</w:t>
            </w:r>
          </w:p>
        </w:tc>
        <w:tc>
          <w:tcPr>
            <w:tcW w:w="900" w:type="dxa"/>
            <w:tcBorders>
              <w:top w:val="nil"/>
              <w:left w:val="nil"/>
              <w:bottom w:val="single" w:color="auto" w:sz="4" w:space="0"/>
              <w:right w:val="single" w:color="auto" w:sz="4" w:space="0"/>
            </w:tcBorders>
            <w:vAlign w:val="center"/>
          </w:tcPr>
          <w:p w14:paraId="00D57D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92B0A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3376810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350DD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4614DF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23F88580">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10263CA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5F141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16D34F5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41F4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15309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799C7561">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024FF6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50B3A5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03AAA86A">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CC604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三.实验小学应急避难场所项目</w:t>
            </w:r>
          </w:p>
        </w:tc>
      </w:tr>
      <w:tr w14:paraId="7E21FC2D">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05D80C5">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w:t>
            </w:r>
          </w:p>
        </w:tc>
      </w:tr>
      <w:tr w14:paraId="25145FD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8D438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09393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3895E650">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铝单板加晶彩格反光膜，0.6*0.3m</w:t>
            </w:r>
          </w:p>
        </w:tc>
        <w:tc>
          <w:tcPr>
            <w:tcW w:w="900" w:type="dxa"/>
            <w:tcBorders>
              <w:top w:val="nil"/>
              <w:left w:val="nil"/>
              <w:bottom w:val="single" w:color="auto" w:sz="4" w:space="0"/>
              <w:right w:val="single" w:color="auto" w:sz="4" w:space="0"/>
            </w:tcBorders>
            <w:vAlign w:val="center"/>
          </w:tcPr>
          <w:p w14:paraId="69B14B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30.00 </w:t>
            </w:r>
          </w:p>
        </w:tc>
        <w:tc>
          <w:tcPr>
            <w:tcW w:w="849" w:type="dxa"/>
            <w:gridSpan w:val="2"/>
            <w:tcBorders>
              <w:top w:val="nil"/>
              <w:left w:val="nil"/>
              <w:bottom w:val="single" w:color="auto" w:sz="4" w:space="0"/>
              <w:right w:val="single" w:color="auto" w:sz="4" w:space="0"/>
            </w:tcBorders>
            <w:vAlign w:val="center"/>
          </w:tcPr>
          <w:p w14:paraId="51BB9A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C94A74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9AEA1D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B8469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1CDB27A">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铝单板加晶彩格反光膜带轨道，0.6*0.3m</w:t>
            </w:r>
          </w:p>
        </w:tc>
        <w:tc>
          <w:tcPr>
            <w:tcW w:w="900" w:type="dxa"/>
            <w:tcBorders>
              <w:top w:val="nil"/>
              <w:left w:val="nil"/>
              <w:bottom w:val="single" w:color="auto" w:sz="4" w:space="0"/>
              <w:right w:val="single" w:color="auto" w:sz="4" w:space="0"/>
            </w:tcBorders>
            <w:vAlign w:val="center"/>
          </w:tcPr>
          <w:p w14:paraId="4B449C0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6.00 </w:t>
            </w:r>
          </w:p>
        </w:tc>
        <w:tc>
          <w:tcPr>
            <w:tcW w:w="849" w:type="dxa"/>
            <w:gridSpan w:val="2"/>
            <w:tcBorders>
              <w:top w:val="nil"/>
              <w:left w:val="nil"/>
              <w:bottom w:val="single" w:color="auto" w:sz="4" w:space="0"/>
              <w:right w:val="single" w:color="auto" w:sz="4" w:space="0"/>
            </w:tcBorders>
            <w:vAlign w:val="center"/>
          </w:tcPr>
          <w:p w14:paraId="2223A5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2BCE77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DE19685">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2585C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22E97747">
            <w:pPr>
              <w:widowControl/>
              <w:spacing w:line="400" w:lineRule="exact"/>
              <w:jc w:val="left"/>
              <w:rPr>
                <w:rFonts w:ascii="宋体" w:hAnsi="宋体" w:cs="Arial"/>
                <w:color w:val="auto"/>
                <w:sz w:val="18"/>
                <w:szCs w:val="18"/>
              </w:rPr>
            </w:pPr>
            <w:r>
              <w:rPr>
                <w:rFonts w:hint="eastAsia" w:ascii="宋体" w:hAnsi="宋体" w:cs="Arial"/>
                <w:color w:val="auto"/>
                <w:sz w:val="18"/>
                <w:szCs w:val="18"/>
              </w:rPr>
              <w:t>25mm 镀锌方管焊架加1.5mm 铝单板折弯加晶彩格反光膜，0.6*0.3m</w:t>
            </w:r>
          </w:p>
        </w:tc>
        <w:tc>
          <w:tcPr>
            <w:tcW w:w="900" w:type="dxa"/>
            <w:tcBorders>
              <w:top w:val="nil"/>
              <w:left w:val="nil"/>
              <w:bottom w:val="single" w:color="auto" w:sz="4" w:space="0"/>
              <w:right w:val="single" w:color="auto" w:sz="4" w:space="0"/>
            </w:tcBorders>
            <w:vAlign w:val="center"/>
          </w:tcPr>
          <w:p w14:paraId="7191AB5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C68276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80AB32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409D2D1">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67E99A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07D552A3">
            <w:pPr>
              <w:widowControl/>
              <w:spacing w:line="400" w:lineRule="exact"/>
              <w:jc w:val="left"/>
              <w:rPr>
                <w:rFonts w:ascii="宋体" w:hAnsi="宋体" w:cs="Arial"/>
                <w:color w:val="auto"/>
                <w:sz w:val="18"/>
                <w:szCs w:val="18"/>
              </w:rPr>
            </w:pPr>
            <w:r>
              <w:rPr>
                <w:rFonts w:hint="eastAsia" w:ascii="宋体" w:hAnsi="宋体" w:cs="Arial"/>
                <w:color w:val="auto"/>
                <w:sz w:val="18"/>
                <w:szCs w:val="18"/>
              </w:rPr>
              <w:t>1.5mm 铝单板折弯加晶彩格反光膜，1*0.66m</w:t>
            </w:r>
          </w:p>
        </w:tc>
        <w:tc>
          <w:tcPr>
            <w:tcW w:w="900" w:type="dxa"/>
            <w:tcBorders>
              <w:top w:val="nil"/>
              <w:left w:val="nil"/>
              <w:bottom w:val="single" w:color="auto" w:sz="4" w:space="0"/>
              <w:right w:val="single" w:color="auto" w:sz="4" w:space="0"/>
            </w:tcBorders>
            <w:vAlign w:val="center"/>
          </w:tcPr>
          <w:p w14:paraId="1DCFFC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4F0EDB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DE9121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D87B8B6">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AC5D3E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125FA1E2">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晶彩格反光膜，2*1m</w:t>
            </w:r>
          </w:p>
        </w:tc>
        <w:tc>
          <w:tcPr>
            <w:tcW w:w="900" w:type="dxa"/>
            <w:tcBorders>
              <w:top w:val="nil"/>
              <w:left w:val="nil"/>
              <w:bottom w:val="single" w:color="auto" w:sz="4" w:space="0"/>
              <w:right w:val="single" w:color="auto" w:sz="4" w:space="0"/>
            </w:tcBorders>
            <w:vAlign w:val="center"/>
          </w:tcPr>
          <w:p w14:paraId="79D227E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E51A9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7CD2C5C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16909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58C1C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7B2A3A23">
            <w:pPr>
              <w:widowControl/>
              <w:spacing w:line="400" w:lineRule="exact"/>
              <w:jc w:val="left"/>
              <w:rPr>
                <w:rFonts w:ascii="宋体" w:hAnsi="宋体" w:cs="Arial"/>
                <w:color w:val="auto"/>
                <w:sz w:val="18"/>
                <w:szCs w:val="18"/>
              </w:rPr>
            </w:pPr>
            <w:r>
              <w:rPr>
                <w:rFonts w:hint="eastAsia" w:ascii="宋体" w:hAnsi="宋体" w:cs="Arial"/>
                <w:color w:val="auto"/>
                <w:sz w:val="18"/>
                <w:szCs w:val="18"/>
              </w:rPr>
              <w:t>晶彩格反光膜，0.81*0.2m</w:t>
            </w:r>
          </w:p>
        </w:tc>
        <w:tc>
          <w:tcPr>
            <w:tcW w:w="900" w:type="dxa"/>
            <w:tcBorders>
              <w:top w:val="nil"/>
              <w:left w:val="nil"/>
              <w:bottom w:val="single" w:color="auto" w:sz="4" w:space="0"/>
              <w:right w:val="single" w:color="auto" w:sz="4" w:space="0"/>
            </w:tcBorders>
            <w:vAlign w:val="center"/>
          </w:tcPr>
          <w:p w14:paraId="1E053C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19.00 </w:t>
            </w:r>
          </w:p>
        </w:tc>
        <w:tc>
          <w:tcPr>
            <w:tcW w:w="849" w:type="dxa"/>
            <w:gridSpan w:val="2"/>
            <w:tcBorders>
              <w:top w:val="nil"/>
              <w:left w:val="nil"/>
              <w:bottom w:val="single" w:color="auto" w:sz="4" w:space="0"/>
              <w:right w:val="single" w:color="auto" w:sz="4" w:space="0"/>
            </w:tcBorders>
            <w:vAlign w:val="center"/>
          </w:tcPr>
          <w:p w14:paraId="49F5FC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212171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FA3B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66C316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center"/>
          </w:tcPr>
          <w:p w14:paraId="65379910">
            <w:pPr>
              <w:widowControl/>
              <w:spacing w:line="400" w:lineRule="exact"/>
              <w:jc w:val="left"/>
              <w:rPr>
                <w:rFonts w:ascii="宋体" w:hAnsi="宋体" w:cs="Arial"/>
                <w:color w:val="auto"/>
                <w:sz w:val="18"/>
                <w:szCs w:val="18"/>
              </w:rPr>
            </w:pPr>
            <w:r>
              <w:rPr>
                <w:rFonts w:hint="eastAsia" w:ascii="宋体" w:hAnsi="宋体" w:cs="Arial"/>
                <w:color w:val="auto"/>
                <w:sz w:val="18"/>
                <w:szCs w:val="18"/>
              </w:rPr>
              <w:t>2mm 透明亚克力背喷 UV，1.05*0.51m</w:t>
            </w:r>
          </w:p>
        </w:tc>
        <w:tc>
          <w:tcPr>
            <w:tcW w:w="900" w:type="dxa"/>
            <w:tcBorders>
              <w:top w:val="nil"/>
              <w:left w:val="nil"/>
              <w:bottom w:val="single" w:color="auto" w:sz="4" w:space="0"/>
              <w:right w:val="single" w:color="auto" w:sz="4" w:space="0"/>
            </w:tcBorders>
            <w:vAlign w:val="center"/>
          </w:tcPr>
          <w:p w14:paraId="20F7E24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60B104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289C8D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B0CDF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7F139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4C2C1F93">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53C43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931475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1F8D81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AEBA9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1DCC4D6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41C1C68D">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41EAE5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6B66633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63846CE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287FE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463925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开关更换</w:t>
            </w:r>
          </w:p>
        </w:tc>
        <w:tc>
          <w:tcPr>
            <w:tcW w:w="5717" w:type="dxa"/>
            <w:tcBorders>
              <w:top w:val="nil"/>
              <w:left w:val="nil"/>
              <w:bottom w:val="single" w:color="auto" w:sz="4" w:space="0"/>
              <w:right w:val="single" w:color="auto" w:sz="4" w:space="0"/>
            </w:tcBorders>
            <w:vAlign w:val="center"/>
          </w:tcPr>
          <w:p w14:paraId="195E4B93">
            <w:pPr>
              <w:widowControl/>
              <w:spacing w:line="400" w:lineRule="exact"/>
              <w:jc w:val="left"/>
              <w:rPr>
                <w:rFonts w:ascii="宋体" w:hAnsi="宋体" w:cs="Arial"/>
                <w:color w:val="auto"/>
                <w:sz w:val="18"/>
                <w:szCs w:val="18"/>
              </w:rPr>
            </w:pPr>
            <w:r>
              <w:rPr>
                <w:rFonts w:hint="eastAsia" w:ascii="宋体" w:hAnsi="宋体" w:cs="Arial"/>
                <w:color w:val="auto"/>
                <w:sz w:val="18"/>
                <w:szCs w:val="18"/>
              </w:rPr>
              <w:t>更换电源开关和双电源自动切换开关，满足甲方使用要求</w:t>
            </w:r>
          </w:p>
        </w:tc>
        <w:tc>
          <w:tcPr>
            <w:tcW w:w="900" w:type="dxa"/>
            <w:tcBorders>
              <w:top w:val="nil"/>
              <w:left w:val="nil"/>
              <w:bottom w:val="single" w:color="auto" w:sz="4" w:space="0"/>
              <w:right w:val="single" w:color="auto" w:sz="4" w:space="0"/>
            </w:tcBorders>
            <w:vAlign w:val="center"/>
          </w:tcPr>
          <w:p w14:paraId="518612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F92F3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FA513F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758AB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四.盱眙中学固定避难场所建设项目</w:t>
            </w:r>
          </w:p>
        </w:tc>
      </w:tr>
      <w:tr w14:paraId="3DEC793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150D651B">
            <w:pPr>
              <w:widowControl/>
              <w:spacing w:line="400" w:lineRule="exact"/>
              <w:jc w:val="left"/>
              <w:rPr>
                <w:rFonts w:ascii="宋体" w:hAnsi="宋体" w:cs="Arial"/>
                <w:color w:val="auto"/>
                <w:sz w:val="18"/>
                <w:szCs w:val="18"/>
              </w:rPr>
            </w:pPr>
            <w:r>
              <w:rPr>
                <w:rFonts w:hint="eastAsia" w:ascii="宋体" w:hAnsi="宋体" w:cs="Arial"/>
                <w:color w:val="auto"/>
                <w:sz w:val="18"/>
                <w:szCs w:val="18"/>
              </w:rPr>
              <w:t>标识标牌出新</w:t>
            </w:r>
          </w:p>
        </w:tc>
      </w:tr>
      <w:tr w14:paraId="79FE0BA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3F282CD">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990D4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4428BD28">
            <w:pPr>
              <w:widowControl/>
              <w:spacing w:line="400" w:lineRule="exact"/>
              <w:jc w:val="left"/>
              <w:rPr>
                <w:rFonts w:ascii="宋体" w:hAnsi="宋体" w:cs="Arial"/>
                <w:color w:val="auto"/>
                <w:sz w:val="18"/>
                <w:szCs w:val="18"/>
              </w:rPr>
            </w:pPr>
            <w:r>
              <w:rPr>
                <w:rFonts w:hint="eastAsia" w:ascii="宋体" w:hAnsi="宋体" w:cs="Arial"/>
                <w:color w:val="auto"/>
                <w:sz w:val="18"/>
                <w:szCs w:val="18"/>
              </w:rPr>
              <w:t>大门口总体图-晶彩格，2*1m</w:t>
            </w:r>
          </w:p>
        </w:tc>
        <w:tc>
          <w:tcPr>
            <w:tcW w:w="900" w:type="dxa"/>
            <w:tcBorders>
              <w:top w:val="nil"/>
              <w:left w:val="nil"/>
              <w:bottom w:val="single" w:color="auto" w:sz="4" w:space="0"/>
              <w:right w:val="single" w:color="auto" w:sz="4" w:space="0"/>
            </w:tcBorders>
            <w:vAlign w:val="center"/>
          </w:tcPr>
          <w:p w14:paraId="69ED76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bottom"/>
          </w:tcPr>
          <w:p w14:paraId="55DF7E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6E36F1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2119C73">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18ABA3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BB1CFCE">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应急避难场所入口-1.5mm铝单板加晶彩格反光膜，1X0.66</w:t>
            </w:r>
          </w:p>
        </w:tc>
        <w:tc>
          <w:tcPr>
            <w:tcW w:w="900" w:type="dxa"/>
            <w:tcBorders>
              <w:top w:val="nil"/>
              <w:left w:val="nil"/>
              <w:bottom w:val="single" w:color="auto" w:sz="4" w:space="0"/>
              <w:right w:val="single" w:color="auto" w:sz="4" w:space="0"/>
            </w:tcBorders>
            <w:vAlign w:val="center"/>
          </w:tcPr>
          <w:p w14:paraId="3F7DC3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56C822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EBFEC6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E29B1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509312E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3548A034">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应急避难场所平面图-2mm透明亚克力 UV，1.08X0.52</w:t>
            </w:r>
          </w:p>
        </w:tc>
        <w:tc>
          <w:tcPr>
            <w:tcW w:w="900" w:type="dxa"/>
            <w:tcBorders>
              <w:top w:val="nil"/>
              <w:left w:val="nil"/>
              <w:bottom w:val="single" w:color="auto" w:sz="4" w:space="0"/>
              <w:right w:val="single" w:color="auto" w:sz="4" w:space="0"/>
            </w:tcBorders>
            <w:vAlign w:val="center"/>
          </w:tcPr>
          <w:p w14:paraId="3E36A98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52129A8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2C36D7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3DC71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0B00C56D">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37A28B17">
            <w:pPr>
              <w:widowControl/>
              <w:spacing w:line="400" w:lineRule="exact"/>
              <w:jc w:val="left"/>
              <w:rPr>
                <w:rFonts w:ascii="宋体" w:hAnsi="宋体" w:cs="Arial"/>
                <w:color w:val="auto"/>
                <w:sz w:val="18"/>
                <w:szCs w:val="18"/>
              </w:rPr>
            </w:pPr>
            <w:r>
              <w:rPr>
                <w:rFonts w:hint="eastAsia" w:ascii="宋体" w:hAnsi="宋体" w:cs="Arial"/>
                <w:color w:val="auto"/>
                <w:sz w:val="18"/>
                <w:szCs w:val="18"/>
              </w:rPr>
              <w:t>路标指示牌-晶彩格，0.81*0.2m</w:t>
            </w:r>
          </w:p>
        </w:tc>
        <w:tc>
          <w:tcPr>
            <w:tcW w:w="900" w:type="dxa"/>
            <w:tcBorders>
              <w:top w:val="nil"/>
              <w:left w:val="nil"/>
              <w:bottom w:val="single" w:color="auto" w:sz="4" w:space="0"/>
              <w:right w:val="single" w:color="auto" w:sz="4" w:space="0"/>
            </w:tcBorders>
            <w:vAlign w:val="center"/>
          </w:tcPr>
          <w:p w14:paraId="71BEB6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64.00 </w:t>
            </w:r>
          </w:p>
        </w:tc>
        <w:tc>
          <w:tcPr>
            <w:tcW w:w="849" w:type="dxa"/>
            <w:gridSpan w:val="2"/>
            <w:tcBorders>
              <w:top w:val="nil"/>
              <w:left w:val="nil"/>
              <w:bottom w:val="single" w:color="auto" w:sz="4" w:space="0"/>
              <w:right w:val="single" w:color="auto" w:sz="4" w:space="0"/>
            </w:tcBorders>
            <w:vAlign w:val="bottom"/>
          </w:tcPr>
          <w:p w14:paraId="3C69D2A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36CD90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E4C5B48">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3256B133">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42D8B56A">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应急摄像头、应急供水等等-1.5mm 铝单板加晶彩格反光膜，0.7X0.35m</w:t>
            </w:r>
          </w:p>
        </w:tc>
        <w:tc>
          <w:tcPr>
            <w:tcW w:w="900" w:type="dxa"/>
            <w:tcBorders>
              <w:top w:val="nil"/>
              <w:left w:val="nil"/>
              <w:bottom w:val="single" w:color="auto" w:sz="4" w:space="0"/>
              <w:right w:val="single" w:color="auto" w:sz="4" w:space="0"/>
            </w:tcBorders>
            <w:vAlign w:val="center"/>
          </w:tcPr>
          <w:p w14:paraId="0EB46C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36.00 </w:t>
            </w:r>
          </w:p>
        </w:tc>
        <w:tc>
          <w:tcPr>
            <w:tcW w:w="849" w:type="dxa"/>
            <w:gridSpan w:val="2"/>
            <w:tcBorders>
              <w:top w:val="nil"/>
              <w:left w:val="nil"/>
              <w:bottom w:val="single" w:color="auto" w:sz="4" w:space="0"/>
              <w:right w:val="single" w:color="auto" w:sz="4" w:space="0"/>
            </w:tcBorders>
            <w:vAlign w:val="bottom"/>
          </w:tcPr>
          <w:p w14:paraId="3ABB6D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31B26A48">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1CEA953">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3042AF71">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951572C">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应急供水、供电、照明、厕所、灭火器-1.5mm 铝板加画面，0.7X0.35m</w:t>
            </w:r>
          </w:p>
        </w:tc>
        <w:tc>
          <w:tcPr>
            <w:tcW w:w="900" w:type="dxa"/>
            <w:tcBorders>
              <w:top w:val="nil"/>
              <w:left w:val="nil"/>
              <w:bottom w:val="single" w:color="auto" w:sz="4" w:space="0"/>
              <w:right w:val="single" w:color="auto" w:sz="4" w:space="0"/>
            </w:tcBorders>
            <w:vAlign w:val="center"/>
          </w:tcPr>
          <w:p w14:paraId="1089F3A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7.00 </w:t>
            </w:r>
          </w:p>
        </w:tc>
        <w:tc>
          <w:tcPr>
            <w:tcW w:w="849" w:type="dxa"/>
            <w:gridSpan w:val="2"/>
            <w:tcBorders>
              <w:top w:val="nil"/>
              <w:left w:val="nil"/>
              <w:bottom w:val="single" w:color="auto" w:sz="4" w:space="0"/>
              <w:right w:val="single" w:color="auto" w:sz="4" w:space="0"/>
            </w:tcBorders>
            <w:vAlign w:val="bottom"/>
          </w:tcPr>
          <w:p w14:paraId="1754F7C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81C410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A40F98">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44F6FF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52C6F7C8">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应急篷宿区-不锈钢管焊架加喷绘布画面，0.7X0.35m</w:t>
            </w:r>
          </w:p>
        </w:tc>
        <w:tc>
          <w:tcPr>
            <w:tcW w:w="900" w:type="dxa"/>
            <w:tcBorders>
              <w:top w:val="nil"/>
              <w:left w:val="nil"/>
              <w:bottom w:val="single" w:color="auto" w:sz="4" w:space="0"/>
              <w:right w:val="single" w:color="auto" w:sz="4" w:space="0"/>
            </w:tcBorders>
            <w:vAlign w:val="center"/>
          </w:tcPr>
          <w:p w14:paraId="361C84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7F2561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E91D7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F8800A">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2E54E430">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9C2D624">
            <w:pPr>
              <w:widowControl/>
              <w:spacing w:line="400" w:lineRule="exact"/>
              <w:jc w:val="left"/>
              <w:rPr>
                <w:rFonts w:ascii="宋体" w:hAnsi="宋体" w:cs="Arial"/>
                <w:color w:val="auto"/>
                <w:sz w:val="18"/>
                <w:szCs w:val="18"/>
              </w:rPr>
            </w:pPr>
            <w:r>
              <w:rPr>
                <w:rFonts w:hint="eastAsia" w:ascii="宋体" w:hAnsi="宋体" w:cs="Arial"/>
                <w:color w:val="auto"/>
                <w:sz w:val="18"/>
                <w:szCs w:val="18"/>
              </w:rPr>
              <w:t>物资仓库-KT 板，0.6*0.9m</w:t>
            </w:r>
          </w:p>
        </w:tc>
        <w:tc>
          <w:tcPr>
            <w:tcW w:w="900" w:type="dxa"/>
            <w:tcBorders>
              <w:top w:val="nil"/>
              <w:left w:val="nil"/>
              <w:bottom w:val="single" w:color="auto" w:sz="4" w:space="0"/>
              <w:right w:val="single" w:color="auto" w:sz="4" w:space="0"/>
            </w:tcBorders>
            <w:vAlign w:val="center"/>
          </w:tcPr>
          <w:p w14:paraId="129DC83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4A17CF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C65105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BFB85A6">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4B42EB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6143F355">
            <w:pPr>
              <w:widowControl/>
              <w:spacing w:line="400" w:lineRule="exact"/>
              <w:jc w:val="left"/>
              <w:rPr>
                <w:rFonts w:ascii="宋体" w:hAnsi="宋体" w:cs="Arial"/>
                <w:color w:val="auto"/>
                <w:sz w:val="18"/>
                <w:szCs w:val="18"/>
              </w:rPr>
            </w:pPr>
            <w:r>
              <w:rPr>
                <w:rFonts w:hint="eastAsia" w:ascii="宋体" w:hAnsi="宋体" w:cs="Arial"/>
                <w:color w:val="auto"/>
                <w:sz w:val="18"/>
                <w:szCs w:val="18"/>
              </w:rPr>
              <w:t>总控室制度牌-KT 板，0.6*0.9m</w:t>
            </w:r>
          </w:p>
        </w:tc>
        <w:tc>
          <w:tcPr>
            <w:tcW w:w="900" w:type="dxa"/>
            <w:tcBorders>
              <w:top w:val="nil"/>
              <w:left w:val="nil"/>
              <w:bottom w:val="single" w:color="auto" w:sz="4" w:space="0"/>
              <w:right w:val="single" w:color="auto" w:sz="4" w:space="0"/>
            </w:tcBorders>
            <w:vAlign w:val="center"/>
          </w:tcPr>
          <w:p w14:paraId="06DAFE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1A6694BF">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053D2EE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C30D93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7909AC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33DF43A">
            <w:pPr>
              <w:widowControl/>
              <w:spacing w:line="400" w:lineRule="exact"/>
              <w:jc w:val="left"/>
              <w:rPr>
                <w:rFonts w:ascii="宋体" w:hAnsi="宋体" w:cs="Arial"/>
                <w:color w:val="auto"/>
                <w:sz w:val="18"/>
                <w:szCs w:val="18"/>
              </w:rPr>
            </w:pPr>
            <w:r>
              <w:rPr>
                <w:rFonts w:hint="eastAsia" w:ascii="宋体" w:hAnsi="宋体" w:cs="Arial"/>
                <w:color w:val="auto"/>
                <w:sz w:val="18"/>
                <w:szCs w:val="18"/>
              </w:rPr>
              <w:t>发电机组-KT 板，0.4*0.3m</w:t>
            </w:r>
          </w:p>
        </w:tc>
        <w:tc>
          <w:tcPr>
            <w:tcW w:w="900" w:type="dxa"/>
            <w:tcBorders>
              <w:top w:val="nil"/>
              <w:left w:val="nil"/>
              <w:bottom w:val="single" w:color="auto" w:sz="4" w:space="0"/>
              <w:right w:val="single" w:color="auto" w:sz="4" w:space="0"/>
            </w:tcBorders>
            <w:vAlign w:val="center"/>
          </w:tcPr>
          <w:p w14:paraId="7ACEFCD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71C748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AE2AE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3E3EF3">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4A01A5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3C3BD18D">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应急指示牌-亚克力 UV，0.65*0.35m</w:t>
            </w:r>
          </w:p>
        </w:tc>
        <w:tc>
          <w:tcPr>
            <w:tcW w:w="900" w:type="dxa"/>
            <w:tcBorders>
              <w:top w:val="nil"/>
              <w:left w:val="nil"/>
              <w:bottom w:val="single" w:color="auto" w:sz="4" w:space="0"/>
              <w:right w:val="single" w:color="auto" w:sz="4" w:space="0"/>
            </w:tcBorders>
            <w:vAlign w:val="center"/>
          </w:tcPr>
          <w:p w14:paraId="5DE2F3A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66AB0B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51F3F98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54CD357">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1F5499F5">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0BA30E78">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应急指示牌-亚克力 UV，0.65*1.22m</w:t>
            </w:r>
          </w:p>
        </w:tc>
        <w:tc>
          <w:tcPr>
            <w:tcW w:w="900" w:type="dxa"/>
            <w:tcBorders>
              <w:top w:val="nil"/>
              <w:left w:val="nil"/>
              <w:bottom w:val="single" w:color="auto" w:sz="4" w:space="0"/>
              <w:right w:val="single" w:color="auto" w:sz="4" w:space="0"/>
            </w:tcBorders>
            <w:vAlign w:val="center"/>
          </w:tcPr>
          <w:p w14:paraId="096EC9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3.00 </w:t>
            </w:r>
          </w:p>
        </w:tc>
        <w:tc>
          <w:tcPr>
            <w:tcW w:w="849" w:type="dxa"/>
            <w:gridSpan w:val="2"/>
            <w:tcBorders>
              <w:top w:val="nil"/>
              <w:left w:val="nil"/>
              <w:bottom w:val="single" w:color="auto" w:sz="4" w:space="0"/>
              <w:right w:val="single" w:color="auto" w:sz="4" w:space="0"/>
            </w:tcBorders>
            <w:vAlign w:val="bottom"/>
          </w:tcPr>
          <w:p w14:paraId="7A34AD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21A6DAD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7B9A0E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475F13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标牌</w:t>
            </w:r>
          </w:p>
        </w:tc>
        <w:tc>
          <w:tcPr>
            <w:tcW w:w="5717" w:type="dxa"/>
            <w:tcBorders>
              <w:top w:val="nil"/>
              <w:left w:val="nil"/>
              <w:bottom w:val="single" w:color="auto" w:sz="4" w:space="0"/>
              <w:right w:val="single" w:color="auto" w:sz="4" w:space="0"/>
            </w:tcBorders>
            <w:vAlign w:val="bottom"/>
          </w:tcPr>
          <w:p w14:paraId="256F0A27">
            <w:pPr>
              <w:widowControl/>
              <w:spacing w:line="400" w:lineRule="exact"/>
              <w:jc w:val="left"/>
              <w:rPr>
                <w:rFonts w:ascii="宋体" w:hAnsi="宋体" w:cs="Arial"/>
                <w:color w:val="auto"/>
                <w:sz w:val="18"/>
                <w:szCs w:val="18"/>
              </w:rPr>
            </w:pPr>
            <w:r>
              <w:rPr>
                <w:rFonts w:hint="eastAsia" w:ascii="宋体" w:hAnsi="宋体" w:cs="Arial"/>
                <w:color w:val="auto"/>
                <w:sz w:val="18"/>
                <w:szCs w:val="18"/>
              </w:rPr>
              <w:t>应急指示牌-亚克力 UV，0.3*1.95m</w:t>
            </w:r>
          </w:p>
        </w:tc>
        <w:tc>
          <w:tcPr>
            <w:tcW w:w="900" w:type="dxa"/>
            <w:tcBorders>
              <w:top w:val="nil"/>
              <w:left w:val="nil"/>
              <w:bottom w:val="single" w:color="auto" w:sz="4" w:space="0"/>
              <w:right w:val="single" w:color="auto" w:sz="4" w:space="0"/>
            </w:tcBorders>
            <w:vAlign w:val="center"/>
          </w:tcPr>
          <w:p w14:paraId="2FE5301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bottom"/>
          </w:tcPr>
          <w:p w14:paraId="0673C05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426102A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49A7B895">
            <w:pPr>
              <w:widowControl/>
              <w:spacing w:line="400" w:lineRule="exact"/>
              <w:jc w:val="left"/>
              <w:rPr>
                <w:rFonts w:ascii="宋体" w:hAnsi="宋体" w:cs="Arial"/>
                <w:color w:val="auto"/>
                <w:sz w:val="18"/>
                <w:szCs w:val="18"/>
              </w:rPr>
            </w:pPr>
            <w:r>
              <w:rPr>
                <w:rFonts w:hint="eastAsia" w:ascii="宋体" w:hAnsi="宋体" w:cs="Arial"/>
                <w:color w:val="auto"/>
                <w:sz w:val="18"/>
                <w:szCs w:val="18"/>
              </w:rPr>
              <w:t>智能化</w:t>
            </w:r>
          </w:p>
        </w:tc>
      </w:tr>
      <w:tr w14:paraId="0E6D16A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B052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D58216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枪型摄像机</w:t>
            </w:r>
          </w:p>
        </w:tc>
        <w:tc>
          <w:tcPr>
            <w:tcW w:w="5717" w:type="dxa"/>
            <w:tcBorders>
              <w:top w:val="nil"/>
              <w:left w:val="nil"/>
              <w:bottom w:val="single" w:color="auto" w:sz="4" w:space="0"/>
              <w:right w:val="single" w:color="auto" w:sz="4" w:space="0"/>
            </w:tcBorders>
            <w:vAlign w:val="center"/>
          </w:tcPr>
          <w:p w14:paraId="69065085">
            <w:pPr>
              <w:widowControl/>
              <w:spacing w:line="400" w:lineRule="exact"/>
              <w:jc w:val="left"/>
              <w:rPr>
                <w:rFonts w:ascii="宋体" w:hAnsi="宋体" w:cs="Arial"/>
                <w:color w:val="auto"/>
                <w:sz w:val="18"/>
                <w:szCs w:val="18"/>
              </w:rPr>
            </w:pPr>
            <w:r>
              <w:rPr>
                <w:rFonts w:hint="eastAsia" w:ascii="宋体" w:hAnsi="宋体" w:cs="Arial"/>
                <w:color w:val="auto"/>
                <w:sz w:val="18"/>
                <w:szCs w:val="18"/>
              </w:rPr>
              <w:t>图像最大分辨率不低于2560x1440，信噪比不小于 55dB，支持红外补光、白光补光，有效补光距离达到 30m，支持 IP66 防尘防水，内置 1 个麦克风，1 个RJ45 网络接口</w:t>
            </w:r>
          </w:p>
        </w:tc>
        <w:tc>
          <w:tcPr>
            <w:tcW w:w="900" w:type="dxa"/>
            <w:tcBorders>
              <w:top w:val="nil"/>
              <w:left w:val="nil"/>
              <w:bottom w:val="single" w:color="auto" w:sz="4" w:space="0"/>
              <w:right w:val="single" w:color="auto" w:sz="4" w:space="0"/>
            </w:tcBorders>
            <w:vAlign w:val="center"/>
          </w:tcPr>
          <w:p w14:paraId="324BF1E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268D1B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256BF3B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A0B7A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7559464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枪机支架</w:t>
            </w:r>
          </w:p>
        </w:tc>
        <w:tc>
          <w:tcPr>
            <w:tcW w:w="5717" w:type="dxa"/>
            <w:tcBorders>
              <w:top w:val="nil"/>
              <w:left w:val="nil"/>
              <w:bottom w:val="single" w:color="auto" w:sz="4" w:space="0"/>
              <w:right w:val="single" w:color="auto" w:sz="4" w:space="0"/>
            </w:tcBorders>
            <w:vAlign w:val="center"/>
          </w:tcPr>
          <w:p w14:paraId="7CEA59D9">
            <w:pPr>
              <w:widowControl/>
              <w:spacing w:line="400" w:lineRule="exact"/>
              <w:jc w:val="left"/>
              <w:rPr>
                <w:rFonts w:ascii="宋体" w:hAnsi="宋体" w:cs="Arial"/>
                <w:color w:val="auto"/>
                <w:sz w:val="18"/>
                <w:szCs w:val="18"/>
              </w:rPr>
            </w:pPr>
            <w:r>
              <w:rPr>
                <w:rFonts w:hint="eastAsia" w:ascii="宋体" w:hAnsi="宋体" w:cs="Arial"/>
                <w:color w:val="auto"/>
                <w:sz w:val="18"/>
                <w:szCs w:val="18"/>
              </w:rPr>
              <w:t>外观颜色：白色；承重：1.0kg；安装方式：壁装</w:t>
            </w:r>
          </w:p>
        </w:tc>
        <w:tc>
          <w:tcPr>
            <w:tcW w:w="900" w:type="dxa"/>
            <w:tcBorders>
              <w:top w:val="nil"/>
              <w:left w:val="nil"/>
              <w:bottom w:val="single" w:color="auto" w:sz="4" w:space="0"/>
              <w:right w:val="single" w:color="auto" w:sz="4" w:space="0"/>
            </w:tcBorders>
            <w:vAlign w:val="center"/>
          </w:tcPr>
          <w:p w14:paraId="4585D96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3AF35E0D">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0379FAA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9706E0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293A84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接入交换机</w:t>
            </w:r>
          </w:p>
        </w:tc>
        <w:tc>
          <w:tcPr>
            <w:tcW w:w="5717" w:type="dxa"/>
            <w:tcBorders>
              <w:top w:val="nil"/>
              <w:left w:val="nil"/>
              <w:bottom w:val="single" w:color="auto" w:sz="4" w:space="0"/>
              <w:right w:val="single" w:color="auto" w:sz="4" w:space="0"/>
            </w:tcBorders>
            <w:vAlign w:val="center"/>
          </w:tcPr>
          <w:p w14:paraId="44F22B74">
            <w:pPr>
              <w:widowControl/>
              <w:spacing w:line="400" w:lineRule="exact"/>
              <w:jc w:val="left"/>
              <w:rPr>
                <w:rFonts w:ascii="宋体" w:hAnsi="宋体" w:cs="Arial"/>
                <w:color w:val="auto"/>
                <w:sz w:val="18"/>
                <w:szCs w:val="18"/>
              </w:rPr>
            </w:pPr>
            <w:r>
              <w:rPr>
                <w:rFonts w:hint="eastAsia" w:ascii="宋体" w:hAnsi="宋体" w:cs="Arial"/>
                <w:color w:val="auto"/>
                <w:sz w:val="18"/>
                <w:szCs w:val="18"/>
              </w:rPr>
              <w:t>8 口千兆 POE 交换机，2个上联端口</w:t>
            </w:r>
          </w:p>
        </w:tc>
        <w:tc>
          <w:tcPr>
            <w:tcW w:w="900" w:type="dxa"/>
            <w:tcBorders>
              <w:top w:val="nil"/>
              <w:left w:val="nil"/>
              <w:bottom w:val="single" w:color="auto" w:sz="4" w:space="0"/>
              <w:right w:val="single" w:color="auto" w:sz="4" w:space="0"/>
            </w:tcBorders>
            <w:vAlign w:val="center"/>
          </w:tcPr>
          <w:p w14:paraId="1979E4C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744B2F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台</w:t>
            </w:r>
          </w:p>
        </w:tc>
      </w:tr>
      <w:tr w14:paraId="48D67C47">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990A510">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3D1947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光模块</w:t>
            </w:r>
          </w:p>
        </w:tc>
        <w:tc>
          <w:tcPr>
            <w:tcW w:w="5717" w:type="dxa"/>
            <w:tcBorders>
              <w:top w:val="nil"/>
              <w:left w:val="nil"/>
              <w:bottom w:val="single" w:color="auto" w:sz="4" w:space="0"/>
              <w:right w:val="single" w:color="auto" w:sz="4" w:space="0"/>
            </w:tcBorders>
            <w:vAlign w:val="center"/>
          </w:tcPr>
          <w:p w14:paraId="0DEA4046">
            <w:pPr>
              <w:widowControl/>
              <w:spacing w:line="400" w:lineRule="exact"/>
              <w:jc w:val="left"/>
              <w:rPr>
                <w:rFonts w:ascii="宋体" w:hAnsi="宋体" w:cs="Arial"/>
                <w:color w:val="auto"/>
                <w:sz w:val="18"/>
                <w:szCs w:val="18"/>
              </w:rPr>
            </w:pPr>
            <w:r>
              <w:rPr>
                <w:rFonts w:hint="eastAsia" w:ascii="宋体" w:hAnsi="宋体" w:cs="Arial"/>
                <w:color w:val="auto"/>
                <w:sz w:val="18"/>
                <w:szCs w:val="18"/>
              </w:rPr>
              <w:t>千兆单模光模块，10KM</w:t>
            </w:r>
          </w:p>
        </w:tc>
        <w:tc>
          <w:tcPr>
            <w:tcW w:w="900" w:type="dxa"/>
            <w:tcBorders>
              <w:top w:val="nil"/>
              <w:left w:val="nil"/>
              <w:bottom w:val="single" w:color="auto" w:sz="4" w:space="0"/>
              <w:right w:val="single" w:color="auto" w:sz="4" w:space="0"/>
            </w:tcBorders>
            <w:vAlign w:val="center"/>
          </w:tcPr>
          <w:p w14:paraId="6EB06E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194E9B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FE35FB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76A7A1F">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7ADBE3C1">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光纤收发器</w:t>
            </w:r>
          </w:p>
        </w:tc>
        <w:tc>
          <w:tcPr>
            <w:tcW w:w="5717" w:type="dxa"/>
            <w:tcBorders>
              <w:top w:val="nil"/>
              <w:left w:val="nil"/>
              <w:bottom w:val="single" w:color="auto" w:sz="4" w:space="0"/>
              <w:right w:val="single" w:color="auto" w:sz="4" w:space="0"/>
            </w:tcBorders>
            <w:vAlign w:val="center"/>
          </w:tcPr>
          <w:p w14:paraId="60BD63EA">
            <w:pPr>
              <w:widowControl/>
              <w:spacing w:line="400" w:lineRule="exact"/>
              <w:jc w:val="left"/>
              <w:rPr>
                <w:rFonts w:ascii="宋体" w:hAnsi="宋体" w:cs="Arial"/>
                <w:color w:val="auto"/>
                <w:sz w:val="18"/>
                <w:szCs w:val="18"/>
              </w:rPr>
            </w:pPr>
            <w:r>
              <w:rPr>
                <w:rFonts w:hint="eastAsia" w:ascii="宋体" w:hAnsi="宋体" w:cs="Arial"/>
                <w:color w:val="auto"/>
                <w:sz w:val="18"/>
                <w:szCs w:val="18"/>
              </w:rPr>
              <w:t>千兆单模光纤收发器，10KM</w:t>
            </w:r>
          </w:p>
        </w:tc>
        <w:tc>
          <w:tcPr>
            <w:tcW w:w="900" w:type="dxa"/>
            <w:tcBorders>
              <w:top w:val="nil"/>
              <w:left w:val="nil"/>
              <w:bottom w:val="single" w:color="auto" w:sz="4" w:space="0"/>
              <w:right w:val="single" w:color="auto" w:sz="4" w:space="0"/>
            </w:tcBorders>
            <w:vAlign w:val="center"/>
          </w:tcPr>
          <w:p w14:paraId="5CAEEB2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D7F8378">
            <w:pPr>
              <w:widowControl/>
              <w:spacing w:line="400" w:lineRule="exact"/>
              <w:jc w:val="center"/>
              <w:rPr>
                <w:rFonts w:ascii="宋体" w:hAnsi="宋体" w:cs="Arial"/>
                <w:color w:val="auto"/>
                <w:sz w:val="18"/>
                <w:szCs w:val="18"/>
              </w:rPr>
            </w:pPr>
            <w:r>
              <w:rPr>
                <w:rFonts w:hint="eastAsia" w:ascii="宋体" w:hAnsi="宋体" w:cs="Arial"/>
                <w:color w:val="auto"/>
                <w:sz w:val="18"/>
                <w:szCs w:val="18"/>
              </w:rPr>
              <w:t>对</w:t>
            </w:r>
          </w:p>
        </w:tc>
      </w:tr>
      <w:tr w14:paraId="5F0634D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0DB05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5D81519D">
            <w:pPr>
              <w:widowControl/>
              <w:spacing w:line="400" w:lineRule="exact"/>
              <w:jc w:val="center"/>
              <w:rPr>
                <w:rFonts w:ascii="宋体" w:hAnsi="宋体" w:cs="Arial"/>
                <w:color w:val="auto"/>
                <w:sz w:val="18"/>
                <w:szCs w:val="18"/>
              </w:rPr>
            </w:pPr>
            <w:r>
              <w:rPr>
                <w:rFonts w:hint="eastAsia" w:ascii="宋体" w:hAnsi="宋体" w:cs="Arial"/>
                <w:color w:val="auto"/>
                <w:sz w:val="18"/>
                <w:szCs w:val="18"/>
              </w:rPr>
              <w:t>六类线</w:t>
            </w:r>
          </w:p>
        </w:tc>
        <w:tc>
          <w:tcPr>
            <w:tcW w:w="5717" w:type="dxa"/>
            <w:tcBorders>
              <w:top w:val="nil"/>
              <w:left w:val="nil"/>
              <w:bottom w:val="single" w:color="auto" w:sz="4" w:space="0"/>
              <w:right w:val="single" w:color="auto" w:sz="4" w:space="0"/>
            </w:tcBorders>
            <w:vAlign w:val="center"/>
          </w:tcPr>
          <w:p w14:paraId="4524CF4C">
            <w:pPr>
              <w:widowControl/>
              <w:spacing w:line="400" w:lineRule="exact"/>
              <w:jc w:val="left"/>
              <w:rPr>
                <w:rFonts w:ascii="宋体" w:hAnsi="宋体" w:cs="Arial"/>
                <w:color w:val="auto"/>
                <w:sz w:val="18"/>
                <w:szCs w:val="18"/>
              </w:rPr>
            </w:pPr>
            <w:r>
              <w:rPr>
                <w:rFonts w:hint="eastAsia" w:ascii="宋体" w:hAnsi="宋体" w:cs="Arial"/>
                <w:color w:val="auto"/>
                <w:sz w:val="18"/>
                <w:szCs w:val="18"/>
              </w:rPr>
              <w:t>六类非屏蔽网络线缆</w:t>
            </w:r>
          </w:p>
        </w:tc>
        <w:tc>
          <w:tcPr>
            <w:tcW w:w="900" w:type="dxa"/>
            <w:tcBorders>
              <w:top w:val="nil"/>
              <w:left w:val="nil"/>
              <w:bottom w:val="single" w:color="auto" w:sz="4" w:space="0"/>
              <w:right w:val="single" w:color="auto" w:sz="4" w:space="0"/>
            </w:tcBorders>
            <w:vAlign w:val="center"/>
          </w:tcPr>
          <w:p w14:paraId="3031799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500.00 </w:t>
            </w:r>
          </w:p>
        </w:tc>
        <w:tc>
          <w:tcPr>
            <w:tcW w:w="849" w:type="dxa"/>
            <w:gridSpan w:val="2"/>
            <w:tcBorders>
              <w:top w:val="nil"/>
              <w:left w:val="nil"/>
              <w:bottom w:val="single" w:color="auto" w:sz="4" w:space="0"/>
              <w:right w:val="single" w:color="auto" w:sz="4" w:space="0"/>
            </w:tcBorders>
            <w:vAlign w:val="center"/>
          </w:tcPr>
          <w:p w14:paraId="75126D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5DAA4AF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C257E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7</w:t>
            </w:r>
          </w:p>
        </w:tc>
        <w:tc>
          <w:tcPr>
            <w:tcW w:w="1397" w:type="dxa"/>
            <w:tcBorders>
              <w:top w:val="nil"/>
              <w:left w:val="nil"/>
              <w:bottom w:val="single" w:color="auto" w:sz="4" w:space="0"/>
              <w:right w:val="single" w:color="auto" w:sz="4" w:space="0"/>
            </w:tcBorders>
            <w:vAlign w:val="center"/>
          </w:tcPr>
          <w:p w14:paraId="1578E47A">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盘线盒</w:t>
            </w:r>
          </w:p>
        </w:tc>
        <w:tc>
          <w:tcPr>
            <w:tcW w:w="5717" w:type="dxa"/>
            <w:tcBorders>
              <w:top w:val="nil"/>
              <w:left w:val="nil"/>
              <w:bottom w:val="single" w:color="auto" w:sz="4" w:space="0"/>
              <w:right w:val="single" w:color="auto" w:sz="4" w:space="0"/>
            </w:tcBorders>
            <w:vAlign w:val="center"/>
          </w:tcPr>
          <w:p w14:paraId="59E1CFF2">
            <w:pPr>
              <w:widowControl/>
              <w:spacing w:line="400" w:lineRule="exact"/>
              <w:jc w:val="left"/>
              <w:rPr>
                <w:rFonts w:ascii="宋体" w:hAnsi="宋体" w:cs="Arial"/>
                <w:color w:val="auto"/>
                <w:sz w:val="18"/>
                <w:szCs w:val="18"/>
              </w:rPr>
            </w:pPr>
            <w:r>
              <w:rPr>
                <w:rFonts w:hint="eastAsia" w:ascii="宋体" w:hAnsi="宋体" w:cs="Arial"/>
                <w:color w:val="auto"/>
                <w:sz w:val="18"/>
                <w:szCs w:val="18"/>
              </w:rPr>
              <w:t>光纤盘线盒</w:t>
            </w:r>
          </w:p>
        </w:tc>
        <w:tc>
          <w:tcPr>
            <w:tcW w:w="900" w:type="dxa"/>
            <w:tcBorders>
              <w:top w:val="nil"/>
              <w:left w:val="nil"/>
              <w:bottom w:val="single" w:color="auto" w:sz="4" w:space="0"/>
              <w:right w:val="single" w:color="auto" w:sz="4" w:space="0"/>
            </w:tcBorders>
            <w:vAlign w:val="center"/>
          </w:tcPr>
          <w:p w14:paraId="46F356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04B23D5">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1996D74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690BB6FB">
            <w:pPr>
              <w:widowControl/>
              <w:spacing w:line="400" w:lineRule="exact"/>
              <w:jc w:val="center"/>
              <w:rPr>
                <w:rFonts w:ascii="宋体" w:hAnsi="宋体" w:cs="Arial"/>
                <w:color w:val="auto"/>
                <w:sz w:val="18"/>
                <w:szCs w:val="18"/>
              </w:rPr>
            </w:pPr>
            <w:r>
              <w:rPr>
                <w:rFonts w:hint="eastAsia" w:ascii="宋体" w:hAnsi="宋体" w:cs="Arial"/>
                <w:color w:val="auto"/>
                <w:sz w:val="18"/>
                <w:szCs w:val="18"/>
              </w:rPr>
              <w:t>8</w:t>
            </w:r>
          </w:p>
        </w:tc>
        <w:tc>
          <w:tcPr>
            <w:tcW w:w="1397" w:type="dxa"/>
            <w:tcBorders>
              <w:top w:val="nil"/>
              <w:left w:val="nil"/>
              <w:bottom w:val="single" w:color="auto" w:sz="4" w:space="0"/>
              <w:right w:val="single" w:color="auto" w:sz="4" w:space="0"/>
            </w:tcBorders>
            <w:vAlign w:val="center"/>
          </w:tcPr>
          <w:p w14:paraId="0177B9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设备箱</w:t>
            </w:r>
          </w:p>
        </w:tc>
        <w:tc>
          <w:tcPr>
            <w:tcW w:w="5717" w:type="dxa"/>
            <w:tcBorders>
              <w:top w:val="nil"/>
              <w:left w:val="nil"/>
              <w:bottom w:val="single" w:color="auto" w:sz="4" w:space="0"/>
              <w:right w:val="single" w:color="auto" w:sz="4" w:space="0"/>
            </w:tcBorders>
            <w:vAlign w:val="center"/>
          </w:tcPr>
          <w:p w14:paraId="69037AA5">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室外不锈钢监控汇聚箱，尺寸不低于 30*40cm，含插板，满足甲方使用要求。</w:t>
            </w:r>
          </w:p>
        </w:tc>
        <w:tc>
          <w:tcPr>
            <w:tcW w:w="900" w:type="dxa"/>
            <w:tcBorders>
              <w:top w:val="nil"/>
              <w:left w:val="nil"/>
              <w:bottom w:val="single" w:color="auto" w:sz="4" w:space="0"/>
              <w:right w:val="single" w:color="auto" w:sz="4" w:space="0"/>
            </w:tcBorders>
            <w:vAlign w:val="center"/>
          </w:tcPr>
          <w:p w14:paraId="4584F1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84491B7">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428CB17D">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ACE52D4">
            <w:pPr>
              <w:widowControl/>
              <w:spacing w:line="400" w:lineRule="exact"/>
              <w:jc w:val="center"/>
              <w:rPr>
                <w:rFonts w:ascii="宋体" w:hAnsi="宋体" w:cs="Arial"/>
                <w:color w:val="auto"/>
                <w:sz w:val="18"/>
                <w:szCs w:val="18"/>
              </w:rPr>
            </w:pPr>
            <w:r>
              <w:rPr>
                <w:rFonts w:hint="eastAsia" w:ascii="宋体" w:hAnsi="宋体" w:cs="Arial"/>
                <w:color w:val="auto"/>
                <w:sz w:val="18"/>
                <w:szCs w:val="18"/>
              </w:rPr>
              <w:t>9</w:t>
            </w:r>
          </w:p>
        </w:tc>
        <w:tc>
          <w:tcPr>
            <w:tcW w:w="1397" w:type="dxa"/>
            <w:tcBorders>
              <w:top w:val="nil"/>
              <w:left w:val="nil"/>
              <w:bottom w:val="single" w:color="auto" w:sz="4" w:space="0"/>
              <w:right w:val="single" w:color="auto" w:sz="4" w:space="0"/>
            </w:tcBorders>
            <w:vAlign w:val="center"/>
          </w:tcPr>
          <w:p w14:paraId="684C6F26">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室内音响</w:t>
            </w:r>
          </w:p>
        </w:tc>
        <w:tc>
          <w:tcPr>
            <w:tcW w:w="5717" w:type="dxa"/>
            <w:tcBorders>
              <w:top w:val="nil"/>
              <w:left w:val="nil"/>
              <w:bottom w:val="single" w:color="auto" w:sz="4" w:space="0"/>
              <w:right w:val="single" w:color="auto" w:sz="4" w:space="0"/>
            </w:tcBorders>
            <w:vAlign w:val="center"/>
          </w:tcPr>
          <w:p w14:paraId="5750E05E">
            <w:pPr>
              <w:widowControl/>
              <w:spacing w:line="400" w:lineRule="exact"/>
              <w:jc w:val="left"/>
              <w:rPr>
                <w:rFonts w:ascii="宋体" w:hAnsi="宋体" w:cs="Arial"/>
                <w:color w:val="auto"/>
                <w:sz w:val="18"/>
                <w:szCs w:val="18"/>
              </w:rPr>
            </w:pPr>
            <w:r>
              <w:rPr>
                <w:rFonts w:hint="eastAsia" w:ascii="宋体" w:hAnsi="宋体" w:cs="Arial"/>
                <w:color w:val="auto"/>
                <w:sz w:val="18"/>
                <w:szCs w:val="18"/>
              </w:rPr>
              <w:t>室内音柱，功率不低于 6W，满足甲方使用要求</w:t>
            </w:r>
          </w:p>
        </w:tc>
        <w:tc>
          <w:tcPr>
            <w:tcW w:w="900" w:type="dxa"/>
            <w:tcBorders>
              <w:top w:val="nil"/>
              <w:left w:val="nil"/>
              <w:bottom w:val="single" w:color="auto" w:sz="4" w:space="0"/>
              <w:right w:val="single" w:color="auto" w:sz="4" w:space="0"/>
            </w:tcBorders>
            <w:vAlign w:val="center"/>
          </w:tcPr>
          <w:p w14:paraId="54BC4EA3">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4.00 </w:t>
            </w:r>
          </w:p>
        </w:tc>
        <w:tc>
          <w:tcPr>
            <w:tcW w:w="849" w:type="dxa"/>
            <w:gridSpan w:val="2"/>
            <w:tcBorders>
              <w:top w:val="nil"/>
              <w:left w:val="nil"/>
              <w:bottom w:val="single" w:color="auto" w:sz="4" w:space="0"/>
              <w:right w:val="single" w:color="auto" w:sz="4" w:space="0"/>
            </w:tcBorders>
            <w:vAlign w:val="center"/>
          </w:tcPr>
          <w:p w14:paraId="5721B0E9">
            <w:pPr>
              <w:widowControl/>
              <w:spacing w:line="400" w:lineRule="exact"/>
              <w:jc w:val="center"/>
              <w:rPr>
                <w:rFonts w:ascii="宋体" w:hAnsi="宋体" w:cs="Arial"/>
                <w:color w:val="auto"/>
                <w:sz w:val="18"/>
                <w:szCs w:val="18"/>
              </w:rPr>
            </w:pPr>
            <w:r>
              <w:rPr>
                <w:rFonts w:hint="eastAsia" w:ascii="宋体" w:hAnsi="宋体" w:cs="Arial"/>
                <w:color w:val="auto"/>
                <w:sz w:val="18"/>
                <w:szCs w:val="18"/>
              </w:rPr>
              <w:t>个</w:t>
            </w:r>
          </w:p>
        </w:tc>
      </w:tr>
      <w:tr w14:paraId="57636253">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81CFE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10</w:t>
            </w:r>
          </w:p>
        </w:tc>
        <w:tc>
          <w:tcPr>
            <w:tcW w:w="1397" w:type="dxa"/>
            <w:tcBorders>
              <w:top w:val="nil"/>
              <w:left w:val="nil"/>
              <w:bottom w:val="single" w:color="auto" w:sz="4" w:space="0"/>
              <w:right w:val="single" w:color="auto" w:sz="4" w:space="0"/>
            </w:tcBorders>
            <w:vAlign w:val="center"/>
          </w:tcPr>
          <w:p w14:paraId="5111429B">
            <w:pPr>
              <w:widowControl/>
              <w:spacing w:line="400" w:lineRule="exact"/>
              <w:jc w:val="center"/>
              <w:rPr>
                <w:rFonts w:ascii="宋体" w:hAnsi="宋体" w:cs="Arial"/>
                <w:color w:val="auto"/>
                <w:sz w:val="18"/>
                <w:szCs w:val="18"/>
              </w:rPr>
            </w:pPr>
            <w:r>
              <w:rPr>
                <w:rFonts w:hint="eastAsia" w:ascii="宋体" w:hAnsi="宋体" w:cs="Arial"/>
                <w:color w:val="auto"/>
                <w:sz w:val="18"/>
                <w:szCs w:val="18"/>
              </w:rPr>
              <w:t>音响线</w:t>
            </w:r>
          </w:p>
        </w:tc>
        <w:tc>
          <w:tcPr>
            <w:tcW w:w="5717" w:type="dxa"/>
            <w:tcBorders>
              <w:top w:val="nil"/>
              <w:left w:val="nil"/>
              <w:bottom w:val="single" w:color="auto" w:sz="4" w:space="0"/>
              <w:right w:val="single" w:color="auto" w:sz="4" w:space="0"/>
            </w:tcBorders>
            <w:vAlign w:val="center"/>
          </w:tcPr>
          <w:p w14:paraId="1E3519EA">
            <w:pPr>
              <w:widowControl/>
              <w:spacing w:line="400" w:lineRule="exact"/>
              <w:jc w:val="left"/>
              <w:rPr>
                <w:rFonts w:ascii="宋体" w:hAnsi="宋体" w:cs="Arial"/>
                <w:color w:val="auto"/>
                <w:sz w:val="18"/>
                <w:szCs w:val="18"/>
              </w:rPr>
            </w:pPr>
            <w:r>
              <w:rPr>
                <w:rFonts w:hint="eastAsia" w:ascii="宋体" w:hAnsi="宋体" w:cs="Arial"/>
                <w:color w:val="auto"/>
                <w:sz w:val="18"/>
                <w:szCs w:val="18"/>
              </w:rPr>
              <w:t>RVS2*1.5</w:t>
            </w:r>
          </w:p>
        </w:tc>
        <w:tc>
          <w:tcPr>
            <w:tcW w:w="900" w:type="dxa"/>
            <w:tcBorders>
              <w:top w:val="nil"/>
              <w:left w:val="nil"/>
              <w:bottom w:val="single" w:color="auto" w:sz="4" w:space="0"/>
              <w:right w:val="single" w:color="auto" w:sz="4" w:space="0"/>
            </w:tcBorders>
            <w:vAlign w:val="center"/>
          </w:tcPr>
          <w:p w14:paraId="762FE52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200.00 </w:t>
            </w:r>
          </w:p>
        </w:tc>
        <w:tc>
          <w:tcPr>
            <w:tcW w:w="849" w:type="dxa"/>
            <w:gridSpan w:val="2"/>
            <w:tcBorders>
              <w:top w:val="nil"/>
              <w:left w:val="nil"/>
              <w:bottom w:val="single" w:color="auto" w:sz="4" w:space="0"/>
              <w:right w:val="single" w:color="auto" w:sz="4" w:space="0"/>
            </w:tcBorders>
            <w:vAlign w:val="center"/>
          </w:tcPr>
          <w:p w14:paraId="2677A7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1084B455">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ABFFA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11</w:t>
            </w:r>
          </w:p>
        </w:tc>
        <w:tc>
          <w:tcPr>
            <w:tcW w:w="1397" w:type="dxa"/>
            <w:tcBorders>
              <w:top w:val="nil"/>
              <w:left w:val="nil"/>
              <w:bottom w:val="single" w:color="auto" w:sz="4" w:space="0"/>
              <w:right w:val="single" w:color="auto" w:sz="4" w:space="0"/>
            </w:tcBorders>
            <w:vAlign w:val="center"/>
          </w:tcPr>
          <w:p w14:paraId="51F5D24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电源线</w:t>
            </w:r>
          </w:p>
        </w:tc>
        <w:tc>
          <w:tcPr>
            <w:tcW w:w="5717" w:type="dxa"/>
            <w:tcBorders>
              <w:top w:val="nil"/>
              <w:left w:val="nil"/>
              <w:bottom w:val="single" w:color="auto" w:sz="4" w:space="0"/>
              <w:right w:val="single" w:color="auto" w:sz="4" w:space="0"/>
            </w:tcBorders>
            <w:vAlign w:val="center"/>
          </w:tcPr>
          <w:p w14:paraId="5E90C29C">
            <w:pPr>
              <w:widowControl/>
              <w:spacing w:line="400" w:lineRule="exact"/>
              <w:jc w:val="left"/>
              <w:rPr>
                <w:rFonts w:ascii="宋体" w:hAnsi="宋体" w:cs="Arial"/>
                <w:color w:val="auto"/>
                <w:sz w:val="18"/>
                <w:szCs w:val="18"/>
              </w:rPr>
            </w:pPr>
            <w:r>
              <w:rPr>
                <w:rFonts w:hint="eastAsia" w:ascii="宋体" w:hAnsi="宋体" w:cs="Arial"/>
                <w:color w:val="auto"/>
                <w:sz w:val="18"/>
                <w:szCs w:val="18"/>
              </w:rPr>
              <w:t>YJV2*2.5</w:t>
            </w:r>
          </w:p>
        </w:tc>
        <w:tc>
          <w:tcPr>
            <w:tcW w:w="900" w:type="dxa"/>
            <w:tcBorders>
              <w:top w:val="nil"/>
              <w:left w:val="nil"/>
              <w:bottom w:val="single" w:color="auto" w:sz="4" w:space="0"/>
              <w:right w:val="single" w:color="auto" w:sz="4" w:space="0"/>
            </w:tcBorders>
            <w:vAlign w:val="center"/>
          </w:tcPr>
          <w:p w14:paraId="7286CC2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130.00 </w:t>
            </w:r>
          </w:p>
        </w:tc>
        <w:tc>
          <w:tcPr>
            <w:tcW w:w="849" w:type="dxa"/>
            <w:gridSpan w:val="2"/>
            <w:tcBorders>
              <w:top w:val="nil"/>
              <w:left w:val="nil"/>
              <w:bottom w:val="single" w:color="auto" w:sz="4" w:space="0"/>
              <w:right w:val="single" w:color="auto" w:sz="4" w:space="0"/>
            </w:tcBorders>
            <w:vAlign w:val="center"/>
          </w:tcPr>
          <w:p w14:paraId="38542E65">
            <w:pPr>
              <w:widowControl/>
              <w:spacing w:line="400" w:lineRule="exact"/>
              <w:jc w:val="center"/>
              <w:rPr>
                <w:rFonts w:ascii="宋体" w:hAnsi="宋体" w:cs="Arial"/>
                <w:color w:val="auto"/>
                <w:sz w:val="18"/>
                <w:szCs w:val="18"/>
              </w:rPr>
            </w:pPr>
            <w:r>
              <w:rPr>
                <w:rFonts w:hint="eastAsia" w:ascii="宋体" w:hAnsi="宋体" w:cs="Arial"/>
                <w:color w:val="auto"/>
                <w:sz w:val="18"/>
                <w:szCs w:val="18"/>
              </w:rPr>
              <w:t>米</w:t>
            </w:r>
          </w:p>
        </w:tc>
      </w:tr>
      <w:tr w14:paraId="4470FB6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06D9F9">
            <w:pPr>
              <w:widowControl/>
              <w:spacing w:line="400" w:lineRule="exact"/>
              <w:jc w:val="center"/>
              <w:rPr>
                <w:rFonts w:ascii="宋体" w:hAnsi="宋体" w:cs="Arial"/>
                <w:color w:val="auto"/>
                <w:sz w:val="18"/>
                <w:szCs w:val="18"/>
              </w:rPr>
            </w:pPr>
            <w:r>
              <w:rPr>
                <w:rFonts w:hint="eastAsia" w:ascii="宋体" w:hAnsi="宋体" w:cs="Arial"/>
                <w:color w:val="auto"/>
                <w:sz w:val="18"/>
                <w:szCs w:val="18"/>
              </w:rPr>
              <w:t>12</w:t>
            </w:r>
          </w:p>
        </w:tc>
        <w:tc>
          <w:tcPr>
            <w:tcW w:w="1397" w:type="dxa"/>
            <w:tcBorders>
              <w:top w:val="nil"/>
              <w:left w:val="nil"/>
              <w:bottom w:val="single" w:color="auto" w:sz="4" w:space="0"/>
              <w:right w:val="single" w:color="auto" w:sz="4" w:space="0"/>
            </w:tcBorders>
            <w:vAlign w:val="center"/>
          </w:tcPr>
          <w:p w14:paraId="77E50F07">
            <w:pPr>
              <w:widowControl/>
              <w:spacing w:line="400" w:lineRule="exact"/>
              <w:jc w:val="center"/>
              <w:rPr>
                <w:rFonts w:ascii="宋体" w:hAnsi="宋体" w:cs="Arial"/>
                <w:color w:val="auto"/>
                <w:sz w:val="18"/>
                <w:szCs w:val="18"/>
              </w:rPr>
            </w:pPr>
            <w:r>
              <w:rPr>
                <w:rFonts w:hint="eastAsia" w:ascii="宋体" w:hAnsi="宋体" w:cs="Arial"/>
                <w:color w:val="auto"/>
                <w:sz w:val="18"/>
                <w:szCs w:val="18"/>
              </w:rPr>
              <w:t>电瓶增加充电器</w:t>
            </w:r>
          </w:p>
        </w:tc>
        <w:tc>
          <w:tcPr>
            <w:tcW w:w="5717" w:type="dxa"/>
            <w:tcBorders>
              <w:top w:val="nil"/>
              <w:left w:val="nil"/>
              <w:bottom w:val="single" w:color="auto" w:sz="4" w:space="0"/>
              <w:right w:val="single" w:color="auto" w:sz="4" w:space="0"/>
            </w:tcBorders>
            <w:vAlign w:val="center"/>
          </w:tcPr>
          <w:p w14:paraId="297E7D20">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7492F89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55762AA">
            <w:pPr>
              <w:widowControl/>
              <w:spacing w:line="400" w:lineRule="exact"/>
              <w:jc w:val="center"/>
              <w:rPr>
                <w:rFonts w:ascii="宋体" w:hAnsi="宋体" w:cs="Arial"/>
                <w:color w:val="auto"/>
                <w:sz w:val="18"/>
                <w:szCs w:val="18"/>
              </w:rPr>
            </w:pPr>
            <w:r>
              <w:rPr>
                <w:rFonts w:hint="eastAsia" w:ascii="宋体" w:hAnsi="宋体" w:cs="Arial"/>
                <w:color w:val="auto"/>
                <w:sz w:val="18"/>
                <w:szCs w:val="18"/>
              </w:rPr>
              <w:t>块</w:t>
            </w:r>
          </w:p>
        </w:tc>
      </w:tr>
      <w:tr w14:paraId="6F4DA89B">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D68C07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13</w:t>
            </w:r>
          </w:p>
        </w:tc>
        <w:tc>
          <w:tcPr>
            <w:tcW w:w="1397" w:type="dxa"/>
            <w:tcBorders>
              <w:top w:val="nil"/>
              <w:left w:val="nil"/>
              <w:bottom w:val="single" w:color="auto" w:sz="4" w:space="0"/>
              <w:right w:val="single" w:color="auto" w:sz="4" w:space="0"/>
            </w:tcBorders>
            <w:vAlign w:val="center"/>
          </w:tcPr>
          <w:p w14:paraId="76AC2AE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应急医疗包</w:t>
            </w:r>
          </w:p>
        </w:tc>
        <w:tc>
          <w:tcPr>
            <w:tcW w:w="5717" w:type="dxa"/>
            <w:tcBorders>
              <w:top w:val="nil"/>
              <w:left w:val="nil"/>
              <w:bottom w:val="single" w:color="auto" w:sz="4" w:space="0"/>
              <w:right w:val="single" w:color="auto" w:sz="4" w:space="0"/>
            </w:tcBorders>
            <w:vAlign w:val="center"/>
          </w:tcPr>
          <w:p w14:paraId="45F60CE6">
            <w:pPr>
              <w:widowControl/>
              <w:spacing w:line="400" w:lineRule="exact"/>
              <w:jc w:val="left"/>
              <w:rPr>
                <w:rFonts w:ascii="宋体" w:hAnsi="宋体" w:cs="Arial"/>
                <w:color w:val="auto"/>
                <w:sz w:val="18"/>
                <w:szCs w:val="18"/>
              </w:rPr>
            </w:pPr>
            <w:r>
              <w:rPr>
                <w:rFonts w:hint="eastAsia" w:ascii="宋体" w:hAnsi="宋体" w:cs="Arial"/>
                <w:color w:val="auto"/>
                <w:sz w:val="18"/>
                <w:szCs w:val="18"/>
              </w:rPr>
              <w:t>满足甲方使用要求</w:t>
            </w:r>
          </w:p>
        </w:tc>
        <w:tc>
          <w:tcPr>
            <w:tcW w:w="900" w:type="dxa"/>
            <w:tcBorders>
              <w:top w:val="nil"/>
              <w:left w:val="nil"/>
              <w:bottom w:val="single" w:color="auto" w:sz="4" w:space="0"/>
              <w:right w:val="single" w:color="auto" w:sz="4" w:space="0"/>
            </w:tcBorders>
            <w:vAlign w:val="center"/>
          </w:tcPr>
          <w:p w14:paraId="0B59A38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10.00 </w:t>
            </w:r>
          </w:p>
        </w:tc>
        <w:tc>
          <w:tcPr>
            <w:tcW w:w="849" w:type="dxa"/>
            <w:gridSpan w:val="2"/>
            <w:tcBorders>
              <w:top w:val="nil"/>
              <w:left w:val="nil"/>
              <w:bottom w:val="single" w:color="auto" w:sz="4" w:space="0"/>
              <w:right w:val="single" w:color="auto" w:sz="4" w:space="0"/>
            </w:tcBorders>
            <w:vAlign w:val="center"/>
          </w:tcPr>
          <w:p w14:paraId="08E25E7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盒</w:t>
            </w:r>
          </w:p>
        </w:tc>
      </w:tr>
      <w:tr w14:paraId="3F3CF2B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5A327DB">
            <w:pPr>
              <w:widowControl/>
              <w:spacing w:line="400" w:lineRule="exact"/>
              <w:jc w:val="left"/>
              <w:rPr>
                <w:rFonts w:ascii="宋体" w:hAnsi="宋体" w:cs="Arial"/>
                <w:b/>
                <w:bCs/>
                <w:color w:val="auto"/>
                <w:sz w:val="18"/>
                <w:szCs w:val="18"/>
              </w:rPr>
            </w:pPr>
            <w:r>
              <w:rPr>
                <w:rFonts w:hint="eastAsia" w:ascii="宋体" w:hAnsi="宋体" w:cs="Arial"/>
                <w:b/>
                <w:bCs/>
                <w:color w:val="auto"/>
                <w:sz w:val="18"/>
                <w:szCs w:val="18"/>
              </w:rPr>
              <w:t>应急演练</w:t>
            </w:r>
          </w:p>
        </w:tc>
      </w:tr>
      <w:tr w14:paraId="14806374">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69D883C">
            <w:pPr>
              <w:widowControl/>
              <w:spacing w:line="400" w:lineRule="exact"/>
              <w:jc w:val="left"/>
              <w:rPr>
                <w:rFonts w:ascii="宋体" w:hAnsi="宋体" w:cs="Arial"/>
                <w:color w:val="auto"/>
                <w:sz w:val="18"/>
                <w:szCs w:val="18"/>
              </w:rPr>
            </w:pPr>
            <w:r>
              <w:rPr>
                <w:rFonts w:hint="eastAsia" w:ascii="宋体" w:hAnsi="宋体" w:cs="Arial"/>
                <w:color w:val="auto"/>
                <w:sz w:val="18"/>
                <w:szCs w:val="18"/>
              </w:rPr>
              <w:t>县级综合演练</w:t>
            </w:r>
          </w:p>
        </w:tc>
      </w:tr>
      <w:tr w14:paraId="6CE1BBE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C742425">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2E9B727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演练场景与物资保障</w:t>
            </w:r>
          </w:p>
        </w:tc>
        <w:tc>
          <w:tcPr>
            <w:tcW w:w="5717" w:type="dxa"/>
            <w:tcBorders>
              <w:top w:val="nil"/>
              <w:left w:val="nil"/>
              <w:bottom w:val="single" w:color="auto" w:sz="4" w:space="0"/>
              <w:right w:val="single" w:color="auto" w:sz="4" w:space="0"/>
            </w:tcBorders>
            <w:vAlign w:val="center"/>
          </w:tcPr>
          <w:p w14:paraId="1C82FC99">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模拟灾害场景搭建（道路损毁、房屋险情、水域救援、边坡隐患等）、警戒隔离、标识标牌、警示灯带、警戒带、反光锥、应急通讯保障（对讲机租赁/充电、备用电池、扩音设备、临时组网）、抢险装备耗材（破拆工具、绳索、救生衣、照明、灭火器、油料耗材）、简易模拟伤员、救护标识、防护用品（手套、口罩、反光背心等）。</w:t>
            </w:r>
          </w:p>
        </w:tc>
        <w:tc>
          <w:tcPr>
            <w:tcW w:w="900" w:type="dxa"/>
            <w:tcBorders>
              <w:top w:val="nil"/>
              <w:left w:val="nil"/>
              <w:bottom w:val="single" w:color="auto" w:sz="4" w:space="0"/>
              <w:right w:val="single" w:color="auto" w:sz="4" w:space="0"/>
            </w:tcBorders>
            <w:vAlign w:val="center"/>
          </w:tcPr>
          <w:p w14:paraId="68214A5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02E578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20A795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AF2542D">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D94124C">
            <w:pPr>
              <w:widowControl/>
              <w:spacing w:line="400" w:lineRule="exact"/>
              <w:jc w:val="center"/>
              <w:rPr>
                <w:rFonts w:ascii="宋体" w:hAnsi="宋体" w:cs="Arial"/>
                <w:color w:val="auto"/>
                <w:sz w:val="18"/>
                <w:szCs w:val="18"/>
              </w:rPr>
            </w:pPr>
            <w:r>
              <w:rPr>
                <w:rFonts w:hint="eastAsia" w:ascii="宋体" w:hAnsi="宋体" w:cs="Arial"/>
                <w:color w:val="auto"/>
                <w:sz w:val="18"/>
                <w:szCs w:val="18"/>
              </w:rPr>
              <w:t>群众转移避险与安置保障</w:t>
            </w:r>
          </w:p>
        </w:tc>
        <w:tc>
          <w:tcPr>
            <w:tcW w:w="5717" w:type="dxa"/>
            <w:tcBorders>
              <w:top w:val="nil"/>
              <w:left w:val="nil"/>
              <w:bottom w:val="single" w:color="auto" w:sz="4" w:space="0"/>
              <w:right w:val="single" w:color="auto" w:sz="4" w:space="0"/>
            </w:tcBorders>
            <w:vAlign w:val="center"/>
          </w:tcPr>
          <w:p w14:paraId="248EC02F">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包含临时安置点布置（帐篷、桌椅、简易床、标识、指引牌、分区围挡）、转移安置物资（饮用水、方便食品、应急毛毯、垃圾袋、消杀用品）、转移车辆调度（中巴、指挥车、转运车）。</w:t>
            </w:r>
          </w:p>
        </w:tc>
        <w:tc>
          <w:tcPr>
            <w:tcW w:w="900" w:type="dxa"/>
            <w:tcBorders>
              <w:top w:val="nil"/>
              <w:left w:val="nil"/>
              <w:bottom w:val="single" w:color="auto" w:sz="4" w:space="0"/>
              <w:right w:val="single" w:color="auto" w:sz="4" w:space="0"/>
            </w:tcBorders>
            <w:vAlign w:val="center"/>
          </w:tcPr>
          <w:p w14:paraId="136F84FF">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84DEDC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7B2A85B6">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812CDCA">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646DB48B">
            <w:pPr>
              <w:widowControl/>
              <w:spacing w:line="400" w:lineRule="exact"/>
              <w:jc w:val="center"/>
              <w:rPr>
                <w:rFonts w:ascii="宋体" w:hAnsi="宋体" w:cs="Arial"/>
                <w:color w:val="auto"/>
                <w:sz w:val="18"/>
                <w:szCs w:val="18"/>
              </w:rPr>
            </w:pPr>
            <w:r>
              <w:rPr>
                <w:rFonts w:hint="eastAsia" w:ascii="宋体" w:hAnsi="宋体" w:cs="Arial"/>
                <w:color w:val="auto"/>
                <w:sz w:val="18"/>
                <w:szCs w:val="18"/>
              </w:rPr>
              <w:t>医疗救护与卫生防疫</w:t>
            </w:r>
          </w:p>
        </w:tc>
        <w:tc>
          <w:tcPr>
            <w:tcW w:w="5717" w:type="dxa"/>
            <w:tcBorders>
              <w:top w:val="nil"/>
              <w:left w:val="nil"/>
              <w:bottom w:val="single" w:color="auto" w:sz="4" w:space="0"/>
              <w:right w:val="single" w:color="auto" w:sz="4" w:space="0"/>
            </w:tcBorders>
            <w:vAlign w:val="center"/>
          </w:tcPr>
          <w:p w14:paraId="5FB4237E">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包含急救设备与耗材（担架、急救箱、止血包扎、氧气袋等）、医护人员、急救车辆现场保障、卫生消杀、防疫物资、临时医疗点布置等。</w:t>
            </w:r>
          </w:p>
        </w:tc>
        <w:tc>
          <w:tcPr>
            <w:tcW w:w="900" w:type="dxa"/>
            <w:tcBorders>
              <w:top w:val="nil"/>
              <w:left w:val="nil"/>
              <w:bottom w:val="single" w:color="auto" w:sz="4" w:space="0"/>
              <w:right w:val="single" w:color="auto" w:sz="4" w:space="0"/>
            </w:tcBorders>
            <w:vAlign w:val="center"/>
          </w:tcPr>
          <w:p w14:paraId="1CC2814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CE7295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66C55BC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95888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4478D02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指挥协调、会商研判与技术保障</w:t>
            </w:r>
          </w:p>
        </w:tc>
        <w:tc>
          <w:tcPr>
            <w:tcW w:w="5717" w:type="dxa"/>
            <w:tcBorders>
              <w:top w:val="nil"/>
              <w:left w:val="nil"/>
              <w:bottom w:val="single" w:color="auto" w:sz="4" w:space="0"/>
              <w:right w:val="single" w:color="auto" w:sz="4" w:space="0"/>
            </w:tcBorders>
            <w:vAlign w:val="center"/>
          </w:tcPr>
          <w:p w14:paraId="69D5DFC6">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包含会商研判会场布置、大屏/投影/音响、应急指挥终端调试、演练脚本编制、流程图制作、场景手册、工作证、资料打印、监测预警模拟设备、预警发布系统调试、短信/广播模拟等。</w:t>
            </w:r>
          </w:p>
        </w:tc>
        <w:tc>
          <w:tcPr>
            <w:tcW w:w="900" w:type="dxa"/>
            <w:tcBorders>
              <w:top w:val="nil"/>
              <w:left w:val="nil"/>
              <w:bottom w:val="single" w:color="auto" w:sz="4" w:space="0"/>
              <w:right w:val="single" w:color="auto" w:sz="4" w:space="0"/>
            </w:tcBorders>
            <w:vAlign w:val="center"/>
          </w:tcPr>
          <w:p w14:paraId="4CF6A1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CAF93C9">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39E79C6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3C601394">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4CDBE68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宣传、影像记录与评估总结</w:t>
            </w:r>
          </w:p>
        </w:tc>
        <w:tc>
          <w:tcPr>
            <w:tcW w:w="5717" w:type="dxa"/>
            <w:tcBorders>
              <w:top w:val="nil"/>
              <w:left w:val="nil"/>
              <w:bottom w:val="single" w:color="auto" w:sz="4" w:space="0"/>
              <w:right w:val="single" w:color="auto" w:sz="4" w:space="0"/>
            </w:tcBorders>
            <w:vAlign w:val="center"/>
          </w:tcPr>
          <w:p w14:paraId="2B270FF3">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包含摄影、摄像、无人机航拍、现场直播/回传、演练宣传片精剪、照片冲印、展板制作、第三方评估/专家评审、总结报告编制、台账资料整理等。</w:t>
            </w:r>
          </w:p>
        </w:tc>
        <w:tc>
          <w:tcPr>
            <w:tcW w:w="900" w:type="dxa"/>
            <w:tcBorders>
              <w:top w:val="nil"/>
              <w:left w:val="nil"/>
              <w:bottom w:val="single" w:color="auto" w:sz="4" w:space="0"/>
              <w:right w:val="single" w:color="auto" w:sz="4" w:space="0"/>
            </w:tcBorders>
            <w:vAlign w:val="center"/>
          </w:tcPr>
          <w:p w14:paraId="149BA76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327126B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5B69C9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567749C">
            <w:pPr>
              <w:widowControl/>
              <w:spacing w:line="400" w:lineRule="exact"/>
              <w:jc w:val="center"/>
              <w:rPr>
                <w:rFonts w:ascii="宋体" w:hAnsi="宋体" w:cs="Arial"/>
                <w:color w:val="auto"/>
                <w:sz w:val="18"/>
                <w:szCs w:val="18"/>
              </w:rPr>
            </w:pPr>
            <w:r>
              <w:rPr>
                <w:rFonts w:hint="eastAsia" w:ascii="宋体" w:hAnsi="宋体" w:cs="Arial"/>
                <w:color w:val="auto"/>
                <w:sz w:val="18"/>
                <w:szCs w:val="18"/>
              </w:rPr>
              <w:t>6</w:t>
            </w:r>
          </w:p>
        </w:tc>
        <w:tc>
          <w:tcPr>
            <w:tcW w:w="1397" w:type="dxa"/>
            <w:tcBorders>
              <w:top w:val="nil"/>
              <w:left w:val="nil"/>
              <w:bottom w:val="single" w:color="auto" w:sz="4" w:space="0"/>
              <w:right w:val="single" w:color="auto" w:sz="4" w:space="0"/>
            </w:tcBorders>
            <w:vAlign w:val="center"/>
          </w:tcPr>
          <w:p w14:paraId="6CF134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人员、交通、后勤综合保障</w:t>
            </w:r>
          </w:p>
        </w:tc>
        <w:tc>
          <w:tcPr>
            <w:tcW w:w="5717" w:type="dxa"/>
            <w:tcBorders>
              <w:top w:val="nil"/>
              <w:left w:val="nil"/>
              <w:bottom w:val="single" w:color="auto" w:sz="4" w:space="0"/>
              <w:right w:val="single" w:color="auto" w:sz="4" w:space="0"/>
            </w:tcBorders>
            <w:vAlign w:val="center"/>
          </w:tcPr>
          <w:p w14:paraId="7C7FA16C">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包含参演人员餐食、饮水、现场补给、交通油料、车辆停放、现场保洁、垃圾清运等。</w:t>
            </w:r>
          </w:p>
        </w:tc>
        <w:tc>
          <w:tcPr>
            <w:tcW w:w="900" w:type="dxa"/>
            <w:tcBorders>
              <w:top w:val="nil"/>
              <w:left w:val="nil"/>
              <w:bottom w:val="single" w:color="auto" w:sz="4" w:space="0"/>
              <w:right w:val="single" w:color="auto" w:sz="4" w:space="0"/>
            </w:tcBorders>
            <w:vAlign w:val="center"/>
          </w:tcPr>
          <w:p w14:paraId="4760A9B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625C9B1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000A1C8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6CDD476D">
            <w:pPr>
              <w:widowControl/>
              <w:spacing w:line="400" w:lineRule="exact"/>
              <w:jc w:val="left"/>
              <w:rPr>
                <w:rFonts w:ascii="宋体" w:hAnsi="宋体" w:cs="Arial"/>
                <w:color w:val="auto"/>
                <w:sz w:val="18"/>
                <w:szCs w:val="18"/>
              </w:rPr>
            </w:pPr>
            <w:r>
              <w:rPr>
                <w:rFonts w:hint="eastAsia" w:ascii="宋体" w:hAnsi="宋体" w:cs="Arial"/>
                <w:color w:val="auto"/>
                <w:sz w:val="18"/>
                <w:szCs w:val="18"/>
              </w:rPr>
              <w:t>镇村级防火专项演练</w:t>
            </w:r>
          </w:p>
        </w:tc>
      </w:tr>
      <w:tr w14:paraId="4F668E2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1EF551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44AD2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防火实操培训与教学</w:t>
            </w:r>
          </w:p>
        </w:tc>
        <w:tc>
          <w:tcPr>
            <w:tcW w:w="5717" w:type="dxa"/>
            <w:tcBorders>
              <w:top w:val="nil"/>
              <w:left w:val="nil"/>
              <w:bottom w:val="single" w:color="auto" w:sz="4" w:space="0"/>
              <w:right w:val="single" w:color="auto" w:sz="4" w:space="0"/>
            </w:tcBorders>
            <w:vAlign w:val="center"/>
          </w:tcPr>
          <w:p w14:paraId="05860D78">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专业讲师教学培训（负责讲解火情识别、报警流程、初期火情处置、应急预案解读等，贴合镇村级防火实际场景）；教学资料编制与印刷（含防火演练手册、应急预案简化版、火情处置流程图、操作规范卡片，按需印刷发放至每一位参训人员，适配基层培训便捷性需求）；实操教学耗材（含灭火毯、简易灭火器教具、防火拖把、模拟点火器材等，用于现场手把手教学，确保参训人员逐一实操练习）；教学场地与设备租赁（租赁镇村级会议室/露天场地、投影、音响、麦克风，用于理论授课和实操示范讲解，兼顾乡村场地实际条件）。</w:t>
            </w:r>
          </w:p>
        </w:tc>
        <w:tc>
          <w:tcPr>
            <w:tcW w:w="900" w:type="dxa"/>
            <w:tcBorders>
              <w:top w:val="nil"/>
              <w:left w:val="nil"/>
              <w:bottom w:val="single" w:color="auto" w:sz="4" w:space="0"/>
              <w:right w:val="single" w:color="auto" w:sz="4" w:space="0"/>
            </w:tcBorders>
            <w:vAlign w:val="center"/>
          </w:tcPr>
          <w:p w14:paraId="02BF65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3B4EFF7">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490F82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C695511">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FF139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防火演练器材与场景模拟</w:t>
            </w:r>
          </w:p>
        </w:tc>
        <w:tc>
          <w:tcPr>
            <w:tcW w:w="5717" w:type="dxa"/>
            <w:tcBorders>
              <w:top w:val="nil"/>
              <w:left w:val="nil"/>
              <w:bottom w:val="single" w:color="auto" w:sz="4" w:space="0"/>
              <w:right w:val="single" w:color="auto" w:sz="4" w:space="0"/>
            </w:tcBorders>
            <w:vAlign w:val="center"/>
          </w:tcPr>
          <w:p w14:paraId="444A0CA1">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防火抢险器材（含风力灭火机、消防水泵、水带、灭火水枪、油锯、砍刀、铁锹、二号/三号扑火工具等，覆盖镇村级火情扑救核心需求）；模拟火情场景搭建（含发烟罐、模拟秸秆堆、防火隔离带搭建材料、警示标识等，模拟镇村级常见火情场景，贴合实战化要求）；应急通讯器材保障（对讲机租赁、备用电池、扩音喇叭，保障镇村干部、预警员、演练各组之间实时通讯，适配乡村信号条件）；参训人员防护装备（反光背心、防火手套、防护口罩、安全帽，保障实操演练安全）。</w:t>
            </w:r>
          </w:p>
        </w:tc>
        <w:tc>
          <w:tcPr>
            <w:tcW w:w="900" w:type="dxa"/>
            <w:tcBorders>
              <w:top w:val="nil"/>
              <w:left w:val="nil"/>
              <w:bottom w:val="single" w:color="auto" w:sz="4" w:space="0"/>
              <w:right w:val="single" w:color="auto" w:sz="4" w:space="0"/>
            </w:tcBorders>
            <w:vAlign w:val="center"/>
          </w:tcPr>
          <w:p w14:paraId="67D34A0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2FCC3B66">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237FD4FA">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31829FC">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010F9CC4">
            <w:pPr>
              <w:widowControl/>
              <w:spacing w:line="400" w:lineRule="exact"/>
              <w:jc w:val="center"/>
              <w:rPr>
                <w:rFonts w:ascii="宋体" w:hAnsi="宋体" w:cs="Arial"/>
                <w:color w:val="auto"/>
                <w:sz w:val="18"/>
                <w:szCs w:val="18"/>
              </w:rPr>
            </w:pPr>
            <w:r>
              <w:rPr>
                <w:rFonts w:hint="eastAsia" w:ascii="宋体" w:hAnsi="宋体" w:cs="Arial"/>
                <w:color w:val="auto"/>
                <w:sz w:val="18"/>
                <w:szCs w:val="18"/>
              </w:rPr>
              <w:t>应急处置与现场保障</w:t>
            </w:r>
          </w:p>
        </w:tc>
        <w:tc>
          <w:tcPr>
            <w:tcW w:w="5717" w:type="dxa"/>
            <w:tcBorders>
              <w:top w:val="nil"/>
              <w:left w:val="nil"/>
              <w:bottom w:val="single" w:color="auto" w:sz="4" w:space="0"/>
              <w:right w:val="single" w:color="auto" w:sz="4" w:space="0"/>
            </w:tcBorders>
            <w:vAlign w:val="center"/>
          </w:tcPr>
          <w:p w14:paraId="4EFDB430">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医疗救护保障（急救箱、止血包扎耗材、担架租赁，医护人员现场值守补贴，模拟火情处置中轻微灼伤、体力不支等场景的救护流程）；现场警戒与安全保障（警戒带、反光锥、警戒标识、现场安全员，划分演练区域，禁止无关人员进入，保障演练安全）；车辆调度（参演车辆、应急转运车，用于参训人员接送、器材转运，适配乡村交通条件）；现场保洁与垃圾清运（演练结束后现场清理、模拟火情材料清运、器材整理，恢复现场原貌，贴合乡村环境整治要求）。</w:t>
            </w:r>
          </w:p>
        </w:tc>
        <w:tc>
          <w:tcPr>
            <w:tcW w:w="900" w:type="dxa"/>
            <w:tcBorders>
              <w:top w:val="nil"/>
              <w:left w:val="nil"/>
              <w:bottom w:val="single" w:color="auto" w:sz="4" w:space="0"/>
              <w:right w:val="single" w:color="auto" w:sz="4" w:space="0"/>
            </w:tcBorders>
            <w:vAlign w:val="center"/>
          </w:tcPr>
          <w:p w14:paraId="75F67CFD">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C25DC44">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4D616D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1A3E1A">
            <w:pPr>
              <w:widowControl/>
              <w:spacing w:line="400" w:lineRule="exact"/>
              <w:jc w:val="center"/>
              <w:rPr>
                <w:rFonts w:ascii="宋体" w:hAnsi="宋体" w:cs="Arial"/>
                <w:color w:val="auto"/>
                <w:sz w:val="18"/>
                <w:szCs w:val="18"/>
              </w:rPr>
            </w:pPr>
            <w:r>
              <w:rPr>
                <w:rFonts w:hint="eastAsia" w:ascii="宋体" w:hAnsi="宋体" w:cs="Arial"/>
                <w:color w:val="auto"/>
                <w:sz w:val="18"/>
                <w:szCs w:val="18"/>
              </w:rPr>
              <w:t>4</w:t>
            </w:r>
          </w:p>
        </w:tc>
        <w:tc>
          <w:tcPr>
            <w:tcW w:w="1397" w:type="dxa"/>
            <w:tcBorders>
              <w:top w:val="nil"/>
              <w:left w:val="nil"/>
              <w:bottom w:val="single" w:color="auto" w:sz="4" w:space="0"/>
              <w:right w:val="single" w:color="auto" w:sz="4" w:space="0"/>
            </w:tcBorders>
            <w:vAlign w:val="center"/>
          </w:tcPr>
          <w:p w14:paraId="5BCD6FF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宣传记录与总结评估</w:t>
            </w:r>
          </w:p>
        </w:tc>
        <w:tc>
          <w:tcPr>
            <w:tcW w:w="5717" w:type="dxa"/>
            <w:tcBorders>
              <w:top w:val="nil"/>
              <w:left w:val="nil"/>
              <w:bottom w:val="single" w:color="auto" w:sz="4" w:space="0"/>
              <w:right w:val="single" w:color="auto" w:sz="4" w:space="0"/>
            </w:tcBorders>
            <w:vAlign w:val="center"/>
          </w:tcPr>
          <w:p w14:paraId="734E498C">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影像记录服务（摄影、摄像、无人机航拍，全程记录演练流程，用于复盘总结、宣传存档，适配镇村级宣传需求）；宣传推广（乡村大喇叭宣传、宣传横幅、海报制作，普及防火知识及演练意义，覆盖各村社）；总结评估与报告编制（专家复盘评审、演练总结报告编制、台账整理，梳理演练中的问题，优化镇村级防火应急预案及处置流程）。</w:t>
            </w:r>
          </w:p>
        </w:tc>
        <w:tc>
          <w:tcPr>
            <w:tcW w:w="900" w:type="dxa"/>
            <w:tcBorders>
              <w:top w:val="nil"/>
              <w:left w:val="nil"/>
              <w:bottom w:val="single" w:color="auto" w:sz="4" w:space="0"/>
              <w:right w:val="single" w:color="auto" w:sz="4" w:space="0"/>
            </w:tcBorders>
            <w:vAlign w:val="center"/>
          </w:tcPr>
          <w:p w14:paraId="1D687DB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4CAC9B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B20FA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43685A0">
            <w:pPr>
              <w:widowControl/>
              <w:spacing w:line="400" w:lineRule="exact"/>
              <w:jc w:val="center"/>
              <w:rPr>
                <w:rFonts w:ascii="宋体" w:hAnsi="宋体" w:cs="Arial"/>
                <w:color w:val="auto"/>
                <w:sz w:val="18"/>
                <w:szCs w:val="18"/>
              </w:rPr>
            </w:pPr>
            <w:r>
              <w:rPr>
                <w:rFonts w:hint="eastAsia" w:ascii="宋体" w:hAnsi="宋体" w:cs="Arial"/>
                <w:color w:val="auto"/>
                <w:sz w:val="18"/>
                <w:szCs w:val="18"/>
              </w:rPr>
              <w:t>5</w:t>
            </w:r>
          </w:p>
        </w:tc>
        <w:tc>
          <w:tcPr>
            <w:tcW w:w="1397" w:type="dxa"/>
            <w:tcBorders>
              <w:top w:val="nil"/>
              <w:left w:val="nil"/>
              <w:bottom w:val="single" w:color="auto" w:sz="4" w:space="0"/>
              <w:right w:val="single" w:color="auto" w:sz="4" w:space="0"/>
            </w:tcBorders>
            <w:vAlign w:val="center"/>
          </w:tcPr>
          <w:p w14:paraId="6AB13752">
            <w:pPr>
              <w:widowControl/>
              <w:spacing w:line="400" w:lineRule="exact"/>
              <w:jc w:val="center"/>
              <w:rPr>
                <w:rFonts w:ascii="宋体" w:hAnsi="宋体" w:cs="Arial"/>
                <w:color w:val="auto"/>
                <w:sz w:val="18"/>
                <w:szCs w:val="18"/>
              </w:rPr>
            </w:pPr>
            <w:r>
              <w:rPr>
                <w:rFonts w:hint="eastAsia" w:ascii="宋体" w:hAnsi="宋体" w:cs="Arial"/>
                <w:color w:val="auto"/>
                <w:sz w:val="18"/>
                <w:szCs w:val="18"/>
              </w:rPr>
              <w:t>参训人员后勤综合保障</w:t>
            </w:r>
          </w:p>
        </w:tc>
        <w:tc>
          <w:tcPr>
            <w:tcW w:w="5717" w:type="dxa"/>
            <w:tcBorders>
              <w:top w:val="nil"/>
              <w:left w:val="nil"/>
              <w:bottom w:val="single" w:color="auto" w:sz="4" w:space="0"/>
              <w:right w:val="single" w:color="auto" w:sz="4" w:space="0"/>
            </w:tcBorders>
            <w:vAlign w:val="center"/>
          </w:tcPr>
          <w:p w14:paraId="2BA429B8">
            <w:pPr>
              <w:widowControl/>
              <w:spacing w:line="400" w:lineRule="exact"/>
              <w:jc w:val="left"/>
              <w:rPr>
                <w:rFonts w:ascii="宋体" w:hAnsi="宋体" w:cs="Arial"/>
                <w:color w:val="auto"/>
                <w:sz w:val="18"/>
                <w:szCs w:val="18"/>
              </w:rPr>
            </w:pPr>
            <w:r>
              <w:rPr>
                <w:rFonts w:hint="eastAsia" w:ascii="宋体" w:hAnsi="宋体" w:cs="Arial"/>
                <w:color w:val="auto"/>
                <w:sz w:val="18"/>
                <w:szCs w:val="18"/>
              </w:rPr>
              <w:t>包含参训人员餐饮（保障演练期间正餐、饮用水、应急补给）；参训劳务保障（保障村社干部、预警员等兼职参训人员）；后勤人员保障（现场引导、器材分发、登记考勤等后勤人员）。</w:t>
            </w:r>
          </w:p>
        </w:tc>
        <w:tc>
          <w:tcPr>
            <w:tcW w:w="900" w:type="dxa"/>
            <w:tcBorders>
              <w:top w:val="nil"/>
              <w:left w:val="nil"/>
              <w:bottom w:val="single" w:color="auto" w:sz="4" w:space="0"/>
              <w:right w:val="single" w:color="auto" w:sz="4" w:space="0"/>
            </w:tcBorders>
            <w:vAlign w:val="center"/>
          </w:tcPr>
          <w:p w14:paraId="53E14505">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2.00 </w:t>
            </w:r>
          </w:p>
        </w:tc>
        <w:tc>
          <w:tcPr>
            <w:tcW w:w="849" w:type="dxa"/>
            <w:gridSpan w:val="2"/>
            <w:tcBorders>
              <w:top w:val="nil"/>
              <w:left w:val="nil"/>
              <w:bottom w:val="single" w:color="auto" w:sz="4" w:space="0"/>
              <w:right w:val="single" w:color="auto" w:sz="4" w:space="0"/>
            </w:tcBorders>
            <w:vAlign w:val="center"/>
          </w:tcPr>
          <w:p w14:paraId="0421AE1B">
            <w:pPr>
              <w:widowControl/>
              <w:spacing w:line="400" w:lineRule="exact"/>
              <w:jc w:val="center"/>
              <w:rPr>
                <w:rFonts w:ascii="宋体" w:hAnsi="宋体" w:cs="Arial"/>
                <w:color w:val="auto"/>
                <w:sz w:val="18"/>
                <w:szCs w:val="18"/>
              </w:rPr>
            </w:pPr>
            <w:r>
              <w:rPr>
                <w:rFonts w:hint="eastAsia" w:ascii="宋体" w:hAnsi="宋体" w:cs="Arial"/>
                <w:color w:val="auto"/>
                <w:sz w:val="18"/>
                <w:szCs w:val="18"/>
              </w:rPr>
              <w:t>次</w:t>
            </w:r>
          </w:p>
        </w:tc>
      </w:tr>
      <w:tr w14:paraId="126A583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560ECD4">
            <w:pPr>
              <w:widowControl/>
              <w:spacing w:line="400" w:lineRule="exact"/>
              <w:jc w:val="left"/>
              <w:rPr>
                <w:rFonts w:ascii="宋体" w:hAnsi="宋体" w:cs="Arial"/>
                <w:color w:val="auto"/>
                <w:sz w:val="18"/>
                <w:szCs w:val="18"/>
              </w:rPr>
            </w:pPr>
            <w:r>
              <w:rPr>
                <w:rFonts w:hint="eastAsia" w:ascii="宋体" w:hAnsi="宋体" w:cs="Arial"/>
                <w:b/>
                <w:bCs/>
                <w:color w:val="auto"/>
                <w:sz w:val="18"/>
                <w:szCs w:val="18"/>
              </w:rPr>
              <w:t>提升普查数据更新及成果应用能力</w:t>
            </w:r>
          </w:p>
        </w:tc>
      </w:tr>
      <w:tr w14:paraId="5C992693">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7C4E22C7">
            <w:pPr>
              <w:widowControl/>
              <w:spacing w:line="400" w:lineRule="exact"/>
              <w:jc w:val="left"/>
              <w:rPr>
                <w:rFonts w:ascii="宋体" w:hAnsi="宋体" w:cs="Arial"/>
                <w:color w:val="auto"/>
                <w:sz w:val="18"/>
                <w:szCs w:val="18"/>
              </w:rPr>
            </w:pPr>
            <w:r>
              <w:rPr>
                <w:rFonts w:hint="eastAsia" w:ascii="宋体" w:hAnsi="宋体" w:cs="Arial"/>
                <w:color w:val="auto"/>
                <w:sz w:val="18"/>
                <w:szCs w:val="18"/>
              </w:rPr>
              <w:t>县级基础风险数据库</w:t>
            </w:r>
          </w:p>
        </w:tc>
      </w:tr>
      <w:tr w14:paraId="0821A499">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7A69C0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45F8923A">
            <w:pPr>
              <w:widowControl/>
              <w:spacing w:line="400" w:lineRule="exact"/>
              <w:jc w:val="center"/>
              <w:rPr>
                <w:rFonts w:ascii="宋体" w:hAnsi="宋体" w:cs="Arial"/>
                <w:color w:val="auto"/>
                <w:sz w:val="18"/>
                <w:szCs w:val="18"/>
              </w:rPr>
            </w:pPr>
            <w:r>
              <w:rPr>
                <w:rFonts w:hint="eastAsia" w:ascii="宋体" w:hAnsi="宋体" w:cs="Arial"/>
                <w:color w:val="auto"/>
                <w:sz w:val="18"/>
                <w:szCs w:val="18"/>
              </w:rPr>
              <w:t>普查数据整合建库</w:t>
            </w:r>
          </w:p>
        </w:tc>
        <w:tc>
          <w:tcPr>
            <w:tcW w:w="5717" w:type="dxa"/>
            <w:tcBorders>
              <w:top w:val="nil"/>
              <w:left w:val="nil"/>
              <w:bottom w:val="single" w:color="auto" w:sz="4" w:space="0"/>
              <w:right w:val="single" w:color="auto" w:sz="4" w:space="0"/>
            </w:tcBorders>
            <w:vAlign w:val="center"/>
          </w:tcPr>
          <w:p w14:paraId="06E9AE59">
            <w:pPr>
              <w:widowControl/>
              <w:spacing w:line="400" w:lineRule="exact"/>
              <w:rPr>
                <w:rFonts w:ascii="宋体" w:hAnsi="宋体" w:cs="Arial"/>
                <w:color w:val="auto"/>
                <w:sz w:val="18"/>
                <w:szCs w:val="18"/>
              </w:rPr>
            </w:pPr>
            <w:r>
              <w:rPr>
                <w:rFonts w:hint="eastAsia" w:ascii="宋体" w:hAnsi="宋体" w:cs="Arial"/>
                <w:color w:val="auto"/>
                <w:sz w:val="18"/>
                <w:szCs w:val="18"/>
              </w:rPr>
              <w:t>实现普查数据的集中存储、统一管理和安全访问； 涵盖自然灾害、承灾体、减灾资源、重点隐患、历史自然灾害、综合风险评估与区划等专题数据， 支持多源异构数据的高效存储与查询， 实现数据版本管理、数据溯源和跨部门共享功能。具体要求如下：</w:t>
            </w:r>
          </w:p>
          <w:p w14:paraId="1784A740">
            <w:pPr>
              <w:widowControl/>
              <w:spacing w:line="400" w:lineRule="exact"/>
              <w:rPr>
                <w:rFonts w:ascii="宋体" w:hAnsi="宋体" w:cs="Arial"/>
                <w:color w:val="auto"/>
                <w:sz w:val="18"/>
                <w:szCs w:val="18"/>
              </w:rPr>
            </w:pPr>
            <w:r>
              <w:rPr>
                <w:rFonts w:hint="eastAsia" w:ascii="宋体" w:hAnsi="宋体" w:cs="Arial"/>
                <w:color w:val="auto"/>
                <w:sz w:val="18"/>
                <w:szCs w:val="18"/>
              </w:rPr>
              <w:t>1.数据库建设以“统一标准、动态更新、安全共享、精准应用”为原则，遵循“统一规划、分层设计、标准规范、安全可靠”的建设思路，作为盱眙县自然灾害综合风险防控体系的核心基础支撑，旨在解决普查数据分散、滞后等问题，确保风险隐患、承灾体等信息与实际状况同步，为精准防控提供可靠数据底座。</w:t>
            </w:r>
          </w:p>
          <w:p w14:paraId="43AC4FD7">
            <w:pPr>
              <w:widowControl/>
              <w:spacing w:line="400" w:lineRule="exact"/>
              <w:rPr>
                <w:rFonts w:ascii="宋体" w:hAnsi="宋体" w:cs="Arial"/>
                <w:color w:val="auto"/>
                <w:sz w:val="18"/>
                <w:szCs w:val="18"/>
              </w:rPr>
            </w:pPr>
            <w:r>
              <w:rPr>
                <w:rFonts w:hint="eastAsia" w:ascii="宋体" w:hAnsi="宋体" w:cs="Arial"/>
                <w:color w:val="auto"/>
                <w:sz w:val="18"/>
                <w:szCs w:val="18"/>
              </w:rPr>
              <w:t>2.本数据库确保与国家、省级数据库实现无缝对接与数据共享。</w:t>
            </w:r>
          </w:p>
          <w:p w14:paraId="6C0E9236">
            <w:pPr>
              <w:widowControl/>
              <w:spacing w:line="400" w:lineRule="exact"/>
              <w:rPr>
                <w:rFonts w:ascii="宋体" w:hAnsi="宋体" w:cs="Arial"/>
                <w:color w:val="auto"/>
                <w:sz w:val="18"/>
                <w:szCs w:val="18"/>
              </w:rPr>
            </w:pPr>
            <w:r>
              <w:rPr>
                <w:rFonts w:hint="eastAsia" w:ascii="宋体" w:hAnsi="宋体" w:cs="Arial"/>
                <w:color w:val="auto"/>
                <w:sz w:val="18"/>
                <w:szCs w:val="18"/>
              </w:rPr>
              <w:t>3.建设包括数据库结构设计，地震、地质、气象、水利专题数据设计，风险普查数据整合建库，多远数据治理与共享体系建设，信创软硬件环境适配与部署。</w:t>
            </w:r>
          </w:p>
        </w:tc>
        <w:tc>
          <w:tcPr>
            <w:tcW w:w="900" w:type="dxa"/>
            <w:tcBorders>
              <w:top w:val="nil"/>
              <w:left w:val="nil"/>
              <w:bottom w:val="single" w:color="auto" w:sz="4" w:space="0"/>
              <w:right w:val="single" w:color="auto" w:sz="4" w:space="0"/>
            </w:tcBorders>
            <w:vAlign w:val="center"/>
          </w:tcPr>
          <w:p w14:paraId="060C04FA">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62798E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AA0FB41">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DB42A6C">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3CC247C">
            <w:pPr>
              <w:widowControl/>
              <w:spacing w:line="400" w:lineRule="exact"/>
              <w:jc w:val="center"/>
              <w:rPr>
                <w:rFonts w:ascii="宋体" w:hAnsi="宋体" w:cs="Arial"/>
                <w:color w:val="auto"/>
                <w:sz w:val="18"/>
                <w:szCs w:val="18"/>
              </w:rPr>
            </w:pPr>
            <w:r>
              <w:rPr>
                <w:rFonts w:hint="eastAsia" w:ascii="宋体" w:hAnsi="宋体" w:cs="Arial"/>
                <w:color w:val="auto"/>
                <w:sz w:val="18"/>
                <w:szCs w:val="18"/>
              </w:rPr>
              <w:t>国产数据库建库软件</w:t>
            </w:r>
          </w:p>
        </w:tc>
        <w:tc>
          <w:tcPr>
            <w:tcW w:w="5717" w:type="dxa"/>
            <w:tcBorders>
              <w:top w:val="nil"/>
              <w:left w:val="nil"/>
              <w:bottom w:val="single" w:color="auto" w:sz="4" w:space="0"/>
              <w:right w:val="single" w:color="auto" w:sz="4" w:space="0"/>
            </w:tcBorders>
            <w:vAlign w:val="center"/>
          </w:tcPr>
          <w:p w14:paraId="7714AE2A">
            <w:pPr>
              <w:widowControl/>
              <w:spacing w:line="400" w:lineRule="exact"/>
              <w:rPr>
                <w:rFonts w:ascii="宋体" w:hAnsi="宋体" w:cs="Arial"/>
                <w:color w:val="auto"/>
                <w:sz w:val="18"/>
                <w:szCs w:val="18"/>
              </w:rPr>
            </w:pPr>
            <w:r>
              <w:rPr>
                <w:rFonts w:hint="eastAsia" w:ascii="宋体" w:hAnsi="宋体" w:cs="Arial"/>
                <w:color w:val="auto"/>
                <w:sz w:val="18"/>
                <w:szCs w:val="18"/>
              </w:rPr>
              <w:t>国产数据库软件采购；符合国家空间数据标准的国产 GIS 数据库软件平台；集成空间索引优化机制， 确保在百万级数据量规模下，空间查询响应时间控制在 500 毫秒以内；内置细粒度权限控制、数据加密传输及操作日志审计功能，符合《国家网络安全等级保护制度》相关要求。支持标准数据服务接口（如 WMS、WFS、GeoJSON 等），确保与国家、省级数据库系统的无缝对接。具体要求如下：</w:t>
            </w:r>
          </w:p>
          <w:p w14:paraId="65318F63">
            <w:pPr>
              <w:widowControl/>
              <w:spacing w:line="400" w:lineRule="exact"/>
              <w:rPr>
                <w:rFonts w:ascii="宋体" w:hAnsi="宋体" w:cs="Arial"/>
                <w:color w:val="auto"/>
                <w:sz w:val="18"/>
                <w:szCs w:val="18"/>
              </w:rPr>
            </w:pPr>
            <w:r>
              <w:rPr>
                <w:rFonts w:hint="eastAsia" w:ascii="宋体" w:hAnsi="宋体" w:cs="Arial"/>
                <w:color w:val="auto"/>
                <w:sz w:val="18"/>
                <w:szCs w:val="18"/>
              </w:rPr>
              <w:t>▲1.数据库产品通过中国信息安全测评中心或国家保密科技测评中心的安全可靠评测（提供测评文件复印件加盖原厂公章）。</w:t>
            </w:r>
          </w:p>
          <w:p w14:paraId="4DBBB2F8">
            <w:pPr>
              <w:widowControl/>
              <w:spacing w:line="400" w:lineRule="exact"/>
              <w:rPr>
                <w:rFonts w:ascii="宋体" w:hAnsi="宋体" w:cs="Arial"/>
                <w:color w:val="auto"/>
                <w:sz w:val="18"/>
                <w:szCs w:val="18"/>
              </w:rPr>
            </w:pPr>
            <w:r>
              <w:rPr>
                <w:rFonts w:hint="eastAsia" w:ascii="宋体" w:hAnsi="宋体" w:cs="Arial"/>
                <w:color w:val="auto"/>
                <w:sz w:val="18"/>
                <w:szCs w:val="18"/>
              </w:rPr>
              <w:t>2.数据库软件必须自主可控，要求数据库产品核心组件行级代码自研率达99%以上，掌控数据库核心技术，可以根据需求快速迭代适配。</w:t>
            </w:r>
          </w:p>
          <w:p w14:paraId="541A5E87">
            <w:pPr>
              <w:widowControl/>
              <w:spacing w:line="400" w:lineRule="exact"/>
              <w:rPr>
                <w:rFonts w:ascii="宋体" w:hAnsi="宋体" w:cs="Arial"/>
                <w:color w:val="auto"/>
                <w:sz w:val="18"/>
                <w:szCs w:val="18"/>
              </w:rPr>
            </w:pPr>
            <w:r>
              <w:rPr>
                <w:rFonts w:hint="eastAsia" w:ascii="宋体" w:hAnsi="宋体" w:cs="Arial"/>
                <w:color w:val="auto"/>
                <w:sz w:val="18"/>
                <w:szCs w:val="18"/>
              </w:rPr>
              <w:t>3.支持自主访问控制、基于安全标签的强制访问控制、用户角色三权分立、审计、加密、身份识别与验证等安全功能。</w:t>
            </w:r>
          </w:p>
          <w:p w14:paraId="00D786B1">
            <w:pPr>
              <w:widowControl/>
              <w:spacing w:line="400" w:lineRule="exact"/>
              <w:rPr>
                <w:rFonts w:ascii="宋体" w:hAnsi="宋体" w:cs="Arial"/>
                <w:color w:val="auto"/>
                <w:sz w:val="18"/>
                <w:szCs w:val="18"/>
              </w:rPr>
            </w:pPr>
            <w:r>
              <w:rPr>
                <w:rFonts w:hint="eastAsia" w:ascii="宋体" w:hAnsi="宋体" w:cs="Arial"/>
                <w:color w:val="auto"/>
                <w:sz w:val="18"/>
                <w:szCs w:val="18"/>
              </w:rPr>
              <w:t>4.支持并行构建索引，通过将数据集分成若干个子集分配到不同工作线程上，在每个线程上独立计算并将各线程结果合并形成最终全局索引，提升处理大规模数据集的效率。</w:t>
            </w:r>
          </w:p>
          <w:p w14:paraId="0C6E0A50">
            <w:pPr>
              <w:widowControl/>
              <w:spacing w:line="400" w:lineRule="exact"/>
              <w:rPr>
                <w:rFonts w:ascii="宋体" w:hAnsi="宋体" w:cs="Arial"/>
                <w:color w:val="auto"/>
                <w:sz w:val="18"/>
                <w:szCs w:val="18"/>
              </w:rPr>
            </w:pPr>
            <w:r>
              <w:rPr>
                <w:rFonts w:hint="eastAsia" w:ascii="宋体" w:hAnsi="宋体" w:cs="Arial"/>
                <w:color w:val="auto"/>
                <w:sz w:val="18"/>
                <w:szCs w:val="18"/>
              </w:rPr>
              <w:t>5.数据库属于opengauss技术路线；需提供对应的数据库软件著作权证明、数据库使用opengauss原生命令或者基于opengauss原生命令实现自身数据库功能的相关操作截图、提供相关证书复印件，加盖数据库原厂公章。</w:t>
            </w:r>
          </w:p>
          <w:p w14:paraId="156B4E01">
            <w:pPr>
              <w:widowControl/>
              <w:spacing w:line="400" w:lineRule="exact"/>
              <w:rPr>
                <w:rFonts w:ascii="宋体" w:hAnsi="宋体" w:cs="Arial"/>
                <w:color w:val="auto"/>
                <w:sz w:val="18"/>
                <w:szCs w:val="18"/>
              </w:rPr>
            </w:pPr>
            <w:r>
              <w:rPr>
                <w:rFonts w:hint="eastAsia" w:ascii="宋体" w:hAnsi="宋体" w:cs="Arial"/>
                <w:color w:val="auto"/>
                <w:sz w:val="18"/>
                <w:szCs w:val="18"/>
              </w:rPr>
              <w:t>6.支持B-TREE索引、GIN索引、Gist索引、UBtree多种索引创建、删除、使用。支持同一模式（schema）下不同表创建同名索引。</w:t>
            </w:r>
          </w:p>
          <w:p w14:paraId="1248E3C4">
            <w:pPr>
              <w:widowControl/>
              <w:spacing w:line="400" w:lineRule="exact"/>
              <w:rPr>
                <w:rFonts w:ascii="宋体" w:hAnsi="宋体" w:cs="Arial"/>
                <w:color w:val="auto"/>
                <w:sz w:val="18"/>
                <w:szCs w:val="18"/>
              </w:rPr>
            </w:pPr>
            <w:r>
              <w:rPr>
                <w:rFonts w:hint="eastAsia" w:ascii="宋体" w:hAnsi="宋体" w:cs="Arial"/>
                <w:color w:val="auto"/>
                <w:sz w:val="18"/>
                <w:szCs w:val="18"/>
              </w:rPr>
              <w:t>7.提供专业的迁移工具进行异构数据库迁移，支持通过扫描MyBatis的mapper文件进行兼容性评估。</w:t>
            </w:r>
          </w:p>
          <w:p w14:paraId="3EB637DA">
            <w:pPr>
              <w:widowControl/>
              <w:spacing w:line="400" w:lineRule="exact"/>
              <w:rPr>
                <w:rFonts w:ascii="宋体" w:hAnsi="宋体" w:cs="Arial"/>
                <w:color w:val="auto"/>
                <w:sz w:val="18"/>
                <w:szCs w:val="18"/>
              </w:rPr>
            </w:pPr>
            <w:r>
              <w:rPr>
                <w:rFonts w:hint="eastAsia" w:ascii="宋体" w:hAnsi="宋体" w:cs="Arial"/>
                <w:color w:val="auto"/>
                <w:sz w:val="18"/>
                <w:szCs w:val="18"/>
              </w:rPr>
              <w:t>8.支持动态数据脱敏，在不改变源数据的前提下，通过在脱敏策略上配置针对的用户场景（FILTER）、指定的敏感列标签（LABEL）和对应的脱敏方式（MASKING FUNCTION）来灵活地进行隐私数据保护。</w:t>
            </w:r>
          </w:p>
          <w:p w14:paraId="06A6061B">
            <w:pPr>
              <w:widowControl/>
              <w:spacing w:line="400" w:lineRule="exact"/>
              <w:rPr>
                <w:rFonts w:ascii="宋体" w:hAnsi="宋体" w:cs="Arial"/>
                <w:color w:val="auto"/>
                <w:sz w:val="18"/>
                <w:szCs w:val="18"/>
              </w:rPr>
            </w:pPr>
            <w:r>
              <w:rPr>
                <w:rFonts w:hint="eastAsia" w:ascii="宋体" w:hAnsi="宋体" w:cs="Arial"/>
                <w:color w:val="auto"/>
                <w:sz w:val="18"/>
                <w:szCs w:val="18"/>
              </w:rPr>
              <w:t>9.MySQL兼容：数据库内核支持MySQL的API 接口20个以上。</w:t>
            </w:r>
          </w:p>
          <w:p w14:paraId="59A08C2D">
            <w:pPr>
              <w:widowControl/>
              <w:spacing w:line="400" w:lineRule="exact"/>
              <w:rPr>
                <w:rFonts w:ascii="宋体" w:hAnsi="宋体" w:cs="Arial"/>
                <w:color w:val="auto"/>
                <w:sz w:val="18"/>
                <w:szCs w:val="18"/>
              </w:rPr>
            </w:pPr>
            <w:r>
              <w:rPr>
                <w:rFonts w:hint="eastAsia" w:ascii="宋体" w:hAnsi="宋体" w:cs="Arial"/>
                <w:color w:val="auto"/>
                <w:sz w:val="18"/>
                <w:szCs w:val="18"/>
              </w:rPr>
              <w:t>10.提供轻量化数据库运维诊断工具，需同时具备以下能力：支持深度性能诊断能力，包括一键生成火焰图、一键SQL健康检查（包括执行计划、表统计、索引统计、列统计、分区统计、SQL统计和优化参数等详细信息检查）；具备底层系统监控能力，包括一键获取硬盘底层信息、实时网络监控、系统性能数据收集等；支持历史数据回溯分析能力，包括一键历史会话分析、一键历史内存统计以及历史TPS统计。支持对物理坏块的分页恢复功能。</w:t>
            </w:r>
          </w:p>
        </w:tc>
        <w:tc>
          <w:tcPr>
            <w:tcW w:w="900" w:type="dxa"/>
            <w:tcBorders>
              <w:top w:val="nil"/>
              <w:left w:val="nil"/>
              <w:bottom w:val="single" w:color="auto" w:sz="4" w:space="0"/>
              <w:right w:val="single" w:color="auto" w:sz="4" w:space="0"/>
            </w:tcBorders>
            <w:vAlign w:val="center"/>
          </w:tcPr>
          <w:p w14:paraId="7F2E801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5F5328C">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B3790D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C20A3C5">
            <w:pPr>
              <w:widowControl/>
              <w:spacing w:line="400" w:lineRule="exact"/>
              <w:jc w:val="left"/>
              <w:rPr>
                <w:rFonts w:ascii="宋体" w:hAnsi="宋体" w:cs="Arial"/>
                <w:color w:val="auto"/>
                <w:sz w:val="18"/>
                <w:szCs w:val="18"/>
              </w:rPr>
            </w:pPr>
            <w:r>
              <w:rPr>
                <w:rFonts w:hint="eastAsia" w:ascii="宋体" w:hAnsi="宋体" w:cs="Arial"/>
                <w:color w:val="auto"/>
                <w:sz w:val="18"/>
                <w:szCs w:val="18"/>
              </w:rPr>
              <w:t>自然灾害综合风险应急管理系统调查数据更新</w:t>
            </w:r>
          </w:p>
        </w:tc>
      </w:tr>
      <w:tr w14:paraId="1B0A80C2">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DBD2F06">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6DC1D09E">
            <w:pPr>
              <w:widowControl/>
              <w:spacing w:line="400" w:lineRule="exact"/>
              <w:jc w:val="center"/>
              <w:rPr>
                <w:rFonts w:ascii="宋体" w:hAnsi="宋体" w:cs="Arial"/>
                <w:color w:val="auto"/>
                <w:sz w:val="18"/>
                <w:szCs w:val="18"/>
              </w:rPr>
            </w:pPr>
            <w:r>
              <w:rPr>
                <w:rFonts w:hint="eastAsia" w:ascii="宋体" w:hAnsi="宋体" w:cs="Arial"/>
                <w:color w:val="auto"/>
                <w:sz w:val="18"/>
                <w:szCs w:val="18"/>
              </w:rPr>
              <w:t>减灾能力 ( 资源)数据调查更新</w:t>
            </w:r>
          </w:p>
        </w:tc>
        <w:tc>
          <w:tcPr>
            <w:tcW w:w="5717" w:type="dxa"/>
            <w:tcBorders>
              <w:top w:val="nil"/>
              <w:left w:val="nil"/>
              <w:bottom w:val="single" w:color="auto" w:sz="4" w:space="0"/>
              <w:right w:val="single" w:color="auto" w:sz="4" w:space="0"/>
            </w:tcBorders>
            <w:vAlign w:val="center"/>
          </w:tcPr>
          <w:p w14:paraId="2EB4F932">
            <w:pPr>
              <w:widowControl/>
              <w:spacing w:line="400" w:lineRule="exact"/>
              <w:rPr>
                <w:rFonts w:ascii="宋体" w:hAnsi="宋体" w:cs="Arial"/>
                <w:color w:val="auto"/>
                <w:sz w:val="18"/>
                <w:szCs w:val="18"/>
              </w:rPr>
            </w:pPr>
            <w:r>
              <w:rPr>
                <w:rFonts w:hint="eastAsia" w:ascii="宋体" w:hAnsi="宋体" w:cs="Arial"/>
                <w:color w:val="auto"/>
                <w:sz w:val="18"/>
                <w:szCs w:val="18"/>
              </w:rPr>
              <w:t>建立跨部门、跨层级的减灾资源数据协同共享体系， 明确应急、消防、卫健、交通、民政等相关部门在物资储备、救援队伍、避难场所、装备设施等减灾能力数据上的共享责任与交换标准，通过统一接口规范与权限管理， 实现资源信息的高效汇聚、实时互通与按需调用， 打破信息孤岛，提升应急资源统筹调度能力。具体要求如下：</w:t>
            </w:r>
          </w:p>
          <w:p w14:paraId="04E936FD">
            <w:pPr>
              <w:widowControl/>
              <w:spacing w:line="400" w:lineRule="exact"/>
              <w:rPr>
                <w:rFonts w:ascii="宋体" w:hAnsi="宋体" w:cs="Arial"/>
                <w:color w:val="auto"/>
                <w:sz w:val="18"/>
                <w:szCs w:val="18"/>
              </w:rPr>
            </w:pPr>
            <w:r>
              <w:rPr>
                <w:rFonts w:hint="eastAsia" w:ascii="宋体" w:hAnsi="宋体" w:cs="Arial"/>
                <w:color w:val="auto"/>
                <w:sz w:val="18"/>
                <w:szCs w:val="18"/>
              </w:rPr>
              <w:t>1.减灾能力（资源）数据精准化更新是提升应急响应能力的关键支撑，严格遵循《自然灾害综合风险普查数据汇交与管理规范》要求，构建覆盖队伍、装备、物资、避难场所等全要素的动态更新体系。本机制通过建立跨部门协同共享机制、实施差异化更新策略、完善标识管理与校验制度，确保应急资源数据实时准确、可用可靠，为风险评估与应急决策提供精准支撑。</w:t>
            </w:r>
          </w:p>
          <w:p w14:paraId="515E9B4B">
            <w:pPr>
              <w:widowControl/>
              <w:spacing w:line="400" w:lineRule="exact"/>
              <w:rPr>
                <w:rFonts w:ascii="宋体" w:hAnsi="宋体" w:cs="Arial"/>
                <w:color w:val="auto"/>
                <w:sz w:val="18"/>
                <w:szCs w:val="18"/>
              </w:rPr>
            </w:pPr>
            <w:r>
              <w:rPr>
                <w:rFonts w:hint="eastAsia" w:ascii="宋体" w:hAnsi="宋体" w:cs="Arial"/>
                <w:color w:val="auto"/>
                <w:sz w:val="18"/>
                <w:szCs w:val="18"/>
              </w:rPr>
              <w:t>2.为确保风险普查数据更新机制持续高效运行，实现核心数据指标100%更新率与100%质量合格率的双目标，本项目同步构建系统化、可操作的运行保障体系，涵盖制度体系、质量管控、监督改进三大核心环节，形成“制度规范—过程管控—持续优化”的完整闭环。</w:t>
            </w:r>
          </w:p>
          <w:p w14:paraId="3F6D3CA1">
            <w:pPr>
              <w:widowControl/>
              <w:spacing w:line="400" w:lineRule="exact"/>
              <w:rPr>
                <w:rFonts w:ascii="宋体" w:hAnsi="宋体" w:cs="Arial"/>
                <w:color w:val="auto"/>
                <w:sz w:val="18"/>
                <w:szCs w:val="18"/>
              </w:rPr>
            </w:pPr>
            <w:r>
              <w:rPr>
                <w:rFonts w:hint="eastAsia" w:ascii="宋体" w:hAnsi="宋体" w:cs="Arial"/>
                <w:color w:val="auto"/>
                <w:sz w:val="18"/>
                <w:szCs w:val="18"/>
              </w:rPr>
              <w:t>3.主要建设内容包括：共享机制建设，差异化更新策略，标识管理与校验机制，制度体系，质量管控，监督改进。</w:t>
            </w:r>
          </w:p>
        </w:tc>
        <w:tc>
          <w:tcPr>
            <w:tcW w:w="900" w:type="dxa"/>
            <w:tcBorders>
              <w:top w:val="nil"/>
              <w:left w:val="nil"/>
              <w:bottom w:val="single" w:color="auto" w:sz="4" w:space="0"/>
              <w:right w:val="single" w:color="auto" w:sz="4" w:space="0"/>
            </w:tcBorders>
            <w:vAlign w:val="center"/>
          </w:tcPr>
          <w:p w14:paraId="5CBBB07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276CFB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61495937">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294BF02B">
            <w:pPr>
              <w:widowControl/>
              <w:spacing w:line="400" w:lineRule="exact"/>
              <w:jc w:val="left"/>
              <w:rPr>
                <w:rFonts w:ascii="宋体" w:hAnsi="宋体" w:cs="Arial"/>
                <w:color w:val="auto"/>
                <w:sz w:val="18"/>
                <w:szCs w:val="18"/>
              </w:rPr>
            </w:pPr>
            <w:r>
              <w:rPr>
                <w:rFonts w:hint="eastAsia" w:ascii="宋体" w:hAnsi="宋体" w:cs="Arial"/>
                <w:color w:val="auto"/>
                <w:sz w:val="18"/>
                <w:szCs w:val="18"/>
              </w:rPr>
              <w:t>风险隐患“一张图 ”</w:t>
            </w:r>
          </w:p>
        </w:tc>
      </w:tr>
      <w:tr w14:paraId="5492F02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5F08A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0803927E">
            <w:pPr>
              <w:widowControl/>
              <w:spacing w:line="400" w:lineRule="exact"/>
              <w:jc w:val="center"/>
              <w:rPr>
                <w:rFonts w:ascii="宋体" w:hAnsi="宋体" w:cs="Arial"/>
                <w:color w:val="auto"/>
                <w:sz w:val="18"/>
                <w:szCs w:val="18"/>
              </w:rPr>
            </w:pPr>
            <w:r>
              <w:rPr>
                <w:rFonts w:hint="eastAsia" w:ascii="宋体" w:hAnsi="宋体" w:cs="Arial"/>
                <w:color w:val="auto"/>
                <w:sz w:val="18"/>
                <w:szCs w:val="18"/>
              </w:rPr>
              <w:t>风险隐患管理</w:t>
            </w:r>
          </w:p>
        </w:tc>
        <w:tc>
          <w:tcPr>
            <w:tcW w:w="5717" w:type="dxa"/>
            <w:tcBorders>
              <w:top w:val="nil"/>
              <w:left w:val="nil"/>
              <w:bottom w:val="single" w:color="auto" w:sz="4" w:space="0"/>
              <w:right w:val="single" w:color="auto" w:sz="4" w:space="0"/>
            </w:tcBorders>
            <w:vAlign w:val="center"/>
          </w:tcPr>
          <w:p w14:paraId="661C8C3C">
            <w:pPr>
              <w:widowControl/>
              <w:spacing w:line="400" w:lineRule="exact"/>
              <w:rPr>
                <w:rFonts w:ascii="宋体" w:hAnsi="宋体" w:cs="Arial"/>
                <w:color w:val="auto"/>
                <w:sz w:val="18"/>
                <w:szCs w:val="18"/>
              </w:rPr>
            </w:pPr>
            <w:r>
              <w:rPr>
                <w:rFonts w:hint="eastAsia" w:ascii="宋体" w:hAnsi="宋体" w:cs="Arial"/>
                <w:color w:val="auto"/>
                <w:sz w:val="18"/>
                <w:szCs w:val="18"/>
              </w:rPr>
              <w:t>对自然灾害综合风险普查和日常排查发现的各类风险隐患实行统一编码与电子化建档，全面归集隐患位置、类型、等级、成因、整改要求、责任单位及联系人等核心信息，支撑隐患从发现、交办、整改到销号的全生命周期管理；结合隐患风险等级、变化趋势及关联监测数据， 建立自动判别与分级预警规则。</w:t>
            </w:r>
          </w:p>
          <w:p w14:paraId="67CC3775">
            <w:pPr>
              <w:widowControl/>
              <w:spacing w:line="400" w:lineRule="exact"/>
              <w:rPr>
                <w:rFonts w:ascii="宋体" w:hAnsi="宋体" w:cs="Arial"/>
                <w:color w:val="auto"/>
                <w:sz w:val="18"/>
                <w:szCs w:val="18"/>
              </w:rPr>
            </w:pPr>
            <w:r>
              <w:rPr>
                <w:rFonts w:hint="eastAsia" w:ascii="宋体" w:hAnsi="宋体" w:cs="Arial"/>
                <w:color w:val="auto"/>
                <w:sz w:val="18"/>
                <w:szCs w:val="18"/>
              </w:rPr>
              <w:t>1.风险隐患管理是构建县域自然灾害风险防控体系的核心环节，本项目依托县级风险普查基础数据库，深度融合信息化技术与业务管理流程，打造覆盖隐患全生命周期的闭环管理体系。具体要求如下：</w:t>
            </w:r>
          </w:p>
          <w:p w14:paraId="0C17A83E">
            <w:pPr>
              <w:widowControl/>
              <w:spacing w:line="400" w:lineRule="exact"/>
              <w:rPr>
                <w:rFonts w:ascii="宋体" w:hAnsi="宋体" w:cs="Arial"/>
                <w:color w:val="auto"/>
                <w:sz w:val="18"/>
                <w:szCs w:val="18"/>
              </w:rPr>
            </w:pPr>
            <w:r>
              <w:rPr>
                <w:rFonts w:hint="eastAsia" w:ascii="宋体" w:hAnsi="宋体" w:cs="Arial"/>
                <w:color w:val="auto"/>
                <w:sz w:val="18"/>
                <w:szCs w:val="18"/>
              </w:rPr>
              <w:t>2.该体系通过“一患一档”数字化管理、智能化预警机制、进度跟踪与智能督办三大核心模块，实现隐患管理从被动响应向主动防控的转变，确保风险隐患精准识别、动态跟踪、高效处置，为盱眙县防灾减灾工作提供可量化、可追溯、可优化的决策支撑。</w:t>
            </w:r>
          </w:p>
        </w:tc>
        <w:tc>
          <w:tcPr>
            <w:tcW w:w="900" w:type="dxa"/>
            <w:tcBorders>
              <w:top w:val="nil"/>
              <w:left w:val="nil"/>
              <w:bottom w:val="single" w:color="auto" w:sz="4" w:space="0"/>
              <w:right w:val="single" w:color="auto" w:sz="4" w:space="0"/>
            </w:tcBorders>
            <w:vAlign w:val="center"/>
          </w:tcPr>
          <w:p w14:paraId="029E1C6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6B47902">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7A16131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24151D3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590EDC5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风险隐患“一村一图 ”</w:t>
            </w:r>
          </w:p>
        </w:tc>
        <w:tc>
          <w:tcPr>
            <w:tcW w:w="5717" w:type="dxa"/>
            <w:tcBorders>
              <w:top w:val="nil"/>
              <w:left w:val="nil"/>
              <w:bottom w:val="single" w:color="auto" w:sz="4" w:space="0"/>
              <w:right w:val="single" w:color="auto" w:sz="4" w:space="0"/>
            </w:tcBorders>
            <w:vAlign w:val="center"/>
          </w:tcPr>
          <w:p w14:paraId="47146E73">
            <w:pPr>
              <w:widowControl/>
              <w:spacing w:line="400" w:lineRule="exact"/>
              <w:rPr>
                <w:rFonts w:ascii="宋体" w:hAnsi="宋体" w:cs="Arial"/>
                <w:color w:val="auto"/>
                <w:sz w:val="18"/>
                <w:szCs w:val="18"/>
              </w:rPr>
            </w:pPr>
            <w:r>
              <w:rPr>
                <w:rFonts w:hint="eastAsia" w:ascii="宋体" w:hAnsi="宋体" w:cs="Arial"/>
                <w:color w:val="auto"/>
                <w:sz w:val="18"/>
                <w:szCs w:val="18"/>
              </w:rPr>
              <w:t>整合致灾因子强度、承灾体脆弱性及历史灾情数据，科学划分高、中、低风险区域，重点标注淮河流域、洪泽湖濒湖带、铁山寺林区及城镇人口密集区等关键风险区域； 标绘 13 个镇街的地质灾害点、易涝区、森林防火重点区空间分布，实现隐患点精准定位与可视化呈现； 配套编制隐患属性清单，详细记录隐患类型、风险等级、责任主体、监测措施及历史处置情况，形成“一镇一册 ”专题图集。具体要求如下：</w:t>
            </w:r>
          </w:p>
          <w:p w14:paraId="5FF81A85">
            <w:pPr>
              <w:widowControl/>
              <w:spacing w:line="400" w:lineRule="exact"/>
              <w:rPr>
                <w:rFonts w:ascii="宋体" w:hAnsi="宋体" w:cs="Arial"/>
                <w:color w:val="auto"/>
                <w:sz w:val="18"/>
                <w:szCs w:val="18"/>
              </w:rPr>
            </w:pPr>
            <w:r>
              <w:rPr>
                <w:rFonts w:hint="eastAsia" w:ascii="宋体" w:hAnsi="宋体" w:cs="Arial"/>
                <w:color w:val="auto"/>
                <w:sz w:val="18"/>
                <w:szCs w:val="18"/>
              </w:rPr>
              <w:t>1.风险隐患“一村一图”编制是推动风险防控精细化、网格化管理的核心举措，基于盱眙县自然灾害风险普查数据，构建覆盖县级、镇街级、行政村级的三级风险图系，实现风险隐患从宏观到微观的精准映射。本编制工作严格遵循《自然灾害综合风险普查数据汇交与管理规范》要求，采用标准化制图流程，确保成果可读性强、实用价值高，为基层风险治理提供直观、精准的决策依据。</w:t>
            </w:r>
          </w:p>
          <w:p w14:paraId="4241B8D2">
            <w:pPr>
              <w:widowControl/>
              <w:spacing w:line="400" w:lineRule="exact"/>
              <w:rPr>
                <w:rFonts w:ascii="宋体" w:hAnsi="宋体" w:cs="Arial"/>
                <w:color w:val="auto"/>
                <w:sz w:val="18"/>
                <w:szCs w:val="18"/>
              </w:rPr>
            </w:pPr>
            <w:r>
              <w:rPr>
                <w:rFonts w:hint="eastAsia" w:ascii="宋体" w:hAnsi="宋体" w:cs="Arial"/>
                <w:color w:val="auto"/>
                <w:sz w:val="18"/>
                <w:szCs w:val="18"/>
              </w:rPr>
              <w:t>2.主要建设内容包括：县级自然灾害综合风险等级分布图，镇街级隐患点分布图，行政村风险等级示意图，专题风险分析成果图，应急资源分布调度图，图集编制流程与质量控制，移动端查询应用接口。</w:t>
            </w:r>
          </w:p>
          <w:p w14:paraId="5E8FDF44">
            <w:pPr>
              <w:widowControl/>
              <w:spacing w:line="400" w:lineRule="exact"/>
              <w:rPr>
                <w:rFonts w:ascii="宋体" w:hAnsi="宋体" w:cs="Arial"/>
                <w:color w:val="auto"/>
                <w:sz w:val="18"/>
                <w:szCs w:val="18"/>
              </w:rPr>
            </w:pPr>
            <w:r>
              <w:rPr>
                <w:rFonts w:hint="eastAsia" w:ascii="宋体" w:hAnsi="宋体" w:cs="Arial"/>
                <w:color w:val="auto"/>
                <w:sz w:val="18"/>
                <w:szCs w:val="18"/>
              </w:rPr>
              <w:t>3.提供统一的空间数据接入、存储、管理、服务、可视化以及开放共享为一体的地理信息技术平台，以便快速灵活构建轻量化数字地图基座，助力业务快速接入地理信息能力，实现时空广泛互联、时空深度应用、价值服务开放的目标。</w:t>
            </w:r>
          </w:p>
          <w:p w14:paraId="3710CE19">
            <w:pPr>
              <w:widowControl/>
              <w:spacing w:line="400" w:lineRule="exact"/>
              <w:rPr>
                <w:rFonts w:ascii="宋体" w:hAnsi="宋体" w:cs="Arial"/>
                <w:color w:val="auto"/>
                <w:sz w:val="18"/>
                <w:szCs w:val="18"/>
              </w:rPr>
            </w:pPr>
            <w:r>
              <w:rPr>
                <w:rFonts w:hint="eastAsia" w:ascii="宋体" w:hAnsi="宋体" w:cs="Arial"/>
                <w:color w:val="auto"/>
                <w:sz w:val="18"/>
                <w:szCs w:val="18"/>
              </w:rPr>
              <w:t>▲4.国产化的地理信息软件为符合自主可控要求的软件，具备完全自主产权，不接受国外以任何形式授权或源代码转让给国内的软件产品。（提供带有CMA 或CNAS 标识的第三方权威检测机构出具的检测报告扫描件证明）</w:t>
            </w:r>
          </w:p>
          <w:p w14:paraId="3BF57215">
            <w:pPr>
              <w:widowControl/>
              <w:spacing w:line="400" w:lineRule="exact"/>
              <w:rPr>
                <w:rFonts w:ascii="宋体" w:hAnsi="宋体" w:cs="Arial"/>
                <w:color w:val="auto"/>
                <w:sz w:val="18"/>
                <w:szCs w:val="18"/>
              </w:rPr>
            </w:pPr>
            <w:r>
              <w:rPr>
                <w:rFonts w:hint="eastAsia" w:ascii="宋体" w:hAnsi="宋体" w:cs="Arial"/>
                <w:color w:val="auto"/>
                <w:sz w:val="18"/>
                <w:szCs w:val="18"/>
              </w:rPr>
              <w:t>▲5.国产化的地理信息软件需支持Linux、Windows等主流操作系统；支持麒麟、中科方德、红旗、统信 UOS、新支点和腾讯云等国产操作系统；支持x86、ARM等主流 CPU 架构，支持鲲鹏、飞腾、龙芯、兆芯、海光等主流国产自主可控CPU。（需提供以上国产化操作系统和国产化CPU兼容性认证材料复印件，加盖原厂公章）</w:t>
            </w:r>
          </w:p>
          <w:p w14:paraId="23E01257">
            <w:pPr>
              <w:widowControl/>
              <w:spacing w:line="400" w:lineRule="exact"/>
              <w:rPr>
                <w:rFonts w:ascii="宋体" w:hAnsi="宋体" w:cs="Arial"/>
                <w:color w:val="auto"/>
                <w:sz w:val="18"/>
                <w:szCs w:val="18"/>
              </w:rPr>
            </w:pPr>
            <w:r>
              <w:rPr>
                <w:rFonts w:hint="eastAsia" w:ascii="宋体" w:hAnsi="宋体" w:cs="Arial"/>
                <w:color w:val="auto"/>
                <w:sz w:val="18"/>
                <w:szCs w:val="18"/>
              </w:rPr>
              <w:t>6.国产化的地理信息软件需支持文件型、关系型、NoSQL等多种类型数据库；支持瀚高、达梦、金仓、神州通用、星环、崖山、海量和AntDB等主流国产数据库。</w:t>
            </w:r>
          </w:p>
          <w:p w14:paraId="2A26C347">
            <w:pPr>
              <w:widowControl/>
              <w:spacing w:line="400" w:lineRule="exact"/>
              <w:rPr>
                <w:rFonts w:ascii="宋体" w:hAnsi="宋体" w:cs="Arial"/>
                <w:color w:val="auto"/>
                <w:sz w:val="18"/>
                <w:szCs w:val="18"/>
              </w:rPr>
            </w:pPr>
            <w:r>
              <w:rPr>
                <w:rFonts w:hint="eastAsia" w:ascii="宋体" w:hAnsi="宋体" w:cs="Arial"/>
                <w:color w:val="auto"/>
                <w:sz w:val="18"/>
                <w:szCs w:val="18"/>
              </w:rPr>
              <w:t>7.国产化的地理信息软件需支持主流中间件部署，包括：Tomcat、GlassFish、WebSphere、JBoss、WebLogic以及国产中间件东方通、金蝶、普元、中创等。</w:t>
            </w:r>
          </w:p>
        </w:tc>
        <w:tc>
          <w:tcPr>
            <w:tcW w:w="900" w:type="dxa"/>
            <w:tcBorders>
              <w:top w:val="nil"/>
              <w:left w:val="nil"/>
              <w:bottom w:val="single" w:color="auto" w:sz="4" w:space="0"/>
              <w:right w:val="single" w:color="auto" w:sz="4" w:space="0"/>
            </w:tcBorders>
            <w:vAlign w:val="center"/>
          </w:tcPr>
          <w:p w14:paraId="2C1E48F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156.00 </w:t>
            </w:r>
          </w:p>
        </w:tc>
        <w:tc>
          <w:tcPr>
            <w:tcW w:w="849" w:type="dxa"/>
            <w:gridSpan w:val="2"/>
            <w:tcBorders>
              <w:top w:val="nil"/>
              <w:left w:val="nil"/>
              <w:bottom w:val="single" w:color="auto" w:sz="4" w:space="0"/>
              <w:right w:val="single" w:color="auto" w:sz="4" w:space="0"/>
            </w:tcBorders>
            <w:vAlign w:val="center"/>
          </w:tcPr>
          <w:p w14:paraId="20E130B3">
            <w:pPr>
              <w:widowControl/>
              <w:spacing w:line="400" w:lineRule="exact"/>
              <w:jc w:val="center"/>
              <w:rPr>
                <w:rFonts w:ascii="宋体" w:hAnsi="宋体" w:cs="Arial"/>
                <w:color w:val="auto"/>
                <w:sz w:val="18"/>
                <w:szCs w:val="18"/>
              </w:rPr>
            </w:pPr>
            <w:r>
              <w:rPr>
                <w:rFonts w:hint="eastAsia" w:ascii="宋体" w:hAnsi="宋体" w:cs="Arial"/>
                <w:color w:val="auto"/>
                <w:sz w:val="18"/>
                <w:szCs w:val="18"/>
              </w:rPr>
              <w:t>套</w:t>
            </w:r>
          </w:p>
        </w:tc>
      </w:tr>
      <w:tr w14:paraId="2F11D3F9">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5628195">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灾害综合风险精细化评估</w:t>
            </w:r>
          </w:p>
        </w:tc>
      </w:tr>
      <w:tr w14:paraId="37657CE0">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9FDBCB1">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763CA5D8">
            <w:pPr>
              <w:widowControl/>
              <w:spacing w:line="400" w:lineRule="exact"/>
              <w:jc w:val="center"/>
              <w:rPr>
                <w:rFonts w:ascii="宋体" w:hAnsi="宋体" w:cs="Arial"/>
                <w:color w:val="auto"/>
                <w:sz w:val="18"/>
                <w:szCs w:val="18"/>
              </w:rPr>
            </w:pPr>
            <w:r>
              <w:rPr>
                <w:rFonts w:hint="eastAsia" w:ascii="宋体" w:hAnsi="宋体" w:cs="Arial"/>
                <w:color w:val="auto"/>
                <w:sz w:val="18"/>
                <w:szCs w:val="18"/>
              </w:rPr>
              <w:t>洪涝风险精细化评估</w:t>
            </w:r>
          </w:p>
        </w:tc>
        <w:tc>
          <w:tcPr>
            <w:tcW w:w="5717" w:type="dxa"/>
            <w:tcBorders>
              <w:top w:val="nil"/>
              <w:left w:val="nil"/>
              <w:bottom w:val="single" w:color="auto" w:sz="4" w:space="0"/>
              <w:right w:val="single" w:color="auto" w:sz="4" w:space="0"/>
            </w:tcBorders>
            <w:vAlign w:val="center"/>
          </w:tcPr>
          <w:p w14:paraId="4F4D58A8">
            <w:pPr>
              <w:widowControl/>
              <w:spacing w:line="400" w:lineRule="exact"/>
              <w:rPr>
                <w:rFonts w:ascii="宋体" w:hAnsi="宋体" w:cs="Arial"/>
                <w:color w:val="auto"/>
                <w:sz w:val="18"/>
                <w:szCs w:val="18"/>
              </w:rPr>
            </w:pPr>
            <w:r>
              <w:rPr>
                <w:rFonts w:hint="eastAsia" w:ascii="宋体" w:hAnsi="宋体" w:cs="Arial"/>
                <w:color w:val="auto"/>
                <w:sz w:val="18"/>
                <w:szCs w:val="18"/>
              </w:rPr>
              <w:t>模型计算模块将县域尺度及局部关键区域降雨量的提取与特征分析，当降雨量达到预设的暴雨洪涝风险评价阈值时，自动触发模型运算流程；在模型运算阶段，将地形地貌、城市排水系统效能、土地利用类型、土壤下渗特性、河流水系空间分布及蒸发量等影响因素纳入模型参数体系，通过洪涝水动力模型实现洪水演进过程、淹没范围、淹没深度及淹没历时的定量模拟， 实现县域全域洪涝灾害风险的精细化量化表征， 为风险等级判定提供定量化数据支撑。具体要求如下：</w:t>
            </w:r>
          </w:p>
          <w:p w14:paraId="24DEE84E">
            <w:pPr>
              <w:widowControl/>
              <w:spacing w:line="400" w:lineRule="exact"/>
              <w:rPr>
                <w:rFonts w:ascii="宋体" w:hAnsi="宋体" w:cs="Arial"/>
                <w:color w:val="auto"/>
                <w:sz w:val="18"/>
                <w:szCs w:val="18"/>
              </w:rPr>
            </w:pPr>
            <w:r>
              <w:rPr>
                <w:rFonts w:hint="eastAsia" w:ascii="宋体" w:hAnsi="宋体" w:cs="Arial"/>
                <w:color w:val="auto"/>
                <w:sz w:val="18"/>
                <w:szCs w:val="18"/>
              </w:rPr>
              <w:t>1.洪涝灾害风险精细化评估作为重大自然灾害风险精细化评估系统的核心构成单元，以洪涝水动力模型为核心技术支撑，聚焦县域尺度洪涝灾害风险的精准量化评估目标。基于降雨预报、降雨实况等关键致灾因子数据的导入与解析，先完成县域尺度及局部关键区域降雨量的提取与特征分析，当降雨量达到暴雨洪涝风险评价阈值时，自动触发模型计算流程；在模型运算阶段，综合考量地形地貌、城市排水系统效能、土地利用类型、土壤下渗特性、河流水系空间分布及蒸发量等多重影响因素，实现洪涝灾害淹没趋势、淹没范围及淹没历时的定量模拟与精准表征，最终达成县域全域洪涝灾害精细化格网风险等级的科学评估。</w:t>
            </w:r>
          </w:p>
          <w:p w14:paraId="0FB33D9E">
            <w:pPr>
              <w:widowControl/>
              <w:spacing w:line="400" w:lineRule="exact"/>
              <w:rPr>
                <w:rFonts w:ascii="宋体" w:hAnsi="宋体" w:cs="Arial"/>
                <w:color w:val="auto"/>
                <w:sz w:val="18"/>
                <w:szCs w:val="18"/>
              </w:rPr>
            </w:pPr>
            <w:r>
              <w:rPr>
                <w:rFonts w:hint="eastAsia" w:ascii="宋体" w:hAnsi="宋体" w:cs="Arial"/>
                <w:color w:val="auto"/>
                <w:sz w:val="18"/>
                <w:szCs w:val="18"/>
              </w:rPr>
              <w:t>2.系统以“精准识别致灾因子、科学量化风险等级”为核心目标，通过致灾导入、模型评估、风险等级评估三大模块的协同耦合，构建洪涝灾害风险的全流程精细化评估体系，为洪涝灾害防控决策制定与应急处置部署提供量化、精准的学术支撑与技术依据。</w:t>
            </w:r>
          </w:p>
        </w:tc>
        <w:tc>
          <w:tcPr>
            <w:tcW w:w="900" w:type="dxa"/>
            <w:tcBorders>
              <w:top w:val="nil"/>
              <w:left w:val="nil"/>
              <w:bottom w:val="single" w:color="auto" w:sz="4" w:space="0"/>
              <w:right w:val="single" w:color="auto" w:sz="4" w:space="0"/>
            </w:tcBorders>
            <w:vAlign w:val="center"/>
          </w:tcPr>
          <w:p w14:paraId="6A4F8A79">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0880270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82CA8A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B746E99">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4CC3B986">
            <w:pPr>
              <w:widowControl/>
              <w:spacing w:line="400" w:lineRule="exact"/>
              <w:jc w:val="center"/>
              <w:rPr>
                <w:rFonts w:ascii="宋体" w:hAnsi="宋体" w:cs="Arial"/>
                <w:color w:val="auto"/>
                <w:sz w:val="18"/>
                <w:szCs w:val="18"/>
              </w:rPr>
            </w:pPr>
            <w:r>
              <w:rPr>
                <w:rFonts w:hint="eastAsia" w:ascii="宋体" w:hAnsi="宋体" w:cs="Arial"/>
                <w:color w:val="auto"/>
                <w:sz w:val="18"/>
                <w:szCs w:val="18"/>
              </w:rPr>
              <w:t>重要承灾体（脆弱人口、重要企业、基础设施） 脆弱性定量评估</w:t>
            </w:r>
          </w:p>
        </w:tc>
        <w:tc>
          <w:tcPr>
            <w:tcW w:w="5717" w:type="dxa"/>
            <w:tcBorders>
              <w:top w:val="nil"/>
              <w:left w:val="nil"/>
              <w:bottom w:val="single" w:color="auto" w:sz="4" w:space="0"/>
              <w:right w:val="single" w:color="auto" w:sz="4" w:space="0"/>
            </w:tcBorders>
            <w:vAlign w:val="center"/>
          </w:tcPr>
          <w:p w14:paraId="2E735752">
            <w:pPr>
              <w:widowControl/>
              <w:spacing w:line="400" w:lineRule="exact"/>
              <w:rPr>
                <w:rFonts w:ascii="宋体" w:hAnsi="宋体" w:cs="Arial"/>
                <w:color w:val="auto"/>
                <w:sz w:val="18"/>
                <w:szCs w:val="18"/>
              </w:rPr>
            </w:pPr>
            <w:r>
              <w:rPr>
                <w:rFonts w:hint="eastAsia" w:ascii="宋体" w:hAnsi="宋体" w:cs="Arial"/>
                <w:color w:val="auto"/>
                <w:sz w:val="18"/>
                <w:szCs w:val="18"/>
              </w:rPr>
              <w:t>风险评估系统是针对不同灾害类型的影响特征，精准识别各类灾害对应的重点承灾体，通过构建科学的定量评估体系，测算承灾体在灾害胁迫下的脆弱性程度，为灾害风险综合评估、防控措施精准制定及承灾体加固改造提供量化依据。评估过程严格依托灾害普查数据与动态监测数据， 结合不同灾害的致灾机理，建立差异化的脆弱性评估指标与计算模型， 确保评估结果的科学性与针对性。具体要求如下：</w:t>
            </w:r>
          </w:p>
          <w:p w14:paraId="36B8FE5E">
            <w:pPr>
              <w:widowControl/>
              <w:spacing w:line="400" w:lineRule="exact"/>
              <w:rPr>
                <w:rFonts w:ascii="宋体" w:hAnsi="宋体" w:cs="Arial"/>
                <w:color w:val="auto"/>
                <w:sz w:val="18"/>
                <w:szCs w:val="18"/>
              </w:rPr>
            </w:pPr>
            <w:r>
              <w:rPr>
                <w:rFonts w:hint="eastAsia" w:ascii="宋体" w:hAnsi="宋体" w:cs="Arial"/>
                <w:color w:val="auto"/>
                <w:sz w:val="18"/>
                <w:szCs w:val="18"/>
              </w:rPr>
              <w:t>1.灾害综合风险精细化评估的核心支撑单元，聚焦县域内淮河干流、洪泽湖片区洪涝灾害频发的区域特征，结合县域洪涝灾害致灾机理与历史灾情数据，构建适配本地防控需求的洪涝灾害承灾体脆弱性定量评估体系。核心目标是精准识别洪涝灾害影响下的重点承灾体，通过科学的量化模型测算各类承灾体在洪涝胁迫下的受损敏感程度与脆弱性水平，为县域洪涝灾害风险综合研判、防控措施精准制定、承灾体加固改造及应急资源优化部署提供全流程量化支撑。</w:t>
            </w:r>
          </w:p>
          <w:p w14:paraId="0BB130A2">
            <w:pPr>
              <w:widowControl/>
              <w:spacing w:line="400" w:lineRule="exact"/>
              <w:rPr>
                <w:rFonts w:ascii="宋体" w:hAnsi="宋体" w:cs="Arial"/>
                <w:color w:val="auto"/>
                <w:sz w:val="18"/>
                <w:szCs w:val="18"/>
              </w:rPr>
            </w:pPr>
            <w:r>
              <w:rPr>
                <w:rFonts w:hint="eastAsia" w:ascii="宋体" w:hAnsi="宋体" w:cs="Arial"/>
                <w:color w:val="auto"/>
                <w:sz w:val="18"/>
                <w:szCs w:val="18"/>
              </w:rPr>
              <w:t>2.需要构建评估体系以及洪涝灾害重要承载体脆弱定量评估方法。</w:t>
            </w:r>
          </w:p>
        </w:tc>
        <w:tc>
          <w:tcPr>
            <w:tcW w:w="900" w:type="dxa"/>
            <w:tcBorders>
              <w:top w:val="nil"/>
              <w:left w:val="nil"/>
              <w:bottom w:val="single" w:color="auto" w:sz="4" w:space="0"/>
              <w:right w:val="single" w:color="auto" w:sz="4" w:space="0"/>
            </w:tcBorders>
            <w:vAlign w:val="center"/>
          </w:tcPr>
          <w:p w14:paraId="27A3805C">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4680042A">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58A557DC">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5043EB43">
            <w:pPr>
              <w:widowControl/>
              <w:spacing w:line="400" w:lineRule="exact"/>
              <w:jc w:val="left"/>
              <w:rPr>
                <w:rFonts w:ascii="宋体" w:hAnsi="宋体" w:cs="Arial"/>
                <w:color w:val="auto"/>
                <w:sz w:val="18"/>
                <w:szCs w:val="18"/>
              </w:rPr>
            </w:pPr>
            <w:r>
              <w:rPr>
                <w:rFonts w:hint="eastAsia" w:ascii="宋体" w:hAnsi="宋体" w:cs="Arial"/>
                <w:color w:val="auto"/>
                <w:sz w:val="18"/>
                <w:szCs w:val="18"/>
              </w:rPr>
              <w:t>灾害普查评估成果应用</w:t>
            </w:r>
          </w:p>
        </w:tc>
      </w:tr>
      <w:tr w14:paraId="5BD12284">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5A2869B0">
            <w:pPr>
              <w:widowControl/>
              <w:spacing w:line="400" w:lineRule="exact"/>
              <w:jc w:val="center"/>
              <w:rPr>
                <w:rFonts w:ascii="宋体" w:hAnsi="宋体" w:cs="Arial"/>
                <w:color w:val="auto"/>
                <w:sz w:val="18"/>
                <w:szCs w:val="18"/>
              </w:rPr>
            </w:pPr>
            <w:r>
              <w:rPr>
                <w:rFonts w:hint="eastAsia" w:ascii="宋体" w:hAnsi="宋体" w:cs="Arial"/>
                <w:color w:val="auto"/>
                <w:sz w:val="18"/>
                <w:szCs w:val="18"/>
              </w:rPr>
              <w:t>1</w:t>
            </w:r>
          </w:p>
        </w:tc>
        <w:tc>
          <w:tcPr>
            <w:tcW w:w="1397" w:type="dxa"/>
            <w:tcBorders>
              <w:top w:val="nil"/>
              <w:left w:val="nil"/>
              <w:bottom w:val="single" w:color="auto" w:sz="4" w:space="0"/>
              <w:right w:val="single" w:color="auto" w:sz="4" w:space="0"/>
            </w:tcBorders>
            <w:vAlign w:val="center"/>
          </w:tcPr>
          <w:p w14:paraId="5B6B6BD0">
            <w:pPr>
              <w:widowControl/>
              <w:spacing w:line="400" w:lineRule="exact"/>
              <w:jc w:val="center"/>
              <w:rPr>
                <w:rFonts w:ascii="宋体" w:hAnsi="宋体" w:cs="Arial"/>
                <w:color w:val="auto"/>
                <w:sz w:val="18"/>
                <w:szCs w:val="18"/>
              </w:rPr>
            </w:pPr>
            <w:r>
              <w:rPr>
                <w:rFonts w:hint="eastAsia" w:ascii="宋体" w:hAnsi="宋体" w:cs="Arial"/>
                <w:color w:val="auto"/>
                <w:sz w:val="18"/>
                <w:szCs w:val="18"/>
              </w:rPr>
              <w:t>城市综合防灾规划</w:t>
            </w:r>
          </w:p>
        </w:tc>
        <w:tc>
          <w:tcPr>
            <w:tcW w:w="5717" w:type="dxa"/>
            <w:tcBorders>
              <w:top w:val="nil"/>
              <w:left w:val="nil"/>
              <w:bottom w:val="single" w:color="auto" w:sz="4" w:space="0"/>
              <w:right w:val="single" w:color="auto" w:sz="4" w:space="0"/>
            </w:tcBorders>
            <w:vAlign w:val="center"/>
          </w:tcPr>
          <w:p w14:paraId="010FB304">
            <w:pPr>
              <w:widowControl/>
              <w:spacing w:line="400" w:lineRule="exact"/>
              <w:rPr>
                <w:rFonts w:ascii="宋体" w:hAnsi="宋体" w:cs="Arial"/>
                <w:color w:val="auto"/>
                <w:sz w:val="18"/>
                <w:szCs w:val="18"/>
              </w:rPr>
            </w:pPr>
            <w:r>
              <w:rPr>
                <w:rFonts w:hint="eastAsia" w:ascii="宋体" w:hAnsi="宋体" w:cs="Arial"/>
                <w:color w:val="auto"/>
                <w:sz w:val="18"/>
                <w:szCs w:val="18"/>
              </w:rPr>
              <w:t>整合自然灾害综合风险普查成果、承灾体调查数据、历史灾情信息和实时监测要素，基于统一空间基准形成覆盖全域的多灾种风险分布图，明确不同区域在地震、洪涝、地质灾害等主要灾种下的风险等级与叠加特征，为城市空间布局优化、重大设施选址和防灾资源配置提供科学依据；以及应急十五五专项规划编制工作。具体要求如下：</w:t>
            </w:r>
          </w:p>
          <w:p w14:paraId="6201208C">
            <w:pPr>
              <w:widowControl/>
              <w:spacing w:line="400" w:lineRule="exact"/>
              <w:rPr>
                <w:rFonts w:ascii="宋体" w:hAnsi="宋体" w:cs="Arial"/>
                <w:color w:val="auto"/>
                <w:sz w:val="18"/>
                <w:szCs w:val="18"/>
              </w:rPr>
            </w:pPr>
            <w:r>
              <w:rPr>
                <w:rFonts w:hint="eastAsia" w:ascii="宋体" w:hAnsi="宋体" w:cs="Arial"/>
                <w:color w:val="auto"/>
                <w:sz w:val="18"/>
                <w:szCs w:val="18"/>
              </w:rPr>
              <w:t>1.城市综合防灾规划融合是灾害普查评估成果向实践转化的关键环节，旨在将风险普查数据与精细化评估结果系统嵌入国土空间规划体系，构建科学、规范、可操作的风险防控空间框架。本工作严格遵循国家规范要求，立足灾害风险普查数据更新与成果应用职能，通过风险底图构建、管控分区研判等技术手段，为城市综合防灾规划编制提供数据底座与决策参考，推动普查成果与国土空间规划体系有效衔接。</w:t>
            </w:r>
          </w:p>
          <w:p w14:paraId="4313F376">
            <w:pPr>
              <w:widowControl/>
              <w:spacing w:line="400" w:lineRule="exact"/>
              <w:rPr>
                <w:rFonts w:ascii="宋体" w:hAnsi="宋体" w:cs="Arial"/>
                <w:color w:val="auto"/>
                <w:sz w:val="18"/>
                <w:szCs w:val="18"/>
              </w:rPr>
            </w:pPr>
            <w:r>
              <w:rPr>
                <w:rFonts w:hint="eastAsia" w:ascii="宋体" w:hAnsi="宋体" w:cs="Arial"/>
                <w:color w:val="auto"/>
                <w:sz w:val="18"/>
                <w:szCs w:val="18"/>
              </w:rPr>
              <w:t>2.主要包括风险地图构建，管控要求制定，规划编制流程，防灾规划方案输出等。</w:t>
            </w:r>
          </w:p>
        </w:tc>
        <w:tc>
          <w:tcPr>
            <w:tcW w:w="900" w:type="dxa"/>
            <w:tcBorders>
              <w:top w:val="nil"/>
              <w:left w:val="nil"/>
              <w:bottom w:val="single" w:color="auto" w:sz="4" w:space="0"/>
              <w:right w:val="single" w:color="auto" w:sz="4" w:space="0"/>
            </w:tcBorders>
            <w:vAlign w:val="center"/>
          </w:tcPr>
          <w:p w14:paraId="6F6FDB18">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13510C5">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0815FCFE">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12610B4">
            <w:pPr>
              <w:widowControl/>
              <w:spacing w:line="400" w:lineRule="exact"/>
              <w:jc w:val="center"/>
              <w:rPr>
                <w:rFonts w:ascii="宋体" w:hAnsi="宋体" w:cs="Arial"/>
                <w:color w:val="auto"/>
                <w:sz w:val="18"/>
                <w:szCs w:val="18"/>
              </w:rPr>
            </w:pPr>
            <w:r>
              <w:rPr>
                <w:rFonts w:hint="eastAsia" w:ascii="宋体" w:hAnsi="宋体" w:cs="Arial"/>
                <w:color w:val="auto"/>
                <w:sz w:val="18"/>
                <w:szCs w:val="18"/>
              </w:rPr>
              <w:t>2</w:t>
            </w:r>
          </w:p>
        </w:tc>
        <w:tc>
          <w:tcPr>
            <w:tcW w:w="1397" w:type="dxa"/>
            <w:tcBorders>
              <w:top w:val="nil"/>
              <w:left w:val="nil"/>
              <w:bottom w:val="single" w:color="auto" w:sz="4" w:space="0"/>
              <w:right w:val="single" w:color="auto" w:sz="4" w:space="0"/>
            </w:tcBorders>
            <w:vAlign w:val="center"/>
          </w:tcPr>
          <w:p w14:paraId="2C5B6856">
            <w:pPr>
              <w:widowControl/>
              <w:spacing w:line="400" w:lineRule="exact"/>
              <w:jc w:val="center"/>
              <w:rPr>
                <w:rFonts w:ascii="宋体" w:hAnsi="宋体" w:cs="Arial"/>
                <w:color w:val="auto"/>
                <w:sz w:val="18"/>
                <w:szCs w:val="18"/>
              </w:rPr>
            </w:pPr>
            <w:r>
              <w:rPr>
                <w:rFonts w:hint="eastAsia" w:ascii="宋体" w:hAnsi="宋体" w:cs="Arial"/>
                <w:color w:val="auto"/>
                <w:sz w:val="18"/>
                <w:szCs w:val="18"/>
              </w:rPr>
              <w:t>灾害动态评估</w:t>
            </w:r>
          </w:p>
        </w:tc>
        <w:tc>
          <w:tcPr>
            <w:tcW w:w="5717" w:type="dxa"/>
            <w:tcBorders>
              <w:top w:val="nil"/>
              <w:left w:val="nil"/>
              <w:bottom w:val="single" w:color="auto" w:sz="4" w:space="0"/>
              <w:right w:val="single" w:color="auto" w:sz="4" w:space="0"/>
            </w:tcBorders>
            <w:vAlign w:val="center"/>
          </w:tcPr>
          <w:p w14:paraId="2437DF85">
            <w:pPr>
              <w:widowControl/>
              <w:spacing w:line="400" w:lineRule="exact"/>
              <w:rPr>
                <w:rFonts w:ascii="宋体" w:hAnsi="宋体" w:cs="Arial"/>
                <w:color w:val="auto"/>
                <w:sz w:val="18"/>
                <w:szCs w:val="18"/>
              </w:rPr>
            </w:pPr>
            <w:r>
              <w:rPr>
                <w:rFonts w:hint="eastAsia" w:ascii="宋体" w:hAnsi="宋体" w:cs="Arial"/>
                <w:color w:val="auto"/>
                <w:sz w:val="18"/>
                <w:szCs w:val="18"/>
              </w:rPr>
              <w:t>基于降雨预报、降雨实况等关键致灾因子数据， 当降雨量达到暴雨洪涝风险评价阈值时，自动触发模型计算流程；在模型运算阶段，综合考量地形地貌、城市排水系统效能、土地利用类型、土壤下渗特性、河流水系空间分布及蒸发量等多重影响因素， 实现洪涝灾害淹没趋势、淹没范围及淹没历时的定量模拟。根据实时监测的暴雨强度、持续时长等数据，参照普查脆弱性评估标准，对各类承灾体的基础脆弱性指数进行动态调整，反映暴雨强度变化对承灾体脆弱性的实时影响；量化分析不同脆弱性等级承灾体在当前暴雨情景下的受损风险， 明确高脆弱性承灾体的分布区域与数量。融合地质灾害隐患点实时位移、形变及实时降雨等动态监测数据,精准核算风险范围内承灾体的实时暴露度并分析变化趋势；基于普查承灾体脆弱性基础成果， 结合实时隐患点活动强度及降雨数据对脆弱性指数进行动态修正， 量化评估不同脆弱性等级承灾体的损毁风险。具体要求如下：</w:t>
            </w:r>
          </w:p>
          <w:p w14:paraId="6080997E">
            <w:pPr>
              <w:widowControl/>
              <w:spacing w:line="400" w:lineRule="exact"/>
              <w:rPr>
                <w:rFonts w:ascii="宋体" w:hAnsi="宋体" w:cs="Arial"/>
                <w:color w:val="auto"/>
                <w:sz w:val="18"/>
                <w:szCs w:val="18"/>
              </w:rPr>
            </w:pPr>
            <w:r>
              <w:rPr>
                <w:rFonts w:hint="eastAsia" w:ascii="宋体" w:hAnsi="宋体" w:cs="Arial"/>
                <w:color w:val="auto"/>
                <w:sz w:val="18"/>
                <w:szCs w:val="18"/>
              </w:rPr>
              <w:t>1.建设以自然灾害风险普查数据成果为核心基础，严格遵循国家及地方相关自然灾害风险普查动态评估标准规范，构建适配多灾种的动态风险评估体系。核心建设思路为整合普查承灾体数据、实时监测数据及灾害预报数据，采用动态评估算法实现承灾体在洪涝、暴雨、地质灾害动态影响过程中的风险实时研判与动态更新，为灾害应急处置、风险动态管控提供精准的实时性支撑。</w:t>
            </w:r>
          </w:p>
          <w:p w14:paraId="49BE85C2">
            <w:pPr>
              <w:widowControl/>
              <w:spacing w:line="400" w:lineRule="exact"/>
              <w:rPr>
                <w:rFonts w:ascii="宋体" w:hAnsi="宋体" w:cs="Arial"/>
                <w:color w:val="auto"/>
                <w:sz w:val="18"/>
                <w:szCs w:val="18"/>
              </w:rPr>
            </w:pPr>
            <w:r>
              <w:rPr>
                <w:rFonts w:hint="eastAsia" w:ascii="宋体" w:hAnsi="宋体" w:cs="Arial"/>
                <w:color w:val="auto"/>
                <w:sz w:val="18"/>
                <w:szCs w:val="18"/>
              </w:rPr>
              <w:t>2.建设包括洪涝灾害、暴雨灾害、地质灾害动态风险评估，暴露度影响分析和承灾体脆弱性影响分析。</w:t>
            </w:r>
          </w:p>
        </w:tc>
        <w:tc>
          <w:tcPr>
            <w:tcW w:w="900" w:type="dxa"/>
            <w:tcBorders>
              <w:top w:val="nil"/>
              <w:left w:val="nil"/>
              <w:bottom w:val="single" w:color="auto" w:sz="4" w:space="0"/>
              <w:right w:val="single" w:color="auto" w:sz="4" w:space="0"/>
            </w:tcBorders>
            <w:vAlign w:val="center"/>
          </w:tcPr>
          <w:p w14:paraId="2D1E32A4">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7A898090">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102CDB8C">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4E97464F">
            <w:pPr>
              <w:widowControl/>
              <w:spacing w:line="400" w:lineRule="exact"/>
              <w:jc w:val="center"/>
              <w:rPr>
                <w:rFonts w:ascii="宋体" w:hAnsi="宋体" w:cs="Arial"/>
                <w:color w:val="auto"/>
                <w:sz w:val="18"/>
                <w:szCs w:val="18"/>
              </w:rPr>
            </w:pPr>
            <w:r>
              <w:rPr>
                <w:rFonts w:hint="eastAsia" w:ascii="宋体" w:hAnsi="宋体" w:cs="Arial"/>
                <w:color w:val="auto"/>
                <w:sz w:val="18"/>
                <w:szCs w:val="18"/>
              </w:rPr>
              <w:t>3</w:t>
            </w:r>
          </w:p>
        </w:tc>
        <w:tc>
          <w:tcPr>
            <w:tcW w:w="1397" w:type="dxa"/>
            <w:tcBorders>
              <w:top w:val="nil"/>
              <w:left w:val="nil"/>
              <w:bottom w:val="single" w:color="auto" w:sz="4" w:space="0"/>
              <w:right w:val="single" w:color="auto" w:sz="4" w:space="0"/>
            </w:tcBorders>
            <w:vAlign w:val="center"/>
          </w:tcPr>
          <w:p w14:paraId="1C711AB8">
            <w:pPr>
              <w:widowControl/>
              <w:spacing w:line="400" w:lineRule="exact"/>
              <w:jc w:val="center"/>
              <w:rPr>
                <w:rFonts w:ascii="宋体" w:hAnsi="宋体" w:cs="Arial"/>
                <w:color w:val="auto"/>
                <w:sz w:val="18"/>
                <w:szCs w:val="18"/>
              </w:rPr>
            </w:pPr>
            <w:r>
              <w:rPr>
                <w:rFonts w:hint="eastAsia" w:ascii="宋体" w:hAnsi="宋体" w:cs="Arial"/>
                <w:color w:val="auto"/>
                <w:sz w:val="18"/>
                <w:szCs w:val="18"/>
              </w:rPr>
              <w:t>规划自然灾害综合风险防控区划</w:t>
            </w:r>
          </w:p>
        </w:tc>
        <w:tc>
          <w:tcPr>
            <w:tcW w:w="5717" w:type="dxa"/>
            <w:tcBorders>
              <w:top w:val="nil"/>
              <w:left w:val="nil"/>
              <w:bottom w:val="single" w:color="auto" w:sz="4" w:space="0"/>
              <w:right w:val="single" w:color="auto" w:sz="4" w:space="0"/>
            </w:tcBorders>
            <w:vAlign w:val="center"/>
          </w:tcPr>
          <w:p w14:paraId="09040115">
            <w:pPr>
              <w:widowControl/>
              <w:spacing w:line="400" w:lineRule="exact"/>
              <w:rPr>
                <w:rFonts w:ascii="宋体" w:hAnsi="宋体" w:cs="Arial"/>
                <w:color w:val="auto"/>
                <w:sz w:val="18"/>
                <w:szCs w:val="18"/>
              </w:rPr>
            </w:pPr>
            <w:r>
              <w:rPr>
                <w:rFonts w:hint="eastAsia" w:ascii="宋体" w:hAnsi="宋体" w:cs="Arial"/>
                <w:color w:val="auto"/>
                <w:sz w:val="18"/>
                <w:szCs w:val="18"/>
              </w:rPr>
              <w:t>基于多灾种综合风险评估结果，结合区域地理特征、人口经济分布和防灾能力现状，划分高风险重点防控区、中风险一般防控区和低风险常规管理区，明确各分区的灾害类型主导性、风险等级和防控优先级。具体要求如下：</w:t>
            </w:r>
          </w:p>
          <w:p w14:paraId="0FE7F2A2">
            <w:pPr>
              <w:widowControl/>
              <w:spacing w:line="400" w:lineRule="exact"/>
              <w:rPr>
                <w:rFonts w:ascii="宋体" w:hAnsi="宋体" w:cs="Arial"/>
                <w:color w:val="auto"/>
                <w:sz w:val="18"/>
                <w:szCs w:val="18"/>
              </w:rPr>
            </w:pPr>
            <w:r>
              <w:rPr>
                <w:rFonts w:hint="eastAsia" w:ascii="宋体" w:hAnsi="宋体" w:cs="Arial"/>
                <w:color w:val="auto"/>
                <w:sz w:val="18"/>
                <w:szCs w:val="18"/>
              </w:rPr>
              <w:t>1.自然灾害综合风险防控区划规划是基于全域自然灾害综合风险图，系统整合区域发展格局、人口经济分布、重要设施布局及生态保护要求，科学划定风险防控分区，明确区域风险特征与管控策略的关键环节。该规划旨在构建风险导向的空间管控体系，为防灾减灾工作提供精准化、差异化的指导依据，确保风险防控与区域发展深度融合。</w:t>
            </w:r>
          </w:p>
          <w:p w14:paraId="3A1ACC67">
            <w:pPr>
              <w:widowControl/>
              <w:spacing w:line="400" w:lineRule="exact"/>
              <w:rPr>
                <w:rFonts w:ascii="宋体" w:hAnsi="宋体" w:cs="Arial"/>
                <w:color w:val="auto"/>
                <w:sz w:val="18"/>
                <w:szCs w:val="18"/>
              </w:rPr>
            </w:pPr>
            <w:r>
              <w:rPr>
                <w:rFonts w:hint="eastAsia" w:ascii="宋体" w:hAnsi="宋体" w:cs="Arial"/>
                <w:color w:val="auto"/>
                <w:sz w:val="18"/>
                <w:szCs w:val="18"/>
              </w:rPr>
              <w:t>2.系统以多源数据整合，分区划定，管控策略制定等内容实现对灾害综合防控区域的分区管控。</w:t>
            </w:r>
          </w:p>
        </w:tc>
        <w:tc>
          <w:tcPr>
            <w:tcW w:w="900" w:type="dxa"/>
            <w:tcBorders>
              <w:top w:val="nil"/>
              <w:left w:val="nil"/>
              <w:bottom w:val="single" w:color="auto" w:sz="4" w:space="0"/>
              <w:right w:val="single" w:color="auto" w:sz="4" w:space="0"/>
            </w:tcBorders>
            <w:vAlign w:val="center"/>
          </w:tcPr>
          <w:p w14:paraId="312050CE">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3FC8A9F4">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r w14:paraId="3C6BA186">
        <w:tblPrEx>
          <w:tblCellMar>
            <w:top w:w="0" w:type="dxa"/>
            <w:left w:w="108" w:type="dxa"/>
            <w:bottom w:w="0" w:type="dxa"/>
            <w:right w:w="108" w:type="dxa"/>
          </w:tblCellMar>
        </w:tblPrEx>
        <w:trPr>
          <w:jc w:val="center"/>
        </w:trPr>
        <w:tc>
          <w:tcPr>
            <w:tcW w:w="9682" w:type="dxa"/>
            <w:gridSpan w:val="6"/>
            <w:tcBorders>
              <w:top w:val="single" w:color="auto" w:sz="4" w:space="0"/>
              <w:left w:val="single" w:color="auto" w:sz="4" w:space="0"/>
              <w:bottom w:val="single" w:color="auto" w:sz="4" w:space="0"/>
              <w:right w:val="single" w:color="auto" w:sz="4" w:space="0"/>
            </w:tcBorders>
            <w:vAlign w:val="center"/>
          </w:tcPr>
          <w:p w14:paraId="0284D1A7">
            <w:pPr>
              <w:widowControl/>
              <w:spacing w:line="400" w:lineRule="exact"/>
              <w:jc w:val="left"/>
              <w:rPr>
                <w:rFonts w:ascii="宋体" w:hAnsi="宋体" w:cs="Arial"/>
                <w:color w:val="auto"/>
                <w:sz w:val="18"/>
                <w:szCs w:val="18"/>
              </w:rPr>
            </w:pPr>
            <w:r>
              <w:rPr>
                <w:rFonts w:hint="eastAsia" w:ascii="宋体" w:hAnsi="宋体" w:cs="Arial"/>
                <w:b/>
                <w:bCs/>
                <w:color w:val="auto"/>
                <w:sz w:val="18"/>
                <w:szCs w:val="18"/>
              </w:rPr>
              <w:t>系统集成</w:t>
            </w:r>
          </w:p>
        </w:tc>
      </w:tr>
      <w:tr w14:paraId="402B658F">
        <w:tblPrEx>
          <w:tblCellMar>
            <w:top w:w="0" w:type="dxa"/>
            <w:left w:w="108" w:type="dxa"/>
            <w:bottom w:w="0" w:type="dxa"/>
            <w:right w:w="108" w:type="dxa"/>
          </w:tblCellMar>
        </w:tblPrEx>
        <w:trPr>
          <w:jc w:val="center"/>
        </w:trPr>
        <w:tc>
          <w:tcPr>
            <w:tcW w:w="819" w:type="dxa"/>
            <w:tcBorders>
              <w:top w:val="nil"/>
              <w:left w:val="single" w:color="auto" w:sz="4" w:space="0"/>
              <w:bottom w:val="single" w:color="auto" w:sz="4" w:space="0"/>
              <w:right w:val="single" w:color="auto" w:sz="4" w:space="0"/>
            </w:tcBorders>
            <w:vAlign w:val="center"/>
          </w:tcPr>
          <w:p w14:paraId="082071D2">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 </w:t>
            </w:r>
          </w:p>
        </w:tc>
        <w:tc>
          <w:tcPr>
            <w:tcW w:w="1397" w:type="dxa"/>
            <w:tcBorders>
              <w:top w:val="nil"/>
              <w:left w:val="nil"/>
              <w:bottom w:val="single" w:color="auto" w:sz="4" w:space="0"/>
              <w:right w:val="single" w:color="auto" w:sz="4" w:space="0"/>
            </w:tcBorders>
            <w:vAlign w:val="center"/>
          </w:tcPr>
          <w:p w14:paraId="5FBB2B20">
            <w:pPr>
              <w:widowControl/>
              <w:spacing w:line="400" w:lineRule="exact"/>
              <w:jc w:val="center"/>
              <w:rPr>
                <w:rFonts w:ascii="宋体" w:hAnsi="宋体" w:cs="Arial"/>
                <w:color w:val="auto"/>
                <w:sz w:val="18"/>
                <w:szCs w:val="18"/>
              </w:rPr>
            </w:pPr>
            <w:r>
              <w:rPr>
                <w:rFonts w:hint="eastAsia" w:ascii="宋体" w:hAnsi="宋体" w:cs="Arial"/>
                <w:color w:val="auto"/>
                <w:sz w:val="18"/>
                <w:szCs w:val="18"/>
              </w:rPr>
              <w:t>系统集成服务</w:t>
            </w:r>
          </w:p>
        </w:tc>
        <w:tc>
          <w:tcPr>
            <w:tcW w:w="5717" w:type="dxa"/>
            <w:tcBorders>
              <w:top w:val="nil"/>
              <w:left w:val="nil"/>
              <w:bottom w:val="single" w:color="auto" w:sz="4" w:space="0"/>
              <w:right w:val="single" w:color="auto" w:sz="4" w:space="0"/>
            </w:tcBorders>
            <w:vAlign w:val="center"/>
          </w:tcPr>
          <w:p w14:paraId="2A72606A">
            <w:pPr>
              <w:widowControl/>
              <w:spacing w:line="400" w:lineRule="exact"/>
              <w:jc w:val="left"/>
              <w:rPr>
                <w:rFonts w:ascii="宋体" w:hAnsi="宋体" w:cs="Arial"/>
                <w:color w:val="auto"/>
                <w:sz w:val="18"/>
                <w:szCs w:val="18"/>
              </w:rPr>
            </w:pPr>
            <w:r>
              <w:rPr>
                <w:rFonts w:hint="eastAsia" w:ascii="宋体" w:hAnsi="宋体" w:cs="Arial"/>
                <w:color w:val="auto"/>
                <w:sz w:val="18"/>
                <w:szCs w:val="18"/>
              </w:rPr>
              <w:t>实现项目建设目标而开展的硬件及相关软件集成工作。</w:t>
            </w:r>
          </w:p>
        </w:tc>
        <w:tc>
          <w:tcPr>
            <w:tcW w:w="900" w:type="dxa"/>
            <w:tcBorders>
              <w:top w:val="nil"/>
              <w:left w:val="nil"/>
              <w:bottom w:val="single" w:color="auto" w:sz="4" w:space="0"/>
              <w:right w:val="single" w:color="auto" w:sz="4" w:space="0"/>
            </w:tcBorders>
            <w:vAlign w:val="center"/>
          </w:tcPr>
          <w:p w14:paraId="00E98AAB">
            <w:pPr>
              <w:widowControl/>
              <w:spacing w:line="400" w:lineRule="exact"/>
              <w:jc w:val="center"/>
              <w:rPr>
                <w:rFonts w:ascii="宋体" w:hAnsi="宋体" w:cs="Arial"/>
                <w:color w:val="auto"/>
                <w:sz w:val="18"/>
                <w:szCs w:val="18"/>
              </w:rPr>
            </w:pPr>
            <w:r>
              <w:rPr>
                <w:rFonts w:hint="eastAsia" w:ascii="宋体" w:hAnsi="宋体" w:cs="Arial"/>
                <w:color w:val="auto"/>
                <w:sz w:val="18"/>
                <w:szCs w:val="18"/>
              </w:rPr>
              <w:t xml:space="preserve">1.00 </w:t>
            </w:r>
          </w:p>
        </w:tc>
        <w:tc>
          <w:tcPr>
            <w:tcW w:w="849" w:type="dxa"/>
            <w:gridSpan w:val="2"/>
            <w:tcBorders>
              <w:top w:val="nil"/>
              <w:left w:val="nil"/>
              <w:bottom w:val="single" w:color="auto" w:sz="4" w:space="0"/>
              <w:right w:val="single" w:color="auto" w:sz="4" w:space="0"/>
            </w:tcBorders>
            <w:vAlign w:val="center"/>
          </w:tcPr>
          <w:p w14:paraId="1A797287">
            <w:pPr>
              <w:widowControl/>
              <w:spacing w:line="400" w:lineRule="exact"/>
              <w:jc w:val="center"/>
              <w:rPr>
                <w:rFonts w:ascii="宋体" w:hAnsi="宋体" w:cs="Arial"/>
                <w:color w:val="auto"/>
                <w:sz w:val="18"/>
                <w:szCs w:val="18"/>
              </w:rPr>
            </w:pPr>
            <w:r>
              <w:rPr>
                <w:rFonts w:hint="eastAsia" w:ascii="宋体" w:hAnsi="宋体" w:cs="Arial"/>
                <w:color w:val="auto"/>
                <w:sz w:val="18"/>
                <w:szCs w:val="18"/>
              </w:rPr>
              <w:t>项</w:t>
            </w:r>
          </w:p>
        </w:tc>
      </w:tr>
    </w:tbl>
    <w:p w14:paraId="5481B0B5">
      <w:pPr>
        <w:adjustRightInd w:val="0"/>
        <w:snapToGrid w:val="0"/>
        <w:spacing w:line="480" w:lineRule="exact"/>
        <w:ind w:firstLine="480" w:firstLineChars="200"/>
        <w:rPr>
          <w:rFonts w:ascii="宋体" w:hAnsi="宋体" w:cs="宋体"/>
          <w:color w:val="auto"/>
          <w:sz w:val="24"/>
        </w:rPr>
      </w:pPr>
    </w:p>
    <w:p w14:paraId="590CDB7A">
      <w:pPr>
        <w:spacing w:line="400" w:lineRule="exact"/>
        <w:rPr>
          <w:rFonts w:ascii="宋体" w:hAnsi="宋体" w:cs="宋体"/>
          <w:b/>
          <w:bCs/>
          <w:color w:val="auto"/>
          <w:kern w:val="2"/>
          <w:sz w:val="24"/>
        </w:rPr>
      </w:pPr>
      <w:r>
        <w:rPr>
          <w:rFonts w:hint="eastAsia" w:ascii="宋体" w:hAnsi="宋体" w:cs="宋体"/>
          <w:b/>
          <w:bCs/>
          <w:color w:val="auto"/>
          <w:kern w:val="2"/>
          <w:sz w:val="24"/>
        </w:rPr>
        <w:t>说明：</w:t>
      </w:r>
    </w:p>
    <w:p w14:paraId="0E9E591E">
      <w:pPr>
        <w:adjustRightInd w:val="0"/>
        <w:snapToGrid w:val="0"/>
        <w:spacing w:line="480" w:lineRule="exact"/>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w:t>
      </w:r>
      <w:r>
        <w:rPr>
          <w:rFonts w:ascii="宋体" w:hAnsi="宋体" w:cs="宋体"/>
          <w:color w:val="auto"/>
          <w:sz w:val="24"/>
        </w:rPr>
        <w:t>本项目的货物不接受进口产品（即通过中国海关报关验放进入中国境内且产自关境外的产品）参与投标，如有进口产品参与投标的作无效标处理。</w:t>
      </w:r>
    </w:p>
    <w:p w14:paraId="560A5A97">
      <w:pPr>
        <w:adjustRightInd w:val="0"/>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技术参数响应指标与检测报告</w:t>
      </w:r>
      <w:r>
        <w:rPr>
          <w:rFonts w:hint="eastAsia" w:ascii="宋体" w:hAnsi="宋体" w:cs="宋体"/>
          <w:color w:val="auto"/>
          <w:sz w:val="24"/>
        </w:rPr>
        <w:t>等证明材料</w:t>
      </w:r>
      <w:r>
        <w:rPr>
          <w:rFonts w:ascii="宋体" w:hAnsi="宋体" w:cs="宋体"/>
          <w:color w:val="auto"/>
          <w:sz w:val="24"/>
        </w:rPr>
        <w:t>（</w:t>
      </w:r>
      <w:r>
        <w:rPr>
          <w:rFonts w:hint="eastAsia" w:ascii="宋体" w:hAnsi="宋体" w:cs="宋体"/>
          <w:color w:val="auto"/>
          <w:sz w:val="24"/>
        </w:rPr>
        <w:t>技术要求</w:t>
      </w:r>
      <w:r>
        <w:rPr>
          <w:rFonts w:ascii="宋体" w:hAnsi="宋体" w:cs="宋体"/>
          <w:color w:val="auto"/>
          <w:sz w:val="24"/>
        </w:rPr>
        <w:t>中要求提供</w:t>
      </w:r>
      <w:r>
        <w:rPr>
          <w:rFonts w:hint="eastAsia" w:ascii="宋体" w:hAnsi="宋体" w:cs="宋体"/>
          <w:color w:val="auto"/>
          <w:sz w:val="24"/>
        </w:rPr>
        <w:t>的资料</w:t>
      </w:r>
      <w:r>
        <w:rPr>
          <w:rFonts w:ascii="宋体" w:hAnsi="宋体" w:cs="宋体"/>
          <w:color w:val="auto"/>
          <w:sz w:val="24"/>
        </w:rPr>
        <w:t>）</w:t>
      </w:r>
      <w:r>
        <w:rPr>
          <w:rFonts w:hint="eastAsia" w:ascii="宋体" w:hAnsi="宋体" w:cs="宋体"/>
          <w:color w:val="auto"/>
          <w:sz w:val="24"/>
        </w:rPr>
        <w:t>的</w:t>
      </w:r>
      <w:r>
        <w:rPr>
          <w:rFonts w:ascii="宋体" w:hAnsi="宋体" w:cs="宋体"/>
          <w:color w:val="auto"/>
          <w:sz w:val="24"/>
        </w:rPr>
        <w:t>实际参数或</w:t>
      </w:r>
      <w:r>
        <w:rPr>
          <w:rFonts w:hint="eastAsia" w:ascii="宋体" w:hAnsi="宋体" w:cs="宋体"/>
          <w:color w:val="auto"/>
          <w:sz w:val="24"/>
        </w:rPr>
        <w:t>投标文件</w:t>
      </w:r>
      <w:r>
        <w:rPr>
          <w:rFonts w:ascii="宋体" w:hAnsi="宋体" w:cs="宋体"/>
          <w:color w:val="auto"/>
          <w:sz w:val="24"/>
        </w:rPr>
        <w:t>内其他支持文件不一致的属于负偏离。</w:t>
      </w:r>
    </w:p>
    <w:p w14:paraId="5B7A046E">
      <w:pPr>
        <w:widowControl/>
        <w:jc w:val="left"/>
        <w:rPr>
          <w:rFonts w:ascii="宋体" w:hAnsi="宋体" w:cs="宋体"/>
          <w:color w:val="auto"/>
          <w:sz w:val="24"/>
        </w:rPr>
      </w:pPr>
    </w:p>
    <w:p w14:paraId="736191E0">
      <w:pPr>
        <w:pStyle w:val="2"/>
        <w:rPr>
          <w:rFonts w:ascii="宋体" w:hAnsi="宋体" w:eastAsia="宋体"/>
          <w:color w:val="auto"/>
        </w:rPr>
      </w:pPr>
      <w:r>
        <w:rPr>
          <w:rFonts w:hint="eastAsia" w:ascii="宋体" w:hAnsi="宋体" w:eastAsia="宋体"/>
          <w:color w:val="auto"/>
        </w:rPr>
        <w:t>第六章  投标文件格式</w:t>
      </w:r>
    </w:p>
    <w:p w14:paraId="21CF31B7">
      <w:pPr>
        <w:rPr>
          <w:rFonts w:ascii="宋体" w:hAnsi="宋体"/>
          <w:color w:val="auto"/>
        </w:rPr>
      </w:pPr>
    </w:p>
    <w:p w14:paraId="42638B1F">
      <w:pPr>
        <w:rPr>
          <w:rFonts w:ascii="宋体" w:hAnsi="宋体"/>
          <w:color w:val="auto"/>
        </w:rPr>
      </w:pPr>
    </w:p>
    <w:p w14:paraId="322791EE">
      <w:pPr>
        <w:rPr>
          <w:rFonts w:ascii="宋体" w:hAnsi="宋体"/>
          <w:color w:val="auto"/>
        </w:rPr>
      </w:pPr>
    </w:p>
    <w:p w14:paraId="33161D72">
      <w:pPr>
        <w:rPr>
          <w:rFonts w:ascii="宋体" w:hAnsi="宋体"/>
          <w:color w:val="auto"/>
        </w:rPr>
      </w:pPr>
    </w:p>
    <w:p w14:paraId="5A60DCB6">
      <w:pPr>
        <w:rPr>
          <w:rFonts w:ascii="宋体" w:hAnsi="宋体"/>
          <w:color w:val="auto"/>
        </w:rPr>
      </w:pPr>
    </w:p>
    <w:p w14:paraId="7274766A">
      <w:pPr>
        <w:jc w:val="center"/>
        <w:rPr>
          <w:rFonts w:ascii="宋体" w:hAnsi="宋体"/>
          <w:color w:val="auto"/>
          <w:sz w:val="28"/>
          <w:szCs w:val="36"/>
        </w:rPr>
      </w:pPr>
    </w:p>
    <w:p w14:paraId="75F7F6E6">
      <w:pPr>
        <w:jc w:val="center"/>
        <w:rPr>
          <w:rFonts w:ascii="宋体" w:hAnsi="宋体" w:cs="宋体"/>
          <w:b/>
          <w:bCs/>
          <w:color w:val="auto"/>
          <w:sz w:val="48"/>
          <w:szCs w:val="48"/>
        </w:rPr>
      </w:pPr>
      <w:r>
        <w:rPr>
          <w:rFonts w:hint="eastAsia" w:ascii="宋体" w:hAnsi="宋体" w:cs="宋体"/>
          <w:b/>
          <w:bCs/>
          <w:color w:val="auto"/>
          <w:sz w:val="48"/>
          <w:szCs w:val="48"/>
        </w:rPr>
        <w:t>投</w:t>
      </w:r>
    </w:p>
    <w:p w14:paraId="3A205ADF">
      <w:pPr>
        <w:jc w:val="center"/>
        <w:rPr>
          <w:rFonts w:ascii="宋体" w:hAnsi="宋体" w:cs="宋体"/>
          <w:b/>
          <w:bCs/>
          <w:color w:val="auto"/>
          <w:sz w:val="48"/>
          <w:szCs w:val="48"/>
        </w:rPr>
      </w:pPr>
    </w:p>
    <w:p w14:paraId="57997C5D">
      <w:pPr>
        <w:jc w:val="center"/>
        <w:rPr>
          <w:rFonts w:ascii="宋体" w:hAnsi="宋体" w:cs="宋体"/>
          <w:b/>
          <w:bCs/>
          <w:color w:val="auto"/>
          <w:sz w:val="48"/>
          <w:szCs w:val="48"/>
        </w:rPr>
      </w:pPr>
      <w:r>
        <w:rPr>
          <w:rFonts w:hint="eastAsia" w:ascii="宋体" w:hAnsi="宋体" w:cs="宋体"/>
          <w:b/>
          <w:bCs/>
          <w:color w:val="auto"/>
          <w:sz w:val="48"/>
          <w:szCs w:val="48"/>
        </w:rPr>
        <w:t>标</w:t>
      </w:r>
    </w:p>
    <w:p w14:paraId="785EFA1E">
      <w:pPr>
        <w:jc w:val="center"/>
        <w:rPr>
          <w:rFonts w:ascii="宋体" w:hAnsi="宋体" w:cs="宋体"/>
          <w:b/>
          <w:bCs/>
          <w:color w:val="auto"/>
          <w:sz w:val="48"/>
          <w:szCs w:val="48"/>
        </w:rPr>
      </w:pPr>
    </w:p>
    <w:p w14:paraId="20F5CE91">
      <w:pPr>
        <w:jc w:val="center"/>
        <w:rPr>
          <w:rFonts w:ascii="宋体" w:hAnsi="宋体" w:cs="宋体"/>
          <w:b/>
          <w:bCs/>
          <w:color w:val="auto"/>
          <w:sz w:val="48"/>
          <w:szCs w:val="48"/>
        </w:rPr>
      </w:pPr>
      <w:r>
        <w:rPr>
          <w:rFonts w:hint="eastAsia" w:ascii="宋体" w:hAnsi="宋体" w:cs="宋体"/>
          <w:b/>
          <w:bCs/>
          <w:color w:val="auto"/>
          <w:sz w:val="48"/>
          <w:szCs w:val="48"/>
        </w:rPr>
        <w:t>文</w:t>
      </w:r>
    </w:p>
    <w:p w14:paraId="4A201A6D">
      <w:pPr>
        <w:jc w:val="center"/>
        <w:rPr>
          <w:rFonts w:ascii="宋体" w:hAnsi="宋体" w:cs="宋体"/>
          <w:b/>
          <w:bCs/>
          <w:color w:val="auto"/>
          <w:sz w:val="48"/>
          <w:szCs w:val="48"/>
        </w:rPr>
      </w:pPr>
    </w:p>
    <w:p w14:paraId="78EFBA73">
      <w:pPr>
        <w:jc w:val="center"/>
        <w:rPr>
          <w:rFonts w:ascii="宋体" w:hAnsi="宋体" w:cs="宋体"/>
          <w:b/>
          <w:bCs/>
          <w:color w:val="auto"/>
          <w:sz w:val="48"/>
          <w:szCs w:val="48"/>
        </w:rPr>
      </w:pPr>
      <w:r>
        <w:rPr>
          <w:rFonts w:hint="eastAsia" w:ascii="宋体" w:hAnsi="宋体" w:cs="宋体"/>
          <w:b/>
          <w:bCs/>
          <w:color w:val="auto"/>
          <w:sz w:val="48"/>
          <w:szCs w:val="48"/>
        </w:rPr>
        <w:t>件</w:t>
      </w:r>
    </w:p>
    <w:p w14:paraId="1FD0D2A1">
      <w:pPr>
        <w:rPr>
          <w:rFonts w:ascii="宋体" w:hAnsi="宋体"/>
          <w:color w:val="auto"/>
        </w:rPr>
      </w:pPr>
    </w:p>
    <w:p w14:paraId="7FCCEEB1">
      <w:pPr>
        <w:rPr>
          <w:rFonts w:ascii="宋体" w:hAnsi="宋体"/>
          <w:color w:val="auto"/>
        </w:rPr>
      </w:pPr>
    </w:p>
    <w:p w14:paraId="73EE05F1">
      <w:pPr>
        <w:rPr>
          <w:rFonts w:ascii="宋体" w:hAnsi="宋体"/>
          <w:color w:val="auto"/>
        </w:rPr>
      </w:pPr>
    </w:p>
    <w:p w14:paraId="0D66E252">
      <w:pPr>
        <w:ind w:left="1260" w:leftChars="600"/>
        <w:rPr>
          <w:rFonts w:ascii="宋体" w:hAnsi="宋体"/>
          <w:color w:val="auto"/>
          <w:sz w:val="20"/>
          <w:szCs w:val="22"/>
        </w:rPr>
      </w:pPr>
    </w:p>
    <w:p w14:paraId="3F050954">
      <w:pPr>
        <w:pStyle w:val="27"/>
        <w:widowControl/>
        <w:ind w:left="1260" w:leftChars="600"/>
        <w:jc w:val="both"/>
        <w:rPr>
          <w:rFonts w:ascii="宋体" w:hAnsi="宋体"/>
          <w:color w:val="auto"/>
          <w:sz w:val="16"/>
          <w:szCs w:val="16"/>
        </w:rPr>
      </w:pPr>
      <w:r>
        <w:rPr>
          <w:rFonts w:ascii="宋体" w:hAnsi="宋体" w:cs="宋体"/>
          <w:b/>
          <w:bCs/>
          <w:color w:val="auto"/>
          <w:sz w:val="32"/>
          <w:szCs w:val="32"/>
        </w:rPr>
        <w:t>项 目 名 称：</w:t>
      </w:r>
      <w:r>
        <w:rPr>
          <w:rFonts w:ascii="宋体" w:hAnsi="宋体" w:cs="宋体"/>
          <w:b/>
          <w:bCs/>
          <w:color w:val="auto"/>
          <w:sz w:val="32"/>
          <w:szCs w:val="32"/>
          <w:u w:val="single"/>
        </w:rPr>
        <w:t>               </w:t>
      </w:r>
    </w:p>
    <w:p w14:paraId="3F43B56E">
      <w:pPr>
        <w:pStyle w:val="27"/>
        <w:widowControl/>
        <w:ind w:left="1260" w:leftChars="600"/>
        <w:jc w:val="both"/>
        <w:rPr>
          <w:rFonts w:ascii="宋体" w:hAnsi="宋体" w:cs="宋体"/>
          <w:b/>
          <w:bCs/>
          <w:color w:val="auto"/>
          <w:sz w:val="32"/>
          <w:szCs w:val="32"/>
        </w:rPr>
      </w:pPr>
    </w:p>
    <w:p w14:paraId="2394159A">
      <w:pPr>
        <w:pStyle w:val="27"/>
        <w:widowControl/>
        <w:ind w:left="1260" w:leftChars="600"/>
        <w:jc w:val="both"/>
        <w:rPr>
          <w:rFonts w:ascii="宋体" w:hAnsi="宋体"/>
          <w:color w:val="auto"/>
          <w:sz w:val="16"/>
          <w:szCs w:val="16"/>
        </w:rPr>
      </w:pPr>
      <w:r>
        <w:rPr>
          <w:rFonts w:ascii="宋体" w:hAnsi="宋体" w:cs="宋体"/>
          <w:b/>
          <w:bCs/>
          <w:color w:val="auto"/>
          <w:sz w:val="32"/>
          <w:szCs w:val="32"/>
        </w:rPr>
        <w:t>招 标 编 号：</w:t>
      </w:r>
      <w:r>
        <w:rPr>
          <w:rFonts w:ascii="宋体" w:hAnsi="宋体" w:cs="宋体"/>
          <w:b/>
          <w:bCs/>
          <w:color w:val="auto"/>
          <w:sz w:val="32"/>
          <w:szCs w:val="32"/>
          <w:u w:val="single"/>
        </w:rPr>
        <w:t>               </w:t>
      </w:r>
    </w:p>
    <w:p w14:paraId="030D8A38">
      <w:pPr>
        <w:pStyle w:val="27"/>
        <w:widowControl/>
        <w:ind w:left="1260" w:leftChars="600"/>
        <w:jc w:val="both"/>
        <w:rPr>
          <w:rFonts w:ascii="宋体" w:hAnsi="宋体" w:cs="宋体"/>
          <w:b/>
          <w:bCs/>
          <w:color w:val="auto"/>
          <w:sz w:val="32"/>
          <w:szCs w:val="32"/>
        </w:rPr>
      </w:pPr>
    </w:p>
    <w:p w14:paraId="397C2E95">
      <w:pPr>
        <w:pStyle w:val="27"/>
        <w:widowControl/>
        <w:ind w:left="1260" w:leftChars="600"/>
        <w:jc w:val="both"/>
        <w:rPr>
          <w:rFonts w:ascii="宋体" w:hAnsi="宋体"/>
          <w:color w:val="auto"/>
          <w:sz w:val="16"/>
          <w:szCs w:val="16"/>
        </w:rPr>
      </w:pPr>
      <w:r>
        <w:rPr>
          <w:rFonts w:ascii="宋体" w:hAnsi="宋体" w:cs="宋体"/>
          <w:b/>
          <w:bCs/>
          <w:color w:val="auto"/>
          <w:sz w:val="32"/>
          <w:szCs w:val="32"/>
        </w:rPr>
        <w:t>投标人名称 ：</w:t>
      </w:r>
      <w:r>
        <w:rPr>
          <w:rFonts w:ascii="宋体" w:hAnsi="宋体" w:cs="宋体"/>
          <w:b/>
          <w:bCs/>
          <w:color w:val="auto"/>
          <w:sz w:val="32"/>
          <w:szCs w:val="32"/>
          <w:u w:val="single"/>
        </w:rPr>
        <w:t>（加盖CA电子公章）</w:t>
      </w:r>
      <w:r>
        <w:rPr>
          <w:rFonts w:hint="eastAsia" w:ascii="宋体" w:hAnsi="宋体" w:cs="宋体"/>
          <w:b/>
          <w:bCs/>
          <w:color w:val="auto"/>
          <w:sz w:val="32"/>
          <w:szCs w:val="32"/>
          <w:u w:val="single"/>
        </w:rPr>
        <w:t xml:space="preserve">           </w:t>
      </w:r>
    </w:p>
    <w:p w14:paraId="6C13D25C">
      <w:pPr>
        <w:pStyle w:val="27"/>
        <w:widowControl/>
        <w:ind w:left="1260" w:leftChars="600"/>
        <w:jc w:val="both"/>
        <w:rPr>
          <w:rFonts w:ascii="宋体" w:hAnsi="宋体" w:cs="宋体"/>
          <w:b/>
          <w:bCs/>
          <w:color w:val="auto"/>
          <w:sz w:val="32"/>
          <w:szCs w:val="32"/>
        </w:rPr>
      </w:pPr>
    </w:p>
    <w:p w14:paraId="4F7A0829">
      <w:pPr>
        <w:pStyle w:val="27"/>
        <w:widowControl/>
        <w:ind w:left="1260" w:leftChars="600"/>
        <w:jc w:val="both"/>
        <w:rPr>
          <w:rFonts w:ascii="宋体" w:hAnsi="宋体"/>
          <w:color w:val="auto"/>
          <w:sz w:val="16"/>
          <w:szCs w:val="16"/>
        </w:rPr>
      </w:pPr>
      <w:r>
        <w:rPr>
          <w:rFonts w:ascii="宋体" w:hAnsi="宋体" w:cs="宋体"/>
          <w:b/>
          <w:bCs/>
          <w:color w:val="auto"/>
          <w:sz w:val="32"/>
          <w:szCs w:val="32"/>
        </w:rPr>
        <w:t>日   期 ：</w:t>
      </w:r>
      <w:r>
        <w:rPr>
          <w:rFonts w:ascii="宋体" w:hAnsi="宋体" w:cs="宋体"/>
          <w:b/>
          <w:bCs/>
          <w:color w:val="auto"/>
          <w:sz w:val="32"/>
          <w:szCs w:val="32"/>
          <w:u w:val="single"/>
        </w:rPr>
        <w:t>              </w:t>
      </w:r>
      <w:r>
        <w:rPr>
          <w:rFonts w:hint="eastAsia" w:ascii="宋体" w:hAnsi="宋体" w:cs="宋体"/>
          <w:b/>
          <w:bCs/>
          <w:color w:val="auto"/>
          <w:sz w:val="32"/>
          <w:szCs w:val="32"/>
          <w:u w:val="single"/>
        </w:rPr>
        <w:t xml:space="preserve"> </w:t>
      </w:r>
      <w:r>
        <w:rPr>
          <w:rFonts w:ascii="宋体" w:hAnsi="宋体" w:cs="宋体"/>
          <w:b/>
          <w:bCs/>
          <w:color w:val="auto"/>
          <w:sz w:val="32"/>
          <w:szCs w:val="32"/>
          <w:u w:val="single"/>
        </w:rPr>
        <w:t> </w:t>
      </w:r>
    </w:p>
    <w:p w14:paraId="4E8CB475">
      <w:pPr>
        <w:rPr>
          <w:color w:val="auto"/>
        </w:rPr>
      </w:pPr>
    </w:p>
    <w:p w14:paraId="2A72361C">
      <w:pPr>
        <w:spacing w:before="120" w:beforeLines="50" w:after="120" w:afterLines="50" w:line="360" w:lineRule="auto"/>
        <w:rPr>
          <w:rFonts w:ascii="宋体" w:hAnsi="宋体"/>
          <w:b/>
          <w:color w:val="auto"/>
          <w:szCs w:val="32"/>
        </w:rPr>
      </w:pPr>
      <w:r>
        <w:rPr>
          <w:rFonts w:ascii="宋体" w:hAnsi="宋体"/>
          <w:b/>
          <w:color w:val="auto"/>
          <w:szCs w:val="32"/>
        </w:rPr>
        <w:br w:type="page"/>
      </w:r>
    </w:p>
    <w:p w14:paraId="1797E6BD">
      <w:pPr>
        <w:numPr>
          <w:ilvl w:val="0"/>
          <w:numId w:val="7"/>
        </w:numPr>
        <w:spacing w:before="120" w:beforeLines="50" w:after="120" w:afterLines="50" w:line="360" w:lineRule="auto"/>
        <w:jc w:val="center"/>
        <w:rPr>
          <w:rFonts w:ascii="宋体" w:hAnsi="宋体"/>
          <w:b/>
          <w:bCs/>
          <w:color w:val="auto"/>
          <w:sz w:val="36"/>
          <w:szCs w:val="36"/>
        </w:rPr>
      </w:pPr>
      <w:r>
        <w:rPr>
          <w:rFonts w:hint="eastAsia" w:ascii="宋体" w:hAnsi="宋体"/>
          <w:b/>
          <w:bCs/>
          <w:color w:val="auto"/>
          <w:sz w:val="36"/>
          <w:szCs w:val="36"/>
        </w:rPr>
        <w:t>投标函</w:t>
      </w:r>
    </w:p>
    <w:p w14:paraId="397B8BF8">
      <w:pPr>
        <w:spacing w:before="120" w:beforeLines="50" w:after="120" w:afterLines="50" w:line="360" w:lineRule="auto"/>
        <w:rPr>
          <w:rFonts w:ascii="宋体" w:hAnsi="宋体"/>
          <w:b/>
          <w:bCs/>
          <w:color w:val="auto"/>
          <w:sz w:val="28"/>
          <w:szCs w:val="28"/>
        </w:rPr>
      </w:pPr>
      <w:r>
        <w:rPr>
          <w:rFonts w:hint="eastAsia" w:ascii="宋体" w:hAnsi="宋体"/>
          <w:b/>
          <w:bCs/>
          <w:color w:val="auto"/>
          <w:sz w:val="28"/>
          <w:szCs w:val="28"/>
        </w:rPr>
        <w:t>致招标人:</w:t>
      </w:r>
      <w:r>
        <w:rPr>
          <w:rFonts w:hint="eastAsia" w:ascii="宋体" w:hAnsi="宋体"/>
          <w:b/>
          <w:bCs/>
          <w:color w:val="auto"/>
          <w:sz w:val="28"/>
          <w:szCs w:val="28"/>
          <w:u w:val="single"/>
        </w:rPr>
        <w:t xml:space="preserve">                 </w:t>
      </w:r>
    </w:p>
    <w:p w14:paraId="53B5827B">
      <w:pPr>
        <w:pStyle w:val="88"/>
        <w:spacing w:before="0" w:after="0"/>
        <w:ind w:firstLine="560" w:firstLineChars="200"/>
        <w:rPr>
          <w:rFonts w:ascii="宋体" w:hAnsi="宋体"/>
          <w:color w:val="auto"/>
          <w:sz w:val="28"/>
          <w:szCs w:val="28"/>
        </w:rPr>
      </w:pPr>
      <w:r>
        <w:rPr>
          <w:rFonts w:hint="eastAsia" w:ascii="宋体" w:hAnsi="宋体"/>
          <w:color w:val="auto"/>
          <w:sz w:val="28"/>
          <w:szCs w:val="28"/>
        </w:rPr>
        <w:t>关于</w:t>
      </w:r>
      <w:r>
        <w:rPr>
          <w:rFonts w:hint="eastAsia" w:ascii="宋体" w:hAnsi="宋体"/>
          <w:color w:val="auto"/>
          <w:sz w:val="28"/>
          <w:szCs w:val="28"/>
          <w:u w:val="single"/>
        </w:rPr>
        <w:t xml:space="preserve">          </w:t>
      </w:r>
      <w:r>
        <w:rPr>
          <w:rFonts w:hint="eastAsia" w:ascii="宋体" w:hAnsi="宋体"/>
          <w:color w:val="auto"/>
          <w:sz w:val="28"/>
          <w:szCs w:val="28"/>
        </w:rPr>
        <w:t>采购项目（项目编号:</w:t>
      </w:r>
      <w:r>
        <w:rPr>
          <w:rFonts w:hint="eastAsia" w:ascii="宋体" w:hAnsi="宋体"/>
          <w:color w:val="auto"/>
          <w:sz w:val="28"/>
          <w:szCs w:val="28"/>
          <w:u w:val="single"/>
        </w:rPr>
        <w:t xml:space="preserve">           </w:t>
      </w:r>
      <w:r>
        <w:rPr>
          <w:rFonts w:hint="eastAsia" w:ascii="宋体" w:hAnsi="宋体"/>
          <w:color w:val="auto"/>
          <w:sz w:val="28"/>
          <w:szCs w:val="28"/>
        </w:rPr>
        <w:t>）招标文件（包括更正公告、如果有的话）收悉，我们经详细审阅和研究，现决定参加投标。同时，正式授权下述签字人</w:t>
      </w:r>
      <w:r>
        <w:rPr>
          <w:rFonts w:hint="eastAsia" w:ascii="宋体" w:hAnsi="宋体"/>
          <w:color w:val="auto"/>
          <w:sz w:val="28"/>
          <w:szCs w:val="28"/>
          <w:u w:val="single"/>
        </w:rPr>
        <w:t xml:space="preserve">      </w:t>
      </w:r>
      <w:r>
        <w:rPr>
          <w:rFonts w:hint="eastAsia" w:ascii="宋体" w:hAnsi="宋体"/>
          <w:color w:val="auto"/>
          <w:sz w:val="28"/>
          <w:szCs w:val="28"/>
        </w:rPr>
        <w:t>（姓名和职务）代表</w:t>
      </w:r>
      <w:r>
        <w:rPr>
          <w:rFonts w:hint="eastAsia" w:ascii="宋体" w:hAnsi="宋体"/>
          <w:color w:val="auto"/>
          <w:sz w:val="28"/>
          <w:szCs w:val="28"/>
          <w:u w:val="single"/>
        </w:rPr>
        <w:t xml:space="preserve">        </w:t>
      </w:r>
      <w:r>
        <w:rPr>
          <w:rFonts w:hint="eastAsia" w:ascii="宋体" w:hAnsi="宋体"/>
          <w:color w:val="auto"/>
          <w:sz w:val="28"/>
          <w:szCs w:val="28"/>
        </w:rPr>
        <w:t>（投标人单位名称），全权处理本次项目投标的有关事宜。</w:t>
      </w:r>
    </w:p>
    <w:p w14:paraId="755B9D45">
      <w:pPr>
        <w:spacing w:line="360" w:lineRule="auto"/>
        <w:ind w:firstLine="560" w:firstLineChars="200"/>
        <w:rPr>
          <w:rFonts w:ascii="宋体" w:hAnsi="宋体"/>
          <w:color w:val="auto"/>
          <w:sz w:val="28"/>
          <w:szCs w:val="28"/>
        </w:rPr>
      </w:pPr>
      <w:r>
        <w:rPr>
          <w:rFonts w:hint="eastAsia" w:ascii="宋体" w:hAnsi="宋体"/>
          <w:color w:val="auto"/>
          <w:sz w:val="28"/>
        </w:rPr>
        <w:t>1、</w:t>
      </w:r>
      <w:r>
        <w:rPr>
          <w:rFonts w:hint="eastAsia" w:ascii="宋体" w:hAnsi="宋体"/>
          <w:color w:val="auto"/>
          <w:sz w:val="28"/>
          <w:szCs w:val="28"/>
        </w:rPr>
        <w:t>我公司没有</w:t>
      </w:r>
      <w:r>
        <w:rPr>
          <w:rFonts w:ascii="宋体" w:hAnsi="宋体"/>
          <w:color w:val="auto"/>
          <w:sz w:val="28"/>
          <w:szCs w:val="28"/>
        </w:rPr>
        <w:t>为</w:t>
      </w:r>
      <w:r>
        <w:rPr>
          <w:rFonts w:hint="eastAsia" w:ascii="宋体" w:hAnsi="宋体"/>
          <w:color w:val="auto"/>
          <w:sz w:val="28"/>
          <w:szCs w:val="28"/>
        </w:rPr>
        <w:t>本</w:t>
      </w:r>
      <w:r>
        <w:rPr>
          <w:rFonts w:ascii="宋体" w:hAnsi="宋体"/>
          <w:color w:val="auto"/>
          <w:sz w:val="28"/>
          <w:szCs w:val="28"/>
        </w:rPr>
        <w:t>项目提供整体设计、规范编制或者项目管理、监理、检测等服务。</w:t>
      </w:r>
    </w:p>
    <w:p w14:paraId="56AD522E">
      <w:pPr>
        <w:spacing w:line="360" w:lineRule="auto"/>
        <w:ind w:firstLine="560" w:firstLineChars="200"/>
        <w:rPr>
          <w:rFonts w:ascii="宋体" w:hAnsi="宋体"/>
          <w:color w:val="auto"/>
          <w:sz w:val="28"/>
        </w:rPr>
      </w:pPr>
      <w:r>
        <w:rPr>
          <w:rFonts w:hint="eastAsia" w:ascii="宋体" w:hAnsi="宋体"/>
          <w:color w:val="auto"/>
          <w:sz w:val="28"/>
        </w:rPr>
        <w:t>2、参加本次采购活动前，我方没有被“信用中国”网站、“中国政府采购网”列入失信被执行人名单、重大税收违法案件当事人名单、政府采购严重违法失信行为记录名单。</w:t>
      </w:r>
    </w:p>
    <w:p w14:paraId="5236A120">
      <w:pPr>
        <w:pStyle w:val="88"/>
        <w:spacing w:before="0" w:after="0"/>
        <w:ind w:firstLine="560" w:firstLineChars="200"/>
        <w:rPr>
          <w:rFonts w:ascii="宋体" w:hAnsi="宋体"/>
          <w:color w:val="auto"/>
          <w:sz w:val="28"/>
          <w:szCs w:val="28"/>
        </w:rPr>
      </w:pPr>
      <w:r>
        <w:rPr>
          <w:rFonts w:hint="eastAsia" w:ascii="宋体" w:hAnsi="宋体"/>
          <w:color w:val="auto"/>
          <w:sz w:val="28"/>
          <w:szCs w:val="28"/>
        </w:rPr>
        <w:t>3、我们接受招标文件的所有的条款和规定。</w:t>
      </w:r>
    </w:p>
    <w:p w14:paraId="14D0307B">
      <w:pPr>
        <w:pStyle w:val="88"/>
        <w:spacing w:before="0" w:after="0"/>
        <w:ind w:firstLine="560" w:firstLineChars="200"/>
        <w:rPr>
          <w:rFonts w:ascii="宋体" w:hAnsi="宋体"/>
          <w:color w:val="auto"/>
          <w:sz w:val="28"/>
          <w:szCs w:val="28"/>
        </w:rPr>
      </w:pPr>
      <w:r>
        <w:rPr>
          <w:rFonts w:hint="eastAsia" w:ascii="宋体" w:hAnsi="宋体"/>
          <w:color w:val="auto"/>
          <w:sz w:val="28"/>
          <w:szCs w:val="28"/>
        </w:rPr>
        <w:t>4、我们同意按照招标文件第二章第15条的规定，本投标文件的有效期为从开标之日期起计算的九十天，在此期间，本投标文件将始终对我们具有约束力，并可随时被接受。如果我们中标，本投标文件在此期间之后将继续保持有效。</w:t>
      </w:r>
    </w:p>
    <w:p w14:paraId="11E088B9">
      <w:pPr>
        <w:pStyle w:val="88"/>
        <w:spacing w:before="0" w:after="0"/>
        <w:ind w:firstLine="560" w:firstLineChars="200"/>
        <w:rPr>
          <w:rFonts w:ascii="宋体" w:hAnsi="宋体"/>
          <w:color w:val="auto"/>
          <w:sz w:val="28"/>
          <w:szCs w:val="28"/>
        </w:rPr>
      </w:pPr>
      <w:r>
        <w:rPr>
          <w:rFonts w:hint="eastAsia" w:ascii="宋体" w:hAnsi="宋体"/>
          <w:color w:val="auto"/>
          <w:sz w:val="28"/>
          <w:szCs w:val="28"/>
        </w:rPr>
        <w:t>5、我们理解，你们无义务必须接受投标价最低的投标。同时也理解你们不承担我们本次投标的费用。</w:t>
      </w:r>
    </w:p>
    <w:p w14:paraId="6DE9D0DC">
      <w:pPr>
        <w:pStyle w:val="88"/>
        <w:spacing w:before="0" w:after="0"/>
        <w:ind w:firstLine="560" w:firstLineChars="200"/>
        <w:rPr>
          <w:rFonts w:ascii="宋体" w:hAnsi="宋体"/>
          <w:color w:val="auto"/>
          <w:sz w:val="28"/>
          <w:szCs w:val="28"/>
        </w:rPr>
      </w:pPr>
      <w:r>
        <w:rPr>
          <w:rFonts w:hint="eastAsia" w:ascii="宋体" w:hAnsi="宋体"/>
          <w:color w:val="auto"/>
          <w:sz w:val="28"/>
          <w:szCs w:val="28"/>
        </w:rPr>
        <w:t>6、我们同意向贵方提供贵方可能要求的与投标有关的任何证据或资料，并保证所提供的都是真实的、准确的。</w:t>
      </w:r>
    </w:p>
    <w:p w14:paraId="3DFE75D8">
      <w:pPr>
        <w:pStyle w:val="88"/>
        <w:spacing w:before="0" w:after="0"/>
        <w:ind w:firstLine="560" w:firstLineChars="200"/>
        <w:rPr>
          <w:rFonts w:ascii="宋体" w:hAnsi="宋体"/>
          <w:color w:val="auto"/>
          <w:sz w:val="28"/>
          <w:szCs w:val="28"/>
        </w:rPr>
      </w:pPr>
      <w:r>
        <w:rPr>
          <w:rFonts w:hint="eastAsia" w:ascii="宋体" w:hAnsi="宋体"/>
          <w:color w:val="auto"/>
          <w:sz w:val="28"/>
          <w:szCs w:val="28"/>
        </w:rPr>
        <w:t>7、一旦我方中标，我方将根据招标文件的规定，严格履行合同的责任和义务，并保证在按招标文件中规定的时间内供货，并完成项目的施工、调试、交付买方验收、使用。</w:t>
      </w:r>
    </w:p>
    <w:p w14:paraId="65FBA4ED">
      <w:pPr>
        <w:pStyle w:val="88"/>
        <w:spacing w:before="0" w:after="0" w:line="640" w:lineRule="exact"/>
        <w:ind w:right="560" w:firstLine="2940"/>
        <w:rPr>
          <w:rFonts w:ascii="宋体" w:hAnsi="宋体"/>
          <w:color w:val="auto"/>
          <w:sz w:val="28"/>
        </w:rPr>
      </w:pPr>
    </w:p>
    <w:p w14:paraId="01F3008D">
      <w:pPr>
        <w:pStyle w:val="88"/>
        <w:spacing w:before="0" w:after="0"/>
        <w:ind w:firstLine="3640" w:firstLineChars="1300"/>
        <w:rPr>
          <w:rFonts w:ascii="宋体" w:hAnsi="宋体"/>
          <w:color w:val="auto"/>
          <w:sz w:val="28"/>
          <w:u w:val="single"/>
        </w:rPr>
      </w:pPr>
      <w:r>
        <w:rPr>
          <w:rFonts w:hint="eastAsia" w:ascii="宋体" w:hAnsi="宋体"/>
          <w:color w:val="auto"/>
          <w:sz w:val="28"/>
        </w:rPr>
        <w:t>投标人名称（电子签章）:</w:t>
      </w:r>
      <w:r>
        <w:rPr>
          <w:rFonts w:hint="eastAsia" w:ascii="宋体" w:hAnsi="宋体"/>
          <w:color w:val="auto"/>
          <w:sz w:val="28"/>
          <w:u w:val="single"/>
        </w:rPr>
        <w:t xml:space="preserve">             </w:t>
      </w:r>
    </w:p>
    <w:p w14:paraId="6268DCA4">
      <w:pPr>
        <w:pStyle w:val="88"/>
        <w:spacing w:before="0" w:after="0"/>
        <w:ind w:firstLine="3640" w:firstLineChars="1300"/>
        <w:rPr>
          <w:rFonts w:ascii="宋体" w:hAnsi="宋体"/>
          <w:color w:val="auto"/>
          <w:sz w:val="28"/>
          <w:szCs w:val="28"/>
        </w:rPr>
      </w:pPr>
      <w:r>
        <w:rPr>
          <w:rFonts w:hint="eastAsia" w:ascii="宋体" w:hAnsi="宋体"/>
          <w:color w:val="auto"/>
          <w:sz w:val="28"/>
          <w:szCs w:val="28"/>
        </w:rPr>
        <w:t>地址：</w:t>
      </w:r>
      <w:r>
        <w:rPr>
          <w:rFonts w:hint="eastAsia" w:ascii="宋体" w:hAnsi="宋体"/>
          <w:color w:val="auto"/>
          <w:sz w:val="28"/>
          <w:szCs w:val="28"/>
          <w:u w:val="single"/>
        </w:rPr>
        <w:t xml:space="preserve">             </w:t>
      </w:r>
      <w:r>
        <w:rPr>
          <w:rFonts w:hint="eastAsia" w:ascii="宋体" w:hAnsi="宋体"/>
          <w:color w:val="auto"/>
          <w:sz w:val="28"/>
          <w:szCs w:val="28"/>
        </w:rPr>
        <w:t>邮编:</w:t>
      </w:r>
      <w:r>
        <w:rPr>
          <w:rFonts w:hint="eastAsia" w:ascii="宋体" w:hAnsi="宋体"/>
          <w:color w:val="auto"/>
          <w:sz w:val="28"/>
          <w:szCs w:val="28"/>
          <w:u w:val="single"/>
        </w:rPr>
        <w:t xml:space="preserve">            </w:t>
      </w:r>
    </w:p>
    <w:p w14:paraId="6BE55AFE">
      <w:pPr>
        <w:spacing w:line="360" w:lineRule="auto"/>
        <w:ind w:firstLine="3640" w:firstLineChars="1300"/>
        <w:jc w:val="left"/>
        <w:rPr>
          <w:rFonts w:ascii="宋体" w:hAnsi="宋体"/>
          <w:color w:val="auto"/>
          <w:sz w:val="28"/>
          <w:szCs w:val="28"/>
          <w:u w:val="single"/>
        </w:rPr>
      </w:pPr>
      <w:r>
        <w:rPr>
          <w:rFonts w:hint="eastAsia" w:ascii="宋体" w:hAnsi="宋体"/>
          <w:color w:val="auto"/>
          <w:sz w:val="28"/>
          <w:szCs w:val="28"/>
        </w:rPr>
        <w:t>电话:</w:t>
      </w:r>
      <w:r>
        <w:rPr>
          <w:rFonts w:hint="eastAsia" w:ascii="宋体" w:hAnsi="宋体"/>
          <w:color w:val="auto"/>
          <w:sz w:val="28"/>
          <w:szCs w:val="28"/>
          <w:u w:val="single"/>
        </w:rPr>
        <w:t xml:space="preserve">             </w:t>
      </w:r>
      <w:r>
        <w:rPr>
          <w:rFonts w:hint="eastAsia" w:ascii="宋体" w:hAnsi="宋体"/>
          <w:color w:val="auto"/>
          <w:sz w:val="28"/>
          <w:szCs w:val="28"/>
        </w:rPr>
        <w:t>传真:</w:t>
      </w:r>
      <w:r>
        <w:rPr>
          <w:rFonts w:hint="eastAsia" w:ascii="宋体" w:hAnsi="宋体"/>
          <w:color w:val="auto"/>
          <w:sz w:val="28"/>
          <w:szCs w:val="28"/>
          <w:u w:val="single"/>
        </w:rPr>
        <w:t xml:space="preserve">             </w:t>
      </w:r>
    </w:p>
    <w:p w14:paraId="58E0A3D4">
      <w:pPr>
        <w:spacing w:line="360" w:lineRule="auto"/>
        <w:ind w:firstLine="3640" w:firstLineChars="1300"/>
        <w:jc w:val="left"/>
        <w:rPr>
          <w:rFonts w:ascii="宋体" w:hAnsi="宋体"/>
          <w:color w:val="auto"/>
          <w:sz w:val="28"/>
          <w:szCs w:val="28"/>
        </w:rPr>
      </w:pPr>
      <w:r>
        <w:rPr>
          <w:rFonts w:hint="eastAsia" w:ascii="宋体" w:hAnsi="宋体"/>
          <w:color w:val="auto"/>
          <w:sz w:val="28"/>
          <w:szCs w:val="28"/>
        </w:rPr>
        <w:t>日期:       年     月     日</w:t>
      </w:r>
    </w:p>
    <w:p w14:paraId="390E4F7B">
      <w:pPr>
        <w:widowControl/>
        <w:jc w:val="left"/>
        <w:rPr>
          <w:rFonts w:ascii="宋体" w:hAnsi="宋体"/>
          <w:b/>
          <w:color w:val="auto"/>
          <w:sz w:val="32"/>
          <w:szCs w:val="32"/>
        </w:rPr>
      </w:pPr>
    </w:p>
    <w:p w14:paraId="3CF9E909">
      <w:pPr>
        <w:widowControl/>
        <w:jc w:val="left"/>
        <w:rPr>
          <w:rFonts w:ascii="宋体" w:hAnsi="宋体"/>
          <w:b/>
          <w:color w:val="auto"/>
          <w:sz w:val="32"/>
          <w:szCs w:val="32"/>
        </w:rPr>
      </w:pPr>
      <w:r>
        <w:rPr>
          <w:rFonts w:ascii="宋体" w:hAnsi="宋体"/>
          <w:b/>
          <w:color w:val="auto"/>
          <w:sz w:val="32"/>
          <w:szCs w:val="32"/>
        </w:rPr>
        <w:br w:type="page"/>
      </w:r>
    </w:p>
    <w:p w14:paraId="09F2B4CA">
      <w:pPr>
        <w:numPr>
          <w:ilvl w:val="0"/>
          <w:numId w:val="7"/>
        </w:numPr>
        <w:spacing w:before="120" w:beforeLines="50" w:after="120" w:afterLines="50" w:line="360" w:lineRule="auto"/>
        <w:jc w:val="center"/>
        <w:rPr>
          <w:rFonts w:ascii="宋体" w:hAnsi="宋体"/>
          <w:b/>
          <w:bCs/>
          <w:color w:val="auto"/>
          <w:sz w:val="36"/>
          <w:szCs w:val="36"/>
        </w:rPr>
      </w:pPr>
      <w:r>
        <w:rPr>
          <w:rFonts w:hint="eastAsia" w:ascii="宋体" w:hAnsi="宋体"/>
          <w:b/>
          <w:bCs/>
          <w:color w:val="auto"/>
          <w:sz w:val="36"/>
          <w:szCs w:val="36"/>
        </w:rPr>
        <w:t>开标一览表</w:t>
      </w:r>
    </w:p>
    <w:p w14:paraId="3F0E61F4">
      <w:pPr>
        <w:widowControl/>
        <w:spacing w:before="19" w:line="440" w:lineRule="exact"/>
        <w:ind w:firstLine="3036"/>
        <w:rPr>
          <w:rFonts w:ascii="宋体" w:hAnsi="宋体"/>
          <w:b/>
          <w:color w:val="auto"/>
          <w:sz w:val="32"/>
          <w:szCs w:val="32"/>
        </w:rPr>
      </w:pPr>
    </w:p>
    <w:tbl>
      <w:tblPr>
        <w:tblStyle w:val="44"/>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33"/>
      </w:tblGrid>
      <w:tr w14:paraId="039A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exact"/>
          <w:jc w:val="center"/>
        </w:trPr>
        <w:tc>
          <w:tcPr>
            <w:tcW w:w="1139" w:type="pct"/>
            <w:vAlign w:val="center"/>
          </w:tcPr>
          <w:p w14:paraId="25D0ACCD">
            <w:pPr>
              <w:spacing w:line="360" w:lineRule="auto"/>
              <w:jc w:val="center"/>
              <w:rPr>
                <w:rFonts w:ascii="宋体" w:hAnsi="宋体" w:cs="Calibri"/>
                <w:b/>
                <w:bCs/>
                <w:color w:val="auto"/>
                <w:sz w:val="28"/>
                <w:szCs w:val="28"/>
              </w:rPr>
            </w:pPr>
            <w:r>
              <w:rPr>
                <w:rFonts w:hint="eastAsia" w:ascii="宋体" w:hAnsi="宋体" w:cs="Calibri"/>
                <w:b/>
                <w:bCs/>
                <w:color w:val="auto"/>
                <w:sz w:val="28"/>
                <w:szCs w:val="28"/>
              </w:rPr>
              <w:t>项目名称</w:t>
            </w:r>
          </w:p>
        </w:tc>
        <w:tc>
          <w:tcPr>
            <w:tcW w:w="3860" w:type="pct"/>
            <w:vAlign w:val="center"/>
          </w:tcPr>
          <w:p w14:paraId="5182022C">
            <w:pPr>
              <w:jc w:val="center"/>
              <w:rPr>
                <w:rFonts w:ascii="宋体" w:hAnsi="宋体" w:cs="Calibri"/>
                <w:color w:val="auto"/>
                <w:sz w:val="28"/>
                <w:szCs w:val="28"/>
              </w:rPr>
            </w:pPr>
          </w:p>
        </w:tc>
      </w:tr>
      <w:tr w14:paraId="1998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1" w:hRule="atLeast"/>
          <w:jc w:val="center"/>
        </w:trPr>
        <w:tc>
          <w:tcPr>
            <w:tcW w:w="1139" w:type="pct"/>
            <w:vAlign w:val="center"/>
          </w:tcPr>
          <w:p w14:paraId="4EA3D766">
            <w:pPr>
              <w:spacing w:line="360" w:lineRule="auto"/>
              <w:jc w:val="center"/>
              <w:rPr>
                <w:rFonts w:ascii="宋体" w:hAnsi="宋体" w:cs="Calibri"/>
                <w:b/>
                <w:bCs/>
                <w:color w:val="auto"/>
                <w:sz w:val="28"/>
                <w:szCs w:val="28"/>
              </w:rPr>
            </w:pPr>
            <w:r>
              <w:rPr>
                <w:rFonts w:hint="eastAsia" w:ascii="宋体" w:hAnsi="宋体" w:cs="Calibri"/>
                <w:b/>
                <w:bCs/>
                <w:color w:val="auto"/>
                <w:sz w:val="28"/>
                <w:szCs w:val="28"/>
              </w:rPr>
              <w:t>投标报价</w:t>
            </w:r>
          </w:p>
          <w:p w14:paraId="7E8B4250">
            <w:pPr>
              <w:spacing w:line="360" w:lineRule="auto"/>
              <w:jc w:val="center"/>
              <w:rPr>
                <w:rFonts w:ascii="宋体" w:hAnsi="宋体" w:cs="Calibri"/>
                <w:b/>
                <w:bCs/>
                <w:color w:val="auto"/>
                <w:sz w:val="28"/>
                <w:szCs w:val="28"/>
              </w:rPr>
            </w:pPr>
            <w:r>
              <w:rPr>
                <w:rFonts w:hint="eastAsia" w:ascii="宋体" w:hAnsi="宋体" w:cs="Calibri"/>
                <w:b/>
                <w:bCs/>
                <w:color w:val="auto"/>
                <w:sz w:val="28"/>
                <w:szCs w:val="28"/>
              </w:rPr>
              <w:t>总计</w:t>
            </w:r>
          </w:p>
        </w:tc>
        <w:tc>
          <w:tcPr>
            <w:tcW w:w="3860" w:type="pct"/>
            <w:vAlign w:val="center"/>
          </w:tcPr>
          <w:p w14:paraId="3F7BE43C">
            <w:pPr>
              <w:spacing w:line="360" w:lineRule="auto"/>
              <w:rPr>
                <w:rFonts w:ascii="宋体" w:hAnsi="宋体" w:cs="Calibri"/>
                <w:color w:val="auto"/>
                <w:sz w:val="28"/>
                <w:szCs w:val="28"/>
                <w:u w:val="single"/>
              </w:rPr>
            </w:pPr>
            <w:r>
              <w:rPr>
                <w:rFonts w:hint="eastAsia" w:ascii="宋体" w:hAnsi="宋体" w:cs="Calibri"/>
                <w:color w:val="auto"/>
                <w:sz w:val="28"/>
                <w:szCs w:val="28"/>
              </w:rPr>
              <w:t xml:space="preserve">（小写）¥ </w:t>
            </w:r>
            <w:r>
              <w:rPr>
                <w:rFonts w:hint="eastAsia" w:ascii="宋体" w:hAnsi="宋体" w:cs="Calibri"/>
                <w:color w:val="auto"/>
                <w:sz w:val="28"/>
                <w:szCs w:val="28"/>
                <w:u w:val="single"/>
              </w:rPr>
              <w:t xml:space="preserve">                                  </w:t>
            </w:r>
          </w:p>
          <w:p w14:paraId="0EEF9E4D">
            <w:pPr>
              <w:spacing w:line="360" w:lineRule="auto"/>
              <w:rPr>
                <w:rFonts w:ascii="宋体" w:hAnsi="宋体" w:cs="Calibri"/>
                <w:color w:val="auto"/>
                <w:sz w:val="28"/>
                <w:szCs w:val="28"/>
              </w:rPr>
            </w:pPr>
            <w:r>
              <w:rPr>
                <w:rFonts w:hint="eastAsia" w:ascii="宋体" w:hAnsi="宋体" w:cs="Calibri"/>
                <w:color w:val="auto"/>
                <w:sz w:val="28"/>
                <w:szCs w:val="28"/>
              </w:rPr>
              <w:t>（大写）人民币</w:t>
            </w:r>
            <w:r>
              <w:rPr>
                <w:rFonts w:hint="eastAsia" w:ascii="宋体" w:hAnsi="宋体" w:cs="Calibri"/>
                <w:color w:val="auto"/>
                <w:sz w:val="28"/>
                <w:szCs w:val="28"/>
                <w:u w:val="single"/>
              </w:rPr>
              <w:t xml:space="preserve">  </w:t>
            </w:r>
            <w:r>
              <w:rPr>
                <w:rFonts w:hint="eastAsia" w:ascii="宋体" w:hAnsi="宋体" w:cs="Calibri"/>
                <w:color w:val="auto"/>
                <w:sz w:val="28"/>
                <w:szCs w:val="28"/>
              </w:rPr>
              <w:t>佰</w:t>
            </w:r>
            <w:r>
              <w:rPr>
                <w:rFonts w:hint="eastAsia" w:ascii="宋体" w:hAnsi="宋体" w:cs="Calibri"/>
                <w:color w:val="auto"/>
                <w:sz w:val="28"/>
                <w:szCs w:val="28"/>
                <w:u w:val="single"/>
              </w:rPr>
              <w:t xml:space="preserve">  </w:t>
            </w:r>
            <w:r>
              <w:rPr>
                <w:rFonts w:hint="eastAsia" w:ascii="宋体" w:hAnsi="宋体" w:cs="Calibri"/>
                <w:color w:val="auto"/>
                <w:sz w:val="28"/>
                <w:szCs w:val="28"/>
              </w:rPr>
              <w:t>拾</w:t>
            </w:r>
            <w:r>
              <w:rPr>
                <w:rFonts w:hint="eastAsia" w:ascii="宋体" w:hAnsi="宋体" w:cs="Calibri"/>
                <w:color w:val="auto"/>
                <w:sz w:val="28"/>
                <w:szCs w:val="28"/>
                <w:u w:val="single"/>
              </w:rPr>
              <w:t xml:space="preserve">  </w:t>
            </w:r>
            <w:r>
              <w:rPr>
                <w:rFonts w:hint="eastAsia" w:ascii="宋体" w:hAnsi="宋体" w:cs="Calibri"/>
                <w:color w:val="auto"/>
                <w:sz w:val="28"/>
                <w:szCs w:val="28"/>
              </w:rPr>
              <w:t>万</w:t>
            </w:r>
            <w:r>
              <w:rPr>
                <w:rFonts w:hint="eastAsia" w:ascii="宋体" w:hAnsi="宋体" w:cs="Calibri"/>
                <w:color w:val="auto"/>
                <w:sz w:val="28"/>
                <w:szCs w:val="28"/>
                <w:u w:val="single"/>
              </w:rPr>
              <w:t xml:space="preserve">  </w:t>
            </w:r>
            <w:r>
              <w:rPr>
                <w:rFonts w:hint="eastAsia" w:ascii="宋体" w:hAnsi="宋体" w:cs="Calibri"/>
                <w:color w:val="auto"/>
                <w:sz w:val="28"/>
                <w:szCs w:val="28"/>
              </w:rPr>
              <w:t>仟</w:t>
            </w:r>
            <w:r>
              <w:rPr>
                <w:rFonts w:hint="eastAsia" w:ascii="宋体" w:hAnsi="宋体" w:cs="Calibri"/>
                <w:color w:val="auto"/>
                <w:sz w:val="28"/>
                <w:szCs w:val="28"/>
                <w:u w:val="single"/>
              </w:rPr>
              <w:t xml:space="preserve">  </w:t>
            </w:r>
            <w:r>
              <w:rPr>
                <w:rFonts w:hint="eastAsia" w:ascii="宋体" w:hAnsi="宋体" w:cs="Calibri"/>
                <w:color w:val="auto"/>
                <w:sz w:val="28"/>
                <w:szCs w:val="28"/>
              </w:rPr>
              <w:t>佰</w:t>
            </w:r>
            <w:r>
              <w:rPr>
                <w:rFonts w:hint="eastAsia" w:ascii="宋体" w:hAnsi="宋体" w:cs="Calibri"/>
                <w:color w:val="auto"/>
                <w:sz w:val="28"/>
                <w:szCs w:val="28"/>
                <w:u w:val="single"/>
              </w:rPr>
              <w:t xml:space="preserve">  </w:t>
            </w:r>
            <w:r>
              <w:rPr>
                <w:rFonts w:hint="eastAsia" w:ascii="宋体" w:hAnsi="宋体" w:cs="Calibri"/>
                <w:color w:val="auto"/>
                <w:sz w:val="28"/>
                <w:szCs w:val="28"/>
              </w:rPr>
              <w:t>拾</w:t>
            </w:r>
            <w:r>
              <w:rPr>
                <w:rFonts w:hint="eastAsia" w:ascii="宋体" w:hAnsi="宋体" w:cs="Calibri"/>
                <w:color w:val="auto"/>
                <w:sz w:val="28"/>
                <w:szCs w:val="28"/>
                <w:u w:val="single"/>
              </w:rPr>
              <w:t xml:space="preserve">  </w:t>
            </w:r>
            <w:r>
              <w:rPr>
                <w:rFonts w:hint="eastAsia" w:ascii="宋体" w:hAnsi="宋体" w:cs="Calibri"/>
                <w:color w:val="auto"/>
                <w:sz w:val="28"/>
                <w:szCs w:val="28"/>
              </w:rPr>
              <w:t>元整</w:t>
            </w:r>
          </w:p>
        </w:tc>
      </w:tr>
    </w:tbl>
    <w:p w14:paraId="0B958603">
      <w:pPr>
        <w:spacing w:line="360" w:lineRule="auto"/>
        <w:rPr>
          <w:rFonts w:ascii="宋体" w:hAnsi="宋体" w:cs="仿宋"/>
          <w:color w:val="auto"/>
          <w:sz w:val="28"/>
          <w:szCs w:val="28"/>
        </w:rPr>
      </w:pPr>
      <w:bookmarkStart w:id="36" w:name="_Toc157775459"/>
      <w:bookmarkStart w:id="37" w:name="_Toc136924766"/>
    </w:p>
    <w:p w14:paraId="67F9098F">
      <w:pPr>
        <w:spacing w:line="360" w:lineRule="auto"/>
        <w:rPr>
          <w:rFonts w:ascii="宋体" w:hAnsi="宋体" w:cs="仿宋"/>
          <w:color w:val="auto"/>
          <w:sz w:val="28"/>
          <w:szCs w:val="28"/>
        </w:rPr>
      </w:pPr>
      <w:r>
        <w:rPr>
          <w:rFonts w:hint="eastAsia" w:ascii="宋体" w:hAnsi="宋体" w:cs="仿宋"/>
          <w:color w:val="auto"/>
          <w:sz w:val="28"/>
          <w:szCs w:val="28"/>
        </w:rPr>
        <w:t>投标人：</w:t>
      </w:r>
      <w:r>
        <w:rPr>
          <w:rFonts w:hint="eastAsia" w:ascii="宋体" w:hAnsi="宋体" w:cs="仿宋"/>
          <w:color w:val="auto"/>
          <w:sz w:val="28"/>
          <w:szCs w:val="28"/>
          <w:u w:val="single"/>
        </w:rPr>
        <w:t xml:space="preserve">     （</w:t>
      </w:r>
      <w:r>
        <w:rPr>
          <w:rFonts w:hint="eastAsia" w:ascii="宋体" w:hAnsi="宋体" w:cs="仿宋"/>
          <w:color w:val="auto"/>
          <w:sz w:val="28"/>
          <w:szCs w:val="28"/>
          <w:u w:val="single"/>
          <w:lang w:val="en-US" w:eastAsia="zh-CN"/>
        </w:rPr>
        <w:t>电子签章</w:t>
      </w:r>
      <w:r>
        <w:rPr>
          <w:rFonts w:hint="eastAsia" w:ascii="宋体" w:hAnsi="宋体" w:cs="仿宋"/>
          <w:color w:val="auto"/>
          <w:sz w:val="28"/>
          <w:szCs w:val="28"/>
          <w:u w:val="single"/>
        </w:rPr>
        <w:t xml:space="preserve">）     </w:t>
      </w:r>
    </w:p>
    <w:p w14:paraId="57F09FAB">
      <w:pPr>
        <w:spacing w:line="360" w:lineRule="auto"/>
        <w:rPr>
          <w:rFonts w:ascii="宋体" w:hAnsi="宋体" w:cs="仿宋"/>
          <w:color w:val="auto"/>
          <w:sz w:val="28"/>
          <w:szCs w:val="28"/>
        </w:rPr>
      </w:pPr>
      <w:r>
        <w:rPr>
          <w:rFonts w:hint="eastAsia" w:ascii="宋体" w:hAnsi="宋体" w:cs="仿宋"/>
          <w:color w:val="auto"/>
          <w:sz w:val="28"/>
          <w:szCs w:val="28"/>
        </w:rPr>
        <w:t>法定代表人或其委托受托人（签字或签章）：</w:t>
      </w:r>
      <w:r>
        <w:rPr>
          <w:rFonts w:hint="eastAsia" w:ascii="宋体" w:hAnsi="宋体" w:cs="仿宋"/>
          <w:color w:val="auto"/>
          <w:sz w:val="28"/>
          <w:szCs w:val="28"/>
          <w:u w:val="single"/>
        </w:rPr>
        <w:t xml:space="preserve">               </w:t>
      </w:r>
    </w:p>
    <w:p w14:paraId="47FF53EA">
      <w:pPr>
        <w:pStyle w:val="89"/>
        <w:spacing w:line="360" w:lineRule="auto"/>
        <w:ind w:left="0" w:right="0"/>
        <w:rPr>
          <w:rFonts w:ascii="宋体" w:hAnsi="宋体" w:cs="仿宋"/>
          <w:b/>
          <w:color w:val="auto"/>
          <w:sz w:val="28"/>
          <w:szCs w:val="28"/>
        </w:rPr>
      </w:pPr>
    </w:p>
    <w:p w14:paraId="452A5277">
      <w:pPr>
        <w:pStyle w:val="89"/>
        <w:spacing w:line="360" w:lineRule="auto"/>
        <w:ind w:left="0" w:right="0"/>
        <w:rPr>
          <w:rFonts w:ascii="宋体" w:hAnsi="宋体" w:cs="仿宋"/>
          <w:b/>
          <w:color w:val="auto"/>
          <w:sz w:val="28"/>
          <w:szCs w:val="28"/>
        </w:rPr>
      </w:pPr>
      <w:r>
        <w:rPr>
          <w:rFonts w:hint="eastAsia" w:ascii="宋体" w:hAnsi="宋体" w:cs="仿宋"/>
          <w:b/>
          <w:color w:val="auto"/>
          <w:sz w:val="28"/>
          <w:szCs w:val="28"/>
        </w:rPr>
        <w:t>注: 1、投标报价总计为招标文件中投标人须知所述内容。</w:t>
      </w:r>
    </w:p>
    <w:p w14:paraId="03AA75ED">
      <w:pPr>
        <w:pStyle w:val="89"/>
        <w:spacing w:line="360" w:lineRule="auto"/>
        <w:ind w:left="0" w:right="0" w:firstLine="562" w:firstLineChars="200"/>
        <w:rPr>
          <w:rFonts w:ascii="宋体" w:hAnsi="宋体" w:cs="仿宋"/>
          <w:b/>
          <w:color w:val="auto"/>
          <w:sz w:val="28"/>
          <w:szCs w:val="28"/>
        </w:rPr>
      </w:pPr>
      <w:r>
        <w:rPr>
          <w:rFonts w:hint="eastAsia" w:ascii="宋体" w:hAnsi="宋体" w:cs="仿宋"/>
          <w:b/>
          <w:color w:val="auto"/>
          <w:sz w:val="28"/>
          <w:szCs w:val="28"/>
        </w:rPr>
        <w:t>2、开标一览表格式如与系统不一致，以系统为准。</w:t>
      </w:r>
    </w:p>
    <w:p w14:paraId="3D7ABEA5">
      <w:pPr>
        <w:widowControl/>
        <w:jc w:val="left"/>
        <w:rPr>
          <w:rFonts w:ascii="宋体" w:hAnsi="宋体" w:cs="仿宋"/>
          <w:b/>
          <w:color w:val="auto"/>
          <w:sz w:val="32"/>
          <w:szCs w:val="20"/>
        </w:rPr>
      </w:pPr>
      <w:r>
        <w:rPr>
          <w:rFonts w:ascii="宋体" w:hAnsi="宋体" w:cs="仿宋"/>
          <w:b/>
          <w:color w:val="auto"/>
          <w:sz w:val="32"/>
        </w:rPr>
        <w:br w:type="page"/>
      </w:r>
    </w:p>
    <w:bookmarkEnd w:id="36"/>
    <w:bookmarkEnd w:id="37"/>
    <w:p w14:paraId="3A439289">
      <w:pPr>
        <w:rPr>
          <w:rFonts w:ascii="宋体" w:hAnsi="宋体"/>
          <w:color w:val="auto"/>
        </w:rPr>
      </w:pPr>
      <w:bookmarkStart w:id="38" w:name="_Toc157775468"/>
    </w:p>
    <w:p w14:paraId="32543697">
      <w:pPr>
        <w:spacing w:line="360" w:lineRule="auto"/>
        <w:jc w:val="center"/>
        <w:rPr>
          <w:rFonts w:ascii="宋体" w:hAnsi="宋体"/>
          <w:b/>
          <w:bCs/>
          <w:color w:val="auto"/>
          <w:sz w:val="28"/>
          <w:szCs w:val="36"/>
        </w:rPr>
      </w:pPr>
      <w:r>
        <w:rPr>
          <w:rFonts w:hint="eastAsia" w:ascii="宋体" w:hAnsi="宋体"/>
          <w:b/>
          <w:bCs/>
          <w:color w:val="auto"/>
          <w:sz w:val="28"/>
          <w:szCs w:val="36"/>
          <w:lang w:val="en-US" w:eastAsia="zh-CN"/>
        </w:rPr>
        <w:t>三、</w:t>
      </w:r>
      <w:r>
        <w:rPr>
          <w:rFonts w:hint="eastAsia" w:ascii="宋体" w:hAnsi="宋体"/>
          <w:b/>
          <w:bCs/>
          <w:color w:val="auto"/>
          <w:sz w:val="28"/>
          <w:szCs w:val="36"/>
        </w:rPr>
        <w:t>投标报价明细表</w:t>
      </w:r>
    </w:p>
    <w:tbl>
      <w:tblPr>
        <w:tblStyle w:val="44"/>
        <w:tblW w:w="4997" w:type="pct"/>
        <w:jc w:val="center"/>
        <w:tblLayout w:type="autofit"/>
        <w:tblCellMar>
          <w:top w:w="0" w:type="dxa"/>
          <w:left w:w="108" w:type="dxa"/>
          <w:bottom w:w="0" w:type="dxa"/>
          <w:right w:w="108" w:type="dxa"/>
        </w:tblCellMar>
      </w:tblPr>
      <w:tblGrid>
        <w:gridCol w:w="815"/>
        <w:gridCol w:w="1496"/>
        <w:gridCol w:w="820"/>
        <w:gridCol w:w="820"/>
        <w:gridCol w:w="1046"/>
        <w:gridCol w:w="990"/>
        <w:gridCol w:w="730"/>
        <w:gridCol w:w="638"/>
        <w:gridCol w:w="662"/>
        <w:gridCol w:w="669"/>
      </w:tblGrid>
      <w:tr w14:paraId="4253AE75">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32155984">
            <w:pPr>
              <w:widowControl/>
              <w:jc w:val="center"/>
              <w:textAlignment w:val="center"/>
              <w:rPr>
                <w:rFonts w:ascii="宋体" w:hAnsi="宋体" w:cs="宋体"/>
                <w:b w:val="0"/>
                <w:bCs w:val="0"/>
                <w:color w:val="auto"/>
                <w:sz w:val="24"/>
                <w:szCs w:val="24"/>
              </w:rPr>
            </w:pPr>
            <w:r>
              <w:rPr>
                <w:rFonts w:hint="eastAsia" w:ascii="宋体" w:hAnsi="宋体" w:cs="宋体"/>
                <w:b w:val="0"/>
                <w:bCs w:val="0"/>
                <w:color w:val="auto"/>
                <w:sz w:val="24"/>
                <w:szCs w:val="24"/>
                <w:lang w:bidi="ar"/>
              </w:rPr>
              <w:t>序号</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7817D85E">
            <w:pPr>
              <w:jc w:val="center"/>
              <w:rPr>
                <w:rFonts w:ascii="宋体" w:hAnsi="宋体" w:cs="宋体"/>
                <w:b w:val="0"/>
                <w:bCs w:val="0"/>
                <w:color w:val="auto"/>
                <w:sz w:val="24"/>
                <w:szCs w:val="24"/>
              </w:rPr>
            </w:pPr>
            <w:r>
              <w:rPr>
                <w:rFonts w:ascii="sans-serif" w:hAnsi="sans-serif" w:eastAsia="sans-serif" w:cs="sans-serif"/>
                <w:b w:val="0"/>
                <w:bCs w:val="0"/>
                <w:i w:val="0"/>
                <w:iCs w:val="0"/>
                <w:caps w:val="0"/>
                <w:color w:val="auto"/>
                <w:spacing w:val="0"/>
                <w:sz w:val="24"/>
                <w:szCs w:val="24"/>
                <w:shd w:val="clear" w:fill="FFFFFF"/>
              </w:rPr>
              <w:t>产品名称</w:t>
            </w:r>
          </w:p>
        </w:tc>
        <w:tc>
          <w:tcPr>
            <w:tcW w:w="472" w:type="pct"/>
            <w:tcBorders>
              <w:top w:val="single" w:color="000000" w:sz="4" w:space="0"/>
              <w:left w:val="single" w:color="000000" w:sz="4" w:space="0"/>
              <w:bottom w:val="single" w:color="000000" w:sz="4" w:space="0"/>
              <w:right w:val="single" w:color="000000" w:sz="4" w:space="0"/>
            </w:tcBorders>
            <w:vAlign w:val="center"/>
          </w:tcPr>
          <w:p w14:paraId="45D48FED">
            <w:pPr>
              <w:widowControl/>
              <w:jc w:val="center"/>
              <w:textAlignment w:val="center"/>
              <w:rPr>
                <w:rFonts w:ascii="宋体" w:hAnsi="宋体" w:cs="宋体"/>
                <w:b w:val="0"/>
                <w:bCs w:val="0"/>
                <w:color w:val="auto"/>
                <w:sz w:val="24"/>
                <w:szCs w:val="24"/>
              </w:rPr>
            </w:pPr>
            <w:r>
              <w:rPr>
                <w:rFonts w:ascii="sans-serif" w:hAnsi="sans-serif" w:eastAsia="sans-serif" w:cs="sans-serif"/>
                <w:b w:val="0"/>
                <w:bCs w:val="0"/>
                <w:i w:val="0"/>
                <w:iCs w:val="0"/>
                <w:caps w:val="0"/>
                <w:color w:val="auto"/>
                <w:spacing w:val="0"/>
                <w:sz w:val="24"/>
                <w:szCs w:val="24"/>
                <w:shd w:val="clear" w:fill="FFFFFF"/>
              </w:rPr>
              <w:t>品牌</w:t>
            </w:r>
          </w:p>
        </w:tc>
        <w:tc>
          <w:tcPr>
            <w:tcW w:w="472" w:type="pct"/>
            <w:tcBorders>
              <w:top w:val="single" w:color="000000" w:sz="4" w:space="0"/>
              <w:left w:val="single" w:color="000000" w:sz="4" w:space="0"/>
              <w:bottom w:val="single" w:color="000000" w:sz="4" w:space="0"/>
              <w:right w:val="single" w:color="000000" w:sz="4" w:space="0"/>
            </w:tcBorders>
            <w:vAlign w:val="center"/>
          </w:tcPr>
          <w:p w14:paraId="06A241A8">
            <w:pPr>
              <w:widowControl/>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规格型号</w:t>
            </w:r>
          </w:p>
        </w:tc>
        <w:tc>
          <w:tcPr>
            <w:tcW w:w="602" w:type="pct"/>
            <w:tcBorders>
              <w:top w:val="single" w:color="000000" w:sz="4" w:space="0"/>
              <w:left w:val="single" w:color="000000" w:sz="4" w:space="0"/>
              <w:bottom w:val="single" w:color="000000" w:sz="4" w:space="0"/>
              <w:right w:val="single" w:color="000000" w:sz="4" w:space="0"/>
            </w:tcBorders>
            <w:vAlign w:val="center"/>
          </w:tcPr>
          <w:p w14:paraId="19BD733F">
            <w:pPr>
              <w:widowControl/>
              <w:jc w:val="center"/>
              <w:textAlignment w:val="center"/>
              <w:rPr>
                <w:rFonts w:hint="default"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制造商名称</w:t>
            </w:r>
          </w:p>
        </w:tc>
        <w:tc>
          <w:tcPr>
            <w:tcW w:w="570" w:type="pct"/>
            <w:tcBorders>
              <w:top w:val="single" w:color="000000" w:sz="4" w:space="0"/>
              <w:left w:val="single" w:color="000000" w:sz="4" w:space="0"/>
              <w:bottom w:val="single" w:color="000000" w:sz="4" w:space="0"/>
              <w:right w:val="single" w:color="000000" w:sz="4" w:space="0"/>
            </w:tcBorders>
            <w:vAlign w:val="center"/>
          </w:tcPr>
          <w:p w14:paraId="13FAE79E">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产地</w:t>
            </w:r>
          </w:p>
        </w:tc>
        <w:tc>
          <w:tcPr>
            <w:tcW w:w="420" w:type="pct"/>
            <w:tcBorders>
              <w:top w:val="single" w:color="000000" w:sz="4" w:space="0"/>
              <w:left w:val="single" w:color="000000" w:sz="4" w:space="0"/>
              <w:bottom w:val="single" w:color="000000" w:sz="4" w:space="0"/>
              <w:right w:val="single" w:color="000000" w:sz="4" w:space="0"/>
            </w:tcBorders>
            <w:vAlign w:val="center"/>
          </w:tcPr>
          <w:p w14:paraId="41E5336E">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交付期</w:t>
            </w:r>
          </w:p>
        </w:tc>
        <w:tc>
          <w:tcPr>
            <w:tcW w:w="367" w:type="pct"/>
            <w:tcBorders>
              <w:top w:val="single" w:color="000000" w:sz="4" w:space="0"/>
              <w:left w:val="single" w:color="000000" w:sz="4" w:space="0"/>
              <w:bottom w:val="single" w:color="000000" w:sz="4" w:space="0"/>
              <w:right w:val="single" w:color="000000" w:sz="4" w:space="0"/>
            </w:tcBorders>
            <w:vAlign w:val="center"/>
          </w:tcPr>
          <w:p w14:paraId="0389B563">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数量</w:t>
            </w:r>
          </w:p>
        </w:tc>
        <w:tc>
          <w:tcPr>
            <w:tcW w:w="381" w:type="pct"/>
            <w:tcBorders>
              <w:top w:val="single" w:color="000000" w:sz="4" w:space="0"/>
              <w:left w:val="single" w:color="000000" w:sz="4" w:space="0"/>
              <w:bottom w:val="single" w:color="000000" w:sz="4" w:space="0"/>
              <w:right w:val="single" w:color="000000" w:sz="4" w:space="0"/>
            </w:tcBorders>
            <w:vAlign w:val="center"/>
          </w:tcPr>
          <w:p w14:paraId="1666EC9F">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单价</w:t>
            </w:r>
          </w:p>
        </w:tc>
        <w:tc>
          <w:tcPr>
            <w:tcW w:w="381" w:type="pct"/>
            <w:tcBorders>
              <w:top w:val="single" w:color="000000" w:sz="4" w:space="0"/>
              <w:left w:val="single" w:color="000000" w:sz="4" w:space="0"/>
              <w:bottom w:val="single" w:color="000000" w:sz="4" w:space="0"/>
              <w:right w:val="single" w:color="000000" w:sz="4" w:space="0"/>
            </w:tcBorders>
            <w:vAlign w:val="center"/>
          </w:tcPr>
          <w:p w14:paraId="723515EF">
            <w:pPr>
              <w:widowControl/>
              <w:jc w:val="center"/>
              <w:textAlignment w:val="center"/>
              <w:rPr>
                <w:rFonts w:hint="eastAsia" w:ascii="宋体" w:hAnsi="宋体" w:eastAsia="宋体" w:cs="宋体"/>
                <w:b w:val="0"/>
                <w:bCs w:val="0"/>
                <w:color w:val="auto"/>
                <w:sz w:val="24"/>
                <w:szCs w:val="24"/>
                <w:lang w:val="en-US" w:eastAsia="zh-CN" w:bidi="ar"/>
              </w:rPr>
            </w:pPr>
            <w:r>
              <w:rPr>
                <w:rFonts w:hint="eastAsia" w:ascii="宋体" w:hAnsi="宋体" w:cs="宋体"/>
                <w:b w:val="0"/>
                <w:bCs w:val="0"/>
                <w:color w:val="auto"/>
                <w:sz w:val="24"/>
                <w:szCs w:val="24"/>
                <w:lang w:val="en-US" w:eastAsia="zh-CN" w:bidi="ar"/>
              </w:rPr>
              <w:t>总价</w:t>
            </w:r>
          </w:p>
        </w:tc>
      </w:tr>
      <w:tr w14:paraId="49B22C07">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3C4EFDB0">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3D670B79">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35300630">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0E6A2221">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18ABF26E">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17802068">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9B23E8A">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5DACBD56">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6036DF90">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4821E392">
            <w:pPr>
              <w:widowControl/>
              <w:jc w:val="center"/>
              <w:textAlignment w:val="center"/>
              <w:rPr>
                <w:rFonts w:ascii="宋体" w:hAnsi="宋体" w:cs="宋体"/>
                <w:b w:val="0"/>
                <w:bCs w:val="0"/>
                <w:color w:val="auto"/>
                <w:sz w:val="28"/>
                <w:szCs w:val="28"/>
                <w:lang w:bidi="ar"/>
              </w:rPr>
            </w:pPr>
          </w:p>
        </w:tc>
      </w:tr>
      <w:tr w14:paraId="6F0D8C9F">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0CC0BF10">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596E8893">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007A5F59">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71A89B0B">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6C50DA4C">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74D3912A">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2A85667">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D6E6469">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3298094E">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79425BD">
            <w:pPr>
              <w:widowControl/>
              <w:jc w:val="center"/>
              <w:textAlignment w:val="center"/>
              <w:rPr>
                <w:rFonts w:ascii="宋体" w:hAnsi="宋体" w:cs="宋体"/>
                <w:b w:val="0"/>
                <w:bCs w:val="0"/>
                <w:color w:val="auto"/>
                <w:sz w:val="28"/>
                <w:szCs w:val="28"/>
                <w:lang w:bidi="ar"/>
              </w:rPr>
            </w:pPr>
          </w:p>
        </w:tc>
      </w:tr>
      <w:tr w14:paraId="555556DD">
        <w:tblPrEx>
          <w:tblCellMar>
            <w:top w:w="0" w:type="dxa"/>
            <w:left w:w="108" w:type="dxa"/>
            <w:bottom w:w="0" w:type="dxa"/>
            <w:right w:w="108" w:type="dxa"/>
          </w:tblCellMar>
        </w:tblPrEx>
        <w:trPr>
          <w:trHeight w:val="374"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5AE4447F">
            <w:pPr>
              <w:widowControl/>
              <w:tabs>
                <w:tab w:val="left" w:pos="258"/>
              </w:tabs>
              <w:jc w:val="left"/>
              <w:textAlignment w:val="center"/>
              <w:rPr>
                <w:rFonts w:hint="default"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eastAsia="zh-CN" w:bidi="ar"/>
              </w:rPr>
              <w:tab/>
            </w:r>
            <w:r>
              <w:rPr>
                <w:rFonts w:hint="eastAsia" w:ascii="宋体" w:hAnsi="宋体" w:cs="宋体"/>
                <w:b w:val="0"/>
                <w:bCs w:val="0"/>
                <w:color w:val="auto"/>
                <w:sz w:val="28"/>
                <w:szCs w:val="28"/>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02249C6C">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51919E5F">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5A7572C3">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66C081EC">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024527D6">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740A1EC">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17F6689">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4FEE9C5">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1DE3D654">
            <w:pPr>
              <w:widowControl/>
              <w:jc w:val="center"/>
              <w:textAlignment w:val="center"/>
              <w:rPr>
                <w:rFonts w:ascii="宋体" w:hAnsi="宋体" w:cs="宋体"/>
                <w:b w:val="0"/>
                <w:bCs w:val="0"/>
                <w:color w:val="auto"/>
                <w:sz w:val="28"/>
                <w:szCs w:val="28"/>
                <w:lang w:bidi="ar"/>
              </w:rPr>
            </w:pPr>
          </w:p>
        </w:tc>
      </w:tr>
      <w:tr w14:paraId="7CEE3ABF">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1F49A7A1">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67B08C4D">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7B034FE1">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491C7475">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63AC80F2">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6BDBB8F3">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BD4C1F0">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9D32F2C">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27B719F5">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1B31B27">
            <w:pPr>
              <w:widowControl/>
              <w:jc w:val="center"/>
              <w:textAlignment w:val="center"/>
              <w:rPr>
                <w:rFonts w:ascii="宋体" w:hAnsi="宋体" w:cs="宋体"/>
                <w:b w:val="0"/>
                <w:bCs w:val="0"/>
                <w:color w:val="auto"/>
                <w:sz w:val="28"/>
                <w:szCs w:val="28"/>
                <w:lang w:bidi="ar"/>
              </w:rPr>
            </w:pPr>
          </w:p>
        </w:tc>
      </w:tr>
      <w:tr w14:paraId="551C1912">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4E2B6B92">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72CA917C">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603C2CE5">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7F9327ED">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4B6FAE07">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167410FF">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6EED0E2">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5609EAF">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5D31083E">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7F45F75D">
            <w:pPr>
              <w:widowControl/>
              <w:jc w:val="center"/>
              <w:textAlignment w:val="center"/>
              <w:rPr>
                <w:rFonts w:ascii="宋体" w:hAnsi="宋体" w:cs="宋体"/>
                <w:b w:val="0"/>
                <w:bCs w:val="0"/>
                <w:color w:val="auto"/>
                <w:sz w:val="28"/>
                <w:szCs w:val="28"/>
                <w:lang w:bidi="ar"/>
              </w:rPr>
            </w:pPr>
          </w:p>
        </w:tc>
      </w:tr>
      <w:tr w14:paraId="4EC0E140">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7009FB78">
            <w:pPr>
              <w:widowControl/>
              <w:jc w:val="center"/>
              <w:textAlignment w:val="center"/>
              <w:rPr>
                <w:rFonts w:hint="eastAsia"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070FE571">
            <w:pPr>
              <w:jc w:val="center"/>
              <w:rPr>
                <w:rFonts w:ascii="宋体" w:hAnsi="宋体" w:cs="宋体"/>
                <w:b w:val="0"/>
                <w:bCs w:val="0"/>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00C7B9FF">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232B7BB0">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29D08611">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160A0A87">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046DCFC">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110F051">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5EA2B7DE">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18F76F2C">
            <w:pPr>
              <w:widowControl/>
              <w:jc w:val="center"/>
              <w:textAlignment w:val="center"/>
              <w:rPr>
                <w:rFonts w:ascii="宋体" w:hAnsi="宋体" w:cs="宋体"/>
                <w:b w:val="0"/>
                <w:bCs w:val="0"/>
                <w:color w:val="auto"/>
                <w:sz w:val="28"/>
                <w:szCs w:val="28"/>
                <w:lang w:bidi="ar"/>
              </w:rPr>
            </w:pPr>
          </w:p>
        </w:tc>
      </w:tr>
      <w:tr w14:paraId="19C43B2A">
        <w:tblPrEx>
          <w:tblCellMar>
            <w:top w:w="0" w:type="dxa"/>
            <w:left w:w="108" w:type="dxa"/>
            <w:bottom w:w="0" w:type="dxa"/>
            <w:right w:w="108" w:type="dxa"/>
          </w:tblCellMar>
        </w:tblPrEx>
        <w:trPr>
          <w:trHeight w:val="403" w:hRule="atLeast"/>
          <w:jc w:val="center"/>
        </w:trPr>
        <w:tc>
          <w:tcPr>
            <w:tcW w:w="470" w:type="pct"/>
            <w:tcBorders>
              <w:top w:val="single" w:color="000000" w:sz="4" w:space="0"/>
              <w:left w:val="single" w:color="000000" w:sz="4" w:space="0"/>
              <w:bottom w:val="single" w:color="000000" w:sz="4" w:space="0"/>
              <w:right w:val="single" w:color="000000" w:sz="4" w:space="0"/>
            </w:tcBorders>
            <w:vAlign w:val="center"/>
          </w:tcPr>
          <w:p w14:paraId="1CF141CF">
            <w:pPr>
              <w:widowControl/>
              <w:jc w:val="center"/>
              <w:textAlignment w:val="center"/>
              <w:rPr>
                <w:rFonts w:hint="default"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w:t>
            </w:r>
          </w:p>
        </w:tc>
        <w:tc>
          <w:tcPr>
            <w:tcW w:w="861" w:type="pct"/>
            <w:tcBorders>
              <w:top w:val="single" w:color="000000" w:sz="4" w:space="0"/>
              <w:left w:val="single" w:color="000000" w:sz="4" w:space="0"/>
              <w:bottom w:val="single" w:color="000000" w:sz="4" w:space="0"/>
              <w:right w:val="single" w:color="000000" w:sz="4" w:space="0"/>
            </w:tcBorders>
            <w:noWrap/>
            <w:vAlign w:val="center"/>
          </w:tcPr>
          <w:p w14:paraId="7743CF17">
            <w:pPr>
              <w:jc w:val="center"/>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w:t>
            </w:r>
          </w:p>
        </w:tc>
        <w:tc>
          <w:tcPr>
            <w:tcW w:w="472" w:type="pct"/>
            <w:tcBorders>
              <w:top w:val="single" w:color="000000" w:sz="4" w:space="0"/>
              <w:left w:val="single" w:color="000000" w:sz="4" w:space="0"/>
              <w:bottom w:val="single" w:color="000000" w:sz="4" w:space="0"/>
              <w:right w:val="single" w:color="000000" w:sz="4" w:space="0"/>
            </w:tcBorders>
            <w:vAlign w:val="center"/>
          </w:tcPr>
          <w:p w14:paraId="3985B073">
            <w:pPr>
              <w:widowControl/>
              <w:jc w:val="center"/>
              <w:textAlignment w:val="center"/>
              <w:rPr>
                <w:rFonts w:ascii="宋体" w:hAnsi="宋体" w:cs="宋体"/>
                <w:b w:val="0"/>
                <w:bCs w:val="0"/>
                <w:color w:val="auto"/>
                <w:sz w:val="28"/>
                <w:szCs w:val="28"/>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169EAEC2">
            <w:pPr>
              <w:widowControl/>
              <w:jc w:val="center"/>
              <w:textAlignment w:val="center"/>
              <w:rPr>
                <w:rFonts w:ascii="宋体" w:hAnsi="宋体" w:cs="宋体"/>
                <w:b w:val="0"/>
                <w:bCs w:val="0"/>
                <w:color w:val="auto"/>
                <w:sz w:val="28"/>
                <w:szCs w:val="28"/>
                <w:lang w:bidi="ar"/>
              </w:rPr>
            </w:pPr>
          </w:p>
        </w:tc>
        <w:tc>
          <w:tcPr>
            <w:tcW w:w="602" w:type="pct"/>
            <w:tcBorders>
              <w:top w:val="single" w:color="000000" w:sz="4" w:space="0"/>
              <w:left w:val="single" w:color="000000" w:sz="4" w:space="0"/>
              <w:bottom w:val="single" w:color="000000" w:sz="4" w:space="0"/>
              <w:right w:val="single" w:color="000000" w:sz="4" w:space="0"/>
            </w:tcBorders>
            <w:vAlign w:val="center"/>
          </w:tcPr>
          <w:p w14:paraId="1F116EF4">
            <w:pPr>
              <w:widowControl/>
              <w:jc w:val="center"/>
              <w:textAlignment w:val="center"/>
              <w:rPr>
                <w:rFonts w:ascii="宋体" w:hAnsi="宋体" w:cs="宋体"/>
                <w:b w:val="0"/>
                <w:bCs w:val="0"/>
                <w:color w:val="auto"/>
                <w:sz w:val="28"/>
                <w:szCs w:val="28"/>
                <w:lang w:bidi="ar"/>
              </w:rPr>
            </w:pPr>
          </w:p>
        </w:tc>
        <w:tc>
          <w:tcPr>
            <w:tcW w:w="570" w:type="pct"/>
            <w:tcBorders>
              <w:top w:val="single" w:color="000000" w:sz="4" w:space="0"/>
              <w:left w:val="single" w:color="000000" w:sz="4" w:space="0"/>
              <w:bottom w:val="single" w:color="000000" w:sz="4" w:space="0"/>
              <w:right w:val="single" w:color="000000" w:sz="4" w:space="0"/>
            </w:tcBorders>
            <w:vAlign w:val="center"/>
          </w:tcPr>
          <w:p w14:paraId="5A33EAFB">
            <w:pPr>
              <w:widowControl/>
              <w:jc w:val="center"/>
              <w:textAlignment w:val="center"/>
              <w:rPr>
                <w:rFonts w:ascii="宋体" w:hAnsi="宋体" w:cs="宋体"/>
                <w:b w:val="0"/>
                <w:bCs w:val="0"/>
                <w:color w:val="auto"/>
                <w:sz w:val="28"/>
                <w:szCs w:val="28"/>
                <w:lang w:bidi="ar"/>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F10D002">
            <w:pPr>
              <w:widowControl/>
              <w:jc w:val="center"/>
              <w:textAlignment w:val="center"/>
              <w:rPr>
                <w:rFonts w:ascii="宋体" w:hAnsi="宋体" w:cs="宋体"/>
                <w:b w:val="0"/>
                <w:bCs w:val="0"/>
                <w:color w:val="auto"/>
                <w:sz w:val="28"/>
                <w:szCs w:val="28"/>
                <w:lang w:bidi="ar"/>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73FCA33">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2B86FDAB">
            <w:pPr>
              <w:widowControl/>
              <w:jc w:val="center"/>
              <w:textAlignment w:val="center"/>
              <w:rPr>
                <w:rFonts w:ascii="宋体" w:hAnsi="宋体" w:cs="宋体"/>
                <w:b w:val="0"/>
                <w:bCs w:val="0"/>
                <w:color w:val="auto"/>
                <w:sz w:val="28"/>
                <w:szCs w:val="28"/>
                <w:lang w:bidi="ar"/>
              </w:rPr>
            </w:pPr>
          </w:p>
        </w:tc>
        <w:tc>
          <w:tcPr>
            <w:tcW w:w="381" w:type="pct"/>
            <w:tcBorders>
              <w:top w:val="single" w:color="000000" w:sz="4" w:space="0"/>
              <w:left w:val="single" w:color="000000" w:sz="4" w:space="0"/>
              <w:bottom w:val="single" w:color="000000" w:sz="4" w:space="0"/>
              <w:right w:val="single" w:color="000000" w:sz="4" w:space="0"/>
            </w:tcBorders>
            <w:vAlign w:val="center"/>
          </w:tcPr>
          <w:p w14:paraId="0B198E5C">
            <w:pPr>
              <w:widowControl/>
              <w:jc w:val="center"/>
              <w:textAlignment w:val="center"/>
              <w:rPr>
                <w:rFonts w:ascii="宋体" w:hAnsi="宋体" w:cs="宋体"/>
                <w:b w:val="0"/>
                <w:bCs w:val="0"/>
                <w:color w:val="auto"/>
                <w:sz w:val="28"/>
                <w:szCs w:val="28"/>
                <w:lang w:bidi="ar"/>
              </w:rPr>
            </w:pPr>
          </w:p>
        </w:tc>
      </w:tr>
      <w:tr w14:paraId="6E06AFD8">
        <w:tblPrEx>
          <w:tblCellMar>
            <w:top w:w="0" w:type="dxa"/>
            <w:left w:w="108" w:type="dxa"/>
            <w:bottom w:w="0" w:type="dxa"/>
            <w:right w:w="108" w:type="dxa"/>
          </w:tblCellMar>
        </w:tblPrEx>
        <w:trPr>
          <w:trHeight w:val="403"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6170C66B">
            <w:pPr>
              <w:widowControl/>
              <w:jc w:val="both"/>
              <w:textAlignment w:val="center"/>
              <w:rPr>
                <w:rFonts w:hint="default" w:ascii="宋体" w:hAnsi="宋体" w:eastAsia="宋体" w:cs="宋体"/>
                <w:b w:val="0"/>
                <w:bCs w:val="0"/>
                <w:color w:val="auto"/>
                <w:sz w:val="28"/>
                <w:szCs w:val="28"/>
                <w:lang w:val="en-US" w:eastAsia="zh-CN" w:bidi="ar"/>
              </w:rPr>
            </w:pPr>
            <w:r>
              <w:rPr>
                <w:rFonts w:hint="eastAsia" w:ascii="宋体" w:hAnsi="宋体" w:cs="宋体"/>
                <w:b w:val="0"/>
                <w:bCs w:val="0"/>
                <w:color w:val="auto"/>
                <w:sz w:val="28"/>
                <w:szCs w:val="28"/>
                <w:lang w:val="en-US" w:eastAsia="zh-CN" w:bidi="ar"/>
              </w:rPr>
              <w:t>投标报价（人民币：元）</w:t>
            </w:r>
          </w:p>
        </w:tc>
      </w:tr>
      <w:tr w14:paraId="677D1F8C">
        <w:tblPrEx>
          <w:tblCellMar>
            <w:top w:w="0" w:type="dxa"/>
            <w:left w:w="108" w:type="dxa"/>
            <w:bottom w:w="0" w:type="dxa"/>
            <w:right w:w="108" w:type="dxa"/>
          </w:tblCellMar>
        </w:tblPrEx>
        <w:trPr>
          <w:trHeight w:val="403"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0F69E8CC">
            <w:pPr>
              <w:widowControl/>
              <w:jc w:val="both"/>
              <w:textAlignment w:val="center"/>
              <w:rPr>
                <w:rFonts w:ascii="宋体" w:hAnsi="宋体" w:cs="宋体"/>
                <w:b/>
                <w:bCs/>
                <w:color w:val="auto"/>
                <w:sz w:val="28"/>
                <w:szCs w:val="28"/>
                <w:lang w:bidi="ar"/>
              </w:rPr>
            </w:pPr>
            <w:r>
              <w:rPr>
                <w:rFonts w:ascii="sans-serif" w:hAnsi="sans-serif" w:eastAsia="sans-serif" w:cs="sans-serif"/>
                <w:i w:val="0"/>
                <w:iCs w:val="0"/>
                <w:caps w:val="0"/>
                <w:color w:val="auto"/>
                <w:spacing w:val="0"/>
                <w:sz w:val="24"/>
                <w:szCs w:val="24"/>
                <w:shd w:val="clear" w:fill="FFFFFF"/>
              </w:rPr>
              <w:t>本采购包中提供的符合本国产品标准的产品成本之和占该采购包提供的全</w:t>
            </w:r>
            <w:r>
              <w:rPr>
                <w:rFonts w:hint="default" w:ascii="sans-serif" w:hAnsi="sans-serif" w:eastAsia="sans-serif" w:cs="sans-serif"/>
                <w:i w:val="0"/>
                <w:iCs w:val="0"/>
                <w:caps w:val="0"/>
                <w:color w:val="auto"/>
                <w:spacing w:val="0"/>
                <w:sz w:val="24"/>
                <w:szCs w:val="24"/>
                <w:shd w:val="clear" w:fill="FFFFFF"/>
              </w:rPr>
              <w:t>部产品成本之和的比例为 %。</w:t>
            </w:r>
          </w:p>
        </w:tc>
      </w:tr>
    </w:tbl>
    <w:p w14:paraId="51D73DCD">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4"/>
        </w:rPr>
      </w:pPr>
    </w:p>
    <w:p w14:paraId="6045335E">
      <w:pPr>
        <w:spacing w:line="480" w:lineRule="exact"/>
        <w:rPr>
          <w:rFonts w:ascii="宋体" w:hAnsi="宋体" w:cs="仿宋"/>
          <w:color w:val="auto"/>
          <w:sz w:val="28"/>
          <w:szCs w:val="28"/>
        </w:rPr>
      </w:pPr>
      <w:r>
        <w:rPr>
          <w:rFonts w:hint="eastAsia" w:ascii="宋体" w:hAnsi="宋体" w:cs="仿宋"/>
          <w:color w:val="auto"/>
          <w:sz w:val="28"/>
          <w:szCs w:val="28"/>
        </w:rPr>
        <w:t>投标人：</w:t>
      </w:r>
      <w:r>
        <w:rPr>
          <w:rFonts w:hint="eastAsia" w:ascii="宋体" w:hAnsi="宋体" w:cs="仿宋"/>
          <w:color w:val="auto"/>
          <w:sz w:val="28"/>
          <w:szCs w:val="28"/>
          <w:u w:val="single"/>
        </w:rPr>
        <w:t xml:space="preserve">     （</w:t>
      </w:r>
      <w:r>
        <w:rPr>
          <w:rFonts w:hint="eastAsia" w:ascii="宋体" w:hAnsi="宋体" w:cs="仿宋"/>
          <w:color w:val="auto"/>
          <w:sz w:val="28"/>
          <w:szCs w:val="28"/>
          <w:u w:val="single"/>
          <w:lang w:val="en-US" w:eastAsia="zh-CN"/>
        </w:rPr>
        <w:t>电子签章</w:t>
      </w:r>
      <w:r>
        <w:rPr>
          <w:rFonts w:hint="eastAsia" w:ascii="宋体" w:hAnsi="宋体" w:cs="仿宋"/>
          <w:color w:val="auto"/>
          <w:sz w:val="28"/>
          <w:szCs w:val="28"/>
          <w:u w:val="single"/>
        </w:rPr>
        <w:t xml:space="preserve">）     </w:t>
      </w:r>
    </w:p>
    <w:p w14:paraId="59D07FC1">
      <w:pPr>
        <w:spacing w:line="480" w:lineRule="exact"/>
        <w:rPr>
          <w:rFonts w:ascii="宋体" w:hAnsi="宋体" w:cs="仿宋"/>
          <w:color w:val="auto"/>
          <w:sz w:val="28"/>
          <w:szCs w:val="28"/>
        </w:rPr>
      </w:pPr>
      <w:r>
        <w:rPr>
          <w:rFonts w:hint="eastAsia" w:ascii="宋体" w:hAnsi="宋体" w:cs="仿宋"/>
          <w:color w:val="auto"/>
          <w:sz w:val="28"/>
          <w:szCs w:val="28"/>
        </w:rPr>
        <w:t>法定代表人或其委托受托人</w:t>
      </w:r>
      <w:r>
        <w:rPr>
          <w:rFonts w:hint="eastAsia" w:ascii="宋体" w:hAnsi="宋体" w:cs="仿宋"/>
          <w:color w:val="auto"/>
          <w:sz w:val="28"/>
          <w:szCs w:val="28"/>
          <w:lang w:eastAsia="zh-CN"/>
        </w:rPr>
        <w:t>（</w:t>
      </w:r>
      <w:r>
        <w:rPr>
          <w:rFonts w:hint="eastAsia" w:ascii="宋体" w:hAnsi="宋体" w:cs="仿宋"/>
          <w:color w:val="auto"/>
          <w:sz w:val="28"/>
          <w:szCs w:val="28"/>
        </w:rPr>
        <w:t>签字或</w:t>
      </w:r>
      <w:r>
        <w:rPr>
          <w:rFonts w:hint="eastAsia" w:ascii="宋体" w:hAnsi="宋体" w:cs="仿宋"/>
          <w:color w:val="auto"/>
          <w:sz w:val="28"/>
          <w:szCs w:val="28"/>
          <w:lang w:val="en-US" w:eastAsia="zh-CN"/>
        </w:rPr>
        <w:t>签章</w:t>
      </w:r>
      <w:r>
        <w:rPr>
          <w:rFonts w:hint="eastAsia" w:ascii="宋体" w:hAnsi="宋体" w:cs="仿宋"/>
          <w:color w:val="auto"/>
          <w:sz w:val="28"/>
          <w:szCs w:val="28"/>
          <w:lang w:eastAsia="zh-CN"/>
        </w:rPr>
        <w:t>）</w:t>
      </w:r>
      <w:r>
        <w:rPr>
          <w:rFonts w:hint="eastAsia" w:ascii="宋体" w:hAnsi="宋体" w:cs="仿宋"/>
          <w:color w:val="auto"/>
          <w:sz w:val="28"/>
          <w:szCs w:val="28"/>
        </w:rPr>
        <w:t>：</w:t>
      </w:r>
      <w:r>
        <w:rPr>
          <w:rFonts w:hint="eastAsia" w:ascii="宋体" w:hAnsi="宋体" w:cs="仿宋"/>
          <w:color w:val="auto"/>
          <w:sz w:val="28"/>
          <w:szCs w:val="28"/>
          <w:u w:val="single"/>
        </w:rPr>
        <w:t xml:space="preserve">               </w:t>
      </w:r>
    </w:p>
    <w:p w14:paraId="402FB337">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8"/>
          <w:szCs w:val="28"/>
        </w:rPr>
      </w:pPr>
    </w:p>
    <w:p w14:paraId="614D7877">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olor w:val="auto"/>
          <w:sz w:val="22"/>
          <w:szCs w:val="28"/>
        </w:rPr>
      </w:pPr>
      <w:r>
        <w:rPr>
          <w:rFonts w:ascii="宋体" w:hAnsi="宋体" w:cs="宋体"/>
          <w:color w:val="auto"/>
          <w:sz w:val="28"/>
          <w:szCs w:val="28"/>
        </w:rPr>
        <w:t>日期</w:t>
      </w:r>
      <w:r>
        <w:rPr>
          <w:rFonts w:hint="eastAsia" w:ascii="宋体" w:hAnsi="宋体" w:cs="宋体"/>
          <w:color w:val="auto"/>
          <w:sz w:val="28"/>
          <w:szCs w:val="28"/>
        </w:rPr>
        <w:t xml:space="preserve">：  </w:t>
      </w:r>
      <w:r>
        <w:rPr>
          <w:rFonts w:ascii="宋体" w:hAnsi="宋体" w:cs="宋体"/>
          <w:color w:val="auto"/>
          <w:sz w:val="28"/>
          <w:szCs w:val="28"/>
        </w:rPr>
        <w:t>年</w:t>
      </w:r>
      <w:r>
        <w:rPr>
          <w:rFonts w:hint="eastAsia" w:ascii="宋体" w:hAnsi="宋体" w:cs="宋体"/>
          <w:color w:val="auto"/>
          <w:sz w:val="28"/>
          <w:szCs w:val="28"/>
        </w:rPr>
        <w:t xml:space="preserve">  </w:t>
      </w:r>
      <w:r>
        <w:rPr>
          <w:rFonts w:ascii="宋体" w:hAnsi="宋体" w:cs="宋体"/>
          <w:color w:val="auto"/>
          <w:sz w:val="28"/>
          <w:szCs w:val="28"/>
        </w:rPr>
        <w:t>月</w:t>
      </w:r>
      <w:r>
        <w:rPr>
          <w:rFonts w:hint="eastAsia" w:ascii="宋体" w:hAnsi="宋体" w:cs="宋体"/>
          <w:color w:val="auto"/>
          <w:sz w:val="28"/>
          <w:szCs w:val="28"/>
        </w:rPr>
        <w:t xml:space="preserve">   </w:t>
      </w:r>
      <w:r>
        <w:rPr>
          <w:rFonts w:ascii="宋体" w:hAnsi="宋体" w:cs="宋体"/>
          <w:color w:val="auto"/>
          <w:sz w:val="28"/>
          <w:szCs w:val="28"/>
        </w:rPr>
        <w:t>日</w:t>
      </w:r>
    </w:p>
    <w:p w14:paraId="74135A2C">
      <w:pPr>
        <w:widowControl/>
        <w:textAlignment w:val="center"/>
        <w:rPr>
          <w:rFonts w:ascii="宋体" w:hAnsi="宋体"/>
          <w:color w:val="auto"/>
          <w:sz w:val="28"/>
          <w:szCs w:val="28"/>
        </w:rPr>
      </w:pPr>
    </w:p>
    <w:p w14:paraId="51C42B57">
      <w:pPr>
        <w:widowControl/>
        <w:textAlignment w:val="center"/>
        <w:rPr>
          <w:rFonts w:ascii="宋体" w:hAnsi="宋体"/>
          <w:color w:val="auto"/>
          <w:sz w:val="28"/>
          <w:szCs w:val="28"/>
        </w:rPr>
      </w:pPr>
    </w:p>
    <w:p w14:paraId="1B38C19F">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备注：1、投标报价采用总承包方式，“投标总报价”应包括所投货物（包含与货物相关的服务）费用、安装调试费、测试验收费、培训费、运行维护费用、税金、运输保险及其他有关的为完成本项目发生的所有费用，招标文件中另有规定的除外。</w:t>
      </w:r>
    </w:p>
    <w:p w14:paraId="0BC4FFE3">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2、 “投标分项报价表”中“投标总报价”数额应当与“开标一览表”</w:t>
      </w:r>
    </w:p>
    <w:p w14:paraId="09E988D2">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中“投标总报价”数额一致。</w:t>
      </w:r>
    </w:p>
    <w:p w14:paraId="1C463F4D">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3、 本采购包中含有多种产品时，投标人未填写本采购包中提供的符合</w:t>
      </w:r>
    </w:p>
    <w:p w14:paraId="06C3F8E4">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本国产品标准的产品成本之和占该采购包提供的全部产品成本之和的比</w:t>
      </w:r>
    </w:p>
    <w:p w14:paraId="47D898CE">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例数值的，或比例数值未达到 80%的，将不享受本国产品价格评审优惠。</w:t>
      </w:r>
    </w:p>
    <w:p w14:paraId="5BE5ED39">
      <w:pPr>
        <w:widowControl/>
        <w:spacing w:line="360" w:lineRule="auto"/>
        <w:textAlignment w:val="center"/>
        <w:rPr>
          <w:rFonts w:hint="eastAsia" w:ascii="宋体" w:hAnsi="宋体"/>
          <w:color w:val="auto"/>
          <w:sz w:val="28"/>
          <w:szCs w:val="28"/>
        </w:rPr>
      </w:pPr>
      <w:r>
        <w:rPr>
          <w:rFonts w:hint="eastAsia" w:ascii="宋体" w:hAnsi="宋体"/>
          <w:color w:val="auto"/>
          <w:sz w:val="28"/>
          <w:szCs w:val="28"/>
        </w:rPr>
        <w:t>4、 投标人需认真填写本报价表，尤其注意规格型号的准确填写。</w:t>
      </w:r>
    </w:p>
    <w:p w14:paraId="101CAFF2">
      <w:pPr>
        <w:widowControl/>
        <w:tabs>
          <w:tab w:val="left" w:pos="1812"/>
        </w:tabs>
        <w:spacing w:line="360" w:lineRule="auto"/>
        <w:textAlignment w:val="center"/>
        <w:rPr>
          <w:rFonts w:hint="eastAsia" w:ascii="宋体" w:hAnsi="宋体" w:eastAsia="宋体"/>
          <w:color w:val="auto"/>
          <w:sz w:val="28"/>
          <w:szCs w:val="28"/>
          <w:lang w:eastAsia="zh-CN"/>
        </w:rPr>
      </w:pPr>
      <w:r>
        <w:rPr>
          <w:rFonts w:hint="eastAsia" w:ascii="宋体" w:hAnsi="宋体"/>
          <w:color w:val="auto"/>
          <w:sz w:val="28"/>
          <w:szCs w:val="28"/>
          <w:lang w:eastAsia="zh-CN"/>
        </w:rPr>
        <w:tab/>
      </w:r>
    </w:p>
    <w:p w14:paraId="25774E3C">
      <w:pPr>
        <w:widowControl/>
        <w:spacing w:line="360" w:lineRule="auto"/>
        <w:textAlignment w:val="center"/>
        <w:rPr>
          <w:rFonts w:ascii="宋体" w:hAnsi="宋体"/>
          <w:color w:val="auto"/>
          <w:sz w:val="28"/>
          <w:szCs w:val="28"/>
        </w:rPr>
      </w:pPr>
      <w:r>
        <w:rPr>
          <w:rFonts w:hint="eastAsia" w:ascii="宋体" w:hAnsi="宋体"/>
          <w:color w:val="auto"/>
          <w:sz w:val="28"/>
          <w:szCs w:val="28"/>
        </w:rPr>
        <w:t>本项目要落实</w:t>
      </w:r>
      <w:r>
        <w:rPr>
          <w:rFonts w:hint="eastAsia" w:ascii="宋体" w:hAnsi="宋体"/>
          <w:b/>
          <w:bCs/>
          <w:color w:val="auto"/>
          <w:sz w:val="28"/>
          <w:szCs w:val="28"/>
        </w:rPr>
        <w:t>《江苏省财政厅关于加强政府绿色采购有关事项的通知》</w:t>
      </w:r>
      <w:r>
        <w:rPr>
          <w:rFonts w:hint="eastAsia" w:ascii="宋体" w:hAnsi="宋体"/>
          <w:color w:val="auto"/>
          <w:sz w:val="28"/>
          <w:szCs w:val="28"/>
        </w:rPr>
        <w:t>（苏财购〔2023〕65号）要求，具体如下：</w:t>
      </w:r>
    </w:p>
    <w:p w14:paraId="6D011E33">
      <w:pPr>
        <w:pStyle w:val="92"/>
        <w:spacing w:after="0" w:line="360" w:lineRule="auto"/>
        <w:ind w:firstLine="420"/>
        <w:jc w:val="left"/>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中标人对商品的包装应按照“财办库〔2020〕123号《关于印发《商品包装政府采购需求标准（试行）》、《快递包装政府采购需求标准（试行）》的通知》”执行。涉及设备运维参考《绿色数据中心政府采购需求标准（试行）》（财库【2023】7号文）执行。中标人在供货、安装过程中能做到低碳物流、环保节约、提高资源利用率。</w:t>
      </w:r>
    </w:p>
    <w:p w14:paraId="49668361">
      <w:pPr>
        <w:pStyle w:val="92"/>
        <w:spacing w:after="0" w:line="360" w:lineRule="auto"/>
        <w:ind w:firstLine="420"/>
        <w:jc w:val="left"/>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中标单位应严格执行《绿色建筑和绿色建材政府采购需求标准》（财库[2022]35号文附件2）和《政府采购支持绿色建材促进建筑品质提升政策项目实施指南》（财办库[2023]52号），优先采购绿色建材、装配式建材产品。（“绿色建材具体要求：① 室内涂料VOCs含量符合GB 18582-2020标准；② 瓷砖放射性符合GB 6566-2010 Class A类要求，供应商须提供产品检测报告。）</w:t>
      </w:r>
    </w:p>
    <w:p w14:paraId="2E383DD7">
      <w:pPr>
        <w:widowControl/>
        <w:jc w:val="left"/>
        <w:rPr>
          <w:rFonts w:ascii="宋体" w:hAnsi="宋体"/>
          <w:color w:val="auto"/>
          <w:sz w:val="28"/>
          <w:szCs w:val="28"/>
        </w:rPr>
      </w:pPr>
      <w:r>
        <w:rPr>
          <w:rFonts w:ascii="宋体" w:hAnsi="宋体"/>
          <w:color w:val="auto"/>
          <w:sz w:val="28"/>
          <w:szCs w:val="28"/>
        </w:rPr>
        <w:br w:type="page"/>
      </w:r>
    </w:p>
    <w:p w14:paraId="1019D7C3">
      <w:pPr>
        <w:numPr>
          <w:ilvl w:val="0"/>
          <w:numId w:val="0"/>
        </w:numPr>
        <w:spacing w:before="120" w:beforeLines="50" w:after="120" w:afterLines="50" w:line="360" w:lineRule="auto"/>
        <w:ind w:leftChars="0"/>
        <w:jc w:val="center"/>
        <w:rPr>
          <w:rFonts w:ascii="宋体" w:hAnsi="宋体"/>
          <w:b/>
          <w:bCs/>
          <w:color w:val="auto"/>
          <w:sz w:val="36"/>
          <w:szCs w:val="36"/>
        </w:rPr>
      </w:pPr>
      <w:r>
        <w:rPr>
          <w:rFonts w:hint="eastAsia" w:ascii="宋体" w:hAnsi="宋体"/>
          <w:b/>
          <w:bCs/>
          <w:color w:val="auto"/>
          <w:sz w:val="36"/>
          <w:szCs w:val="36"/>
          <w:lang w:val="en-US" w:eastAsia="zh-CN"/>
        </w:rPr>
        <w:t>四、</w:t>
      </w:r>
      <w:r>
        <w:rPr>
          <w:rFonts w:hint="eastAsia" w:ascii="宋体" w:hAnsi="宋体"/>
          <w:b/>
          <w:bCs/>
          <w:color w:val="auto"/>
          <w:sz w:val="36"/>
          <w:szCs w:val="36"/>
        </w:rPr>
        <w:t>响应偏离表</w:t>
      </w:r>
    </w:p>
    <w:p w14:paraId="4A771241">
      <w:pPr>
        <w:spacing w:line="360" w:lineRule="auto"/>
        <w:rPr>
          <w:rFonts w:ascii="宋体" w:hAnsi="宋体" w:cs="宋体"/>
          <w:b/>
          <w:bCs/>
          <w:color w:val="auto"/>
          <w:sz w:val="28"/>
          <w:szCs w:val="20"/>
        </w:rPr>
      </w:pPr>
      <w:r>
        <w:rPr>
          <w:rFonts w:hint="eastAsia" w:ascii="宋体" w:hAnsi="宋体" w:cs="宋体"/>
          <w:b/>
          <w:bCs/>
          <w:color w:val="auto"/>
          <w:sz w:val="28"/>
          <w:szCs w:val="20"/>
        </w:rPr>
        <w:t>（按照招标文件第五章采购需求及技术要求）</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3" w:type="dxa"/>
          <w:bottom w:w="0" w:type="dxa"/>
          <w:right w:w="3" w:type="dxa"/>
        </w:tblCellMar>
      </w:tblPr>
      <w:tblGrid>
        <w:gridCol w:w="1246"/>
        <w:gridCol w:w="2470"/>
        <w:gridCol w:w="2471"/>
        <w:gridCol w:w="1247"/>
        <w:gridCol w:w="1247"/>
      </w:tblGrid>
      <w:tr w14:paraId="0FACC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55042D37">
            <w:pPr>
              <w:spacing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1423" w:type="pct"/>
            <w:tcBorders>
              <w:top w:val="single" w:color="auto" w:sz="4" w:space="0"/>
              <w:left w:val="single" w:color="auto" w:sz="4" w:space="0"/>
              <w:bottom w:val="single" w:color="auto" w:sz="4" w:space="0"/>
              <w:right w:val="single" w:color="auto" w:sz="4" w:space="0"/>
            </w:tcBorders>
            <w:vAlign w:val="center"/>
          </w:tcPr>
          <w:p w14:paraId="1C477C83">
            <w:pPr>
              <w:spacing w:line="360" w:lineRule="auto"/>
              <w:jc w:val="center"/>
              <w:rPr>
                <w:rFonts w:ascii="宋体" w:hAnsi="宋体" w:cs="宋体"/>
                <w:color w:val="auto"/>
                <w:sz w:val="28"/>
                <w:szCs w:val="28"/>
              </w:rPr>
            </w:pPr>
            <w:r>
              <w:rPr>
                <w:rFonts w:hint="eastAsia" w:ascii="宋体" w:hAnsi="宋体" w:cs="宋体"/>
                <w:color w:val="auto"/>
                <w:sz w:val="28"/>
                <w:szCs w:val="28"/>
              </w:rPr>
              <w:t>采购需求</w:t>
            </w:r>
          </w:p>
        </w:tc>
        <w:tc>
          <w:tcPr>
            <w:tcW w:w="1423" w:type="pct"/>
            <w:tcBorders>
              <w:top w:val="single" w:color="auto" w:sz="4" w:space="0"/>
              <w:left w:val="single" w:color="auto" w:sz="4" w:space="0"/>
              <w:bottom w:val="single" w:color="auto" w:sz="4" w:space="0"/>
              <w:right w:val="single" w:color="auto" w:sz="4" w:space="0"/>
            </w:tcBorders>
            <w:vAlign w:val="center"/>
          </w:tcPr>
          <w:p w14:paraId="7D8065C8">
            <w:pPr>
              <w:spacing w:line="360" w:lineRule="auto"/>
              <w:jc w:val="center"/>
              <w:rPr>
                <w:rFonts w:ascii="宋体" w:hAnsi="宋体" w:cs="宋体"/>
                <w:color w:val="auto"/>
                <w:sz w:val="28"/>
                <w:szCs w:val="28"/>
              </w:rPr>
            </w:pPr>
            <w:r>
              <w:rPr>
                <w:rFonts w:hint="eastAsia" w:ascii="宋体" w:hAnsi="宋体" w:cs="宋体"/>
                <w:color w:val="auto"/>
                <w:sz w:val="28"/>
                <w:szCs w:val="28"/>
              </w:rPr>
              <w:t>响应需求</w:t>
            </w:r>
          </w:p>
        </w:tc>
        <w:tc>
          <w:tcPr>
            <w:tcW w:w="718" w:type="pct"/>
            <w:tcBorders>
              <w:top w:val="single" w:color="auto" w:sz="4" w:space="0"/>
              <w:left w:val="single" w:color="auto" w:sz="4" w:space="0"/>
              <w:bottom w:val="single" w:color="auto" w:sz="4" w:space="0"/>
              <w:right w:val="single" w:color="auto" w:sz="4" w:space="0"/>
            </w:tcBorders>
            <w:vAlign w:val="center"/>
          </w:tcPr>
          <w:p w14:paraId="41CDB2B3">
            <w:pPr>
              <w:spacing w:line="360" w:lineRule="auto"/>
              <w:jc w:val="center"/>
              <w:rPr>
                <w:rFonts w:ascii="宋体" w:hAnsi="宋体" w:cs="宋体"/>
                <w:color w:val="auto"/>
                <w:sz w:val="28"/>
                <w:szCs w:val="28"/>
              </w:rPr>
            </w:pPr>
            <w:r>
              <w:rPr>
                <w:rFonts w:hint="eastAsia" w:ascii="宋体" w:hAnsi="宋体" w:cs="宋体"/>
                <w:color w:val="auto"/>
                <w:sz w:val="28"/>
                <w:szCs w:val="28"/>
              </w:rPr>
              <w:t>是否</w:t>
            </w:r>
          </w:p>
          <w:p w14:paraId="0B4D5F69">
            <w:pPr>
              <w:spacing w:line="360" w:lineRule="auto"/>
              <w:jc w:val="center"/>
              <w:rPr>
                <w:rFonts w:ascii="宋体" w:hAnsi="宋体" w:cs="宋体"/>
                <w:color w:val="auto"/>
                <w:sz w:val="28"/>
                <w:szCs w:val="28"/>
              </w:rPr>
            </w:pPr>
            <w:r>
              <w:rPr>
                <w:rFonts w:hint="eastAsia" w:ascii="宋体" w:hAnsi="宋体" w:cs="宋体"/>
                <w:color w:val="auto"/>
                <w:sz w:val="28"/>
                <w:szCs w:val="28"/>
              </w:rPr>
              <w:t>偏离</w:t>
            </w:r>
          </w:p>
        </w:tc>
        <w:tc>
          <w:tcPr>
            <w:tcW w:w="718" w:type="pct"/>
            <w:tcBorders>
              <w:top w:val="single" w:color="auto" w:sz="4" w:space="0"/>
              <w:left w:val="single" w:color="auto" w:sz="4" w:space="0"/>
              <w:bottom w:val="single" w:color="auto" w:sz="4" w:space="0"/>
              <w:right w:val="single" w:color="auto" w:sz="4" w:space="0"/>
            </w:tcBorders>
            <w:vAlign w:val="center"/>
          </w:tcPr>
          <w:p w14:paraId="32520594">
            <w:pPr>
              <w:spacing w:line="360" w:lineRule="auto"/>
              <w:jc w:val="center"/>
              <w:rPr>
                <w:rFonts w:ascii="宋体" w:hAnsi="宋体" w:cs="宋体"/>
                <w:color w:val="auto"/>
                <w:sz w:val="28"/>
                <w:szCs w:val="28"/>
              </w:rPr>
            </w:pPr>
            <w:r>
              <w:rPr>
                <w:rFonts w:hint="eastAsia" w:ascii="宋体" w:hAnsi="宋体" w:cs="宋体"/>
                <w:color w:val="auto"/>
                <w:sz w:val="28"/>
                <w:szCs w:val="28"/>
              </w:rPr>
              <w:t>备注</w:t>
            </w:r>
          </w:p>
        </w:tc>
      </w:tr>
      <w:tr w14:paraId="3CD25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00"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7383150C">
            <w:pPr>
              <w:spacing w:line="360" w:lineRule="auto"/>
              <w:jc w:val="center"/>
              <w:rPr>
                <w:rFonts w:ascii="宋体" w:hAnsi="宋体" w:cs="宋体"/>
                <w:color w:val="auto"/>
                <w:sz w:val="28"/>
                <w:szCs w:val="28"/>
              </w:rPr>
            </w:pPr>
            <w:r>
              <w:rPr>
                <w:rFonts w:hint="eastAsia" w:ascii="宋体" w:hAnsi="宋体" w:cs="宋体"/>
                <w:color w:val="auto"/>
                <w:sz w:val="28"/>
                <w:szCs w:val="28"/>
              </w:rPr>
              <w:t>1</w:t>
            </w:r>
          </w:p>
        </w:tc>
        <w:tc>
          <w:tcPr>
            <w:tcW w:w="1423" w:type="pct"/>
            <w:tcBorders>
              <w:top w:val="single" w:color="auto" w:sz="4" w:space="0"/>
              <w:left w:val="single" w:color="auto" w:sz="4" w:space="0"/>
              <w:bottom w:val="single" w:color="auto" w:sz="4" w:space="0"/>
              <w:right w:val="single" w:color="auto" w:sz="4" w:space="0"/>
            </w:tcBorders>
            <w:vAlign w:val="center"/>
          </w:tcPr>
          <w:p w14:paraId="06CB7402">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462E33F0">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758B5567">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7D583ABD">
            <w:pPr>
              <w:spacing w:line="360" w:lineRule="auto"/>
              <w:jc w:val="center"/>
              <w:rPr>
                <w:rFonts w:ascii="宋体" w:hAnsi="宋体" w:cs="宋体"/>
                <w:color w:val="auto"/>
                <w:sz w:val="28"/>
                <w:szCs w:val="28"/>
              </w:rPr>
            </w:pPr>
          </w:p>
        </w:tc>
      </w:tr>
      <w:tr w14:paraId="55C24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84" w:hRule="atLeast"/>
          <w:jc w:val="center"/>
        </w:trPr>
        <w:tc>
          <w:tcPr>
            <w:tcW w:w="718" w:type="pct"/>
            <w:tcBorders>
              <w:top w:val="single" w:color="auto" w:sz="4" w:space="0"/>
              <w:left w:val="single" w:color="auto" w:sz="4" w:space="0"/>
              <w:right w:val="single" w:color="auto" w:sz="4" w:space="0"/>
            </w:tcBorders>
            <w:vAlign w:val="center"/>
          </w:tcPr>
          <w:p w14:paraId="6D045495">
            <w:pPr>
              <w:spacing w:line="360" w:lineRule="auto"/>
              <w:jc w:val="center"/>
              <w:rPr>
                <w:rFonts w:ascii="宋体" w:hAnsi="宋体" w:cs="宋体"/>
                <w:color w:val="auto"/>
                <w:sz w:val="28"/>
                <w:szCs w:val="28"/>
              </w:rPr>
            </w:pPr>
            <w:r>
              <w:rPr>
                <w:rFonts w:hint="eastAsia" w:ascii="宋体" w:hAnsi="宋体" w:cs="宋体"/>
                <w:color w:val="auto"/>
                <w:sz w:val="28"/>
                <w:szCs w:val="28"/>
              </w:rPr>
              <w:t>2</w:t>
            </w:r>
          </w:p>
        </w:tc>
        <w:tc>
          <w:tcPr>
            <w:tcW w:w="1423" w:type="pct"/>
            <w:tcBorders>
              <w:top w:val="single" w:color="auto" w:sz="4" w:space="0"/>
              <w:left w:val="single" w:color="auto" w:sz="4" w:space="0"/>
              <w:right w:val="single" w:color="auto" w:sz="4" w:space="0"/>
            </w:tcBorders>
            <w:vAlign w:val="center"/>
          </w:tcPr>
          <w:p w14:paraId="5A2DD542">
            <w:pPr>
              <w:spacing w:line="360" w:lineRule="auto"/>
              <w:jc w:val="center"/>
              <w:rPr>
                <w:rFonts w:ascii="宋体" w:hAnsi="宋体" w:cs="宋体"/>
                <w:color w:val="auto"/>
                <w:spacing w:val="-6"/>
                <w:sz w:val="28"/>
                <w:szCs w:val="28"/>
              </w:rPr>
            </w:pPr>
          </w:p>
        </w:tc>
        <w:tc>
          <w:tcPr>
            <w:tcW w:w="1423" w:type="pct"/>
            <w:tcBorders>
              <w:top w:val="single" w:color="auto" w:sz="4" w:space="0"/>
              <w:left w:val="single" w:color="auto" w:sz="4" w:space="0"/>
              <w:right w:val="single" w:color="auto" w:sz="4" w:space="0"/>
            </w:tcBorders>
            <w:vAlign w:val="center"/>
          </w:tcPr>
          <w:p w14:paraId="2B5B2C01">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63B3F2D6">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0977D8BB">
            <w:pPr>
              <w:spacing w:line="360" w:lineRule="auto"/>
              <w:jc w:val="center"/>
              <w:rPr>
                <w:rFonts w:ascii="宋体" w:hAnsi="宋体" w:cs="宋体"/>
                <w:color w:val="auto"/>
                <w:sz w:val="28"/>
                <w:szCs w:val="28"/>
              </w:rPr>
            </w:pPr>
          </w:p>
        </w:tc>
      </w:tr>
      <w:tr w14:paraId="13C00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15" w:hRule="atLeast"/>
          <w:jc w:val="center"/>
        </w:trPr>
        <w:tc>
          <w:tcPr>
            <w:tcW w:w="718" w:type="pct"/>
            <w:tcBorders>
              <w:top w:val="single" w:color="auto" w:sz="4" w:space="0"/>
              <w:left w:val="single" w:color="auto" w:sz="4" w:space="0"/>
              <w:right w:val="single" w:color="auto" w:sz="4" w:space="0"/>
            </w:tcBorders>
            <w:vAlign w:val="center"/>
          </w:tcPr>
          <w:p w14:paraId="18529F46">
            <w:pPr>
              <w:spacing w:line="360" w:lineRule="auto"/>
              <w:jc w:val="center"/>
              <w:rPr>
                <w:rFonts w:ascii="宋体" w:hAnsi="宋体" w:cs="宋体"/>
                <w:color w:val="auto"/>
                <w:sz w:val="28"/>
                <w:szCs w:val="28"/>
              </w:rPr>
            </w:pPr>
            <w:r>
              <w:rPr>
                <w:rFonts w:hint="eastAsia" w:ascii="宋体" w:hAnsi="宋体" w:cs="宋体"/>
                <w:color w:val="auto"/>
                <w:sz w:val="28"/>
                <w:szCs w:val="28"/>
              </w:rPr>
              <w:t>3</w:t>
            </w:r>
          </w:p>
        </w:tc>
        <w:tc>
          <w:tcPr>
            <w:tcW w:w="1423" w:type="pct"/>
            <w:tcBorders>
              <w:top w:val="single" w:color="auto" w:sz="4" w:space="0"/>
              <w:left w:val="single" w:color="auto" w:sz="4" w:space="0"/>
              <w:right w:val="single" w:color="auto" w:sz="4" w:space="0"/>
            </w:tcBorders>
            <w:vAlign w:val="center"/>
          </w:tcPr>
          <w:p w14:paraId="34B4F807">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right w:val="single" w:color="auto" w:sz="4" w:space="0"/>
            </w:tcBorders>
            <w:vAlign w:val="center"/>
          </w:tcPr>
          <w:p w14:paraId="1D9BF5D8">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03331605">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59E07A48">
            <w:pPr>
              <w:spacing w:line="360" w:lineRule="auto"/>
              <w:jc w:val="center"/>
              <w:rPr>
                <w:rFonts w:ascii="宋体" w:hAnsi="宋体" w:cs="宋体"/>
                <w:color w:val="auto"/>
                <w:sz w:val="28"/>
                <w:szCs w:val="28"/>
              </w:rPr>
            </w:pPr>
          </w:p>
        </w:tc>
      </w:tr>
      <w:tr w14:paraId="26CDC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30" w:hRule="atLeast"/>
          <w:jc w:val="center"/>
        </w:trPr>
        <w:tc>
          <w:tcPr>
            <w:tcW w:w="718" w:type="pct"/>
            <w:tcBorders>
              <w:top w:val="single" w:color="auto" w:sz="4" w:space="0"/>
              <w:left w:val="single" w:color="auto" w:sz="4" w:space="0"/>
              <w:right w:val="single" w:color="auto" w:sz="4" w:space="0"/>
            </w:tcBorders>
            <w:vAlign w:val="center"/>
          </w:tcPr>
          <w:p w14:paraId="49A899A5">
            <w:pPr>
              <w:spacing w:line="360" w:lineRule="auto"/>
              <w:jc w:val="center"/>
              <w:rPr>
                <w:rFonts w:ascii="宋体" w:hAnsi="宋体" w:cs="宋体"/>
                <w:color w:val="auto"/>
                <w:sz w:val="28"/>
                <w:szCs w:val="28"/>
              </w:rPr>
            </w:pPr>
            <w:r>
              <w:rPr>
                <w:rFonts w:hint="eastAsia" w:ascii="宋体" w:hAnsi="宋体" w:cs="宋体"/>
                <w:color w:val="auto"/>
                <w:sz w:val="28"/>
                <w:szCs w:val="28"/>
              </w:rPr>
              <w:t>4</w:t>
            </w:r>
          </w:p>
        </w:tc>
        <w:tc>
          <w:tcPr>
            <w:tcW w:w="1423" w:type="pct"/>
            <w:tcBorders>
              <w:top w:val="single" w:color="auto" w:sz="4" w:space="0"/>
              <w:left w:val="single" w:color="auto" w:sz="4" w:space="0"/>
              <w:right w:val="single" w:color="auto" w:sz="4" w:space="0"/>
            </w:tcBorders>
            <w:vAlign w:val="center"/>
          </w:tcPr>
          <w:p w14:paraId="641B1AB1">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right w:val="single" w:color="auto" w:sz="4" w:space="0"/>
            </w:tcBorders>
            <w:vAlign w:val="center"/>
          </w:tcPr>
          <w:p w14:paraId="7EDBEAA3">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55C57676">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right w:val="single" w:color="auto" w:sz="4" w:space="0"/>
            </w:tcBorders>
            <w:vAlign w:val="center"/>
          </w:tcPr>
          <w:p w14:paraId="135E6177">
            <w:pPr>
              <w:spacing w:line="360" w:lineRule="auto"/>
              <w:jc w:val="center"/>
              <w:rPr>
                <w:rFonts w:ascii="宋体" w:hAnsi="宋体" w:cs="宋体"/>
                <w:color w:val="auto"/>
                <w:sz w:val="28"/>
                <w:szCs w:val="28"/>
              </w:rPr>
            </w:pPr>
          </w:p>
        </w:tc>
      </w:tr>
      <w:tr w14:paraId="63972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21"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3F90DDA4">
            <w:pPr>
              <w:spacing w:line="360" w:lineRule="auto"/>
              <w:jc w:val="center"/>
              <w:rPr>
                <w:rFonts w:ascii="宋体" w:hAnsi="宋体" w:cs="宋体"/>
                <w:color w:val="auto"/>
                <w:sz w:val="28"/>
                <w:szCs w:val="28"/>
              </w:rPr>
            </w:pPr>
            <w:r>
              <w:rPr>
                <w:rFonts w:hint="eastAsia" w:ascii="宋体" w:hAnsi="宋体" w:cs="宋体"/>
                <w:color w:val="auto"/>
                <w:sz w:val="28"/>
                <w:szCs w:val="28"/>
              </w:rPr>
              <w:t>5</w:t>
            </w:r>
          </w:p>
        </w:tc>
        <w:tc>
          <w:tcPr>
            <w:tcW w:w="1423" w:type="pct"/>
            <w:tcBorders>
              <w:top w:val="single" w:color="auto" w:sz="4" w:space="0"/>
              <w:left w:val="single" w:color="auto" w:sz="4" w:space="0"/>
              <w:bottom w:val="single" w:color="auto" w:sz="4" w:space="0"/>
              <w:right w:val="single" w:color="auto" w:sz="4" w:space="0"/>
            </w:tcBorders>
            <w:vAlign w:val="center"/>
          </w:tcPr>
          <w:p w14:paraId="3393B6F1">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44DE17A3">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173DAB1F">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33DA951C">
            <w:pPr>
              <w:spacing w:line="360" w:lineRule="auto"/>
              <w:jc w:val="center"/>
              <w:rPr>
                <w:rFonts w:ascii="宋体" w:hAnsi="宋体" w:cs="宋体"/>
                <w:color w:val="auto"/>
                <w:sz w:val="28"/>
                <w:szCs w:val="28"/>
              </w:rPr>
            </w:pPr>
          </w:p>
        </w:tc>
      </w:tr>
      <w:tr w14:paraId="1950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16"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39983E69">
            <w:pPr>
              <w:spacing w:line="360" w:lineRule="auto"/>
              <w:jc w:val="center"/>
              <w:rPr>
                <w:rFonts w:ascii="宋体" w:hAnsi="宋体" w:cs="宋体"/>
                <w:color w:val="auto"/>
                <w:sz w:val="28"/>
                <w:szCs w:val="28"/>
              </w:rPr>
            </w:pPr>
            <w:r>
              <w:rPr>
                <w:rFonts w:hint="eastAsia" w:ascii="宋体" w:hAnsi="宋体" w:cs="宋体"/>
                <w:color w:val="auto"/>
                <w:sz w:val="28"/>
                <w:szCs w:val="28"/>
              </w:rPr>
              <w:t>6</w:t>
            </w:r>
          </w:p>
        </w:tc>
        <w:tc>
          <w:tcPr>
            <w:tcW w:w="1423" w:type="pct"/>
            <w:tcBorders>
              <w:top w:val="single" w:color="auto" w:sz="4" w:space="0"/>
              <w:left w:val="single" w:color="auto" w:sz="4" w:space="0"/>
              <w:bottom w:val="single" w:color="auto" w:sz="4" w:space="0"/>
              <w:right w:val="single" w:color="auto" w:sz="4" w:space="0"/>
            </w:tcBorders>
            <w:vAlign w:val="center"/>
          </w:tcPr>
          <w:p w14:paraId="209F09C7">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1046E3A6">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0A980E4E">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06698641">
            <w:pPr>
              <w:spacing w:line="360" w:lineRule="auto"/>
              <w:jc w:val="center"/>
              <w:rPr>
                <w:rFonts w:ascii="宋体" w:hAnsi="宋体" w:cs="宋体"/>
                <w:color w:val="auto"/>
                <w:sz w:val="28"/>
                <w:szCs w:val="28"/>
              </w:rPr>
            </w:pPr>
          </w:p>
        </w:tc>
      </w:tr>
      <w:tr w14:paraId="51587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731" w:hRule="atLeast"/>
          <w:jc w:val="center"/>
        </w:trPr>
        <w:tc>
          <w:tcPr>
            <w:tcW w:w="718" w:type="pct"/>
            <w:tcBorders>
              <w:top w:val="single" w:color="auto" w:sz="4" w:space="0"/>
              <w:left w:val="single" w:color="auto" w:sz="4" w:space="0"/>
              <w:bottom w:val="single" w:color="auto" w:sz="4" w:space="0"/>
              <w:right w:val="single" w:color="auto" w:sz="4" w:space="0"/>
            </w:tcBorders>
            <w:vAlign w:val="center"/>
          </w:tcPr>
          <w:p w14:paraId="316C6B0A">
            <w:pPr>
              <w:spacing w:line="360" w:lineRule="auto"/>
              <w:jc w:val="center"/>
              <w:rPr>
                <w:rFonts w:ascii="宋体" w:hAnsi="宋体" w:cs="宋体"/>
                <w:color w:val="auto"/>
                <w:sz w:val="28"/>
                <w:szCs w:val="28"/>
              </w:rPr>
            </w:pPr>
            <w:r>
              <w:rPr>
                <w:rFonts w:hint="eastAsia" w:ascii="宋体" w:hAnsi="宋体" w:cs="宋体"/>
                <w:color w:val="auto"/>
                <w:sz w:val="28"/>
                <w:szCs w:val="28"/>
              </w:rPr>
              <w:t>...</w:t>
            </w:r>
          </w:p>
        </w:tc>
        <w:tc>
          <w:tcPr>
            <w:tcW w:w="1423" w:type="pct"/>
            <w:tcBorders>
              <w:top w:val="single" w:color="auto" w:sz="4" w:space="0"/>
              <w:left w:val="single" w:color="auto" w:sz="4" w:space="0"/>
              <w:bottom w:val="single" w:color="auto" w:sz="4" w:space="0"/>
              <w:right w:val="single" w:color="auto" w:sz="4" w:space="0"/>
            </w:tcBorders>
            <w:vAlign w:val="center"/>
          </w:tcPr>
          <w:p w14:paraId="27531E53">
            <w:pPr>
              <w:spacing w:line="360" w:lineRule="auto"/>
              <w:jc w:val="center"/>
              <w:rPr>
                <w:rFonts w:ascii="宋体" w:hAnsi="宋体" w:cs="宋体"/>
                <w:color w:val="auto"/>
                <w:sz w:val="28"/>
                <w:szCs w:val="28"/>
              </w:rPr>
            </w:pPr>
          </w:p>
        </w:tc>
        <w:tc>
          <w:tcPr>
            <w:tcW w:w="1423" w:type="pct"/>
            <w:tcBorders>
              <w:top w:val="single" w:color="auto" w:sz="4" w:space="0"/>
              <w:left w:val="single" w:color="auto" w:sz="4" w:space="0"/>
              <w:bottom w:val="single" w:color="auto" w:sz="4" w:space="0"/>
              <w:right w:val="single" w:color="auto" w:sz="4" w:space="0"/>
            </w:tcBorders>
            <w:vAlign w:val="center"/>
          </w:tcPr>
          <w:p w14:paraId="3ABF18C4">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5025DD09">
            <w:pPr>
              <w:spacing w:line="360" w:lineRule="auto"/>
              <w:jc w:val="center"/>
              <w:rPr>
                <w:rFonts w:ascii="宋体" w:hAnsi="宋体" w:cs="宋体"/>
                <w:color w:val="auto"/>
                <w:sz w:val="28"/>
                <w:szCs w:val="28"/>
              </w:rPr>
            </w:pPr>
          </w:p>
        </w:tc>
        <w:tc>
          <w:tcPr>
            <w:tcW w:w="718" w:type="pct"/>
            <w:tcBorders>
              <w:top w:val="single" w:color="auto" w:sz="4" w:space="0"/>
              <w:left w:val="single" w:color="auto" w:sz="4" w:space="0"/>
              <w:bottom w:val="single" w:color="auto" w:sz="4" w:space="0"/>
              <w:right w:val="single" w:color="auto" w:sz="4" w:space="0"/>
            </w:tcBorders>
            <w:vAlign w:val="center"/>
          </w:tcPr>
          <w:p w14:paraId="579D8732">
            <w:pPr>
              <w:spacing w:line="360" w:lineRule="auto"/>
              <w:jc w:val="center"/>
              <w:rPr>
                <w:rFonts w:ascii="宋体" w:hAnsi="宋体" w:cs="宋体"/>
                <w:color w:val="auto"/>
                <w:sz w:val="28"/>
                <w:szCs w:val="28"/>
              </w:rPr>
            </w:pPr>
          </w:p>
        </w:tc>
      </w:tr>
    </w:tbl>
    <w:p w14:paraId="4FFCEA60">
      <w:pPr>
        <w:spacing w:line="360" w:lineRule="auto"/>
        <w:rPr>
          <w:rFonts w:ascii="宋体" w:hAnsi="宋体" w:cs="宋体"/>
          <w:color w:val="auto"/>
          <w:sz w:val="28"/>
          <w:szCs w:val="28"/>
        </w:rPr>
      </w:pPr>
    </w:p>
    <w:p w14:paraId="1868E629">
      <w:pPr>
        <w:spacing w:line="360" w:lineRule="auto"/>
        <w:rPr>
          <w:rFonts w:ascii="宋体" w:hAnsi="宋体" w:cs="宋体"/>
          <w:color w:val="auto"/>
          <w:sz w:val="28"/>
          <w:szCs w:val="28"/>
        </w:rPr>
      </w:pPr>
      <w:r>
        <w:rPr>
          <w:rFonts w:hint="eastAsia" w:ascii="宋体" w:hAnsi="宋体" w:cs="宋体"/>
          <w:color w:val="auto"/>
          <w:sz w:val="28"/>
          <w:szCs w:val="28"/>
        </w:rPr>
        <w:t>注:（1）是否偏离用符号“+、=、-”分别表示正偏离、完全响应、负偏离。</w:t>
      </w:r>
    </w:p>
    <w:p w14:paraId="0B52682C">
      <w:pPr>
        <w:spacing w:line="360" w:lineRule="auto"/>
        <w:ind w:firstLine="420"/>
        <w:rPr>
          <w:rFonts w:ascii="宋体" w:hAnsi="宋体" w:cs="宋体"/>
          <w:color w:val="auto"/>
          <w:sz w:val="28"/>
          <w:szCs w:val="28"/>
        </w:rPr>
      </w:pPr>
      <w:r>
        <w:rPr>
          <w:rFonts w:hint="eastAsia" w:ascii="宋体" w:hAnsi="宋体" w:cs="宋体"/>
          <w:color w:val="auto"/>
          <w:sz w:val="28"/>
          <w:szCs w:val="28"/>
        </w:rPr>
        <w:t>（2）投标人必须仔细阅读本招标文件，并将响应情况及偏离情况逐项填入上表。</w:t>
      </w:r>
    </w:p>
    <w:p w14:paraId="73731914">
      <w:pPr>
        <w:spacing w:line="440" w:lineRule="exact"/>
        <w:ind w:firstLine="480"/>
        <w:rPr>
          <w:rFonts w:ascii="宋体" w:hAnsi="宋体" w:cs="宋体"/>
          <w:bCs/>
          <w:color w:val="auto"/>
          <w:sz w:val="32"/>
        </w:rPr>
      </w:pPr>
    </w:p>
    <w:bookmarkEnd w:id="38"/>
    <w:p w14:paraId="22170CB4">
      <w:pPr>
        <w:spacing w:line="480" w:lineRule="exact"/>
        <w:rPr>
          <w:rFonts w:ascii="宋体" w:hAnsi="宋体" w:cs="仿宋"/>
          <w:color w:val="auto"/>
          <w:sz w:val="28"/>
          <w:szCs w:val="28"/>
        </w:rPr>
      </w:pPr>
      <w:r>
        <w:rPr>
          <w:rFonts w:hint="eastAsia" w:ascii="宋体" w:hAnsi="宋体" w:cs="仿宋"/>
          <w:color w:val="auto"/>
          <w:sz w:val="28"/>
          <w:szCs w:val="28"/>
        </w:rPr>
        <w:t>投标人：</w:t>
      </w:r>
      <w:r>
        <w:rPr>
          <w:rFonts w:hint="eastAsia" w:ascii="宋体" w:hAnsi="宋体" w:cs="仿宋"/>
          <w:color w:val="auto"/>
          <w:sz w:val="28"/>
          <w:szCs w:val="28"/>
          <w:u w:val="single"/>
        </w:rPr>
        <w:t xml:space="preserve">     （</w:t>
      </w:r>
      <w:r>
        <w:rPr>
          <w:rFonts w:hint="eastAsia" w:ascii="宋体" w:hAnsi="宋体" w:cs="仿宋"/>
          <w:color w:val="auto"/>
          <w:sz w:val="28"/>
          <w:szCs w:val="28"/>
          <w:u w:val="single"/>
          <w:lang w:val="en-US" w:eastAsia="zh-CN"/>
        </w:rPr>
        <w:t>电子签章</w:t>
      </w:r>
      <w:r>
        <w:rPr>
          <w:rFonts w:hint="eastAsia" w:ascii="宋体" w:hAnsi="宋体" w:cs="仿宋"/>
          <w:color w:val="auto"/>
          <w:sz w:val="28"/>
          <w:szCs w:val="28"/>
          <w:u w:val="single"/>
        </w:rPr>
        <w:t xml:space="preserve">）     </w:t>
      </w:r>
    </w:p>
    <w:p w14:paraId="694F17C6">
      <w:pPr>
        <w:spacing w:line="480" w:lineRule="exact"/>
        <w:rPr>
          <w:rFonts w:ascii="宋体" w:hAnsi="宋体" w:cs="仿宋"/>
          <w:color w:val="auto"/>
          <w:sz w:val="28"/>
          <w:szCs w:val="28"/>
        </w:rPr>
      </w:pPr>
      <w:r>
        <w:rPr>
          <w:rFonts w:hint="eastAsia" w:ascii="宋体" w:hAnsi="宋体" w:cs="仿宋"/>
          <w:color w:val="auto"/>
          <w:sz w:val="28"/>
          <w:szCs w:val="28"/>
        </w:rPr>
        <w:t>法定代表人或其委托受托人</w:t>
      </w:r>
      <w:r>
        <w:rPr>
          <w:rFonts w:hint="eastAsia" w:ascii="宋体" w:hAnsi="宋体" w:cs="仿宋"/>
          <w:color w:val="auto"/>
          <w:sz w:val="28"/>
          <w:szCs w:val="28"/>
          <w:lang w:eastAsia="zh-CN"/>
        </w:rPr>
        <w:t>（</w:t>
      </w:r>
      <w:r>
        <w:rPr>
          <w:rFonts w:hint="eastAsia" w:ascii="宋体" w:hAnsi="宋体" w:cs="仿宋"/>
          <w:color w:val="auto"/>
          <w:sz w:val="28"/>
          <w:szCs w:val="28"/>
        </w:rPr>
        <w:t>签字或</w:t>
      </w:r>
      <w:r>
        <w:rPr>
          <w:rFonts w:hint="eastAsia" w:ascii="宋体" w:hAnsi="宋体" w:cs="仿宋"/>
          <w:color w:val="auto"/>
          <w:sz w:val="28"/>
          <w:szCs w:val="28"/>
          <w:lang w:val="en-US" w:eastAsia="zh-CN"/>
        </w:rPr>
        <w:t>签章</w:t>
      </w:r>
      <w:r>
        <w:rPr>
          <w:rFonts w:hint="eastAsia" w:ascii="宋体" w:hAnsi="宋体" w:cs="仿宋"/>
          <w:color w:val="auto"/>
          <w:sz w:val="28"/>
          <w:szCs w:val="28"/>
          <w:lang w:eastAsia="zh-CN"/>
        </w:rPr>
        <w:t>）</w:t>
      </w:r>
      <w:r>
        <w:rPr>
          <w:rFonts w:hint="eastAsia" w:ascii="宋体" w:hAnsi="宋体" w:cs="仿宋"/>
          <w:color w:val="auto"/>
          <w:sz w:val="28"/>
          <w:szCs w:val="28"/>
        </w:rPr>
        <w:t>：</w:t>
      </w:r>
      <w:r>
        <w:rPr>
          <w:rFonts w:hint="eastAsia" w:ascii="宋体" w:hAnsi="宋体" w:cs="仿宋"/>
          <w:color w:val="auto"/>
          <w:sz w:val="28"/>
          <w:szCs w:val="28"/>
          <w:u w:val="single"/>
        </w:rPr>
        <w:t xml:space="preserve">               </w:t>
      </w:r>
    </w:p>
    <w:p w14:paraId="1A500496">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8"/>
          <w:szCs w:val="28"/>
        </w:rPr>
      </w:pPr>
    </w:p>
    <w:p w14:paraId="0ACCB96D">
      <w:pPr>
        <w:pBdr>
          <w:top w:val="none" w:color="000000" w:sz="0" w:space="0"/>
          <w:left w:val="none" w:color="000000" w:sz="0" w:space="0"/>
          <w:bottom w:val="none" w:color="000000" w:sz="0" w:space="0"/>
          <w:right w:val="none" w:color="000000" w:sz="0" w:space="0"/>
        </w:pBdr>
        <w:spacing w:line="418" w:lineRule="atLeast"/>
        <w:ind w:left="420" w:firstLine="480"/>
        <w:jc w:val="right"/>
        <w:rPr>
          <w:rFonts w:ascii="宋体" w:hAnsi="宋体" w:cs="宋体"/>
          <w:color w:val="auto"/>
          <w:sz w:val="28"/>
          <w:szCs w:val="28"/>
        </w:rPr>
      </w:pPr>
      <w:r>
        <w:rPr>
          <w:rFonts w:ascii="宋体" w:hAnsi="宋体" w:cs="宋体"/>
          <w:color w:val="auto"/>
          <w:sz w:val="28"/>
          <w:szCs w:val="28"/>
        </w:rPr>
        <w:t>日期：</w:t>
      </w:r>
      <w:r>
        <w:rPr>
          <w:rFonts w:hint="eastAsia" w:ascii="宋体" w:hAnsi="宋体" w:cs="宋体"/>
          <w:color w:val="auto"/>
          <w:sz w:val="28"/>
          <w:szCs w:val="28"/>
        </w:rPr>
        <w:t xml:space="preserve">  </w:t>
      </w:r>
      <w:r>
        <w:rPr>
          <w:rFonts w:ascii="宋体" w:hAnsi="宋体" w:cs="宋体"/>
          <w:color w:val="auto"/>
          <w:sz w:val="28"/>
          <w:szCs w:val="28"/>
        </w:rPr>
        <w:t>年</w:t>
      </w:r>
      <w:r>
        <w:rPr>
          <w:rFonts w:hint="eastAsia" w:ascii="宋体" w:hAnsi="宋体" w:cs="宋体"/>
          <w:color w:val="auto"/>
          <w:sz w:val="28"/>
          <w:szCs w:val="28"/>
        </w:rPr>
        <w:t xml:space="preserve">  </w:t>
      </w:r>
      <w:r>
        <w:rPr>
          <w:rFonts w:ascii="宋体" w:hAnsi="宋体" w:cs="宋体"/>
          <w:color w:val="auto"/>
          <w:sz w:val="28"/>
          <w:szCs w:val="28"/>
        </w:rPr>
        <w:t>月</w:t>
      </w:r>
      <w:r>
        <w:rPr>
          <w:rFonts w:hint="eastAsia" w:ascii="宋体" w:hAnsi="宋体" w:cs="宋体"/>
          <w:color w:val="auto"/>
          <w:sz w:val="28"/>
          <w:szCs w:val="28"/>
        </w:rPr>
        <w:t xml:space="preserve">   </w:t>
      </w:r>
      <w:r>
        <w:rPr>
          <w:rFonts w:ascii="宋体" w:hAnsi="宋体" w:cs="宋体"/>
          <w:color w:val="auto"/>
          <w:sz w:val="28"/>
          <w:szCs w:val="28"/>
        </w:rPr>
        <w:t>日</w:t>
      </w:r>
    </w:p>
    <w:p w14:paraId="10238BA0">
      <w:pPr>
        <w:widowControl/>
        <w:jc w:val="left"/>
        <w:rPr>
          <w:rFonts w:ascii="宋体" w:hAnsi="宋体" w:cs="宋体"/>
          <w:color w:val="auto"/>
          <w:sz w:val="28"/>
          <w:szCs w:val="28"/>
        </w:rPr>
      </w:pPr>
      <w:r>
        <w:rPr>
          <w:rFonts w:ascii="宋体" w:hAnsi="宋体" w:cs="宋体"/>
          <w:color w:val="auto"/>
          <w:sz w:val="28"/>
          <w:szCs w:val="28"/>
        </w:rPr>
        <w:br w:type="page"/>
      </w:r>
    </w:p>
    <w:p w14:paraId="2AA58B6F">
      <w:pPr>
        <w:numPr>
          <w:ilvl w:val="0"/>
          <w:numId w:val="0"/>
        </w:numPr>
        <w:spacing w:before="120" w:beforeLines="50" w:after="120" w:afterLines="50" w:line="360" w:lineRule="auto"/>
        <w:ind w:leftChars="0"/>
        <w:jc w:val="center"/>
        <w:rPr>
          <w:rFonts w:ascii="宋体" w:hAnsi="宋体"/>
          <w:b/>
          <w:bCs/>
          <w:color w:val="auto"/>
          <w:szCs w:val="32"/>
        </w:rPr>
      </w:pPr>
      <w:r>
        <w:rPr>
          <w:rFonts w:hint="eastAsia" w:ascii="宋体" w:hAnsi="宋体"/>
          <w:b/>
          <w:bCs/>
          <w:color w:val="auto"/>
          <w:sz w:val="36"/>
          <w:szCs w:val="36"/>
          <w:lang w:val="en-US" w:eastAsia="zh-CN"/>
        </w:rPr>
        <w:t>五、</w:t>
      </w:r>
      <w:r>
        <w:rPr>
          <w:rFonts w:hint="eastAsia" w:ascii="宋体" w:hAnsi="宋体"/>
          <w:b/>
          <w:bCs/>
          <w:color w:val="auto"/>
          <w:sz w:val="36"/>
          <w:szCs w:val="36"/>
        </w:rPr>
        <w:t>资质审查时投标人必须提供的资格证明文件</w:t>
      </w:r>
    </w:p>
    <w:p w14:paraId="14B248A0">
      <w:pPr>
        <w:wordWrap w:val="0"/>
        <w:spacing w:line="360" w:lineRule="auto"/>
        <w:ind w:firstLine="560" w:firstLineChars="200"/>
        <w:jc w:val="left"/>
        <w:rPr>
          <w:rFonts w:ascii="宋体" w:hAnsi="宋体"/>
          <w:color w:val="auto"/>
          <w:sz w:val="28"/>
          <w:szCs w:val="28"/>
        </w:rPr>
      </w:pPr>
      <w:bookmarkStart w:id="39" w:name="_Toc157775454"/>
      <w:r>
        <w:rPr>
          <w:rFonts w:hint="eastAsia" w:ascii="宋体" w:hAnsi="宋体"/>
          <w:color w:val="auto"/>
          <w:sz w:val="28"/>
          <w:szCs w:val="28"/>
        </w:rPr>
        <w:t>1.供应商可任选以下其中1项提供材料，2选1（扫描件上传至电子标书）：</w:t>
      </w:r>
    </w:p>
    <w:p w14:paraId="02CE0986">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（1）法定代表人资格证明（格式按照示范格式一要求）和法定代表人身份证；</w:t>
      </w:r>
    </w:p>
    <w:p w14:paraId="2BE2F1B9">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（2）授权委托书（格式按照示范格式二要求）和受托人身份证；</w:t>
      </w:r>
    </w:p>
    <w:p w14:paraId="3C601C3A">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2.具有独立承担民事责任的能力（提供法人或其他组织的营业执照等证明文件，自然人的身份证明）（扫描件上传至电子标书）；</w:t>
      </w:r>
    </w:p>
    <w:p w14:paraId="4E27A4A0">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3.具有履行合同所必需的设备和专业技术能力（投标人根据履行采购项目合同需要，提供履行合同所必需的设备和专业技术能力的证明材料）（格式按照示范格式四要求，扫描件上传至电子标书）；</w:t>
      </w:r>
    </w:p>
    <w:p w14:paraId="6EC7417E">
      <w:pPr>
        <w:wordWrap w:val="0"/>
        <w:spacing w:line="360" w:lineRule="auto"/>
        <w:ind w:firstLine="560" w:firstLineChars="200"/>
        <w:jc w:val="left"/>
        <w:rPr>
          <w:rFonts w:ascii="宋体" w:hAnsi="宋体"/>
          <w:color w:val="auto"/>
          <w:sz w:val="28"/>
          <w:szCs w:val="28"/>
        </w:rPr>
      </w:pPr>
      <w:r>
        <w:rPr>
          <w:rFonts w:hint="eastAsia" w:ascii="宋体" w:hAnsi="宋体"/>
          <w:color w:val="auto"/>
          <w:sz w:val="28"/>
          <w:szCs w:val="28"/>
        </w:rPr>
        <w:t>4.参加政府采购活动前三年内，在经营活动中没有重大违法记录（提供承诺书）（格式按照示范格式三要求，扫描件上传至电子标书）；</w:t>
      </w:r>
    </w:p>
    <w:p w14:paraId="42AF6310">
      <w:pPr>
        <w:pStyle w:val="90"/>
        <w:numPr>
          <w:ilvl w:val="255"/>
          <w:numId w:val="0"/>
        </w:numPr>
        <w:wordWrap w:val="0"/>
        <w:spacing w:before="0" w:after="0" w:line="360" w:lineRule="auto"/>
        <w:ind w:firstLine="560" w:firstLineChars="200"/>
        <w:rPr>
          <w:rFonts w:ascii="宋体" w:hAnsi="宋体"/>
          <w:color w:val="auto"/>
          <w:sz w:val="28"/>
          <w:lang w:val="zh-CN"/>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供应商未被“信用中国”网（https：//www.creditchina.gov.cn/）列入失信被执行人、重大税收违法案件当事人名单、政府采购严重违法失信行为记录名单。供应商未被“中国政府采购网”（http：//www.ccgp.gov.cn/）列入政府采购严重违法失信行为记录名单（由采购人组织评审小组在资格审查时查询，一旦被查询存在上述失信行为记录名单的，将视为资格审查不通过）。</w:t>
      </w:r>
      <w:r>
        <w:rPr>
          <w:rFonts w:ascii="宋体" w:hAnsi="宋体"/>
          <w:color w:val="auto"/>
          <w:sz w:val="28"/>
          <w:lang w:val="zh-CN"/>
        </w:rPr>
        <w:br w:type="page"/>
      </w:r>
    </w:p>
    <w:p w14:paraId="5C59A19D">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落实政府采购政策需满足的资格要求：</w:t>
      </w:r>
    </w:p>
    <w:p w14:paraId="7599EF2E">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本项目按照以下第</w:t>
      </w:r>
      <w:r>
        <w:rPr>
          <w:rFonts w:hint="eastAsia" w:ascii="宋体" w:hAnsi="宋体"/>
          <w:color w:val="auto"/>
          <w:sz w:val="28"/>
          <w:szCs w:val="28"/>
          <w:u w:val="single"/>
          <w:lang w:val="zh-CN"/>
        </w:rPr>
        <w:t xml:space="preserve"> </w:t>
      </w:r>
      <w:r>
        <w:rPr>
          <w:rFonts w:hint="eastAsia" w:ascii="宋体" w:hAnsi="宋体"/>
          <w:color w:val="auto"/>
          <w:sz w:val="28"/>
          <w:szCs w:val="28"/>
          <w:u w:val="single"/>
        </w:rPr>
        <w:t xml:space="preserve">3 </w:t>
      </w:r>
      <w:r>
        <w:rPr>
          <w:rFonts w:hint="eastAsia" w:ascii="宋体" w:hAnsi="宋体"/>
          <w:color w:val="auto"/>
          <w:sz w:val="28"/>
          <w:szCs w:val="28"/>
          <w:lang w:val="zh-CN"/>
        </w:rPr>
        <w:t>种方式落实政府采购促进中小企业发展的要求：</w:t>
      </w:r>
    </w:p>
    <w:p w14:paraId="565A622B">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3、本项目为非预留份额的采购项目，对小微企业报价给予扣除，用扣除后的价格参加评审，具体详见第二章“投标人须知”。</w:t>
      </w:r>
    </w:p>
    <w:p w14:paraId="301BAE91">
      <w:pPr>
        <w:spacing w:line="360" w:lineRule="auto"/>
        <w:ind w:firstLine="560" w:firstLineChars="200"/>
        <w:rPr>
          <w:rFonts w:ascii="宋体" w:hAnsi="宋体"/>
          <w:color w:val="auto"/>
          <w:sz w:val="28"/>
          <w:szCs w:val="28"/>
          <w:lang w:val="zh-CN"/>
        </w:rPr>
      </w:pPr>
      <w:r>
        <w:rPr>
          <w:rFonts w:hint="eastAsia" w:ascii="宋体" w:hAnsi="宋体"/>
          <w:color w:val="auto"/>
          <w:sz w:val="28"/>
          <w:szCs w:val="28"/>
          <w:lang w:val="zh-CN"/>
        </w:rPr>
        <w:t>注:监狱企业、残疾人福利性单位视同小微企业；符合中小企业划分标准的个体工商户，在政府采购活动中视同中小企业，享受政府采购支持中小企业发展政策。</w:t>
      </w:r>
    </w:p>
    <w:p w14:paraId="0A44D074">
      <w:pPr>
        <w:widowControl/>
        <w:jc w:val="left"/>
        <w:rPr>
          <w:rFonts w:ascii="宋体" w:hAnsi="宋体"/>
          <w:color w:val="auto"/>
          <w:sz w:val="28"/>
          <w:szCs w:val="28"/>
          <w:lang w:val="zh-CN"/>
        </w:rPr>
      </w:pPr>
      <w:r>
        <w:rPr>
          <w:rFonts w:ascii="宋体" w:hAnsi="宋体"/>
          <w:color w:val="auto"/>
          <w:sz w:val="28"/>
          <w:szCs w:val="28"/>
          <w:lang w:val="zh-CN"/>
        </w:rPr>
        <w:br w:type="page"/>
      </w:r>
    </w:p>
    <w:p w14:paraId="3104CFB0">
      <w:pPr>
        <w:rPr>
          <w:rFonts w:ascii="宋体" w:hAnsi="宋体"/>
          <w:color w:val="auto"/>
        </w:rPr>
      </w:pPr>
    </w:p>
    <w:p w14:paraId="20A052B4">
      <w:pPr>
        <w:numPr>
          <w:ilvl w:val="0"/>
          <w:numId w:val="0"/>
        </w:numPr>
        <w:spacing w:before="120" w:beforeLines="50" w:after="120" w:afterLines="50" w:line="360" w:lineRule="auto"/>
        <w:ind w:leftChars="0"/>
        <w:jc w:val="center"/>
        <w:rPr>
          <w:rFonts w:ascii="宋体" w:hAnsi="宋体"/>
          <w:b/>
          <w:bCs/>
          <w:color w:val="auto"/>
          <w:sz w:val="36"/>
          <w:szCs w:val="36"/>
        </w:rPr>
      </w:pPr>
      <w:r>
        <w:rPr>
          <w:rFonts w:hint="eastAsia" w:ascii="宋体" w:hAnsi="宋体"/>
          <w:b/>
          <w:bCs/>
          <w:color w:val="auto"/>
          <w:sz w:val="36"/>
          <w:szCs w:val="36"/>
          <w:lang w:val="en-US" w:eastAsia="zh-CN"/>
        </w:rPr>
        <w:t>六、</w:t>
      </w:r>
      <w:r>
        <w:rPr>
          <w:rFonts w:hint="eastAsia" w:ascii="宋体" w:hAnsi="宋体"/>
          <w:b/>
          <w:bCs/>
          <w:color w:val="auto"/>
          <w:sz w:val="36"/>
          <w:szCs w:val="36"/>
        </w:rPr>
        <w:t>综合评分时投标人需提供的证明文件</w:t>
      </w:r>
    </w:p>
    <w:p w14:paraId="41918CF8">
      <w:pPr>
        <w:spacing w:line="520" w:lineRule="exact"/>
        <w:ind w:firstLine="840"/>
        <w:rPr>
          <w:rFonts w:ascii="宋体" w:hAnsi="宋体" w:cs="楷体_GB2312"/>
          <w:color w:val="auto"/>
          <w:sz w:val="28"/>
          <w:szCs w:val="28"/>
          <w:lang w:val="zh-CN"/>
        </w:rPr>
      </w:pPr>
      <w:r>
        <w:rPr>
          <w:rFonts w:hint="eastAsia" w:ascii="宋体" w:hAnsi="宋体" w:cs="楷体_GB2312"/>
          <w:color w:val="auto"/>
          <w:sz w:val="28"/>
          <w:szCs w:val="28"/>
          <w:lang w:val="zh-CN"/>
        </w:rPr>
        <w:t>（供应商根据第三章评标标准的要求提供相关材料）</w:t>
      </w:r>
    </w:p>
    <w:p w14:paraId="36D690E0">
      <w:pPr>
        <w:widowControl/>
        <w:jc w:val="left"/>
        <w:rPr>
          <w:rFonts w:ascii="宋体" w:hAnsi="宋体" w:cs="楷体_GB2312"/>
          <w:color w:val="auto"/>
          <w:sz w:val="28"/>
          <w:szCs w:val="28"/>
          <w:lang w:val="zh-CN"/>
        </w:rPr>
      </w:pPr>
    </w:p>
    <w:p w14:paraId="07D9EE2C">
      <w:pPr>
        <w:spacing w:line="440" w:lineRule="exact"/>
        <w:ind w:firstLine="2877"/>
        <w:jc w:val="center"/>
        <w:rPr>
          <w:rFonts w:ascii="宋体" w:hAnsi="宋体"/>
          <w:b/>
          <w:color w:val="auto"/>
          <w:sz w:val="36"/>
        </w:rPr>
      </w:pPr>
    </w:p>
    <w:p w14:paraId="70CC69C0">
      <w:pPr>
        <w:numPr>
          <w:ilvl w:val="0"/>
          <w:numId w:val="0"/>
        </w:numPr>
        <w:spacing w:before="120" w:beforeLines="50" w:after="120" w:afterLines="50" w:line="360" w:lineRule="auto"/>
        <w:ind w:leftChars="0"/>
        <w:jc w:val="center"/>
        <w:rPr>
          <w:rFonts w:ascii="宋体" w:hAnsi="宋体"/>
          <w:b/>
          <w:bCs/>
          <w:color w:val="auto"/>
          <w:sz w:val="36"/>
          <w:szCs w:val="36"/>
        </w:rPr>
      </w:pPr>
      <w:r>
        <w:rPr>
          <w:rFonts w:hint="eastAsia" w:ascii="宋体" w:hAnsi="宋体"/>
          <w:b/>
          <w:bCs/>
          <w:color w:val="auto"/>
          <w:sz w:val="36"/>
          <w:szCs w:val="36"/>
          <w:lang w:val="en-US" w:eastAsia="zh-CN"/>
        </w:rPr>
        <w:t>七、</w:t>
      </w:r>
      <w:r>
        <w:rPr>
          <w:rFonts w:hint="eastAsia" w:ascii="宋体" w:hAnsi="宋体"/>
          <w:b/>
          <w:bCs/>
          <w:color w:val="auto"/>
          <w:sz w:val="36"/>
          <w:szCs w:val="36"/>
        </w:rPr>
        <w:t>技术方案（内容格式自拟）</w:t>
      </w:r>
    </w:p>
    <w:p w14:paraId="5EB26716">
      <w:pPr>
        <w:widowControl/>
        <w:jc w:val="left"/>
        <w:rPr>
          <w:rFonts w:ascii="宋体" w:hAnsi="宋体"/>
          <w:b/>
          <w:bCs/>
          <w:color w:val="auto"/>
          <w:sz w:val="36"/>
          <w:szCs w:val="36"/>
        </w:rPr>
      </w:pPr>
      <w:r>
        <w:rPr>
          <w:rFonts w:ascii="宋体" w:hAnsi="宋体"/>
          <w:b/>
          <w:bCs/>
          <w:color w:val="auto"/>
          <w:sz w:val="36"/>
          <w:szCs w:val="36"/>
        </w:rPr>
        <w:br w:type="page"/>
      </w:r>
    </w:p>
    <w:p w14:paraId="7B0D2213">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附件1：示范格式</w:t>
      </w:r>
    </w:p>
    <w:bookmarkEnd w:id="39"/>
    <w:p w14:paraId="23EE8E92">
      <w:pPr>
        <w:spacing w:line="360" w:lineRule="auto"/>
        <w:jc w:val="center"/>
        <w:rPr>
          <w:rFonts w:ascii="宋体" w:hAnsi="宋体" w:cs="楷体_GB2312"/>
          <w:b/>
          <w:bCs/>
          <w:color w:val="auto"/>
          <w:sz w:val="32"/>
          <w:szCs w:val="32"/>
          <w:lang w:val="zh-CN"/>
        </w:rPr>
      </w:pPr>
      <w:r>
        <w:rPr>
          <w:rFonts w:hint="eastAsia" w:ascii="宋体" w:hAnsi="宋体" w:cs="楷体_GB2312"/>
          <w:b/>
          <w:bCs/>
          <w:color w:val="auto"/>
          <w:sz w:val="32"/>
          <w:szCs w:val="32"/>
          <w:lang w:val="zh-CN"/>
        </w:rPr>
        <w:t>法定代表人资格证明</w:t>
      </w:r>
    </w:p>
    <w:p w14:paraId="468E27F1">
      <w:pPr>
        <w:spacing w:line="360" w:lineRule="auto"/>
        <w:jc w:val="center"/>
        <w:rPr>
          <w:rFonts w:ascii="宋体" w:hAnsi="宋体" w:cs="楷体_GB2312"/>
          <w:b/>
          <w:bCs/>
          <w:color w:val="auto"/>
          <w:sz w:val="28"/>
          <w:szCs w:val="28"/>
          <w:lang w:val="zh-CN"/>
        </w:rPr>
      </w:pPr>
    </w:p>
    <w:p w14:paraId="11E0384E">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单位名称：</w:t>
      </w:r>
    </w:p>
    <w:p w14:paraId="61DCC3D4">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地址：</w:t>
      </w:r>
    </w:p>
    <w:p w14:paraId="5DD20664">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姓名：</w:t>
      </w: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性别：</w:t>
      </w: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年龄：</w:t>
      </w: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 xml:space="preserve">职务：    </w:t>
      </w:r>
    </w:p>
    <w:p w14:paraId="6A6AD57C">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系</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（投标人单位名称） </w:t>
      </w:r>
      <w:r>
        <w:rPr>
          <w:rFonts w:hint="eastAsia" w:ascii="宋体" w:hAnsi="宋体" w:cs="楷体_GB2312"/>
          <w:color w:val="auto"/>
          <w:sz w:val="28"/>
          <w:szCs w:val="28"/>
          <w:lang w:val="zh-CN"/>
        </w:rPr>
        <w:t>的法定代表人。</w:t>
      </w:r>
      <w:r>
        <w:rPr>
          <w:rFonts w:hint="eastAsia" w:ascii="宋体" w:hAnsi="宋体"/>
          <w:color w:val="auto"/>
          <w:sz w:val="28"/>
        </w:rPr>
        <w:t>为参与</w:t>
      </w:r>
      <w:r>
        <w:rPr>
          <w:rFonts w:hint="eastAsia" w:ascii="宋体" w:hAnsi="宋体"/>
          <w:color w:val="auto"/>
          <w:sz w:val="28"/>
          <w:u w:val="single"/>
        </w:rPr>
        <w:t xml:space="preserve">             </w:t>
      </w:r>
      <w:r>
        <w:rPr>
          <w:rFonts w:hint="eastAsia" w:ascii="宋体" w:hAnsi="宋体"/>
          <w:color w:val="auto"/>
          <w:sz w:val="28"/>
        </w:rPr>
        <w:t>项目，签署上述项目的投标文件、进行招标、签署合同和处理与之有关的一切事务。</w:t>
      </w:r>
    </w:p>
    <w:p w14:paraId="7C5457FD">
      <w:pPr>
        <w:spacing w:line="360" w:lineRule="auto"/>
        <w:ind w:firstLine="560" w:firstLineChars="200"/>
        <w:rPr>
          <w:rFonts w:ascii="宋体" w:hAnsi="宋体" w:cs="楷体_GB2312"/>
          <w:color w:val="auto"/>
          <w:sz w:val="28"/>
          <w:szCs w:val="28"/>
          <w:lang w:val="zh-CN"/>
        </w:rPr>
      </w:pPr>
    </w:p>
    <w:p w14:paraId="4AC08B8E">
      <w:pPr>
        <w:spacing w:line="360" w:lineRule="auto"/>
        <w:rPr>
          <w:rFonts w:ascii="宋体" w:hAnsi="宋体" w:cs="楷体_GB2312"/>
          <w:color w:val="auto"/>
          <w:sz w:val="28"/>
          <w:szCs w:val="28"/>
          <w:lang w:val="zh-CN"/>
        </w:rPr>
      </w:pPr>
      <w:r>
        <w:rPr>
          <w:rFonts w:hint="eastAsia" w:ascii="宋体" w:hAnsi="宋体" w:cs="楷体_GB2312"/>
          <w:color w:val="auto"/>
          <w:sz w:val="28"/>
          <w:szCs w:val="28"/>
          <w:lang w:val="zh-CN"/>
        </w:rPr>
        <w:t>特此证明。</w:t>
      </w:r>
    </w:p>
    <w:p w14:paraId="12159BE9">
      <w:pPr>
        <w:spacing w:line="360" w:lineRule="auto"/>
        <w:rPr>
          <w:rFonts w:ascii="宋体" w:hAnsi="宋体" w:cs="楷体_GB2312"/>
          <w:color w:val="auto"/>
          <w:sz w:val="28"/>
          <w:szCs w:val="28"/>
          <w:lang w:val="zh-CN"/>
        </w:rPr>
      </w:pPr>
    </w:p>
    <w:p w14:paraId="57E433AF">
      <w:pPr>
        <w:spacing w:line="360" w:lineRule="auto"/>
        <w:rPr>
          <w:rFonts w:ascii="宋体" w:hAnsi="宋体" w:cs="楷体_GB2312"/>
          <w:color w:val="auto"/>
          <w:sz w:val="28"/>
          <w:szCs w:val="28"/>
          <w:lang w:val="zh-CN"/>
        </w:rPr>
      </w:pPr>
    </w:p>
    <w:p w14:paraId="1690EC1D">
      <w:pPr>
        <w:spacing w:line="360" w:lineRule="auto"/>
        <w:jc w:val="right"/>
        <w:rPr>
          <w:rFonts w:ascii="宋体" w:hAnsi="宋体" w:cs="楷体_GB2312"/>
          <w:color w:val="auto"/>
          <w:sz w:val="28"/>
          <w:szCs w:val="28"/>
          <w:lang w:val="zh-CN"/>
        </w:rPr>
      </w:pPr>
      <w:r>
        <w:rPr>
          <w:rFonts w:hint="eastAsia" w:ascii="宋体" w:hAnsi="宋体" w:cs="楷体_GB2312"/>
          <w:color w:val="auto"/>
          <w:sz w:val="28"/>
          <w:szCs w:val="28"/>
          <w:lang w:val="zh-CN"/>
        </w:rPr>
        <w:t>投标人：</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（电子签章）</w:t>
      </w:r>
    </w:p>
    <w:p w14:paraId="50BED87F">
      <w:pPr>
        <w:spacing w:line="360" w:lineRule="auto"/>
        <w:jc w:val="right"/>
        <w:rPr>
          <w:rFonts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0EB19EA9">
      <w:pPr>
        <w:spacing w:line="640" w:lineRule="exact"/>
        <w:ind w:firstLine="560"/>
        <w:rPr>
          <w:rFonts w:ascii="宋体" w:hAnsi="宋体" w:cs="楷体_GB2312"/>
          <w:color w:val="auto"/>
          <w:sz w:val="28"/>
          <w:szCs w:val="28"/>
          <w:lang w:val="zh-CN"/>
        </w:rPr>
      </w:pPr>
    </w:p>
    <w:p w14:paraId="2309CE2D">
      <w:pPr>
        <w:spacing w:line="360" w:lineRule="auto"/>
        <w:ind w:firstLine="480" w:firstLineChars="200"/>
        <w:jc w:val="left"/>
        <w:rPr>
          <w:rFonts w:ascii="宋体" w:hAnsi="宋体"/>
          <w:bCs/>
          <w:color w:val="auto"/>
          <w:sz w:val="24"/>
        </w:rPr>
      </w:pPr>
      <w:r>
        <w:rPr>
          <w:rFonts w:hint="eastAsia" w:ascii="宋体" w:hAnsi="宋体"/>
          <w:bCs/>
          <w:color w:val="auto"/>
          <w:sz w:val="24"/>
          <w:szCs w:val="22"/>
        </w:rPr>
        <w:t>注：投标人法定代表人</w:t>
      </w:r>
      <w:r>
        <w:rPr>
          <w:rFonts w:hint="eastAsia" w:ascii="宋体" w:hAnsi="宋体"/>
          <w:bCs/>
          <w:color w:val="auto"/>
          <w:sz w:val="24"/>
        </w:rPr>
        <w:t>参加投标的，必须附</w:t>
      </w:r>
      <w:r>
        <w:rPr>
          <w:rFonts w:hint="eastAsia" w:ascii="宋体" w:hAnsi="宋体"/>
          <w:bCs/>
          <w:color w:val="auto"/>
          <w:sz w:val="24"/>
          <w:szCs w:val="22"/>
        </w:rPr>
        <w:t>法定代表人</w:t>
      </w:r>
      <w:r>
        <w:rPr>
          <w:rFonts w:hint="eastAsia" w:ascii="宋体" w:hAnsi="宋体"/>
          <w:bCs/>
          <w:color w:val="auto"/>
          <w:sz w:val="24"/>
        </w:rPr>
        <w:t>身份证扫描件加盖投标人电子签章。</w:t>
      </w:r>
      <w:r>
        <w:rPr>
          <w:rFonts w:hint="eastAsia" w:ascii="宋体" w:hAnsi="宋体"/>
          <w:color w:val="auto"/>
          <w:sz w:val="24"/>
        </w:rPr>
        <w:t>法定代表人授权其他人参加投标的，仅需填写“授权委托书”。</w:t>
      </w:r>
    </w:p>
    <w:p w14:paraId="355D41B5">
      <w:pPr>
        <w:widowControl/>
        <w:jc w:val="left"/>
        <w:rPr>
          <w:rFonts w:ascii="宋体" w:hAnsi="宋体"/>
          <w:b/>
          <w:color w:val="auto"/>
          <w:sz w:val="32"/>
        </w:rPr>
      </w:pPr>
    </w:p>
    <w:p w14:paraId="4A1CB838">
      <w:pPr>
        <w:widowControl/>
        <w:jc w:val="left"/>
        <w:rPr>
          <w:rFonts w:hint="eastAsia" w:ascii="宋体" w:hAnsi="宋体" w:eastAsia="宋体" w:cs="宋体"/>
          <w:b/>
          <w:color w:val="auto"/>
          <w:sz w:val="24"/>
          <w:szCs w:val="24"/>
        </w:rPr>
      </w:pPr>
    </w:p>
    <w:p w14:paraId="0241C97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备注一：如果我公司（单位）中标，请按以下信息寄送中标通知书</w:t>
      </w:r>
    </w:p>
    <w:p w14:paraId="4653CD09">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p>
    <w:p w14:paraId="71541A7D">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寄送地址：</w:t>
      </w:r>
      <w:r>
        <w:rPr>
          <w:rFonts w:hint="eastAsia" w:ascii="宋体" w:hAnsi="宋体" w:eastAsia="宋体" w:cs="宋体"/>
          <w:color w:val="auto"/>
          <w:sz w:val="24"/>
          <w:szCs w:val="24"/>
          <w:u w:val="single"/>
        </w:rPr>
        <w:t>                </w:t>
      </w:r>
    </w:p>
    <w:p w14:paraId="221776D1">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w:t>
      </w:r>
    </w:p>
    <w:p w14:paraId="5C92A67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rPr>
      </w:pPr>
      <w:r>
        <w:rPr>
          <w:color w:val="auto"/>
        </w:rPr>
        <w:t> </w:t>
      </w:r>
    </w:p>
    <w:p w14:paraId="4A376844">
      <w:pPr>
        <w:widowControl/>
        <w:jc w:val="left"/>
        <w:rPr>
          <w:rFonts w:ascii="宋体" w:hAnsi="宋体"/>
          <w:b/>
          <w:color w:val="auto"/>
          <w:sz w:val="32"/>
        </w:rPr>
      </w:pPr>
      <w:r>
        <w:rPr>
          <w:rFonts w:ascii="宋体" w:hAnsi="宋体"/>
          <w:b/>
          <w:color w:val="auto"/>
          <w:sz w:val="32"/>
        </w:rPr>
        <w:br w:type="page"/>
      </w:r>
    </w:p>
    <w:p w14:paraId="6A59FE44">
      <w:pPr>
        <w:spacing w:before="120" w:beforeLines="50" w:after="120" w:afterLines="50" w:line="360" w:lineRule="auto"/>
        <w:rPr>
          <w:rFonts w:ascii="宋体" w:hAnsi="宋体"/>
          <w:b/>
          <w:bCs/>
          <w:color w:val="auto"/>
          <w:sz w:val="32"/>
        </w:rPr>
      </w:pPr>
      <w:r>
        <w:rPr>
          <w:rFonts w:hint="eastAsia" w:ascii="宋体" w:hAnsi="宋体"/>
          <w:b/>
          <w:bCs/>
          <w:color w:val="auto"/>
          <w:sz w:val="32"/>
          <w:szCs w:val="32"/>
        </w:rPr>
        <w:t>附件2：示范格式</w:t>
      </w:r>
    </w:p>
    <w:p w14:paraId="25C8D333">
      <w:pPr>
        <w:spacing w:line="360" w:lineRule="auto"/>
        <w:jc w:val="center"/>
        <w:rPr>
          <w:rFonts w:ascii="宋体" w:hAnsi="宋体"/>
          <w:b/>
          <w:bCs/>
          <w:color w:val="auto"/>
          <w:sz w:val="32"/>
        </w:rPr>
      </w:pPr>
      <w:r>
        <w:rPr>
          <w:rFonts w:hint="eastAsia" w:ascii="宋体" w:hAnsi="宋体"/>
          <w:b/>
          <w:bCs/>
          <w:color w:val="auto"/>
          <w:sz w:val="32"/>
        </w:rPr>
        <w:t>授权委托书</w:t>
      </w:r>
    </w:p>
    <w:p w14:paraId="54219406">
      <w:pPr>
        <w:spacing w:line="360" w:lineRule="auto"/>
        <w:jc w:val="center"/>
        <w:rPr>
          <w:rFonts w:ascii="宋体" w:hAnsi="宋体"/>
          <w:b/>
          <w:bCs/>
          <w:color w:val="auto"/>
          <w:sz w:val="28"/>
        </w:rPr>
      </w:pPr>
    </w:p>
    <w:p w14:paraId="245B2285">
      <w:pPr>
        <w:spacing w:line="520" w:lineRule="exact"/>
        <w:rPr>
          <w:rFonts w:ascii="宋体" w:hAnsi="宋体"/>
          <w:bCs/>
          <w:color w:val="auto"/>
          <w:sz w:val="28"/>
          <w:szCs w:val="28"/>
          <w:u w:val="single"/>
        </w:rPr>
      </w:pPr>
      <w:r>
        <w:rPr>
          <w:rFonts w:hint="eastAsia" w:ascii="宋体" w:hAnsi="宋体"/>
          <w:bCs/>
          <w:color w:val="auto"/>
          <w:sz w:val="28"/>
          <w:szCs w:val="28"/>
        </w:rPr>
        <w:t>致招标人：</w:t>
      </w:r>
      <w:r>
        <w:rPr>
          <w:rFonts w:hint="eastAsia" w:ascii="宋体" w:hAnsi="宋体"/>
          <w:bCs/>
          <w:color w:val="auto"/>
          <w:sz w:val="28"/>
          <w:szCs w:val="28"/>
          <w:u w:val="single"/>
        </w:rPr>
        <w:t xml:space="preserve">            </w:t>
      </w:r>
    </w:p>
    <w:p w14:paraId="57481DBC">
      <w:pPr>
        <w:spacing w:line="520" w:lineRule="exact"/>
        <w:rPr>
          <w:rFonts w:ascii="宋体" w:hAnsi="宋体"/>
          <w:color w:val="auto"/>
          <w:sz w:val="28"/>
          <w:szCs w:val="28"/>
        </w:rPr>
      </w:pPr>
      <w:r>
        <w:rPr>
          <w:rFonts w:hint="eastAsia" w:ascii="宋体" w:hAnsi="宋体"/>
          <w:color w:val="auto"/>
          <w:sz w:val="28"/>
          <w:szCs w:val="28"/>
        </w:rPr>
        <w:t>本授权书宣告：</w:t>
      </w:r>
    </w:p>
    <w:p w14:paraId="04A991D6">
      <w:pPr>
        <w:spacing w:line="520" w:lineRule="exact"/>
        <w:rPr>
          <w:rFonts w:ascii="宋体" w:hAnsi="宋体"/>
          <w:color w:val="auto"/>
          <w:sz w:val="28"/>
          <w:szCs w:val="28"/>
        </w:rPr>
      </w:pPr>
      <w:r>
        <w:rPr>
          <w:rFonts w:hint="eastAsia" w:ascii="宋体" w:hAnsi="宋体"/>
          <w:color w:val="auto"/>
          <w:sz w:val="28"/>
          <w:szCs w:val="28"/>
        </w:rPr>
        <w:t>委托方:</w:t>
      </w:r>
      <w:r>
        <w:rPr>
          <w:rFonts w:hint="eastAsia" w:ascii="宋体" w:hAnsi="宋体"/>
          <w:color w:val="auto"/>
          <w:sz w:val="28"/>
          <w:szCs w:val="28"/>
          <w:u w:val="single"/>
        </w:rPr>
        <w:t xml:space="preserve">               </w:t>
      </w:r>
      <w:r>
        <w:rPr>
          <w:rFonts w:hint="eastAsia" w:ascii="宋体" w:hAnsi="宋体"/>
          <w:color w:val="auto"/>
          <w:sz w:val="28"/>
          <w:szCs w:val="28"/>
        </w:rPr>
        <w:t>地址:</w:t>
      </w:r>
      <w:r>
        <w:rPr>
          <w:rFonts w:hint="eastAsia" w:ascii="宋体" w:hAnsi="宋体"/>
          <w:color w:val="auto"/>
          <w:sz w:val="28"/>
          <w:szCs w:val="28"/>
          <w:u w:val="single"/>
        </w:rPr>
        <w:t xml:space="preserve">                        </w:t>
      </w:r>
    </w:p>
    <w:p w14:paraId="784C7EBA">
      <w:pPr>
        <w:spacing w:line="520" w:lineRule="exact"/>
        <w:rPr>
          <w:rFonts w:ascii="宋体" w:hAnsi="宋体"/>
          <w:color w:val="auto"/>
          <w:sz w:val="28"/>
          <w:szCs w:val="28"/>
          <w:u w:val="single"/>
        </w:rPr>
      </w:pPr>
      <w:r>
        <w:rPr>
          <w:rFonts w:hint="eastAsia" w:ascii="宋体" w:hAnsi="宋体"/>
          <w:color w:val="auto"/>
          <w:sz w:val="28"/>
          <w:szCs w:val="28"/>
        </w:rPr>
        <w:t>法定代表人:</w:t>
      </w:r>
      <w:r>
        <w:rPr>
          <w:rFonts w:hint="eastAsia" w:ascii="宋体" w:hAnsi="宋体"/>
          <w:color w:val="auto"/>
          <w:sz w:val="28"/>
          <w:szCs w:val="28"/>
          <w:u w:val="single"/>
        </w:rPr>
        <w:t xml:space="preserve">                                        </w:t>
      </w:r>
    </w:p>
    <w:p w14:paraId="29A6AA6B">
      <w:pPr>
        <w:spacing w:line="520" w:lineRule="exact"/>
        <w:rPr>
          <w:rFonts w:ascii="宋体" w:hAnsi="宋体"/>
          <w:color w:val="auto"/>
          <w:sz w:val="28"/>
          <w:szCs w:val="28"/>
        </w:rPr>
      </w:pPr>
      <w:r>
        <w:rPr>
          <w:rFonts w:hint="eastAsia" w:ascii="宋体" w:hAnsi="宋体"/>
          <w:color w:val="auto"/>
          <w:sz w:val="28"/>
          <w:szCs w:val="28"/>
        </w:rPr>
        <w:t>受托人:姓名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 xml:space="preserve"> 出生日期: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79E4A6A8">
      <w:pPr>
        <w:spacing w:line="520" w:lineRule="exact"/>
        <w:rPr>
          <w:rFonts w:ascii="宋体" w:hAnsi="宋体"/>
          <w:color w:val="auto"/>
          <w:sz w:val="28"/>
          <w:szCs w:val="28"/>
        </w:rPr>
      </w:pPr>
      <w:r>
        <w:rPr>
          <w:rFonts w:hint="eastAsia" w:ascii="宋体" w:hAnsi="宋体"/>
          <w:color w:val="auto"/>
          <w:sz w:val="28"/>
          <w:szCs w:val="28"/>
        </w:rPr>
        <w:t>所在单位:</w:t>
      </w:r>
      <w:r>
        <w:rPr>
          <w:rFonts w:hint="eastAsia" w:ascii="宋体" w:hAnsi="宋体"/>
          <w:color w:val="auto"/>
          <w:sz w:val="28"/>
          <w:szCs w:val="28"/>
          <w:u w:val="single"/>
        </w:rPr>
        <w:t xml:space="preserve">                </w:t>
      </w:r>
      <w:r>
        <w:rPr>
          <w:rFonts w:hint="eastAsia" w:ascii="宋体" w:hAnsi="宋体"/>
          <w:color w:val="auto"/>
          <w:sz w:val="28"/>
          <w:szCs w:val="28"/>
        </w:rPr>
        <w:t>职务:</w:t>
      </w:r>
      <w:r>
        <w:rPr>
          <w:rFonts w:hint="eastAsia" w:ascii="宋体" w:hAnsi="宋体"/>
          <w:color w:val="auto"/>
          <w:sz w:val="28"/>
          <w:szCs w:val="28"/>
          <w:u w:val="single"/>
        </w:rPr>
        <w:t xml:space="preserve">                     </w:t>
      </w:r>
    </w:p>
    <w:p w14:paraId="53DA686D">
      <w:pPr>
        <w:spacing w:line="520" w:lineRule="exact"/>
        <w:rPr>
          <w:rFonts w:ascii="宋体" w:hAnsi="宋体"/>
          <w:color w:val="auto"/>
          <w:sz w:val="28"/>
          <w:szCs w:val="28"/>
        </w:rPr>
      </w:pPr>
      <w:r>
        <w:rPr>
          <w:rFonts w:hint="eastAsia" w:ascii="宋体" w:hAnsi="宋体"/>
          <w:color w:val="auto"/>
          <w:sz w:val="28"/>
          <w:szCs w:val="28"/>
        </w:rPr>
        <w:t>身</w:t>
      </w:r>
      <w:r>
        <w:rPr>
          <w:rFonts w:ascii="宋体" w:hAnsi="宋体"/>
          <w:color w:val="auto"/>
          <w:sz w:val="28"/>
          <w:szCs w:val="28"/>
        </w:rPr>
        <w:t xml:space="preserve"> </w:t>
      </w:r>
      <w:r>
        <w:rPr>
          <w:rFonts w:hint="eastAsia" w:ascii="宋体" w:hAnsi="宋体"/>
          <w:color w:val="auto"/>
          <w:sz w:val="28"/>
          <w:szCs w:val="28"/>
        </w:rPr>
        <w:t>份</w:t>
      </w:r>
      <w:r>
        <w:rPr>
          <w:rFonts w:ascii="宋体" w:hAnsi="宋体"/>
          <w:color w:val="auto"/>
          <w:sz w:val="28"/>
          <w:szCs w:val="28"/>
        </w:rPr>
        <w:t xml:space="preserve"> </w:t>
      </w:r>
      <w:r>
        <w:rPr>
          <w:rFonts w:hint="eastAsia" w:ascii="宋体" w:hAnsi="宋体"/>
          <w:color w:val="auto"/>
          <w:sz w:val="28"/>
          <w:szCs w:val="28"/>
        </w:rPr>
        <w:t>证:</w:t>
      </w:r>
      <w:r>
        <w:rPr>
          <w:rFonts w:hint="eastAsia" w:ascii="宋体" w:hAnsi="宋体"/>
          <w:color w:val="auto"/>
          <w:sz w:val="28"/>
          <w:szCs w:val="28"/>
          <w:u w:val="single"/>
        </w:rPr>
        <w:t xml:space="preserve">                </w:t>
      </w:r>
      <w:r>
        <w:rPr>
          <w:rFonts w:hint="eastAsia" w:ascii="宋体" w:hAnsi="宋体"/>
          <w:color w:val="auto"/>
          <w:sz w:val="28"/>
          <w:szCs w:val="28"/>
        </w:rPr>
        <w:t>联系方式:</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p>
    <w:p w14:paraId="076F41F4">
      <w:pPr>
        <w:spacing w:line="520" w:lineRule="exact"/>
        <w:ind w:firstLine="560"/>
        <w:rPr>
          <w:rFonts w:ascii="宋体" w:hAnsi="宋体"/>
          <w:color w:val="auto"/>
          <w:sz w:val="28"/>
          <w:szCs w:val="28"/>
        </w:rPr>
      </w:pPr>
      <w:r>
        <w:rPr>
          <w:rFonts w:hint="eastAsia" w:ascii="宋体" w:hAnsi="宋体"/>
          <w:color w:val="auto"/>
          <w:sz w:val="28"/>
          <w:szCs w:val="28"/>
        </w:rPr>
        <w:t>兹委托受托人</w:t>
      </w:r>
      <w:r>
        <w:rPr>
          <w:rFonts w:hint="eastAsia" w:ascii="宋体" w:hAnsi="宋体"/>
          <w:color w:val="auto"/>
          <w:sz w:val="28"/>
          <w:szCs w:val="28"/>
          <w:u w:val="single"/>
        </w:rPr>
        <w:t xml:space="preserve">       </w:t>
      </w:r>
      <w:r>
        <w:rPr>
          <w:rFonts w:hint="eastAsia" w:ascii="宋体" w:hAnsi="宋体"/>
          <w:color w:val="auto"/>
          <w:sz w:val="28"/>
          <w:szCs w:val="28"/>
        </w:rPr>
        <w:t>代表我公司参加招标人组织的（项目编号:</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ascii="宋体" w:hAnsi="宋体"/>
          <w:bCs/>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采购项目的政府采购活动，受托人有权在该招标活动中，以我单位的名义签署投标函和投标文件，与采购人协商、澄清、解释，签订合同书并执行一切与此有关的事项。</w:t>
      </w:r>
    </w:p>
    <w:p w14:paraId="7814C86C">
      <w:pPr>
        <w:spacing w:line="520" w:lineRule="exact"/>
        <w:ind w:firstLine="560"/>
        <w:rPr>
          <w:rFonts w:ascii="宋体" w:hAnsi="宋体"/>
          <w:color w:val="auto"/>
          <w:sz w:val="28"/>
          <w:szCs w:val="28"/>
        </w:rPr>
      </w:pPr>
      <w:r>
        <w:rPr>
          <w:rFonts w:hint="eastAsia" w:ascii="宋体" w:hAnsi="宋体"/>
          <w:color w:val="auto"/>
          <w:sz w:val="28"/>
          <w:szCs w:val="28"/>
        </w:rPr>
        <w:t>受托人在办理上述事宜过程中以其自己的名义所签署的所有文件我公司均予以承认。受托人无转委托权。</w:t>
      </w:r>
    </w:p>
    <w:p w14:paraId="5059E107">
      <w:pPr>
        <w:spacing w:line="520" w:lineRule="exact"/>
        <w:ind w:firstLine="560"/>
        <w:rPr>
          <w:rFonts w:ascii="宋体" w:hAnsi="宋体"/>
          <w:color w:val="auto"/>
          <w:sz w:val="28"/>
          <w:szCs w:val="28"/>
        </w:rPr>
      </w:pPr>
      <w:r>
        <w:rPr>
          <w:rFonts w:hint="eastAsia" w:ascii="宋体" w:hAnsi="宋体"/>
          <w:color w:val="auto"/>
          <w:sz w:val="28"/>
          <w:szCs w:val="28"/>
        </w:rPr>
        <w:t>委托期限：至上述事宜处理完毕止。</w:t>
      </w:r>
    </w:p>
    <w:p w14:paraId="503435B0">
      <w:pPr>
        <w:spacing w:line="520" w:lineRule="exact"/>
        <w:rPr>
          <w:rFonts w:ascii="宋体" w:hAnsi="宋体"/>
          <w:color w:val="auto"/>
          <w:sz w:val="28"/>
          <w:szCs w:val="28"/>
        </w:rPr>
      </w:pPr>
    </w:p>
    <w:p w14:paraId="2A5B8EE2">
      <w:pPr>
        <w:spacing w:line="520" w:lineRule="exact"/>
        <w:rPr>
          <w:rFonts w:ascii="宋体" w:hAnsi="宋体"/>
          <w:color w:val="auto"/>
          <w:sz w:val="28"/>
          <w:szCs w:val="28"/>
        </w:rPr>
      </w:pPr>
    </w:p>
    <w:p w14:paraId="7DFC74A1">
      <w:pPr>
        <w:spacing w:line="640" w:lineRule="exact"/>
        <w:jc w:val="right"/>
        <w:rPr>
          <w:rFonts w:ascii="宋体" w:hAnsi="宋体" w:cs="楷体_GB2312"/>
          <w:color w:val="auto"/>
          <w:sz w:val="28"/>
          <w:szCs w:val="28"/>
          <w:lang w:val="zh-CN"/>
        </w:rPr>
      </w:pPr>
      <w:r>
        <w:rPr>
          <w:rFonts w:hint="eastAsia" w:ascii="宋体" w:hAnsi="宋体" w:cs="楷体_GB2312"/>
          <w:color w:val="auto"/>
          <w:sz w:val="28"/>
          <w:szCs w:val="28"/>
          <w:lang w:val="zh-CN"/>
        </w:rPr>
        <w:t>投标人:</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w:t>
      </w:r>
    </w:p>
    <w:p w14:paraId="59134091">
      <w:pPr>
        <w:spacing w:line="520" w:lineRule="exact"/>
        <w:jc w:val="right"/>
        <w:rPr>
          <w:rFonts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346B1AFA">
      <w:pPr>
        <w:spacing w:line="520" w:lineRule="exact"/>
        <w:ind w:left="-359" w:firstLine="548"/>
        <w:rPr>
          <w:rFonts w:ascii="宋体" w:hAnsi="宋体"/>
          <w:bCs/>
          <w:color w:val="auto"/>
          <w:sz w:val="28"/>
        </w:rPr>
      </w:pPr>
    </w:p>
    <w:p w14:paraId="55B59FE7">
      <w:pPr>
        <w:spacing w:line="360" w:lineRule="auto"/>
        <w:ind w:firstLine="561"/>
        <w:rPr>
          <w:rFonts w:ascii="宋体" w:hAnsi="宋体"/>
          <w:color w:val="auto"/>
          <w:sz w:val="24"/>
        </w:rPr>
      </w:pPr>
      <w:r>
        <w:rPr>
          <w:rFonts w:hint="eastAsia" w:ascii="宋体" w:hAnsi="宋体"/>
          <w:bCs/>
          <w:color w:val="auto"/>
          <w:sz w:val="24"/>
          <w:szCs w:val="22"/>
        </w:rPr>
        <w:t>注:投标人委托</w:t>
      </w:r>
      <w:r>
        <w:rPr>
          <w:rFonts w:hint="eastAsia" w:ascii="宋体" w:hAnsi="宋体"/>
          <w:bCs/>
          <w:color w:val="auto"/>
          <w:sz w:val="24"/>
        </w:rPr>
        <w:t>受托人参加投标的，必须附受托人身份证</w:t>
      </w:r>
      <w:r>
        <w:rPr>
          <w:rFonts w:hint="eastAsia" w:ascii="宋体" w:hAnsi="宋体"/>
          <w:color w:val="auto"/>
          <w:sz w:val="24"/>
        </w:rPr>
        <w:t>扫描</w:t>
      </w:r>
      <w:r>
        <w:rPr>
          <w:rFonts w:hint="eastAsia" w:ascii="宋体" w:hAnsi="宋体"/>
          <w:bCs/>
          <w:color w:val="auto"/>
          <w:sz w:val="24"/>
        </w:rPr>
        <w:t>件加盖投标人电子签章。</w:t>
      </w:r>
      <w:r>
        <w:rPr>
          <w:rFonts w:hint="eastAsia" w:ascii="宋体" w:hAnsi="宋体"/>
          <w:color w:val="auto"/>
          <w:sz w:val="24"/>
        </w:rPr>
        <w:t>法定代表人直接参加投标的，仅需填写“法定代表人资格证明”。</w:t>
      </w:r>
    </w:p>
    <w:p w14:paraId="422B90E1">
      <w:pPr>
        <w:widowControl/>
        <w:jc w:val="left"/>
        <w:rPr>
          <w:rFonts w:ascii="宋体" w:hAnsi="宋体"/>
          <w:color w:val="auto"/>
          <w:sz w:val="24"/>
        </w:rPr>
      </w:pPr>
      <w:r>
        <w:rPr>
          <w:rFonts w:ascii="宋体" w:hAnsi="宋体"/>
          <w:color w:val="auto"/>
          <w:sz w:val="24"/>
        </w:rPr>
        <w:br w:type="page"/>
      </w:r>
    </w:p>
    <w:p w14:paraId="6BCEF84E">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附件3：示范格式</w:t>
      </w:r>
    </w:p>
    <w:p w14:paraId="51044509">
      <w:pPr>
        <w:pBdr>
          <w:top w:val="none" w:color="000000" w:sz="0" w:space="0"/>
          <w:left w:val="none" w:color="000000" w:sz="0" w:space="0"/>
          <w:bottom w:val="none" w:color="000000" w:sz="0" w:space="0"/>
          <w:right w:val="none" w:color="000000" w:sz="0" w:space="0"/>
        </w:pBdr>
        <w:spacing w:line="360" w:lineRule="auto"/>
        <w:jc w:val="center"/>
        <w:rPr>
          <w:rFonts w:ascii="宋体" w:hAnsi="宋体" w:cs="宋体"/>
          <w:b/>
          <w:color w:val="auto"/>
          <w:sz w:val="32"/>
        </w:rPr>
      </w:pPr>
      <w:r>
        <w:rPr>
          <w:rFonts w:ascii="宋体" w:hAnsi="宋体" w:cs="宋体"/>
          <w:b/>
          <w:color w:val="auto"/>
          <w:sz w:val="32"/>
        </w:rPr>
        <w:t>承诺书</w:t>
      </w:r>
    </w:p>
    <w:p w14:paraId="3B0113D1">
      <w:pPr>
        <w:pBdr>
          <w:top w:val="none" w:color="000000" w:sz="0" w:space="0"/>
          <w:left w:val="none" w:color="000000" w:sz="0" w:space="0"/>
          <w:bottom w:val="none" w:color="000000" w:sz="0" w:space="0"/>
          <w:right w:val="none" w:color="000000" w:sz="0" w:space="0"/>
        </w:pBdr>
        <w:spacing w:line="360" w:lineRule="auto"/>
        <w:jc w:val="center"/>
        <w:rPr>
          <w:rFonts w:ascii="宋体" w:hAnsi="宋体"/>
          <w:color w:val="auto"/>
        </w:rPr>
      </w:pPr>
    </w:p>
    <w:p w14:paraId="2BD94828">
      <w:pPr>
        <w:pBdr>
          <w:top w:val="none" w:color="000000" w:sz="0" w:space="0"/>
          <w:left w:val="none" w:color="000000" w:sz="0" w:space="0"/>
          <w:bottom w:val="none" w:color="000000" w:sz="0" w:space="0"/>
          <w:right w:val="none" w:color="000000" w:sz="0" w:space="0"/>
        </w:pBdr>
        <w:spacing w:line="360" w:lineRule="auto"/>
        <w:rPr>
          <w:rFonts w:ascii="宋体" w:hAnsi="宋体"/>
          <w:color w:val="auto"/>
          <w:sz w:val="28"/>
          <w:szCs w:val="28"/>
        </w:rPr>
      </w:pPr>
      <w:r>
        <w:rPr>
          <w:rFonts w:hint="eastAsia" w:ascii="宋体" w:hAnsi="宋体"/>
          <w:bCs/>
          <w:color w:val="auto"/>
          <w:sz w:val="28"/>
          <w:szCs w:val="28"/>
        </w:rPr>
        <w:t>致：</w:t>
      </w:r>
      <w:r>
        <w:rPr>
          <w:rFonts w:hint="eastAsia" w:ascii="宋体" w:hAnsi="宋体" w:cs="宋体"/>
          <w:color w:val="auto"/>
          <w:sz w:val="28"/>
          <w:szCs w:val="28"/>
          <w:u w:val="single"/>
        </w:rPr>
        <w:t xml:space="preserve">     </w:t>
      </w:r>
      <w:r>
        <w:rPr>
          <w:rFonts w:ascii="宋体" w:hAnsi="宋体" w:cs="宋体"/>
          <w:color w:val="auto"/>
          <w:sz w:val="28"/>
          <w:szCs w:val="28"/>
          <w:u w:val="single"/>
        </w:rPr>
        <w:t>（采购单位）</w:t>
      </w:r>
      <w:r>
        <w:rPr>
          <w:rFonts w:hint="eastAsia" w:ascii="宋体" w:hAnsi="宋体" w:cs="宋体"/>
          <w:color w:val="auto"/>
          <w:sz w:val="28"/>
          <w:szCs w:val="28"/>
          <w:u w:val="single"/>
        </w:rPr>
        <w:t xml:space="preserve">       </w:t>
      </w:r>
      <w:r>
        <w:rPr>
          <w:rFonts w:ascii="宋体" w:hAnsi="宋体" w:cs="宋体"/>
          <w:color w:val="auto"/>
          <w:sz w:val="28"/>
          <w:szCs w:val="28"/>
        </w:rPr>
        <w:t>：</w:t>
      </w:r>
    </w:p>
    <w:p w14:paraId="49B1F0DC">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我公司在项目</w:t>
      </w:r>
      <w:r>
        <w:rPr>
          <w:rFonts w:hint="eastAsia" w:ascii="宋体" w:hAnsi="宋体" w:cs="宋体"/>
          <w:color w:val="auto"/>
          <w:sz w:val="28"/>
          <w:szCs w:val="28"/>
          <w:u w:val="single"/>
        </w:rPr>
        <w:t xml:space="preserve">            </w:t>
      </w:r>
      <w:r>
        <w:rPr>
          <w:rFonts w:ascii="宋体" w:hAnsi="宋体" w:cs="宋体"/>
          <w:color w:val="auto"/>
          <w:sz w:val="28"/>
          <w:szCs w:val="28"/>
        </w:rPr>
        <w:t>（编号：</w:t>
      </w:r>
      <w:r>
        <w:rPr>
          <w:rFonts w:hint="eastAsia" w:ascii="宋体" w:hAnsi="宋体" w:cs="宋体"/>
          <w:color w:val="auto"/>
          <w:sz w:val="28"/>
          <w:szCs w:val="28"/>
          <w:u w:val="single"/>
        </w:rPr>
        <w:t xml:space="preserve">            </w:t>
      </w:r>
      <w:r>
        <w:rPr>
          <w:rFonts w:ascii="宋体" w:hAnsi="宋体" w:cs="宋体"/>
          <w:color w:val="auto"/>
          <w:sz w:val="28"/>
          <w:szCs w:val="28"/>
        </w:rPr>
        <w:t>）投标过程中，</w:t>
      </w:r>
      <w:r>
        <w:rPr>
          <w:rFonts w:hint="eastAsia" w:ascii="宋体" w:hAnsi="宋体" w:cs="宋体"/>
          <w:color w:val="auto"/>
          <w:sz w:val="28"/>
          <w:szCs w:val="28"/>
        </w:rPr>
        <w:t>做</w:t>
      </w:r>
      <w:r>
        <w:rPr>
          <w:rFonts w:ascii="宋体" w:hAnsi="宋体" w:cs="宋体"/>
          <w:color w:val="auto"/>
          <w:sz w:val="28"/>
          <w:szCs w:val="28"/>
        </w:rPr>
        <w:t>如下承诺：</w:t>
      </w:r>
    </w:p>
    <w:p w14:paraId="4A7208F4">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olor w:val="auto"/>
          <w:sz w:val="28"/>
          <w:szCs w:val="28"/>
        </w:rPr>
      </w:pPr>
      <w:r>
        <w:rPr>
          <w:rFonts w:ascii="宋体" w:hAnsi="宋体" w:cs="宋体"/>
          <w:color w:val="auto"/>
          <w:sz w:val="28"/>
          <w:szCs w:val="28"/>
        </w:rPr>
        <w:t>一、参加本次项目投标活动前3年内没有重大违法记录（被刑事处罚或者责令停产停业，吊销许可证或者执照，</w:t>
      </w:r>
      <w:r>
        <w:rPr>
          <w:rFonts w:hint="eastAsia" w:ascii="宋体" w:hAnsi="宋体" w:cs="宋体"/>
          <w:color w:val="auto"/>
          <w:sz w:val="28"/>
          <w:szCs w:val="28"/>
        </w:rPr>
        <w:t>较大</w:t>
      </w:r>
      <w:r>
        <w:rPr>
          <w:rFonts w:ascii="宋体" w:hAnsi="宋体" w:cs="宋体"/>
          <w:color w:val="auto"/>
          <w:sz w:val="28"/>
          <w:szCs w:val="28"/>
        </w:rPr>
        <w:t>数额罚款等行政处罚，信用中国、政府采购网、其他市级以上信用平台等列有不良记录的）。</w:t>
      </w:r>
    </w:p>
    <w:p w14:paraId="13CE5B19">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olor w:val="auto"/>
          <w:sz w:val="28"/>
          <w:szCs w:val="28"/>
        </w:rPr>
      </w:pPr>
      <w:r>
        <w:rPr>
          <w:rFonts w:ascii="宋体" w:hAnsi="宋体" w:cs="宋体"/>
          <w:color w:val="auto"/>
          <w:sz w:val="28"/>
          <w:szCs w:val="28"/>
        </w:rPr>
        <w:t>二、我公司与参加本次投标活动的其他单位不存在单位负责人为同一人的情况，也不存在控股、管理、两公司股东有夫妻关系等情况。</w:t>
      </w:r>
    </w:p>
    <w:p w14:paraId="6E899B7B">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olor w:val="auto"/>
          <w:sz w:val="28"/>
          <w:szCs w:val="28"/>
        </w:rPr>
      </w:pPr>
      <w:r>
        <w:rPr>
          <w:rFonts w:ascii="宋体" w:hAnsi="宋体" w:cs="宋体"/>
          <w:color w:val="auto"/>
          <w:sz w:val="28"/>
          <w:szCs w:val="28"/>
        </w:rPr>
        <w:t>三、我公司没有为本项目提供整体设计、规范编制或者项目管理、监理、检测等服务。</w:t>
      </w:r>
    </w:p>
    <w:p w14:paraId="31DA0D56">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四、不得出现的其他情况：</w:t>
      </w:r>
    </w:p>
    <w:p w14:paraId="15EC1055">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1.投标截止后撤回投标的；</w:t>
      </w:r>
    </w:p>
    <w:p w14:paraId="62B0130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2.提供的有关资料、资格证明文件被确认是不真实的；</w:t>
      </w:r>
    </w:p>
    <w:p w14:paraId="2AA777A2">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3.被证实有串通（统一哄抬价格）、欺诈行为的；</w:t>
      </w:r>
    </w:p>
    <w:p w14:paraId="7E370B11">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4.被证明有妨碍其他人公平竞争、损害采购单位或者其他投标人合法权益的；</w:t>
      </w:r>
    </w:p>
    <w:p w14:paraId="303BD5D9">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5.投标人代表被证明在评标期间与采购人代表、评委、监督人员、工作人员有私下接触的；</w:t>
      </w:r>
    </w:p>
    <w:p w14:paraId="2B472CE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6.中标人在规定期限内未能按照采购文件规定签订合同的；</w:t>
      </w:r>
    </w:p>
    <w:p w14:paraId="5A5E2809">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7.中标人在规定期限内未能根据采购文件规定交纳履约保证金的；</w:t>
      </w:r>
    </w:p>
    <w:p w14:paraId="5B85C43B">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8.与其他投标人的投标文件由同一单位或者个人编制；</w:t>
      </w:r>
    </w:p>
    <w:p w14:paraId="031C2A1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9.与其他投标人的投标文件载明的项目管理成员或者联系人员为同一人</w:t>
      </w:r>
      <w:r>
        <w:rPr>
          <w:rFonts w:hint="eastAsia" w:ascii="宋体" w:hAnsi="宋体" w:cs="宋体"/>
          <w:color w:val="auto"/>
          <w:sz w:val="28"/>
          <w:szCs w:val="28"/>
        </w:rPr>
        <w:t>；</w:t>
      </w:r>
    </w:p>
    <w:p w14:paraId="40E7465B">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10.与其他投标人的投标文件异常一致或者投标报价呈规律性差异；</w:t>
      </w:r>
    </w:p>
    <w:p w14:paraId="301EAFE0">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11.与其他投标人的投标文件相互混装；</w:t>
      </w:r>
    </w:p>
    <w:p w14:paraId="244DF753">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ascii="宋体" w:hAnsi="宋体" w:cs="宋体"/>
          <w:color w:val="auto"/>
          <w:sz w:val="28"/>
          <w:szCs w:val="28"/>
        </w:rPr>
        <w:t>我公司主动承诺以上内容，如有违反，自愿接受任何处罚。</w:t>
      </w:r>
    </w:p>
    <w:p w14:paraId="087AB31F">
      <w:pPr>
        <w:spacing w:line="360" w:lineRule="auto"/>
        <w:ind w:firstLine="560" w:firstLineChars="200"/>
        <w:jc w:val="right"/>
        <w:rPr>
          <w:rFonts w:ascii="宋体" w:hAnsi="宋体" w:cs="宋体"/>
          <w:color w:val="auto"/>
          <w:sz w:val="28"/>
          <w:szCs w:val="28"/>
        </w:rPr>
      </w:pPr>
    </w:p>
    <w:p w14:paraId="627D3283">
      <w:pPr>
        <w:spacing w:line="360" w:lineRule="auto"/>
        <w:ind w:firstLine="560" w:firstLineChars="200"/>
        <w:jc w:val="right"/>
        <w:rPr>
          <w:rFonts w:ascii="宋体" w:hAnsi="宋体" w:cs="宋体"/>
          <w:color w:val="auto"/>
          <w:sz w:val="28"/>
          <w:szCs w:val="28"/>
        </w:rPr>
      </w:pPr>
    </w:p>
    <w:p w14:paraId="66365805">
      <w:pPr>
        <w:spacing w:line="360" w:lineRule="auto"/>
        <w:jc w:val="right"/>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仿宋"/>
          <w:color w:val="auto"/>
          <w:sz w:val="28"/>
          <w:szCs w:val="28"/>
          <w:u w:val="single"/>
          <w:lang w:eastAsia="zh-CN"/>
        </w:rPr>
        <w:t>（</w:t>
      </w:r>
      <w:r>
        <w:rPr>
          <w:rFonts w:hint="eastAsia" w:ascii="宋体" w:hAnsi="宋体" w:cs="仿宋"/>
          <w:color w:val="auto"/>
          <w:sz w:val="28"/>
          <w:szCs w:val="28"/>
          <w:u w:val="single"/>
        </w:rPr>
        <w:t>签字或</w:t>
      </w:r>
      <w:r>
        <w:rPr>
          <w:rFonts w:hint="eastAsia" w:ascii="宋体" w:hAnsi="宋体" w:cs="仿宋"/>
          <w:color w:val="auto"/>
          <w:sz w:val="28"/>
          <w:szCs w:val="28"/>
          <w:u w:val="single"/>
          <w:lang w:val="en-US" w:eastAsia="zh-CN"/>
        </w:rPr>
        <w:t>签章</w:t>
      </w:r>
      <w:r>
        <w:rPr>
          <w:rFonts w:hint="eastAsia" w:ascii="宋体" w:hAnsi="宋体" w:cs="仿宋"/>
          <w:color w:val="auto"/>
          <w:sz w:val="28"/>
          <w:szCs w:val="28"/>
          <w:u w:val="single"/>
          <w:lang w:eastAsia="zh-CN"/>
        </w:rPr>
        <w:t>）</w:t>
      </w:r>
      <w:r>
        <w:rPr>
          <w:rFonts w:hint="eastAsia" w:ascii="宋体" w:hAnsi="宋体" w:cs="宋体"/>
          <w:color w:val="auto"/>
          <w:sz w:val="28"/>
          <w:szCs w:val="28"/>
          <w:u w:val="single"/>
        </w:rPr>
        <w:t xml:space="preserve">  </w:t>
      </w:r>
    </w:p>
    <w:p w14:paraId="7BE2A687">
      <w:pPr>
        <w:spacing w:line="360" w:lineRule="auto"/>
        <w:jc w:val="right"/>
        <w:rPr>
          <w:rFonts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(盖单位公章)  </w:t>
      </w:r>
    </w:p>
    <w:p w14:paraId="56A6DC11">
      <w:pPr>
        <w:spacing w:line="360" w:lineRule="auto"/>
        <w:jc w:val="right"/>
        <w:rPr>
          <w:rFonts w:ascii="宋体" w:hAnsi="宋体" w:cs="宋体"/>
          <w:color w:val="auto"/>
          <w:sz w:val="28"/>
          <w:szCs w:val="28"/>
        </w:rPr>
      </w:pPr>
      <w:r>
        <w:rPr>
          <w:rFonts w:hint="eastAsia" w:ascii="宋体" w:hAnsi="宋体" w:cs="宋体"/>
          <w:color w:val="auto"/>
          <w:sz w:val="28"/>
          <w:szCs w:val="28"/>
        </w:rPr>
        <w:t>年   月   日</w:t>
      </w:r>
    </w:p>
    <w:p w14:paraId="5A55577C">
      <w:pPr>
        <w:ind w:firstLine="373"/>
        <w:rPr>
          <w:rFonts w:ascii="宋体" w:hAnsi="宋体" w:cs="宋体"/>
          <w:b/>
          <w:bCs/>
          <w:color w:val="auto"/>
          <w:szCs w:val="21"/>
        </w:rPr>
      </w:pPr>
    </w:p>
    <w:p w14:paraId="170A0BB0">
      <w:pPr>
        <w:spacing w:line="360" w:lineRule="auto"/>
        <w:ind w:firstLine="374"/>
        <w:jc w:val="left"/>
        <w:rPr>
          <w:rFonts w:ascii="宋体" w:hAnsi="宋体" w:cs="宋体"/>
          <w:color w:val="auto"/>
          <w:sz w:val="24"/>
        </w:rPr>
      </w:pPr>
      <w:r>
        <w:rPr>
          <w:rFonts w:ascii="宋体" w:hAnsi="宋体" w:cs="宋体"/>
          <w:color w:val="auto"/>
          <w:sz w:val="24"/>
        </w:rPr>
        <w:t>注：</w:t>
      </w:r>
      <w:r>
        <w:rPr>
          <w:rFonts w:hint="eastAsia" w:ascii="宋体" w:hAnsi="宋体" w:cs="宋体"/>
          <w:color w:val="auto"/>
          <w:sz w:val="24"/>
        </w:rPr>
        <w:t>1.</w:t>
      </w:r>
      <w:r>
        <w:rPr>
          <w:rFonts w:ascii="宋体" w:hAnsi="宋体" w:cs="宋体"/>
          <w:color w:val="auto"/>
          <w:sz w:val="24"/>
        </w:rPr>
        <w:t>本格式如与“投标文件制作工具”中提供的格式不一致，请投标人按本格式要求编辑修改“投标文件制作工具”中提供的格式</w:t>
      </w:r>
      <w:r>
        <w:rPr>
          <w:rFonts w:hint="eastAsia" w:ascii="宋体" w:hAnsi="宋体" w:cs="宋体"/>
          <w:color w:val="auto"/>
          <w:sz w:val="24"/>
        </w:rPr>
        <w:t>。</w:t>
      </w:r>
    </w:p>
    <w:p w14:paraId="776F1808">
      <w:pPr>
        <w:spacing w:line="360" w:lineRule="auto"/>
        <w:ind w:firstLine="720" w:firstLineChars="300"/>
        <w:jc w:val="lef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本表为基本格式，投标人可自行增加，但不得减少，各投标人应认真填写，并且加盖企业</w:t>
      </w:r>
      <w:r>
        <w:rPr>
          <w:rFonts w:hint="eastAsia" w:ascii="宋体" w:hAnsi="宋体" w:cs="宋体"/>
          <w:color w:val="auto"/>
          <w:sz w:val="24"/>
        </w:rPr>
        <w:t>公章、签字</w:t>
      </w:r>
      <w:r>
        <w:rPr>
          <w:rFonts w:ascii="宋体" w:hAnsi="宋体" w:cs="宋体"/>
          <w:color w:val="auto"/>
          <w:sz w:val="24"/>
        </w:rPr>
        <w:t>打印后原件扫描件编入电子投标文件。</w:t>
      </w:r>
    </w:p>
    <w:p w14:paraId="7BF9D47A">
      <w:pPr>
        <w:spacing w:line="360" w:lineRule="auto"/>
        <w:ind w:firstLine="720" w:firstLineChars="300"/>
        <w:jc w:val="left"/>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如本承诺书有缺项，投标单位可根据招标文件要求添加内容。</w:t>
      </w:r>
    </w:p>
    <w:p w14:paraId="2300736C">
      <w:pPr>
        <w:spacing w:line="360" w:lineRule="auto"/>
        <w:ind w:firstLine="374"/>
        <w:jc w:val="left"/>
        <w:rPr>
          <w:rFonts w:ascii="宋体" w:hAnsi="宋体" w:cs="宋体"/>
          <w:color w:val="auto"/>
          <w:sz w:val="28"/>
          <w:szCs w:val="28"/>
        </w:rPr>
      </w:pPr>
    </w:p>
    <w:p w14:paraId="3A5949FA">
      <w:pPr>
        <w:rPr>
          <w:rFonts w:ascii="宋体" w:hAnsi="宋体"/>
          <w:b/>
          <w:color w:val="auto"/>
          <w:sz w:val="32"/>
          <w:szCs w:val="32"/>
        </w:rPr>
      </w:pPr>
      <w:r>
        <w:rPr>
          <w:rFonts w:ascii="宋体" w:hAnsi="宋体"/>
          <w:color w:val="auto"/>
        </w:rPr>
        <w:br w:type="page" w:clear="all"/>
      </w:r>
    </w:p>
    <w:p w14:paraId="0B6F3FA7">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附件4：示范格式</w:t>
      </w:r>
    </w:p>
    <w:p w14:paraId="164A2D38">
      <w:pPr>
        <w:spacing w:line="360" w:lineRule="auto"/>
        <w:jc w:val="center"/>
        <w:rPr>
          <w:rFonts w:ascii="宋体" w:hAnsi="宋体"/>
          <w:b/>
          <w:bCs/>
          <w:color w:val="auto"/>
          <w:sz w:val="32"/>
        </w:rPr>
      </w:pPr>
      <w:r>
        <w:rPr>
          <w:rFonts w:hint="eastAsia" w:ascii="宋体" w:hAnsi="宋体"/>
          <w:b/>
          <w:bCs/>
          <w:color w:val="auto"/>
          <w:sz w:val="32"/>
        </w:rPr>
        <w:t>符合《政府采购法》第二十二条规定条件的声明函</w:t>
      </w:r>
    </w:p>
    <w:p w14:paraId="134FDEBF">
      <w:pPr>
        <w:spacing w:line="360" w:lineRule="auto"/>
        <w:jc w:val="center"/>
        <w:rPr>
          <w:rFonts w:ascii="宋体" w:hAnsi="宋体"/>
          <w:b/>
          <w:bCs/>
          <w:color w:val="auto"/>
          <w:sz w:val="28"/>
          <w:szCs w:val="22"/>
        </w:rPr>
      </w:pPr>
    </w:p>
    <w:p w14:paraId="36B567C1">
      <w:pPr>
        <w:spacing w:line="360" w:lineRule="auto"/>
        <w:rPr>
          <w:rFonts w:ascii="宋体" w:hAnsi="宋体"/>
          <w:color w:val="auto"/>
          <w:sz w:val="28"/>
          <w:szCs w:val="28"/>
        </w:rPr>
      </w:pPr>
      <w:r>
        <w:rPr>
          <w:rFonts w:hint="eastAsia" w:ascii="宋体" w:hAnsi="宋体"/>
          <w:bCs/>
          <w:color w:val="auto"/>
          <w:sz w:val="28"/>
          <w:szCs w:val="28"/>
        </w:rPr>
        <w:t>致招标人：</w:t>
      </w:r>
      <w:r>
        <w:rPr>
          <w:rFonts w:hint="eastAsia" w:ascii="宋体" w:hAnsi="宋体"/>
          <w:bCs/>
          <w:color w:val="auto"/>
          <w:sz w:val="28"/>
          <w:szCs w:val="28"/>
          <w:u w:val="single"/>
        </w:rPr>
        <w:t xml:space="preserve">                   </w:t>
      </w:r>
    </w:p>
    <w:p w14:paraId="685A299B">
      <w:pPr>
        <w:spacing w:line="360" w:lineRule="auto"/>
        <w:ind w:firstLine="560" w:firstLineChars="200"/>
        <w:rPr>
          <w:rFonts w:ascii="宋体" w:hAnsi="宋体"/>
          <w:color w:val="auto"/>
          <w:sz w:val="28"/>
          <w:szCs w:val="28"/>
        </w:rPr>
      </w:pPr>
      <w:r>
        <w:rPr>
          <w:rFonts w:hint="eastAsia" w:ascii="宋体" w:hAnsi="宋体"/>
          <w:color w:val="auto"/>
          <w:sz w:val="28"/>
          <w:szCs w:val="28"/>
        </w:rPr>
        <w:t>我公司参加贵单位组织实施的（项目编号:</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ascii="宋体" w:hAnsi="宋体"/>
          <w:bCs/>
          <w:color w:val="auto"/>
          <w:sz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采购项目的政府采购活动。针对《中华人民共和国政府采购法》第二十二条规定做出如下声明：</w:t>
      </w:r>
    </w:p>
    <w:p w14:paraId="65FB1EFC">
      <w:pPr>
        <w:spacing w:line="360" w:lineRule="auto"/>
        <w:ind w:firstLine="560" w:firstLineChars="200"/>
        <w:rPr>
          <w:rFonts w:ascii="宋体" w:hAnsi="宋体"/>
          <w:color w:val="auto"/>
          <w:sz w:val="28"/>
          <w:szCs w:val="28"/>
        </w:rPr>
      </w:pPr>
      <w:r>
        <w:rPr>
          <w:rFonts w:hint="eastAsia" w:ascii="宋体" w:hAnsi="宋体"/>
          <w:color w:val="auto"/>
          <w:sz w:val="28"/>
          <w:szCs w:val="28"/>
        </w:rPr>
        <w:t>1、我单位具有独立承担民事责任的能力；</w:t>
      </w:r>
    </w:p>
    <w:p w14:paraId="6DE0972A">
      <w:pPr>
        <w:spacing w:line="360" w:lineRule="auto"/>
        <w:ind w:firstLine="560" w:firstLineChars="200"/>
        <w:rPr>
          <w:rFonts w:ascii="宋体" w:hAnsi="宋体"/>
          <w:color w:val="auto"/>
          <w:sz w:val="28"/>
          <w:szCs w:val="28"/>
        </w:rPr>
      </w:pPr>
      <w:r>
        <w:rPr>
          <w:rFonts w:hint="eastAsia" w:ascii="宋体" w:hAnsi="宋体"/>
          <w:color w:val="auto"/>
          <w:sz w:val="28"/>
          <w:szCs w:val="28"/>
        </w:rPr>
        <w:t>2、我单位具有良好的商业信誉和健全的财务会计制度；</w:t>
      </w:r>
    </w:p>
    <w:p w14:paraId="5C141C7E">
      <w:pPr>
        <w:spacing w:line="360" w:lineRule="auto"/>
        <w:ind w:firstLine="560" w:firstLineChars="200"/>
        <w:rPr>
          <w:rFonts w:ascii="宋体" w:hAnsi="宋体"/>
          <w:color w:val="auto"/>
          <w:sz w:val="28"/>
          <w:szCs w:val="28"/>
        </w:rPr>
      </w:pPr>
      <w:r>
        <w:rPr>
          <w:rFonts w:hint="eastAsia" w:ascii="宋体" w:hAnsi="宋体"/>
          <w:color w:val="auto"/>
          <w:sz w:val="28"/>
          <w:szCs w:val="28"/>
        </w:rPr>
        <w:t>3、我单位具有履行合同所必需的设备和专业技术能力；</w:t>
      </w:r>
    </w:p>
    <w:p w14:paraId="0A95FFE5">
      <w:pPr>
        <w:spacing w:line="360" w:lineRule="auto"/>
        <w:ind w:firstLine="560" w:firstLineChars="200"/>
        <w:rPr>
          <w:rFonts w:ascii="宋体" w:hAnsi="宋体"/>
          <w:color w:val="auto"/>
          <w:sz w:val="28"/>
          <w:szCs w:val="28"/>
        </w:rPr>
      </w:pPr>
      <w:r>
        <w:rPr>
          <w:rFonts w:hint="eastAsia" w:ascii="宋体" w:hAnsi="宋体"/>
          <w:color w:val="auto"/>
          <w:sz w:val="28"/>
          <w:szCs w:val="28"/>
        </w:rPr>
        <w:t>4、我单位有依法缴纳税收和社会保障资金的良好记录；</w:t>
      </w:r>
    </w:p>
    <w:p w14:paraId="378699CE">
      <w:pPr>
        <w:spacing w:line="360" w:lineRule="auto"/>
        <w:ind w:firstLine="560" w:firstLineChars="200"/>
        <w:jc w:val="left"/>
        <w:rPr>
          <w:rFonts w:ascii="宋体" w:hAnsi="宋体" w:cs="仿宋"/>
          <w:color w:val="auto"/>
          <w:sz w:val="28"/>
          <w:szCs w:val="28"/>
        </w:rPr>
      </w:pPr>
      <w:r>
        <w:rPr>
          <w:rFonts w:hint="eastAsia" w:ascii="宋体" w:hAnsi="宋体"/>
          <w:color w:val="auto"/>
          <w:sz w:val="28"/>
          <w:szCs w:val="28"/>
        </w:rPr>
        <w:t>5、</w:t>
      </w:r>
      <w:r>
        <w:rPr>
          <w:rFonts w:hint="eastAsia" w:ascii="宋体" w:hAnsi="宋体" w:cs="仿宋"/>
          <w:color w:val="auto"/>
          <w:sz w:val="28"/>
          <w:szCs w:val="28"/>
        </w:rPr>
        <w:t>参加本次政府采购活动前三年内，我公司在经营活动中没有因违法经营受到刑事处罚或者责令停产停业、吊销许可证或者执照、较大数额罚款等行政处罚。</w:t>
      </w:r>
      <w:r>
        <w:rPr>
          <w:rFonts w:ascii="宋体" w:hAnsi="宋体" w:cs="仿宋"/>
          <w:color w:val="auto"/>
          <w:sz w:val="28"/>
          <w:szCs w:val="28"/>
        </w:rPr>
        <w:t xml:space="preserve"> </w:t>
      </w:r>
    </w:p>
    <w:p w14:paraId="41C754B8">
      <w:pPr>
        <w:spacing w:line="360" w:lineRule="auto"/>
        <w:ind w:firstLine="560" w:firstLineChars="200"/>
        <w:rPr>
          <w:rFonts w:ascii="宋体" w:hAnsi="宋体"/>
          <w:color w:val="auto"/>
          <w:sz w:val="28"/>
          <w:szCs w:val="28"/>
        </w:rPr>
      </w:pPr>
      <w:r>
        <w:rPr>
          <w:rFonts w:hint="eastAsia" w:ascii="宋体" w:hAnsi="宋体"/>
          <w:color w:val="auto"/>
          <w:sz w:val="28"/>
          <w:szCs w:val="28"/>
        </w:rPr>
        <w:t>6、我单位满足法律、行政法规规定的其他条件。</w:t>
      </w:r>
    </w:p>
    <w:p w14:paraId="1709EB5E">
      <w:pPr>
        <w:spacing w:line="520" w:lineRule="exact"/>
        <w:rPr>
          <w:rFonts w:ascii="宋体" w:hAnsi="宋体"/>
          <w:color w:val="auto"/>
          <w:sz w:val="28"/>
          <w:szCs w:val="28"/>
          <w:u w:val="single"/>
        </w:rPr>
      </w:pPr>
    </w:p>
    <w:p w14:paraId="7297246D">
      <w:pPr>
        <w:spacing w:line="520" w:lineRule="exact"/>
        <w:rPr>
          <w:rFonts w:ascii="宋体" w:hAnsi="宋体"/>
          <w:color w:val="auto"/>
          <w:sz w:val="28"/>
          <w:szCs w:val="28"/>
          <w:u w:val="single"/>
        </w:rPr>
      </w:pPr>
    </w:p>
    <w:p w14:paraId="2B5D5B0A">
      <w:pPr>
        <w:spacing w:line="360" w:lineRule="auto"/>
        <w:jc w:val="right"/>
        <w:rPr>
          <w:rFonts w:ascii="宋体" w:hAnsi="宋体" w:cs="楷体_GB2312"/>
          <w:color w:val="auto"/>
          <w:sz w:val="28"/>
          <w:szCs w:val="28"/>
          <w:lang w:val="zh-CN"/>
        </w:rPr>
      </w:pPr>
      <w:r>
        <w:rPr>
          <w:rFonts w:hint="eastAsia" w:ascii="宋体" w:hAnsi="宋体"/>
          <w:color w:val="auto"/>
          <w:sz w:val="28"/>
          <w:szCs w:val="28"/>
        </w:rPr>
        <w:t>承诺人</w:t>
      </w:r>
      <w:r>
        <w:rPr>
          <w:rFonts w:hint="eastAsia" w:ascii="宋体" w:hAnsi="宋体" w:cs="楷体_GB2312"/>
          <w:color w:val="auto"/>
          <w:sz w:val="28"/>
          <w:szCs w:val="28"/>
          <w:lang w:val="zh-CN"/>
        </w:rPr>
        <w:t>：</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w:t>
      </w:r>
    </w:p>
    <w:p w14:paraId="377A68C6">
      <w:pPr>
        <w:spacing w:line="360" w:lineRule="auto"/>
        <w:jc w:val="right"/>
        <w:rPr>
          <w:rFonts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2D65D915">
      <w:pPr>
        <w:widowControl/>
        <w:jc w:val="left"/>
        <w:rPr>
          <w:rFonts w:ascii="宋体" w:hAnsi="宋体" w:cs="楷体_GB2312"/>
          <w:color w:val="auto"/>
          <w:sz w:val="28"/>
          <w:szCs w:val="28"/>
          <w:lang w:val="zh-CN"/>
        </w:rPr>
      </w:pPr>
      <w:r>
        <w:rPr>
          <w:rFonts w:ascii="宋体" w:hAnsi="宋体" w:cs="楷体_GB2312"/>
          <w:color w:val="auto"/>
          <w:sz w:val="28"/>
          <w:szCs w:val="28"/>
          <w:lang w:val="zh-CN"/>
        </w:rPr>
        <w:br w:type="page"/>
      </w:r>
    </w:p>
    <w:p w14:paraId="260D4838">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附件5：示范格式</w:t>
      </w:r>
    </w:p>
    <w:p w14:paraId="04DBC924">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40"/>
        <w:jc w:val="center"/>
        <w:rPr>
          <w:color w:val="auto"/>
        </w:rPr>
      </w:pPr>
      <w:r>
        <w:rPr>
          <w:rFonts w:hint="eastAsia" w:ascii="宋体" w:hAnsi="宋体" w:eastAsia="宋体" w:cs="宋体"/>
          <w:b/>
          <w:bCs/>
          <w:color w:val="auto"/>
          <w:sz w:val="24"/>
          <w:szCs w:val="24"/>
        </w:rPr>
        <w:t>中小微企业声明函（货物类）</w:t>
      </w:r>
    </w:p>
    <w:p w14:paraId="28AA4244">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
        <w:jc w:val="center"/>
        <w:rPr>
          <w:color w:val="auto"/>
        </w:rPr>
      </w:pPr>
      <w:r>
        <w:rPr>
          <w:color w:val="auto"/>
        </w:rPr>
        <w:t> </w:t>
      </w:r>
    </w:p>
    <w:p w14:paraId="33CF0B86">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采购编号为</w:t>
      </w:r>
      <w:r>
        <w:rPr>
          <w:rFonts w:hint="eastAsia" w:ascii="宋体" w:hAnsi="宋体" w:eastAsia="宋体" w:cs="宋体"/>
          <w:color w:val="auto"/>
          <w:sz w:val="24"/>
          <w:szCs w:val="24"/>
          <w:u w:val="single"/>
        </w:rPr>
        <w:t>（采购编号）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项目（项目名称）（采购包号：**）的采购活动，提供的货物全部由符合政策要求的中小微企业制造。相关企业（含联合体中的中小微企业、签订采购包意向协议的中小微企业）的具体情况如下：</w:t>
      </w:r>
    </w:p>
    <w:p w14:paraId="678F2FF2">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i/>
          <w:iCs/>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（供应商填写招标文件中明确的所属行业）</w:t>
      </w:r>
      <w:r>
        <w:rPr>
          <w:rFonts w:hint="eastAsia" w:ascii="宋体" w:hAnsi="宋体" w:eastAsia="宋体" w:cs="宋体"/>
          <w:color w:val="auto"/>
          <w:sz w:val="24"/>
          <w:szCs w:val="24"/>
        </w:rPr>
        <w:t>行业；投标产品制造商为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 □微型企业）；</w:t>
      </w:r>
    </w:p>
    <w:p w14:paraId="049B7ED9">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i/>
          <w:iCs/>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（供应商填写招标文件中明确的所属行业）</w:t>
      </w:r>
      <w:r>
        <w:rPr>
          <w:rFonts w:hint="eastAsia" w:ascii="宋体" w:hAnsi="宋体" w:eastAsia="宋体" w:cs="宋体"/>
          <w:color w:val="auto"/>
          <w:sz w:val="24"/>
          <w:szCs w:val="24"/>
        </w:rPr>
        <w:t>行业；投标产品制造商为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 □微型企业）；</w:t>
      </w:r>
    </w:p>
    <w:p w14:paraId="6F18FC6A">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w:t>
      </w:r>
    </w:p>
    <w:p w14:paraId="4489BFDF">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8C3C19B">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360"/>
        <w:jc w:val="both"/>
        <w:rPr>
          <w:color w:val="auto"/>
        </w:rPr>
      </w:pPr>
      <w:r>
        <w:rPr>
          <w:rFonts w:hint="eastAsia" w:ascii="宋体" w:hAnsi="宋体" w:eastAsia="宋体" w:cs="宋体"/>
          <w:color w:val="auto"/>
          <w:sz w:val="24"/>
          <w:szCs w:val="24"/>
        </w:rPr>
        <w:t>本企业对上述声明内容的真实性负责。如有虚假，将依法承担相应责任</w:t>
      </w:r>
    </w:p>
    <w:p w14:paraId="75903701">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720"/>
        <w:jc w:val="both"/>
        <w:rPr>
          <w:color w:val="auto"/>
        </w:rPr>
      </w:pPr>
      <w:r>
        <w:rPr>
          <w:color w:val="auto"/>
        </w:rPr>
        <w:t> </w:t>
      </w:r>
    </w:p>
    <w:p w14:paraId="44CA90FC">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180" w:firstLine="360"/>
        <w:jc w:val="center"/>
        <w:rPr>
          <w:color w:val="auto"/>
        </w:rPr>
      </w:pPr>
      <w:r>
        <w:rPr>
          <w:rFonts w:hint="eastAsia" w:ascii="宋体" w:hAnsi="宋体" w:eastAsia="宋体" w:cs="宋体"/>
          <w:color w:val="auto"/>
          <w:sz w:val="24"/>
          <w:szCs w:val="24"/>
        </w:rPr>
        <w:t>                                  企业名称（加盖CA电子公章）：</w:t>
      </w:r>
    </w:p>
    <w:p w14:paraId="1D84B817">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560"/>
        <w:jc w:val="both"/>
        <w:rPr>
          <w:color w:val="auto"/>
        </w:rPr>
      </w:pPr>
      <w:r>
        <w:rPr>
          <w:rFonts w:hint="eastAsia" w:ascii="宋体" w:hAnsi="宋体" w:eastAsia="宋体" w:cs="宋体"/>
          <w:color w:val="auto"/>
          <w:sz w:val="24"/>
          <w:szCs w:val="24"/>
        </w:rPr>
        <w:t>日  期：___年____月____日</w:t>
      </w:r>
    </w:p>
    <w:p w14:paraId="18B45FFC">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color w:val="auto"/>
        </w:rPr>
      </w:pPr>
      <w:r>
        <w:rPr>
          <w:color w:val="auto"/>
        </w:rPr>
        <w:t> </w:t>
      </w:r>
    </w:p>
    <w:p w14:paraId="07203339">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color w:val="auto"/>
        </w:rPr>
      </w:pPr>
      <w:r>
        <w:rPr>
          <w:rFonts w:hint="eastAsia" w:ascii="宋体" w:hAnsi="宋体" w:eastAsia="宋体" w:cs="宋体"/>
          <w:color w:val="auto"/>
          <w:sz w:val="24"/>
          <w:szCs w:val="24"/>
        </w:rPr>
        <w:t>备注：</w:t>
      </w:r>
    </w:p>
    <w:p w14:paraId="23E05D30">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color w:val="auto"/>
        </w:rPr>
      </w:pPr>
      <w:r>
        <w:rPr>
          <w:rFonts w:hint="eastAsia" w:ascii="宋体" w:hAnsi="宋体" w:eastAsia="宋体" w:cs="宋体"/>
          <w:color w:val="auto"/>
          <w:sz w:val="24"/>
          <w:szCs w:val="24"/>
        </w:rPr>
        <w:t>1.从业人员、营业收入、资产总额填报上一年度数据，无上一年度数据的新成立企业可不填报。</w:t>
      </w:r>
    </w:p>
    <w:p w14:paraId="66EC3668">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color w:val="auto"/>
        </w:rPr>
      </w:pPr>
      <w:r>
        <w:rPr>
          <w:rFonts w:hint="eastAsia" w:ascii="宋体" w:hAnsi="宋体" w:eastAsia="宋体" w:cs="宋体"/>
          <w:color w:val="auto"/>
          <w:sz w:val="24"/>
          <w:szCs w:val="24"/>
        </w:rPr>
        <w:t>2.专门面向中小微型企业采购的项目，供应商如不提供此声明函，则不能通过资格审查；非专门面向中小微型企业采购的项目，供应商如不提供此声明函，价格将不做相应扣除。</w:t>
      </w:r>
    </w:p>
    <w:p w14:paraId="33424FF8">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540" w:hanging="120"/>
        <w:jc w:val="both"/>
        <w:rPr>
          <w:color w:val="auto"/>
        </w:rPr>
      </w:pPr>
      <w:r>
        <w:rPr>
          <w:rFonts w:hint="eastAsia" w:ascii="宋体" w:hAnsi="宋体" w:eastAsia="宋体" w:cs="宋体"/>
          <w:color w:val="auto"/>
          <w:sz w:val="24"/>
          <w:szCs w:val="24"/>
        </w:rPr>
        <w:t>3.供应商应对照《工业和信息化部、国家统计局、国家发展和改革委员会、</w:t>
      </w:r>
    </w:p>
    <w:p w14:paraId="7F4E59C6">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bCs/>
          <w:color w:val="auto"/>
          <w:sz w:val="24"/>
        </w:rPr>
      </w:pPr>
      <w:r>
        <w:rPr>
          <w:rFonts w:hint="eastAsia" w:ascii="宋体" w:hAnsi="宋体" w:eastAsia="宋体" w:cs="宋体"/>
          <w:color w:val="auto"/>
          <w:sz w:val="24"/>
          <w:szCs w:val="24"/>
        </w:rPr>
        <w:t>财政部关于印发中小企业划型标准规定的通知》(工信部联企业〔2011〕300号)《国家统计局关于印发〈统计上大中小微型企业划分办法（2017）〉的通知》（国统字〔2017〕213号）的规定，自行勾选制造商的企业规模类型。</w:t>
      </w:r>
      <w:r>
        <w:rPr>
          <w:rFonts w:ascii="宋体" w:hAnsi="宋体"/>
          <w:bCs/>
          <w:color w:val="auto"/>
          <w:sz w:val="24"/>
        </w:rPr>
        <w:br w:type="page"/>
      </w:r>
    </w:p>
    <w:p w14:paraId="716F9CE4">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附件6：示范格式</w:t>
      </w:r>
    </w:p>
    <w:p w14:paraId="4E2EC03C">
      <w:pPr>
        <w:widowControl/>
        <w:spacing w:line="360" w:lineRule="auto"/>
        <w:jc w:val="center"/>
        <w:rPr>
          <w:rFonts w:ascii="宋体" w:hAnsi="宋体" w:cs="宋体"/>
          <w:color w:val="auto"/>
          <w:sz w:val="24"/>
        </w:rPr>
      </w:pPr>
      <w:r>
        <w:rPr>
          <w:rFonts w:hint="eastAsia" w:ascii="宋体" w:hAnsi="宋体" w:cs="宋体"/>
          <w:b/>
          <w:bCs/>
          <w:color w:val="auto"/>
          <w:sz w:val="32"/>
          <w:szCs w:val="32"/>
        </w:rPr>
        <w:t>残疾人福利性单位声明函</w:t>
      </w:r>
    </w:p>
    <w:p w14:paraId="7291AE60">
      <w:pPr>
        <w:spacing w:line="360" w:lineRule="auto"/>
        <w:rPr>
          <w:rFonts w:ascii="宋体" w:hAnsi="宋体"/>
          <w:bCs/>
          <w:color w:val="auto"/>
          <w:sz w:val="28"/>
          <w:szCs w:val="28"/>
        </w:rPr>
      </w:pPr>
      <w:r>
        <w:rPr>
          <w:rFonts w:hint="eastAsia" w:ascii="宋体" w:hAnsi="宋体"/>
          <w:bCs/>
          <w:color w:val="auto"/>
          <w:sz w:val="28"/>
          <w:szCs w:val="28"/>
        </w:rPr>
        <w:t>致招标人：</w:t>
      </w:r>
    </w:p>
    <w:p w14:paraId="59DB82AC">
      <w:pPr>
        <w:spacing w:line="360" w:lineRule="auto"/>
        <w:ind w:firstLine="560" w:firstLineChars="200"/>
        <w:rPr>
          <w:rFonts w:ascii="宋体" w:hAnsi="宋体"/>
          <w:bCs/>
          <w:color w:val="auto"/>
          <w:sz w:val="28"/>
          <w:szCs w:val="28"/>
        </w:rPr>
      </w:pPr>
      <w:r>
        <w:rPr>
          <w:rFonts w:hint="eastAsia" w:ascii="宋体" w:hAnsi="宋体"/>
          <w:bCs/>
          <w:color w:val="auto"/>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5530EC9B">
      <w:pPr>
        <w:spacing w:line="360" w:lineRule="auto"/>
        <w:ind w:firstLine="560" w:firstLineChars="200"/>
        <w:rPr>
          <w:rFonts w:ascii="宋体" w:hAnsi="宋体"/>
          <w:bCs/>
          <w:color w:val="auto"/>
          <w:sz w:val="28"/>
          <w:szCs w:val="28"/>
        </w:rPr>
      </w:pPr>
      <w:r>
        <w:rPr>
          <w:rFonts w:ascii="宋体" w:hAnsi="宋体"/>
          <w:bCs/>
          <w:color w:val="auto"/>
          <w:sz w:val="28"/>
          <w:szCs w:val="28"/>
        </w:rPr>
        <w:t>1</w:t>
      </w:r>
      <w:r>
        <w:rPr>
          <w:rFonts w:hint="eastAsia" w:ascii="宋体" w:hAnsi="宋体"/>
          <w:bCs/>
          <w:color w:val="auto"/>
          <w:sz w:val="28"/>
          <w:szCs w:val="28"/>
        </w:rPr>
        <w:t>、根据《财政部 民政部 中国残疾人联合会关于促进残疾人就业政府采购政策的通知》（财库〔2017〕141 号）规定的划分标准，本公司为残疾人福利性企业。</w:t>
      </w:r>
    </w:p>
    <w:p w14:paraId="50F1D445">
      <w:pPr>
        <w:spacing w:line="360" w:lineRule="auto"/>
        <w:ind w:firstLine="560" w:firstLineChars="200"/>
        <w:rPr>
          <w:rFonts w:ascii="宋体" w:hAnsi="宋体"/>
          <w:bCs/>
          <w:color w:val="auto"/>
          <w:sz w:val="28"/>
          <w:szCs w:val="28"/>
        </w:rPr>
      </w:pPr>
      <w:r>
        <w:rPr>
          <w:rFonts w:ascii="宋体" w:hAnsi="宋体"/>
          <w:bCs/>
          <w:color w:val="auto"/>
          <w:sz w:val="28"/>
          <w:szCs w:val="28"/>
        </w:rPr>
        <w:t>2</w:t>
      </w:r>
      <w:r>
        <w:rPr>
          <w:rFonts w:hint="eastAsia" w:ascii="宋体" w:hAnsi="宋体"/>
          <w:bCs/>
          <w:color w:val="auto"/>
          <w:sz w:val="28"/>
          <w:szCs w:val="28"/>
        </w:rPr>
        <w:t>、本单位参加（采购单位名称）</w:t>
      </w:r>
      <w:r>
        <w:rPr>
          <w:rFonts w:ascii="宋体" w:hAnsi="宋体"/>
          <w:bCs/>
          <w:color w:val="auto"/>
          <w:sz w:val="28"/>
          <w:szCs w:val="28"/>
        </w:rPr>
        <w:t xml:space="preserve"> </w:t>
      </w:r>
      <w:r>
        <w:rPr>
          <w:rFonts w:hint="eastAsia" w:ascii="宋体" w:hAnsi="宋体"/>
          <w:bCs/>
          <w:color w:val="auto"/>
          <w:sz w:val="28"/>
          <w:szCs w:val="28"/>
        </w:rPr>
        <w:t>的（采购项目名称）采购活动提供本企业制造的货物，由本企业承担工程、提供服务，或者提供其他残疾人福利性单位制造的货物（不包括使用非残疾人福利性单位注册商标的货物。</w:t>
      </w:r>
    </w:p>
    <w:p w14:paraId="68692C5D">
      <w:pPr>
        <w:spacing w:line="360" w:lineRule="auto"/>
        <w:ind w:firstLine="560" w:firstLineChars="200"/>
        <w:rPr>
          <w:rFonts w:ascii="宋体" w:hAnsi="宋体"/>
          <w:bCs/>
          <w:color w:val="auto"/>
          <w:sz w:val="28"/>
          <w:szCs w:val="28"/>
        </w:rPr>
      </w:pPr>
      <w:r>
        <w:rPr>
          <w:rFonts w:hint="eastAsia" w:ascii="宋体" w:hAnsi="宋体" w:cs="仿宋_GB2312"/>
          <w:color w:val="auto"/>
          <w:sz w:val="28"/>
          <w:szCs w:val="28"/>
        </w:rPr>
        <w:t>注:</w:t>
      </w:r>
      <w:r>
        <w:rPr>
          <w:rFonts w:hint="eastAsia" w:ascii="宋体" w:hAnsi="宋体"/>
          <w:bCs/>
          <w:color w:val="auto"/>
          <w:sz w:val="28"/>
          <w:szCs w:val="28"/>
        </w:rPr>
        <w:t>本公司对上述声明的真实性负责。如有虚假，将依法承担相应责任。</w:t>
      </w:r>
    </w:p>
    <w:p w14:paraId="25D7C8B3">
      <w:pPr>
        <w:spacing w:line="640" w:lineRule="exact"/>
        <w:ind w:firstLine="560"/>
        <w:rPr>
          <w:rFonts w:ascii="宋体" w:hAnsi="宋体"/>
          <w:color w:val="auto"/>
          <w:sz w:val="28"/>
          <w:szCs w:val="28"/>
        </w:rPr>
      </w:pPr>
    </w:p>
    <w:p w14:paraId="623B377E">
      <w:pPr>
        <w:spacing w:line="360" w:lineRule="auto"/>
        <w:jc w:val="center"/>
        <w:rPr>
          <w:rFonts w:ascii="宋体" w:hAnsi="宋体" w:cs="楷体_GB2312"/>
          <w:color w:val="auto"/>
          <w:sz w:val="28"/>
          <w:szCs w:val="28"/>
          <w:lang w:val="zh-CN"/>
        </w:rPr>
      </w:pPr>
      <w:r>
        <w:rPr>
          <w:rFonts w:hint="eastAsia" w:ascii="宋体" w:hAnsi="宋体" w:cs="楷体_GB2312"/>
          <w:color w:val="auto"/>
          <w:sz w:val="28"/>
          <w:szCs w:val="28"/>
          <w:lang w:val="zh-CN"/>
        </w:rPr>
        <w:t xml:space="preserve">                    投标人:</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     </w:t>
      </w:r>
    </w:p>
    <w:p w14:paraId="14CCCD05">
      <w:pPr>
        <w:spacing w:line="360" w:lineRule="auto"/>
        <w:jc w:val="center"/>
        <w:rPr>
          <w:rFonts w:ascii="宋体" w:hAnsi="宋体" w:cs="楷体_GB2312"/>
          <w:color w:val="auto"/>
          <w:sz w:val="28"/>
          <w:szCs w:val="28"/>
          <w:lang w:val="zh-CN"/>
        </w:rPr>
      </w:pPr>
      <w:r>
        <w:rPr>
          <w:rFonts w:hint="eastAsia" w:ascii="宋体" w:hAnsi="宋体" w:cs="楷体_GB2312"/>
          <w:color w:val="auto"/>
          <w:sz w:val="28"/>
          <w:szCs w:val="28"/>
          <w:lang w:val="zh-CN"/>
        </w:rPr>
        <w:t xml:space="preserve">                          </w:t>
      </w:r>
      <w:r>
        <w:rPr>
          <w:rFonts w:hint="eastAsia" w:ascii="宋体" w:hAnsi="宋体"/>
          <w:color w:val="auto"/>
          <w:sz w:val="28"/>
          <w:szCs w:val="28"/>
        </w:rPr>
        <w:t>法定代表人:</w:t>
      </w:r>
      <w:r>
        <w:rPr>
          <w:rFonts w:hint="eastAsia" w:ascii="宋体" w:hAnsi="宋体"/>
          <w:color w:val="auto"/>
          <w:sz w:val="28"/>
          <w:u w:val="single"/>
        </w:rPr>
        <w:t>（电子签章或电子签字）</w:t>
      </w:r>
    </w:p>
    <w:p w14:paraId="0FE1F00B">
      <w:pPr>
        <w:spacing w:line="360" w:lineRule="auto"/>
        <w:jc w:val="center"/>
        <w:rPr>
          <w:rFonts w:ascii="宋体" w:hAnsi="宋体" w:cs="楷体_GB2312"/>
          <w:color w:val="auto"/>
          <w:sz w:val="28"/>
          <w:szCs w:val="28"/>
          <w:lang w:val="zh-CN"/>
        </w:rPr>
      </w:pPr>
      <w:r>
        <w:rPr>
          <w:rFonts w:ascii="宋体" w:hAnsi="宋体" w:cs="楷体_GB2312"/>
          <w:color w:val="auto"/>
          <w:sz w:val="28"/>
          <w:szCs w:val="28"/>
          <w:lang w:val="zh-CN"/>
        </w:rPr>
        <w:t xml:space="preserve">                      </w:t>
      </w:r>
      <w:r>
        <w:rPr>
          <w:rFonts w:hint="eastAsia" w:ascii="宋体" w:hAnsi="宋体" w:cs="楷体_GB2312"/>
          <w:color w:val="auto"/>
          <w:sz w:val="28"/>
          <w:szCs w:val="28"/>
          <w:lang w:val="zh-CN"/>
        </w:rPr>
        <w:t xml:space="preserve">  日期</w:t>
      </w:r>
      <w:r>
        <w:rPr>
          <w:rFonts w:hint="eastAsia" w:ascii="宋体" w:hAnsi="宋体"/>
          <w:color w:val="auto"/>
          <w:sz w:val="28"/>
          <w:szCs w:val="28"/>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7956C7F5">
      <w:pPr>
        <w:spacing w:line="640" w:lineRule="exact"/>
        <w:ind w:firstLine="565"/>
        <w:rPr>
          <w:rFonts w:ascii="宋体" w:hAnsi="宋体" w:cs="仿宋_GB2312"/>
          <w:b/>
          <w:bCs/>
          <w:color w:val="auto"/>
          <w:sz w:val="28"/>
          <w:szCs w:val="28"/>
        </w:rPr>
      </w:pPr>
    </w:p>
    <w:p w14:paraId="293C60F4">
      <w:pPr>
        <w:spacing w:line="640" w:lineRule="exact"/>
        <w:ind w:firstLine="565"/>
        <w:rPr>
          <w:rFonts w:ascii="宋体" w:hAnsi="宋体" w:cs="仿宋_GB2312"/>
          <w:b/>
          <w:bCs/>
          <w:color w:val="auto"/>
          <w:sz w:val="28"/>
          <w:szCs w:val="28"/>
        </w:rPr>
      </w:pPr>
    </w:p>
    <w:p w14:paraId="69C28473">
      <w:pPr>
        <w:spacing w:line="640" w:lineRule="exact"/>
        <w:ind w:firstLine="565"/>
        <w:rPr>
          <w:rFonts w:ascii="宋体" w:hAnsi="宋体"/>
          <w:b/>
          <w:bCs/>
          <w:color w:val="auto"/>
          <w:sz w:val="24"/>
        </w:rPr>
      </w:pPr>
      <w:r>
        <w:rPr>
          <w:rFonts w:hint="eastAsia" w:ascii="宋体" w:hAnsi="宋体" w:cs="仿宋_GB2312"/>
          <w:b/>
          <w:bCs/>
          <w:color w:val="auto"/>
          <w:sz w:val="24"/>
        </w:rPr>
        <w:t>注:</w:t>
      </w:r>
      <w:r>
        <w:rPr>
          <w:rFonts w:hint="eastAsia" w:ascii="宋体" w:hAnsi="宋体"/>
          <w:b/>
          <w:bCs/>
          <w:color w:val="auto"/>
          <w:sz w:val="24"/>
        </w:rPr>
        <w:t>非</w:t>
      </w:r>
      <w:r>
        <w:rPr>
          <w:rFonts w:hint="eastAsia" w:ascii="宋体" w:hAnsi="宋体"/>
          <w:b/>
          <w:bCs/>
          <w:color w:val="auto"/>
          <w:sz w:val="24"/>
          <w:szCs w:val="22"/>
        </w:rPr>
        <w:t>残疾人福利性单位不</w:t>
      </w:r>
      <w:r>
        <w:rPr>
          <w:rFonts w:hint="eastAsia" w:ascii="宋体" w:hAnsi="宋体"/>
          <w:b/>
          <w:bCs/>
          <w:color w:val="auto"/>
          <w:sz w:val="24"/>
        </w:rPr>
        <w:t>需提供此函。</w:t>
      </w:r>
    </w:p>
    <w:p w14:paraId="65470028">
      <w:pPr>
        <w:widowControl/>
        <w:jc w:val="left"/>
        <w:rPr>
          <w:rFonts w:ascii="宋体" w:hAnsi="宋体"/>
          <w:b/>
          <w:bCs/>
          <w:color w:val="auto"/>
          <w:sz w:val="28"/>
          <w:szCs w:val="28"/>
        </w:rPr>
      </w:pPr>
      <w:r>
        <w:rPr>
          <w:rFonts w:ascii="宋体" w:hAnsi="宋体"/>
          <w:b/>
          <w:bCs/>
          <w:color w:val="auto"/>
          <w:sz w:val="28"/>
          <w:szCs w:val="28"/>
        </w:rPr>
        <w:br w:type="page"/>
      </w:r>
    </w:p>
    <w:p w14:paraId="7E76E776">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附件7：示范格式</w:t>
      </w:r>
    </w:p>
    <w:p w14:paraId="36BBF491">
      <w:pPr>
        <w:spacing w:before="120" w:beforeLines="50" w:after="120" w:afterLines="50" w:line="360" w:lineRule="auto"/>
        <w:jc w:val="center"/>
        <w:rPr>
          <w:rFonts w:ascii="宋体" w:hAnsi="宋体"/>
          <w:b/>
          <w:bCs/>
          <w:color w:val="auto"/>
          <w:sz w:val="32"/>
          <w:szCs w:val="32"/>
        </w:rPr>
      </w:pPr>
      <w:r>
        <w:rPr>
          <w:rFonts w:hint="eastAsia" w:ascii="宋体" w:hAnsi="宋体"/>
          <w:b/>
          <w:bCs/>
          <w:color w:val="auto"/>
          <w:sz w:val="32"/>
          <w:szCs w:val="32"/>
        </w:rPr>
        <w:t>现场测试承诺函</w:t>
      </w:r>
    </w:p>
    <w:p w14:paraId="6CF32AEC">
      <w:pPr>
        <w:pBdr>
          <w:top w:val="none" w:color="000000" w:sz="0" w:space="0"/>
          <w:left w:val="none" w:color="000000" w:sz="0" w:space="0"/>
          <w:bottom w:val="none" w:color="000000" w:sz="0" w:space="0"/>
          <w:right w:val="none" w:color="000000" w:sz="0" w:space="0"/>
        </w:pBdr>
        <w:spacing w:line="360" w:lineRule="auto"/>
        <w:rPr>
          <w:rFonts w:ascii="宋体" w:hAnsi="宋体"/>
          <w:color w:val="auto"/>
          <w:sz w:val="28"/>
          <w:szCs w:val="28"/>
        </w:rPr>
      </w:pPr>
      <w:r>
        <w:rPr>
          <w:rFonts w:hint="eastAsia" w:ascii="宋体" w:hAnsi="宋体"/>
          <w:bCs/>
          <w:color w:val="auto"/>
          <w:sz w:val="28"/>
          <w:szCs w:val="28"/>
        </w:rPr>
        <w:t>致：</w:t>
      </w:r>
      <w:r>
        <w:rPr>
          <w:rFonts w:hint="eastAsia" w:ascii="宋体" w:hAnsi="宋体" w:cs="宋体"/>
          <w:color w:val="auto"/>
          <w:sz w:val="28"/>
          <w:szCs w:val="28"/>
          <w:u w:val="single"/>
        </w:rPr>
        <w:t xml:space="preserve">     </w:t>
      </w:r>
      <w:r>
        <w:rPr>
          <w:rFonts w:ascii="宋体" w:hAnsi="宋体" w:cs="宋体"/>
          <w:color w:val="auto"/>
          <w:sz w:val="28"/>
          <w:szCs w:val="28"/>
          <w:u w:val="single"/>
        </w:rPr>
        <w:t>（采购单位）</w:t>
      </w:r>
      <w:r>
        <w:rPr>
          <w:rFonts w:hint="eastAsia" w:ascii="宋体" w:hAnsi="宋体" w:cs="宋体"/>
          <w:color w:val="auto"/>
          <w:sz w:val="28"/>
          <w:szCs w:val="28"/>
          <w:u w:val="single"/>
        </w:rPr>
        <w:t xml:space="preserve">       </w:t>
      </w:r>
      <w:r>
        <w:rPr>
          <w:rFonts w:ascii="宋体" w:hAnsi="宋体" w:cs="宋体"/>
          <w:color w:val="auto"/>
          <w:sz w:val="28"/>
          <w:szCs w:val="28"/>
        </w:rPr>
        <w:t>：</w:t>
      </w:r>
    </w:p>
    <w:p w14:paraId="6AF8B48C">
      <w:pPr>
        <w:pBdr>
          <w:top w:val="none" w:color="000000" w:sz="0" w:space="0"/>
          <w:left w:val="none" w:color="000000" w:sz="0" w:space="0"/>
          <w:bottom w:val="none" w:color="000000" w:sz="0" w:space="0"/>
          <w:right w:val="none" w:color="000000" w:sz="0" w:space="0"/>
        </w:pBd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我公司</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在认真阅读并充分理解</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（项目名称</w:t>
      </w:r>
      <w:r>
        <w:rPr>
          <w:rFonts w:ascii="宋体" w:hAnsi="宋体"/>
          <w:color w:val="auto"/>
          <w:kern w:val="2"/>
          <w:sz w:val="28"/>
          <w:szCs w:val="28"/>
          <w:u w:val="single"/>
        </w:rPr>
        <w:t>）</w:t>
      </w:r>
      <w:r>
        <w:rPr>
          <w:rFonts w:hint="eastAsia" w:ascii="宋体" w:hAnsi="宋体"/>
          <w:color w:val="auto"/>
          <w:kern w:val="2"/>
          <w:sz w:val="28"/>
          <w:szCs w:val="28"/>
          <w:u w:val="single"/>
        </w:rPr>
        <w:t xml:space="preserve"> </w:t>
      </w:r>
      <w:r>
        <w:rPr>
          <w:rFonts w:hint="eastAsia" w:ascii="宋体" w:hAnsi="宋体" w:cs="宋体"/>
          <w:color w:val="auto"/>
          <w:sz w:val="28"/>
          <w:szCs w:val="28"/>
        </w:rPr>
        <w:t>公开招标文件</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w:t>
      </w:r>
      <w:r>
        <w:rPr>
          <w:rFonts w:hint="eastAsia" w:ascii="宋体" w:hAnsi="宋体" w:cs="宋体"/>
          <w:color w:val="auto"/>
          <w:sz w:val="28"/>
          <w:szCs w:val="28"/>
          <w:u w:val="single"/>
        </w:rPr>
        <w:t>项目</w:t>
      </w:r>
      <w:r>
        <w:rPr>
          <w:rFonts w:ascii="宋体" w:hAnsi="宋体" w:cs="宋体"/>
          <w:color w:val="auto"/>
          <w:sz w:val="28"/>
          <w:szCs w:val="28"/>
          <w:u w:val="single"/>
        </w:rPr>
        <w:t>编号：</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 xml:space="preserve">） </w:t>
      </w:r>
      <w:r>
        <w:rPr>
          <w:rFonts w:ascii="宋体" w:hAnsi="宋体" w:cs="宋体"/>
          <w:color w:val="auto"/>
          <w:sz w:val="28"/>
          <w:szCs w:val="28"/>
        </w:rPr>
        <w:t>全部内容的基础上，</w:t>
      </w:r>
      <w:r>
        <w:rPr>
          <w:rFonts w:hint="eastAsia" w:ascii="宋体" w:hAnsi="宋体" w:cs="宋体"/>
          <w:color w:val="auto"/>
          <w:sz w:val="28"/>
          <w:szCs w:val="28"/>
        </w:rPr>
        <w:t>对我公司所投产品</w:t>
      </w:r>
      <w:r>
        <w:rPr>
          <w:rFonts w:hint="eastAsia" w:ascii="宋体" w:hAnsi="宋体" w:cs="宋体"/>
          <w:color w:val="auto"/>
          <w:sz w:val="28"/>
          <w:szCs w:val="28"/>
          <w:u w:val="single"/>
        </w:rPr>
        <w:t xml:space="preserve">  </w:t>
      </w:r>
      <w:r>
        <w:rPr>
          <w:rFonts w:hint="eastAsia" w:ascii="宋体" w:hAnsi="宋体"/>
          <w:color w:val="auto"/>
          <w:kern w:val="2"/>
          <w:sz w:val="28"/>
          <w:szCs w:val="28"/>
          <w:u w:val="single"/>
        </w:rPr>
        <w:t>（</w:t>
      </w:r>
      <w:r>
        <w:rPr>
          <w:rFonts w:hint="eastAsia" w:ascii="宋体" w:hAnsi="宋体" w:cs="宋体"/>
          <w:color w:val="auto"/>
          <w:sz w:val="28"/>
          <w:szCs w:val="28"/>
          <w:u w:val="single"/>
        </w:rPr>
        <w:t>产品名称</w:t>
      </w:r>
      <w:r>
        <w:rPr>
          <w:rFonts w:hint="eastAsia" w:ascii="宋体" w:hAnsi="宋体"/>
          <w:color w:val="auto"/>
          <w:kern w:val="2"/>
          <w:sz w:val="28"/>
          <w:szCs w:val="28"/>
          <w:u w:val="single"/>
        </w:rPr>
        <w:t xml:space="preserve">）  </w:t>
      </w:r>
      <w:r>
        <w:rPr>
          <w:rFonts w:ascii="宋体" w:hAnsi="宋体" w:cs="宋体"/>
          <w:color w:val="auto"/>
          <w:sz w:val="28"/>
          <w:szCs w:val="28"/>
        </w:rPr>
        <w:t>郑重作出如下承诺：</w:t>
      </w:r>
    </w:p>
    <w:p w14:paraId="62335193">
      <w:pPr>
        <w:spacing w:line="360" w:lineRule="auto"/>
        <w:ind w:firstLine="560"/>
        <w:rPr>
          <w:rFonts w:ascii="宋体" w:hAnsi="宋体"/>
          <w:color w:val="auto"/>
          <w:sz w:val="28"/>
          <w:szCs w:val="28"/>
        </w:rPr>
      </w:pPr>
      <w:r>
        <w:rPr>
          <w:rFonts w:hint="eastAsia" w:ascii="宋体" w:hAnsi="宋体"/>
          <w:color w:val="auto"/>
          <w:kern w:val="2"/>
          <w:sz w:val="28"/>
          <w:szCs w:val="28"/>
        </w:rPr>
        <w:t>1.</w:t>
      </w:r>
      <w:r>
        <w:rPr>
          <w:rFonts w:hint="eastAsia" w:ascii="宋体" w:hAnsi="宋体"/>
          <w:color w:val="auto"/>
          <w:sz w:val="28"/>
          <w:szCs w:val="28"/>
        </w:rPr>
        <w:t xml:space="preserve"> 我司在中标公示结束后5个日历日内，安排人员前往盱眙县应急管理局自行搭建测试环境，依据招标文件及采购人要求完成对应产品的现场接入测试，并</w:t>
      </w:r>
      <w:r>
        <w:rPr>
          <w:rFonts w:hint="eastAsia" w:ascii="宋体" w:hAnsi="宋体"/>
          <w:color w:val="auto"/>
          <w:kern w:val="2"/>
          <w:sz w:val="28"/>
          <w:szCs w:val="28"/>
        </w:rPr>
        <w:t>按</w:t>
      </w:r>
      <w:r>
        <w:rPr>
          <w:rFonts w:ascii="宋体" w:hAnsi="宋体"/>
          <w:color w:val="auto"/>
          <w:kern w:val="2"/>
          <w:sz w:val="28"/>
          <w:szCs w:val="28"/>
        </w:rPr>
        <w:t>招标文件</w:t>
      </w:r>
      <w:r>
        <w:rPr>
          <w:rFonts w:hint="eastAsia" w:ascii="宋体" w:hAnsi="宋体"/>
          <w:color w:val="auto"/>
          <w:sz w:val="28"/>
          <w:szCs w:val="28"/>
        </w:rPr>
        <w:t>及采购人要求</w:t>
      </w:r>
      <w:r>
        <w:rPr>
          <w:rFonts w:hint="eastAsia" w:ascii="宋体" w:hAnsi="宋体"/>
          <w:color w:val="auto"/>
          <w:kern w:val="2"/>
          <w:sz w:val="28"/>
          <w:szCs w:val="28"/>
        </w:rPr>
        <w:t>通过现场测试</w:t>
      </w:r>
      <w:r>
        <w:rPr>
          <w:rFonts w:hint="eastAsia" w:ascii="宋体" w:hAnsi="宋体"/>
          <w:color w:val="auto"/>
          <w:sz w:val="28"/>
          <w:szCs w:val="28"/>
        </w:rPr>
        <w:t>。</w:t>
      </w:r>
    </w:p>
    <w:p w14:paraId="65CD51D6">
      <w:pPr>
        <w:spacing w:line="360" w:lineRule="auto"/>
        <w:ind w:firstLine="560"/>
        <w:rPr>
          <w:rFonts w:ascii="宋体" w:hAnsi="宋体"/>
          <w:color w:val="auto"/>
          <w:kern w:val="2"/>
          <w:sz w:val="28"/>
          <w:szCs w:val="28"/>
        </w:rPr>
      </w:pPr>
      <w:r>
        <w:rPr>
          <w:rFonts w:hint="eastAsia" w:ascii="宋体" w:hAnsi="宋体"/>
          <w:color w:val="auto"/>
          <w:kern w:val="2"/>
          <w:sz w:val="28"/>
          <w:szCs w:val="28"/>
        </w:rPr>
        <w:t xml:space="preserve">2. </w:t>
      </w:r>
      <w:r>
        <w:rPr>
          <w:rFonts w:hint="eastAsia" w:ascii="宋体" w:hAnsi="宋体"/>
          <w:color w:val="auto"/>
          <w:sz w:val="28"/>
          <w:szCs w:val="28"/>
        </w:rPr>
        <w:t>我司</w:t>
      </w:r>
      <w:r>
        <w:rPr>
          <w:rFonts w:hint="eastAsia" w:ascii="宋体" w:hAnsi="宋体"/>
          <w:color w:val="auto"/>
          <w:kern w:val="2"/>
          <w:sz w:val="28"/>
          <w:szCs w:val="28"/>
        </w:rPr>
        <w:t>承担对接实施过程中的全部费用，不向招标人另行收取任何费用。</w:t>
      </w:r>
    </w:p>
    <w:p w14:paraId="10C96BFE">
      <w:pPr>
        <w:numPr>
          <w:ilvl w:val="255"/>
          <w:numId w:val="0"/>
        </w:numPr>
        <w:spacing w:line="360" w:lineRule="auto"/>
        <w:ind w:firstLine="560" w:firstLineChars="200"/>
        <w:rPr>
          <w:rFonts w:ascii="宋体" w:hAnsi="宋体"/>
          <w:color w:val="auto"/>
          <w:kern w:val="2"/>
          <w:sz w:val="28"/>
          <w:szCs w:val="28"/>
        </w:rPr>
      </w:pPr>
    </w:p>
    <w:p w14:paraId="1A409C4F">
      <w:pPr>
        <w:numPr>
          <w:ilvl w:val="255"/>
          <w:numId w:val="0"/>
        </w:numPr>
        <w:spacing w:line="360" w:lineRule="auto"/>
        <w:ind w:firstLine="560" w:firstLineChars="200"/>
        <w:rPr>
          <w:rFonts w:ascii="宋体" w:hAnsi="宋体"/>
          <w:color w:val="auto"/>
          <w:kern w:val="2"/>
          <w:sz w:val="28"/>
          <w:szCs w:val="28"/>
        </w:rPr>
      </w:pPr>
      <w:r>
        <w:rPr>
          <w:rFonts w:hint="eastAsia" w:ascii="宋体" w:hAnsi="宋体"/>
          <w:color w:val="auto"/>
          <w:kern w:val="2"/>
          <w:sz w:val="28"/>
          <w:szCs w:val="28"/>
        </w:rPr>
        <w:t>无论因任何原因，</w:t>
      </w:r>
      <w:r>
        <w:rPr>
          <w:rFonts w:ascii="宋体" w:hAnsi="宋体"/>
          <w:color w:val="auto"/>
          <w:kern w:val="2"/>
          <w:sz w:val="28"/>
          <w:szCs w:val="28"/>
        </w:rPr>
        <w:t>我方</w:t>
      </w:r>
      <w:r>
        <w:rPr>
          <w:rFonts w:hint="eastAsia" w:ascii="宋体" w:hAnsi="宋体"/>
          <w:color w:val="auto"/>
          <w:kern w:val="2"/>
          <w:sz w:val="28"/>
          <w:szCs w:val="28"/>
        </w:rPr>
        <w:t>若</w:t>
      </w:r>
      <w:r>
        <w:rPr>
          <w:rFonts w:ascii="宋体" w:hAnsi="宋体"/>
          <w:color w:val="auto"/>
          <w:kern w:val="2"/>
          <w:sz w:val="28"/>
          <w:szCs w:val="28"/>
        </w:rPr>
        <w:t>违反上述任一承诺事项，</w:t>
      </w:r>
      <w:r>
        <w:rPr>
          <w:rFonts w:hint="eastAsia" w:ascii="宋体" w:hAnsi="宋体"/>
          <w:color w:val="auto"/>
          <w:sz w:val="28"/>
          <w:szCs w:val="28"/>
        </w:rPr>
        <w:t>我司</w:t>
      </w:r>
      <w:r>
        <w:rPr>
          <w:rFonts w:hint="eastAsia" w:ascii="宋体" w:hAnsi="宋体"/>
          <w:color w:val="auto"/>
          <w:kern w:val="2"/>
          <w:sz w:val="28"/>
          <w:szCs w:val="28"/>
        </w:rPr>
        <w:t>将自愿放弃中标候选人及中标资格，同时采购人有权取消我司中标资格，并有权依据招标文件规定及《中华人民共和国政府采购法》等相关法律法规追究我方法律责任，不提出任何异议、抗辩或索赔。</w:t>
      </w:r>
    </w:p>
    <w:p w14:paraId="3BB93C8B">
      <w:pPr>
        <w:numPr>
          <w:ilvl w:val="255"/>
          <w:numId w:val="0"/>
        </w:numPr>
        <w:spacing w:line="360" w:lineRule="auto"/>
        <w:ind w:firstLine="560" w:firstLineChars="200"/>
        <w:rPr>
          <w:rFonts w:ascii="宋体" w:hAnsi="宋体"/>
          <w:color w:val="auto"/>
          <w:kern w:val="2"/>
          <w:sz w:val="28"/>
          <w:szCs w:val="28"/>
        </w:rPr>
      </w:pPr>
      <w:r>
        <w:rPr>
          <w:rFonts w:hint="eastAsia" w:ascii="宋体" w:hAnsi="宋体"/>
          <w:color w:val="auto"/>
          <w:sz w:val="28"/>
          <w:szCs w:val="28"/>
        </w:rPr>
        <w:t>我司</w:t>
      </w:r>
      <w:r>
        <w:rPr>
          <w:rFonts w:hint="eastAsia" w:ascii="宋体" w:hAnsi="宋体"/>
          <w:color w:val="auto"/>
          <w:kern w:val="2"/>
          <w:sz w:val="28"/>
          <w:szCs w:val="28"/>
        </w:rPr>
        <w:t>自愿承担由此产生的一切直接、间接经济损失（包括但不限于项目延期成本、二次招标费用、人力管理成本等），并同意采购人将我方本次违约、虚假响应行为报送相关部门，自愿接受依据相关法律法规开展的调查、行政处罚、信用惩戒及相关追责工作。</w:t>
      </w:r>
    </w:p>
    <w:p w14:paraId="4C548307">
      <w:pPr>
        <w:numPr>
          <w:ilvl w:val="255"/>
          <w:numId w:val="0"/>
        </w:numPr>
        <w:spacing w:line="360" w:lineRule="auto"/>
        <w:ind w:firstLine="560" w:firstLineChars="200"/>
        <w:rPr>
          <w:rFonts w:ascii="宋体" w:hAnsi="宋体"/>
          <w:color w:val="auto"/>
          <w:kern w:val="2"/>
          <w:sz w:val="28"/>
          <w:szCs w:val="28"/>
        </w:rPr>
      </w:pPr>
      <w:r>
        <w:rPr>
          <w:rFonts w:hint="eastAsia" w:ascii="宋体" w:hAnsi="宋体"/>
          <w:color w:val="auto"/>
          <w:kern w:val="2"/>
          <w:sz w:val="28"/>
          <w:szCs w:val="28"/>
        </w:rPr>
        <w:t>我司确认本承诺函为投标文件的有效组成部分。</w:t>
      </w:r>
    </w:p>
    <w:p w14:paraId="005A4E6A">
      <w:pPr>
        <w:tabs>
          <w:tab w:val="left" w:pos="720"/>
        </w:tabs>
        <w:spacing w:line="360" w:lineRule="auto"/>
        <w:rPr>
          <w:rFonts w:ascii="宋体" w:hAnsi="宋体"/>
          <w:color w:val="auto"/>
          <w:kern w:val="2"/>
          <w:sz w:val="28"/>
          <w:szCs w:val="28"/>
        </w:rPr>
      </w:pPr>
    </w:p>
    <w:p w14:paraId="24BE74B3">
      <w:pPr>
        <w:spacing w:line="360" w:lineRule="auto"/>
        <w:jc w:val="right"/>
        <w:rPr>
          <w:rFonts w:ascii="宋体" w:hAnsi="宋体"/>
          <w:color w:val="auto"/>
          <w:sz w:val="28"/>
          <w:szCs w:val="28"/>
        </w:rPr>
      </w:pPr>
    </w:p>
    <w:p w14:paraId="010ADBAC">
      <w:pPr>
        <w:spacing w:line="360" w:lineRule="auto"/>
        <w:jc w:val="right"/>
        <w:rPr>
          <w:rFonts w:ascii="宋体" w:hAnsi="宋体" w:cs="楷体_GB2312"/>
          <w:color w:val="auto"/>
          <w:sz w:val="28"/>
          <w:szCs w:val="28"/>
          <w:lang w:val="zh-CN"/>
        </w:rPr>
      </w:pPr>
      <w:r>
        <w:rPr>
          <w:rFonts w:hint="eastAsia" w:ascii="宋体" w:hAnsi="宋体"/>
          <w:color w:val="auto"/>
          <w:sz w:val="28"/>
          <w:szCs w:val="28"/>
        </w:rPr>
        <w:t>承诺人</w:t>
      </w:r>
      <w:r>
        <w:rPr>
          <w:rFonts w:hint="eastAsia" w:ascii="宋体" w:hAnsi="宋体" w:cs="楷体_GB2312"/>
          <w:color w:val="auto"/>
          <w:sz w:val="28"/>
          <w:szCs w:val="28"/>
          <w:lang w:val="zh-CN"/>
        </w:rPr>
        <w:t>：</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（电子签章）</w:t>
      </w:r>
    </w:p>
    <w:p w14:paraId="07753718">
      <w:pPr>
        <w:spacing w:line="360" w:lineRule="auto"/>
        <w:jc w:val="right"/>
        <w:rPr>
          <w:rFonts w:hint="eastAsia" w:ascii="宋体" w:hAnsi="宋体" w:cs="楷体_GB2312"/>
          <w:color w:val="auto"/>
          <w:sz w:val="28"/>
          <w:szCs w:val="28"/>
          <w:lang w:val="zh-CN"/>
        </w:rPr>
      </w:pPr>
      <w:r>
        <w:rPr>
          <w:rFonts w:hint="eastAsia" w:ascii="宋体" w:hAnsi="宋体" w:cs="楷体_GB2312"/>
          <w:color w:val="auto"/>
          <w:sz w:val="28"/>
          <w:szCs w:val="28"/>
          <w:lang w:val="zh-CN"/>
        </w:rPr>
        <w:t>日期：</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年</w:t>
      </w:r>
      <w:r>
        <w:rPr>
          <w:rFonts w:ascii="宋体" w:hAnsi="宋体" w:cs="楷体_GB2312"/>
          <w:color w:val="auto"/>
          <w:sz w:val="28"/>
          <w:szCs w:val="28"/>
          <w:lang w:val="zh-CN"/>
        </w:rPr>
        <w:t xml:space="preserve"> </w:t>
      </w:r>
      <w:r>
        <w:rPr>
          <w:rFonts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月</w:t>
      </w:r>
      <w:r>
        <w:rPr>
          <w:rFonts w:ascii="宋体" w:hAnsi="宋体" w:cs="楷体_GB2312"/>
          <w:color w:val="auto"/>
          <w:sz w:val="28"/>
          <w:szCs w:val="28"/>
          <w:u w:val="single"/>
          <w:lang w:val="zh-CN"/>
        </w:rPr>
        <w:t xml:space="preserve">   </w:t>
      </w:r>
      <w:r>
        <w:rPr>
          <w:rFonts w:hint="eastAsia" w:ascii="宋体" w:hAnsi="宋体" w:cs="楷体_GB2312"/>
          <w:color w:val="auto"/>
          <w:sz w:val="28"/>
          <w:szCs w:val="28"/>
          <w:u w:val="single"/>
          <w:lang w:val="zh-CN"/>
        </w:rPr>
        <w:t xml:space="preserve"> </w:t>
      </w:r>
      <w:r>
        <w:rPr>
          <w:rFonts w:hint="eastAsia" w:ascii="宋体" w:hAnsi="宋体" w:cs="楷体_GB2312"/>
          <w:color w:val="auto"/>
          <w:sz w:val="28"/>
          <w:szCs w:val="28"/>
          <w:lang w:val="zh-CN"/>
        </w:rPr>
        <w:t>日</w:t>
      </w:r>
    </w:p>
    <w:p w14:paraId="339EAEA2">
      <w:pPr>
        <w:spacing w:before="120" w:beforeLines="50" w:after="120" w:afterLines="50" w:line="360" w:lineRule="auto"/>
        <w:rPr>
          <w:rFonts w:ascii="宋体" w:hAnsi="宋体"/>
          <w:b/>
          <w:bCs/>
          <w:color w:val="auto"/>
          <w:sz w:val="32"/>
          <w:szCs w:val="32"/>
        </w:rPr>
      </w:pPr>
      <w:r>
        <w:rPr>
          <w:rFonts w:hint="eastAsia" w:ascii="宋体" w:hAnsi="宋体"/>
          <w:b/>
          <w:bCs/>
          <w:color w:val="auto"/>
          <w:sz w:val="32"/>
          <w:szCs w:val="32"/>
        </w:rPr>
        <w:t>附件</w:t>
      </w:r>
      <w:r>
        <w:rPr>
          <w:rFonts w:hint="eastAsia" w:ascii="宋体" w:hAnsi="宋体"/>
          <w:b/>
          <w:bCs/>
          <w:color w:val="auto"/>
          <w:sz w:val="32"/>
          <w:szCs w:val="32"/>
          <w:lang w:val="en-US" w:eastAsia="zh-CN"/>
        </w:rPr>
        <w:t>8</w:t>
      </w:r>
      <w:r>
        <w:rPr>
          <w:rFonts w:hint="eastAsia" w:ascii="宋体" w:hAnsi="宋体"/>
          <w:b/>
          <w:bCs/>
          <w:color w:val="auto"/>
          <w:sz w:val="32"/>
          <w:szCs w:val="32"/>
        </w:rPr>
        <w:t>：示范格式</w:t>
      </w:r>
    </w:p>
    <w:p w14:paraId="2C6565B1">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2056"/>
          <w:tab w:val="center" w:pos="4405"/>
        </w:tabs>
        <w:spacing w:before="15" w:beforeAutospacing="0" w:after="15" w:afterAutospacing="0"/>
        <w:ind w:left="0" w:right="0"/>
        <w:jc w:val="left"/>
        <w:rPr>
          <w:rFonts w:hint="eastAsia" w:ascii="宋体" w:hAnsi="宋体" w:cs="宋体"/>
          <w:b/>
          <w:bCs/>
          <w:color w:val="auto"/>
          <w:sz w:val="30"/>
          <w:szCs w:val="30"/>
          <w:shd w:val="clear" w:fill="FFFFFF"/>
          <w:lang w:eastAsia="zh-CN"/>
        </w:rPr>
      </w:pPr>
      <w:r>
        <w:rPr>
          <w:rFonts w:hint="eastAsia" w:ascii="宋体" w:hAnsi="宋体" w:cs="宋体"/>
          <w:b/>
          <w:bCs/>
          <w:color w:val="auto"/>
          <w:sz w:val="30"/>
          <w:szCs w:val="30"/>
          <w:shd w:val="clear" w:fill="FFFFFF"/>
          <w:lang w:eastAsia="zh-CN"/>
        </w:rPr>
        <w:tab/>
      </w:r>
    </w:p>
    <w:p w14:paraId="1CC3619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2056"/>
          <w:tab w:val="center" w:pos="4405"/>
        </w:tabs>
        <w:spacing w:before="15" w:beforeAutospacing="0" w:after="15" w:afterAutospacing="0"/>
        <w:ind w:left="0" w:right="0"/>
        <w:jc w:val="left"/>
        <w:rPr>
          <w:color w:val="auto"/>
        </w:rPr>
      </w:pPr>
      <w:r>
        <w:rPr>
          <w:rFonts w:hint="eastAsia" w:ascii="宋体" w:hAnsi="宋体" w:cs="宋体"/>
          <w:b/>
          <w:bCs/>
          <w:color w:val="auto"/>
          <w:sz w:val="30"/>
          <w:szCs w:val="30"/>
          <w:shd w:val="clear" w:fill="FFFFFF"/>
          <w:lang w:eastAsia="zh-CN"/>
        </w:rPr>
        <w:tab/>
      </w:r>
      <w:r>
        <w:rPr>
          <w:rFonts w:hint="eastAsia" w:ascii="宋体" w:hAnsi="宋体" w:eastAsia="宋体" w:cs="宋体"/>
          <w:b/>
          <w:bCs/>
          <w:color w:val="auto"/>
          <w:sz w:val="30"/>
          <w:szCs w:val="30"/>
          <w:shd w:val="clear" w:fill="FFFFFF"/>
        </w:rPr>
        <w:t>关于符合本国产品标准的声明函</w:t>
      </w:r>
    </w:p>
    <w:p w14:paraId="3E54532A">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15" w:beforeAutospacing="0" w:after="15" w:afterAutospacing="0"/>
        <w:ind w:left="0" w:firstLine="420"/>
        <w:rPr>
          <w:color w:val="auto"/>
        </w:rPr>
      </w:pPr>
      <w:r>
        <w:rPr>
          <w:color w:val="auto"/>
          <w:shd w:val="clear" w:fill="FFFFFF"/>
        </w:rPr>
        <w:t> </w:t>
      </w:r>
    </w:p>
    <w:p w14:paraId="2CD9FE8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color w:val="auto"/>
        </w:rPr>
      </w:pPr>
      <w:r>
        <w:rPr>
          <w:rFonts w:hint="eastAsia" w:ascii="宋体" w:hAnsi="宋体" w:eastAsia="宋体" w:cs="宋体"/>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52AA5FC0">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1.</w:t>
      </w:r>
      <w:r>
        <w:rPr>
          <w:rFonts w:hint="eastAsia" w:ascii="宋体" w:hAnsi="宋体" w:eastAsia="宋体" w:cs="宋体"/>
          <w:color w:val="auto"/>
          <w:sz w:val="24"/>
          <w:szCs w:val="24"/>
          <w:u w:val="single"/>
          <w:shd w:val="clear" w:fill="FFFFFF"/>
        </w:rPr>
        <w:t>（产品名称1）</w:t>
      </w:r>
      <w:r>
        <w:rPr>
          <w:rFonts w:hint="eastAsia" w:ascii="宋体" w:hAnsi="宋体" w:eastAsia="宋体" w:cs="宋体"/>
          <w:color w:val="auto"/>
          <w:sz w:val="24"/>
          <w:szCs w:val="24"/>
          <w:shd w:val="clear" w:fill="FFFFFF"/>
          <w:vertAlign w:val="superscript"/>
        </w:rPr>
        <w:t>1</w:t>
      </w:r>
      <w:r>
        <w:rPr>
          <w:rFonts w:hint="eastAsia" w:ascii="宋体" w:hAnsi="宋体" w:eastAsia="宋体" w:cs="宋体"/>
          <w:color w:val="auto"/>
          <w:sz w:val="24"/>
          <w:szCs w:val="24"/>
          <w:shd w:val="clear" w:fill="FFFFFF"/>
        </w:rPr>
        <w:t>，生产厂为</w:t>
      </w:r>
      <w:r>
        <w:rPr>
          <w:rFonts w:hint="eastAsia" w:ascii="宋体" w:hAnsi="宋体" w:eastAsia="宋体" w:cs="宋体"/>
          <w:color w:val="auto"/>
          <w:sz w:val="24"/>
          <w:szCs w:val="24"/>
          <w:u w:val="single"/>
          <w:shd w:val="clear" w:fill="FFFFFF"/>
        </w:rPr>
        <w:t>（厂名）</w:t>
      </w:r>
      <w:r>
        <w:rPr>
          <w:rFonts w:hint="eastAsia" w:ascii="宋体" w:hAnsi="宋体" w:eastAsia="宋体" w:cs="宋体"/>
          <w:color w:val="auto"/>
          <w:sz w:val="24"/>
          <w:szCs w:val="24"/>
          <w:shd w:val="clear" w:fill="FFFFFF"/>
          <w:vertAlign w:val="superscript"/>
        </w:rPr>
        <w:t>2</w:t>
      </w:r>
      <w:r>
        <w:rPr>
          <w:rFonts w:hint="eastAsia" w:ascii="宋体" w:hAnsi="宋体" w:eastAsia="宋体" w:cs="宋体"/>
          <w:color w:val="auto"/>
          <w:sz w:val="24"/>
          <w:szCs w:val="24"/>
          <w:shd w:val="clear" w:fill="FFFFFF"/>
        </w:rPr>
        <w:t>，厂址为</w:t>
      </w:r>
      <w:r>
        <w:rPr>
          <w:rFonts w:hint="eastAsia" w:ascii="宋体" w:hAnsi="宋体" w:eastAsia="宋体" w:cs="宋体"/>
          <w:color w:val="auto"/>
          <w:sz w:val="24"/>
          <w:szCs w:val="24"/>
          <w:u w:val="single"/>
          <w:shd w:val="clear" w:fill="FFFFFF"/>
        </w:rPr>
        <w:t>（生产厂址）</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的中国境内生产的组件成本占比≥</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vertAlign w:val="superscript"/>
        </w:rPr>
        <w:t>3</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vertAlign w:val="superscript"/>
        </w:rPr>
        <w:t>4</w:t>
      </w:r>
      <w:r>
        <w:rPr>
          <w:rFonts w:hint="eastAsia" w:ascii="宋体" w:hAnsi="宋体" w:eastAsia="宋体" w:cs="宋体"/>
          <w:color w:val="auto"/>
          <w:sz w:val="24"/>
          <w:szCs w:val="24"/>
          <w:shd w:val="clear" w:fill="FFFFFF"/>
        </w:rPr>
        <w:t>在中国境内生产。</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vertAlign w:val="superscript"/>
        </w:rPr>
        <w:t>5</w:t>
      </w:r>
      <w:r>
        <w:rPr>
          <w:rFonts w:hint="eastAsia" w:ascii="宋体" w:hAnsi="宋体" w:eastAsia="宋体" w:cs="宋体"/>
          <w:color w:val="auto"/>
          <w:sz w:val="24"/>
          <w:szCs w:val="24"/>
          <w:shd w:val="clear" w:fill="FFFFFF"/>
        </w:rPr>
        <w:t>在中国境内完成。</w:t>
      </w:r>
    </w:p>
    <w:p w14:paraId="5C2ECC1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2.</w:t>
      </w:r>
      <w:r>
        <w:rPr>
          <w:rFonts w:hint="eastAsia" w:ascii="宋体" w:hAnsi="宋体" w:eastAsia="宋体" w:cs="宋体"/>
          <w:color w:val="auto"/>
          <w:sz w:val="24"/>
          <w:szCs w:val="24"/>
          <w:u w:val="single"/>
          <w:shd w:val="clear" w:fill="FFFFFF"/>
        </w:rPr>
        <w:t>（产品名称2）</w:t>
      </w:r>
      <w:r>
        <w:rPr>
          <w:rFonts w:hint="eastAsia" w:ascii="宋体" w:hAnsi="宋体" w:eastAsia="宋体" w:cs="宋体"/>
          <w:color w:val="auto"/>
          <w:sz w:val="24"/>
          <w:szCs w:val="24"/>
          <w:shd w:val="clear" w:fill="FFFFFF"/>
        </w:rPr>
        <w:t>，生产厂为</w:t>
      </w:r>
      <w:r>
        <w:rPr>
          <w:rFonts w:hint="eastAsia" w:ascii="宋体" w:hAnsi="宋体" w:eastAsia="宋体" w:cs="宋体"/>
          <w:color w:val="auto"/>
          <w:sz w:val="24"/>
          <w:szCs w:val="24"/>
          <w:u w:val="single"/>
          <w:shd w:val="clear" w:fill="FFFFFF"/>
        </w:rPr>
        <w:t>（厂名）</w:t>
      </w:r>
      <w:r>
        <w:rPr>
          <w:rFonts w:hint="eastAsia" w:ascii="宋体" w:hAnsi="宋体" w:eastAsia="宋体" w:cs="宋体"/>
          <w:color w:val="auto"/>
          <w:sz w:val="24"/>
          <w:szCs w:val="24"/>
          <w:shd w:val="clear" w:fill="FFFFFF"/>
        </w:rPr>
        <w:t>，厂址为</w:t>
      </w:r>
      <w:r>
        <w:rPr>
          <w:rFonts w:hint="eastAsia" w:ascii="宋体" w:hAnsi="宋体" w:eastAsia="宋体" w:cs="宋体"/>
          <w:color w:val="auto"/>
          <w:sz w:val="24"/>
          <w:szCs w:val="24"/>
          <w:u w:val="single"/>
          <w:shd w:val="clear" w:fill="FFFFFF"/>
        </w:rPr>
        <w:t>（生产厂址）</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的中国境内生产的组件成本占比≥</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在中国境内生产。</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在中国境内完成。</w:t>
      </w:r>
    </w:p>
    <w:p w14:paraId="1C116BEE">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w:t>
      </w:r>
    </w:p>
    <w:p w14:paraId="6F3B2EA3">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ind w:left="0" w:firstLine="420"/>
        <w:rPr>
          <w:color w:val="auto"/>
        </w:rPr>
      </w:pPr>
      <w:r>
        <w:rPr>
          <w:rFonts w:hint="eastAsia" w:ascii="宋体" w:hAnsi="宋体" w:eastAsia="宋体" w:cs="宋体"/>
          <w:color w:val="auto"/>
          <w:sz w:val="24"/>
          <w:szCs w:val="24"/>
          <w:shd w:val="clear" w:fill="FFFFFF"/>
        </w:rPr>
        <w:t>本公司（单位）对上述声明内容的真实性负责。如有虚假，愿承担相应法律责任。</w:t>
      </w:r>
    </w:p>
    <w:p w14:paraId="06859110">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color w:val="auto"/>
          <w:shd w:val="clear" w:fill="FFFFFF"/>
        </w:rPr>
        <w:t> </w:t>
      </w:r>
    </w:p>
    <w:p w14:paraId="44997AA8">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jc w:val="right"/>
        <w:rPr>
          <w:color w:val="auto"/>
        </w:rPr>
      </w:pPr>
      <w:r>
        <w:rPr>
          <w:rFonts w:hint="eastAsia" w:ascii="宋体" w:hAnsi="宋体" w:eastAsia="宋体" w:cs="宋体"/>
          <w:color w:val="auto"/>
          <w:sz w:val="24"/>
          <w:szCs w:val="24"/>
          <w:shd w:val="clear" w:fill="FFFFFF"/>
        </w:rPr>
        <w:t xml:space="preserve">   公司（单位）名称（加盖CA电子公章）：         </w:t>
      </w:r>
    </w:p>
    <w:p w14:paraId="7B04D72E">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jc w:val="center"/>
        <w:rPr>
          <w:color w:val="auto"/>
        </w:rPr>
      </w:pPr>
      <w:r>
        <w:rPr>
          <w:rFonts w:hint="eastAsia" w:ascii="宋体" w:hAnsi="宋体" w:eastAsia="宋体" w:cs="宋体"/>
          <w:color w:val="auto"/>
          <w:sz w:val="24"/>
          <w:szCs w:val="24"/>
          <w:shd w:val="clear" w:fill="FFFFFF"/>
        </w:rPr>
        <w:t xml:space="preserve">           日期：      年   月   日         </w:t>
      </w:r>
    </w:p>
    <w:p w14:paraId="43A406E8">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color w:val="auto"/>
          <w:shd w:val="clear" w:fill="FFFFFF"/>
        </w:rPr>
        <w:t> </w:t>
      </w:r>
    </w:p>
    <w:p w14:paraId="688F563D">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color w:val="auto"/>
          <w:shd w:val="clear" w:fill="FFFFFF"/>
        </w:rPr>
        <w:t> </w:t>
      </w:r>
    </w:p>
    <w:p w14:paraId="7B62E45A">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0" w:lineRule="atLeast"/>
        <w:rPr>
          <w:color w:val="auto"/>
        </w:rPr>
      </w:pPr>
      <w:r>
        <w:rPr>
          <w:rFonts w:hint="eastAsia" w:ascii="宋体" w:hAnsi="宋体" w:eastAsia="宋体" w:cs="宋体"/>
          <w:color w:val="auto"/>
          <w:sz w:val="24"/>
          <w:szCs w:val="24"/>
          <w:shd w:val="clear" w:fill="FFFFFF"/>
        </w:rPr>
        <w:t>_________________</w:t>
      </w:r>
    </w:p>
    <w:p w14:paraId="6DF1A315">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1.产品如有型号，请在“产品名称”栏一并填写。</w:t>
      </w:r>
    </w:p>
    <w:p w14:paraId="573E6FAB">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2.生产厂名与厂址应与生产厂营业执照载明的相关信息保持一致。</w:t>
      </w:r>
    </w:p>
    <w:p w14:paraId="416B8A3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3.该产品的中国境内生产的组件成本占比相关要求实施前，“规定比例”栏可不填，下同。</w:t>
      </w:r>
    </w:p>
    <w:p w14:paraId="2A376D06">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4.该产品的关键组件要求实施前，“关键组件”栏可不填，下同。</w:t>
      </w:r>
    </w:p>
    <w:p w14:paraId="2D949C82">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5.该产品的关键工序要求实施前，“关键工序”栏可不填，下同。</w:t>
      </w:r>
    </w:p>
    <w:p w14:paraId="0E0906A3">
      <w:pPr>
        <w:pStyle w:val="3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30" w:beforeAutospacing="0" w:after="30" w:afterAutospacing="0" w:line="360" w:lineRule="auto"/>
        <w:rPr>
          <w:color w:val="auto"/>
        </w:rPr>
      </w:pPr>
      <w:r>
        <w:rPr>
          <w:rFonts w:hint="eastAsia" w:ascii="宋体" w:hAnsi="宋体" w:eastAsia="宋体" w:cs="宋体"/>
          <w:color w:val="auto"/>
          <w:sz w:val="24"/>
          <w:szCs w:val="24"/>
          <w:shd w:val="clear" w:fill="FFFFFF"/>
        </w:rPr>
        <w:t>6.《声明函》中标注“</w:t>
      </w:r>
      <w:r>
        <w:rPr>
          <w:rFonts w:hint="eastAsia" w:ascii="宋体" w:hAnsi="宋体" w:eastAsia="宋体" w:cs="宋体"/>
          <w:color w:val="auto"/>
          <w:sz w:val="24"/>
          <w:szCs w:val="24"/>
          <w:u w:val="single"/>
          <w:shd w:val="clear" w:fill="FFFFFF"/>
        </w:rPr>
        <w:t xml:space="preserve">  /  </w:t>
      </w:r>
      <w:r>
        <w:rPr>
          <w:rFonts w:hint="eastAsia" w:ascii="宋体" w:hAnsi="宋体" w:eastAsia="宋体" w:cs="宋体"/>
          <w:color w:val="auto"/>
          <w:sz w:val="24"/>
          <w:szCs w:val="24"/>
          <w:shd w:val="clear" w:fill="FFFFFF"/>
        </w:rPr>
        <w:t>”的地方无需填写。</w:t>
      </w:r>
      <w:r>
        <w:rPr>
          <w:color w:val="auto"/>
        </w:rPr>
        <w:t> </w:t>
      </w:r>
    </w:p>
    <w:p w14:paraId="551755D9">
      <w:pPr>
        <w:spacing w:line="360" w:lineRule="auto"/>
        <w:jc w:val="right"/>
        <w:rPr>
          <w:rFonts w:hint="eastAsia" w:ascii="宋体" w:hAnsi="宋体" w:cs="楷体_GB2312"/>
          <w:color w:val="auto"/>
          <w:sz w:val="28"/>
          <w:szCs w:val="28"/>
          <w:lang w:val="zh-CN"/>
        </w:rPr>
      </w:pPr>
    </w:p>
    <w:sectPr>
      <w:headerReference r:id="rId5" w:type="first"/>
      <w:footerReference r:id="rId8" w:type="first"/>
      <w:headerReference r:id="rId3" w:type="default"/>
      <w:footerReference r:id="rId6" w:type="default"/>
      <w:headerReference r:id="rId4" w:type="even"/>
      <w:footerReference r:id="rId7" w:type="even"/>
      <w:pgSz w:w="11906" w:h="16838"/>
      <w:pgMar w:top="1560" w:right="1418" w:bottom="1440" w:left="1797" w:header="567" w:footer="85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B0604020202020204"/>
    <w:charset w:val="86"/>
    <w:family w:val="modern"/>
    <w:pitch w:val="default"/>
    <w:sig w:usb0="00000000" w:usb1="00000000" w:usb2="00000010" w:usb3="00000000" w:csb0="00040000" w:csb1="00000000"/>
  </w:font>
  <w:font w:name="monospace">
    <w:altName w:val="Calibri"/>
    <w:panose1 w:val="020B0604020202020204"/>
    <w:charset w:val="00"/>
    <w:family w:val="auto"/>
    <w:pitch w:val="default"/>
    <w:sig w:usb0="00000000" w:usb1="00000000" w:usb2="00000000" w:usb3="00000000" w:csb0="00000000" w:csb1="00000000"/>
  </w:font>
  <w:font w:name="Adobe 仿宋 Std R">
    <w:altName w:val="Calibri"/>
    <w:panose1 w:val="020B0604020202020204"/>
    <w:charset w:val="00"/>
    <w:family w:val="auto"/>
    <w:pitch w:val="default"/>
    <w:sig w:usb0="00000000" w:usb1="00000000" w:usb2="00000000" w:usb3="00000000" w:csb0="00000000" w:csb1="00000000"/>
  </w:font>
  <w:font w:name="方正仿宋简体">
    <w:altName w:val="微软雅黑"/>
    <w:panose1 w:val="020B0604020202020204"/>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0"/>
    <w:family w:val="decorative"/>
    <w:pitch w:val="default"/>
    <w:sig w:usb0="00000000" w:usb1="00000000" w:usb2="00000000" w:usb3="00000000" w:csb0="8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行楷">
    <w:altName w:val="微软雅黑"/>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585519"/>
      <w:docPartObj>
        <w:docPartGallery w:val="autotext"/>
      </w:docPartObj>
    </w:sdtPr>
    <w:sdtContent>
      <w:p w14:paraId="52451239">
        <w:pPr>
          <w:pStyle w:val="2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0014">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399B">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3ACF">
    <w:pPr>
      <w:pStyle w:val="19"/>
      <w:ind w:left="0" w:right="0"/>
      <w:jc w:val="center"/>
      <w:rPr>
        <w:rFonts w:ascii="华文行楷" w:hAnsi="黑体" w:eastAsia="华文行楷"/>
        <w:sz w:val="28"/>
        <w:szCs w:val="28"/>
      </w:rPr>
    </w:pPr>
    <w:r>
      <w:rPr>
        <w:rFonts w:hint="eastAsia" w:ascii="华文行楷" w:hAnsi="黑体" w:eastAsia="华文行楷"/>
        <w:color w:val="000000"/>
        <w:sz w:val="28"/>
        <w:szCs w:val="28"/>
      </w:rPr>
      <w:t>淮安市盱眙县政府采购项目</w:t>
    </w:r>
    <w:r>
      <w:rPr>
        <w:rFonts w:hint="eastAsia" w:ascii="华文行楷" w:hAnsi="黑体" w:eastAsia="华文行楷"/>
        <w:sz w:val="28"/>
        <w:szCs w:val="28"/>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F09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417C">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w:lvlJc w:val="left"/>
      <w:pPr>
        <w:ind w:left="6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000004"/>
    <w:multiLevelType w:val="multilevel"/>
    <w:tmpl w:val="00000004"/>
    <w:lvl w:ilvl="0" w:tentative="0">
      <w:start w:val="2"/>
      <w:numFmt w:val="chineseCountingThousand"/>
      <w:pStyle w:val="90"/>
      <w:suff w:val="nothing"/>
      <w:lvlText w:val="第%1部分"/>
      <w:lvlJc w:val="center"/>
      <w:pPr>
        <w:ind w:left="850" w:firstLine="288"/>
      </w:pPr>
      <w:rPr>
        <w:rFonts w:hint="eastAsia"/>
        <w:sz w:val="28"/>
        <w:szCs w:val="28"/>
        <w:lang w:val="en-US"/>
      </w:rPr>
    </w:lvl>
    <w:lvl w:ilvl="1" w:tentative="0">
      <w:start w:val="1"/>
      <w:numFmt w:val="chineseCountingThousand"/>
      <w:suff w:val="nothing"/>
      <w:lvlText w:val="%2、"/>
      <w:lvlJc w:val="left"/>
      <w:pPr>
        <w:ind w:left="778" w:firstLine="0"/>
      </w:pPr>
      <w:rPr>
        <w:rFonts w:hint="eastAsia"/>
        <w:lang w:val="en-US"/>
      </w:rPr>
    </w:lvl>
    <w:lvl w:ilvl="2" w:tentative="0">
      <w:start w:val="1"/>
      <w:numFmt w:val="chineseCountingThousand"/>
      <w:suff w:val="nothing"/>
      <w:lvlText w:val="(%3)"/>
      <w:lvlJc w:val="left"/>
      <w:pPr>
        <w:ind w:left="418" w:firstLine="0"/>
      </w:pPr>
      <w:rPr>
        <w:rFonts w:hint="eastAsia"/>
      </w:rPr>
    </w:lvl>
    <w:lvl w:ilvl="3" w:tentative="0">
      <w:start w:val="1"/>
      <w:numFmt w:val="decimal"/>
      <w:suff w:val="nothing"/>
      <w:lvlText w:val="%4、"/>
      <w:lvlJc w:val="left"/>
      <w:pPr>
        <w:ind w:left="418" w:firstLine="0"/>
      </w:pPr>
      <w:rPr>
        <w:rFonts w:hint="eastAsia"/>
      </w:rPr>
    </w:lvl>
    <w:lvl w:ilvl="4" w:tentative="0">
      <w:start w:val="1"/>
      <w:numFmt w:val="upperLetter"/>
      <w:suff w:val="nothing"/>
      <w:lvlText w:val="%5、"/>
      <w:lvlJc w:val="left"/>
      <w:pPr>
        <w:ind w:left="418" w:firstLine="0"/>
      </w:pPr>
      <w:rPr>
        <w:rFonts w:hint="eastAsia"/>
      </w:rPr>
    </w:lvl>
    <w:lvl w:ilvl="5" w:tentative="0">
      <w:start w:val="1"/>
      <w:numFmt w:val="none"/>
      <w:suff w:val="nothing"/>
      <w:lvlText w:val=""/>
      <w:lvlJc w:val="left"/>
      <w:pPr>
        <w:ind w:left="418" w:firstLine="0"/>
      </w:pPr>
      <w:rPr>
        <w:rFonts w:hint="eastAsia"/>
      </w:rPr>
    </w:lvl>
    <w:lvl w:ilvl="6" w:tentative="0">
      <w:start w:val="1"/>
      <w:numFmt w:val="none"/>
      <w:suff w:val="nothing"/>
      <w:lvlText w:val=""/>
      <w:lvlJc w:val="left"/>
      <w:pPr>
        <w:ind w:left="418" w:firstLine="0"/>
      </w:pPr>
      <w:rPr>
        <w:rFonts w:hint="eastAsia"/>
      </w:rPr>
    </w:lvl>
    <w:lvl w:ilvl="7" w:tentative="0">
      <w:start w:val="1"/>
      <w:numFmt w:val="none"/>
      <w:suff w:val="nothing"/>
      <w:lvlText w:val=""/>
      <w:lvlJc w:val="left"/>
      <w:pPr>
        <w:ind w:left="418" w:firstLine="0"/>
      </w:pPr>
      <w:rPr>
        <w:rFonts w:hint="eastAsia"/>
      </w:rPr>
    </w:lvl>
    <w:lvl w:ilvl="8" w:tentative="0">
      <w:start w:val="1"/>
      <w:numFmt w:val="none"/>
      <w:suff w:val="nothing"/>
      <w:lvlText w:val=""/>
      <w:lvlJc w:val="left"/>
      <w:pPr>
        <w:ind w:left="418" w:firstLine="0"/>
      </w:pPr>
      <w:rPr>
        <w:rFonts w:hint="eastAsia"/>
      </w:rPr>
    </w:lvl>
  </w:abstractNum>
  <w:abstractNum w:abstractNumId="2">
    <w:nsid w:val="1B997061"/>
    <w:multiLevelType w:val="multilevel"/>
    <w:tmpl w:val="1B997061"/>
    <w:lvl w:ilvl="0" w:tentative="0">
      <w:start w:val="1"/>
      <w:numFmt w:val="chineseCountingThousand"/>
      <w:suff w:val="nothing"/>
      <w:lvlText w:val="%1、"/>
      <w:lvlJc w:val="left"/>
      <w:pPr>
        <w:ind w:left="0" w:firstLine="0"/>
      </w:pPr>
      <w:rPr>
        <w:rFonts w:hint="eastAsia"/>
        <w:sz w:val="36"/>
        <w:szCs w:val="36"/>
      </w:rPr>
    </w:lvl>
    <w:lvl w:ilvl="1" w:tentative="0">
      <w:start w:val="1"/>
      <w:numFmt w:val="bullet"/>
      <w:lvlText w:val="o"/>
      <w:lvlJc w:val="left"/>
      <w:pPr>
        <w:ind w:left="0" w:firstLine="0"/>
      </w:pPr>
      <w:rPr>
        <w:rFonts w:hint="default" w:ascii="Courier New" w:hAnsi="Courier New" w:eastAsia="宋体" w:cs="Courier New"/>
      </w:rPr>
    </w:lvl>
    <w:lvl w:ilvl="2" w:tentative="0">
      <w:start w:val="1"/>
      <w:numFmt w:val="bullet"/>
      <w:lvlText w:val="§"/>
      <w:lvlJc w:val="left"/>
      <w:pPr>
        <w:ind w:left="0" w:firstLine="0"/>
      </w:pPr>
      <w:rPr>
        <w:rFonts w:hint="default" w:ascii="Wingdings" w:hAnsi="Wingdings" w:eastAsia="宋体" w:cs="Wingdings"/>
      </w:rPr>
    </w:lvl>
    <w:lvl w:ilvl="3" w:tentative="0">
      <w:start w:val="1"/>
      <w:numFmt w:val="bullet"/>
      <w:lvlText w:val="·"/>
      <w:lvlJc w:val="left"/>
      <w:pPr>
        <w:ind w:left="0" w:firstLine="0"/>
      </w:pPr>
      <w:rPr>
        <w:rFonts w:hint="default" w:ascii="Symbol" w:hAnsi="Symbol" w:eastAsia="宋体" w:cs="Symbol"/>
      </w:rPr>
    </w:lvl>
    <w:lvl w:ilvl="4" w:tentative="0">
      <w:start w:val="1"/>
      <w:numFmt w:val="bullet"/>
      <w:lvlText w:val="o"/>
      <w:lvlJc w:val="left"/>
      <w:pPr>
        <w:ind w:left="0" w:firstLine="0"/>
      </w:pPr>
      <w:rPr>
        <w:rFonts w:hint="default" w:ascii="Courier New" w:hAnsi="Courier New" w:eastAsia="宋体" w:cs="Courier New"/>
      </w:rPr>
    </w:lvl>
    <w:lvl w:ilvl="5" w:tentative="0">
      <w:start w:val="1"/>
      <w:numFmt w:val="bullet"/>
      <w:lvlText w:val="§"/>
      <w:lvlJc w:val="left"/>
      <w:pPr>
        <w:ind w:left="0" w:firstLine="0"/>
      </w:pPr>
      <w:rPr>
        <w:rFonts w:hint="default" w:ascii="Wingdings" w:hAnsi="Wingdings" w:eastAsia="宋体" w:cs="Wingdings"/>
      </w:rPr>
    </w:lvl>
    <w:lvl w:ilvl="6" w:tentative="0">
      <w:start w:val="1"/>
      <w:numFmt w:val="bullet"/>
      <w:lvlText w:val="·"/>
      <w:lvlJc w:val="left"/>
      <w:pPr>
        <w:ind w:left="0" w:firstLine="0"/>
      </w:pPr>
      <w:rPr>
        <w:rFonts w:hint="default" w:ascii="Symbol" w:hAnsi="Symbol" w:eastAsia="宋体" w:cs="Symbol"/>
      </w:rPr>
    </w:lvl>
    <w:lvl w:ilvl="7" w:tentative="0">
      <w:start w:val="1"/>
      <w:numFmt w:val="bullet"/>
      <w:lvlText w:val="o"/>
      <w:lvlJc w:val="left"/>
      <w:pPr>
        <w:ind w:left="0" w:firstLine="0"/>
      </w:pPr>
      <w:rPr>
        <w:rFonts w:hint="default" w:ascii="Courier New" w:hAnsi="Courier New" w:eastAsia="宋体" w:cs="Courier New"/>
      </w:rPr>
    </w:lvl>
    <w:lvl w:ilvl="8" w:tentative="0">
      <w:start w:val="1"/>
      <w:numFmt w:val="bullet"/>
      <w:lvlText w:val="§"/>
      <w:lvlJc w:val="left"/>
      <w:pPr>
        <w:ind w:left="0" w:firstLine="0"/>
      </w:pPr>
      <w:rPr>
        <w:rFonts w:hint="default" w:ascii="Wingdings" w:hAnsi="Wingdings" w:eastAsia="宋体" w:cs="Wingdings"/>
      </w:rPr>
    </w:lvl>
  </w:abstractNum>
  <w:abstractNum w:abstractNumId="3">
    <w:nsid w:val="4672409A"/>
    <w:multiLevelType w:val="multilevel"/>
    <w:tmpl w:val="4672409A"/>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50BF016D"/>
    <w:multiLevelType w:val="multilevel"/>
    <w:tmpl w:val="50BF016D"/>
    <w:lvl w:ilvl="0" w:tentative="0">
      <w:start w:val="1"/>
      <w:numFmt w:val="decimal"/>
      <w:suff w:val="nothing"/>
      <w:lvlText w:val="%1."/>
      <w:lvlJc w:val="left"/>
      <w:pPr>
        <w:ind w:left="1280" w:hanging="440"/>
      </w:pPr>
      <w:rPr>
        <w:rFonts w:hint="eastAsia"/>
      </w:rPr>
    </w:lvl>
    <w:lvl w:ilvl="1" w:tentative="0">
      <w:start w:val="1"/>
      <w:numFmt w:val="lowerLetter"/>
      <w:lvlText w:val="%2)"/>
      <w:lvlJc w:val="left"/>
      <w:pPr>
        <w:ind w:left="2200" w:hanging="440"/>
      </w:pPr>
      <w:rPr>
        <w:rFonts w:hint="eastAsia"/>
      </w:rPr>
    </w:lvl>
    <w:lvl w:ilvl="2" w:tentative="0">
      <w:start w:val="1"/>
      <w:numFmt w:val="lowerRoman"/>
      <w:lvlText w:val="%3."/>
      <w:lvlJc w:val="right"/>
      <w:pPr>
        <w:ind w:left="2640" w:hanging="440"/>
      </w:pPr>
      <w:rPr>
        <w:rFonts w:hint="eastAsia"/>
      </w:rPr>
    </w:lvl>
    <w:lvl w:ilvl="3" w:tentative="0">
      <w:start w:val="1"/>
      <w:numFmt w:val="decimal"/>
      <w:lvlText w:val="%4."/>
      <w:lvlJc w:val="left"/>
      <w:pPr>
        <w:ind w:left="3080" w:hanging="440"/>
      </w:pPr>
      <w:rPr>
        <w:rFonts w:hint="eastAsia"/>
      </w:rPr>
    </w:lvl>
    <w:lvl w:ilvl="4" w:tentative="0">
      <w:start w:val="1"/>
      <w:numFmt w:val="lowerLetter"/>
      <w:lvlText w:val="%5)"/>
      <w:lvlJc w:val="left"/>
      <w:pPr>
        <w:ind w:left="3520" w:hanging="440"/>
      </w:pPr>
      <w:rPr>
        <w:rFonts w:hint="eastAsia"/>
      </w:rPr>
    </w:lvl>
    <w:lvl w:ilvl="5" w:tentative="0">
      <w:start w:val="1"/>
      <w:numFmt w:val="lowerRoman"/>
      <w:lvlText w:val="%6."/>
      <w:lvlJc w:val="right"/>
      <w:pPr>
        <w:ind w:left="3960" w:hanging="440"/>
      </w:pPr>
      <w:rPr>
        <w:rFonts w:hint="eastAsia"/>
      </w:rPr>
    </w:lvl>
    <w:lvl w:ilvl="6" w:tentative="0">
      <w:start w:val="1"/>
      <w:numFmt w:val="decimal"/>
      <w:lvlText w:val="%7."/>
      <w:lvlJc w:val="left"/>
      <w:pPr>
        <w:ind w:left="4400" w:hanging="440"/>
      </w:pPr>
      <w:rPr>
        <w:rFonts w:hint="eastAsia"/>
      </w:rPr>
    </w:lvl>
    <w:lvl w:ilvl="7" w:tentative="0">
      <w:start w:val="1"/>
      <w:numFmt w:val="lowerLetter"/>
      <w:lvlText w:val="%8)"/>
      <w:lvlJc w:val="left"/>
      <w:pPr>
        <w:ind w:left="4840" w:hanging="440"/>
      </w:pPr>
      <w:rPr>
        <w:rFonts w:hint="eastAsia"/>
      </w:rPr>
    </w:lvl>
    <w:lvl w:ilvl="8" w:tentative="0">
      <w:start w:val="1"/>
      <w:numFmt w:val="lowerRoman"/>
      <w:lvlText w:val="%9."/>
      <w:lvlJc w:val="right"/>
      <w:pPr>
        <w:ind w:left="5280" w:hanging="440"/>
      </w:pPr>
      <w:rPr>
        <w:rFonts w:hint="eastAsia"/>
      </w:rPr>
    </w:lvl>
  </w:abstractNum>
  <w:abstractNum w:abstractNumId="5">
    <w:nsid w:val="525F4A2A"/>
    <w:multiLevelType w:val="multilevel"/>
    <w:tmpl w:val="525F4A2A"/>
    <w:lvl w:ilvl="0" w:tentative="0">
      <w:start w:val="1"/>
      <w:numFmt w:val="decimal"/>
      <w:suff w:val="nothing"/>
      <w:lvlText w:val="%1."/>
      <w:lvlJc w:val="left"/>
      <w:pPr>
        <w:ind w:left="1280" w:hanging="440"/>
      </w:pPr>
      <w:rPr>
        <w:rFonts w:hint="eastAsia"/>
      </w:rPr>
    </w:lvl>
    <w:lvl w:ilvl="1" w:tentative="0">
      <w:start w:val="1"/>
      <w:numFmt w:val="lowerLetter"/>
      <w:lvlText w:val="%2)"/>
      <w:lvlJc w:val="left"/>
      <w:pPr>
        <w:ind w:left="2200" w:hanging="440"/>
      </w:pPr>
      <w:rPr>
        <w:rFonts w:hint="eastAsia"/>
      </w:rPr>
    </w:lvl>
    <w:lvl w:ilvl="2" w:tentative="0">
      <w:start w:val="1"/>
      <w:numFmt w:val="lowerRoman"/>
      <w:lvlText w:val="%3."/>
      <w:lvlJc w:val="right"/>
      <w:pPr>
        <w:ind w:left="2640" w:hanging="440"/>
      </w:pPr>
      <w:rPr>
        <w:rFonts w:hint="eastAsia"/>
      </w:rPr>
    </w:lvl>
    <w:lvl w:ilvl="3" w:tentative="0">
      <w:start w:val="1"/>
      <w:numFmt w:val="decimal"/>
      <w:lvlText w:val="%4."/>
      <w:lvlJc w:val="left"/>
      <w:pPr>
        <w:ind w:left="3080" w:hanging="440"/>
      </w:pPr>
      <w:rPr>
        <w:rFonts w:hint="eastAsia"/>
      </w:rPr>
    </w:lvl>
    <w:lvl w:ilvl="4" w:tentative="0">
      <w:start w:val="1"/>
      <w:numFmt w:val="lowerLetter"/>
      <w:lvlText w:val="%5)"/>
      <w:lvlJc w:val="left"/>
      <w:pPr>
        <w:ind w:left="3520" w:hanging="440"/>
      </w:pPr>
      <w:rPr>
        <w:rFonts w:hint="eastAsia"/>
      </w:rPr>
    </w:lvl>
    <w:lvl w:ilvl="5" w:tentative="0">
      <w:start w:val="1"/>
      <w:numFmt w:val="lowerRoman"/>
      <w:lvlText w:val="%6."/>
      <w:lvlJc w:val="right"/>
      <w:pPr>
        <w:ind w:left="3960" w:hanging="440"/>
      </w:pPr>
      <w:rPr>
        <w:rFonts w:hint="eastAsia"/>
      </w:rPr>
    </w:lvl>
    <w:lvl w:ilvl="6" w:tentative="0">
      <w:start w:val="1"/>
      <w:numFmt w:val="decimal"/>
      <w:lvlText w:val="%7."/>
      <w:lvlJc w:val="left"/>
      <w:pPr>
        <w:ind w:left="4400" w:hanging="440"/>
      </w:pPr>
      <w:rPr>
        <w:rFonts w:hint="eastAsia"/>
      </w:rPr>
    </w:lvl>
    <w:lvl w:ilvl="7" w:tentative="0">
      <w:start w:val="1"/>
      <w:numFmt w:val="lowerLetter"/>
      <w:lvlText w:val="%8)"/>
      <w:lvlJc w:val="left"/>
      <w:pPr>
        <w:ind w:left="4840" w:hanging="440"/>
      </w:pPr>
      <w:rPr>
        <w:rFonts w:hint="eastAsia"/>
      </w:rPr>
    </w:lvl>
    <w:lvl w:ilvl="8" w:tentative="0">
      <w:start w:val="1"/>
      <w:numFmt w:val="lowerRoman"/>
      <w:lvlText w:val="%9."/>
      <w:lvlJc w:val="right"/>
      <w:pPr>
        <w:ind w:left="5280" w:hanging="440"/>
      </w:pPr>
      <w:rPr>
        <w:rFonts w:hint="eastAsia"/>
      </w:rPr>
    </w:lvl>
  </w:abstractNum>
  <w:abstractNum w:abstractNumId="6">
    <w:nsid w:val="5EA9407D"/>
    <w:multiLevelType w:val="multilevel"/>
    <w:tmpl w:val="5EA9407D"/>
    <w:lvl w:ilvl="0" w:tentative="0">
      <w:start w:val="1"/>
      <w:numFmt w:val="chineseCountingThousand"/>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85"/>
    <w:rsid w:val="00024CAF"/>
    <w:rsid w:val="00053FCF"/>
    <w:rsid w:val="00084909"/>
    <w:rsid w:val="00085283"/>
    <w:rsid w:val="000B192D"/>
    <w:rsid w:val="000C1DEB"/>
    <w:rsid w:val="000D2169"/>
    <w:rsid w:val="000F1635"/>
    <w:rsid w:val="000F2A95"/>
    <w:rsid w:val="001D52E2"/>
    <w:rsid w:val="001F3ADA"/>
    <w:rsid w:val="001F4E34"/>
    <w:rsid w:val="001F551A"/>
    <w:rsid w:val="00204E61"/>
    <w:rsid w:val="00207BBD"/>
    <w:rsid w:val="002968A1"/>
    <w:rsid w:val="002A745E"/>
    <w:rsid w:val="002E47B7"/>
    <w:rsid w:val="002F7456"/>
    <w:rsid w:val="003046D2"/>
    <w:rsid w:val="00311ED2"/>
    <w:rsid w:val="003603E0"/>
    <w:rsid w:val="00380E1C"/>
    <w:rsid w:val="003B7813"/>
    <w:rsid w:val="003C2E53"/>
    <w:rsid w:val="003C457C"/>
    <w:rsid w:val="003D372B"/>
    <w:rsid w:val="003D7036"/>
    <w:rsid w:val="00413F16"/>
    <w:rsid w:val="00424D84"/>
    <w:rsid w:val="00436C72"/>
    <w:rsid w:val="004931DF"/>
    <w:rsid w:val="004B01C0"/>
    <w:rsid w:val="004B306A"/>
    <w:rsid w:val="004F0079"/>
    <w:rsid w:val="00503B3F"/>
    <w:rsid w:val="0051490E"/>
    <w:rsid w:val="00543B1E"/>
    <w:rsid w:val="005C3830"/>
    <w:rsid w:val="005C3872"/>
    <w:rsid w:val="005F1F0B"/>
    <w:rsid w:val="006010B0"/>
    <w:rsid w:val="00610F10"/>
    <w:rsid w:val="006514EB"/>
    <w:rsid w:val="00687C53"/>
    <w:rsid w:val="00691A49"/>
    <w:rsid w:val="00693361"/>
    <w:rsid w:val="006A6D50"/>
    <w:rsid w:val="006B79D4"/>
    <w:rsid w:val="006D2BEB"/>
    <w:rsid w:val="006D5A41"/>
    <w:rsid w:val="007149E0"/>
    <w:rsid w:val="00734D4A"/>
    <w:rsid w:val="007519EE"/>
    <w:rsid w:val="00763ACC"/>
    <w:rsid w:val="00763B01"/>
    <w:rsid w:val="0077006C"/>
    <w:rsid w:val="007B7130"/>
    <w:rsid w:val="008010F9"/>
    <w:rsid w:val="00843FC1"/>
    <w:rsid w:val="00852303"/>
    <w:rsid w:val="00865C77"/>
    <w:rsid w:val="00875E30"/>
    <w:rsid w:val="008A1626"/>
    <w:rsid w:val="008E0400"/>
    <w:rsid w:val="008E0922"/>
    <w:rsid w:val="00904CDC"/>
    <w:rsid w:val="00933D3D"/>
    <w:rsid w:val="00940CCF"/>
    <w:rsid w:val="00942FF7"/>
    <w:rsid w:val="00964E44"/>
    <w:rsid w:val="00992B94"/>
    <w:rsid w:val="0099316A"/>
    <w:rsid w:val="00996186"/>
    <w:rsid w:val="009A5579"/>
    <w:rsid w:val="009D1364"/>
    <w:rsid w:val="009F2D5F"/>
    <w:rsid w:val="009F32B9"/>
    <w:rsid w:val="00A07EC9"/>
    <w:rsid w:val="00A12183"/>
    <w:rsid w:val="00A3108E"/>
    <w:rsid w:val="00A82F83"/>
    <w:rsid w:val="00A94902"/>
    <w:rsid w:val="00AE1B75"/>
    <w:rsid w:val="00B047D8"/>
    <w:rsid w:val="00B11017"/>
    <w:rsid w:val="00B14873"/>
    <w:rsid w:val="00B31E6C"/>
    <w:rsid w:val="00B533E6"/>
    <w:rsid w:val="00B75863"/>
    <w:rsid w:val="00B83332"/>
    <w:rsid w:val="00B946B5"/>
    <w:rsid w:val="00BB74A0"/>
    <w:rsid w:val="00BC0B24"/>
    <w:rsid w:val="00BD121E"/>
    <w:rsid w:val="00BD362D"/>
    <w:rsid w:val="00C401F4"/>
    <w:rsid w:val="00C468E4"/>
    <w:rsid w:val="00C60A58"/>
    <w:rsid w:val="00C64EC3"/>
    <w:rsid w:val="00C654B4"/>
    <w:rsid w:val="00C67636"/>
    <w:rsid w:val="00C81E20"/>
    <w:rsid w:val="00C862B9"/>
    <w:rsid w:val="00CB1290"/>
    <w:rsid w:val="00CB3085"/>
    <w:rsid w:val="00CB77BE"/>
    <w:rsid w:val="00CE7A42"/>
    <w:rsid w:val="00D27441"/>
    <w:rsid w:val="00D30567"/>
    <w:rsid w:val="00D346E3"/>
    <w:rsid w:val="00D72729"/>
    <w:rsid w:val="00D97372"/>
    <w:rsid w:val="00DE0471"/>
    <w:rsid w:val="00DF77A5"/>
    <w:rsid w:val="00E46A46"/>
    <w:rsid w:val="00EC4D5C"/>
    <w:rsid w:val="00ED75A3"/>
    <w:rsid w:val="00EE0892"/>
    <w:rsid w:val="00EE6760"/>
    <w:rsid w:val="00EE7BD1"/>
    <w:rsid w:val="00F44306"/>
    <w:rsid w:val="00F50EA4"/>
    <w:rsid w:val="00FA1204"/>
    <w:rsid w:val="00FA49B6"/>
    <w:rsid w:val="02614E03"/>
    <w:rsid w:val="032D616E"/>
    <w:rsid w:val="044C6E68"/>
    <w:rsid w:val="04BC223F"/>
    <w:rsid w:val="065338B0"/>
    <w:rsid w:val="06B37672"/>
    <w:rsid w:val="07D21D7A"/>
    <w:rsid w:val="08591281"/>
    <w:rsid w:val="08E6766C"/>
    <w:rsid w:val="091D1DA1"/>
    <w:rsid w:val="09A908B8"/>
    <w:rsid w:val="0B6E65B5"/>
    <w:rsid w:val="0BA15CEB"/>
    <w:rsid w:val="0BE46C14"/>
    <w:rsid w:val="0E3A5F83"/>
    <w:rsid w:val="0E4D3F08"/>
    <w:rsid w:val="109658BC"/>
    <w:rsid w:val="125C296C"/>
    <w:rsid w:val="126D6927"/>
    <w:rsid w:val="12A44D9C"/>
    <w:rsid w:val="140A39B3"/>
    <w:rsid w:val="144E2788"/>
    <w:rsid w:val="1618304E"/>
    <w:rsid w:val="165A3BC6"/>
    <w:rsid w:val="170610F8"/>
    <w:rsid w:val="17AC6144"/>
    <w:rsid w:val="18DF706A"/>
    <w:rsid w:val="18F57676"/>
    <w:rsid w:val="19193365"/>
    <w:rsid w:val="19914F2C"/>
    <w:rsid w:val="1A824F3A"/>
    <w:rsid w:val="1AAB26E2"/>
    <w:rsid w:val="1D230C56"/>
    <w:rsid w:val="1D7065FD"/>
    <w:rsid w:val="1DA716BF"/>
    <w:rsid w:val="20116D42"/>
    <w:rsid w:val="20F16975"/>
    <w:rsid w:val="2211090F"/>
    <w:rsid w:val="229D07B0"/>
    <w:rsid w:val="23C40371"/>
    <w:rsid w:val="24A551E3"/>
    <w:rsid w:val="26070D2F"/>
    <w:rsid w:val="26AF5308"/>
    <w:rsid w:val="26BF3F9F"/>
    <w:rsid w:val="270513CC"/>
    <w:rsid w:val="271635D9"/>
    <w:rsid w:val="28986557"/>
    <w:rsid w:val="29C94933"/>
    <w:rsid w:val="2A092F82"/>
    <w:rsid w:val="2A41271B"/>
    <w:rsid w:val="2B620B9B"/>
    <w:rsid w:val="2E7248A9"/>
    <w:rsid w:val="2E8572B6"/>
    <w:rsid w:val="2EA432A8"/>
    <w:rsid w:val="2F6824F8"/>
    <w:rsid w:val="30DD0CC4"/>
    <w:rsid w:val="31DE19BD"/>
    <w:rsid w:val="335A2AA0"/>
    <w:rsid w:val="33F24A86"/>
    <w:rsid w:val="36080591"/>
    <w:rsid w:val="3608233F"/>
    <w:rsid w:val="36D82784"/>
    <w:rsid w:val="376E6B1A"/>
    <w:rsid w:val="389032EE"/>
    <w:rsid w:val="3AB24318"/>
    <w:rsid w:val="3B061EFA"/>
    <w:rsid w:val="3B0E03F8"/>
    <w:rsid w:val="3B651FE2"/>
    <w:rsid w:val="3B877F01"/>
    <w:rsid w:val="3C446B6B"/>
    <w:rsid w:val="3C89024E"/>
    <w:rsid w:val="3DF52FE0"/>
    <w:rsid w:val="3E0050D3"/>
    <w:rsid w:val="3E8527A2"/>
    <w:rsid w:val="3F165ACD"/>
    <w:rsid w:val="3F4A723C"/>
    <w:rsid w:val="3F9115F7"/>
    <w:rsid w:val="40714F85"/>
    <w:rsid w:val="40F260C6"/>
    <w:rsid w:val="410F0A26"/>
    <w:rsid w:val="421B33FA"/>
    <w:rsid w:val="427A6373"/>
    <w:rsid w:val="43E4263E"/>
    <w:rsid w:val="44476729"/>
    <w:rsid w:val="466C74CD"/>
    <w:rsid w:val="4712301E"/>
    <w:rsid w:val="47C519C2"/>
    <w:rsid w:val="4800556C"/>
    <w:rsid w:val="484E4529"/>
    <w:rsid w:val="49177011"/>
    <w:rsid w:val="49B45B0A"/>
    <w:rsid w:val="4A5D4EF8"/>
    <w:rsid w:val="4AC63A5A"/>
    <w:rsid w:val="4BC114B6"/>
    <w:rsid w:val="4C1001DC"/>
    <w:rsid w:val="4CAC185E"/>
    <w:rsid w:val="4D225F85"/>
    <w:rsid w:val="4D3D691B"/>
    <w:rsid w:val="4E880069"/>
    <w:rsid w:val="4EEA0D24"/>
    <w:rsid w:val="4F7505EE"/>
    <w:rsid w:val="501E2A33"/>
    <w:rsid w:val="516F0B4D"/>
    <w:rsid w:val="52840BEF"/>
    <w:rsid w:val="529B461D"/>
    <w:rsid w:val="53E61ABA"/>
    <w:rsid w:val="54354D4F"/>
    <w:rsid w:val="544B7B6F"/>
    <w:rsid w:val="555C7B5A"/>
    <w:rsid w:val="55D71720"/>
    <w:rsid w:val="55FC640F"/>
    <w:rsid w:val="56130B60"/>
    <w:rsid w:val="56693EA6"/>
    <w:rsid w:val="56B934B6"/>
    <w:rsid w:val="57D63BF4"/>
    <w:rsid w:val="59A57D21"/>
    <w:rsid w:val="5AC55129"/>
    <w:rsid w:val="5C645C72"/>
    <w:rsid w:val="5C7301AC"/>
    <w:rsid w:val="5C8005D2"/>
    <w:rsid w:val="5CA03055"/>
    <w:rsid w:val="5D2E002E"/>
    <w:rsid w:val="5DC11C82"/>
    <w:rsid w:val="5F363573"/>
    <w:rsid w:val="5F5E6109"/>
    <w:rsid w:val="60A01243"/>
    <w:rsid w:val="62C63B33"/>
    <w:rsid w:val="63376333"/>
    <w:rsid w:val="637013A0"/>
    <w:rsid w:val="64175CC0"/>
    <w:rsid w:val="64245FC4"/>
    <w:rsid w:val="645111D2"/>
    <w:rsid w:val="64C179D9"/>
    <w:rsid w:val="65EE47FE"/>
    <w:rsid w:val="667E19F2"/>
    <w:rsid w:val="66F57CB5"/>
    <w:rsid w:val="6701076A"/>
    <w:rsid w:val="6712276E"/>
    <w:rsid w:val="67FC1862"/>
    <w:rsid w:val="68BF2482"/>
    <w:rsid w:val="691C51F5"/>
    <w:rsid w:val="694806C9"/>
    <w:rsid w:val="69EC47DE"/>
    <w:rsid w:val="6AD3198D"/>
    <w:rsid w:val="6AF72513"/>
    <w:rsid w:val="6B5A64D5"/>
    <w:rsid w:val="6B9D4411"/>
    <w:rsid w:val="6BEF4A60"/>
    <w:rsid w:val="6D74375D"/>
    <w:rsid w:val="6E4A5C33"/>
    <w:rsid w:val="704513F8"/>
    <w:rsid w:val="710D1C37"/>
    <w:rsid w:val="71112092"/>
    <w:rsid w:val="71AB3DE3"/>
    <w:rsid w:val="71E361A5"/>
    <w:rsid w:val="72872262"/>
    <w:rsid w:val="72DF4A8A"/>
    <w:rsid w:val="73027B3B"/>
    <w:rsid w:val="74143FCA"/>
    <w:rsid w:val="77E458C9"/>
    <w:rsid w:val="78C733B9"/>
    <w:rsid w:val="78F07D83"/>
    <w:rsid w:val="7B31720F"/>
    <w:rsid w:val="7C927BB3"/>
    <w:rsid w:val="7D2D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240" w:beforeLines="100" w:line="360" w:lineRule="auto"/>
      <w:jc w:val="center"/>
      <w:outlineLvl w:val="0"/>
    </w:pPr>
    <w:rPr>
      <w:rFonts w:ascii="仿宋" w:hAnsi="仿宋" w:eastAsia="仿宋"/>
      <w:b/>
      <w:bCs/>
      <w:sz w:val="36"/>
      <w:szCs w:val="36"/>
    </w:rPr>
  </w:style>
  <w:style w:type="paragraph" w:styleId="3">
    <w:name w:val="heading 2"/>
    <w:basedOn w:val="1"/>
    <w:next w:val="1"/>
    <w:link w:val="63"/>
    <w:qFormat/>
    <w:uiPriority w:val="9"/>
    <w:pPr>
      <w:keepNext/>
      <w:keepLines/>
      <w:spacing w:before="120" w:beforeLines="50" w:line="360" w:lineRule="auto"/>
      <w:outlineLvl w:val="1"/>
    </w:pPr>
    <w:rPr>
      <w:rFonts w:ascii="仿宋" w:hAnsi="仿宋" w:eastAsia="仿宋"/>
      <w:b/>
      <w:sz w:val="32"/>
      <w:szCs w:val="32"/>
    </w:rPr>
  </w:style>
  <w:style w:type="paragraph" w:styleId="4">
    <w:name w:val="heading 3"/>
    <w:basedOn w:val="1"/>
    <w:next w:val="1"/>
    <w:qFormat/>
    <w:uiPriority w:val="9"/>
    <w:pPr>
      <w:keepNext/>
      <w:keepLines/>
      <w:spacing w:before="260" w:after="260" w:line="413" w:lineRule="auto"/>
      <w:outlineLvl w:val="2"/>
    </w:pPr>
    <w:rPr>
      <w:rFonts w:ascii="Arial" w:hAnsi="Arial"/>
      <w:b/>
      <w:sz w:val="32"/>
      <w:szCs w:val="20"/>
    </w:rPr>
  </w:style>
  <w:style w:type="paragraph" w:styleId="5">
    <w:name w:val="heading 4"/>
    <w:basedOn w:val="1"/>
    <w:next w:val="1"/>
    <w:link w:val="64"/>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5"/>
    <w:qFormat/>
    <w:uiPriority w:val="9"/>
    <w:pPr>
      <w:keepNext/>
      <w:keepLines/>
      <w:spacing w:before="280" w:after="290" w:line="376" w:lineRule="auto"/>
      <w:outlineLvl w:val="4"/>
    </w:pPr>
    <w:rPr>
      <w:b/>
      <w:bCs/>
      <w:sz w:val="28"/>
      <w:szCs w:val="28"/>
    </w:rPr>
  </w:style>
  <w:style w:type="paragraph" w:styleId="7">
    <w:name w:val="heading 6"/>
    <w:basedOn w:val="1"/>
    <w:next w:val="1"/>
    <w:link w:val="66"/>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7"/>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8"/>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9"/>
    <w:qFormat/>
    <w:uiPriority w:val="9"/>
    <w:pPr>
      <w:keepNext/>
      <w:keepLines/>
      <w:spacing w:before="320" w:after="200"/>
      <w:outlineLvl w:val="8"/>
    </w:pPr>
    <w:rPr>
      <w:rFonts w:ascii="Arial" w:hAnsi="Arial" w:eastAsia="Arial" w:cs="Arial"/>
      <w:i/>
      <w:iCs/>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57"/>
      <w:ind w:left="1701"/>
    </w:pPr>
  </w:style>
  <w:style w:type="paragraph" w:styleId="12">
    <w:name w:val="Normal Indent"/>
    <w:basedOn w:val="1"/>
    <w:link w:val="70"/>
    <w:qFormat/>
    <w:uiPriority w:val="0"/>
    <w:pPr>
      <w:ind w:firstLine="420"/>
    </w:pPr>
    <w:rPr>
      <w:szCs w:val="20"/>
    </w:rPr>
  </w:style>
  <w:style w:type="paragraph" w:styleId="13">
    <w:name w:val="caption"/>
    <w:basedOn w:val="1"/>
    <w:next w:val="1"/>
    <w:qFormat/>
    <w:uiPriority w:val="35"/>
    <w:pPr>
      <w:spacing w:before="156" w:after="156" w:line="360" w:lineRule="auto"/>
      <w:jc w:val="center"/>
    </w:pPr>
    <w:rPr>
      <w:rFonts w:ascii="Arial" w:hAnsi="Arial" w:cs="Arial"/>
      <w:sz w:val="24"/>
      <w:szCs w:val="20"/>
    </w:rPr>
  </w:style>
  <w:style w:type="paragraph" w:styleId="14">
    <w:name w:val="Document Map"/>
    <w:basedOn w:val="1"/>
    <w:qFormat/>
    <w:uiPriority w:val="0"/>
    <w:pPr>
      <w:shd w:val="clear" w:color="auto" w:fill="000080"/>
    </w:pPr>
  </w:style>
  <w:style w:type="paragraph" w:styleId="15">
    <w:name w:val="annotation text"/>
    <w:basedOn w:val="1"/>
    <w:link w:val="71"/>
    <w:qFormat/>
    <w:uiPriority w:val="99"/>
    <w:pPr>
      <w:jc w:val="left"/>
    </w:pPr>
  </w:style>
  <w:style w:type="paragraph" w:styleId="16">
    <w:name w:val="Body Text 3"/>
    <w:basedOn w:val="1"/>
    <w:qFormat/>
    <w:uiPriority w:val="0"/>
    <w:rPr>
      <w:rFonts w:ascii="楷体_GB2312" w:hAnsi="Arial" w:eastAsia="楷体_GB2312" w:cs="Arial"/>
      <w:b/>
      <w:bCs/>
      <w:color w:val="000000"/>
      <w:sz w:val="24"/>
    </w:rPr>
  </w:style>
  <w:style w:type="paragraph" w:styleId="17">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8">
    <w:name w:val="Body Text Indent"/>
    <w:basedOn w:val="1"/>
    <w:qFormat/>
    <w:uiPriority w:val="0"/>
    <w:pPr>
      <w:ind w:firstLine="630"/>
    </w:pPr>
    <w:rPr>
      <w:rFonts w:ascii="楷体_GB2312" w:eastAsia="楷体_GB2312"/>
      <w:sz w:val="32"/>
      <w:szCs w:val="20"/>
    </w:rPr>
  </w:style>
  <w:style w:type="paragraph" w:styleId="19">
    <w:name w:val="Block Text"/>
    <w:basedOn w:val="1"/>
    <w:qFormat/>
    <w:uiPriority w:val="0"/>
    <w:pPr>
      <w:ind w:left="420" w:right="33"/>
      <w:jc w:val="left"/>
    </w:pPr>
    <w:rPr>
      <w:sz w:val="24"/>
      <w:szCs w:val="20"/>
    </w:rPr>
  </w:style>
  <w:style w:type="paragraph" w:styleId="20">
    <w:name w:val="toc 5"/>
    <w:basedOn w:val="1"/>
    <w:next w:val="1"/>
    <w:qFormat/>
    <w:uiPriority w:val="39"/>
    <w:pPr>
      <w:spacing w:after="57"/>
      <w:ind w:left="1134"/>
    </w:pPr>
  </w:style>
  <w:style w:type="paragraph" w:styleId="21">
    <w:name w:val="toc 3"/>
    <w:basedOn w:val="1"/>
    <w:next w:val="1"/>
    <w:qFormat/>
    <w:uiPriority w:val="0"/>
    <w:pPr>
      <w:tabs>
        <w:tab w:val="right" w:leader="dot" w:pos="9344"/>
      </w:tabs>
      <w:spacing w:line="300" w:lineRule="auto"/>
      <w:ind w:left="840"/>
    </w:pPr>
    <w:rPr>
      <w:rFonts w:ascii="Arial" w:hAnsi="Arial" w:cs="Arial"/>
      <w:szCs w:val="21"/>
    </w:rPr>
  </w:style>
  <w:style w:type="paragraph" w:styleId="22">
    <w:name w:val="Plain Text"/>
    <w:basedOn w:val="1"/>
    <w:link w:val="72"/>
    <w:qFormat/>
    <w:uiPriority w:val="0"/>
    <w:rPr>
      <w:rFonts w:ascii="宋体" w:hAnsi="Courier New"/>
      <w:szCs w:val="20"/>
    </w:rPr>
  </w:style>
  <w:style w:type="paragraph" w:styleId="23">
    <w:name w:val="toc 8"/>
    <w:basedOn w:val="1"/>
    <w:next w:val="1"/>
    <w:qFormat/>
    <w:uiPriority w:val="39"/>
    <w:pPr>
      <w:spacing w:after="57"/>
      <w:ind w:left="1984"/>
    </w:pPr>
  </w:style>
  <w:style w:type="paragraph" w:styleId="24">
    <w:name w:val="Body Text Indent 2"/>
    <w:basedOn w:val="1"/>
    <w:qFormat/>
    <w:uiPriority w:val="0"/>
    <w:pPr>
      <w:spacing w:after="120" w:line="480" w:lineRule="auto"/>
      <w:ind w:left="420"/>
    </w:pPr>
  </w:style>
  <w:style w:type="paragraph" w:styleId="25">
    <w:name w:val="endnote text"/>
    <w:basedOn w:val="1"/>
    <w:link w:val="73"/>
    <w:qFormat/>
    <w:uiPriority w:val="99"/>
    <w:rPr>
      <w:sz w:val="20"/>
    </w:rPr>
  </w:style>
  <w:style w:type="paragraph" w:styleId="26">
    <w:name w:val="Balloon Text"/>
    <w:basedOn w:val="1"/>
    <w:link w:val="74"/>
    <w:qFormat/>
    <w:uiPriority w:val="0"/>
    <w:rPr>
      <w:sz w:val="18"/>
      <w:szCs w:val="18"/>
    </w:rPr>
  </w:style>
  <w:style w:type="paragraph" w:styleId="27">
    <w:name w:val="footer"/>
    <w:basedOn w:val="1"/>
    <w:link w:val="75"/>
    <w:qFormat/>
    <w:uiPriority w:val="99"/>
    <w:pPr>
      <w:tabs>
        <w:tab w:val="center" w:pos="4153"/>
        <w:tab w:val="right" w:pos="8306"/>
      </w:tabs>
      <w:jc w:val="left"/>
    </w:pPr>
    <w:rPr>
      <w:sz w:val="18"/>
      <w:szCs w:val="18"/>
    </w:rPr>
  </w:style>
  <w:style w:type="paragraph" w:styleId="28">
    <w:name w:val="header"/>
    <w:basedOn w:val="1"/>
    <w:link w:val="76"/>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qFormat/>
    <w:uiPriority w:val="0"/>
  </w:style>
  <w:style w:type="paragraph" w:styleId="30">
    <w:name w:val="toc 4"/>
    <w:basedOn w:val="1"/>
    <w:next w:val="1"/>
    <w:qFormat/>
    <w:uiPriority w:val="39"/>
    <w:pPr>
      <w:spacing w:after="57"/>
      <w:ind w:left="850"/>
    </w:pPr>
  </w:style>
  <w:style w:type="paragraph" w:styleId="31">
    <w:name w:val="Subtitle"/>
    <w:basedOn w:val="1"/>
    <w:next w:val="1"/>
    <w:link w:val="77"/>
    <w:qFormat/>
    <w:uiPriority w:val="11"/>
    <w:pPr>
      <w:spacing w:before="200" w:after="200"/>
    </w:pPr>
    <w:rPr>
      <w:sz w:val="24"/>
    </w:rPr>
  </w:style>
  <w:style w:type="paragraph" w:styleId="32">
    <w:name w:val="footnote text"/>
    <w:basedOn w:val="1"/>
    <w:link w:val="78"/>
    <w:qFormat/>
    <w:uiPriority w:val="99"/>
    <w:pPr>
      <w:spacing w:after="40"/>
    </w:pPr>
    <w:rPr>
      <w:sz w:val="18"/>
    </w:rPr>
  </w:style>
  <w:style w:type="paragraph" w:styleId="33">
    <w:name w:val="toc 6"/>
    <w:basedOn w:val="1"/>
    <w:next w:val="1"/>
    <w:qFormat/>
    <w:uiPriority w:val="39"/>
    <w:pPr>
      <w:ind w:left="1050"/>
      <w:jc w:val="left"/>
    </w:pPr>
    <w:rPr>
      <w:sz w:val="18"/>
      <w:szCs w:val="18"/>
    </w:rPr>
  </w:style>
  <w:style w:type="paragraph" w:styleId="34">
    <w:name w:val="Body Text Indent 3"/>
    <w:basedOn w:val="1"/>
    <w:qFormat/>
    <w:uiPriority w:val="99"/>
    <w:pPr>
      <w:ind w:firstLine="420"/>
    </w:pPr>
    <w:rPr>
      <w:rFonts w:eastAsia="楷体_GB2312"/>
    </w:rPr>
  </w:style>
  <w:style w:type="paragraph" w:styleId="35">
    <w:name w:val="table of figures"/>
    <w:basedOn w:val="1"/>
    <w:next w:val="1"/>
    <w:qFormat/>
    <w:uiPriority w:val="99"/>
  </w:style>
  <w:style w:type="paragraph" w:styleId="36">
    <w:name w:val="toc 2"/>
    <w:basedOn w:val="1"/>
    <w:next w:val="1"/>
    <w:qFormat/>
    <w:uiPriority w:val="0"/>
    <w:pPr>
      <w:ind w:left="420"/>
    </w:pPr>
    <w:rPr>
      <w:szCs w:val="20"/>
    </w:rPr>
  </w:style>
  <w:style w:type="paragraph" w:styleId="37">
    <w:name w:val="toc 9"/>
    <w:basedOn w:val="1"/>
    <w:next w:val="1"/>
    <w:qFormat/>
    <w:uiPriority w:val="39"/>
    <w:pPr>
      <w:spacing w:after="57"/>
      <w:ind w:left="2268"/>
    </w:pPr>
  </w:style>
  <w:style w:type="paragraph" w:styleId="38">
    <w:name w:val="Body Text 2"/>
    <w:basedOn w:val="1"/>
    <w:link w:val="79"/>
    <w:qFormat/>
    <w:uiPriority w:val="0"/>
    <w:pPr>
      <w:spacing w:line="440" w:lineRule="exact"/>
    </w:pPr>
    <w:rPr>
      <w:rFonts w:ascii="楷体_GB2312" w:eastAsia="楷体_GB2312"/>
      <w:sz w:val="28"/>
    </w:rPr>
  </w:style>
  <w:style w:type="paragraph" w:styleId="39">
    <w:name w:val="Normal (Web)"/>
    <w:basedOn w:val="1"/>
    <w:qFormat/>
    <w:uiPriority w:val="0"/>
    <w:pPr>
      <w:spacing w:beforeAutospacing="1" w:afterAutospacing="1"/>
      <w:jc w:val="left"/>
    </w:pPr>
    <w:rPr>
      <w:sz w:val="24"/>
    </w:rPr>
  </w:style>
  <w:style w:type="paragraph" w:styleId="40">
    <w:name w:val="Title"/>
    <w:basedOn w:val="1"/>
    <w:next w:val="1"/>
    <w:link w:val="80"/>
    <w:qFormat/>
    <w:uiPriority w:val="10"/>
    <w:pPr>
      <w:spacing w:before="300" w:after="200"/>
      <w:contextualSpacing/>
    </w:pPr>
    <w:rPr>
      <w:sz w:val="48"/>
      <w:szCs w:val="48"/>
    </w:rPr>
  </w:style>
  <w:style w:type="paragraph" w:styleId="41">
    <w:name w:val="annotation subject"/>
    <w:basedOn w:val="15"/>
    <w:next w:val="15"/>
    <w:link w:val="81"/>
    <w:qFormat/>
    <w:uiPriority w:val="0"/>
    <w:rPr>
      <w:b/>
      <w:bCs/>
    </w:rPr>
  </w:style>
  <w:style w:type="paragraph" w:styleId="42">
    <w:name w:val="Body Text First Indent"/>
    <w:basedOn w:val="17"/>
    <w:next w:val="33"/>
    <w:qFormat/>
    <w:uiPriority w:val="0"/>
    <w:pPr>
      <w:tabs>
        <w:tab w:val="clear" w:pos="2020"/>
        <w:tab w:val="clear" w:pos="4535"/>
      </w:tabs>
      <w:spacing w:after="120" w:line="240" w:lineRule="auto"/>
      <w:ind w:firstLine="420"/>
      <w:outlineLvl w:val="9"/>
    </w:pPr>
    <w:rPr>
      <w:rFonts w:ascii="Times New Roman" w:hAnsi="Times New Roman" w:eastAsia="宋体"/>
      <w:bCs w:val="0"/>
      <w:color w:val="auto"/>
      <w:sz w:val="21"/>
    </w:rPr>
  </w:style>
  <w:style w:type="paragraph" w:styleId="43">
    <w:name w:val="Body Text First Indent 2"/>
    <w:basedOn w:val="18"/>
    <w:qFormat/>
    <w:uiPriority w:val="0"/>
    <w:pPr>
      <w:widowControl/>
      <w:spacing w:after="120"/>
      <w:ind w:left="420" w:firstLine="420"/>
    </w:pPr>
    <w:rPr>
      <w:rFonts w:ascii="仿宋_GB2312" w:eastAsia="仿宋_GB2312"/>
      <w:color w:val="FF6600"/>
      <w:sz w:val="21"/>
    </w:rPr>
  </w:style>
  <w:style w:type="table" w:styleId="45">
    <w:name w:val="Table Grid"/>
    <w:basedOn w:val="44"/>
    <w:qFormat/>
    <w:uiPriority w:val="0"/>
    <w:rPr>
      <w:rFonts w:ascii="Calibri" w:hAnsi="Calibri" w:cs="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qFormat/>
    <w:uiPriority w:val="0"/>
  </w:style>
  <w:style w:type="character" w:styleId="48">
    <w:name w:val="endnote reference"/>
    <w:basedOn w:val="46"/>
    <w:qFormat/>
    <w:uiPriority w:val="99"/>
    <w:rPr>
      <w:vertAlign w:val="superscript"/>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99"/>
    <w:rPr>
      <w:color w:val="0000FF"/>
      <w:u w:val="none"/>
    </w:rPr>
  </w:style>
  <w:style w:type="character" w:styleId="57">
    <w:name w:val="HTML Code"/>
    <w:qFormat/>
    <w:uiPriority w:val="0"/>
    <w:rPr>
      <w:rFonts w:hint="default" w:ascii="monospace" w:hAnsi="monospace" w:eastAsia="monospace" w:cs="monospace"/>
      <w:sz w:val="20"/>
    </w:rPr>
  </w:style>
  <w:style w:type="character" w:styleId="58">
    <w:name w:val="annotation reference"/>
    <w:qFormat/>
    <w:uiPriority w:val="0"/>
    <w:rPr>
      <w:sz w:val="21"/>
      <w:szCs w:val="21"/>
    </w:rPr>
  </w:style>
  <w:style w:type="character" w:styleId="59">
    <w:name w:val="HTML Cite"/>
    <w:qFormat/>
    <w:uiPriority w:val="0"/>
  </w:style>
  <w:style w:type="character" w:styleId="60">
    <w:name w:val="footnote reference"/>
    <w:basedOn w:val="46"/>
    <w:qFormat/>
    <w:uiPriority w:val="99"/>
    <w:rPr>
      <w:vertAlign w:val="superscript"/>
    </w:rPr>
  </w:style>
  <w:style w:type="character" w:styleId="61">
    <w:name w:val="HTML Keyboard"/>
    <w:qFormat/>
    <w:uiPriority w:val="0"/>
    <w:rPr>
      <w:rFonts w:ascii="monospace" w:hAnsi="monospace" w:eastAsia="monospace" w:cs="monospace"/>
      <w:sz w:val="20"/>
    </w:rPr>
  </w:style>
  <w:style w:type="character" w:styleId="62">
    <w:name w:val="HTML Sample"/>
    <w:qFormat/>
    <w:uiPriority w:val="0"/>
    <w:rPr>
      <w:rFonts w:hint="default" w:ascii="monospace" w:hAnsi="monospace" w:eastAsia="monospace" w:cs="monospace"/>
    </w:rPr>
  </w:style>
  <w:style w:type="character" w:customStyle="1" w:styleId="63">
    <w:name w:val="标题 2 字符"/>
    <w:basedOn w:val="46"/>
    <w:link w:val="3"/>
    <w:qFormat/>
    <w:uiPriority w:val="9"/>
    <w:rPr>
      <w:rFonts w:ascii="仿宋" w:hAnsi="仿宋" w:eastAsia="仿宋"/>
      <w:b/>
      <w:sz w:val="32"/>
      <w:szCs w:val="32"/>
    </w:rPr>
  </w:style>
  <w:style w:type="character" w:customStyle="1" w:styleId="64">
    <w:name w:val="标题 4 字符"/>
    <w:link w:val="5"/>
    <w:qFormat/>
    <w:uiPriority w:val="9"/>
    <w:rPr>
      <w:rFonts w:ascii="Cambria" w:hAnsi="Cambria"/>
      <w:b/>
      <w:bCs/>
      <w:sz w:val="28"/>
      <w:szCs w:val="28"/>
    </w:rPr>
  </w:style>
  <w:style w:type="character" w:customStyle="1" w:styleId="65">
    <w:name w:val="标题 5 字符"/>
    <w:link w:val="6"/>
    <w:qFormat/>
    <w:uiPriority w:val="9"/>
    <w:rPr>
      <w:b/>
      <w:bCs/>
      <w:sz w:val="28"/>
      <w:szCs w:val="28"/>
    </w:rPr>
  </w:style>
  <w:style w:type="character" w:customStyle="1" w:styleId="66">
    <w:name w:val="标题 6 字符"/>
    <w:basedOn w:val="46"/>
    <w:link w:val="7"/>
    <w:qFormat/>
    <w:uiPriority w:val="9"/>
    <w:rPr>
      <w:rFonts w:ascii="Arial" w:hAnsi="Arial" w:eastAsia="Arial" w:cs="Arial"/>
      <w:b/>
      <w:bCs/>
      <w:sz w:val="22"/>
      <w:szCs w:val="22"/>
    </w:rPr>
  </w:style>
  <w:style w:type="character" w:customStyle="1" w:styleId="67">
    <w:name w:val="标题 7 字符"/>
    <w:basedOn w:val="46"/>
    <w:link w:val="8"/>
    <w:qFormat/>
    <w:uiPriority w:val="9"/>
    <w:rPr>
      <w:rFonts w:ascii="Arial" w:hAnsi="Arial" w:eastAsia="Arial" w:cs="Arial"/>
      <w:b/>
      <w:bCs/>
      <w:i/>
      <w:iCs/>
      <w:sz w:val="22"/>
      <w:szCs w:val="22"/>
    </w:rPr>
  </w:style>
  <w:style w:type="character" w:customStyle="1" w:styleId="68">
    <w:name w:val="标题 8 字符"/>
    <w:basedOn w:val="46"/>
    <w:link w:val="9"/>
    <w:qFormat/>
    <w:uiPriority w:val="9"/>
    <w:rPr>
      <w:rFonts w:ascii="Arial" w:hAnsi="Arial" w:eastAsia="Arial" w:cs="Arial"/>
      <w:i/>
      <w:iCs/>
      <w:sz w:val="22"/>
      <w:szCs w:val="22"/>
    </w:rPr>
  </w:style>
  <w:style w:type="character" w:customStyle="1" w:styleId="69">
    <w:name w:val="标题 9 字符"/>
    <w:basedOn w:val="46"/>
    <w:link w:val="10"/>
    <w:qFormat/>
    <w:uiPriority w:val="9"/>
    <w:rPr>
      <w:rFonts w:ascii="Arial" w:hAnsi="Arial" w:eastAsia="Arial" w:cs="Arial"/>
      <w:i/>
      <w:iCs/>
      <w:sz w:val="21"/>
      <w:szCs w:val="21"/>
    </w:rPr>
  </w:style>
  <w:style w:type="character" w:customStyle="1" w:styleId="70">
    <w:name w:val="正文缩进 字符"/>
    <w:link w:val="12"/>
    <w:qFormat/>
    <w:uiPriority w:val="0"/>
    <w:rPr>
      <w:sz w:val="21"/>
    </w:rPr>
  </w:style>
  <w:style w:type="character" w:customStyle="1" w:styleId="71">
    <w:name w:val="批注文字 字符"/>
    <w:link w:val="15"/>
    <w:qFormat/>
    <w:uiPriority w:val="99"/>
    <w:rPr>
      <w:sz w:val="21"/>
      <w:szCs w:val="24"/>
    </w:rPr>
  </w:style>
  <w:style w:type="character" w:customStyle="1" w:styleId="72">
    <w:name w:val="纯文本 字符"/>
    <w:link w:val="22"/>
    <w:qFormat/>
    <w:uiPriority w:val="0"/>
    <w:rPr>
      <w:rFonts w:ascii="宋体" w:hAnsi="Courier New" w:eastAsia="宋体"/>
      <w:sz w:val="21"/>
      <w:lang w:val="en-US" w:eastAsia="zh-CN" w:bidi="ar-SA"/>
    </w:rPr>
  </w:style>
  <w:style w:type="character" w:customStyle="1" w:styleId="73">
    <w:name w:val="尾注文本 字符"/>
    <w:link w:val="25"/>
    <w:qFormat/>
    <w:uiPriority w:val="99"/>
    <w:rPr>
      <w:sz w:val="20"/>
    </w:rPr>
  </w:style>
  <w:style w:type="character" w:customStyle="1" w:styleId="74">
    <w:name w:val="批注框文本 字符"/>
    <w:link w:val="26"/>
    <w:qFormat/>
    <w:uiPriority w:val="0"/>
    <w:rPr>
      <w:sz w:val="18"/>
      <w:szCs w:val="18"/>
    </w:rPr>
  </w:style>
  <w:style w:type="character" w:customStyle="1" w:styleId="75">
    <w:name w:val="页脚 字符"/>
    <w:link w:val="27"/>
    <w:qFormat/>
    <w:uiPriority w:val="99"/>
    <w:rPr>
      <w:sz w:val="18"/>
      <w:szCs w:val="18"/>
    </w:rPr>
  </w:style>
  <w:style w:type="character" w:customStyle="1" w:styleId="76">
    <w:name w:val="页眉 字符"/>
    <w:link w:val="28"/>
    <w:qFormat/>
    <w:uiPriority w:val="0"/>
    <w:rPr>
      <w:sz w:val="18"/>
      <w:szCs w:val="18"/>
    </w:rPr>
  </w:style>
  <w:style w:type="character" w:customStyle="1" w:styleId="77">
    <w:name w:val="副标题 字符"/>
    <w:basedOn w:val="46"/>
    <w:link w:val="31"/>
    <w:qFormat/>
    <w:uiPriority w:val="11"/>
    <w:rPr>
      <w:sz w:val="24"/>
      <w:szCs w:val="24"/>
    </w:rPr>
  </w:style>
  <w:style w:type="character" w:customStyle="1" w:styleId="78">
    <w:name w:val="脚注文本 字符"/>
    <w:link w:val="32"/>
    <w:qFormat/>
    <w:uiPriority w:val="99"/>
    <w:rPr>
      <w:sz w:val="18"/>
    </w:rPr>
  </w:style>
  <w:style w:type="character" w:customStyle="1" w:styleId="79">
    <w:name w:val="正文文本 2 字符"/>
    <w:link w:val="38"/>
    <w:qFormat/>
    <w:uiPriority w:val="0"/>
    <w:rPr>
      <w:rFonts w:ascii="楷体_GB2312" w:eastAsia="楷体_GB2312"/>
      <w:sz w:val="28"/>
      <w:szCs w:val="24"/>
    </w:rPr>
  </w:style>
  <w:style w:type="character" w:customStyle="1" w:styleId="80">
    <w:name w:val="标题 字符"/>
    <w:basedOn w:val="46"/>
    <w:link w:val="40"/>
    <w:qFormat/>
    <w:uiPriority w:val="10"/>
    <w:rPr>
      <w:sz w:val="48"/>
      <w:szCs w:val="48"/>
    </w:rPr>
  </w:style>
  <w:style w:type="character" w:customStyle="1" w:styleId="81">
    <w:name w:val="批注主题 字符"/>
    <w:link w:val="41"/>
    <w:qFormat/>
    <w:uiPriority w:val="0"/>
    <w:rPr>
      <w:b/>
      <w:bCs/>
      <w:sz w:val="21"/>
      <w:szCs w:val="24"/>
    </w:rPr>
  </w:style>
  <w:style w:type="paragraph" w:styleId="82">
    <w:name w:val="List Paragraph"/>
    <w:basedOn w:val="1"/>
    <w:qFormat/>
    <w:uiPriority w:val="34"/>
    <w:pPr>
      <w:ind w:left="720"/>
      <w:contextualSpacing/>
    </w:pPr>
  </w:style>
  <w:style w:type="paragraph" w:styleId="83">
    <w:name w:val="No Spacing"/>
    <w:qFormat/>
    <w:uiPriority w:val="1"/>
    <w:rPr>
      <w:rFonts w:ascii="Times New Roman" w:hAnsi="Times New Roman" w:eastAsia="宋体" w:cs="Times New Roman"/>
      <w:lang w:val="en-US" w:eastAsia="zh-CN" w:bidi="ar-SA"/>
    </w:rPr>
  </w:style>
  <w:style w:type="paragraph" w:styleId="84">
    <w:name w:val="Quote"/>
    <w:basedOn w:val="1"/>
    <w:next w:val="1"/>
    <w:link w:val="85"/>
    <w:qFormat/>
    <w:uiPriority w:val="29"/>
    <w:pPr>
      <w:ind w:left="720" w:right="720"/>
    </w:pPr>
    <w:rPr>
      <w:i/>
    </w:rPr>
  </w:style>
  <w:style w:type="character" w:customStyle="1" w:styleId="85">
    <w:name w:val="引用 字符"/>
    <w:link w:val="84"/>
    <w:qFormat/>
    <w:uiPriority w:val="29"/>
    <w:rPr>
      <w:i/>
    </w:rPr>
  </w:style>
  <w:style w:type="paragraph" w:styleId="86">
    <w:name w:val="Intense Quote"/>
    <w:basedOn w:val="1"/>
    <w:next w:val="1"/>
    <w:link w:val="8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7">
    <w:name w:val="明显引用 字符"/>
    <w:link w:val="86"/>
    <w:qFormat/>
    <w:uiPriority w:val="30"/>
    <w:rPr>
      <w:i/>
    </w:rPr>
  </w:style>
  <w:style w:type="paragraph" w:customStyle="1" w:styleId="88">
    <w:name w:val="普通正文"/>
    <w:basedOn w:val="1"/>
    <w:qFormat/>
    <w:uiPriority w:val="0"/>
    <w:pPr>
      <w:spacing w:before="120" w:after="120" w:line="360" w:lineRule="auto"/>
      <w:ind w:firstLine="480"/>
      <w:jc w:val="left"/>
    </w:pPr>
    <w:rPr>
      <w:rFonts w:ascii="Arial" w:hAnsi="Arial"/>
      <w:sz w:val="24"/>
    </w:rPr>
  </w:style>
  <w:style w:type="paragraph" w:customStyle="1" w:styleId="89">
    <w:name w:val="文本块1"/>
    <w:basedOn w:val="1"/>
    <w:qFormat/>
    <w:uiPriority w:val="99"/>
    <w:pPr>
      <w:ind w:left="420" w:right="33"/>
      <w:jc w:val="left"/>
    </w:pPr>
    <w:rPr>
      <w:sz w:val="24"/>
      <w:szCs w:val="20"/>
    </w:rPr>
  </w:style>
  <w:style w:type="paragraph" w:customStyle="1" w:styleId="90">
    <w:name w:val="正文1"/>
    <w:basedOn w:val="1"/>
    <w:next w:val="1"/>
    <w:qFormat/>
    <w:uiPriority w:val="0"/>
    <w:pPr>
      <w:widowControl/>
      <w:numPr>
        <w:ilvl w:val="0"/>
        <w:numId w:val="1"/>
      </w:numPr>
      <w:tabs>
        <w:tab w:val="left" w:pos="1110"/>
      </w:tabs>
      <w:spacing w:before="120" w:after="120" w:line="180" w:lineRule="auto"/>
      <w:ind w:firstLine="200"/>
      <w:contextualSpacing/>
      <w:jc w:val="left"/>
    </w:pPr>
    <w:rPr>
      <w:rFonts w:ascii="Calibri" w:hAnsi="Calibri" w:eastAsia="Adobe 仿宋 Std R"/>
      <w:szCs w:val="21"/>
    </w:rPr>
  </w:style>
  <w:style w:type="paragraph" w:customStyle="1" w:styleId="91">
    <w:name w:val="[Normal]"/>
    <w:qFormat/>
    <w:uiPriority w:val="0"/>
    <w:rPr>
      <w:rFonts w:ascii="方正仿宋简体" w:hAnsi="方正仿宋简体" w:eastAsia="方正仿宋简体" w:cs="Courier New"/>
      <w:sz w:val="24"/>
      <w:szCs w:val="22"/>
      <w:lang w:val="zh-CN" w:eastAsia="zh-CN" w:bidi="ar-SA"/>
    </w:rPr>
  </w:style>
  <w:style w:type="paragraph" w:customStyle="1" w:styleId="92">
    <w:name w:val="BodyText"/>
    <w:basedOn w:val="1"/>
    <w:qFormat/>
    <w:uiPriority w:val="0"/>
    <w:pPr>
      <w:spacing w:after="120"/>
    </w:pPr>
    <w:rPr>
      <w:sz w:val="20"/>
    </w:rPr>
  </w:style>
  <w:style w:type="paragraph" w:customStyle="1" w:styleId="93">
    <w:name w:val="正文文本缩进11"/>
    <w:basedOn w:val="1"/>
    <w:next w:val="1"/>
    <w:qFormat/>
    <w:uiPriority w:val="99"/>
    <w:pPr>
      <w:spacing w:after="120"/>
      <w:ind w:left="420"/>
    </w:pPr>
  </w:style>
  <w:style w:type="paragraph" w:customStyle="1" w:styleId="94">
    <w:name w:val="正文缩进1"/>
    <w:basedOn w:val="1"/>
    <w:qFormat/>
    <w:uiPriority w:val="0"/>
    <w:pPr>
      <w:ind w:firstLine="420"/>
    </w:pPr>
    <w:rPr>
      <w:szCs w:val="20"/>
    </w:rPr>
  </w:style>
  <w:style w:type="paragraph" w:customStyle="1" w:styleId="9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6">
    <w:name w:val="msonormal"/>
    <w:basedOn w:val="1"/>
    <w:qFormat/>
    <w:uiPriority w:val="0"/>
    <w:pPr>
      <w:widowControl/>
      <w:spacing w:before="100" w:beforeAutospacing="1" w:after="100" w:afterAutospacing="1"/>
      <w:jc w:val="left"/>
    </w:pPr>
    <w:rPr>
      <w:rFonts w:eastAsia="Times New Roman"/>
      <w:sz w:val="24"/>
    </w:rPr>
  </w:style>
  <w:style w:type="paragraph" w:customStyle="1" w:styleId="97">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98">
    <w:name w:val="font6"/>
    <w:basedOn w:val="1"/>
    <w:qFormat/>
    <w:uiPriority w:val="0"/>
    <w:pPr>
      <w:widowControl/>
      <w:spacing w:before="100" w:beforeAutospacing="1" w:after="100" w:afterAutospacing="1"/>
      <w:jc w:val="left"/>
    </w:pPr>
    <w:rPr>
      <w:rFonts w:ascii="宋体" w:hAnsi="宋体"/>
      <w:sz w:val="18"/>
      <w:szCs w:val="18"/>
    </w:rPr>
  </w:style>
  <w:style w:type="paragraph" w:customStyle="1" w:styleId="99">
    <w:name w:val="font7"/>
    <w:basedOn w:val="1"/>
    <w:qFormat/>
    <w:uiPriority w:val="0"/>
    <w:pPr>
      <w:widowControl/>
      <w:spacing w:before="100" w:beforeAutospacing="1" w:after="100" w:afterAutospacing="1"/>
      <w:jc w:val="left"/>
    </w:pPr>
    <w:rPr>
      <w:rFonts w:ascii="宋体" w:hAnsi="宋体"/>
      <w:color w:val="C00000"/>
      <w:sz w:val="18"/>
      <w:szCs w:val="18"/>
    </w:rPr>
  </w:style>
  <w:style w:type="paragraph" w:customStyle="1" w:styleId="100">
    <w:name w:val="font8"/>
    <w:basedOn w:val="1"/>
    <w:qFormat/>
    <w:uiPriority w:val="0"/>
    <w:pPr>
      <w:widowControl/>
      <w:spacing w:before="100" w:beforeAutospacing="1" w:after="100" w:afterAutospacing="1"/>
      <w:jc w:val="left"/>
    </w:pPr>
    <w:rPr>
      <w:rFonts w:ascii="Cambria Math" w:hAnsi="Cambria Math" w:eastAsia="Times New Roman"/>
      <w:color w:val="C00000"/>
      <w:sz w:val="18"/>
      <w:szCs w:val="18"/>
    </w:rPr>
  </w:style>
  <w:style w:type="paragraph" w:customStyle="1" w:styleId="101">
    <w:name w:val="font9"/>
    <w:basedOn w:val="1"/>
    <w:qFormat/>
    <w:uiPriority w:val="0"/>
    <w:pPr>
      <w:widowControl/>
      <w:spacing w:before="100" w:beforeAutospacing="1" w:after="100" w:afterAutospacing="1"/>
      <w:jc w:val="left"/>
    </w:pPr>
    <w:rPr>
      <w:rFonts w:ascii="Tahoma" w:hAnsi="Tahoma" w:eastAsia="Times New Roman" w:cs="Tahoma"/>
      <w:color w:val="C00000"/>
      <w:sz w:val="18"/>
      <w:szCs w:val="18"/>
    </w:rPr>
  </w:style>
  <w:style w:type="paragraph" w:customStyle="1" w:styleId="102">
    <w:name w:val="xl66"/>
    <w:basedOn w:val="1"/>
    <w:qFormat/>
    <w:uiPriority w:val="0"/>
    <w:pPr>
      <w:widowControl/>
      <w:spacing w:before="100" w:beforeAutospacing="1" w:after="100" w:afterAutospacing="1"/>
      <w:jc w:val="left"/>
    </w:pPr>
    <w:rPr>
      <w:rFonts w:ascii="宋体" w:hAnsi="宋体"/>
      <w:sz w:val="18"/>
      <w:szCs w:val="18"/>
    </w:rPr>
  </w:style>
  <w:style w:type="paragraph" w:customStyle="1" w:styleId="103">
    <w:name w:val="xl67"/>
    <w:basedOn w:val="1"/>
    <w:qFormat/>
    <w:uiPriority w:val="0"/>
    <w:pPr>
      <w:widowControl/>
      <w:spacing w:before="100" w:beforeAutospacing="1" w:after="100" w:afterAutospacing="1"/>
      <w:jc w:val="left"/>
    </w:pPr>
    <w:rPr>
      <w:rFonts w:eastAsia="Times New Roman"/>
      <w:sz w:val="18"/>
      <w:szCs w:val="18"/>
    </w:rPr>
  </w:style>
  <w:style w:type="paragraph" w:customStyle="1" w:styleId="1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0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sz w:val="18"/>
      <w:szCs w:val="18"/>
    </w:rPr>
  </w:style>
  <w:style w:type="paragraph" w:customStyle="1" w:styleId="10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1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sz w:val="18"/>
      <w:szCs w:val="18"/>
    </w:rPr>
  </w:style>
  <w:style w:type="paragraph" w:customStyle="1" w:styleId="1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18"/>
      <w:szCs w:val="18"/>
    </w:rPr>
  </w:style>
  <w:style w:type="paragraph" w:customStyle="1" w:styleId="11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18"/>
      <w:szCs w:val="18"/>
    </w:rPr>
  </w:style>
  <w:style w:type="paragraph" w:customStyle="1" w:styleId="11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center"/>
      <w:textAlignment w:val="center"/>
    </w:pPr>
    <w:rPr>
      <w:rFonts w:ascii="宋体" w:hAnsi="宋体"/>
      <w:b/>
      <w:bCs/>
      <w:sz w:val="18"/>
      <w:szCs w:val="18"/>
    </w:rPr>
  </w:style>
  <w:style w:type="paragraph" w:customStyle="1" w:styleId="11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2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b/>
      <w:bCs/>
      <w:sz w:val="18"/>
      <w:szCs w:val="18"/>
    </w:rPr>
  </w:style>
  <w:style w:type="paragraph" w:customStyle="1" w:styleId="12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sz w:val="18"/>
      <w:szCs w:val="18"/>
    </w:rPr>
  </w:style>
  <w:style w:type="paragraph" w:customStyle="1" w:styleId="12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18"/>
      <w:szCs w:val="18"/>
    </w:rPr>
  </w:style>
  <w:style w:type="paragraph" w:customStyle="1" w:styleId="12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sz w:val="18"/>
      <w:szCs w:val="18"/>
    </w:rPr>
  </w:style>
  <w:style w:type="paragraph" w:customStyle="1" w:styleId="12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2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sz w:val="18"/>
      <w:szCs w:val="18"/>
    </w:rPr>
  </w:style>
  <w:style w:type="paragraph" w:customStyle="1" w:styleId="12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2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sz w:val="18"/>
      <w:szCs w:val="18"/>
    </w:rPr>
  </w:style>
  <w:style w:type="paragraph" w:customStyle="1" w:styleId="12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center"/>
      <w:textAlignment w:val="center"/>
    </w:pPr>
    <w:rPr>
      <w:rFonts w:ascii="宋体" w:hAnsi="宋体"/>
      <w:sz w:val="18"/>
      <w:szCs w:val="18"/>
    </w:rPr>
  </w:style>
  <w:style w:type="paragraph" w:customStyle="1" w:styleId="12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center"/>
      <w:textAlignment w:val="center"/>
    </w:pPr>
    <w:rPr>
      <w:rFonts w:ascii="宋体" w:hAnsi="宋体"/>
      <w:sz w:val="18"/>
      <w:szCs w:val="18"/>
    </w:rPr>
  </w:style>
  <w:style w:type="paragraph" w:customStyle="1" w:styleId="13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BE2D5"/>
      <w:spacing w:before="100" w:beforeAutospacing="1" w:after="100" w:afterAutospacing="1"/>
      <w:jc w:val="center"/>
      <w:textAlignment w:val="center"/>
    </w:pPr>
    <w:rPr>
      <w:rFonts w:ascii="宋体" w:hAnsi="宋体"/>
      <w:sz w:val="18"/>
      <w:szCs w:val="18"/>
    </w:rPr>
  </w:style>
  <w:style w:type="paragraph" w:customStyle="1" w:styleId="13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sz w:val="18"/>
      <w:szCs w:val="18"/>
    </w:rPr>
  </w:style>
  <w:style w:type="paragraph" w:customStyle="1" w:styleId="13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CAEDFB"/>
      <w:spacing w:before="100" w:beforeAutospacing="1" w:after="100" w:afterAutospacing="1"/>
      <w:jc w:val="center"/>
      <w:textAlignment w:val="center"/>
    </w:pPr>
    <w:rPr>
      <w:rFonts w:ascii="宋体" w:hAnsi="宋体"/>
      <w:sz w:val="18"/>
      <w:szCs w:val="18"/>
    </w:rPr>
  </w:style>
  <w:style w:type="paragraph" w:customStyle="1" w:styleId="13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sz w:val="18"/>
      <w:szCs w:val="18"/>
    </w:rPr>
  </w:style>
  <w:style w:type="paragraph" w:customStyle="1" w:styleId="134">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8"/>
      <w:szCs w:val="18"/>
    </w:rPr>
  </w:style>
  <w:style w:type="paragraph" w:customStyle="1" w:styleId="1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sz w:val="18"/>
      <w:szCs w:val="18"/>
    </w:rPr>
  </w:style>
  <w:style w:type="paragraph" w:customStyle="1" w:styleId="13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C00000"/>
      <w:sz w:val="16"/>
      <w:szCs w:val="16"/>
    </w:rPr>
  </w:style>
  <w:style w:type="paragraph" w:customStyle="1" w:styleId="13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8"/>
      <w:szCs w:val="18"/>
    </w:rPr>
  </w:style>
  <w:style w:type="paragraph" w:customStyle="1" w:styleId="13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6"/>
      <w:szCs w:val="16"/>
    </w:rPr>
  </w:style>
  <w:style w:type="paragraph" w:customStyle="1" w:styleId="13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C00000"/>
      <w:sz w:val="18"/>
      <w:szCs w:val="18"/>
    </w:rPr>
  </w:style>
  <w:style w:type="paragraph" w:customStyle="1" w:styleId="14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6"/>
      <w:szCs w:val="16"/>
    </w:rPr>
  </w:style>
  <w:style w:type="paragraph" w:customStyle="1" w:styleId="141">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6"/>
      <w:szCs w:val="16"/>
    </w:rPr>
  </w:style>
  <w:style w:type="paragraph" w:customStyle="1" w:styleId="142">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8"/>
      <w:szCs w:val="18"/>
    </w:rPr>
  </w:style>
  <w:style w:type="paragraph" w:customStyle="1" w:styleId="143">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8"/>
      <w:szCs w:val="18"/>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C00000"/>
      <w:sz w:val="18"/>
      <w:szCs w:val="18"/>
    </w:rPr>
  </w:style>
  <w:style w:type="paragraph" w:customStyle="1" w:styleId="145">
    <w:name w:val="xl10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olor w:val="C00000"/>
      <w:sz w:val="18"/>
      <w:szCs w:val="18"/>
    </w:rPr>
  </w:style>
  <w:style w:type="paragraph" w:customStyle="1" w:styleId="146">
    <w:name w:val="xl1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olor w:val="C00000"/>
      <w:sz w:val="16"/>
      <w:szCs w:val="16"/>
    </w:rPr>
  </w:style>
  <w:style w:type="paragraph" w:customStyle="1" w:styleId="147">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olor w:val="C00000"/>
      <w:sz w:val="16"/>
      <w:szCs w:val="16"/>
    </w:rPr>
  </w:style>
  <w:style w:type="paragraph" w:customStyle="1" w:styleId="148">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left"/>
      <w:textAlignment w:val="center"/>
    </w:pPr>
    <w:rPr>
      <w:rFonts w:ascii="宋体" w:hAnsi="宋体"/>
      <w:sz w:val="18"/>
      <w:szCs w:val="18"/>
    </w:rPr>
  </w:style>
  <w:style w:type="paragraph" w:customStyle="1" w:styleId="149">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left"/>
      <w:textAlignment w:val="center"/>
    </w:pPr>
    <w:rPr>
      <w:rFonts w:ascii="宋体" w:hAnsi="宋体"/>
      <w:sz w:val="18"/>
      <w:szCs w:val="18"/>
    </w:rPr>
  </w:style>
  <w:style w:type="paragraph" w:customStyle="1" w:styleId="15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51">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52">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53">
    <w:name w:val="xl117"/>
    <w:basedOn w:val="1"/>
    <w:qFormat/>
    <w:uiPriority w:val="0"/>
    <w:pPr>
      <w:widowControl/>
      <w:pBdr>
        <w:top w:val="single" w:color="auto" w:sz="4" w:space="0"/>
        <w:left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54">
    <w:name w:val="xl118"/>
    <w:basedOn w:val="1"/>
    <w:qFormat/>
    <w:uiPriority w:val="0"/>
    <w:pPr>
      <w:widowControl/>
      <w:pBdr>
        <w:top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55">
    <w:name w:val="xl119"/>
    <w:basedOn w:val="1"/>
    <w:qFormat/>
    <w:uiPriority w:val="0"/>
    <w:pPr>
      <w:widowControl/>
      <w:pBdr>
        <w:top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56">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57">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5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b/>
      <w:bCs/>
      <w:sz w:val="18"/>
      <w:szCs w:val="18"/>
    </w:rPr>
  </w:style>
  <w:style w:type="paragraph" w:customStyle="1" w:styleId="159">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60">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61">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62">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6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64">
    <w:name w:val="xl128"/>
    <w:basedOn w:val="1"/>
    <w:qFormat/>
    <w:uiPriority w:val="0"/>
    <w:pPr>
      <w:widowControl/>
      <w:pBdr>
        <w:top w:val="single" w:color="auto" w:sz="4" w:space="0"/>
        <w:left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65">
    <w:name w:val="xl129"/>
    <w:basedOn w:val="1"/>
    <w:qFormat/>
    <w:uiPriority w:val="0"/>
    <w:pPr>
      <w:widowControl/>
      <w:pBdr>
        <w:top w:val="single" w:color="auto" w:sz="4" w:space="0"/>
        <w:bottom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66">
    <w:name w:val="xl130"/>
    <w:basedOn w:val="1"/>
    <w:qFormat/>
    <w:uiPriority w:val="0"/>
    <w:pPr>
      <w:widowControl/>
      <w:pBdr>
        <w:top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67">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6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6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70">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 w:type="paragraph" w:customStyle="1" w:styleId="171">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left"/>
      <w:textAlignment w:val="center"/>
    </w:pPr>
    <w:rPr>
      <w:rFonts w:ascii="宋体" w:hAnsi="宋体"/>
      <w:sz w:val="18"/>
      <w:szCs w:val="18"/>
    </w:rPr>
  </w:style>
  <w:style w:type="paragraph" w:customStyle="1" w:styleId="172">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BE2D5"/>
      <w:spacing w:before="100" w:beforeAutospacing="1" w:after="100" w:afterAutospacing="1"/>
      <w:jc w:val="left"/>
      <w:textAlignment w:val="center"/>
    </w:pPr>
    <w:rPr>
      <w:rFonts w:ascii="宋体" w:hAnsi="宋体"/>
      <w:sz w:val="18"/>
      <w:szCs w:val="18"/>
    </w:rPr>
  </w:style>
  <w:style w:type="paragraph" w:customStyle="1" w:styleId="173">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BE2D5"/>
      <w:spacing w:before="100" w:beforeAutospacing="1" w:after="100" w:afterAutospacing="1"/>
      <w:jc w:val="left"/>
      <w:textAlignment w:val="center"/>
    </w:pPr>
    <w:rPr>
      <w:rFonts w:ascii="宋体" w:hAnsi="宋体"/>
      <w:sz w:val="18"/>
      <w:szCs w:val="18"/>
    </w:rPr>
  </w:style>
  <w:style w:type="paragraph" w:customStyle="1" w:styleId="174">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sz w:val="18"/>
      <w:szCs w:val="18"/>
    </w:rPr>
  </w:style>
  <w:style w:type="paragraph" w:customStyle="1" w:styleId="175">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b/>
      <w:bCs/>
      <w:sz w:val="18"/>
      <w:szCs w:val="18"/>
    </w:rPr>
  </w:style>
  <w:style w:type="paragraph" w:customStyle="1" w:styleId="176">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jc w:val="center"/>
      <w:textAlignment w:val="center"/>
    </w:pPr>
    <w:rPr>
      <w:rFonts w:ascii="宋体" w:hAnsi="宋体"/>
      <w:b/>
      <w:bCs/>
      <w:sz w:val="18"/>
      <w:szCs w:val="18"/>
    </w:rPr>
  </w:style>
  <w:style w:type="paragraph" w:customStyle="1" w:styleId="17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18"/>
      <w:szCs w:val="18"/>
    </w:rPr>
  </w:style>
  <w:style w:type="paragraph" w:customStyle="1" w:styleId="17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sz w:val="18"/>
      <w:szCs w:val="18"/>
    </w:rPr>
  </w:style>
  <w:style w:type="paragraph" w:customStyle="1" w:styleId="179">
    <w:name w:val="xl143"/>
    <w:basedOn w:val="1"/>
    <w:qFormat/>
    <w:uiPriority w:val="0"/>
    <w:pPr>
      <w:widowControl/>
      <w:pBdr>
        <w:top w:val="single" w:color="auto" w:sz="4" w:space="0"/>
        <w:left w:val="single" w:color="auto" w:sz="4" w:space="0"/>
        <w:bottom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80">
    <w:name w:val="xl144"/>
    <w:basedOn w:val="1"/>
    <w:qFormat/>
    <w:uiPriority w:val="0"/>
    <w:pPr>
      <w:widowControl/>
      <w:pBdr>
        <w:top w:val="single" w:color="auto" w:sz="4" w:space="0"/>
        <w:bottom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81">
    <w:name w:val="xl145"/>
    <w:basedOn w:val="1"/>
    <w:qFormat/>
    <w:uiPriority w:val="0"/>
    <w:pPr>
      <w:widowControl/>
      <w:pBdr>
        <w:top w:val="single" w:color="auto" w:sz="4" w:space="0"/>
        <w:bottom w:val="single" w:color="auto" w:sz="4" w:space="0"/>
        <w:right w:val="single" w:color="auto" w:sz="4" w:space="0"/>
      </w:pBdr>
      <w:shd w:val="clear" w:color="000000" w:fill="BDD7EE"/>
      <w:spacing w:before="100" w:beforeAutospacing="1" w:after="100" w:afterAutospacing="1"/>
      <w:jc w:val="left"/>
      <w:textAlignment w:val="center"/>
    </w:pPr>
    <w:rPr>
      <w:rFonts w:ascii="宋体" w:hAnsi="宋体"/>
      <w:sz w:val="18"/>
      <w:szCs w:val="18"/>
    </w:rPr>
  </w:style>
  <w:style w:type="paragraph" w:customStyle="1" w:styleId="182">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83">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2CEEF"/>
      <w:spacing w:before="100" w:beforeAutospacing="1" w:after="100" w:afterAutospacing="1"/>
      <w:jc w:val="left"/>
      <w:textAlignment w:val="center"/>
    </w:pPr>
    <w:rPr>
      <w:rFonts w:ascii="宋体" w:hAnsi="宋体"/>
      <w:b/>
      <w:bCs/>
      <w:sz w:val="18"/>
      <w:szCs w:val="18"/>
    </w:rPr>
  </w:style>
  <w:style w:type="paragraph" w:customStyle="1" w:styleId="18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C0E6F5"/>
      <w:spacing w:before="100" w:beforeAutospacing="1" w:after="100" w:afterAutospacing="1"/>
      <w:jc w:val="left"/>
      <w:textAlignment w:val="center"/>
    </w:pPr>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F5A10-CF58-4278-BA15-A1FCEC7FD995}">
  <ds:schemaRefs/>
</ds:datastoreItem>
</file>

<file path=customXml/itemProps3.xml><?xml version="1.0" encoding="utf-8"?>
<ds:datastoreItem xmlns:ds="http://schemas.openxmlformats.org/officeDocument/2006/customXml" ds:itemID="{4307E05C-863E-4E17-9BC1-E81FFFBDA2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170</Pages>
  <Words>12898</Words>
  <Characters>13752</Characters>
  <Lines>878</Lines>
  <Paragraphs>247</Paragraphs>
  <TotalTime>7</TotalTime>
  <ScaleCrop>false</ScaleCrop>
  <LinksUpToDate>false</LinksUpToDate>
  <CharactersWithSpaces>13865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2026-07-09T18:11:00Z</dcterms:created>
  <dc:creator>杰 钟</dc:creator>
  <cp:lastModifiedBy>等风来</cp:lastModifiedBy>
  <cp:lastPrinted>2026-07-05T07:49:00Z</cp:lastPrinted>
  <dcterms:modified xsi:type="dcterms:W3CDTF">2026-07-15T02:18:00Z</dcterms:modified>
  <dc:title>淮安市政府采购中心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F5F9EDDA9FB74E59942280D034E94B09_13</vt:lpwstr>
  </property>
  <property fmtid="{D5CDD505-2E9C-101B-9397-08002B2CF9AE}" pid="4" name="KSOTemplateDocerSaveRecord">
    <vt:lpwstr>eyJoZGlkIjoiZWI4Nzc3M2VhNmZmNWUxOTMwYzFkMzExYWViMTljMzUiLCJ1c2VySWQiOiI0NDU5Mjg2MzAifQ==</vt:lpwstr>
  </property>
</Properties>
</file>