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常州市政府采购项目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公开招标文件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雕庄街道垃圾中转站管理服务项目</w:t>
            </w:r>
            <w:r/>
          </w:p>
        </w:tc>
      </w:tr>
      <w:tr>
        <w:trPr>
          <w:trHeight w:val="84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 目 编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JSZC-320402004-CZTH-G2026-0001</w:t>
            </w:r>
            <w:r/>
          </w:p>
        </w:tc>
      </w:tr>
      <w:tr>
        <w:trPr>
          <w:trHeight w:val="9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   购  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常州市天宁区雕庄街道办事处</w:t>
            </w:r>
            <w:r/>
          </w:p>
        </w:tc>
      </w:tr>
      <w:tr>
        <w:trPr>
          <w:trHeight w:val="99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常州天弘建设咨询有限公司</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二〇二六年七月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674" w:history="1">
        <w:r>
          <w:rPr>
            <w:rStyle w:val="1008"/>
            <w:rFonts w:ascii="SimSun" w:hAnsi="SimSun" w:eastAsia="SimSun" w:cs="SimSun"/>
            <w:color w:val="0000ee"/>
            <w:sz w:val="21"/>
            <w:u w:val="single"/>
          </w:rPr>
          <w:t xml:space="preserve">第一章投标邀请</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5402" w:history="1">
        <w:r>
          <w:rPr>
            <w:rStyle w:val="1008"/>
            <w:rFonts w:ascii="SimSun" w:hAnsi="SimSun" w:eastAsia="SimSun" w:cs="SimSun"/>
            <w:color w:val="0000ee"/>
            <w:sz w:val="21"/>
            <w:u w:val="single"/>
          </w:rPr>
          <w:t xml:space="preserve">第二章投标人须知</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5871" w:history="1">
        <w:r>
          <w:rPr>
            <w:rStyle w:val="1008"/>
            <w:rFonts w:ascii="SimSun" w:hAnsi="SimSun" w:eastAsia="SimSun" w:cs="SimSun"/>
            <w:color w:val="0000ee"/>
            <w:sz w:val="21"/>
            <w:u w:val="single"/>
          </w:rPr>
          <w:t xml:space="preserve">第三章资格审查</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4627" w:history="1">
        <w:r>
          <w:rPr>
            <w:rStyle w:val="1008"/>
            <w:rFonts w:ascii="SimSun" w:hAnsi="SimSun" w:eastAsia="SimSun" w:cs="SimSun"/>
            <w:color w:val="0000ee"/>
            <w:sz w:val="21"/>
            <w:u w:val="single"/>
          </w:rPr>
          <w:t xml:space="preserve">第四章评标程序、评标方法和评标标准</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5355" w:history="1">
        <w:r>
          <w:rPr>
            <w:rStyle w:val="1008"/>
            <w:rFonts w:ascii="SimSun" w:hAnsi="SimSun" w:eastAsia="SimSun" w:cs="SimSun"/>
            <w:color w:val="0000ee"/>
            <w:sz w:val="21"/>
            <w:u w:val="single"/>
          </w:rPr>
          <w:t xml:space="preserve">第五章采购需求</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6725" w:history="1">
        <w:r>
          <w:rPr>
            <w:rStyle w:val="1008"/>
            <w:rFonts w:ascii="SimSun" w:hAnsi="SimSun" w:eastAsia="SimSun" w:cs="SimSun"/>
            <w:color w:val="0000ee"/>
            <w:sz w:val="21"/>
            <w:u w:val="single"/>
          </w:rPr>
          <w:t xml:space="preserve">第六章拟签订的合同文本</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243" w:history="1">
        <w:r>
          <w:rPr>
            <w:rStyle w:val="1008"/>
            <w:rFonts w:ascii="SimSun" w:hAnsi="SimSun" w:eastAsia="SimSun" w:cs="SimSun"/>
            <w:color w:val="0000ee"/>
            <w:sz w:val="21"/>
            <w:u w:val="single"/>
          </w:rPr>
          <w:t xml:space="preserve">第七章投标文件格式</w:t>
          <w:tab/>
        </w:r>
      </w:hyperlink>
      <w:r/>
      <w:r/>
    </w:p>
    <w:p>
      <w:pPr>
        <w:ind w:left="0" w:right="0" w:firstLine="0"/>
        <w:spacing w:before="240" w:after="240" w:line="113"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第一章投标邀请</w:t>
      </w:r>
      <w:r/>
    </w:p>
    <w:p>
      <w:pPr>
        <w:ind w:left="0" w:right="0" w:firstLine="42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1.项目编号/包号：JSZC-320402004-CZTH-G2026-0001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2.项目名称：雕庄街道垃圾中转站管理服务项目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3.项目预算金额：人民币826626.33 元/年；项目最高限价：人民币826626.33 元/年，投标报价不得高于最高限价，否则将作为无效投标。</w:t>
      </w:r>
      <w:r/>
    </w:p>
    <w:p>
      <w:pPr>
        <w:numPr>
          <w:ilvl w:val="0"/>
          <w:numId w:val="13"/>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简介）：本项目为雕庄街道垃圾中转站管理服务项目，主要内容包括但不限于为进一步规范辖区垃圾收运处置秩序，推动垃圾中转站市场化、规范化、一体化统筹运营，拟将雕庄街道垃圾中转站委托第三方提供管理服务。招标人确定范围内的垃圾运输、人员工资、设备维修、水电费等等全部内容。详细内容见本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5.合同履行期限：合同签订生效之日起3年，合同一年一签。每年合同期满后经采购人考核合格后可续签下一年合同；考核不合格的，终止合同不再续签（全年考核扣款总计超过10%为不合格）。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6.本项目是否接受联合体投标：不接受。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7.本项目是否接受进口产品投标：不接受。</w:t>
      </w:r>
      <w:r/>
    </w:p>
    <w:p>
      <w:pPr>
        <w:ind w:left="0" w:right="0" w:firstLine="42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1.满足《中华人民共和国政府采购法》第二十二条规定以及下列情形：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信用中国”网站（www.creditchina.gov.cn）、“中国政府采购网”网站（www.ccgp.gov.cn）查询，无被列入失信被执行人、重大税收违法案件当事人名单、政府采购严重失信行为记录名单及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中小企业政策（说明：中小企业包含中型、小型、微型企业，小微企业包含小型、微型企业）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本项目专门面向中小、小微企业采购。即：提供的服务全部由符合政策要求的中小企业承接。说明：中小企业包含中型、小型、微型企业，残疾人福利性单位和监狱企业视同小微企业。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其它落实政府采购政策的资格要求（如有）：</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3.1本项目是否接受分支机构参与投标：否； </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3.2本项目是否属于政府购买服务：是，公益一类事业单位、使用事业编制且由财政拨款保障的群团组织，不得作为承接主体；</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rPr>
          <w:rFonts w:ascii="SimSun" w:hAnsi="SimSun" w:eastAsia="SimSun" w:cs="SimSun"/>
          <w:b/>
          <w:color w:val="000000"/>
          <w:sz w:val="24"/>
        </w:rPr>
        <w:t xml:space="preserve">无。</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2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1.时间：</w:t>
      </w:r>
      <w:r>
        <w:rPr>
          <w:rFonts w:ascii="SimSun" w:hAnsi="SimSun" w:eastAsia="SimSun" w:cs="SimSun"/>
          <w:b/>
          <w:color w:val="000000"/>
          <w:sz w:val="24"/>
        </w:rPr>
        <w:t xml:space="preserve">公告发布之日起至2026年7月16日（北京时间）</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22"/>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3.方式：“苏采云”政府采购一体化平台自行免费下载。</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 0 元。</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2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投标截止时间、开标时间：2026年7月30日09点30分（北京时间）。</w:t>
      </w:r>
      <w:r/>
    </w:p>
    <w:p>
      <w:pPr>
        <w:ind w:left="0" w:right="0" w:firstLine="42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地点：“苏采云”政府采购一体化平台。</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本公告发布之日起5个工作日。</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b/>
          <w:color w:val="000000"/>
          <w:sz w:val="24"/>
        </w:rPr>
        <w:t xml:space="preserve">3ce9.html。</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2.本项目不满3家投标报名，将重新组织采购。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3.关于常州市中小企业政府采购信用融资：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4.有关本次采购的事项若存在变动或修改，敬请及时关注 “江苏政府采购网、常州市政府采购网”发布的更正公告。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5.特别说明：因工作需要，本次采购项目涉及的单位及个人相关信息已经取得机构或本人同意后对外公布。</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名称：常州市天宁区雕庄街道办事处</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地址：</w:t>
      </w:r>
      <w:r>
        <w:rPr>
          <w:rFonts w:ascii="SimSun" w:hAnsi="SimSun" w:eastAsia="SimSun" w:cs="SimSun"/>
          <w:color w:val="000000"/>
          <w:sz w:val="24"/>
        </w:rPr>
        <w:t xml:space="preserve">江苏省常州市天宁区中吴大道700号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联系人：汪先生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联系电话：0519-88812319</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名称：常州天弘建设咨询有限公司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址：常州市钟楼区陈渡码头创意园23栋2楼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项目联系人：杭工18052541018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二章投标人须知</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本表是对投标人须知的具体补充和修改，如有矛盾，均以本资料表为准。</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1701"/>
        <w:gridCol w:w="6532"/>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w:t>
            </w:r>
            <w:r>
              <w:rPr>
                <w:rFonts w:ascii="SimSun" w:hAnsi="SimSun" w:eastAsia="SimSun" w:cs="SimSun"/>
                <w:b/>
                <w:color w:val="000000"/>
                <w:sz w:val="21"/>
              </w:rPr>
              <w:t xml:space="preserve">服务</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是否属于科研仪器设备采购项目：否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vMerge w:val="restart"/>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投标样品递交：不需要</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本项目采购标的对应的中小企业划分标准所属行业：</w:t>
            </w:r>
            <w:r>
              <w:rPr>
                <w:rFonts w:ascii="SimSun" w:hAnsi="SimSun" w:eastAsia="SimSun" w:cs="SimSun"/>
                <w:b/>
                <w:color w:val="000000"/>
                <w:sz w:val="21"/>
                <w:u w:val="single"/>
              </w:rPr>
              <w:t xml:space="preserve">其他未列明行业</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报价的特殊规定：无</w:t>
            </w:r>
            <w:r>
              <w:rPr>
                <w:rFonts w:ascii="SimSun" w:hAnsi="SimSun" w:eastAsia="SimSun" w:cs="SimSun"/>
                <w:b/>
                <w:color w:val="000000"/>
                <w:sz w:val="21"/>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自提交投标文件的截止之日起算90日历天。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tab/>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本项目为“苏采云”政府采购一体化平台全流程线上招投标，投标时各投标人应按招标文件及”苏采云”政府采购一体化平台规定制作并提交电子版投标文件。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中标结果确定后中标单位应提交胶装并加盖公章的纸质版投标文件贰份，纸质投标文件应与“苏采云”政府采购一体化平台中的电子文件内容、格式一致。</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本项目的非主体、非关键性工作是否允许分包：不允许</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询问送达形式：于</w:t>
            </w:r>
            <w:r>
              <w:rPr>
                <w:rFonts w:ascii="SimSun" w:hAnsi="SimSun" w:eastAsia="SimSun" w:cs="SimSun"/>
                <w:b/>
                <w:color w:val="000000"/>
                <w:sz w:val="21"/>
              </w:rPr>
              <w:t xml:space="preserve">2026年7月17日</w:t>
            </w:r>
            <w:r>
              <w:rPr>
                <w:rFonts w:ascii="SimSun" w:hAnsi="SimSun" w:eastAsia="SimSun" w:cs="SimSun"/>
                <w:color w:val="000000"/>
                <w:sz w:val="21"/>
              </w:rPr>
              <w:t xml:space="preserve">11：30（北京时间）前以书面形式递交至常州市钟楼区陈渡码头创意园23栋2楼 。（注：① 答疑文件须加盖投标单位公章；② 答疑文件以代理机构收到时间为准；否则代理机构有权拒收其答疑文件）。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采购人或采购代理机构对投标人依法提出的询问，在3个工作日内作出答复，但答复的内容不得涉及商业秘密。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质疑送达形式：</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一、投标人认为自己的权益受到损害的，可以在知道或者应知其权益受到损害之日起七个工作日内，向采购代理机构提出质疑。</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1.接收质疑函的方式：接收加盖单位公章的书面质疑函</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2.质疑函的内容、格式：应符合《政府采购质疑和投诉办法》相关规定和财政部门制定的《政府采购质疑函范本》格式。</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二、投标人应在法定质疑期内一次性针对同一采购程序环节提出质疑，否则针对再次提出的质疑将不予接收。（采购程序环节分为：采购公告、招标文件、采购过程、成交结果）</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接收询问和质疑的联系方式</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称：常州天弘建设咨询有限公司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址：常州市钟楼区陈渡码头创意园23栋2楼</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项目联系人：杭工  18052541018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收费对象：成交投标人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招标代理收费标准：按发改价格（2011）534号文规定3年收取费用，收费比例按差额定率分档累进法计算，成交服务收费按上述计算方法不足人民币3000元的，按人民币3000元收取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mc:AlternateContent>
                <mc:Choice Requires="wpg">
                  <w:drawing>
                    <wp:inline xmlns:wp="http://schemas.openxmlformats.org/drawingml/2006/wordprocessingDrawing" distT="0" distB="0" distL="0" distR="0">
                      <wp:extent cx="3152775" cy="25241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88720" name=""/>
                              <pic:cNvPicPr>
                                <a:picLocks noChangeAspect="1"/>
                              </pic:cNvPicPr>
                              <pic:nvPr/>
                            </pic:nvPicPr>
                            <pic:blipFill>
                              <a:blip r:embed="rId22"/>
                              <a:stretch/>
                            </pic:blipFill>
                            <pic:spPr bwMode="auto">
                              <a:xfrm>
                                <a:off x="0" y="0"/>
                                <a:ext cx="3152774" cy="2524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8.2pt;height:198.8pt;mso-wrap-distance-left:0.0pt;mso-wrap-distance-top:0.0pt;mso-wrap-distance-right:0.0pt;mso-wrap-distance-bottom:0.0pt;" stroked="false">
                      <v:path textboxrect="0,0,0,0"/>
                      <v:imagedata r:id="rId22" o:title=""/>
                    </v:shape>
                  </w:pict>
                </mc:Fallback>
              </mc:AlternateContent>
            </w:r>
            <w:r>
              <w:rPr>
                <w:rFonts w:ascii="SimSun" w:hAnsi="SimSun" w:eastAsia="SimSun" w:cs="SimSun"/>
                <w:color w:val="000000"/>
                <w:sz w:val="21"/>
              </w:rPr>
              <w:t xml:space="preserve">编标费用：按苏价服【2014】383号文件</w:t>
            </w:r>
            <w:r>
              <w:rPr>
                <w:rFonts w:ascii="SimSun" w:hAnsi="SimSun" w:eastAsia="SimSun" w:cs="SimSun"/>
                <w:b/>
                <w:color w:val="000000"/>
                <w:sz w:val="21"/>
              </w:rPr>
              <w:t xml:space="preserve">3年收取费用，收费比例按差额定率分档累进法计算，成交服务收费按上述计算方法不足人民币3000元的，按人民币3000元收取 ；</w:t>
              <w:br/>
            </w:r>
            <w:r>
              <w:rPr>
                <w:rFonts w:ascii="SimSun" w:hAnsi="SimSun" w:eastAsia="SimSun" w:cs="SimSun"/>
                <w:color w:val="000000"/>
                <w:sz w:val="21"/>
              </w:rPr>
              <w:t xml:space="preserve">缴纳时间：领取中标通知书前。一次性支付至代理机构指定账号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收款单位：常州天弘建设咨询有限公司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开户银行：江苏江南农村商业银行股份有限公司常州市雕庄支行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银行账号：1129100000011038</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w:t>
      </w:r>
      <w:r>
        <w:rPr>
          <w:rFonts w:ascii="SimSun" w:hAnsi="SimSun" w:eastAsia="SimSun" w:cs="SimSun"/>
          <w:b/>
          <w:color w:val="000000"/>
          <w:sz w:val="28"/>
        </w:rPr>
        <w:t xml:space="preserve">须知</w:t>
      </w:r>
      <w:r/>
    </w:p>
    <w:p>
      <w:pPr>
        <w:ind w:left="0" w:right="0" w:firstLine="0"/>
        <w:jc w:val="center"/>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1.采购人、采购代理机构、</w:t>
      </w:r>
      <w:r>
        <w:rPr>
          <w:rFonts w:ascii="SimSun" w:hAnsi="SimSun" w:eastAsia="SimSun" w:cs="SimSun"/>
          <w:color w:val="000000"/>
          <w:sz w:val="21"/>
        </w:rPr>
        <w:t xml:space="preserve">投标人、联合体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1.1采购人、采购代理机构：指依法进行政府采购的国家机关、事业单位、团体组织，及其委托的采购代理机构。本项目采购人、采购代理机构见第一章《投标邀请》。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1.2投标人（也称“投标人”、“申请人”）：指向采购人提供货物、工程或者服务的法人、其他组织或者自然人。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1.3联合体：指两个以上的自然人、法人或者其他组织组成一个联合体，以一个投标人的身份共同参加政府采购。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2.资金来源</w:t>
      </w:r>
      <w:r>
        <w:rPr>
          <w:rFonts w:ascii="SimSun" w:hAnsi="SimSun" w:eastAsia="SimSun" w:cs="SimSun"/>
          <w:color w:val="000000"/>
          <w:sz w:val="21"/>
        </w:rPr>
        <w:t xml:space="preserve">、项目属性、科研仪器设备采购、核心产品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2.1资金来源为财政性资金和/或本项目采购中无法与财政性资金分割的非财政性资金。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2.2项目属性见《投标人须知资料表》。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2.3是否属于科研仪器设备采购见《投标人须知资料表》。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2.4核心产品见《投标人须知资料表》。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3.现场考察、开标前答疑会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3.1若《投标人须知资料表》中规定了组织现场考察、召开开标前答疑会，则投标人应按要求在规定的时间和地点参加。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3.2由于未参加现场考察或开标前答疑会而导致对项目实际情况不了解，影响投标文件编制、投标报价准确性、综合因素响应不全面等问题的，由投标人自行承担不利评审后果。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4.样品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4.1本项目是否要求投标人提供样品，以及样品制作的标准和要求、是否需要随样品提交相关检测报告、样品的递交与退还等要求见《投标人须知资料表》。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4.2样品的评审方法以及评审标准等内容见第四章《评标方法和评标标准》。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5.政府采购政策（包括但不限于下列具体政策要求）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5.1进口产品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5.2中小企业、监狱企业及残疾人福利性单位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5.2.1中小企业定义：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1"/>
        </w:rPr>
        <w:t xml:space="preserve">〔2009〕36 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5.2.1.2投标人提供的货物、工程或者服务符合下列情形的，享受中小企业扶持政策：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5.2.1.3在货物采购项目中，投标人提供的货物既有中小企业制造货物，也有大型企业制造货物的，不享受中小企业扶持政策。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5.2.1.4以联合体形式参加政府采购活动，联合体各方均为中小企业的，联合体视同中小企业。其中，联合体各方均为小微企业的，联合体视同小微企业。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5.2.3残疾人福利单位定义：享受政府采购支持政策的残疾人福利性单位应当同时满足以下条件：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5.2.3.1安置的残疾人占本单位在职职工人数的比例不低于25%（含25%），并且安置的残疾人人数不少于10 人（含10 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5.2.3.2依法与安置的每位残疾人签订了一年以上（含一年）的劳动合同或服务协议；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5.2.3.3为安置的每位残疾人按月足额缴纳了基本养老保险、基本医疗保险、失业保险、工伤保险和生育保险等社会保险费；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5.2.3.4通过银行等金融机构向安置的每位残疾人，按月支付了不低于单位所在区县适用的经省级人民政府批准的月最低工资标准的工资；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5.2.3.5提供本单位制造的货物、承担的工程或者服务（以下简称产品），或者提供其他残疾人福利性单位制造的货物（不包括使用非残疾人福利性单位注册商标的货物）；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5.2.4本项目是否专门面向中小企业预留采购份额见第一章《投标邀请》。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5.2.5采购标的对应的中小企业划分标准所属行业见《投标人须知资料表》。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5.2.6小微企业价格评审优惠的政策调整：见第四章《评标方法和评标标准》。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5.3政府采购节能产品、环境标志产品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5.3.3如本项目采购产品属于实施政府强制采购品目清单范围的节能产品，则投标人所报产品必须获得国家确定的认证机构出具的、处于有效期之内的节能产品认证证书，否则投标无效；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5.3.4非政府强制采购的节能产品或环境标志产品，依据品目清单和认证证书实施政府优先采购。优先采购的具体规定见第四章《评标方法和评标标准》（如涉及）。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5.3.5依据《关于印发〈商品包装政府采购需求标准（试行）〉、〈快递包装政府采购需求标准（试行）〉的通知》（财办库〔2020〕123号）文件精神，采购人在招标文件中明确政府采购投标人提供产品及相关快递服务的具体包装要求的，在政府采购合同中载明对政府采购投标人提供产品及相关快递服务的具体包装要求和履约验收相关条款的，中标中标人必须严格执行，必要时应按照要求在履约验收环节出具检测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5.4支持乡村产业振兴管理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5.5正版软件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w:t>
      </w:r>
      <w:r>
        <w:rPr>
          <w:rFonts w:ascii="SimSun" w:hAnsi="SimSun" w:eastAsia="SimSun" w:cs="SimSun"/>
          <w:color w:val="000000"/>
          <w:sz w:val="21"/>
        </w:rPr>
        <w:t xml:space="preserve">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5.6政府采购创新产品政策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5.6.1</w:t>
        <w:tab/>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5.7绿色采购政策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5.7.1  绿色数据中心政策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1"/>
        </w:rPr>
        <w:t xml:space="preserve">，不能在验收过程中开展检测、认证的，可要求投标人在验收阶段提供相关检测报告、认证报告。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5.7.2 推广应用绿色建材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5.7.3 优先使用低挥发性有机化合物产品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6.1投标人应自行承担所有与准备和参加投标有关的费用，无论投标的结果如何，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6.2采购人或采购代理机构在任何情况下均无承担这些费用的义务和责任。</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7.招标文件构</w:t>
      </w:r>
      <w:r>
        <w:rPr>
          <w:rFonts w:ascii="SimSun" w:hAnsi="SimSun" w:eastAsia="SimSun" w:cs="SimSun"/>
          <w:color w:val="000000"/>
          <w:sz w:val="21"/>
        </w:rPr>
        <w:t xml:space="preserve">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7.1招标文件包括以下部分：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 投标邀请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 投标人须知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 资格审查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评标程序、评标方法和评标标准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 采购需求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 拟签订的合同文本</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第七章 投标文件格式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7.2投标人应认真阅读招标文件的全部内容。投标人应按照招标文件要求提交投标文件并保证所提供的全部资料的真实性，并对招标文件做出实质性响应，否则投标无效。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8.对招标文件的澄清或修改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8.1采购人或采购代理机构对已发出的招标文件进行必要澄清或者修改的，将在原公告发布媒体上以发布更正公告的形式通知所有获取招标文件的潜在投标人。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三投标文件</w:t>
      </w:r>
      <w:r>
        <w:rPr>
          <w:rFonts w:ascii="SimSun" w:hAnsi="SimSun" w:eastAsia="SimSun" w:cs="SimSun"/>
          <w:b/>
          <w:color w:val="000000"/>
          <w:sz w:val="21"/>
        </w:rPr>
        <w:t xml:space="preserve">的编制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9.投标范围、投标文件中计量单位的使用</w:t>
      </w:r>
      <w:r>
        <w:rPr>
          <w:rFonts w:ascii="SimSun" w:hAnsi="SimSun" w:eastAsia="SimSun" w:cs="SimSun"/>
          <w:color w:val="000000"/>
          <w:sz w:val="21"/>
        </w:rPr>
        <w:t xml:space="preserve">及投标语言</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9.2除招标文件有特殊要求外，本项目投标所使用的计量单位，应采用中华人民共和国法定计量单位。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10.投标文件</w:t>
      </w:r>
      <w:r>
        <w:rPr>
          <w:rFonts w:ascii="SimSun" w:hAnsi="SimSun" w:eastAsia="SimSun" w:cs="SimSun"/>
          <w:color w:val="000000"/>
          <w:sz w:val="21"/>
        </w:rPr>
        <w:t xml:space="preserve">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10.1投标人应当按照招标文件的要求编制投标文件。投标文件应由《资格证明文件》、《商务技术文件》两部分构成。投标文件的部分格式要求，见第七章《投标文件格式》。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10.3第四章《评标程序、评标方法和评标标准》中涉及的证明文件。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10.5投标人认为应附的其他材料。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11.投标报价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11.1所有投标均以人民币报价。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11.2投标人的报价应包括为完成本项目所发生的一切费用和税费，采购人将不再支付报价以外的任何费用。投标人的报价应包括但不限于下列内容，《投标人须知资料表》中有特殊规定的，从其规定。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11.2.2按照招标文件要求完成本项目的全部相关服务费用。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11.3采购人不得向投标人索要或者接受其给予的赠品、回扣或者与采购无关的其他商品、服务。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11.4投标人不能提供任何有选择性或可调整的报价，否则其投标无效。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12.投标保证金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12.1根据江苏省和常州市的相关文件规定，免收投标保证金。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13.投标有效期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13.1投标文件应在本招标文件《投标人须知资料表》中规定的投标有效期内保持有效，投标有效期少于招标文件规定期限的，其投标无效。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14.投标文件的签署</w:t>
      </w:r>
      <w:r>
        <w:rPr>
          <w:rFonts w:ascii="SimSun" w:hAnsi="SimSun" w:eastAsia="SimSun" w:cs="SimSun"/>
          <w:color w:val="000000"/>
          <w:sz w:val="21"/>
        </w:rPr>
        <w:t xml:space="preserve">、加盖公章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w:t>
        <w:tab/>
        <w:t xml:space="preserve">招标文件要求加盖公章的内容，一般通过投标文件编制工具加盖电子签章。</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四投标文件的提交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15.1</w:t>
      </w:r>
      <w:r>
        <w:rPr>
          <w:rFonts w:ascii="SimSun" w:hAnsi="SimSun" w:eastAsia="SimSun" w:cs="SimSun"/>
          <w:color w:val="000000"/>
          <w:sz w:val="21"/>
        </w:rPr>
        <w:tab/>
        <w:t xml:space="preserve">本项目使用“苏采云”政府采购一体化平台。投标人根据招标文件及“苏采云”政府采购一体化平台投标人操作手册要求编制、生成并提交电子投标文件。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w:t>
        <w:tab/>
        <w:t xml:space="preserve">采购人及采购代理机构拒绝接受通过“苏采云”政府采购一体化平台以外任何形式提交的投标文件。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16.投标截止时间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w:t>
        <w:tab/>
        <w:t xml:space="preserve">投标人应在招标文件要求提交投标文件截止时间前，将电子投标文件提交至“苏采云”政府采购一体化平台。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17.投标文件的修改与撤回</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17.1投标截止时间前，投标人可以通过“苏采云”政府采购一体化平台对所提交的投标文件进行补充、修改或者撤回。</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w:t>
        <w:tab/>
        <w:t xml:space="preserve">投标人对投标文件的补充、修改的内容应当按照招标文件要求签署、加盖公章，作为投标文件的组成部分。</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五开标、资格审查及评标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18.开标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w:t>
        <w:tab/>
        <w:t xml:space="preserve">采购人或采购代理机构将按招标文件的规定，在投标截止时间的同一时间和招标文件预先确定的地点组织开标。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tab/>
        <w:t xml:space="preserve">本项目开标采用不见面招投标模式，使用“苏采云”政府采购一体化平台在线进行开标。投标人应在规定的时间内对投标文件进行解密，因非系统原因导致的解密失败，视为投标无效。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w:t>
        <w:tab/>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w:t>
        <w:tab/>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w:t>
        <w:tab/>
        <w:t xml:space="preserve">投标人不足3家的，不予开标。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w:t>
        <w:tab/>
        <w:t xml:space="preserve">投标人须在开标前使用“验证CA”功能验证本地计算机的控件环境是否正常，并且在开标评审过程中不可随意离开、更换计算机，必须使用验证成功的计算机进行操作，否则造成相应后果由投标人自行承担。本地计算机要求安装摄像头、麦克风和音箱，保持网络通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w:t>
        <w:tab/>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18.8</w:t>
        <w:tab/>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1)平台系统发生故障而无法登录访问的；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2)平台系统应用或数据库出现错误，不能进行正常操作的；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3)平台系统发现严重安全漏洞，有潜在泄密危险的；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4)病毒发作导致平台系统不能进行正常操作的；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5)其他无法保证本次采购活动的公平、公正和安全的情况。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19.资格审查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19.1见第三章《资格审查》。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20.评标委员会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20.1评标委员会根据政府采购有关规定和本次招标采购项目的特点进行组建，并负责具体评标事务，独立履行职责。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20.2评审专家须符合相关规定。依法自行选定评审专家的，采购人和采购代理机构将查询有关信用记录，对具有行贿、受贿、欺诈等不良信用记录的人员，拒绝其参与政府采购活动。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21评标程序、评标方法和评标标准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21.1见第四章《评标程序、评标方法和评标标准》。</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六确定中标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22.确定中标人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22.1采购人将在评标报告确定的中标候选人名单中按顺序确定中标人，中标候选人并列的，由采购人依法确定。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23.中标公告与中标通知书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23.1采购人或采购代理机构自中标人确定之日起2个工作日内，在常州市政府采购网公告中标结果，同时向中标人发出中标通知书，中标公告期限为3个日历日。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23.2中标通知书对采购人和中标人均具有法律效力。中标通知书发出后，采购人改变中标结果的，或者中标人放弃中标项目的，应当依法承担法律责任。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24.废标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24.1在招标采购中，出现下列情形之一的，应予废标：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24.1.1符合专业条件的投标人或者对招标文件作实质响应的投标人不足三家的；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24.1.2出现影响采购公正的违法、违规行为的；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24.1.3投标人的报价均超过了采购预算或最高限价（控制价），采购人不能支付的；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25.1.4因重大变故，采购任务取消的。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24.1.5</w:t>
        <w:tab/>
        <w:t xml:space="preserve">平台系统出现序号18.8的所述情形，情况严重且影响采购活动公平、公正性的。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24.2废标后，采购人将废标理由通知所有投标人。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25.签订合同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25.2中标人拒绝与采购人签订合同的，采购人可以按照评标报告推荐的中标候选人名单排序，确定下一候选人为中标人，也可以重新开展政府采购活动。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25.3联合体中标的，联合体各方应当共同与采购人签订合同，就中标项目向采购人承担连带责任。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25.4政府采购合同不能转包。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投标人就分包项目承担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26.询问与质疑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26.1询问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26.1.1投标人对政府采购活动事项有疑问的，可依法提出询问，并按《投标人须知资料表》载明的形式送达采购人或采购代理机构。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26.1.2采购人或采购代理机构对投标人依法提出的询问，在3个工作日内作出答复，但答复的内容不得涉及商业秘密。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26.2质疑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w:t>
      </w:r>
      <w:r>
        <w:rPr>
          <w:rFonts w:ascii="SimSun" w:hAnsi="SimSun" w:eastAsia="SimSun" w:cs="SimSun"/>
          <w:b/>
          <w:color w:val="000000"/>
          <w:sz w:val="21"/>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26.2.3质疑函须使用财政部制定的范本文件。（下载网址：</w:t>
      </w:r>
      <w:hyperlink r:id="rId23" w:tooltip="http://gks.mof.gov.cn/ztztz/zhengfucaigouguanli/201802/t20180201_2804589.htm" w:history="1">
        <w:r>
          <w:rPr>
            <w:rStyle w:val="1008"/>
            <w:rFonts w:ascii="SimSun" w:hAnsi="SimSun" w:eastAsia="SimSun" w:cs="SimSu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26.2.4投标人为自然人的，应当由本人签字；投标人为法人或者其他组织的，应当由法定代表人、主要负责人，或者其授权代表签字或者加盖公章，并加盖公章。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26.2.5投标人应在法定质疑期内一次性提出针对同一采购程序环节的质疑，法定质疑期内针对同一采购程序环节再次提出的质疑，采购人、采购代理机构有权不予答复。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26.3接收询问和质疑的联系部门、联系电话和通讯地址见《投标人须知资料表》。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27.代理费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27.1收费对象、收费标准及缴纳时间见《投标人须知资料表》。由中标人支付的，中标人在领取中标通知书前须一次性向采购代理机构缴纳代理费，投标报价应包含代理费用。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27.2代理服务收费标准：见《投标人须知资料表》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w:t>
      </w:r>
      <w:r>
        <w:rPr>
          <w:rFonts w:ascii="SimSun" w:hAnsi="SimSun" w:eastAsia="SimSun" w:cs="SimSun"/>
          <w:b/>
          <w:color w:val="000000"/>
          <w:sz w:val="32"/>
        </w:rPr>
        <w:t xml:space="preserve">资格审查</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1.开标结束后，采购人将根据《资格审查要求》中的规定，对投标人进行资格审查，并形成资格审查结果。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2.《资格审查要求》中对格式有要求的，除招标文件另有规定外，均为“实质性格式”文件。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3.投标人《资格证明文件》有任何一项不符合《资格审查要求》的，资格审查不合格，其投标无效。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4.资格审查合格的投标人不足3家的，不进行评标。</w:t>
      </w:r>
      <w:r/>
    </w:p>
    <w:p>
      <w:pPr>
        <w:ind w:left="0" w:right="0" w:firstLine="422"/>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二、资格审查要求</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1542"/>
        <w:gridCol w:w="4894"/>
        <w:gridCol w:w="2068"/>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spacing w:before="0" w:after="200" w:line="2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须提供的证明材料详见《投标文件格式》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格式见《投标文件格式》</w:t>
            </w:r>
            <w:r/>
          </w:p>
        </w:tc>
      </w:tr>
      <w:tr>
        <w:trPr>
          <w:trHeight w:val="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查询渠道：信用中国网站和中国政府采购网（</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www.creditchina.gov.cn、www.ccgp.gov.cn）；</w:t>
            </w:r>
            <w:r/>
          </w:p>
          <w:p>
            <w:pPr>
              <w:ind w:left="0" w:right="0" w:firstLine="0"/>
              <w:jc w:val="both"/>
              <w:spacing w:before="0" w:after="0" w:line="239"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截止时点：投标截止时间以后、资格审查阶段采购人或采购代理机构的实际查询时间；</w:t>
            </w:r>
            <w:r/>
          </w:p>
          <w:p>
            <w:pPr>
              <w:ind w:left="0" w:right="0" w:firstLine="0"/>
              <w:jc w:val="both"/>
              <w:spacing w:before="0" w:after="0" w:line="239"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信用信息查询记录和证据留存具体方式：查询结果网页打印页作为查询记录和证据，与其他招标文件一并保存；</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无须投标人提供，由采购人查询。</w:t>
            </w:r>
            <w:r/>
          </w:p>
        </w:tc>
      </w:tr>
      <w:tr>
        <w:trPr>
          <w:trHeight w:val="9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1.投标人单独投标的，应提供中小企业声明函；如为监狱企业或残疾人福利性单位，不必提供中小企业声明函，但须按注1或注2要求提供证明材料。</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注2：残疾人福利性单位须按招标文件要求提供《残疾人福利性单位声明函》。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如本项目（包）是专门面向中小企业采购的，必须提供，格式见《投标文件格式》</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拟分包情况说明及分包意向协议（类型二）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如本项目（包）要求通过分包措施预留部分采购份额面向中小企业采购、且投标人因落实政府采购政策拟进行分包的，必须提供；否则无须提供。</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格式见《投标文件格式》</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提供证明文件的扫描件加盖公章</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提供证明文件的扫描件加盖公章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2.联合体各成员单位均须提供本表中序号1-1.1-2的证明文件。</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3.本表序号3-2项规定的其他特定资格要求中的每一小项要求，联合体各方中至少应当有一方符合本表中其他资格要求并提供证明文件。</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4.联合体中有同类资质的投标人按照联合体分工承担相同工作的，应当按照资质等级较低的投标人确定资质等级。</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5.以联合体形式参加政府采购活动的，联合体各方不得再单独参加或者与其他投标人另外组成联合体参加同一合同项下的政府采购活动。</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6.若联合体中任一成员单位中途退出，则该联合体的</w:t>
            </w:r>
            <w:r>
              <w:rPr>
                <w:rFonts w:ascii="SimSun" w:hAnsi="SimSun" w:eastAsia="SimSun" w:cs="SimSun"/>
                <w:b/>
                <w:color w:val="000000"/>
                <w:sz w:val="21"/>
              </w:rPr>
              <w:t xml:space="preserve">投标无效</w:t>
            </w:r>
            <w:r>
              <w:rPr>
                <w:rFonts w:ascii="SimSun" w:hAnsi="SimSun" w:eastAsia="SimSun" w:cs="SimSun"/>
                <w:color w:val="000000"/>
                <w:sz w:val="21"/>
              </w:rPr>
              <w:t xml:space="preserve">。</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提供《联合协议》原件的电子件</w:t>
            </w:r>
            <w:r/>
          </w:p>
          <w:p>
            <w:pPr>
              <w:ind w:left="0" w:right="0" w:firstLine="0"/>
              <w:spacing w:before="20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格式见《投标文件格式》</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其他特定资格要求（如有）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提供证明文件的扫描件加盖公章</w:t>
            </w:r>
            <w:r/>
          </w:p>
        </w:tc>
      </w:tr>
    </w:tbl>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第四章评标程序、评标方法和评标标准</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1.投标文件的符合性审查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1.1评标委员会对资格审查合格的投标人的投标文件进行符合性审查，以确定其是否满足招标文件的实质性要求。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r/>
    </w:p>
    <w:p>
      <w:pPr>
        <w:ind w:left="357" w:right="0" w:hanging="357"/>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2149"/>
        <w:gridCol w:w="5777"/>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投标函、法定代表人资格证明书、法定代表人授权委托书（如有）和政府采购供应商信用承诺书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按招标文件要求提供投标函、法定代表人资格证明书、法定代表人授权委托书（如有）和政府采购供应商信用承诺书；格式见《投标文件格式》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未将一个采购包中的内容拆开投标；</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投标报价未超过招标文件中规定的项目/采购包预算金额或者项目/采购包最高限价；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投标文件未出现可选择性或可调整的报价（招标文件另有规定的除外）；提供《开标一览表》《投标分项报价表》，格式见《投标文件格式》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投标文件中承诺的投标有效期满足招标文件中载明的投标有效期的；提供承诺书。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按照招标文件要求签署、加盖公章的；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标记为“实质性格式”的文件均按招标文件要求提供；除前面已提供的实质性格式文件以外，</w:t>
            </w:r>
            <w:r>
              <w:rPr>
                <w:rFonts w:ascii="SimSun" w:hAnsi="SimSun" w:eastAsia="SimSun" w:cs="SimSun"/>
                <w:b/>
                <w:color w:val="000000"/>
                <w:sz w:val="21"/>
              </w:rPr>
              <w:t xml:space="preserve">还需提供：合同条款偏离表，采购需求偏离表</w:t>
            </w:r>
            <w:r>
              <w:rPr>
                <w:rFonts w:ascii="SimSun" w:hAnsi="SimSun" w:eastAsia="SimSun" w:cs="SimSun"/>
                <w:color w:val="000000"/>
                <w:sz w:val="21"/>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投标文件满足招标文件第五章《采购需求》、第七章中★号条款要求的；</w:t>
            </w:r>
            <w:r>
              <w:rPr>
                <w:rFonts w:ascii="SimSun" w:hAnsi="SimSun" w:eastAsia="SimSun" w:cs="SimSun"/>
                <w:b/>
                <w:color w:val="000000"/>
                <w:sz w:val="21"/>
              </w:rPr>
              <w:t xml:space="preserve">如有的，根据列出的实质性条款，按照序号逐项提供相关证明材料；</w:t>
            </w:r>
            <w:r>
              <w:rPr>
                <w:rFonts w:ascii="SimSun" w:hAnsi="SimSun" w:eastAsia="SimSun" w:cs="SimSun"/>
                <w:color w:val="000000"/>
                <w:sz w:val="21"/>
              </w:rPr>
              <w:t xml:space="preserve">如没有，则无需投标人提供材料。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分包承担主体具备《投标人须知资料表》载明的资质条件且提供了资质证书电子件（如有）；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按招标文件规定签订并提供分包意向协议原件的电子件的；（如有）格式见《投标文件格式》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不涉及报价修正，或投标文件报价出现前后不一致时，投标人对修正后的报价予以确认；（如有）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报价合理，或投标人的报价明显低于其他通过符合性审查投标人的报价，有可能影响产品质量或者不能诚信履约的，能够应评标委员会要求在规定时间内证明其报价合理性的；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招标文件不接受进口产品投标的内容时，投标人所投产品非进口产品的；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国家有关部门对投标人的投标产品有强制性规定或要求的（如相应技术、安全、节能和环保等），投标人的投标产品应符合相应规定或要求，并提供证明文件电子件：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绿色包装要求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投标人遵循公平竞争的原则，不存在恶意串通，妨碍其他投标人的竞争行为，不存在损害采购人或者其他投标人的合法权益情形的；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存在《政府采购货物和服务招标投标管理办法》视为投标人串通投标的情形：（一）不同投标人的投标文件由同一单位或者个人编制（包含使用同一MAC地址的计算机制作投标文件的情形）；（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投标文件未含有采购人不能接受的附加条件的；</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投标人、投标文件不存在不符合法律、法规和招标文件规定的其他无效情形。</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按照财库〔2026〕2号《关于推动解决政府采购异常低价问题的通知》要求：</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1.投标(响应)报价低于全部通过符合性审查投标人投标(响应)报价平均值50%的，即投标(响应)报价&lt;全部通过符合性审查投标人投标(响应)报价平均值×50%;</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2.投标(响应)报价低于通过符合性审查的次低报价投标人投标(响应)报价50%的，即投标(响应)报价&lt;通过符合性审查的次低报价投标人投标(响应)报价×50%;</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3.投标(响应)报价低于采购项目最高限价45%的，即投标(响应)报价&lt;采购项目最高限价×45%;</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4.相关法律法规对投标人报价有最新规定的，从其规定。</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评审委员会基于专业判断，认为投标人报价过低，有可能影响产品质量或者不能诚信履约的其他情形。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人工成本、管理费、技术成本等相关服务费用，相关投标人在10分钟内提供项目具体成本测算等与报价合理性相关的书面说明及相关证明材料，对投标（响 应）价格作出解释。其中，属于第3项情形，投标人已随投标(响应</w:t>
            </w:r>
            <w:r>
              <w:rPr>
                <w:rFonts w:ascii="SimSun" w:hAnsi="SimSun" w:eastAsia="SimSun" w:cs="SimSun"/>
                <w:b/>
                <w:color w:val="000000"/>
                <w:sz w:val="21"/>
              </w:rPr>
              <w:t xml:space="preserve">)文件一并提交相关书面说明及必要的证明材料的，在评审现场可不再重复提交。评审委员会依据专业经验，参考同类项目中标(成交)价格、类似产品市场价格水平、行业人工费用标准、国家有关部门指导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2.投标文件有关事项的澄清或者说明</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2.2按照财库〔2026〕2号《关于推动解决政府采购异常低价问题的通知》要求：</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1.投标(响应)报价低于全部通过符合性审查投标人投标(响应)报价平均值50%的，即投标(响应)报价&lt;全部通过符合性审查投标人投标(响应)报价平均值×50%;</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2.投标(响应)报价低于通过符合性审查的次低报价投标人投标(响应)报价50%的，即投标(响应)报价&lt;通过符合性审查的次低报价投标人投标(响应)报价×50%;</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3.投标(响应)报价低于采购项目最高限价45%的，即投标(响应)报价&lt;采购项目最高限价×45%;</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4.相关法律法规对投标人报价有最新规定的，从其规定。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评审委员会基于专业判断，认为投标人报价过低，有可能影响产品质量或者不能诚信履约的其他情形。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人工成本、管理费、技术成本等相关服务费用，相关投标人在10分钟内提供项目具体成本测算等与报价合理性相关的书面说明及相关证明材料，对投标（响 应）价格作出解释。其中，属于第3项情形，投标人已随投标(响应</w:t>
      </w:r>
      <w:r>
        <w:rPr>
          <w:rFonts w:ascii="SimSun" w:hAnsi="SimSun" w:eastAsia="SimSun" w:cs="SimSun"/>
          <w:b/>
          <w:color w:val="000000"/>
          <w:sz w:val="21"/>
        </w:rPr>
        <w:t xml:space="preserve">)文件一并提交相关书面说明及必要的证明材料的，在评审现场可不再重复提交。评审委员会依据专业经验，参考同类项目中标(成交)价格、类似产品市场价格水平、行业人工费用标准、国家有关部门指导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2.4投标文件报价出现前后不一致的，按照下列规定修正：</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2.4.1招标文件对于报价修正是否另有规定：无，按下述2.4.2-2.4.7项规定修正。</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2.4.2单独递交的开标一览表（报价表）与投标文件中开标一览表（报价表）内容不一致的，以单独递交的开标一览表（报价表）为准；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2.4.3投标文件中开标一览表（报价表）内容与投标文件中相应内容不一致的，以开标一览表（报价表）为准；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2.4.4大写金额和小写金额不一致的，以大写金额为准；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2.4.5单价金额小数点或者百分比有明显错位的，以开标一览表的总价为准，并修改单价；</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2.4.6总价金额与按单价汇总金额不一致的，以单价金额计算结果为准。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2.4.7同时出现两种以上不一致的，按照前款规定的顺序修正。修正后的报价经投标人书面确认后产生约束力，投标人不确认的，其投标无效。</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2.5落实政府采购政策的价格调整：只有符合第二章《投标人须知》5.2条规定情形的，可以享受中小企业扶持政策，用扣除后的价格参加评审；</w:t>
      </w:r>
      <w:r>
        <w:rPr>
          <w:rFonts w:ascii="SimSun" w:hAnsi="SimSun" w:eastAsia="SimSun" w:cs="SimSun"/>
          <w:b/>
          <w:color w:val="000000"/>
          <w:sz w:val="21"/>
        </w:rPr>
        <w:t xml:space="preserve">如为专门面向中小企业采购的项目，不再执行价格评审优惠的扶持政策，</w:t>
      </w:r>
      <w:r>
        <w:rPr>
          <w:rFonts w:ascii="SimSun" w:hAnsi="SimSun" w:eastAsia="SimSun" w:cs="SimSun"/>
          <w:color w:val="000000"/>
          <w:sz w:val="21"/>
        </w:rPr>
        <w:t xml:space="preserve">评标时价格不予扣除。</w:t>
      </w:r>
      <w:r>
        <w:rPr>
          <w:rFonts w:ascii="SimSun" w:hAnsi="SimSun" w:eastAsia="SimSun" w:cs="SimSun"/>
          <w:b/>
          <w:color w:val="000000"/>
          <w:sz w:val="21"/>
        </w:rPr>
        <w:t xml:space="preserve">（本项目不适用）</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rPr>
          <w:rFonts w:ascii="SimSun" w:hAnsi="SimSun" w:eastAsia="SimSun" w:cs="SimSun"/>
          <w:b/>
          <w:color w:val="000000"/>
          <w:sz w:val="21"/>
        </w:rPr>
        <w:t xml:space="preserve">对于未预留份额专门面向中小企业采购的采购项目，以及预留份额项目中的非预留部分采购包，对小微企业报价给予20%的扣除</w:t>
      </w:r>
      <w:r>
        <w:rPr>
          <w:rFonts w:ascii="SimSun" w:hAnsi="SimSun" w:eastAsia="SimSun" w:cs="SimSun"/>
          <w:color w:val="000000"/>
          <w:sz w:val="21"/>
        </w:rPr>
        <w:t xml:space="preserve">，用扣除后的价格参加评审。</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2.5.3组成联合体或者接受分包的小微企业与联合体内其他企业、分包企业之间存在直接控股、管理关系的，不享受价格扣除优惠政策。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2.5.4价格扣除比例对小型企业和微型企业同等对待，不作区分。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2.5.5中小企业参加政府采购活动，应当按照招标文件给定的格式出具《中小企业声明函》，否则不得享受相关中小企业扶持政策。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2.5.6监狱企业提供了由省级以上监狱管理局（常州市含教育矫治局）、戒毒管理局（含新疆生产建设兵团）出具的属于监狱企业的证明文件的，视同小微企业。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2.5.7残疾人福利性单位按招标文件要求提供了《残疾人福利性单位声明函》（见附件）的，视同小微企业。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2.5.8若投标人同时属于小型或微型企业、监狱企业、残疾人福利性单位中的两种及以上，将不重复享受小微企业价格扣减的优惠政策。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3.投标文件的比较和评价</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3.1评标委员会将按照招标文件中规定的评标方法和标准，对符合性审查合格的投标文件进行商务和技术评估，综合比较与评价；未通过符合性审查的投标文件不得进入比较与评价。</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3.2评标方法和评标标准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3.2.1本项目采用的评标方法为：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□最低评标价法，指投标文件满足招标文件全部实质性要求，且投标报价最低的投标人为中标候选人的评标方法。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■随机抽取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□其他方式，具体要求：_____</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3.2.3非政府强制采购的节能产品或环境标志产品，依据品目清单和认证证书实施政府优先采购。优先采购的具体规定（如涉及）</w:t>
      </w:r>
      <w:r>
        <w:rPr>
          <w:rFonts w:ascii="SimSun" w:hAnsi="SimSun" w:eastAsia="SimSun" w:cs="SimSun"/>
          <w:color w:val="000000"/>
          <w:sz w:val="21"/>
          <w:u w:val="single"/>
        </w:rPr>
        <w:t xml:space="preserve">见评标标准相关评分项</w:t>
      </w:r>
      <w:r>
        <w:rPr>
          <w:rFonts w:ascii="SimSun" w:hAnsi="SimSun" w:eastAsia="SimSun" w:cs="SimSun"/>
          <w:color w:val="000000"/>
          <w:sz w:val="21"/>
        </w:rPr>
        <w:t xml:space="preserve">。</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3.2.4关于无线局域网认证产品政府采购清单中的产品，优先采购的具体规定（如涉及）</w:t>
      </w:r>
      <w:r>
        <w:rPr>
          <w:rFonts w:ascii="SimSun" w:hAnsi="SimSun" w:eastAsia="SimSun" w:cs="SimSun"/>
          <w:color w:val="000000"/>
          <w:sz w:val="21"/>
          <w:u w:val="single"/>
        </w:rPr>
        <w:t xml:space="preserve">见评标标准相关评分项</w:t>
      </w:r>
      <w:r>
        <w:rPr>
          <w:rFonts w:ascii="SimSun" w:hAnsi="SimSun" w:eastAsia="SimSun" w:cs="SimSun"/>
          <w:color w:val="000000"/>
          <w:sz w:val="21"/>
        </w:rPr>
        <w:t xml:space="preserve">。</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4.确定</w:t>
      </w:r>
      <w:r>
        <w:rPr>
          <w:rFonts w:ascii="SimSun" w:hAnsi="SimSun" w:eastAsia="SimSun" w:cs="SimSun"/>
          <w:color w:val="000000"/>
          <w:sz w:val="21"/>
          <w:u w:val="none"/>
        </w:rPr>
        <w:t xml:space="preserve">中标候选人名单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■随机抽取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□其他方式，具体要求：_____</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4.4评标委员会要对评分汇总情况进行复核，特别是对排名第一的、报价最低的、投标或投标文件被认定为无效的情形进行重点复核。</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4.5评标委员会将根据各投标人的评标排序，依次推荐本项目的中标候选人，起草并签署评标报告。本项目评标委员会推荐不少于3名中标候选人。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5.报告违法行为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5.1评标委员会在评标过程中发现投标人有行贿、提供虚假材料或者串通等违法行为时，有向采购人、采购代理机构或者有关部门报告的职责。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1035"/>
        <w:gridCol w:w="5534"/>
        <w:gridCol w:w="765"/>
        <w:gridCol w:w="7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最低分值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最高分值</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1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具体评分公式为将各投标人的投标报价与评标基准价相比较，</w:t>
            </w:r>
            <w:r>
              <w:rPr>
                <w:rFonts w:ascii="SimSun" w:hAnsi="SimSun" w:eastAsia="SimSun" w:cs="SimSun"/>
                <w:color w:val="000000"/>
                <w:sz w:val="24"/>
              </w:rPr>
              <w:t xml:space="preserve">（若 7≤有效投标文</w:t>
            </w:r>
            <w:r>
              <w:rPr>
                <w:rFonts w:ascii="SimSun" w:hAnsi="SimSun" w:eastAsia="SimSun" w:cs="SimSun"/>
                <w:color w:val="000000"/>
                <w:spacing w:val="-5"/>
                <w:sz w:val="24"/>
              </w:rPr>
              <w:t xml:space="preserve">件&lt;10 家时，去掉其中的一个最高价和一个最低价后取算术平均值；</w:t>
            </w:r>
            <w:r>
              <w:rPr>
                <w:rFonts w:ascii="SimSun" w:hAnsi="SimSun" w:eastAsia="SimSun" w:cs="SimSun"/>
                <w:color w:val="000000"/>
                <w:spacing w:val="1"/>
                <w:sz w:val="24"/>
              </w:rPr>
              <w:t xml:space="preserve">若有效投标文件≥10</w:t>
            </w:r>
            <w:r>
              <w:rPr>
                <w:rFonts w:ascii="SimSun" w:hAnsi="SimSun" w:eastAsia="SimSun" w:cs="SimSun"/>
                <w:color w:val="000000"/>
                <w:spacing w:val="-32"/>
                <w:sz w:val="24"/>
              </w:rPr>
              <w:t xml:space="preserve"> </w:t>
            </w:r>
            <w:r>
              <w:rPr>
                <w:rFonts w:ascii="SimSun" w:hAnsi="SimSun" w:eastAsia="SimSun" w:cs="SimSun"/>
                <w:color w:val="000000"/>
                <w:spacing w:val="1"/>
                <w:sz w:val="24"/>
              </w:rPr>
              <w:t xml:space="preserve">家时，若有效投标文件≥10</w:t>
            </w:r>
            <w:r>
              <w:rPr>
                <w:rFonts w:ascii="SimSun" w:hAnsi="SimSun" w:eastAsia="SimSun" w:cs="SimSun"/>
                <w:color w:val="000000"/>
                <w:spacing w:val="-46"/>
                <w:sz w:val="24"/>
              </w:rPr>
              <w:t xml:space="preserve"> </w:t>
            </w:r>
            <w:r>
              <w:rPr>
                <w:rFonts w:ascii="SimSun" w:hAnsi="SimSun" w:eastAsia="SimSun" w:cs="SimSun"/>
                <w:color w:val="000000"/>
                <w:spacing w:val="1"/>
                <w:sz w:val="24"/>
              </w:rPr>
              <w:t xml:space="preserve">家时，去掉其中的两</w:t>
            </w:r>
            <w:r>
              <w:rPr>
                <w:rFonts w:ascii="SimSun" w:hAnsi="SimSun" w:eastAsia="SimSun" w:cs="SimSun"/>
                <w:color w:val="000000"/>
                <w:spacing w:val="-5"/>
                <w:sz w:val="24"/>
              </w:rPr>
              <w:t xml:space="preserve">个最高价和两个最低价后取算术平均值；若</w:t>
            </w:r>
            <w:r>
              <w:rPr>
                <w:rFonts w:ascii="SimSun" w:hAnsi="SimSun" w:eastAsia="SimSun" w:cs="SimSun"/>
                <w:color w:val="000000"/>
                <w:sz w:val="24"/>
              </w:rPr>
              <w:t xml:space="preserve">有效投标文</w:t>
            </w:r>
            <w:r>
              <w:rPr>
                <w:rFonts w:ascii="SimSun" w:hAnsi="SimSun" w:eastAsia="SimSun" w:cs="SimSun"/>
                <w:color w:val="000000"/>
                <w:spacing w:val="-5"/>
                <w:sz w:val="24"/>
              </w:rPr>
              <w:t xml:space="preserve">件&lt;7家时，</w:t>
            </w:r>
            <w:r>
              <w:rPr>
                <w:rFonts w:ascii="SimSun" w:hAnsi="SimSun" w:eastAsia="SimSun" w:cs="SimSun"/>
                <w:color w:val="000000"/>
                <w:spacing w:val="8"/>
                <w:sz w:val="24"/>
              </w:rPr>
              <w:t xml:space="preserve">以所有有效投标报价的平均价作为评标基准价</w:t>
            </w:r>
            <w:r>
              <w:rPr>
                <w:rFonts w:ascii="SimSun" w:hAnsi="SimSun" w:eastAsia="SimSun" w:cs="SimSun"/>
                <w:color w:val="000000"/>
                <w:spacing w:val="-5"/>
                <w:sz w:val="24"/>
              </w:rPr>
              <w:t xml:space="preserve">）</w:t>
            </w:r>
            <w:r>
              <w:rPr>
                <w:rFonts w:ascii="SimSun" w:hAnsi="SimSun" w:eastAsia="SimSun" w:cs="SimSun"/>
                <w:color w:val="000000"/>
                <w:spacing w:val="8"/>
                <w:sz w:val="24"/>
              </w:rPr>
              <w:t xml:space="preserve">，每高1%扣1.5分，每低1%扣1分；评标基准价为所有有效投标人报价的算术平均值。（精确到两位小数位，两位小数位后的实行四舍五入）。投标人的投标报价高于招标控制价的，作废标处理，不进入下一步评审。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tabs>
                <w:tab w:val="left" w:pos="5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技术分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50</w:t>
            </w:r>
            <w:r/>
          </w:p>
        </w:tc>
      </w:tr>
      <w:tr>
        <w:trPr>
          <w:trHeight w:val="2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项目组织架构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针对本项目的人员组织架构与管理制度,人员岗位分工与职责等，内容较全面，描述基本清晰。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管理制度方案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针对投标人制定的包括但不限于垃圾中转站运营管理制度、机械化及人工作业管理制度、垃圾收运作业管理制度等方案进行打分。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作业措施服务方案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针对投标人制定的包括但不限于机械化作业组织方案及流程、人工作业组织方案及流程、垃圾收运作业组织方案及流程、进退场交接措施方案等进行打分。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3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针对投标人提供的满足或优于采购需求的服务进度保证方案（包括但不限于：进度计划、进度保证措施等）进行打分。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1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针对投标人制定的包括且不限于安全文明保障措施、运输安全、作业安全管理措施、机械设施设备安全保障、事故防范、安全检查记录、安全教育培训等安全文明保障方案等进行打分。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1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硬件设施及维保服务方案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针对投标人制定的包括且不限于垃圾中转站垃圾压缩转运、中控操作、运输车辆管理，除臭设备和压缩设备设施的运维方案等进行打分。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针对投标人制定的包括且不限于在服务过程中,如何提高服务品质，确保城市长效综合管理考评保障、与采购人、相关主管部门、处理中心等协调配合等方案进行打分。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w:t>
            </w:r>
            <w:r/>
          </w:p>
        </w:tc>
      </w:tr>
      <w:tr>
        <w:trPr>
          <w:trHeight w:val="1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合理化建议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1、针对本项目如何优化整个区域内合理的的方案，便于整个区域的管理和提升。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2、针对本项目处置绿废和平时生活垃圾、建筑装修垃圾，统一管理节约地块资源。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投标人自2023年1月1日（从投标截止日期往前推算，时间按照合同签订日期为准）以来承接过类似项目的，每有一个得2.5分，本项最高得5分。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注：提供加盖投标人公章的合同复印件，否则不得分。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拟投入本项目作业车辆驾驶人员（B照及以上）具有5年（含）-10年（不含）驾龄的,有1人得1分；具有10年（含）以上驾龄的，有1人得2分，本项限评3人，最高得6分(以驾驶证初次领证日期为准)。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注：提供投标人与驾驶员签订的劳动合同复印件及该驾驶员的机动车驾驶证、身份证复印件均须加盖投标人公章，否则不得分。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1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拟投入本项目的作业车辆为重型特殊结构货车的，有一辆2.5分，本项最高得5分。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注：如作业车辆为自有的，应提供行驶证及车辆登记证；如作业车辆为租赁的，应提供①行驶证或车辆登记证；②有效的车辆租赁合同。</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以上材料应能明确车辆属性，投标文件中提供复印件均须加盖投标人公章，否则不得分。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numPr>
                <w:ilvl w:val="0"/>
                <w:numId w:val="14"/>
              </w:numPr>
              <w:spacing w:before="0" w:after="0"/>
              <w:tabs>
                <w:tab w:val="left" w:pos="567" w:leader="none"/>
              </w:tabs>
              <w:pBdr>
                <w:top w:val="none" w:color="000000" w:sz="4" w:space="0"/>
                <w:left w:val="none" w:color="000000" w:sz="4" w:space="0"/>
                <w:bottom w:val="none" w:color="000000" w:sz="4" w:space="0"/>
                <w:right w:val="none" w:color="000000" w:sz="4" w:space="0"/>
              </w:pBdr>
            </w:pPr>
            <w:r>
              <w:rPr>
                <w:rFonts w:ascii="Segoe UI" w:hAnsi="Segoe UI" w:eastAsia="Segoe UI" w:cs="Segoe UI"/>
                <w:color w:val="0f1115"/>
                <w:sz w:val="24"/>
                <w:highlight w:val="white"/>
              </w:rPr>
              <w:t xml:space="preserve">作业质量承诺：承诺实现垃圾“日产日清、车走站净”，杜绝二次污染</w:t>
            </w:r>
            <w:r>
              <w:rPr>
                <w:rFonts w:ascii="SimSun" w:hAnsi="SimSun" w:eastAsia="SimSun" w:cs="SimSun"/>
                <w:color w:val="0f1115"/>
                <w:sz w:val="24"/>
                <w:highlight w:val="white"/>
              </w:rPr>
              <w:t xml:space="preserve">；</w:t>
            </w:r>
            <w:r/>
          </w:p>
          <w:p>
            <w:pPr>
              <w:numPr>
                <w:ilvl w:val="0"/>
                <w:numId w:val="14"/>
              </w:numPr>
              <w:spacing w:before="0" w:after="0"/>
              <w:tabs>
                <w:tab w:val="left" w:pos="567" w:leader="none"/>
              </w:tabs>
              <w:pBdr>
                <w:top w:val="none" w:color="000000" w:sz="4" w:space="0"/>
                <w:left w:val="none" w:color="000000" w:sz="4" w:space="0"/>
                <w:bottom w:val="none" w:color="000000" w:sz="4" w:space="0"/>
                <w:right w:val="none" w:color="000000" w:sz="4" w:space="0"/>
              </w:pBdr>
            </w:pPr>
            <w:r>
              <w:rPr>
                <w:rFonts w:ascii="Segoe UI" w:hAnsi="Segoe UI" w:eastAsia="Segoe UI" w:cs="Segoe UI"/>
                <w:color w:val="0f1115"/>
                <w:sz w:val="24"/>
                <w:highlight w:val="white"/>
              </w:rPr>
              <w:t xml:space="preserve">安全责任承诺：承诺独立承担运营期间全部安全责任，确保人员与设备“零事故”</w:t>
            </w:r>
            <w:r/>
          </w:p>
          <w:p>
            <w:pPr>
              <w:numPr>
                <w:ilvl w:val="0"/>
                <w:numId w:val="14"/>
              </w:numPr>
              <w:spacing w:before="0" w:after="0"/>
              <w:tabs>
                <w:tab w:val="left" w:pos="567" w:leader="none"/>
              </w:tabs>
              <w:pBdr>
                <w:top w:val="none" w:color="000000" w:sz="4" w:space="0"/>
                <w:left w:val="none" w:color="000000" w:sz="4" w:space="0"/>
                <w:bottom w:val="none" w:color="000000" w:sz="4" w:space="0"/>
                <w:right w:val="none" w:color="000000" w:sz="4" w:space="0"/>
              </w:pBdr>
            </w:pPr>
            <w:r>
              <w:rPr>
                <w:rFonts w:ascii="Segoe UI" w:hAnsi="Segoe UI" w:eastAsia="Segoe UI" w:cs="Segoe UI"/>
                <w:color w:val="0f1115"/>
                <w:sz w:val="24"/>
                <w:highlight w:val="white"/>
              </w:rPr>
              <w:t xml:space="preserve">设备保障承诺：承诺设备故障2小时内排除，设施完好率100%</w:t>
            </w:r>
            <w:r/>
          </w:p>
          <w:p>
            <w:pPr>
              <w:numPr>
                <w:ilvl w:val="0"/>
                <w:numId w:val="14"/>
              </w:numPr>
              <w:spacing w:before="0" w:after="0"/>
              <w:tabs>
                <w:tab w:val="left" w:pos="567" w:leader="none"/>
              </w:tabs>
              <w:pBdr>
                <w:top w:val="none" w:color="000000" w:sz="4" w:space="0"/>
                <w:left w:val="none" w:color="000000" w:sz="4" w:space="0"/>
                <w:bottom w:val="none" w:color="000000" w:sz="4" w:space="0"/>
                <w:right w:val="none" w:color="000000" w:sz="4" w:space="0"/>
              </w:pBdr>
            </w:pPr>
            <w:r>
              <w:rPr>
                <w:rFonts w:ascii="Segoe UI" w:hAnsi="Segoe UI" w:eastAsia="Segoe UI" w:cs="Segoe UI"/>
                <w:color w:val="0f1115"/>
                <w:sz w:val="24"/>
                <w:highlight w:val="white"/>
              </w:rPr>
              <w:t xml:space="preserve">应急保障承诺：承诺全天候响应特殊时期保障任务，服从采购人统一调度</w:t>
            </w:r>
            <w:r/>
          </w:p>
          <w:p>
            <w:pPr>
              <w:ind w:left="0" w:right="0" w:firstLine="0"/>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针对本项目投标人应提供服务承诺条款，每满足上述1条得1分，总分4分。注：提供加盖公章的承诺函原件，未提供或不符合要求的不得分。价格优惠不得作为得分项。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1.进场时，若有服务参数未能满足招标文件要求而中标人未在偏离表中明确的情况，须无条件按采购人及招标文件要求整改，否则采购人有权解除合同同时追究因此造成的损失。</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2.评标标准中要求提供的证明文件及资料等按要求在投标文件中提供复印件并加盖投标人公章；扫描件材料内容、印章必须完整、清晰可辨且在有效期内。评标委员会成员半数以上认定模糊无法辨认的不得分。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3.评标时，未能按以上要求提供相应证明的，不作为评标依据，不得分。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4.扫描件必须直接用原件扫描，要求字迹清晰，确保文字内容能看清无变形。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5.采用电子证书或者网络截图，必须使用经过备案的政府官方网站截图，且必须是可供任何人查询的公开信息，截图必须包含网址和网站名称，保证他人能够通过网址再次查询到。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6.投标人按评分细则所有得分项目均视为对本次招标的承诺，成交后均作为合同的组成部分。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第五章采购需求</w:t>
      </w:r>
      <w:r/>
    </w:p>
    <w:p>
      <w:pPr>
        <w:numPr>
          <w:ilvl w:val="0"/>
          <w:numId w:val="1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采购标的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1、本项目为</w:t>
      </w:r>
      <w:r>
        <w:rPr>
          <w:rFonts w:ascii="SimSun" w:hAnsi="SimSun" w:eastAsia="SimSun" w:cs="SimSun"/>
          <w:b/>
          <w:color w:val="000000"/>
          <w:sz w:val="21"/>
        </w:rPr>
        <w:t xml:space="preserve">雕庄街道垃圾中转站管理服务项目</w:t>
      </w:r>
      <w:r>
        <w:rPr>
          <w:rFonts w:ascii="SimSun" w:hAnsi="SimSun" w:eastAsia="SimSun" w:cs="SimSun"/>
          <w:color w:val="000000"/>
          <w:sz w:val="21"/>
        </w:rPr>
        <w:t xml:space="preserve">，主要内容包括但不限于为进一步规范辖区垃圾收运处置秩序，推动垃圾中转站市场化、规范化、一体化统筹运营，拟将雕庄街道垃圾中转站委托第三方提供管理服务。招标人确定范围内的垃圾运输、人员工资、设备维修、水电费等等全部内容。详细内容见本招标文件采购需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2、垃圾需往返送至金坛及光大两处，还包含辖区内的除臭、污水清运等。</w:t>
      </w:r>
      <w:r/>
    </w:p>
    <w:p>
      <w:pPr>
        <w:numPr>
          <w:ilvl w:val="0"/>
          <w:numId w:val="1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服务清单</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784"/>
        <w:gridCol w:w="647"/>
        <w:gridCol w:w="991"/>
        <w:gridCol w:w="792"/>
        <w:gridCol w:w="785"/>
        <w:gridCol w:w="785"/>
        <w:gridCol w:w="1177"/>
        <w:gridCol w:w="2609"/>
      </w:tblGrid>
      <w:tr>
        <w:trP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费用名称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分项</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费用组成明细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岗位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人数</w:t>
              <w:br/>
              <w:t xml:space="preserve">（人）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人员综合单价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小计</w:t>
              <w:br/>
              <w:t xml:space="preserve">（元/年）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驾驶员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9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其它清扫保洁人员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9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人身意外保险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人工费用合计（元/年）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vMerge w:val="continue"/>
            <w:textDirection w:val="lrTb"/>
            <w:noWrap w:val="false"/>
          </w:tcPr>
          <w:p>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垃圾运输费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年度垃圾运输费（全年按7500吨测算）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综合单价(元/吨)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每日量(吨)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天数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年度垃圾运输费(元/年)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0"/>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3650吨送至金坛,中转站至金坛的距离约为120公里（往返）,最终按实际情况：包含运输费、油费、车辆年审、车辆保险等费用 </w:t>
            </w:r>
            <w:r/>
          </w:p>
        </w:tc>
      </w:tr>
      <w:tr>
        <w:trPr>
          <w:trHeight w:val="790"/>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3850吨送至光大,(中转站至光大的距离约为30公里（往返）,最终按实际情况：包含运输费、油费、车辆年审、车辆保险等费用 </w:t>
            </w:r>
            <w:r/>
          </w:p>
        </w:tc>
      </w:tr>
      <w:tr>
        <w:trPr>
          <w:trHeight w:val="385"/>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垃圾运输费合计（元/年）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维保费用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拉臂车1台、翻斗车1台、装载机1台、压缩箱1台等</w:t>
            </w:r>
            <w:r/>
          </w:p>
        </w:tc>
      </w:tr>
      <w:tr>
        <w:trPr>
          <w:trHeight w:val="790"/>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拉臂车、翻斗车、装载机、压缩箱等维修保养费（元/年）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年审保险（元/年）</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维保费用合计（元/年）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水电费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水电费（元/年）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零星维修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零星维修（元/年）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税金</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其他费用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投标报价（元/年）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一+二.....+七</w:t>
            </w:r>
            <w:r/>
          </w:p>
        </w:tc>
      </w:tr>
      <w:tr>
        <w:trPr>
          <w:trHeight w:val="39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投标报价（元/三年）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3"/>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注：1、作业服务费按一年计算，各项费用的报价均以年为时间单位；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2、报价金额全部采用人民币表示，投标报价精确到以元为单位的整数；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3、开具增值税发票；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4、其它费用包括：招标文件中说明的各项费用和风险、运输费、油费、车辆年审、车辆保险等费用（但不限于这些费用）。</w:t>
            </w:r>
            <w:r/>
          </w:p>
        </w:tc>
      </w:tr>
    </w:tbl>
    <w:p>
      <w:pPr>
        <w:numPr>
          <w:ilvl w:val="0"/>
          <w:numId w:val="1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1．实施的时间（期限）和地点：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（1）实施时间（期限）：</w:t>
      </w:r>
      <w:r>
        <w:rPr>
          <w:rFonts w:ascii="SimSun" w:hAnsi="SimSun" w:eastAsia="SimSun" w:cs="SimSun"/>
          <w:color w:val="000000"/>
          <w:sz w:val="21"/>
          <w:u w:val="single"/>
        </w:rPr>
        <w:t xml:space="preserve">服务期限三年，合同一年一签。每年合同期满后经采购人考核合格后可续签下一年合同；考核不合格的，终止合同不再续签（全年考核扣款总计超过10%为不合格）。</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（2）实施地点：</w:t>
      </w:r>
      <w:r>
        <w:rPr>
          <w:rFonts w:ascii="SimSun" w:hAnsi="SimSun" w:eastAsia="SimSun" w:cs="SimSun"/>
          <w:color w:val="000000"/>
          <w:sz w:val="21"/>
          <w:u w:val="single"/>
        </w:rPr>
        <w:t xml:space="preserve">雕庄街道及相关辖区内；根据常州市城市管理局关于进一步落实“常溧一体化”生活垃圾应急调度实施方案及天宁区生活垃圾应急调度实施方案的要求。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2．付款条件（进度和方式）</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采购人按实际垃圾清运量调整后的运营费用按月核算按季度支付，采购人前三季度每季度按时向中标人支付合同总价的22.5%，第四季度需核算全年实际清运量后按实结算，全年剩余10%绩效考核费用按月考核，合同期满结算。</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（2）付款时间：次季度第一个月。每次付款前中标人提供等额合规的增值税发票。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（3）如果运营服务质量严重偏离双方达成的协议，采购人有权扣除运营费，造成重大损失将追究责任并赔偿损失。</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3．包装和运输：无。</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4．售后服务（质保期等）</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（1）接受采购人和社会监督，对存在的问题在指定时间内整改到位，并将整改结果报采购人。</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（2）准时参加采购人召开的会议。</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（3）向采购人提出合理化建议。</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5．保险：及时办理作业车辆的保险、为服务人员提供意外保险等。</w:t>
      </w:r>
      <w:r/>
    </w:p>
    <w:p>
      <w:pPr>
        <w:numPr>
          <w:ilvl w:val="0"/>
          <w:numId w:val="15"/>
        </w:numP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1．基本要求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采购标的需实现的功能或者目标：</w:t>
      </w:r>
      <w:r>
        <w:rPr>
          <w:rFonts w:ascii="SimSun" w:hAnsi="SimSun" w:eastAsia="SimSun" w:cs="SimSun"/>
          <w:color w:val="000000"/>
          <w:sz w:val="21"/>
          <w:u w:val="single"/>
        </w:rPr>
        <w:t xml:space="preserve">实现垃圾封闭化、大运量的运输，提高了转运的经济性，保证生活垃圾收、运过程无抛洒滴漏，沿途无环境影响。</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需执行的国家相关标准、行业标准、地方标准或者其他标准、规范：</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满足国家、地方政府关于垃圾中转站一体化服务、垃圾收集、清理运输的规定。</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2．服务内容及要求/货物技术要求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采购标的需满足的性能、材料、结构、外观、质量、安全、技术规格、物理特性等要求：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（一）人员及设备配置要求：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1.中标人作业人员不得少于4人，其中项目负责人1人，驾驶员不少于1人、管理人员及其它清扫保洁人员不少于2人。</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2.针对本项目所配备设备要求：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（1）由中标人提供满足运输要求的垃圾运输车，按照采购人的要求统一管理，如车辆需安装改造，相关费用均由投标人自行承担。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3.作业时间：合同签订生效后按要求保质保量进行运输，暂定作业时间早上4:00-下午17:00；可根据具体情况适当调整。根据中转站管理制度要求，垃圾做到日产日清。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（二）作业要求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标人负责垃圾中转站垃圾压缩转运、中控操作、车队管理，除臭设备和压缩设备设施的启动、巡检、关闭等。垃圾必须做到日产日清，清运车辆收集运输中，文明驾驶，无抛洒、滴漏，车辆整洁美观，送至处理中心后服从处理中心指挥，按规定倾倒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1.对转运站设施、设备每天检查保养，做到一查二看三开机，发现问题及时维修，确保正常运转。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2.禁止无关人员操作设备，杜绝无证驾驶，确保安全生产。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3.做好垃圾入坑（斗），整理平整工作，清理硬件杂物，机械操作工做好垃圾压缩工作，保证转运站正常工作。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4.做到垃圾随倒随清，地面无垃圾积存，推台、地面无积水。窗明几净，墙面无积灰、蛛网，转运站内无闲杂人员拾荒，车辆工具摆放整齐。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5.严禁在垃圾站点内及周边焚烧垃圾。在清运过程因操作不当或焚烧造成垃圾站点或者周边损毁的，由中标人负责赔偿或恢复原样。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6.除四害期内，有专人负责除四害工作，消杀期内在可视范围内蚊蝇应不超过国家标准。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7.垃圾转运车辆专车专人专用，定期维修保养，每天清洗，外部无污物、无垃圾拖挂、无集水装置破损，保持车身清洁。不得从事其它货物运输；同时不得违规跨区域运输作业。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8.垃圾中大小件杂物、工业废角料、生活残渣、泥土等都需每天清运干净、分类处理。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9.清运项目负责人通讯手机必须24小时开机，遇检查、考核等紧急情况调动车辆机械时须半小时内到达指定地点(特殊情况除外)。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10.采购单位有权调动中标人在本项目投入的人员及车辆设备等参与突发事件的处理。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中标人必须无条件配合采购单位及有关部门举办的一切活动，并制定相关应急预案，协助采购单位处理潜在突发事件。在合同期间内应自觉接受采购单位及相关管理部门的管理，对一些特殊任务应积极配合，按采购单位的要求对存在问题进行整改，并配合采购单位检查工作，为检查工作提供必要的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12.中标人应拒收有工业垃圾、医疗垃圾混入的生活垃圾。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中标人在垃圾清运过程中严禁出现自身偷倒垃圾的情况，特别是工业垃圾，一经发现(包括但不限于群众举报、媒体曝光、职能部门巡查处理等方式)，本项目的成交合同立即终止，且中标人须承担由此造成的一切经济损失及法律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（三）服务内容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中标人必须服从常州市、区环卫处及采购单位车辆调配的规定，并按指定地点、指定时间、指定运输线路运送垃圾，及时保质保量将垃圾运送焚烧厂或指定堆放点，做到日产日清。及时压缩生活垃圾，确保垃圾转运，保证转运站卫生整洁，确保承包垃圾收集的容器、环卫设施等呈现干净整洁的面貌。如有特殊情况导致当天未清运干净的，应当日及时向采购单位报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2.为保证垃圾清运工作正常有效开展，中标人负责组成固定的专业清运队伍，按要求提交作业计划和清运预案，经采购人认可并备案。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3.接受采购人和相关管理部门的考核及其结果。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4.独立承担收集、压缩、清运作业等一体化服务中的所有安全责任和经济赔偿。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5.中标人承担作业车辆的油耗、保险、维修等所有费用以及作业的人工、设备、工具、耗材、维保、水费等。垃圾中转站场所维护费用由采购人承担。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6.在任何情况下（如灾害天气期间或重大活动期间），中标人均应保质保量按时完成采购人或政府主管部门安排的指令性任务。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自觉执行国家的法律、法规，作业及管理人员工资不得低于常州市最低工资标准，所有人员必须在上岗前签订劳动合同。在报价时必须根据人员年龄按法律法规核算企业为其缴纳的职工社会保险费用，否则报价无效。项目实施期间，中标人及时依法支付人员费用，独立处理劳资纠纷等工作。未按要求缴纳社保的，采购人可扣除相应费用，情节严重的，可终止服务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8.接受采购人和社会监督，对存在的问题在指定时间内整改到位，并将整改结果报采购人。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9.准时参加采购人召开的会议。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10.向采购人提出合理化建议。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1.车容车貌不达要求，甲方有权要求乙方整改，否则甲方将作适当经济处罚。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2.乙方中标后，在服务期内，所有移交设备都由乙方管理维护，在设备乙方保修期内的由设备乙方维保，甲方不再另行支付费用。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3.乙方负责转运站及周边环境卫生，包括但不限于转运大厅、压缩设备运行区域、办公室、卸料槽的清扫保洁以及转运车辆的清洗、场区周边道路冲洗、土建及绿化设施的日常管养。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4.指定专人制作整理转运站台账，数据要求每日按制式表格报送、存档。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产品清单：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（一）根据清运量调整</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4058"/>
        <w:gridCol w:w="46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全年垃圾清运量（以7500吨为基数）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低于7275吨（基数*97%）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每少1吨扣除按分项报价中的垃圾运输费单价结算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7275-7725吨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按中标总价结算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高于7725吨（基数*103%）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每多1吨增加按分项报价中的垃圾运输费单价结算</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注：每月核算一次费用，核定的垃圾清运量基数按年折算到月。在每月5日前核实前一月运输吨位。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二）根据常州市城市管理局关于进一步落实“常溧一体化”生活垃圾应急调度实施方案及天宁区生活垃圾应急调度实施方案的要求，本垃圾转运站需半年内每天至少安排一车生活垃圾运往金坛、光大进行终端处置。结算根据实际调配需求，以中标分项报价中的金坛、光大垃圾运输费单价/天为结算依据，按实际天数进行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采购标的需满足的服务标准、期限、效率等要求：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标人必须服从常州市、区环卫处及采购单位车辆调配的规定，并按指定地点、指定时间、指定运输线路运送垃圾，及时保质保量将垃圾运送焚烧厂或指定堆放点，做到日产日清。及时压缩生活垃圾，确保垃圾转运，保证转运站卫生整洁，确保承包垃圾收集的容器、环卫设施等呈现干净整洁的面貌。如有特殊情况导致当天未清运干净的，应当日及时向采购单位报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3．验收标准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采购人依据有关考评细则，对中标人进行作业考核，以其考核结果作为对中标人履行合同的评价、奖罚依据。（服务期间采购人有权根据实际服务内容对相关考核内容进行细化、优化等相应调整）。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采购人负责安排专人，每月不少于三次对垃圾中转站垃圾运输服务进行检查、考评，建立检查考评工作台帐。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由街道考评发现问题每扣1分折算500元，由区考评或街道领导发现问题每扣1分折算2000元，由市考评发现问题每扣1分折算5000元，根据考评细则并结合区级以上检查考评及媒体曝光、群众投诉等情况相应扣分。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项目服务经费结算与考核成绩挂钩。每年从项目服务经费中抽出10%作为绩效考核费用，按月考核合同期满结算。若考核扣款等于或大于10%的按10%扣款，且视作考核不合格，取消该服务单位下一年合同续签资格。每年项目服务完成，结算考核扣款后将剩余部分凭有效发票一次性结算给中标人。</w:t>
      </w:r>
      <w:r/>
    </w:p>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垃圾转运站服务质量综合考核细则表</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考核区域：考核日期：</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服务单位：考核人员：</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4"/>
        <w:gridCol w:w="6700"/>
        <w:gridCol w:w="1161"/>
        <w:gridCol w:w="782"/>
      </w:tblGrid>
      <w:tr>
        <w:trPr>
          <w:trHeight w:val="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未按时完成清运垃圾任务，站内垃圾堆积，未做到日产日清，每次扣2分(受恶劣天气、公共卫生事件等不可抗力影响除外)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转运站设施设备损坏运行不正常且不及时维修扣1分。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转运场未及时清理，作业过程中和完成后，场内散落垃圾和污水积存扣1分。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转运站内地面、墙面及提料机周边卫生脏、乱、差扣1分。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转运站堆放杂物、废品或与转运站无关杂物扣1分。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除四害工作不达标（蚊蝇超过6只/次以上为一处），毒饵站未及时投补药一处扣0.5分。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运输车辆车身不清洁，以车辆数计数一次/辆扣1分。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运输车辆存在滴、泼、撒、漏现象的，发现一次扣1分。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工业垃圾、医疗垃圾混入生活垃圾，未及时发现的1次扣6分。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现场无管理制度、考勤制度、岗位责任制度、安全生产制度或者相关制度未上墙公示的，每项扣1分。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安全标识不齐全的，每项扣1分。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垃圾未送至指定的处置场所，偷倒垃圾，每次扣10分，并额外扣除5000元，再次发现违反此规定的处罚1万元，期间造成采购人的损失由中标人全额支付，并根据《常州市城市市容管理办法》及其他国家相关法律处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因转运站停电、设施设备维修等客观原因无法生产的，中标人必须无条件地按招标人的要求，有序地对垃圾进行分流，组织不力的扣1分。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凡违反工作标准，考核方法中没有相应扣分标准的，一律按每项每次1分计扣。存在严重安全隐患的加倍扣分。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转运站台账不齐全，缺少一份扣0.5分。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4．其他说明</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投标报价应包括招标文件所确定的招标范围相应服务的提供、人员（包括工资和补贴）、驾驶员意外险、办公场所及设施、保险、劳保、管理、车辆油费、设备折旧费、机械维修费用、消毒品和生产工具费用、水电费用及各种补贴、工具、耗材、车辆设备维修保养、各种税费、利润、税金、招标代理费、编标费、政策性文件规定及合同包含的所有风险、责任等各项应有费用，以及为完成该项服务项目所涉及到的一切相关费用，采购人不再支付其他任何费用。</w:t>
      </w:r>
      <w:r/>
    </w:p>
    <w:p>
      <w:pPr>
        <w:numPr>
          <w:ilvl w:val="0"/>
          <w:numId w:val="13"/>
        </w:numPr>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实质性要求：无</w:t>
      </w:r>
      <w:r/>
    </w:p>
    <w:p>
      <w:pPr>
        <w:numPr>
          <w:ilvl w:val="0"/>
          <w:numId w:val="13"/>
        </w:numPr>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采购标的对应的中小企业划分标准所属行业一览表</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1"/>
        <w:gridCol w:w="2803"/>
        <w:gridCol w:w="469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垃圾中转站一体化服务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备注：中小企业声明函中的所属行业按《工业和信息化部、国家统计局、国家发展和改革委员会、财政部关于印发中小企业划型标准规定的通知》（工信部联企业〔2011〕300号）规定执行。</w:t>
      </w:r>
      <w:r/>
    </w:p>
    <w:p>
      <w:pPr>
        <w:numPr>
          <w:ilvl w:val="0"/>
          <w:numId w:val="15"/>
        </w:numP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项目预算金额：人民币826626.33 元/年，人民币2479878.99  元/3年</w:t>
      </w:r>
      <w:r>
        <w:rPr>
          <w:rFonts w:ascii="SimHei" w:hAnsi="SimHei" w:eastAsia="SimHei" w:cs="SimHei"/>
          <w:color w:val="000000"/>
          <w:sz w:val="24"/>
        </w:rPr>
        <w:t xml:space="preserve">；</w:t>
      </w:r>
      <w:r>
        <w:rPr>
          <w:rFonts w:ascii="SimSun" w:hAnsi="SimSun" w:eastAsia="SimSun" w:cs="SimSun"/>
          <w:color w:val="000000"/>
          <w:sz w:val="24"/>
        </w:rPr>
        <w:t xml:space="preserve">项目最高限价：人民币826626.33 元/年，人民币2479878.99  元/3年，投标报价不得高于最高限价，否则将作为无效投标。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第六章 </w:t>
      </w:r>
      <w:r>
        <w:rPr>
          <w:rFonts w:ascii="SimSun" w:hAnsi="SimSun" w:eastAsia="SimSun" w:cs="SimSun"/>
          <w:color w:val="000000"/>
          <w:sz w:val="32"/>
          <w:u w:val="none"/>
        </w:rPr>
        <w:t xml:space="preserve">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雕庄街道垃圾中转站管理服务项目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甲方：</w:t>
      </w:r>
      <w:r>
        <w:rPr>
          <w:rFonts w:ascii="SimSun" w:hAnsi="SimSun" w:eastAsia="SimSun" w:cs="SimSun"/>
          <w:color w:val="000000"/>
          <w:sz w:val="36"/>
          <w:u w:val="single"/>
        </w:rPr>
        <w:t xml:space="preserve">常州市天宁区雕庄街道办事处</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乙方：_________</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合同签订时间：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甲方：（委托方）_________</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乙方：（服务方）_________</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   月   日，</w:t>
      </w:r>
      <w:r>
        <w:rPr>
          <w:rFonts w:ascii="SimSun" w:hAnsi="SimSun" w:eastAsia="SimSun" w:cs="SimSun"/>
          <w:color w:val="000000"/>
          <w:sz w:val="21"/>
          <w:u w:val="single"/>
        </w:rPr>
        <w:t xml:space="preserve">常州市天宁区雕庄街道办事处</w:t>
      </w:r>
      <w:r>
        <w:rPr>
          <w:rFonts w:ascii="SimSun" w:hAnsi="SimSun" w:eastAsia="SimSun" w:cs="SimSun"/>
          <w:color w:val="000000"/>
          <w:sz w:val="21"/>
        </w:rPr>
        <w:t xml:space="preserve">以编号为 </w:t>
      </w:r>
      <w:r>
        <w:rPr>
          <w:rFonts w:ascii="SimSun" w:hAnsi="SimSun" w:eastAsia="SimSun" w:cs="SimSun"/>
          <w:color w:val="000000"/>
          <w:sz w:val="21"/>
          <w:u w:val="single"/>
        </w:rPr>
        <w:t xml:space="preserve">         </w:t>
      </w:r>
      <w:r>
        <w:rPr>
          <w:rFonts w:ascii="SimSun" w:hAnsi="SimSun" w:eastAsia="SimSun" w:cs="SimSun"/>
          <w:color w:val="000000"/>
          <w:sz w:val="21"/>
        </w:rPr>
        <w:t xml:space="preserve">号对</w:t>
      </w:r>
      <w:r>
        <w:rPr>
          <w:rFonts w:ascii="SimSun" w:hAnsi="SimSun" w:eastAsia="SimSun" w:cs="SimSun"/>
          <w:color w:val="000000"/>
          <w:sz w:val="21"/>
          <w:u w:val="single"/>
        </w:rPr>
        <w:t xml:space="preserve">雕庄街道垃圾中转站管理服务项目</w:t>
      </w:r>
      <w:r>
        <w:rPr>
          <w:rFonts w:ascii="SimSun" w:hAnsi="SimSun" w:eastAsia="SimSun" w:cs="SimSun"/>
          <w:color w:val="000000"/>
          <w:sz w:val="21"/>
        </w:rPr>
        <w:t xml:space="preserve">进行了公开招标。经评标委员会小组评定， </w:t>
      </w:r>
      <w:r>
        <w:rPr>
          <w:rFonts w:ascii="SimSun" w:hAnsi="SimSun" w:eastAsia="SimSun" w:cs="SimSun"/>
          <w:color w:val="000000"/>
          <w:sz w:val="21"/>
          <w:u w:val="single"/>
        </w:rPr>
        <w:t xml:space="preserve">       </w:t>
      </w:r>
      <w:r>
        <w:rPr>
          <w:rFonts w:ascii="SimSun" w:hAnsi="SimSun" w:eastAsia="SimSun" w:cs="SimSun"/>
          <w:color w:val="000000"/>
          <w:sz w:val="21"/>
        </w:rPr>
        <w:t xml:space="preserve">为该项目</w:t>
      </w:r>
      <w:r>
        <w:rPr>
          <w:rFonts w:ascii="SimSun" w:hAnsi="SimSun" w:eastAsia="SimSun" w:cs="SimSun"/>
          <w:color w:val="000000"/>
          <w:sz w:val="21"/>
          <w:u w:val="single"/>
        </w:rPr>
        <w:t xml:space="preserve">          </w:t>
      </w:r>
      <w:r>
        <w:rPr>
          <w:rFonts w:ascii="SimSun" w:hAnsi="SimSun" w:eastAsia="SimSun" w:cs="SimSun"/>
          <w:color w:val="000000"/>
          <w:sz w:val="21"/>
        </w:rPr>
        <w:t xml:space="preserve">的中标单位。根据《中华人民共和国民法典》、《中华人民共和国政府采购法》等相关法律法规之规定，按照平等、自愿、公平和诚实信用的原则，经甲乙双方协商一致，就相关事宜达成如下合同条款。</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w:t>
      </w:r>
      <w:r>
        <w:rPr>
          <w:rFonts w:ascii="SimSun" w:hAnsi="SimSun" w:eastAsia="SimSun" w:cs="SimSun"/>
          <w:color w:val="000000"/>
          <w:sz w:val="21"/>
          <w:u w:val="single"/>
        </w:rPr>
        <w:t xml:space="preserve">满足国家、地方政府关于垃圾中转站一体化服务、垃圾收集、清理运输的规定。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但不限于承担辖区内生活垃圾的清运工作，包含所需的人工、车辆、设备（甲方提供的设备以外）、工具、耗材、维保等一切内容，甲方提供垃圾中转站场所及主要设备。全年清运生活垃圾约为8000吨（以处理中心实际称重计量为准），确保日产日清，因不可预测原因造成的垃圾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履行时间（期限）：服务期限三年（     年月日至年月日），合同一年一签。每年合同期满后经甲方考核合格后可续签下一年合同；考核不合格的，终止合同不再续签（全年考核扣款总计超过10%为不合格）。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1.6履行方式：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（一）人员及设备配置要求：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1.1.中标人作业人员不得少于4人，其中项目负责人1人，驾驶员不少于1人、管理人员及其它清扫保洁人员不少于2人。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2.针对本项目所配备设备要求：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（1）由中标人提供满足运输要求的垃圾运输车，按照采购人的要求统一管理，如车辆需安装改造，相关费用均由投标人自行承担。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3.作业时间：合同签订生效后按要求保质保量进行运输，暂定作业时间早上4:00-下午17:00；可根据具体情况适当调整。根据中转站管理制度要求，垃圾做到日产日清。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（二）作业要求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标人负责垃圾中转站垃圾压缩转运、中控操作、车队管理，除臭设备和压缩设备设施的启动、巡检、关闭等。垃圾必须做到日产日清，清运车辆收集运输中，文明驾驶，无抛洒、滴漏，车辆整洁美观，送至处理中心后服从处理中心指挥，按规定倾倒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1.对转运站设施、设备每天检查保养，做到一查二看三开机，发现问题及时维修，确保正常运转。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2.禁止无关人员操作设备，杜绝无证驾驶，确保安全生产。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3.做好垃圾入坑（斗），整理平整工作，清理硬件杂物，机械操作工做好垃圾压缩工作，保证转运站正常工作。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4.做到垃圾随倒随清，地面无垃圾积存，推台、地面无积水。窗明几净，墙面无积灰、蛛网，转运站内无闲杂人员拾荒，车辆工具摆放整齐。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5.严禁在垃圾站点内及周边焚烧垃圾。在清运过程因操作不当或焚烧造成垃圾站点或者周边损毁的，由中标人负责赔偿或恢复原样。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6.除四害期内，有专人负责除四害工作，消杀期内在可视范围内蚊蝇应不超过国家标准。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7.垃圾转运车辆专车专人专用，定期维修保养，每天清洗，外部无污物、无垃圾拖挂、无集水装置破损，保持车身清洁。不得从事其它货物运输；同时不得违规跨区域运输作业。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8.垃圾中大小件杂物、工业废角料、生活残渣、泥土等都需每天清运干净、分类处理。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9.清运项目负责人通讯手机必须24小时开机，遇检查、考核等紧急情况调动车辆机械时须半小时内到达指定地点(特殊情况除外)。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10.采购单位有权调动中标人在本项目投入的人员及车辆设备等参与突发事件的处理。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中标人必须无条件配合采购单位及有关部门举办的一切活动，并制定相关应急预案，协助采购单位处理潜在突发事件。在合同期间内应自觉接受采购单位及相关管理部门的管理，对一些特殊任务应积极配合，按采购单位的要求对存在问题进行整改，并配合采购单位检查工作，为检查工作提供必要的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12.中标人应拒收有工业垃圾、医疗垃圾混入的生活垃圾。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中标人在垃圾清运过程中严禁出现自身偷倒垃圾的情况，特别是工业垃圾，一经发现(包括但不限于群众举报、媒体曝光、职能部门巡查处理等方式)，本项目的成交合同立即终止，且中标人须承担由此造成的一切经济损失及法律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（三）服务内容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中标人必须服从常州市、区环卫处及采购单位车辆调配的规定，并按指定地点、指定时间、指定运输线路运送垃圾，及时保质保量将垃圾运送焚烧厂或指定堆放点，做到日产日清。及时压缩生活垃圾，确保垃圾转运，保证转运站卫生整洁，确保承包垃圾收集的容器、环卫设施等呈现干净整洁的面貌。如有特殊情况导致当天未清运干净的，应当日及时向采购单位报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2.为保证垃圾清运工作正常有效开展，中标人负责组成固定的专业清运队伍，按要求提交作业计划和清运预案，经采购人认可并备案。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3.接受采购人和相关管理部门的考核及其结果。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4.独立承担收集、压缩、清运作业等一体化服务中的所有安全责任和经济赔偿。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5.中标人承担作业车辆的油耗、保险、维修等所有费用以及作业的人工、设备、工具、耗材、维保、水费等。垃圾中转站场所维护费用由采购人承担。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6.在任何情况下（如灾害天气期间或重大活动期间），中标人均应保质保量按时完成采购人或政府主管部门安排的指令性任务。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自觉执行国家的法律、法规，作业及管理人员工资不得低于常州市最低工资标准，所有人员必须在上岗前签订劳动合同。在报价时必须根据人员年龄按法律法规核算企业为其缴纳的职工社会保险费用，否则报价无效。项目实施期间，中标人及时依法支付人员费用，独立处理劳资纠纷等工作。未按要求缴纳社保的，采购人可扣除相应费用，情节严重的，可终止服务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8.接受采购人和社会监督，对存在的问题在指定时间内整改到位，并将整改结果报采购人。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9.准时参加采购人召开的会议。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10.向采购人提出合理化建议。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1.车容车貌不达要求，甲方有权要求乙方整改，否则甲方将作适当经济处罚。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2.乙方中标后，在服务期内，所有移交设备都由乙方管理维护，在设备乙方保修期内的由设备乙方维保，甲方不再另行支付费用。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3.乙方负责转运站及周边环境卫生，包括但不限于转运大厅、压缩设备运行区域、办公室、卸料槽的清扫保洁以及转运车辆的清洗、场区周边道路冲洗、土建及绿化设施的日常管养。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4.指定专人制作整理转运站台账，数据要求每日按制式表格报送、存档。</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2.1本合同签约金额为人民币（大写）：___________________________元整（_______________元）</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详细的价格组成详见附件。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应包括招标文件所确定的招标范围相应服务的提供、人员（包括工资和补贴）、驾驶员意外险、办公场所及设施、保险、劳保、管理、车辆油费、设备折旧费、机械维修费用、消毒品和生产工具费用、水电费用及各种补贴、工具、耗材、车辆设备维修保养、各种税费、利润、税金、招标代理费、编标费、政策性文件规定及合同包含的所有风险、责任等各项应有费用，以及为完成该项服务项目所涉及到的一切相关费用，采购人不再支付其他任何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2.2运营费的调整</w:t>
      </w:r>
      <w:r/>
    </w:p>
    <w:p>
      <w:pPr>
        <w:ind w:left="0" w:right="0" w:firstLine="42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（一）根据清运量调整</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4058"/>
        <w:gridCol w:w="46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全年垃圾清运量（以     吨为基数）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注：每月核算一次费用，核定的垃圾清运量基数按年折算到月。在每月5日前核实前一月运输吨位。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（二）根据常州市城市管理局关于进一步落实“常溧一体化”生活垃圾应急调度实施方案及天宁区生活垃圾应急调度实施方案的要求，垃圾转运站需半年内每天至少一车生活垃圾运往</w:t>
      </w:r>
      <w:r>
        <w:rPr>
          <w:rFonts w:ascii="SimSun" w:hAnsi="SimSun" w:eastAsia="SimSun" w:cs="SimSun"/>
          <w:color w:val="000000"/>
          <w:sz w:val="21"/>
          <w:u w:val="single"/>
        </w:rPr>
        <w:t xml:space="preserve">金坛、光大</w:t>
      </w:r>
      <w:r>
        <w:rPr>
          <w:rFonts w:ascii="SimSun" w:hAnsi="SimSun" w:eastAsia="SimSun" w:cs="SimSun"/>
          <w:color w:val="000000"/>
          <w:sz w:val="21"/>
        </w:rPr>
        <w:t xml:space="preserve">进行终端处置。结算根据实际调配需求，以中标分项报价中的</w:t>
      </w:r>
      <w:r>
        <w:rPr>
          <w:rFonts w:ascii="SimSun" w:hAnsi="SimSun" w:eastAsia="SimSun" w:cs="SimSun"/>
          <w:color w:val="000000"/>
          <w:sz w:val="21"/>
          <w:u w:val="single"/>
        </w:rPr>
        <w:t xml:space="preserve">金坛、光大</w:t>
      </w:r>
      <w:r>
        <w:rPr>
          <w:rFonts w:ascii="SimSun" w:hAnsi="SimSun" w:eastAsia="SimSun" w:cs="SimSun"/>
          <w:color w:val="000000"/>
          <w:sz w:val="21"/>
        </w:rPr>
        <w:t xml:space="preserve">垃圾运输费单价/天为结算依据，按实际天数进行结算。（详见附件）</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3.1乙方应按招标文件规定的时间向甲方提供服务（包含与服务相关的货物）的有关技术资料。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产权担保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乙方保证所交付的服务（包含与服务相关的货物）的所有权完全属于乙方且无任何抵押、查封等产权瑕疵。</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color w:val="000000"/>
          <w:sz w:val="21"/>
          <w:u w:val="single"/>
        </w:rPr>
        <w:t xml:space="preserve">不收取</w:t>
      </w:r>
      <w:r>
        <w:rPr>
          <w:rFonts w:ascii="SimSun" w:hAnsi="SimSun" w:eastAsia="SimSun" w:cs="SimSun"/>
          <w:color w:val="000000"/>
          <w:sz w:val="21"/>
        </w:rPr>
        <w:t xml:space="preserve">履约保证金。</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合同转包或分包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乙方不得将合同标的分包给他人履行。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乙方如有转包或未经甲方同意的分包行为，甲方有权解除合同。</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合同款项支付</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税费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详见附件《垃圾转运站服务质量综合考核细则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甲方按照采购合同的约定对乙方的履约情况进行验收。验收时,甲方按照采购合同的约定对每一项技术、服务、安全标准的履约情况进行确认。验收结果与采购合同约定的资金支付及履约保证金返还条件挂钩。履约验收的各项资料存档备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验收合格的项目,甲方根据采购合同的约定及时向乙方支付合同款项。验收不合格的项目，甲方依法依合同约定及时处理。采购合同的履行、违约责任和解决争议的方式等适用《中华人民共和国民法典》。乙方在履约过程中有政府采购法律法规规定的违法违规情形的,甲方将及时报告本级财政部门。</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甲方无故逾期付款的，按同期银行存款利率支付违约金。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乙方所提供服务的标准不符合合同规定及招标文件规定标准的，甲方有权拒绝接受服务，并可单方面解除合同。</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不可抗力事件处理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不可抗力事件发生后，应立即通知对方，并寄送有关权威机构出具的证明。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解决争议的方法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13.1双方在签订、履行合同中所发生的一切争议，应通过友好协商解决。如协商不成，由甲方住所地人民法院管辖。</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合同经双方法定代表人或授权委托代表人签字并加盖单位公章后生效。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本合同未尽事宜，遵照《中华人民共和国民法典》《中华人民共和国政府采购法》有关条文执行。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本合同正本一式陆份，具有同等法律效力，甲方、乙方各执叁份。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乙方：</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   月    日</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廉政责任书</w:t>
      </w:r>
      <w:r/>
    </w:p>
    <w:p>
      <w:pPr>
        <w:ind w:left="0" w:right="0" w:firstLine="0"/>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为进一步加强项目的廉政建设，特订立如下责任书。</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一、甲、乙双方的权利和义务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pacing w:val="-4"/>
          <w:sz w:val="28"/>
        </w:rPr>
        <w:t xml:space="preserve">．</w:t>
      </w:r>
      <w:r>
        <w:rPr>
          <w:rFonts w:ascii="SimSun" w:hAnsi="SimSun" w:eastAsia="SimSun" w:cs="SimSun"/>
          <w:color w:val="000000"/>
          <w:sz w:val="28"/>
        </w:rPr>
        <w:t xml:space="preserve">甲乙双方应严格遵守党的政策规定和国家有关法律法规。</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pacing w:val="-4"/>
          <w:sz w:val="28"/>
        </w:rPr>
        <w:t xml:space="preserve">．</w:t>
      </w:r>
      <w:r>
        <w:rPr>
          <w:rFonts w:ascii="SimSun" w:hAnsi="SimSun" w:eastAsia="SimSun" w:cs="SimSun"/>
          <w:color w:val="000000"/>
          <w:sz w:val="28"/>
        </w:rPr>
        <w:t xml:space="preserve">甲乙双方应严格执行项目的合同文件，自觉按合同办事。</w:t>
      </w:r>
      <w:r/>
    </w:p>
    <w:p>
      <w:pPr>
        <w:ind w:left="0" w:right="0" w:firstLine="54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rPr>
        <w:t xml:space="preserve">3．甲乙双方的业务活动应坚持公开、公平、公正、诚信、透明的原则</w:t>
      </w:r>
      <w:r>
        <w:rPr>
          <w:rFonts w:ascii="SimSun" w:hAnsi="SimSun" w:eastAsia="SimSun" w:cs="SimSun"/>
          <w:color w:val="000000"/>
          <w:sz w:val="28"/>
        </w:rPr>
        <w:t xml:space="preserve">。</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4．甲乙双方不得以任何理由向对方工作人员行贿或馈赠礼金、有价证券、贵重礼品。不得在对方报销任何应由个人支付的费用。</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5．甲乙双方不得以任何理由违反廉洁自律的有关规定。</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6．甲乙双方发现对方严重违反本协议条款的行为，有及时提醒对方、向其上级有关部门举报、建议给予处理并要求告知处理结果的权利和义务。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二、违约责任</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1．甲、乙双方及其工作人员违反本协议有关规定的，按管理权限，依据有关规定给予经济处罚或追究党纪政务责任；涉嫌犯罪的，移交司法机关追究刑事责任；给双方单位造成经济损失的，应予以赔偿。</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2．本协议一式三份，由甲、乙双方各执一份，送交甲方的监督单位一份。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甲方单位（盖章）：      乙方单位（盖章）：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法定代表人：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 月 日   日期：年 月 日</w:t>
      </w:r>
      <w:r/>
    </w:p>
    <w:p>
      <w:pPr>
        <w:ind w:left="-199" w:right="-39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监督单位（盖章）：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注：上述格式及内容仅供参考，具体以甲乙双方签订合同时内容为准。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第七章投标文件格式</w:t>
      </w:r>
      <w:r/>
    </w:p>
    <w:p>
      <w:pPr>
        <w:ind w:left="142" w:right="0" w:firstLine="0"/>
        <w:jc w:val="center"/>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42" w:right="0" w:firstLine="0"/>
        <w:jc w:val="center"/>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z w:val="24"/>
        </w:rPr>
        <w:t xml:space="preserve">投标人编制文件须知</w:t>
      </w:r>
      <w:r/>
    </w:p>
    <w:p>
      <w:pPr>
        <w:ind w:left="142" w:right="0" w:firstLine="0"/>
        <w:jc w:val="center"/>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2" w:right="0" w:firstLine="420"/>
        <w:jc w:val="both"/>
        <w:spacing w:before="0" w:after="0" w:line="113"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1.投标人编制中涉及格式资料的，应按照本部分提供的内容和格式（所有表格的格式可扩展）填写提交。</w:t>
      </w:r>
      <w:r/>
    </w:p>
    <w:p>
      <w:pPr>
        <w:ind w:left="142" w:right="0" w:firstLine="420"/>
        <w:jc w:val="both"/>
        <w:spacing w:before="0" w:after="0" w:line="113"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1"/>
        </w:rPr>
        <w:t xml:space="preserve">投标无效</w:t>
      </w:r>
      <w:r>
        <w:rPr>
          <w:rFonts w:ascii="SimSun" w:hAnsi="SimSun" w:eastAsia="SimSun" w:cs="SimSun"/>
          <w:color w:val="000000"/>
          <w:sz w:val="21"/>
        </w:rPr>
        <w:t xml:space="preserve">。未标记“实质性格式”的文件和招标文件未提供格式的内容，可由投标人自行编写。</w:t>
      </w:r>
      <w:r/>
    </w:p>
    <w:p>
      <w:pPr>
        <w:ind w:left="142" w:right="0" w:firstLine="420"/>
        <w:jc w:val="both"/>
        <w:spacing w:before="0" w:after="0" w:line="113"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3.全部声明和问题的回答及所附材料必须是真实的、准确的和完整的。</w:t>
      </w:r>
      <w:r/>
    </w:p>
    <w:p>
      <w:pPr>
        <w:ind w:left="142" w:right="0" w:firstLine="420"/>
        <w:jc w:val="both"/>
        <w:spacing w:before="0" w:after="0" w:line="113"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4.实行电子化不见面交易方式的，加盖公章、签名等均通过投标文件编制工具加盖电子公章、签字、签章或印鉴。</w:t>
      </w:r>
      <w:r/>
    </w:p>
    <w:p>
      <w:pPr>
        <w:ind w:left="142" w:right="0" w:firstLine="420"/>
        <w:jc w:val="both"/>
        <w:spacing w:before="0" w:after="0" w:line="113"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 标 文 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 目 名 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雕庄街道垃圾中转站管理服务项目</w:t>
            </w:r>
            <w:r/>
          </w:p>
        </w:tc>
      </w:tr>
      <w:tr>
        <w:trPr>
          <w:trHeight w:val="84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 目 编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JSZC-320402004-CZTH-G2026-0001               </w:t>
            </w:r>
            <w:r/>
          </w:p>
        </w:tc>
      </w:tr>
      <w:tr>
        <w:trPr>
          <w:trHeight w:val="9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   标  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tc>
      </w:tr>
      <w:tr>
        <w:trPr>
          <w:trHeight w:val="99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       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投标人资格声明函（实质性格式）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常州市天宁区雕庄街道办事处、常州天弘建设咨询有限公司</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按照《中华人民共和国政府采购法》第二十二条和招标文件的规定，我单位郑重声明如下：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一、我单位是按照中华人民共和国法律规定登记注册的，注册地点为</w:t>
      </w:r>
      <w:r>
        <w:rPr>
          <w:rFonts w:ascii="SimSun" w:hAnsi="SimSun" w:eastAsia="SimSun" w:cs="SimSun"/>
          <w:color w:val="000000"/>
          <w:sz w:val="21"/>
          <w:u w:val="single"/>
        </w:rPr>
        <w:t xml:space="preserve">         </w:t>
      </w:r>
      <w:r>
        <w:rPr>
          <w:rFonts w:ascii="SimSun" w:hAnsi="SimSun" w:eastAsia="SimSun" w:cs="SimSun"/>
          <w:color w:val="000000"/>
          <w:sz w:val="21"/>
        </w:rPr>
        <w:t xml:space="preserve">，全称为</w:t>
      </w:r>
      <w:r>
        <w:rPr>
          <w:rFonts w:ascii="SimSun" w:hAnsi="SimSun" w:eastAsia="SimSun" w:cs="SimSun"/>
          <w:color w:val="000000"/>
          <w:sz w:val="21"/>
          <w:u w:val="single"/>
        </w:rPr>
        <w:t xml:space="preserve">        </w:t>
      </w:r>
      <w:r>
        <w:rPr>
          <w:rFonts w:ascii="SimSun" w:hAnsi="SimSun" w:eastAsia="SimSun" w:cs="SimSun"/>
          <w:color w:val="000000"/>
          <w:sz w:val="21"/>
        </w:rPr>
        <w:t xml:space="preserve">，统一社会信用代码为 </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，法定代表人（单位负责人）为 </w:t>
      </w:r>
      <w:r>
        <w:rPr>
          <w:rFonts w:ascii="SimSun" w:hAnsi="SimSun" w:eastAsia="SimSun" w:cs="SimSun"/>
          <w:color w:val="000000"/>
          <w:sz w:val="21"/>
          <w:u w:val="single"/>
        </w:rPr>
        <w:t xml:space="preserve">       </w:t>
      </w:r>
      <w:r>
        <w:rPr>
          <w:rFonts w:ascii="SimSun" w:hAnsi="SimSun" w:eastAsia="SimSun" w:cs="SimSun"/>
          <w:color w:val="000000"/>
          <w:sz w:val="21"/>
        </w:rPr>
        <w:t xml:space="preserve"> ，具有独立承担民事责任的能力</w:t>
      </w:r>
      <w:r>
        <w:rPr>
          <w:rFonts w:ascii="SimSun" w:hAnsi="SimSun" w:eastAsia="SimSun" w:cs="SimSun"/>
          <w:b/>
          <w:color w:val="000000"/>
          <w:sz w:val="21"/>
        </w:rPr>
        <w:t xml:space="preserve">（如属于分公司经总公司授权参与项目，由总公司承担民事责任的，需提供总公司项目授权书）</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二、我单位具有良好的商业信誉（指投标人经营状况良好，无本资格声明第九条情形）和健全的财务会计制度。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三、我单位依法进行纳税和社会保险申报并实际履行了义务。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六、我单位具备法律、行政法规规定的其他条件。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七、与我单位存在“单位负责人为同一人或者存在直接控股、管理关系”的其他单位信息如下（如无此情形的，填写“无”）：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1、与我单位的法定代表人（单位负责人）为同一人的其他单位如下：</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2、我单位直接控股的其他单位如下：</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3、与我单位存在管理关系的其他单位如下：</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八、我单位不属于为本项目提供整体深化设计、规范编制或者项目管理、监理、检测等服务的投标人。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九、我单位无以下不良信用记录情形：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1.在“信用中国”、“中国政府采购网”网站（www.ccgp.gov.cn）网站被列入失信被执行人和重大税收违法案件当事人名单；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2.在“中国政府采购网”网站被列入政府采购严重违法失信行为记录名单；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3.不符合《政府采购法》第二十二条规定的条件。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我单位保证上述声明的事项都是真实的，如有虚假，我单位愿意承担相应的法律责任，并承担因此所造成的一切损失。</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法定代表人（或单位负责人）签字或盖章：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说明：投标人承诺不实的，依据《政府采购法》第七十七条“提供虚假材料谋取中标、成交的”有关规定予以处理。</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rPr>
          <w:rFonts w:ascii="SimSun" w:hAnsi="SimSun" w:eastAsia="SimSun" w:cs="SimSun"/>
          <w:b/>
          <w:color w:val="000000"/>
          <w:sz w:val="21"/>
        </w:rPr>
        <w:t xml:space="preserve">（实质性格式）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营业执照</w:t>
      </w:r>
      <w:r>
        <w:rPr>
          <w:rFonts w:ascii="SimSun" w:hAnsi="SimSun" w:eastAsia="SimSun" w:cs="SimSun"/>
          <w:b/>
          <w:color w:val="000000"/>
          <w:sz w:val="24"/>
        </w:rPr>
        <w:t xml:space="preserve">（实质性格式）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2-2中小企业声明函</w:t>
      </w:r>
      <w:r>
        <w:rPr>
          <w:rFonts w:ascii="SimSun" w:hAnsi="SimSun" w:eastAsia="SimSun" w:cs="SimSun"/>
          <w:b/>
          <w:color w:val="000000"/>
          <w:sz w:val="24"/>
        </w:rPr>
        <w:t xml:space="preserve">（实质性格式）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中小企业声明函（本项目专门面向中小企业采购，中小企业声明函作为资格审查要求）</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3）对于多标的的采购项目，投标人应充分、准确地了解所投产品制造企业信息。对相关情况了解不清楚的，不建议填报本声明函。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4）中小企业认定标准以《关于印发中小企业划型标准规定的通知》（工信部联企业〔2011〕300号）文件规定为准。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4" w:tooltip="http://202.106.120.146/baosong/appweb/orgScale.html" w:history="1">
        <w:r>
          <w:rPr>
            <w:rStyle w:val="1008"/>
            <w:rFonts w:ascii="SimSun" w:hAnsi="SimSun" w:eastAsia="SimSun" w:cs="SimSun"/>
            <w:color w:val="0000ee"/>
            <w:sz w:val="21"/>
            <w:u w:val="single"/>
          </w:rPr>
          <w:t xml:space="preserve">http://202.106.120.146/baosong/appweb/orgScale.html</w:t>
        </w:r>
      </w:hyperlink>
      <w:r>
        <w:rPr>
          <w:rFonts w:ascii="SimSun" w:hAnsi="SimSun" w:eastAsia="SimSun" w:cs="SimSun"/>
          <w:color w:val="000000"/>
          <w:sz w:val="21"/>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在货物采购项目中，投标人提供的货物既有中型企业制造货物，也有小微企业制造货物的，不享受小微企业扶持政策，不予价格扣除。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7）小微企业未提供声明函的，价格分评审将不予价格扣除。</w:t>
      </w:r>
      <w:r/>
    </w:p>
    <w:p>
      <w:pPr>
        <w:ind w:left="0" w:right="0" w:firstLine="422"/>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left="0" w:right="0" w:firstLine="422"/>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中小企业声明函（服务类、工程类）</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本公司（联合体）郑重声明，根据《政府采购促进中小企业发展管理办法》(财库[2020]46号)的规定，本公司（联合体）参加常州市政府采购中心组织的</w:t>
      </w:r>
      <w:r>
        <w:rPr>
          <w:rFonts w:ascii="SimSun" w:hAnsi="SimSun" w:eastAsia="SimSun" w:cs="SimSun"/>
          <w:color w:val="000000"/>
          <w:sz w:val="24"/>
          <w:u w:val="single"/>
        </w:rPr>
        <w:t xml:space="preserve">（采购单位名称①）</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②</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（项目名称③）（分包号：④）</w:t>
      </w:r>
      <w:r>
        <w:rPr>
          <w:rFonts w:ascii="SimSun" w:hAnsi="SimSun" w:eastAsia="SimSun" w:cs="SimSun"/>
          <w:color w:val="000000"/>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（标的名称⑤）</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（采购文件中明确的所属行业⑥）</w:t>
      </w:r>
      <w:r>
        <w:rPr>
          <w:rFonts w:ascii="SimSun" w:hAnsi="SimSun" w:eastAsia="SimSun" w:cs="SimSun"/>
          <w:color w:val="000000"/>
          <w:sz w:val="24"/>
        </w:rPr>
        <w:t xml:space="preserve">行业；承接（承建）企业为</w:t>
      </w:r>
      <w:r>
        <w:rPr>
          <w:rFonts w:ascii="SimSun" w:hAnsi="SimSun" w:eastAsia="SimSun" w:cs="SimSun"/>
          <w:color w:val="000000"/>
          <w:sz w:val="24"/>
          <w:u w:val="single"/>
        </w:rPr>
        <w:t xml:space="preserve">（企业名称⑦）</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⑧</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⑨</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⑩</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（中型企业、小型企业、微型企业⑪）；</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企业名称（加盖CA电子公章）⑫：</w:t>
      </w:r>
      <w:r/>
    </w:p>
    <w:p>
      <w:pPr>
        <w:ind w:left="0" w:right="480" w:firstLine="540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1.（采购单位名称①）：填写本项目采购人单位名称，如常州市XXX局。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2.采购编号为②：填写本项目编号，如JSZC-3204XX-JZCG-G20XX-XX。</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3.（项目名称③）：填写本项目名称，如常州市XXX项目。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4.（分包号：④）：填写分包编号，如有分包的，分别填写分包号，没有的填“无”。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5.（标的名称⑤）：填写本项目标的名称，如有产品清单的请根据采购文件“第五章采购需求”-“2. 服务内容及要求/货物技术要求”-“2.2产品清单”中列出的名称进行填写，如：物业服务、保安服务、审计服务等；如没有产品清单的可以填项目名称。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6.（采购文件中明确的所属行业⑥）：填写本项目采购标的所属行业。须根据采购文件“第五章采购需求”表格中列明的所属行业进行填写。如：软件和信息技术服务业、租赁和商务服务业等。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7.（企业名称⑦）：填写</w:t>
      </w:r>
      <w:r>
        <w:rPr>
          <w:rFonts w:ascii="SimSun" w:hAnsi="SimSun" w:eastAsia="SimSun" w:cs="SimSun"/>
          <w:b/>
          <w:color w:val="000000"/>
          <w:sz w:val="21"/>
        </w:rPr>
        <w:t xml:space="preserve">投标人或投标人的名称</w:t>
      </w:r>
      <w:r>
        <w:rPr>
          <w:rFonts w:ascii="SimSun" w:hAnsi="SimSun" w:eastAsia="SimSun" w:cs="SimSun"/>
          <w:color w:val="000000"/>
          <w:sz w:val="21"/>
        </w:rPr>
        <w:t xml:space="preserve">，如XXX公司。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8.从业人员⑧人，营业收入为⑨万元，资产总额为⑩万元：填报</w:t>
      </w:r>
      <w:r>
        <w:rPr>
          <w:rFonts w:ascii="SimSun" w:hAnsi="SimSun" w:eastAsia="SimSun" w:cs="SimSun"/>
          <w:b/>
          <w:color w:val="000000"/>
          <w:sz w:val="21"/>
        </w:rPr>
        <w:t xml:space="preserve">投标人或投标人</w:t>
      </w:r>
      <w:r>
        <w:rPr>
          <w:rFonts w:ascii="SimSun" w:hAnsi="SimSun" w:eastAsia="SimSun" w:cs="SimSun"/>
          <w:color w:val="000000"/>
          <w:sz w:val="21"/>
        </w:rPr>
        <w:t xml:space="preserve">的从业人员、营业收入、资产总额上一年度数据，无上一年度数据的新成立企业可不填报。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9.（中型企业、小型企业、微型企业</w:t>
      </w:r>
      <w:r>
        <w:rPr>
          <w:rFonts w:ascii="SimSun" w:hAnsi="SimSun" w:eastAsia="SimSun" w:cs="SimSun"/>
          <w:color w:val="000000"/>
          <w:sz w:val="21"/>
          <w:u w:val="single"/>
        </w:rPr>
        <w:t xml:space="preserve">⑪</w:t>
      </w:r>
      <w:r>
        <w:rPr>
          <w:rFonts w:ascii="SimSun" w:hAnsi="SimSun" w:eastAsia="SimSun" w:cs="SimSun"/>
          <w:color w:val="000000"/>
          <w:sz w:val="21"/>
        </w:rPr>
        <w:t xml:space="preserve">）：根据</w:t>
      </w:r>
      <w:r>
        <w:rPr>
          <w:rFonts w:ascii="SimSun" w:hAnsi="SimSun" w:eastAsia="SimSun" w:cs="SimSun"/>
          <w:b/>
          <w:color w:val="000000"/>
          <w:sz w:val="21"/>
        </w:rPr>
        <w:t xml:space="preserve">投标人或投标人</w:t>
      </w:r>
      <w:r>
        <w:rPr>
          <w:rFonts w:ascii="SimSun" w:hAnsi="SimSun" w:eastAsia="SimSun" w:cs="SimSun"/>
          <w:color w:val="000000"/>
          <w:sz w:val="21"/>
        </w:rPr>
        <w:t xml:space="preserve">的企业规模情况填写中型企业、小型企业或微型企业</w:t>
      </w:r>
      <w:r>
        <w:rPr>
          <w:rFonts w:ascii="SimSun" w:hAnsi="SimSun" w:eastAsia="SimSun" w:cs="SimSun"/>
          <w:b/>
          <w:color w:val="000000"/>
          <w:sz w:val="21"/>
        </w:rPr>
        <w:t xml:space="preserve">（只能填写三种其中的一种）</w:t>
      </w:r>
      <w:r>
        <w:rPr>
          <w:rFonts w:ascii="SimSun" w:hAnsi="SimSun" w:eastAsia="SimSun" w:cs="SimSun"/>
          <w:color w:val="000000"/>
          <w:sz w:val="21"/>
        </w:rPr>
        <w:t xml:space="preserve">。中小企业划分见《关于印发中小企业划型标准规定的通知》（工信部联企业〔2011〕300号)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10.企业名称（盖章）⑫：加盖</w:t>
      </w:r>
      <w:r>
        <w:rPr>
          <w:rFonts w:ascii="SimSun" w:hAnsi="SimSun" w:eastAsia="SimSun" w:cs="SimSun"/>
          <w:b/>
          <w:color w:val="000000"/>
          <w:sz w:val="21"/>
        </w:rPr>
        <w:t xml:space="preserve">投标人或投标人</w:t>
      </w:r>
      <w:r>
        <w:rPr>
          <w:rFonts w:ascii="SimSun" w:hAnsi="SimSun" w:eastAsia="SimSun" w:cs="SimSun"/>
          <w:color w:val="000000"/>
          <w:sz w:val="21"/>
        </w:rPr>
        <w:t xml:space="preserve">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11.如是</w:t>
      </w:r>
      <w:r>
        <w:rPr>
          <w:rFonts w:ascii="SimSun" w:hAnsi="SimSun" w:eastAsia="SimSun" w:cs="SimSun"/>
          <w:b/>
          <w:color w:val="000000"/>
          <w:sz w:val="21"/>
        </w:rPr>
        <w:t xml:space="preserve">专门面向中小企业预留份额</w:t>
      </w:r>
      <w:r>
        <w:rPr>
          <w:rFonts w:ascii="SimSun" w:hAnsi="SimSun" w:eastAsia="SimSun" w:cs="SimSun"/>
          <w:color w:val="000000"/>
          <w:sz w:val="21"/>
        </w:rPr>
        <w:t xml:space="preserve">的采购项目，投标人未提供此声明函的，资格审查不予通过，作为</w:t>
      </w:r>
      <w:r>
        <w:rPr>
          <w:rFonts w:ascii="SimSun" w:hAnsi="SimSun" w:eastAsia="SimSun" w:cs="SimSun"/>
          <w:b/>
          <w:color w:val="000000"/>
          <w:sz w:val="21"/>
        </w:rPr>
        <w:t xml:space="preserve">无效投标（响应）</w:t>
      </w:r>
      <w:r>
        <w:rPr>
          <w:rFonts w:ascii="SimSun" w:hAnsi="SimSun" w:eastAsia="SimSun" w:cs="SimSun"/>
          <w:color w:val="000000"/>
          <w:sz w:val="21"/>
        </w:rPr>
        <w:t xml:space="preserve">。如是非专门面向中小企业预留份额的采购项目，投标人未提供此声明函的，评审时不享受小微型企业价格扣除政策。此声明函将随中标成交结果同时公告，接受社会监督。投标人应当自行核实是否属于中小微企业，并认真填写声明函，若有虚假将追究其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12.温馨提示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（1）对于已纳入统计部门统计范围的企业，所属行业、从业人员、营业收入、资产总额、规模类型应与统计部门报表保持一致。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提供第三方（如制造商）书面声明、检测报告等资料作为投标文件组成部分的，投标人应保证投标所提供第三方资料内容真实、完整、准确。如相关第三方书面声明、相关检测报告等资料虚假，监管部门有权根据调查情形认定其是否属于提供虚假材料谋取中标，并严肃处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声明函》真实性由其出具的投标人负责。《中小企业声明函》中相关企业[制造商、承建（承接）企业]所属行业应当与采购标的的所属行业相一致。《中小企业声明函》应当充分、准确反映投标人的信息。</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（6）经调查发现投标人提供《中小企业声明函》内容与实际不符的，政府采购监管部门有权根据《中小企业声明函》与实际情况的差异视情形认定其是否属于虚假材料谋取中标。</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（7）根据《财政部关于规范政府采购行政处罚有关问题的通知》（财库〔2015〕150 号）规定，各级人民政府财政部门依法对投标人作出的禁止参加政府采购活动的行政处罚决定在全国范围内生效。</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2-3其它落实政府采购政策的资格要求（（实质性格式）如有）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rPr>
          <w:rFonts w:ascii="SimSun" w:hAnsi="SimSun" w:eastAsia="SimSun" w:cs="SimSun"/>
          <w:b/>
          <w:color w:val="000000"/>
          <w:sz w:val="21"/>
        </w:rPr>
        <w:t xml:space="preserve">（实质性格式）</w:t>
      </w:r>
      <w:r>
        <w:rPr>
          <w:rFonts w:ascii="SimSun" w:hAnsi="SimSun" w:eastAsia="SimSun" w:cs="SimSun"/>
          <w:color w:val="000000"/>
          <w:sz w:val="24"/>
        </w:rPr>
        <w:t xml:space="preserve">如有）</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详见第一章投标邀请</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常州市天宁区雕庄街道办事处、常州天弘建设咨询有限公司</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SimSun" w:hAnsi="SimSun" w:eastAsia="SimSun" w:cs="SimSun"/>
          <w:b/>
          <w:color w:val="000000"/>
          <w:sz w:val="24"/>
          <w:u w:val="single"/>
        </w:rPr>
        <w:t xml:space="preserve">雕庄街道垃圾中转站管理服务项目 JSZC-320402004-CZTH-G2026-0001</w:t>
      </w:r>
      <w:r>
        <w:rPr>
          <w:rFonts w:ascii="SimSun" w:hAnsi="SimSun" w:eastAsia="SimSun" w:cs="SimSun"/>
          <w:color w:val="000000"/>
          <w:sz w:val="24"/>
        </w:rPr>
        <w:t xml:space="preserve">组织的招标活动，并对此项目进行投标。</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我方已详细审查全部招标文件，自愿参与投标并承诺如下：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（1）本投标有效期为自提交投标文件的截止之日起90个日历天。</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（2）除合同条款及采购需求偏离表列出的偏离外，我方响应招标文件的全部要求。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（4）如我方中标，我方将在法律规定的期限内与你方签订合同，按照招标文件要求提交履约保证金，并在合同约定的期限内完成合同规定的全部义务。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电子邮箱________________________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b/>
          <w:color w:val="000000"/>
          <w:sz w:val="24"/>
          <w:u w:val="single"/>
        </w:rPr>
        <w:t xml:space="preserve">雕庄街道垃圾中转站管理服务项目 JSZC-320402004-CZTH-G2026-0001</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spacing w:before="24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）有效期内的身份证正反面扫描件加盖公章。</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授权委托书（实质性格式）</w:t>
      </w:r>
      <w:r/>
    </w:p>
    <w:p>
      <w:pPr>
        <w:ind w:left="0" w:right="0" w:firstLine="56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法定代表人（或非法人组织负责人）姓名：</w:t>
      </w:r>
      <w:r>
        <w:rPr>
          <w:rFonts w:ascii="SimSun" w:hAnsi="SimSun" w:eastAsia="SimSun" w:cs="SimSun"/>
          <w:color w:val="000000"/>
          <w:sz w:val="24"/>
          <w:u w:val="single"/>
        </w:rPr>
        <w:t xml:space="preserve">        </w:t>
      </w:r>
      <w:r>
        <w:rPr>
          <w:rFonts w:ascii="SimSun" w:hAnsi="SimSun" w:eastAsia="SimSun" w:cs="SimSun"/>
          <w:color w:val="000000"/>
          <w:sz w:val="24"/>
        </w:rPr>
        <w:t xml:space="preserve"> 身份证号码：</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身份证号码：</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工作单位：</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住址：</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现委托</w:t>
      </w:r>
      <w:r>
        <w:rPr>
          <w:rFonts w:ascii="SimSun" w:hAnsi="SimSun" w:eastAsia="SimSun" w:cs="SimSun"/>
          <w:color w:val="000000"/>
          <w:sz w:val="24"/>
          <w:u w:val="single"/>
        </w:rPr>
        <w:t xml:space="preserve">           </w:t>
      </w:r>
      <w:r>
        <w:rPr>
          <w:rFonts w:ascii="SimSun" w:hAnsi="SimSun" w:eastAsia="SimSun" w:cs="SimSun"/>
          <w:color w:val="000000"/>
          <w:sz w:val="24"/>
        </w:rPr>
        <w:t xml:space="preserve">就</w:t>
      </w:r>
      <w:r>
        <w:rPr>
          <w:rFonts w:ascii="SimSun" w:hAnsi="SimSun" w:eastAsia="SimSun" w:cs="SimSun"/>
          <w:b/>
          <w:color w:val="000000"/>
          <w:sz w:val="24"/>
          <w:u w:val="single"/>
        </w:rPr>
        <w:t xml:space="preserve">雕庄街道垃圾中转站管理服务项目 JSZC-320402004-CZTH-G2026-0001</w:t>
      </w:r>
      <w:r>
        <w:rPr>
          <w:rFonts w:ascii="SimSun" w:hAnsi="SimSun" w:eastAsia="SimSun" w:cs="SimSun"/>
          <w:color w:val="000000"/>
          <w:sz w:val="24"/>
        </w:rPr>
        <w:t xml:space="preserve">采购活动，以我单位名义处理一切与之有关的事务。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日签字或盖章</w:t>
      </w:r>
      <w:r>
        <w:rPr>
          <w:rFonts w:ascii="SimSun" w:hAnsi="SimSun" w:eastAsia="SimSun" w:cs="SimSun"/>
          <w:b/>
          <w:color w:val="000000"/>
          <w:sz w:val="24"/>
        </w:rPr>
        <w:t xml:space="preserve">生效，无转委托，</w:t>
      </w:r>
      <w:r>
        <w:rPr>
          <w:rFonts w:ascii="SimSun" w:hAnsi="SimSun" w:eastAsia="SimSun" w:cs="SimSun"/>
          <w:color w:val="000000"/>
          <w:sz w:val="24"/>
        </w:rPr>
        <w:t xml:space="preserve">特此声明。</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8"/>
      </w:tblGrid>
      <w:tr>
        <w:trPr>
          <w:trHeight w:val="3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（授权委托人身份证正、反面扫描件）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委托人（加盖单位公章）：</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法定代表人（或非法人组织负责人）（签字或盖章）：</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授权委托人：（签字或盖章）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详细通讯地址：</w:t>
      </w:r>
      <w:r>
        <w:rPr>
          <w:rFonts w:ascii="SimSun" w:hAnsi="SimSun" w:eastAsia="SimSun" w:cs="SimSun"/>
          <w:color w:val="000000"/>
          <w:sz w:val="24"/>
          <w:u w:val="single"/>
        </w:rPr>
        <w:t xml:space="preserve">                </w:t>
      </w:r>
      <w:r>
        <w:rPr>
          <w:rFonts w:ascii="SimSun" w:hAnsi="SimSun" w:eastAsia="SimSun" w:cs="SimSun"/>
          <w:color w:val="000000"/>
          <w:sz w:val="24"/>
        </w:rPr>
        <w:t xml:space="preserve">      邮政编码 ：</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为维护公开、公平、公正的政府采购市场秩序，树立诚实守信的投标人形象，本单位在参与政府采购活动中,自愿作出以下承诺：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七、承诺本单位在信用中国、“中国政府采购网”网站（www.ccgp.gov.cn）网站中无违法违规、较重或严重失信记录。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0" w:firstLine="48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投标人</w:t>
      </w:r>
      <w:r>
        <w:rPr>
          <w:rFonts w:ascii="SimSun" w:hAnsi="SimSun" w:eastAsia="SimSun" w:cs="SimSun"/>
          <w:color w:val="000000"/>
          <w:sz w:val="24"/>
        </w:rPr>
        <w:t xml:space="preserve">：（加盖公章）</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48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项目编号/包号：JSZC-320402004-CZTH-G2026-0001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项目名称：雕庄街道垃圾中转站管理服务项目</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5"/>
        <w:gridCol w:w="3368"/>
        <w:gridCol w:w="2054"/>
        <w:gridCol w:w="2426"/>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vMerge w:val="restart"/>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vMerge w:val="restart"/>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项目内容</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投标总价（元/年）</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26"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26"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23"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23"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1"/>
        </w:rPr>
        <w:t xml:space="preserve">投标报价不得高于最高限价，否则将作为无效投标。</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w:t>
      </w:r>
      <w:r>
        <w:rPr>
          <w:rFonts w:ascii="SimSun" w:hAnsi="SimSun" w:eastAsia="SimSun" w:cs="SimSun"/>
          <w:color w:val="000000"/>
          <w:sz w:val="24"/>
          <w:u w:val="none"/>
        </w:rPr>
        <w:t xml:space="preserve">（实质性格式）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w:t>
      </w:r>
      <w:r>
        <w:rPr>
          <w:rFonts w:ascii="SimSun" w:hAnsi="SimSun" w:eastAsia="SimSun" w:cs="SimSun"/>
          <w:b/>
          <w:color w:val="000000"/>
          <w:sz w:val="24"/>
          <w:u w:val="single"/>
        </w:rPr>
        <w:t xml:space="preserve">JSZC-320402004-CZTH-G2026-00011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雕庄街道垃圾中转站管理服务项目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详见第五章采购需求-服务清单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报价应包括招标文件所确定的招标范围相应服务的提供、人员（包括工资和补贴）、驾驶员意外险、办公场所及设施、保险、劳保、管理、车辆油费、设备折旧费、机械维修费用、消毒品和生产工具费用、水电费用及各种补贴、工具、耗材、车辆设备维修保养、各种税费、利润、税金、招标代理费、编标费、政策性文件规定及合同包含的所有风险、责任等各项应有费用，以及为完成该项服务项目所涉及到的一切相关费用，采购人不再支付其他任何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应严格遵守《劳动法》《劳动合同法》《中华人民共和国社会保险法》等现行国家、地方法律法规及规章、制度，确保合法规范用工。人员费用应包含基本工资、社保、高温费、加班费等法定内容，标准不得低于常州市最低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3.投标人认为《分项报价表》未列全的费用，可在第七项中自行添加；其余表式均为实质性要求，不得更改；所有计算结果应精确到个位(元)。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4.投标报价不得高于最高限价，否则作无效标处理。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法定代表人（或单位负责人）签字或盖章：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w:t>
      </w:r>
      <w:r>
        <w:rPr>
          <w:rFonts w:ascii="SimSun" w:hAnsi="SimSun" w:eastAsia="SimSun" w:cs="SimSun"/>
          <w:b/>
          <w:color w:val="000000"/>
          <w:sz w:val="24"/>
          <w:u w:val="single"/>
        </w:rPr>
        <w:t xml:space="preserve">JSZC-320402004-CZTH-G2026-0001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雕庄街道垃圾中转站管理服务项目 </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对合同条款中的所有要求，除本表所列明的所有偏离外，均视作投标人已对之理解和响应。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“偏离情况”列应据实填写“正偏离”或“负偏离”或“无偏离”。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采购需求偏离表（实质性格式）</w:t>
      </w:r>
      <w:r/>
    </w:p>
    <w:p>
      <w:pPr>
        <w:ind w:left="0" w:right="0" w:firstLine="361"/>
        <w:jc w:val="center"/>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项目编号/包号：JSZC-320402004-CZTH-G2026-0001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雕庄街道垃圾中转站管理服务项目 </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对招标文件中的所有商务、技术要求，除本表所列明的所有偏离外，均视作投标人已对之理解和响应。此表中若无任何文字说明，内容为空白，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正偏离”或“负偏离”或“无偏离”，实质性响应条款负偏离的将作为无效投标处理。其他条款的负偏离根据投标人说明的理由经评标委员会评审后确定是否符合本项目要求，不符合的将作无效投标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项目实施方案等，包括但不限于如下方面以及本招标文件要求的方案文件：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1）生产组织方案；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2）质量保证方案；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3）生产进度保证方案；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4）安装调试及成品保护方案；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5）售后服务方案；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项目编号/包号：JSZC-320402004-CZTH-G2026-0001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雕庄街道垃圾中转站管理服务项目</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毕业学校和学历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专业培训及证书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★注：明确一名项目负责人且须是投标人正式职工，提供社保机构出具的投标人为持证员工缴纳的近三个月（2026年4月-2026年6月）社保缴费证明（加盖社保部门签章或电子签章）。材料复印件加盖投标人公章。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项目编号/包号：JSZC-320402004-CZTH-G2026-0001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雕庄街道垃圾中转站管理服务项目 </w:t>
      </w:r>
      <w:r>
        <w:rPr>
          <w:rFonts w:ascii="SimSun" w:hAnsi="SimSun" w:eastAsia="SimSun" w:cs="SimSun"/>
          <w:color w:val="000000"/>
          <w:sz w:val="24"/>
          <w:u w:val="single"/>
        </w:rPr>
        <w:t xml:space="preserve">                 </w:t>
      </w:r>
      <w:r/>
    </w:p>
    <w:tbl>
      <w:tblPr>
        <w:tblStyle w:val="9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1"/>
        <w:gridCol w:w="866"/>
        <w:gridCol w:w="728"/>
        <w:gridCol w:w="1233"/>
        <w:gridCol w:w="821"/>
        <w:gridCol w:w="458"/>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招标文件要求提供或投标人认为应附的其他材料</w:t>
      </w:r>
      <w:r/>
    </w:p>
    <w:p>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egoe UI">
    <w:panose1 w:val="020B0502040204020203"/>
  </w:font>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2"/>
                          </w:pPr>
                          <w:r/>
                          <w:r/>
                        </w:p>
                        <w:p>
                          <w:pPr>
                            <w:pStyle w:val="96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2"/>
                    </w:pPr>
                    <w:r/>
                    <w:r/>
                  </w:p>
                  <w:p>
                    <w:pPr>
                      <w:pStyle w:val="96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enter" w:pos="4153" w:leader="none"/>
        <w:tab w:val="right" w:pos="8306" w:leader="none"/>
      </w:tabs>
      <w:rPr>
        <w:rStyle w:val="1217"/>
      </w:rPr>
      <w:framePr w:wrap="around" w:vAnchor="text" w:hAnchor="margin" w:xAlign="right" w:y="1"/>
    </w:pPr>
    <w:r>
      <w:rPr>
        <w:rStyle w:val="1217"/>
      </w:rPr>
      <w:fldChar w:fldCharType="begin"/>
    </w:r>
    <w:r>
      <w:rPr>
        <w:rStyle w:val="1217"/>
      </w:rPr>
      <w:instrText xml:space="preserve">PAGE  </w:instrText>
    </w:r>
    <w:r>
      <w:rPr>
        <w:rStyle w:val="1217"/>
      </w:rPr>
      <w:fldChar w:fldCharType="end"/>
    </w:r>
    <w:r>
      <w:rPr>
        <w:rStyle w:val="1217"/>
      </w:rPr>
    </w:r>
    <w:r/>
  </w:p>
  <w:p>
    <w:pPr>
      <w:pStyle w:val="1192"/>
      <w:ind w:right="360"/>
      <w:tabs>
        <w:tab w:val="center" w:pos="4153" w:leader="none"/>
        <w:tab w:val="right" w:pos="8306" w:leader="none"/>
      </w:tabs>
    </w:pPr>
    <w:r/>
    <w:r/>
  </w:p>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left"/>
      <w:tabs>
        <w:tab w:val="center" w:pos="4153" w:leader="none"/>
        <w:tab w:val="right" w:pos="8306" w:leader="none"/>
      </w:tabs>
      <w:rPr>
        <w:sz w:val="21"/>
        <w:szCs w:val="21"/>
      </w:rPr>
    </w:pPr>
    <w:r>
      <w:t xml:space="preserve">                                    </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w:r/>
  </w:p>
  <w:p>
    <w:pPr>
      <w:pStyle w:val="96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2"/>
        <w:ind w:left="900" w:hanging="900"/>
        <w:tabs>
          <w:tab w:val="num" w:pos="900" w:leader="none"/>
        </w:tabs>
      </w:pPr>
      <w:rPr>
        <w:rFonts w:hint="eastAsia"/>
      </w:rPr>
    </w:lvl>
    <w:lvl w:ilvl="1">
      <w:start w:val="1"/>
      <w:numFmt w:val="decimal"/>
      <w:isLgl w:val="false"/>
      <w:suff w:val="tab"/>
      <w:lvlText w:val="%1.%2"/>
      <w:lvlJc w:val="left"/>
      <w:pPr>
        <w:pStyle w:val="96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62"/>
        <w:ind w:left="1980" w:hanging="900"/>
        <w:tabs>
          <w:tab w:val="num" w:pos="1980" w:leader="none"/>
        </w:tabs>
      </w:pPr>
      <w:rPr>
        <w:rFonts w:hint="eastAsia"/>
      </w:rPr>
    </w:lvl>
    <w:lvl w:ilvl="3">
      <w:start w:val="1"/>
      <w:numFmt w:val="decimal"/>
      <w:isLgl w:val="false"/>
      <w:suff w:val="tab"/>
      <w:lvlText w:val="%1.%2.%3.%4"/>
      <w:lvlJc w:val="left"/>
      <w:pPr>
        <w:pStyle w:val="962"/>
        <w:ind w:left="900" w:hanging="900"/>
        <w:tabs>
          <w:tab w:val="num" w:pos="900" w:leader="none"/>
        </w:tabs>
      </w:pPr>
      <w:rPr>
        <w:rFonts w:hint="eastAsia"/>
      </w:rPr>
    </w:lvl>
    <w:lvl w:ilvl="4">
      <w:start w:val="1"/>
      <w:numFmt w:val="decimal"/>
      <w:isLgl w:val="false"/>
      <w:suff w:val="tab"/>
      <w:lvlText w:val="%1.%2.%3.%4.%5"/>
      <w:lvlJc w:val="left"/>
      <w:pPr>
        <w:pStyle w:val="962"/>
        <w:ind w:left="900" w:hanging="900"/>
        <w:tabs>
          <w:tab w:val="num" w:pos="900" w:leader="none"/>
        </w:tabs>
      </w:pPr>
      <w:rPr>
        <w:rFonts w:hint="eastAsia"/>
      </w:rPr>
    </w:lvl>
    <w:lvl w:ilvl="5">
      <w:start w:val="1"/>
      <w:numFmt w:val="decimal"/>
      <w:isLgl w:val="false"/>
      <w:suff w:val="tab"/>
      <w:lvlText w:val="%1.%2.%3.%4.%5.%6"/>
      <w:lvlJc w:val="left"/>
      <w:pPr>
        <w:pStyle w:val="962"/>
        <w:ind w:left="900" w:hanging="900"/>
        <w:tabs>
          <w:tab w:val="num" w:pos="900" w:leader="none"/>
        </w:tabs>
      </w:pPr>
      <w:rPr>
        <w:rFonts w:hint="eastAsia"/>
      </w:rPr>
    </w:lvl>
    <w:lvl w:ilvl="6">
      <w:start w:val="1"/>
      <w:numFmt w:val="decimal"/>
      <w:isLgl w:val="false"/>
      <w:suff w:val="tab"/>
      <w:lvlText w:val="%1.%2.%3.%4.%5.%6.%7"/>
      <w:lvlJc w:val="left"/>
      <w:pPr>
        <w:pStyle w:val="962"/>
        <w:ind w:left="900" w:hanging="900"/>
        <w:tabs>
          <w:tab w:val="num" w:pos="900" w:leader="none"/>
        </w:tabs>
      </w:pPr>
      <w:rPr>
        <w:rFonts w:hint="eastAsia"/>
      </w:rPr>
    </w:lvl>
    <w:lvl w:ilvl="7">
      <w:start w:val="1"/>
      <w:numFmt w:val="decimal"/>
      <w:isLgl w:val="false"/>
      <w:suff w:val="tab"/>
      <w:lvlText w:val="%1.%2.%3.%4.%5.%6.%7.%8"/>
      <w:lvlJc w:val="left"/>
      <w:pPr>
        <w:pStyle w:val="962"/>
        <w:ind w:left="900" w:hanging="900"/>
        <w:tabs>
          <w:tab w:val="num" w:pos="900" w:leader="none"/>
        </w:tabs>
      </w:pPr>
      <w:rPr>
        <w:rFonts w:hint="eastAsia"/>
      </w:rPr>
    </w:lvl>
    <w:lvl w:ilvl="8">
      <w:start w:val="1"/>
      <w:numFmt w:val="decimal"/>
      <w:isLgl w:val="false"/>
      <w:suff w:val="tab"/>
      <w:lvlText w:val="%1.%2.%3.%4.%5.%6.%7.%8.%9"/>
      <w:lvlJc w:val="left"/>
      <w:pPr>
        <w:pStyle w:val="962"/>
        <w:ind w:left="900" w:hanging="900"/>
        <w:tabs>
          <w:tab w:val="num" w:pos="900" w:leader="none"/>
        </w:tabs>
      </w:pPr>
      <w:rPr>
        <w:rFonts w:hint="eastAsia"/>
      </w:rPr>
    </w:lvl>
  </w:abstractNum>
  <w:abstractNum w:abstractNumId="1">
    <w:multiLevelType w:val="hybridMultilevel"/>
    <w:lvl w:ilvl="0">
      <w:start w:val="1"/>
      <w:numFmt w:val="decimal"/>
      <w:pStyle w:val="1306"/>
      <w:isLgl w:val="false"/>
      <w:suff w:val="tab"/>
      <w:lvlText w:val="%1."/>
      <w:lvlJc w:val="left"/>
      <w:pPr>
        <w:pStyle w:val="962"/>
        <w:ind w:left="360" w:hanging="360"/>
        <w:tabs>
          <w:tab w:val="num" w:pos="360" w:leader="none"/>
        </w:tabs>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962"/>
        <w:ind w:left="768" w:hanging="360"/>
        <w:tabs>
          <w:tab w:val="num" w:pos="768" w:leader="none"/>
        </w:tabs>
      </w:pPr>
      <w:rPr>
        <w:rFonts w:hint="eastAsia"/>
      </w:rPr>
    </w:lvl>
    <w:lvl w:ilvl="1">
      <w:start w:val="1"/>
      <w:numFmt w:val="decimal"/>
      <w:pStyle w:val="1293"/>
      <w:isLgl w:val="false"/>
      <w:suff w:val="tab"/>
      <w:lvlText w:val="%2、"/>
      <w:lvlJc w:val="left"/>
      <w:pPr>
        <w:pStyle w:val="962"/>
        <w:ind w:left="1188" w:hanging="360"/>
        <w:tabs>
          <w:tab w:val="num" w:pos="1188" w:leader="none"/>
        </w:tabs>
      </w:pPr>
      <w:rPr>
        <w:rFonts w:hint="eastAsia"/>
      </w:rPr>
    </w:lvl>
    <w:lvl w:ilvl="2">
      <w:start w:val="1"/>
      <w:numFmt w:val="decimal"/>
      <w:isLgl w:val="false"/>
      <w:suff w:val="tab"/>
      <w:lvlText w:val="（%3）"/>
      <w:lvlJc w:val="left"/>
      <w:pPr>
        <w:pStyle w:val="962"/>
        <w:ind w:left="1968" w:hanging="720"/>
        <w:tabs>
          <w:tab w:val="num" w:pos="1968" w:leader="none"/>
        </w:tabs>
      </w:pPr>
      <w:rPr>
        <w:rFonts w:hint="eastAsia"/>
        <w:u w:val="none"/>
      </w:rPr>
    </w:lvl>
    <w:lvl w:ilvl="3">
      <w:start w:val="1"/>
      <w:numFmt w:val="decimal"/>
      <w:isLgl w:val="false"/>
      <w:suff w:val="tab"/>
      <w:lvlText w:val="%4."/>
      <w:lvlJc w:val="left"/>
      <w:pPr>
        <w:pStyle w:val="962"/>
        <w:ind w:left="2088" w:hanging="420"/>
        <w:tabs>
          <w:tab w:val="num" w:pos="2088" w:leader="none"/>
        </w:tabs>
      </w:pPr>
    </w:lvl>
    <w:lvl w:ilvl="4">
      <w:start w:val="1"/>
      <w:numFmt w:val="lowerLetter"/>
      <w:isLgl w:val="false"/>
      <w:suff w:val="tab"/>
      <w:lvlText w:val="%5)"/>
      <w:lvlJc w:val="left"/>
      <w:pPr>
        <w:pStyle w:val="962"/>
        <w:ind w:left="2508" w:hanging="420"/>
        <w:tabs>
          <w:tab w:val="num" w:pos="2508" w:leader="none"/>
        </w:tabs>
      </w:pPr>
    </w:lvl>
    <w:lvl w:ilvl="5">
      <w:start w:val="1"/>
      <w:numFmt w:val="lowerRoman"/>
      <w:isLgl w:val="false"/>
      <w:suff w:val="tab"/>
      <w:lvlText w:val="%6."/>
      <w:lvlJc w:val="right"/>
      <w:pPr>
        <w:pStyle w:val="962"/>
        <w:ind w:left="2928" w:hanging="420"/>
        <w:tabs>
          <w:tab w:val="num" w:pos="2928" w:leader="none"/>
        </w:tabs>
      </w:pPr>
    </w:lvl>
    <w:lvl w:ilvl="6">
      <w:start w:val="1"/>
      <w:numFmt w:val="decimal"/>
      <w:isLgl w:val="false"/>
      <w:suff w:val="tab"/>
      <w:lvlText w:val="%7."/>
      <w:lvlJc w:val="left"/>
      <w:pPr>
        <w:pStyle w:val="962"/>
        <w:ind w:left="3348" w:hanging="420"/>
        <w:tabs>
          <w:tab w:val="num" w:pos="3348" w:leader="none"/>
        </w:tabs>
      </w:pPr>
    </w:lvl>
    <w:lvl w:ilvl="7">
      <w:start w:val="1"/>
      <w:numFmt w:val="lowerLetter"/>
      <w:isLgl w:val="false"/>
      <w:suff w:val="tab"/>
      <w:lvlText w:val="%8)"/>
      <w:lvlJc w:val="left"/>
      <w:pPr>
        <w:pStyle w:val="962"/>
        <w:ind w:left="3768" w:hanging="420"/>
        <w:tabs>
          <w:tab w:val="num" w:pos="3768" w:leader="none"/>
        </w:tabs>
      </w:pPr>
    </w:lvl>
    <w:lvl w:ilvl="8">
      <w:start w:val="1"/>
      <w:numFmt w:val="lowerRoman"/>
      <w:isLgl w:val="false"/>
      <w:suff w:val="tab"/>
      <w:lvlText w:val="%9."/>
      <w:lvlJc w:val="right"/>
      <w:pPr>
        <w:pStyle w:val="962"/>
        <w:ind w:left="4188" w:hanging="420"/>
        <w:tabs>
          <w:tab w:val="num" w:pos="4188" w:leader="none"/>
        </w:tabs>
      </w:pPr>
    </w:lvl>
  </w:abstractNum>
  <w:abstractNum w:abstractNumId="3">
    <w:multiLevelType w:val="hybridMultilevel"/>
    <w:lvl w:ilvl="0">
      <w:start w:val="4"/>
      <w:numFmt w:val="decimal"/>
      <w:isLgl w:val="false"/>
      <w:suff w:val="tab"/>
      <w:lvlText w:val="%1."/>
      <w:lvlJc w:val="left"/>
      <w:pPr>
        <w:pStyle w:val="9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6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60"/>
      <w:isLgl w:val="false"/>
      <w:suff w:val="tab"/>
      <w:lvlText w:val="%1)"/>
      <w:lvlJc w:val="left"/>
      <w:pPr>
        <w:pStyle w:val="962"/>
        <w:ind w:left="420" w:hanging="42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6">
    <w:multiLevelType w:val="hybridMultilevel"/>
    <w:lvl w:ilvl="0">
      <w:start w:val="1"/>
      <w:numFmt w:val="chineseCounting"/>
      <w:isLgl w:val="false"/>
      <w:suff w:val="nothing"/>
      <w:lvlText w:val="%1、"/>
      <w:lvlJc w:val="left"/>
      <w:pPr>
        <w:pStyle w:val="96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55"/>
      <w:isLgl w:val="false"/>
      <w:suff w:val="nothing"/>
      <w:lvlText w:val="%1　"/>
      <w:lvlJc w:val="left"/>
      <w:pPr>
        <w:pStyle w:val="96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2"/>
        <w:ind w:left="-25" w:firstLine="0"/>
      </w:pPr>
      <w:rPr>
        <w:rFonts w:ascii="Times New Roman" w:hAnsi="Times New Roman" w:eastAsia="黑体"/>
        <w:b/>
        <w:i w:val="0"/>
        <w:sz w:val="28"/>
      </w:rPr>
    </w:lvl>
    <w:lvl w:ilvl="3">
      <w:start w:val="1"/>
      <w:numFmt w:val="decimal"/>
      <w:pStyle w:val="1291"/>
      <w:isLgl w:val="false"/>
      <w:suff w:val="nothing"/>
      <w:lvlText w:val="%1.%2.%3.%4　"/>
      <w:lvlJc w:val="left"/>
      <w:pPr>
        <w:pStyle w:val="96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2"/>
        <w:ind w:left="-25" w:firstLine="0"/>
      </w:pPr>
      <w:rPr>
        <w:rFonts w:ascii="Times New Roman" w:hAnsi="Times New Roman" w:eastAsia="宋体"/>
        <w:b/>
        <w:i w:val="0"/>
        <w:sz w:val="28"/>
      </w:rPr>
    </w:lvl>
    <w:lvl w:ilvl="6">
      <w:start w:val="1"/>
      <w:numFmt w:val="lowerLetter"/>
      <w:pStyle w:val="1312"/>
      <w:isLgl w:val="false"/>
      <w:suff w:val="tab"/>
      <w:lvlText w:val="%7) "/>
      <w:lvlJc w:val="left"/>
      <w:pPr>
        <w:pStyle w:val="962"/>
        <w:ind w:left="-125" w:firstLine="400"/>
        <w:tabs>
          <w:tab w:val="num" w:pos="635" w:leader="none"/>
        </w:tabs>
      </w:pPr>
      <w:rPr>
        <w:rFonts w:ascii="Times New Roman" w:hAnsi="Times New Roman" w:eastAsia="宋体"/>
        <w:b/>
        <w:i w:val="0"/>
        <w:color w:val="000000"/>
        <w:sz w:val="28"/>
        <w:u w:val="none"/>
      </w:rPr>
    </w:lvl>
    <w:lvl w:ilvl="7">
      <w:start w:val="1"/>
      <w:numFmt w:val="decimal"/>
      <w:pStyle w:val="1275"/>
      <w:isLgl w:val="false"/>
      <w:suff w:val="tab"/>
      <w:lvlText w:val="%8) "/>
      <w:lvlJc w:val="left"/>
      <w:pPr>
        <w:pStyle w:val="96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2"/>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lowerLetter"/>
      <w:pStyle w:val="1336"/>
      <w:isLgl w:val="false"/>
      <w:suff w:val="tab"/>
      <w:lvlText w:val="%1)"/>
      <w:lvlJc w:val="left"/>
      <w:pPr>
        <w:pStyle w:val="962"/>
        <w:ind w:left="902" w:hanging="420"/>
      </w:pPr>
      <w:rPr>
        <w:color w:val="000000"/>
      </w:rPr>
    </w:lvl>
    <w:lvl w:ilvl="1">
      <w:start w:val="1"/>
      <w:numFmt w:val="lowerLetter"/>
      <w:isLgl w:val="false"/>
      <w:suff w:val="tab"/>
      <w:lvlText w:val="%2)"/>
      <w:lvlJc w:val="left"/>
      <w:pPr>
        <w:pStyle w:val="962"/>
        <w:ind w:left="1322" w:hanging="420"/>
      </w:pPr>
    </w:lvl>
    <w:lvl w:ilvl="2">
      <w:start w:val="1"/>
      <w:numFmt w:val="lowerRoman"/>
      <w:isLgl w:val="false"/>
      <w:suff w:val="tab"/>
      <w:lvlText w:val="%3."/>
      <w:lvlJc w:val="right"/>
      <w:pPr>
        <w:pStyle w:val="962"/>
        <w:ind w:left="1742" w:hanging="420"/>
      </w:pPr>
    </w:lvl>
    <w:lvl w:ilvl="3">
      <w:start w:val="1"/>
      <w:numFmt w:val="decimal"/>
      <w:isLgl w:val="false"/>
      <w:suff w:val="tab"/>
      <w:lvlText w:val="%4."/>
      <w:lvlJc w:val="left"/>
      <w:pPr>
        <w:pStyle w:val="962"/>
        <w:ind w:left="2162" w:hanging="420"/>
      </w:pPr>
    </w:lvl>
    <w:lvl w:ilvl="4">
      <w:start w:val="1"/>
      <w:numFmt w:val="lowerLetter"/>
      <w:isLgl w:val="false"/>
      <w:suff w:val="tab"/>
      <w:lvlText w:val="%5)"/>
      <w:lvlJc w:val="left"/>
      <w:pPr>
        <w:pStyle w:val="962"/>
        <w:ind w:left="2582" w:hanging="420"/>
      </w:pPr>
    </w:lvl>
    <w:lvl w:ilvl="5">
      <w:start w:val="1"/>
      <w:numFmt w:val="lowerRoman"/>
      <w:isLgl w:val="false"/>
      <w:suff w:val="tab"/>
      <w:lvlText w:val="%6."/>
      <w:lvlJc w:val="right"/>
      <w:pPr>
        <w:pStyle w:val="962"/>
        <w:ind w:left="3002" w:hanging="420"/>
      </w:pPr>
    </w:lvl>
    <w:lvl w:ilvl="6">
      <w:start w:val="1"/>
      <w:numFmt w:val="decimal"/>
      <w:isLgl w:val="false"/>
      <w:suff w:val="tab"/>
      <w:lvlText w:val="%7."/>
      <w:lvlJc w:val="left"/>
      <w:pPr>
        <w:pStyle w:val="962"/>
        <w:ind w:left="3422" w:hanging="420"/>
      </w:pPr>
    </w:lvl>
    <w:lvl w:ilvl="7">
      <w:start w:val="1"/>
      <w:numFmt w:val="lowerLetter"/>
      <w:isLgl w:val="false"/>
      <w:suff w:val="tab"/>
      <w:lvlText w:val="%8)"/>
      <w:lvlJc w:val="left"/>
      <w:pPr>
        <w:pStyle w:val="962"/>
        <w:ind w:left="3842" w:hanging="420"/>
      </w:pPr>
    </w:lvl>
    <w:lvl w:ilvl="8">
      <w:start w:val="1"/>
      <w:numFmt w:val="lowerRoman"/>
      <w:isLgl w:val="false"/>
      <w:suff w:val="tab"/>
      <w:lvlText w:val="%9."/>
      <w:lvlJc w:val="right"/>
      <w:pPr>
        <w:pStyle w:val="962"/>
        <w:ind w:left="4262" w:hanging="420"/>
      </w:pPr>
    </w:lvl>
  </w:abstractNum>
  <w:abstractNum w:abstractNumId="9">
    <w:multiLevelType w:val="hybridMultilevel"/>
    <w:lvl w:ilvl="0">
      <w:start w:val="1"/>
      <w:numFmt w:val="decimal"/>
      <w:pStyle w:val="1361"/>
      <w:isLgl w:val="false"/>
      <w:suff w:val="tab"/>
      <w:lvlText w:val="%1"/>
      <w:lvlJc w:val="left"/>
      <w:pPr>
        <w:pStyle w:val="962"/>
        <w:ind w:left="680" w:hanging="680"/>
      </w:pPr>
      <w:rPr>
        <w:rFonts w:hint="eastAsia" w:ascii="宋体" w:hAnsi="宋体" w:eastAsia="宋体"/>
      </w:rPr>
    </w:lvl>
    <w:lvl w:ilvl="1">
      <w:start w:val="1"/>
      <w:numFmt w:val="decimal"/>
      <w:pStyle w:val="1362"/>
      <w:isLgl w:val="false"/>
      <w:suff w:val="tab"/>
      <w:lvlText w:val="%1.%2"/>
      <w:lvlJc w:val="left"/>
      <w:pPr>
        <w:pStyle w:val="962"/>
        <w:ind w:left="851" w:hanging="851"/>
      </w:pPr>
      <w:rPr>
        <w:rFonts w:hint="eastAsia" w:ascii="宋体" w:hAnsi="宋体" w:eastAsia="宋体"/>
        <w:color w:val="000000"/>
      </w:rPr>
    </w:lvl>
    <w:lvl w:ilvl="2">
      <w:start w:val="1"/>
      <w:numFmt w:val="decimal"/>
      <w:pStyle w:val="1363"/>
      <w:isLgl w:val="false"/>
      <w:suff w:val="tab"/>
      <w:lvlText w:val="%1.%2.%3"/>
      <w:lvlJc w:val="left"/>
      <w:pPr>
        <w:pStyle w:val="962"/>
        <w:ind w:left="851" w:hanging="851"/>
      </w:pPr>
      <w:rPr>
        <w:rFonts w:hint="eastAsia"/>
      </w:rPr>
    </w:lvl>
    <w:lvl w:ilvl="3">
      <w:start w:val="1"/>
      <w:numFmt w:val="decimal"/>
      <w:isLgl w:val="false"/>
      <w:suff w:val="tab"/>
      <w:lvlText w:val="%1.%2.%3.%4"/>
      <w:lvlJc w:val="left"/>
      <w:pPr>
        <w:pStyle w:val="962"/>
        <w:ind w:left="680" w:hanging="680"/>
      </w:pPr>
      <w:rPr>
        <w:rFonts w:hint="eastAsia"/>
      </w:rPr>
    </w:lvl>
    <w:lvl w:ilvl="4">
      <w:start w:val="1"/>
      <w:numFmt w:val="decimal"/>
      <w:isLgl w:val="false"/>
      <w:suff w:val="tab"/>
      <w:lvlText w:val="%1.%2.%3.%4.%5"/>
      <w:lvlJc w:val="left"/>
      <w:pPr>
        <w:pStyle w:val="962"/>
        <w:ind w:left="680" w:hanging="680"/>
      </w:pPr>
      <w:rPr>
        <w:rFonts w:hint="eastAsia"/>
      </w:rPr>
    </w:lvl>
    <w:lvl w:ilvl="5">
      <w:start w:val="1"/>
      <w:numFmt w:val="decimal"/>
      <w:isLgl w:val="false"/>
      <w:suff w:val="tab"/>
      <w:lvlText w:val="%1.%2.%3.%4.%5.%6"/>
      <w:lvlJc w:val="left"/>
      <w:pPr>
        <w:pStyle w:val="962"/>
        <w:ind w:left="680" w:hanging="680"/>
      </w:pPr>
      <w:rPr>
        <w:rFonts w:hint="eastAsia"/>
      </w:rPr>
    </w:lvl>
    <w:lvl w:ilvl="6">
      <w:start w:val="1"/>
      <w:numFmt w:val="decimal"/>
      <w:isLgl w:val="false"/>
      <w:suff w:val="tab"/>
      <w:lvlText w:val="%1.%2.%3.%4.%5.%6.%7"/>
      <w:lvlJc w:val="left"/>
      <w:pPr>
        <w:pStyle w:val="962"/>
        <w:ind w:left="680" w:hanging="680"/>
      </w:pPr>
      <w:rPr>
        <w:rFonts w:hint="eastAsia"/>
      </w:rPr>
    </w:lvl>
    <w:lvl w:ilvl="7">
      <w:start w:val="1"/>
      <w:numFmt w:val="decimal"/>
      <w:isLgl w:val="false"/>
      <w:suff w:val="tab"/>
      <w:lvlText w:val="%1.%2.%3.%4.%5.%6.%7.%8"/>
      <w:lvlJc w:val="left"/>
      <w:pPr>
        <w:pStyle w:val="962"/>
        <w:ind w:left="680" w:hanging="680"/>
      </w:pPr>
      <w:rPr>
        <w:rFonts w:hint="eastAsia"/>
      </w:rPr>
    </w:lvl>
    <w:lvl w:ilvl="8">
      <w:start w:val="1"/>
      <w:numFmt w:val="decimal"/>
      <w:isLgl w:val="false"/>
      <w:suff w:val="tab"/>
      <w:lvlText w:val="%1.%2.%3.%4.%5.%6.%7.%8.%9"/>
      <w:lvlJc w:val="left"/>
      <w:pPr>
        <w:pStyle w:val="962"/>
        <w:ind w:left="680" w:hanging="680"/>
      </w:pPr>
      <w:rPr>
        <w:rFonts w:hint="eastAsia"/>
      </w:rPr>
    </w:lvl>
  </w:abstractNum>
  <w:abstractNum w:abstractNumId="10">
    <w:multiLevelType w:val="hybridMultilevel"/>
    <w:lvl w:ilvl="0">
      <w:start w:val="1"/>
      <w:numFmt w:val="decimal"/>
      <w:pStyle w:val="1261"/>
      <w:isLgl w:val="false"/>
      <w:suff w:val="tab"/>
      <w:lvlText w:val="%1."/>
      <w:lvlJc w:val="left"/>
      <w:pPr>
        <w:pStyle w:val="962"/>
        <w:ind w:left="420" w:hanging="420"/>
      </w:pPr>
    </w:lvl>
    <w:lvl w:ilvl="1">
      <w:start w:val="1"/>
      <w:numFmt w:val="decimal"/>
      <w:isLgl w:val="false"/>
      <w:suff w:val="tab"/>
      <w:lvlText w:val="（%2）"/>
      <w:lvlJc w:val="left"/>
      <w:pPr>
        <w:pStyle w:val="962"/>
        <w:ind w:left="1140" w:hanging="720"/>
        <w:tabs>
          <w:tab w:val="num" w:pos="1140" w:leader="none"/>
        </w:tabs>
      </w:pPr>
      <w:rPr>
        <w:rFonts w:hint="eastAsia"/>
      </w:r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11">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7"/>
  </w:num>
  <w:num w:numId="2">
    <w:abstractNumId w:val="10"/>
  </w:num>
  <w:num w:numId="3">
    <w:abstractNumId w:val="5"/>
  </w:num>
  <w:num w:numId="4">
    <w:abstractNumId w:val="2"/>
  </w:num>
  <w:num w:numId="5">
    <w:abstractNumId w:val="1"/>
  </w:num>
  <w:num w:numId="6">
    <w:abstractNumId w:val="8"/>
  </w:num>
  <w:num w:numId="7">
    <w:abstractNumId w:val="9"/>
  </w:num>
  <w:num w:numId="8">
    <w:abstractNumId w:val="3"/>
  </w:num>
  <w:num w:numId="9">
    <w:abstractNumId w:val="11"/>
  </w:num>
  <w:num w:numId="10">
    <w:abstractNumId w:val="4"/>
  </w:num>
  <w:num w:numId="11">
    <w:abstractNumId w:val="6"/>
  </w:num>
  <w:num w:numId="12">
    <w:abstractNumId w:val="0"/>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name w:val="Heading 1"/>
    <w:basedOn w:val="962"/>
    <w:next w:val="962"/>
    <w:link w:val="974"/>
    <w:uiPriority w:val="9"/>
    <w:qFormat/>
    <w:pPr>
      <w:keepLines/>
      <w:keepNext/>
      <w:spacing w:before="480" w:after="200"/>
      <w:outlineLvl w:val="0"/>
    </w:pPr>
    <w:rPr>
      <w:rFonts w:ascii="Arial" w:hAnsi="Arial" w:eastAsia="Arial" w:cs="Arial"/>
      <w:sz w:val="40"/>
      <w:szCs w:val="40"/>
    </w:rPr>
  </w:style>
  <w:style w:type="paragraph" w:styleId="933">
    <w:name w:val="Heading 2"/>
    <w:basedOn w:val="962"/>
    <w:next w:val="962"/>
    <w:link w:val="975"/>
    <w:uiPriority w:val="9"/>
    <w:unhideWhenUsed/>
    <w:qFormat/>
    <w:pPr>
      <w:keepLines/>
      <w:keepNext/>
      <w:spacing w:before="360" w:after="200"/>
      <w:outlineLvl w:val="1"/>
    </w:pPr>
    <w:rPr>
      <w:rFonts w:ascii="Arial" w:hAnsi="Arial" w:eastAsia="Arial" w:cs="Arial"/>
      <w:sz w:val="34"/>
    </w:rPr>
  </w:style>
  <w:style w:type="paragraph" w:styleId="934">
    <w:name w:val="Heading 3"/>
    <w:basedOn w:val="962"/>
    <w:next w:val="962"/>
    <w:link w:val="1012"/>
    <w:uiPriority w:val="9"/>
    <w:unhideWhenUsed/>
    <w:qFormat/>
    <w:pPr>
      <w:keepLines/>
      <w:keepNext/>
      <w:spacing w:before="320" w:after="200"/>
      <w:outlineLvl w:val="2"/>
    </w:pPr>
    <w:rPr>
      <w:rFonts w:ascii="Arial" w:hAnsi="Arial" w:eastAsia="Arial" w:cs="Arial"/>
      <w:sz w:val="30"/>
      <w:szCs w:val="30"/>
    </w:rPr>
  </w:style>
  <w:style w:type="paragraph" w:styleId="935">
    <w:name w:val="Heading 4"/>
    <w:basedOn w:val="962"/>
    <w:next w:val="962"/>
    <w:link w:val="976"/>
    <w:uiPriority w:val="9"/>
    <w:unhideWhenUsed/>
    <w:qFormat/>
    <w:pPr>
      <w:keepLines/>
      <w:keepNext/>
      <w:spacing w:before="320" w:after="200"/>
      <w:outlineLvl w:val="3"/>
    </w:pPr>
    <w:rPr>
      <w:rFonts w:ascii="Arial" w:hAnsi="Arial" w:eastAsia="Arial" w:cs="Arial"/>
      <w:b/>
      <w:bCs/>
      <w:sz w:val="26"/>
      <w:szCs w:val="26"/>
    </w:rPr>
  </w:style>
  <w:style w:type="paragraph" w:styleId="936">
    <w:name w:val="Heading 5"/>
    <w:basedOn w:val="962"/>
    <w:next w:val="962"/>
    <w:link w:val="977"/>
    <w:uiPriority w:val="9"/>
    <w:unhideWhenUsed/>
    <w:qFormat/>
    <w:pPr>
      <w:keepLines/>
      <w:keepNext/>
      <w:spacing w:before="320" w:after="200"/>
      <w:outlineLvl w:val="4"/>
    </w:pPr>
    <w:rPr>
      <w:rFonts w:ascii="Arial" w:hAnsi="Arial" w:eastAsia="Arial" w:cs="Arial"/>
      <w:b/>
      <w:bCs/>
      <w:sz w:val="24"/>
      <w:szCs w:val="24"/>
    </w:rPr>
  </w:style>
  <w:style w:type="paragraph" w:styleId="937">
    <w:name w:val="Heading 6"/>
    <w:basedOn w:val="962"/>
    <w:next w:val="962"/>
    <w:link w:val="978"/>
    <w:uiPriority w:val="9"/>
    <w:unhideWhenUsed/>
    <w:qFormat/>
    <w:pPr>
      <w:keepLines/>
      <w:keepNext/>
      <w:spacing w:before="320" w:after="200"/>
      <w:outlineLvl w:val="5"/>
    </w:pPr>
    <w:rPr>
      <w:rFonts w:ascii="Arial" w:hAnsi="Arial" w:eastAsia="Arial" w:cs="Arial"/>
      <w:b/>
      <w:bCs/>
      <w:sz w:val="22"/>
      <w:szCs w:val="22"/>
    </w:rPr>
  </w:style>
  <w:style w:type="paragraph" w:styleId="938">
    <w:name w:val="Heading 7"/>
    <w:basedOn w:val="962"/>
    <w:next w:val="962"/>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939">
    <w:name w:val="Heading 8"/>
    <w:basedOn w:val="962"/>
    <w:next w:val="962"/>
    <w:link w:val="980"/>
    <w:uiPriority w:val="9"/>
    <w:unhideWhenUsed/>
    <w:qFormat/>
    <w:pPr>
      <w:keepLines/>
      <w:keepNext/>
      <w:spacing w:before="320" w:after="200"/>
      <w:outlineLvl w:val="7"/>
    </w:pPr>
    <w:rPr>
      <w:rFonts w:ascii="Arial" w:hAnsi="Arial" w:eastAsia="Arial" w:cs="Arial"/>
      <w:i/>
      <w:iCs/>
      <w:sz w:val="22"/>
      <w:szCs w:val="22"/>
    </w:rPr>
  </w:style>
  <w:style w:type="paragraph" w:styleId="940">
    <w:name w:val="Heading 9"/>
    <w:basedOn w:val="962"/>
    <w:next w:val="962"/>
    <w:link w:val="981"/>
    <w:uiPriority w:val="9"/>
    <w:unhideWhenUsed/>
    <w:qFormat/>
    <w:pPr>
      <w:keepLines/>
      <w:keepNext/>
      <w:spacing w:before="320" w:after="200"/>
      <w:outlineLvl w:val="8"/>
    </w:pPr>
    <w:rPr>
      <w:rFonts w:ascii="Arial" w:hAnsi="Arial" w:eastAsia="Arial" w:cs="Arial"/>
      <w:i/>
      <w:iCs/>
      <w:sz w:val="21"/>
      <w:szCs w:val="21"/>
    </w:rPr>
  </w:style>
  <w:style w:type="paragraph" w:styleId="941">
    <w:name w:val="Title"/>
    <w:basedOn w:val="962"/>
    <w:next w:val="962"/>
    <w:link w:val="1005"/>
    <w:uiPriority w:val="10"/>
    <w:qFormat/>
    <w:pPr>
      <w:contextualSpacing/>
      <w:spacing w:before="300" w:after="200"/>
    </w:pPr>
    <w:rPr>
      <w:sz w:val="48"/>
      <w:szCs w:val="48"/>
    </w:rPr>
  </w:style>
  <w:style w:type="paragraph" w:styleId="942">
    <w:name w:val="Subtitle"/>
    <w:basedOn w:val="962"/>
    <w:next w:val="962"/>
    <w:link w:val="997"/>
    <w:uiPriority w:val="11"/>
    <w:qFormat/>
    <w:pPr>
      <w:spacing w:before="200" w:after="200"/>
    </w:pPr>
    <w:rPr>
      <w:sz w:val="24"/>
      <w:szCs w:val="24"/>
    </w:rPr>
  </w:style>
  <w:style w:type="paragraph" w:styleId="943">
    <w:name w:val="Header"/>
    <w:basedOn w:val="962"/>
    <w:link w:val="993"/>
    <w:uiPriority w:val="99"/>
    <w:unhideWhenUsed/>
    <w:pPr>
      <w:spacing w:after="0" w:line="240" w:lineRule="auto"/>
      <w:tabs>
        <w:tab w:val="center" w:pos="7143" w:leader="none"/>
        <w:tab w:val="right" w:pos="14287" w:leader="none"/>
      </w:tabs>
    </w:pPr>
  </w:style>
  <w:style w:type="paragraph" w:styleId="944">
    <w:name w:val="Footer"/>
    <w:basedOn w:val="962"/>
    <w:link w:val="991"/>
    <w:uiPriority w:val="99"/>
    <w:unhideWhenUsed/>
    <w:pPr>
      <w:spacing w:after="0" w:line="240" w:lineRule="auto"/>
      <w:tabs>
        <w:tab w:val="center" w:pos="7143" w:leader="none"/>
        <w:tab w:val="right" w:pos="14287" w:leader="none"/>
      </w:tabs>
    </w:pPr>
  </w:style>
  <w:style w:type="paragraph" w:styleId="945">
    <w:name w:val="Caption"/>
    <w:basedOn w:val="962"/>
    <w:next w:val="962"/>
    <w:uiPriority w:val="35"/>
    <w:semiHidden/>
    <w:unhideWhenUsed/>
    <w:qFormat/>
    <w:pPr>
      <w:spacing w:line="276" w:lineRule="auto"/>
    </w:pPr>
    <w:rPr>
      <w:b/>
      <w:bCs/>
      <w:color w:val="4f81bd" w:themeColor="accent1"/>
      <w:sz w:val="18"/>
      <w:szCs w:val="18"/>
    </w:rPr>
  </w:style>
  <w:style w:type="table" w:styleId="9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7">
    <w:name w:val="Hyperlink"/>
    <w:uiPriority w:val="99"/>
    <w:unhideWhenUsed/>
    <w:rPr>
      <w:color w:val="0000ff" w:themeColor="hyperlink"/>
      <w:u w:val="single"/>
    </w:rPr>
  </w:style>
  <w:style w:type="paragraph" w:styleId="948">
    <w:name w:val="footnote text"/>
    <w:basedOn w:val="962"/>
    <w:link w:val="999"/>
    <w:uiPriority w:val="99"/>
    <w:semiHidden/>
    <w:unhideWhenUsed/>
    <w:pPr>
      <w:spacing w:after="40" w:line="240" w:lineRule="auto"/>
    </w:pPr>
    <w:rPr>
      <w:sz w:val="18"/>
    </w:rPr>
  </w:style>
  <w:style w:type="character" w:styleId="949">
    <w:name w:val="footnote reference"/>
    <w:uiPriority w:val="99"/>
    <w:unhideWhenUsed/>
    <w:rPr>
      <w:vertAlign w:val="superscript"/>
    </w:rPr>
  </w:style>
  <w:style w:type="paragraph" w:styleId="950">
    <w:name w:val="endnote text"/>
    <w:basedOn w:val="962"/>
    <w:link w:val="989"/>
    <w:uiPriority w:val="99"/>
    <w:semiHidden/>
    <w:unhideWhenUsed/>
    <w:pPr>
      <w:spacing w:after="0" w:line="240" w:lineRule="auto"/>
    </w:pPr>
    <w:rPr>
      <w:sz w:val="20"/>
    </w:rPr>
  </w:style>
  <w:style w:type="character" w:styleId="951">
    <w:name w:val="endnote reference"/>
    <w:uiPriority w:val="99"/>
    <w:semiHidden/>
    <w:unhideWhenUsed/>
    <w:rPr>
      <w:vertAlign w:val="superscript"/>
    </w:rPr>
  </w:style>
  <w:style w:type="paragraph" w:styleId="952">
    <w:name w:val="toc 1"/>
    <w:basedOn w:val="962"/>
    <w:next w:val="962"/>
    <w:uiPriority w:val="39"/>
    <w:unhideWhenUsed/>
    <w:pPr>
      <w:ind w:left="0" w:right="0" w:firstLine="0"/>
      <w:spacing w:after="57"/>
    </w:pPr>
  </w:style>
  <w:style w:type="paragraph" w:styleId="953">
    <w:name w:val="toc 2"/>
    <w:basedOn w:val="962"/>
    <w:next w:val="962"/>
    <w:uiPriority w:val="39"/>
    <w:unhideWhenUsed/>
    <w:pPr>
      <w:ind w:left="283" w:right="0" w:firstLine="0"/>
      <w:spacing w:after="57"/>
    </w:pPr>
  </w:style>
  <w:style w:type="paragraph" w:styleId="954">
    <w:name w:val="toc 3"/>
    <w:basedOn w:val="962"/>
    <w:next w:val="962"/>
    <w:uiPriority w:val="39"/>
    <w:unhideWhenUsed/>
    <w:pPr>
      <w:ind w:left="567" w:right="0" w:firstLine="0"/>
      <w:spacing w:after="57"/>
    </w:pPr>
  </w:style>
  <w:style w:type="paragraph" w:styleId="955">
    <w:name w:val="toc 4"/>
    <w:basedOn w:val="962"/>
    <w:next w:val="962"/>
    <w:uiPriority w:val="39"/>
    <w:unhideWhenUsed/>
    <w:pPr>
      <w:ind w:left="850" w:right="0" w:firstLine="0"/>
      <w:spacing w:after="57"/>
    </w:pPr>
  </w:style>
  <w:style w:type="paragraph" w:styleId="956">
    <w:name w:val="toc 5"/>
    <w:basedOn w:val="962"/>
    <w:next w:val="962"/>
    <w:uiPriority w:val="39"/>
    <w:unhideWhenUsed/>
    <w:pPr>
      <w:ind w:left="1134" w:right="0" w:firstLine="0"/>
      <w:spacing w:after="57"/>
    </w:pPr>
  </w:style>
  <w:style w:type="paragraph" w:styleId="957">
    <w:name w:val="toc 6"/>
    <w:basedOn w:val="962"/>
    <w:next w:val="962"/>
    <w:uiPriority w:val="39"/>
    <w:unhideWhenUsed/>
    <w:pPr>
      <w:ind w:left="1417" w:right="0" w:firstLine="0"/>
      <w:spacing w:after="57"/>
    </w:pPr>
  </w:style>
  <w:style w:type="paragraph" w:styleId="958">
    <w:name w:val="toc 7"/>
    <w:basedOn w:val="962"/>
    <w:next w:val="962"/>
    <w:uiPriority w:val="39"/>
    <w:unhideWhenUsed/>
    <w:pPr>
      <w:ind w:left="1701" w:right="0" w:firstLine="0"/>
      <w:spacing w:after="57"/>
    </w:pPr>
  </w:style>
  <w:style w:type="paragraph" w:styleId="959">
    <w:name w:val="toc 8"/>
    <w:basedOn w:val="962"/>
    <w:next w:val="962"/>
    <w:uiPriority w:val="39"/>
    <w:unhideWhenUsed/>
    <w:pPr>
      <w:ind w:left="1984" w:right="0" w:firstLine="0"/>
      <w:spacing w:after="57"/>
    </w:pPr>
  </w:style>
  <w:style w:type="paragraph" w:styleId="960">
    <w:name w:val="toc 9"/>
    <w:basedOn w:val="962"/>
    <w:next w:val="962"/>
    <w:uiPriority w:val="39"/>
    <w:unhideWhenUsed/>
    <w:pPr>
      <w:ind w:left="2268" w:right="0" w:firstLine="0"/>
      <w:spacing w:after="57"/>
    </w:pPr>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rFonts w:ascii="Times New Roman" w:hAnsi="Times New Roman" w:eastAsia="宋体" w:cs="Times New Roman"/>
      <w:sz w:val="21"/>
      <w:szCs w:val="24"/>
      <w:lang w:val="en-US" w:eastAsia="zh-CN" w:bidi="ar-SA"/>
    </w:rPr>
  </w:style>
  <w:style w:type="paragraph" w:styleId="963">
    <w:name w:val="标题 1"/>
    <w:basedOn w:val="962"/>
    <w:next w:val="962"/>
    <w:link w:val="974"/>
    <w:uiPriority w:val="9"/>
    <w:qFormat/>
    <w:pPr>
      <w:keepLines/>
      <w:keepNext/>
      <w:spacing w:before="480" w:after="200"/>
      <w:outlineLvl w:val="0"/>
    </w:pPr>
    <w:rPr>
      <w:rFonts w:ascii="Arial" w:hAnsi="Arial" w:eastAsia="Arial" w:cs="Arial"/>
      <w:sz w:val="40"/>
      <w:szCs w:val="40"/>
    </w:rPr>
  </w:style>
  <w:style w:type="paragraph" w:styleId="964">
    <w:name w:val="标题 2"/>
    <w:basedOn w:val="962"/>
    <w:next w:val="962"/>
    <w:link w:val="975"/>
    <w:uiPriority w:val="9"/>
    <w:unhideWhenUsed/>
    <w:qFormat/>
    <w:pPr>
      <w:keepLines/>
      <w:keepNext/>
      <w:spacing w:before="360" w:after="200"/>
      <w:outlineLvl w:val="1"/>
    </w:pPr>
    <w:rPr>
      <w:rFonts w:ascii="Arial" w:hAnsi="Arial" w:eastAsia="Arial" w:cs="Arial"/>
      <w:sz w:val="34"/>
    </w:rPr>
  </w:style>
  <w:style w:type="paragraph" w:styleId="965">
    <w:name w:val="标题 3"/>
    <w:basedOn w:val="962"/>
    <w:next w:val="962"/>
    <w:link w:val="962"/>
    <w:qFormat/>
    <w:pPr>
      <w:keepLines/>
      <w:keepNext/>
      <w:spacing w:before="320" w:after="200"/>
      <w:outlineLvl w:val="2"/>
    </w:pPr>
    <w:rPr>
      <w:rFonts w:ascii="Arial" w:hAnsi="Arial" w:eastAsia="Arial" w:cs="Arial"/>
      <w:sz w:val="30"/>
      <w:szCs w:val="30"/>
    </w:rPr>
  </w:style>
  <w:style w:type="paragraph" w:styleId="966">
    <w:name w:val="标题 4"/>
    <w:basedOn w:val="962"/>
    <w:next w:val="962"/>
    <w:link w:val="976"/>
    <w:uiPriority w:val="9"/>
    <w:unhideWhenUsed/>
    <w:qFormat/>
    <w:pPr>
      <w:keepLines/>
      <w:keepNext/>
      <w:spacing w:before="320" w:after="200"/>
      <w:outlineLvl w:val="3"/>
    </w:pPr>
    <w:rPr>
      <w:rFonts w:ascii="Arial" w:hAnsi="Arial" w:eastAsia="Arial" w:cs="Arial"/>
      <w:b/>
      <w:bCs/>
      <w:sz w:val="26"/>
      <w:szCs w:val="26"/>
    </w:rPr>
  </w:style>
  <w:style w:type="paragraph" w:styleId="967">
    <w:name w:val="标题 5"/>
    <w:basedOn w:val="962"/>
    <w:next w:val="962"/>
    <w:link w:val="977"/>
    <w:uiPriority w:val="9"/>
    <w:unhideWhenUsed/>
    <w:qFormat/>
    <w:pPr>
      <w:keepLines/>
      <w:keepNext/>
      <w:spacing w:before="320" w:after="200"/>
      <w:outlineLvl w:val="4"/>
    </w:pPr>
    <w:rPr>
      <w:rFonts w:ascii="Arial" w:hAnsi="Arial" w:eastAsia="Arial" w:cs="Arial"/>
      <w:b/>
      <w:bCs/>
      <w:sz w:val="24"/>
      <w:szCs w:val="24"/>
    </w:rPr>
  </w:style>
  <w:style w:type="paragraph" w:styleId="968">
    <w:name w:val="标题 6"/>
    <w:basedOn w:val="962"/>
    <w:next w:val="962"/>
    <w:link w:val="978"/>
    <w:uiPriority w:val="9"/>
    <w:unhideWhenUsed/>
    <w:qFormat/>
    <w:pPr>
      <w:keepLines/>
      <w:keepNext/>
      <w:spacing w:before="320" w:after="200"/>
      <w:outlineLvl w:val="5"/>
    </w:pPr>
    <w:rPr>
      <w:rFonts w:ascii="Arial" w:hAnsi="Arial" w:eastAsia="Arial" w:cs="Arial"/>
      <w:b/>
      <w:bCs/>
      <w:sz w:val="22"/>
      <w:szCs w:val="22"/>
    </w:rPr>
  </w:style>
  <w:style w:type="paragraph" w:styleId="969">
    <w:name w:val="标题 7"/>
    <w:basedOn w:val="962"/>
    <w:next w:val="962"/>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970">
    <w:name w:val="标题 8"/>
    <w:basedOn w:val="962"/>
    <w:next w:val="962"/>
    <w:link w:val="980"/>
    <w:uiPriority w:val="9"/>
    <w:unhideWhenUsed/>
    <w:qFormat/>
    <w:pPr>
      <w:keepLines/>
      <w:keepNext/>
      <w:spacing w:before="320" w:after="200"/>
      <w:outlineLvl w:val="7"/>
    </w:pPr>
    <w:rPr>
      <w:rFonts w:ascii="Arial" w:hAnsi="Arial" w:eastAsia="Arial" w:cs="Arial"/>
      <w:i/>
      <w:iCs/>
      <w:sz w:val="22"/>
      <w:szCs w:val="22"/>
    </w:rPr>
  </w:style>
  <w:style w:type="paragraph" w:styleId="971">
    <w:name w:val="标题 9"/>
    <w:basedOn w:val="962"/>
    <w:next w:val="962"/>
    <w:link w:val="981"/>
    <w:uiPriority w:val="9"/>
    <w:unhideWhenUsed/>
    <w:qFormat/>
    <w:pPr>
      <w:keepLines/>
      <w:keepNext/>
      <w:spacing w:before="320" w:after="200"/>
      <w:outlineLvl w:val="8"/>
    </w:pPr>
    <w:rPr>
      <w:rFonts w:ascii="Arial" w:hAnsi="Arial" w:eastAsia="Arial" w:cs="Arial"/>
      <w:i/>
      <w:iCs/>
      <w:sz w:val="21"/>
      <w:szCs w:val="21"/>
    </w:rPr>
  </w:style>
  <w:style w:type="character" w:styleId="972">
    <w:name w:val="默认段落字体"/>
    <w:next w:val="972"/>
    <w:link w:val="962"/>
    <w:uiPriority w:val="1"/>
    <w:unhideWhenUsed/>
  </w:style>
  <w:style w:type="table" w:styleId="973">
    <w:name w:val="普通表格"/>
    <w:next w:val="973"/>
    <w:link w:val="962"/>
    <w:uiPriority w:val="99"/>
    <w:unhideWhenUsed/>
    <w:tblPr/>
  </w:style>
  <w:style w:type="character" w:styleId="974">
    <w:name w:val="Heading 1 Char"/>
    <w:next w:val="974"/>
    <w:link w:val="963"/>
    <w:uiPriority w:val="9"/>
    <w:rPr>
      <w:rFonts w:ascii="Arial" w:hAnsi="Arial" w:eastAsia="Arial" w:cs="Arial"/>
      <w:sz w:val="40"/>
      <w:szCs w:val="40"/>
    </w:rPr>
  </w:style>
  <w:style w:type="character" w:styleId="975">
    <w:name w:val="Heading 2 Char"/>
    <w:next w:val="975"/>
    <w:link w:val="964"/>
    <w:uiPriority w:val="9"/>
    <w:rPr>
      <w:rFonts w:ascii="Arial" w:hAnsi="Arial" w:eastAsia="Arial" w:cs="Arial"/>
      <w:sz w:val="34"/>
    </w:rPr>
  </w:style>
  <w:style w:type="character" w:styleId="976">
    <w:name w:val="Heading 4 Char"/>
    <w:next w:val="976"/>
    <w:link w:val="966"/>
    <w:uiPriority w:val="9"/>
    <w:qFormat/>
    <w:rPr>
      <w:rFonts w:ascii="Arial" w:hAnsi="Arial" w:eastAsia="Arial" w:cs="Arial"/>
      <w:b/>
      <w:bCs/>
      <w:sz w:val="26"/>
      <w:szCs w:val="26"/>
    </w:rPr>
  </w:style>
  <w:style w:type="character" w:styleId="977">
    <w:name w:val="Heading 5 Char"/>
    <w:next w:val="977"/>
    <w:link w:val="967"/>
    <w:uiPriority w:val="9"/>
    <w:rPr>
      <w:rFonts w:ascii="Arial" w:hAnsi="Arial" w:eastAsia="Arial" w:cs="Arial"/>
      <w:b/>
      <w:bCs/>
      <w:sz w:val="24"/>
      <w:szCs w:val="24"/>
    </w:rPr>
  </w:style>
  <w:style w:type="character" w:styleId="978">
    <w:name w:val="Heading 6 Char"/>
    <w:next w:val="978"/>
    <w:link w:val="968"/>
    <w:uiPriority w:val="9"/>
    <w:rPr>
      <w:rFonts w:ascii="Arial" w:hAnsi="Arial" w:eastAsia="Arial" w:cs="Arial"/>
      <w:b/>
      <w:bCs/>
      <w:sz w:val="22"/>
      <w:szCs w:val="22"/>
    </w:rPr>
  </w:style>
  <w:style w:type="character" w:styleId="979">
    <w:name w:val="Heading 7 Char"/>
    <w:next w:val="979"/>
    <w:link w:val="969"/>
    <w:uiPriority w:val="9"/>
    <w:rPr>
      <w:rFonts w:ascii="Arial" w:hAnsi="Arial" w:eastAsia="Arial" w:cs="Arial"/>
      <w:b/>
      <w:bCs/>
      <w:i/>
      <w:iCs/>
      <w:sz w:val="22"/>
      <w:szCs w:val="22"/>
    </w:rPr>
  </w:style>
  <w:style w:type="character" w:styleId="980">
    <w:name w:val="Heading 8 Char"/>
    <w:next w:val="980"/>
    <w:link w:val="970"/>
    <w:uiPriority w:val="9"/>
    <w:rPr>
      <w:rFonts w:ascii="Arial" w:hAnsi="Arial" w:eastAsia="Arial" w:cs="Arial"/>
      <w:i/>
      <w:iCs/>
      <w:sz w:val="22"/>
      <w:szCs w:val="22"/>
    </w:rPr>
  </w:style>
  <w:style w:type="character" w:styleId="981">
    <w:name w:val="Heading 9 Char"/>
    <w:next w:val="981"/>
    <w:link w:val="971"/>
    <w:uiPriority w:val="9"/>
    <w:rPr>
      <w:rFonts w:ascii="Arial" w:hAnsi="Arial" w:eastAsia="Arial" w:cs="Arial"/>
      <w:i/>
      <w:iCs/>
      <w:sz w:val="21"/>
      <w:szCs w:val="21"/>
    </w:rPr>
  </w:style>
  <w:style w:type="paragraph" w:styleId="982">
    <w:name w:val="目录 7"/>
    <w:basedOn w:val="962"/>
    <w:next w:val="962"/>
    <w:link w:val="962"/>
    <w:uiPriority w:val="39"/>
    <w:unhideWhenUsed/>
    <w:pPr>
      <w:ind w:left="1701" w:right="0" w:firstLine="0"/>
      <w:spacing w:after="57"/>
    </w:pPr>
  </w:style>
  <w:style w:type="paragraph" w:styleId="983">
    <w:name w:val="题注"/>
    <w:basedOn w:val="962"/>
    <w:next w:val="962"/>
    <w:link w:val="962"/>
    <w:uiPriority w:val="35"/>
    <w:unhideWhenUsed/>
    <w:qFormat/>
    <w:pPr>
      <w:spacing w:line="276" w:lineRule="auto"/>
    </w:pPr>
    <w:rPr>
      <w:b/>
      <w:bCs/>
      <w:color w:val="4f81bd"/>
      <w:sz w:val="18"/>
      <w:szCs w:val="18"/>
    </w:rPr>
  </w:style>
  <w:style w:type="paragraph" w:styleId="984">
    <w:name w:val="批注文字"/>
    <w:basedOn w:val="962"/>
    <w:next w:val="984"/>
    <w:link w:val="962"/>
    <w:uiPriority w:val="99"/>
    <w:unhideWhenUsed/>
    <w:pPr>
      <w:jc w:val="left"/>
    </w:pPr>
  </w:style>
  <w:style w:type="paragraph" w:styleId="985">
    <w:name w:val="目录 5"/>
    <w:basedOn w:val="962"/>
    <w:next w:val="962"/>
    <w:link w:val="962"/>
    <w:uiPriority w:val="39"/>
    <w:unhideWhenUsed/>
    <w:pPr>
      <w:ind w:left="1134" w:right="0" w:firstLine="0"/>
      <w:spacing w:after="57"/>
    </w:pPr>
  </w:style>
  <w:style w:type="paragraph" w:styleId="986">
    <w:name w:val="目录 3"/>
    <w:basedOn w:val="962"/>
    <w:next w:val="962"/>
    <w:link w:val="962"/>
    <w:uiPriority w:val="39"/>
    <w:unhideWhenUsed/>
    <w:pPr>
      <w:ind w:left="567" w:right="0" w:firstLine="0"/>
      <w:spacing w:after="57"/>
    </w:pPr>
  </w:style>
  <w:style w:type="paragraph" w:styleId="987">
    <w:name w:val="目录 8"/>
    <w:basedOn w:val="962"/>
    <w:next w:val="962"/>
    <w:link w:val="962"/>
    <w:uiPriority w:val="39"/>
    <w:unhideWhenUsed/>
    <w:qFormat/>
    <w:pPr>
      <w:ind w:left="1984" w:right="0" w:firstLine="0"/>
      <w:spacing w:after="57"/>
    </w:pPr>
  </w:style>
  <w:style w:type="paragraph" w:styleId="988">
    <w:name w:val="尾注文本"/>
    <w:basedOn w:val="962"/>
    <w:next w:val="988"/>
    <w:link w:val="989"/>
    <w:uiPriority w:val="99"/>
    <w:unhideWhenUsed/>
    <w:qFormat/>
    <w:pPr>
      <w:spacing w:after="0" w:line="240" w:lineRule="auto"/>
    </w:pPr>
    <w:rPr>
      <w:sz w:val="20"/>
    </w:rPr>
  </w:style>
  <w:style w:type="character" w:styleId="989">
    <w:name w:val="Endnote Text Char"/>
    <w:next w:val="989"/>
    <w:link w:val="988"/>
    <w:uiPriority w:val="99"/>
    <w:rPr>
      <w:sz w:val="20"/>
    </w:rPr>
  </w:style>
  <w:style w:type="paragraph" w:styleId="990">
    <w:name w:val="页脚"/>
    <w:basedOn w:val="962"/>
    <w:next w:val="990"/>
    <w:link w:val="991"/>
    <w:uiPriority w:val="99"/>
    <w:unhideWhenUsed/>
    <w:pPr>
      <w:spacing w:after="0" w:line="240" w:lineRule="auto"/>
      <w:tabs>
        <w:tab w:val="center" w:pos="7143" w:leader="none"/>
        <w:tab w:val="right" w:pos="14287" w:leader="none"/>
      </w:tabs>
    </w:pPr>
  </w:style>
  <w:style w:type="character" w:styleId="991">
    <w:name w:val="Caption Char"/>
    <w:next w:val="991"/>
    <w:link w:val="990"/>
    <w:uiPriority w:val="99"/>
  </w:style>
  <w:style w:type="paragraph" w:styleId="992">
    <w:name w:val="页眉"/>
    <w:basedOn w:val="962"/>
    <w:next w:val="992"/>
    <w:link w:val="993"/>
    <w:uiPriority w:val="99"/>
    <w:unhideWhenUsed/>
    <w:pPr>
      <w:spacing w:after="0" w:line="240" w:lineRule="auto"/>
      <w:tabs>
        <w:tab w:val="center" w:pos="7143" w:leader="none"/>
        <w:tab w:val="right" w:pos="14287" w:leader="none"/>
      </w:tabs>
    </w:pPr>
  </w:style>
  <w:style w:type="character" w:styleId="993">
    <w:name w:val="Header Char"/>
    <w:next w:val="993"/>
    <w:link w:val="992"/>
    <w:uiPriority w:val="99"/>
  </w:style>
  <w:style w:type="paragraph" w:styleId="994">
    <w:name w:val="目录 1"/>
    <w:basedOn w:val="962"/>
    <w:next w:val="962"/>
    <w:link w:val="962"/>
    <w:uiPriority w:val="39"/>
    <w:unhideWhenUsed/>
    <w:pPr>
      <w:ind w:left="0" w:right="0" w:firstLine="0"/>
      <w:spacing w:after="57"/>
    </w:pPr>
  </w:style>
  <w:style w:type="paragraph" w:styleId="995">
    <w:name w:val="目录 4"/>
    <w:basedOn w:val="962"/>
    <w:next w:val="962"/>
    <w:link w:val="962"/>
    <w:uiPriority w:val="39"/>
    <w:unhideWhenUsed/>
    <w:pPr>
      <w:ind w:left="850" w:right="0" w:firstLine="0"/>
      <w:spacing w:after="57"/>
    </w:pPr>
  </w:style>
  <w:style w:type="paragraph" w:styleId="996">
    <w:name w:val="副标题"/>
    <w:basedOn w:val="962"/>
    <w:next w:val="962"/>
    <w:link w:val="997"/>
    <w:uiPriority w:val="11"/>
    <w:qFormat/>
    <w:pPr>
      <w:spacing w:before="200" w:after="200"/>
    </w:pPr>
    <w:rPr>
      <w:sz w:val="24"/>
      <w:szCs w:val="24"/>
    </w:rPr>
  </w:style>
  <w:style w:type="character" w:styleId="997">
    <w:name w:val="Subtitle Char"/>
    <w:next w:val="997"/>
    <w:link w:val="996"/>
    <w:uiPriority w:val="11"/>
    <w:rPr>
      <w:sz w:val="24"/>
      <w:szCs w:val="24"/>
    </w:rPr>
  </w:style>
  <w:style w:type="paragraph" w:styleId="998">
    <w:name w:val="脚注文本"/>
    <w:basedOn w:val="962"/>
    <w:next w:val="998"/>
    <w:link w:val="999"/>
    <w:uiPriority w:val="99"/>
    <w:unhideWhenUsed/>
    <w:pPr>
      <w:spacing w:after="40" w:line="240" w:lineRule="auto"/>
    </w:pPr>
    <w:rPr>
      <w:sz w:val="18"/>
    </w:rPr>
  </w:style>
  <w:style w:type="character" w:styleId="999">
    <w:name w:val="Footnote Text Char"/>
    <w:next w:val="999"/>
    <w:link w:val="998"/>
    <w:uiPriority w:val="99"/>
    <w:rPr>
      <w:sz w:val="18"/>
    </w:rPr>
  </w:style>
  <w:style w:type="paragraph" w:styleId="1000">
    <w:name w:val="目录 6"/>
    <w:basedOn w:val="962"/>
    <w:next w:val="962"/>
    <w:link w:val="962"/>
    <w:uiPriority w:val="39"/>
    <w:unhideWhenUsed/>
    <w:pPr>
      <w:ind w:left="1417" w:right="0" w:firstLine="0"/>
      <w:spacing w:after="57"/>
    </w:pPr>
  </w:style>
  <w:style w:type="paragraph" w:styleId="1001">
    <w:name w:val="图表目录"/>
    <w:basedOn w:val="962"/>
    <w:next w:val="962"/>
    <w:link w:val="962"/>
    <w:uiPriority w:val="99"/>
    <w:unhideWhenUsed/>
    <w:qFormat/>
    <w:pPr>
      <w:spacing w:after="0" w:afterAutospacing="0"/>
    </w:pPr>
  </w:style>
  <w:style w:type="paragraph" w:styleId="1002">
    <w:name w:val="目录 2"/>
    <w:basedOn w:val="962"/>
    <w:next w:val="962"/>
    <w:link w:val="962"/>
    <w:uiPriority w:val="39"/>
    <w:unhideWhenUsed/>
    <w:pPr>
      <w:ind w:left="283" w:right="0" w:firstLine="0"/>
      <w:spacing w:after="57"/>
    </w:pPr>
  </w:style>
  <w:style w:type="paragraph" w:styleId="1003">
    <w:name w:val="目录 9"/>
    <w:basedOn w:val="962"/>
    <w:next w:val="962"/>
    <w:link w:val="962"/>
    <w:uiPriority w:val="39"/>
    <w:unhideWhenUsed/>
    <w:pPr>
      <w:ind w:left="2268" w:right="0" w:firstLine="0"/>
      <w:spacing w:after="57"/>
    </w:pPr>
  </w:style>
  <w:style w:type="paragraph" w:styleId="1004">
    <w:name w:val="标题"/>
    <w:basedOn w:val="962"/>
    <w:next w:val="962"/>
    <w:link w:val="1005"/>
    <w:uiPriority w:val="10"/>
    <w:qFormat/>
    <w:pPr>
      <w:contextualSpacing/>
      <w:spacing w:before="300" w:after="200"/>
    </w:pPr>
    <w:rPr>
      <w:sz w:val="48"/>
      <w:szCs w:val="48"/>
    </w:rPr>
  </w:style>
  <w:style w:type="character" w:styleId="1005">
    <w:name w:val="Title Char"/>
    <w:next w:val="1005"/>
    <w:link w:val="1004"/>
    <w:uiPriority w:val="10"/>
    <w:rPr>
      <w:sz w:val="48"/>
      <w:szCs w:val="48"/>
    </w:rPr>
  </w:style>
  <w:style w:type="table" w:styleId="1006">
    <w:name w:val="网格型"/>
    <w:next w:val="1006"/>
    <w:link w:val="962"/>
    <w:uiPriority w:val="59"/>
    <w:pPr>
      <w:spacing w:after="0" w:line="240" w:lineRule="auto"/>
    </w:pPr>
    <w:tblPr/>
  </w:style>
  <w:style w:type="character" w:styleId="1007">
    <w:name w:val="尾注引用"/>
    <w:next w:val="1007"/>
    <w:link w:val="962"/>
    <w:uiPriority w:val="99"/>
    <w:unhideWhenUsed/>
    <w:rPr>
      <w:vertAlign w:val="superscript"/>
    </w:rPr>
  </w:style>
  <w:style w:type="character" w:styleId="1008">
    <w:name w:val="超链接"/>
    <w:next w:val="1008"/>
    <w:link w:val="962"/>
    <w:uiPriority w:val="99"/>
    <w:unhideWhenUsed/>
    <w:rPr>
      <w:color w:val="0000ff"/>
      <w:u w:val="single"/>
    </w:rPr>
  </w:style>
  <w:style w:type="character" w:styleId="1009">
    <w:name w:val="脚注引用"/>
    <w:next w:val="1009"/>
    <w:link w:val="962"/>
    <w:uiPriority w:val="99"/>
    <w:unhideWhenUsed/>
    <w:rPr>
      <w:vertAlign w:val="superscript"/>
    </w:rPr>
  </w:style>
  <w:style w:type="character" w:styleId="1010">
    <w:name w:val="Footer Char"/>
    <w:next w:val="1010"/>
    <w:link w:val="990"/>
    <w:uiPriority w:val="99"/>
  </w:style>
  <w:style w:type="character" w:styleId="1011">
    <w:name w:val="font81"/>
    <w:next w:val="1011"/>
    <w:link w:val="962"/>
    <w:rPr>
      <w:rFonts w:ascii="Times New Roman" w:hAnsi="Times New Roman" w:cs="Times New Roman"/>
      <w:color w:val="000000"/>
      <w:sz w:val="21"/>
      <w:szCs w:val="21"/>
      <w:u w:val="none"/>
      <w:vertAlign w:val="superscript"/>
    </w:rPr>
  </w:style>
  <w:style w:type="character" w:styleId="1012">
    <w:name w:val="Heading 3 Char"/>
    <w:next w:val="1012"/>
    <w:link w:val="962"/>
    <w:uiPriority w:val="9"/>
    <w:rPr>
      <w:rFonts w:ascii="Arial" w:hAnsi="Arial" w:eastAsia="Arial" w:cs="Arial"/>
      <w:sz w:val="30"/>
      <w:szCs w:val="30"/>
    </w:rPr>
  </w:style>
  <w:style w:type="paragraph" w:styleId="1013">
    <w:name w:val="List Paragraph"/>
    <w:basedOn w:val="962"/>
    <w:next w:val="1013"/>
    <w:link w:val="962"/>
    <w:uiPriority w:val="34"/>
    <w:qFormat/>
    <w:pPr>
      <w:contextualSpacing/>
      <w:ind w:left="720"/>
    </w:pPr>
  </w:style>
  <w:style w:type="paragraph" w:styleId="1014">
    <w:name w:val="No Spacing"/>
    <w:next w:val="1014"/>
    <w:link w:val="962"/>
    <w:uiPriority w:val="1"/>
    <w:qFormat/>
    <w:pPr>
      <w:spacing w:before="0" w:after="0" w:line="240" w:lineRule="auto"/>
    </w:pPr>
    <w:rPr>
      <w:rFonts w:ascii="Times New Roman" w:hAnsi="Times New Roman" w:eastAsia="宋体" w:cs="Times New Roman"/>
    </w:rPr>
  </w:style>
  <w:style w:type="paragraph" w:styleId="1015">
    <w:name w:val="Quote"/>
    <w:basedOn w:val="962"/>
    <w:next w:val="962"/>
    <w:link w:val="1016"/>
    <w:uiPriority w:val="29"/>
    <w:qFormat/>
    <w:pPr>
      <w:ind w:left="720" w:right="720"/>
    </w:pPr>
    <w:rPr>
      <w:i/>
    </w:rPr>
  </w:style>
  <w:style w:type="character" w:styleId="1016">
    <w:name w:val="Quote Char"/>
    <w:next w:val="1016"/>
    <w:link w:val="1015"/>
    <w:uiPriority w:val="29"/>
    <w:rPr>
      <w:i/>
    </w:rPr>
  </w:style>
  <w:style w:type="paragraph" w:styleId="1017">
    <w:name w:val="Intense Quote"/>
    <w:basedOn w:val="962"/>
    <w:next w:val="962"/>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name w:val="Intense Quote Char"/>
    <w:next w:val="1018"/>
    <w:link w:val="1017"/>
    <w:uiPriority w:val="30"/>
    <w:rPr>
      <w:i/>
    </w:rPr>
  </w:style>
  <w:style w:type="table" w:styleId="1019">
    <w:name w:val="Table Grid Light"/>
    <w:next w:val="1019"/>
    <w:link w:val="962"/>
    <w:uiPriority w:val="59"/>
    <w:pPr>
      <w:spacing w:after="0" w:line="240" w:lineRule="auto"/>
    </w:pPr>
    <w:tblPr/>
  </w:style>
  <w:style w:type="table" w:styleId="1020">
    <w:name w:val="Plain Table 1"/>
    <w:next w:val="1020"/>
    <w:link w:val="962"/>
    <w:uiPriority w:val="59"/>
    <w:pPr>
      <w:spacing w:after="0" w:line="240" w:lineRule="auto"/>
    </w:pPr>
    <w:tblPr/>
  </w:style>
  <w:style w:type="table" w:styleId="1021">
    <w:name w:val="Plain Table 2"/>
    <w:next w:val="1021"/>
    <w:link w:val="962"/>
    <w:uiPriority w:val="59"/>
    <w:qFormat/>
    <w:pPr>
      <w:spacing w:after="0" w:line="240" w:lineRule="auto"/>
    </w:pPr>
    <w:tblPr/>
  </w:style>
  <w:style w:type="table" w:styleId="1022">
    <w:name w:val="Plain Table 3"/>
    <w:next w:val="1022"/>
    <w:link w:val="962"/>
    <w:uiPriority w:val="99"/>
    <w:qFormat/>
    <w:pPr>
      <w:spacing w:after="0" w:line="240" w:lineRule="auto"/>
    </w:pPr>
    <w:tblPr/>
  </w:style>
  <w:style w:type="table" w:styleId="1023">
    <w:name w:val="Plain Table 4"/>
    <w:next w:val="1023"/>
    <w:link w:val="962"/>
    <w:uiPriority w:val="99"/>
    <w:qFormat/>
    <w:pPr>
      <w:spacing w:after="0" w:line="240" w:lineRule="auto"/>
    </w:pPr>
    <w:tblPr/>
  </w:style>
  <w:style w:type="table" w:styleId="1024">
    <w:name w:val="Plain Table 5"/>
    <w:next w:val="1024"/>
    <w:link w:val="962"/>
    <w:uiPriority w:val="99"/>
    <w:pPr>
      <w:spacing w:after="0" w:line="240" w:lineRule="auto"/>
    </w:pPr>
    <w:tblPr/>
  </w:style>
  <w:style w:type="table" w:styleId="1025">
    <w:name w:val="Grid Table 1 Light"/>
    <w:next w:val="1025"/>
    <w:link w:val="962"/>
    <w:uiPriority w:val="99"/>
    <w:qFormat/>
    <w:pPr>
      <w:spacing w:after="0" w:line="240" w:lineRule="auto"/>
    </w:pPr>
    <w:tblPr/>
  </w:style>
  <w:style w:type="table" w:styleId="1026">
    <w:name w:val="Grid Table 1 Light - Accent 1"/>
    <w:next w:val="1026"/>
    <w:link w:val="962"/>
    <w:uiPriority w:val="99"/>
    <w:qFormat/>
    <w:pPr>
      <w:spacing w:after="0" w:line="240" w:lineRule="auto"/>
    </w:pPr>
    <w:tblPr/>
  </w:style>
  <w:style w:type="table" w:styleId="1027">
    <w:name w:val="Grid Table 1 Light - Accent 2"/>
    <w:next w:val="1027"/>
    <w:link w:val="962"/>
    <w:uiPriority w:val="99"/>
    <w:pPr>
      <w:spacing w:after="0" w:line="240" w:lineRule="auto"/>
    </w:pPr>
    <w:tblPr/>
  </w:style>
  <w:style w:type="table" w:styleId="1028">
    <w:name w:val="Grid Table 1 Light - Accent 3"/>
    <w:next w:val="1028"/>
    <w:link w:val="962"/>
    <w:uiPriority w:val="99"/>
    <w:qFormat/>
    <w:pPr>
      <w:spacing w:after="0" w:line="240" w:lineRule="auto"/>
    </w:pPr>
    <w:tblPr/>
  </w:style>
  <w:style w:type="table" w:styleId="1029">
    <w:name w:val="Grid Table 1 Light - Accent 4"/>
    <w:next w:val="1029"/>
    <w:link w:val="962"/>
    <w:uiPriority w:val="99"/>
    <w:pPr>
      <w:spacing w:after="0" w:line="240" w:lineRule="auto"/>
    </w:pPr>
    <w:tblPr/>
  </w:style>
  <w:style w:type="table" w:styleId="1030">
    <w:name w:val="Grid Table 1 Light - Accent 5"/>
    <w:next w:val="1030"/>
    <w:link w:val="962"/>
    <w:uiPriority w:val="99"/>
    <w:qFormat/>
    <w:pPr>
      <w:spacing w:after="0" w:line="240" w:lineRule="auto"/>
    </w:pPr>
    <w:tblPr/>
  </w:style>
  <w:style w:type="table" w:styleId="1031">
    <w:name w:val="Grid Table 1 Light - Accent 6"/>
    <w:next w:val="1031"/>
    <w:link w:val="962"/>
    <w:uiPriority w:val="99"/>
    <w:qFormat/>
    <w:pPr>
      <w:spacing w:after="0" w:line="240" w:lineRule="auto"/>
    </w:pPr>
    <w:tblPr/>
  </w:style>
  <w:style w:type="table" w:styleId="1032">
    <w:name w:val="Grid Table 2"/>
    <w:next w:val="1032"/>
    <w:link w:val="962"/>
    <w:uiPriority w:val="99"/>
    <w:qFormat/>
    <w:pPr>
      <w:spacing w:after="0" w:line="240" w:lineRule="auto"/>
    </w:pPr>
    <w:tblPr/>
  </w:style>
  <w:style w:type="table" w:styleId="1033">
    <w:name w:val="Grid Table 2 - Accent 1"/>
    <w:next w:val="1033"/>
    <w:link w:val="962"/>
    <w:uiPriority w:val="99"/>
    <w:qFormat/>
    <w:pPr>
      <w:spacing w:after="0" w:line="240" w:lineRule="auto"/>
    </w:pPr>
    <w:tblPr/>
  </w:style>
  <w:style w:type="table" w:styleId="1034">
    <w:name w:val="Grid Table 2 - Accent 2"/>
    <w:next w:val="1034"/>
    <w:link w:val="962"/>
    <w:uiPriority w:val="99"/>
    <w:qFormat/>
    <w:pPr>
      <w:spacing w:after="0" w:line="240" w:lineRule="auto"/>
    </w:pPr>
    <w:tblPr/>
  </w:style>
  <w:style w:type="table" w:styleId="1035">
    <w:name w:val="Grid Table 2 - Accent 3"/>
    <w:next w:val="1035"/>
    <w:link w:val="962"/>
    <w:uiPriority w:val="99"/>
    <w:pPr>
      <w:spacing w:after="0" w:line="240" w:lineRule="auto"/>
    </w:pPr>
    <w:tblPr/>
  </w:style>
  <w:style w:type="table" w:styleId="1036">
    <w:name w:val="Grid Table 2 - Accent 4"/>
    <w:next w:val="1036"/>
    <w:link w:val="962"/>
    <w:uiPriority w:val="99"/>
    <w:qFormat/>
    <w:pPr>
      <w:spacing w:after="0" w:line="240" w:lineRule="auto"/>
    </w:pPr>
    <w:tblPr/>
  </w:style>
  <w:style w:type="table" w:styleId="1037">
    <w:name w:val="Grid Table 2 - Accent 5"/>
    <w:next w:val="1037"/>
    <w:link w:val="962"/>
    <w:uiPriority w:val="99"/>
    <w:qFormat/>
    <w:pPr>
      <w:spacing w:after="0" w:line="240" w:lineRule="auto"/>
    </w:pPr>
    <w:tblPr/>
  </w:style>
  <w:style w:type="table" w:styleId="1038">
    <w:name w:val="Grid Table 2 - Accent 6"/>
    <w:next w:val="1038"/>
    <w:link w:val="962"/>
    <w:uiPriority w:val="99"/>
    <w:pPr>
      <w:spacing w:after="0" w:line="240" w:lineRule="auto"/>
    </w:pPr>
    <w:tblPr/>
  </w:style>
  <w:style w:type="table" w:styleId="1039">
    <w:name w:val="Grid Table 3"/>
    <w:next w:val="1039"/>
    <w:link w:val="962"/>
    <w:uiPriority w:val="99"/>
    <w:qFormat/>
    <w:pPr>
      <w:spacing w:after="0" w:line="240" w:lineRule="auto"/>
    </w:pPr>
    <w:tblPr/>
  </w:style>
  <w:style w:type="table" w:styleId="1040">
    <w:name w:val="Grid Table 3 - Accent 1"/>
    <w:next w:val="1040"/>
    <w:link w:val="962"/>
    <w:uiPriority w:val="99"/>
    <w:pPr>
      <w:spacing w:after="0" w:line="240" w:lineRule="auto"/>
    </w:pPr>
    <w:tblPr/>
  </w:style>
  <w:style w:type="table" w:styleId="1041">
    <w:name w:val="Grid Table 3 - Accent 2"/>
    <w:next w:val="1041"/>
    <w:link w:val="962"/>
    <w:uiPriority w:val="99"/>
    <w:qFormat/>
    <w:pPr>
      <w:spacing w:after="0" w:line="240" w:lineRule="auto"/>
    </w:pPr>
    <w:tblPr/>
  </w:style>
  <w:style w:type="table" w:styleId="1042">
    <w:name w:val="Grid Table 3 - Accent 3"/>
    <w:next w:val="1042"/>
    <w:link w:val="962"/>
    <w:uiPriority w:val="99"/>
    <w:pPr>
      <w:spacing w:after="0" w:line="240" w:lineRule="auto"/>
    </w:pPr>
    <w:tblPr/>
  </w:style>
  <w:style w:type="table" w:styleId="1043">
    <w:name w:val="Grid Table 3 - Accent 4"/>
    <w:next w:val="1043"/>
    <w:link w:val="962"/>
    <w:uiPriority w:val="99"/>
    <w:qFormat/>
    <w:pPr>
      <w:spacing w:after="0" w:line="240" w:lineRule="auto"/>
    </w:pPr>
    <w:tblPr/>
  </w:style>
  <w:style w:type="table" w:styleId="1044">
    <w:name w:val="Grid Table 3 - Accent 5"/>
    <w:next w:val="1044"/>
    <w:link w:val="962"/>
    <w:uiPriority w:val="99"/>
    <w:qFormat/>
    <w:pPr>
      <w:spacing w:after="0" w:line="240" w:lineRule="auto"/>
    </w:pPr>
    <w:tblPr/>
  </w:style>
  <w:style w:type="table" w:styleId="1045">
    <w:name w:val="Grid Table 3 - Accent 6"/>
    <w:next w:val="1045"/>
    <w:link w:val="962"/>
    <w:uiPriority w:val="99"/>
    <w:pPr>
      <w:spacing w:after="0" w:line="240" w:lineRule="auto"/>
    </w:pPr>
    <w:tblPr/>
  </w:style>
  <w:style w:type="table" w:styleId="1046">
    <w:name w:val="Grid Table 4"/>
    <w:next w:val="1046"/>
    <w:link w:val="962"/>
    <w:uiPriority w:val="59"/>
    <w:qFormat/>
    <w:pPr>
      <w:spacing w:after="0" w:line="240" w:lineRule="auto"/>
    </w:pPr>
    <w:tblPr/>
  </w:style>
  <w:style w:type="table" w:styleId="1047">
    <w:name w:val="Grid Table 4 - Accent 1"/>
    <w:next w:val="1047"/>
    <w:link w:val="962"/>
    <w:uiPriority w:val="59"/>
    <w:qFormat/>
    <w:pPr>
      <w:spacing w:after="0" w:line="240" w:lineRule="auto"/>
    </w:pPr>
    <w:tblPr/>
  </w:style>
  <w:style w:type="table" w:styleId="1048">
    <w:name w:val="Grid Table 4 - Accent 2"/>
    <w:next w:val="1048"/>
    <w:link w:val="962"/>
    <w:uiPriority w:val="59"/>
    <w:pPr>
      <w:spacing w:after="0" w:line="240" w:lineRule="auto"/>
    </w:pPr>
    <w:tblPr/>
  </w:style>
  <w:style w:type="table" w:styleId="1049">
    <w:name w:val="Grid Table 4 - Accent 3"/>
    <w:next w:val="1049"/>
    <w:link w:val="962"/>
    <w:uiPriority w:val="59"/>
    <w:pPr>
      <w:spacing w:after="0" w:line="240" w:lineRule="auto"/>
    </w:pPr>
    <w:tblPr/>
  </w:style>
  <w:style w:type="table" w:styleId="1050">
    <w:name w:val="Grid Table 4 - Accent 4"/>
    <w:next w:val="1050"/>
    <w:link w:val="962"/>
    <w:uiPriority w:val="59"/>
    <w:pPr>
      <w:spacing w:after="0" w:line="240" w:lineRule="auto"/>
    </w:pPr>
    <w:tblPr/>
  </w:style>
  <w:style w:type="table" w:styleId="1051">
    <w:name w:val="Grid Table 4 - Accent 5"/>
    <w:next w:val="1051"/>
    <w:link w:val="962"/>
    <w:uiPriority w:val="59"/>
    <w:qFormat/>
    <w:pPr>
      <w:spacing w:after="0" w:line="240" w:lineRule="auto"/>
    </w:pPr>
    <w:tblPr/>
  </w:style>
  <w:style w:type="table" w:styleId="1052">
    <w:name w:val="Grid Table 4 - Accent 6"/>
    <w:next w:val="1052"/>
    <w:link w:val="962"/>
    <w:uiPriority w:val="59"/>
    <w:qFormat/>
    <w:pPr>
      <w:spacing w:after="0" w:line="240" w:lineRule="auto"/>
    </w:pPr>
    <w:tblPr/>
  </w:style>
  <w:style w:type="table" w:styleId="1053">
    <w:name w:val="Grid Table 5 Dark"/>
    <w:next w:val="1053"/>
    <w:link w:val="962"/>
    <w:uiPriority w:val="99"/>
    <w:qFormat/>
    <w:pPr>
      <w:spacing w:after="0" w:line="240" w:lineRule="auto"/>
    </w:pPr>
    <w:tblPr/>
  </w:style>
  <w:style w:type="table" w:styleId="1054">
    <w:name w:val="Grid Table 5 Dark- Accent 1"/>
    <w:next w:val="1054"/>
    <w:link w:val="962"/>
    <w:uiPriority w:val="99"/>
    <w:qFormat/>
    <w:pPr>
      <w:spacing w:after="0" w:line="240" w:lineRule="auto"/>
    </w:pPr>
    <w:tblPr/>
  </w:style>
  <w:style w:type="table" w:styleId="1055">
    <w:name w:val="Grid Table 5 Dark - Accent 2"/>
    <w:next w:val="1055"/>
    <w:link w:val="962"/>
    <w:uiPriority w:val="99"/>
    <w:pPr>
      <w:spacing w:after="0" w:line="240" w:lineRule="auto"/>
    </w:pPr>
    <w:tblPr/>
  </w:style>
  <w:style w:type="table" w:styleId="1056">
    <w:name w:val="Grid Table 5 Dark - Accent 3"/>
    <w:next w:val="1056"/>
    <w:link w:val="962"/>
    <w:uiPriority w:val="99"/>
    <w:pPr>
      <w:spacing w:after="0" w:line="240" w:lineRule="auto"/>
    </w:pPr>
    <w:tblPr/>
  </w:style>
  <w:style w:type="table" w:styleId="1057">
    <w:name w:val="Grid Table 5 Dark- Accent 4"/>
    <w:next w:val="1057"/>
    <w:link w:val="962"/>
    <w:uiPriority w:val="99"/>
    <w:pPr>
      <w:spacing w:after="0" w:line="240" w:lineRule="auto"/>
    </w:pPr>
    <w:tblPr/>
  </w:style>
  <w:style w:type="table" w:styleId="1058">
    <w:name w:val="Grid Table 5 Dark - Accent 5"/>
    <w:next w:val="1058"/>
    <w:link w:val="962"/>
    <w:uiPriority w:val="99"/>
    <w:pPr>
      <w:spacing w:after="0" w:line="240" w:lineRule="auto"/>
    </w:pPr>
    <w:tblPr/>
  </w:style>
  <w:style w:type="table" w:styleId="1059">
    <w:name w:val="Grid Table 5 Dark - Accent 6"/>
    <w:next w:val="1059"/>
    <w:link w:val="962"/>
    <w:uiPriority w:val="99"/>
    <w:pPr>
      <w:spacing w:after="0" w:line="240" w:lineRule="auto"/>
    </w:pPr>
    <w:tblPr/>
  </w:style>
  <w:style w:type="table" w:styleId="1060">
    <w:name w:val="Grid Table 6 Colorful"/>
    <w:next w:val="1060"/>
    <w:link w:val="962"/>
    <w:uiPriority w:val="99"/>
    <w:pPr>
      <w:spacing w:after="0" w:line="240" w:lineRule="auto"/>
    </w:pPr>
    <w:tblPr/>
  </w:style>
  <w:style w:type="table" w:styleId="1061">
    <w:name w:val="Grid Table 6 Colorful - Accent 1"/>
    <w:next w:val="1061"/>
    <w:link w:val="962"/>
    <w:uiPriority w:val="99"/>
    <w:pPr>
      <w:spacing w:after="0" w:line="240" w:lineRule="auto"/>
    </w:pPr>
    <w:tblPr/>
  </w:style>
  <w:style w:type="table" w:styleId="1062">
    <w:name w:val="Grid Table 6 Colorful - Accent 2"/>
    <w:next w:val="1062"/>
    <w:link w:val="962"/>
    <w:uiPriority w:val="99"/>
    <w:pPr>
      <w:spacing w:after="0" w:line="240" w:lineRule="auto"/>
    </w:pPr>
    <w:tblPr/>
  </w:style>
  <w:style w:type="table" w:styleId="1063">
    <w:name w:val="Grid Table 6 Colorful - Accent 3"/>
    <w:next w:val="1063"/>
    <w:link w:val="962"/>
    <w:uiPriority w:val="99"/>
    <w:pPr>
      <w:spacing w:after="0" w:line="240" w:lineRule="auto"/>
    </w:pPr>
    <w:tblPr/>
  </w:style>
  <w:style w:type="table" w:styleId="1064">
    <w:name w:val="Grid Table 6 Colorful - Accent 4"/>
    <w:next w:val="1064"/>
    <w:link w:val="962"/>
    <w:uiPriority w:val="99"/>
    <w:pPr>
      <w:spacing w:after="0" w:line="240" w:lineRule="auto"/>
    </w:pPr>
    <w:tblPr/>
  </w:style>
  <w:style w:type="table" w:styleId="1065">
    <w:name w:val="Grid Table 6 Colorful - Accent 5"/>
    <w:next w:val="1065"/>
    <w:link w:val="962"/>
    <w:uiPriority w:val="99"/>
    <w:qFormat/>
    <w:pPr>
      <w:spacing w:after="0" w:line="240" w:lineRule="auto"/>
    </w:pPr>
    <w:tblPr/>
  </w:style>
  <w:style w:type="table" w:styleId="1066">
    <w:name w:val="Grid Table 6 Colorful - Accent 6"/>
    <w:next w:val="1066"/>
    <w:link w:val="962"/>
    <w:uiPriority w:val="99"/>
    <w:pPr>
      <w:spacing w:after="0" w:line="240" w:lineRule="auto"/>
    </w:pPr>
    <w:tblPr/>
  </w:style>
  <w:style w:type="table" w:styleId="1067">
    <w:name w:val="Grid Table 7 Colorful"/>
    <w:next w:val="1067"/>
    <w:link w:val="962"/>
    <w:uiPriority w:val="99"/>
    <w:qFormat/>
    <w:pPr>
      <w:spacing w:after="0" w:line="240" w:lineRule="auto"/>
    </w:pPr>
    <w:tblPr/>
  </w:style>
  <w:style w:type="table" w:styleId="1068">
    <w:name w:val="Grid Table 7 Colorful - Accent 1"/>
    <w:next w:val="1068"/>
    <w:link w:val="962"/>
    <w:uiPriority w:val="99"/>
    <w:qFormat/>
    <w:pPr>
      <w:spacing w:after="0" w:line="240" w:lineRule="auto"/>
    </w:pPr>
    <w:tblPr/>
  </w:style>
  <w:style w:type="table" w:styleId="1069">
    <w:name w:val="Grid Table 7 Colorful - Accent 2"/>
    <w:next w:val="1069"/>
    <w:link w:val="962"/>
    <w:uiPriority w:val="99"/>
    <w:pPr>
      <w:spacing w:after="0" w:line="240" w:lineRule="auto"/>
    </w:pPr>
    <w:tblPr/>
  </w:style>
  <w:style w:type="table" w:styleId="1070">
    <w:name w:val="Grid Table 7 Colorful - Accent 3"/>
    <w:next w:val="1070"/>
    <w:link w:val="962"/>
    <w:uiPriority w:val="99"/>
    <w:pPr>
      <w:spacing w:after="0" w:line="240" w:lineRule="auto"/>
    </w:pPr>
    <w:tblPr/>
  </w:style>
  <w:style w:type="table" w:styleId="1071">
    <w:name w:val="Grid Table 7 Colorful - Accent 4"/>
    <w:next w:val="1071"/>
    <w:link w:val="962"/>
    <w:uiPriority w:val="99"/>
    <w:pPr>
      <w:spacing w:after="0" w:line="240" w:lineRule="auto"/>
    </w:pPr>
    <w:tblPr/>
  </w:style>
  <w:style w:type="table" w:styleId="1072">
    <w:name w:val="Grid Table 7 Colorful - Accent 5"/>
    <w:next w:val="1072"/>
    <w:link w:val="962"/>
    <w:uiPriority w:val="99"/>
    <w:pPr>
      <w:spacing w:after="0" w:line="240" w:lineRule="auto"/>
    </w:pPr>
    <w:tblPr/>
  </w:style>
  <w:style w:type="table" w:styleId="1073">
    <w:name w:val="Grid Table 7 Colorful - Accent 6"/>
    <w:next w:val="1073"/>
    <w:link w:val="962"/>
    <w:uiPriority w:val="99"/>
    <w:pPr>
      <w:spacing w:after="0" w:line="240" w:lineRule="auto"/>
    </w:pPr>
    <w:tblPr/>
  </w:style>
  <w:style w:type="table" w:styleId="1074">
    <w:name w:val="List Table 1 Light"/>
    <w:next w:val="1074"/>
    <w:link w:val="962"/>
    <w:uiPriority w:val="99"/>
    <w:pPr>
      <w:spacing w:after="0" w:line="240" w:lineRule="auto"/>
    </w:pPr>
    <w:tblPr/>
  </w:style>
  <w:style w:type="table" w:styleId="1075">
    <w:name w:val="List Table 1 Light - Accent 1"/>
    <w:next w:val="1075"/>
    <w:link w:val="962"/>
    <w:uiPriority w:val="99"/>
    <w:pPr>
      <w:spacing w:after="0" w:line="240" w:lineRule="auto"/>
    </w:pPr>
    <w:tblPr/>
  </w:style>
  <w:style w:type="table" w:styleId="1076">
    <w:name w:val="List Table 1 Light - Accent 2"/>
    <w:next w:val="1076"/>
    <w:link w:val="962"/>
    <w:uiPriority w:val="99"/>
    <w:qFormat/>
    <w:pPr>
      <w:spacing w:after="0" w:line="240" w:lineRule="auto"/>
    </w:pPr>
    <w:tblPr/>
  </w:style>
  <w:style w:type="table" w:styleId="1077">
    <w:name w:val="List Table 1 Light - Accent 3"/>
    <w:next w:val="1077"/>
    <w:link w:val="962"/>
    <w:uiPriority w:val="99"/>
    <w:pPr>
      <w:spacing w:after="0" w:line="240" w:lineRule="auto"/>
    </w:pPr>
    <w:tblPr/>
  </w:style>
  <w:style w:type="table" w:styleId="1078">
    <w:name w:val="List Table 1 Light - Accent 4"/>
    <w:next w:val="1078"/>
    <w:link w:val="962"/>
    <w:uiPriority w:val="99"/>
    <w:pPr>
      <w:spacing w:after="0" w:line="240" w:lineRule="auto"/>
    </w:pPr>
    <w:tblPr/>
  </w:style>
  <w:style w:type="table" w:styleId="1079">
    <w:name w:val="List Table 1 Light - Accent 5"/>
    <w:next w:val="1079"/>
    <w:link w:val="962"/>
    <w:uiPriority w:val="99"/>
    <w:qFormat/>
    <w:pPr>
      <w:spacing w:after="0" w:line="240" w:lineRule="auto"/>
    </w:pPr>
    <w:tblPr/>
  </w:style>
  <w:style w:type="table" w:styleId="1080">
    <w:name w:val="List Table 1 Light - Accent 6"/>
    <w:next w:val="1080"/>
    <w:link w:val="962"/>
    <w:uiPriority w:val="99"/>
    <w:pPr>
      <w:spacing w:after="0" w:line="240" w:lineRule="auto"/>
    </w:pPr>
    <w:tblPr/>
  </w:style>
  <w:style w:type="table" w:styleId="1081">
    <w:name w:val="List Table 2"/>
    <w:next w:val="1081"/>
    <w:link w:val="962"/>
    <w:uiPriority w:val="99"/>
    <w:pPr>
      <w:spacing w:after="0" w:line="240" w:lineRule="auto"/>
    </w:pPr>
    <w:tblPr/>
  </w:style>
  <w:style w:type="table" w:styleId="1082">
    <w:name w:val="List Table 2 - Accent 1"/>
    <w:next w:val="1082"/>
    <w:link w:val="962"/>
    <w:uiPriority w:val="99"/>
    <w:pPr>
      <w:spacing w:after="0" w:line="240" w:lineRule="auto"/>
    </w:pPr>
    <w:tblPr/>
  </w:style>
  <w:style w:type="table" w:styleId="1083">
    <w:name w:val="List Table 2 - Accent 2"/>
    <w:next w:val="1083"/>
    <w:link w:val="962"/>
    <w:uiPriority w:val="99"/>
    <w:pPr>
      <w:spacing w:after="0" w:line="240" w:lineRule="auto"/>
    </w:pPr>
    <w:tblPr/>
  </w:style>
  <w:style w:type="table" w:styleId="1084">
    <w:name w:val="List Table 2 - Accent 3"/>
    <w:next w:val="1084"/>
    <w:link w:val="962"/>
    <w:uiPriority w:val="99"/>
    <w:pPr>
      <w:spacing w:after="0" w:line="240" w:lineRule="auto"/>
    </w:pPr>
    <w:tblPr/>
  </w:style>
  <w:style w:type="table" w:styleId="1085">
    <w:name w:val="List Table 2 - Accent 4"/>
    <w:next w:val="1085"/>
    <w:link w:val="962"/>
    <w:uiPriority w:val="99"/>
    <w:qFormat/>
    <w:pPr>
      <w:spacing w:after="0" w:line="240" w:lineRule="auto"/>
    </w:pPr>
    <w:tblPr/>
  </w:style>
  <w:style w:type="table" w:styleId="1086">
    <w:name w:val="List Table 2 - Accent 5"/>
    <w:next w:val="1086"/>
    <w:link w:val="962"/>
    <w:uiPriority w:val="99"/>
    <w:pPr>
      <w:spacing w:after="0" w:line="240" w:lineRule="auto"/>
    </w:pPr>
    <w:tblPr/>
  </w:style>
  <w:style w:type="table" w:styleId="1087">
    <w:name w:val="List Table 2 - Accent 6"/>
    <w:next w:val="1087"/>
    <w:link w:val="962"/>
    <w:uiPriority w:val="99"/>
    <w:pPr>
      <w:spacing w:after="0" w:line="240" w:lineRule="auto"/>
    </w:pPr>
    <w:tblPr/>
  </w:style>
  <w:style w:type="table" w:styleId="1088">
    <w:name w:val="List Table 3"/>
    <w:next w:val="1088"/>
    <w:link w:val="962"/>
    <w:uiPriority w:val="99"/>
    <w:pPr>
      <w:spacing w:after="0" w:line="240" w:lineRule="auto"/>
    </w:pPr>
    <w:tblPr/>
  </w:style>
  <w:style w:type="table" w:styleId="1089">
    <w:name w:val="List Table 3 - Accent 1"/>
    <w:next w:val="1089"/>
    <w:link w:val="962"/>
    <w:uiPriority w:val="99"/>
    <w:pPr>
      <w:spacing w:after="0" w:line="240" w:lineRule="auto"/>
    </w:pPr>
    <w:tblPr/>
  </w:style>
  <w:style w:type="table" w:styleId="1090">
    <w:name w:val="List Table 3 - Accent 2"/>
    <w:next w:val="1090"/>
    <w:link w:val="962"/>
    <w:uiPriority w:val="99"/>
    <w:pPr>
      <w:spacing w:after="0" w:line="240" w:lineRule="auto"/>
    </w:pPr>
    <w:tblPr/>
  </w:style>
  <w:style w:type="table" w:styleId="1091">
    <w:name w:val="List Table 3 - Accent 3"/>
    <w:next w:val="1091"/>
    <w:link w:val="962"/>
    <w:uiPriority w:val="99"/>
    <w:pPr>
      <w:spacing w:after="0" w:line="240" w:lineRule="auto"/>
    </w:pPr>
    <w:tblPr/>
  </w:style>
  <w:style w:type="table" w:styleId="1092">
    <w:name w:val="List Table 3 - Accent 4"/>
    <w:next w:val="1092"/>
    <w:link w:val="962"/>
    <w:uiPriority w:val="99"/>
    <w:pPr>
      <w:spacing w:after="0" w:line="240" w:lineRule="auto"/>
    </w:pPr>
    <w:tblPr/>
  </w:style>
  <w:style w:type="table" w:styleId="1093">
    <w:name w:val="List Table 3 - Accent 5"/>
    <w:next w:val="1093"/>
    <w:link w:val="962"/>
    <w:uiPriority w:val="99"/>
    <w:pPr>
      <w:spacing w:after="0" w:line="240" w:lineRule="auto"/>
    </w:pPr>
    <w:tblPr/>
  </w:style>
  <w:style w:type="table" w:styleId="1094">
    <w:name w:val="List Table 3 - Accent 6"/>
    <w:next w:val="1094"/>
    <w:link w:val="962"/>
    <w:uiPriority w:val="99"/>
    <w:pPr>
      <w:spacing w:after="0" w:line="240" w:lineRule="auto"/>
    </w:pPr>
    <w:tblPr/>
  </w:style>
  <w:style w:type="table" w:styleId="1095">
    <w:name w:val="List Table 4"/>
    <w:next w:val="1095"/>
    <w:link w:val="962"/>
    <w:uiPriority w:val="99"/>
    <w:pPr>
      <w:spacing w:after="0" w:line="240" w:lineRule="auto"/>
    </w:pPr>
    <w:tblPr/>
  </w:style>
  <w:style w:type="table" w:styleId="1096">
    <w:name w:val="List Table 4 - Accent 1"/>
    <w:next w:val="1096"/>
    <w:link w:val="962"/>
    <w:uiPriority w:val="99"/>
    <w:qFormat/>
    <w:pPr>
      <w:spacing w:after="0" w:line="240" w:lineRule="auto"/>
    </w:pPr>
    <w:tblPr/>
  </w:style>
  <w:style w:type="table" w:styleId="1097">
    <w:name w:val="List Table 4 - Accent 2"/>
    <w:next w:val="1097"/>
    <w:link w:val="962"/>
    <w:uiPriority w:val="99"/>
    <w:pPr>
      <w:spacing w:after="0" w:line="240" w:lineRule="auto"/>
    </w:pPr>
    <w:tblPr/>
  </w:style>
  <w:style w:type="table" w:styleId="1098">
    <w:name w:val="List Table 4 - Accent 3"/>
    <w:next w:val="1098"/>
    <w:link w:val="962"/>
    <w:uiPriority w:val="99"/>
    <w:pPr>
      <w:spacing w:after="0" w:line="240" w:lineRule="auto"/>
    </w:pPr>
    <w:tblPr/>
  </w:style>
  <w:style w:type="table" w:styleId="1099">
    <w:name w:val="List Table 4 - Accent 4"/>
    <w:next w:val="1099"/>
    <w:link w:val="962"/>
    <w:uiPriority w:val="99"/>
    <w:pPr>
      <w:spacing w:after="0" w:line="240" w:lineRule="auto"/>
    </w:pPr>
    <w:tblPr/>
  </w:style>
  <w:style w:type="table" w:styleId="1100">
    <w:name w:val="List Table 4 - Accent 5"/>
    <w:next w:val="1100"/>
    <w:link w:val="962"/>
    <w:uiPriority w:val="99"/>
    <w:pPr>
      <w:spacing w:after="0" w:line="240" w:lineRule="auto"/>
    </w:pPr>
    <w:tblPr/>
  </w:style>
  <w:style w:type="table" w:styleId="1101">
    <w:name w:val="List Table 4 - Accent 6"/>
    <w:next w:val="1101"/>
    <w:link w:val="962"/>
    <w:uiPriority w:val="99"/>
    <w:pPr>
      <w:spacing w:after="0" w:line="240" w:lineRule="auto"/>
    </w:pPr>
    <w:tblPr/>
  </w:style>
  <w:style w:type="table" w:styleId="1102">
    <w:name w:val="List Table 5 Dark"/>
    <w:next w:val="1102"/>
    <w:link w:val="962"/>
    <w:uiPriority w:val="99"/>
    <w:pPr>
      <w:spacing w:after="0" w:line="240" w:lineRule="auto"/>
    </w:pPr>
    <w:tblPr/>
  </w:style>
  <w:style w:type="table" w:styleId="1103">
    <w:name w:val="List Table 5 Dark - Accent 1"/>
    <w:next w:val="1103"/>
    <w:link w:val="962"/>
    <w:uiPriority w:val="99"/>
    <w:pPr>
      <w:spacing w:after="0" w:line="240" w:lineRule="auto"/>
    </w:pPr>
    <w:tblPr/>
  </w:style>
  <w:style w:type="table" w:styleId="1104">
    <w:name w:val="List Table 5 Dark - Accent 2"/>
    <w:next w:val="1104"/>
    <w:link w:val="962"/>
    <w:uiPriority w:val="99"/>
    <w:pPr>
      <w:spacing w:after="0" w:line="240" w:lineRule="auto"/>
    </w:pPr>
    <w:tblPr/>
  </w:style>
  <w:style w:type="table" w:styleId="1105">
    <w:name w:val="List Table 5 Dark - Accent 3"/>
    <w:next w:val="1105"/>
    <w:link w:val="962"/>
    <w:uiPriority w:val="99"/>
    <w:pPr>
      <w:spacing w:after="0" w:line="240" w:lineRule="auto"/>
    </w:pPr>
    <w:tblPr/>
  </w:style>
  <w:style w:type="table" w:styleId="1106">
    <w:name w:val="List Table 5 Dark - Accent 4"/>
    <w:next w:val="1106"/>
    <w:link w:val="962"/>
    <w:uiPriority w:val="99"/>
    <w:pPr>
      <w:spacing w:after="0" w:line="240" w:lineRule="auto"/>
    </w:pPr>
    <w:tblPr/>
  </w:style>
  <w:style w:type="table" w:styleId="1107">
    <w:name w:val="List Table 5 Dark - Accent 5"/>
    <w:next w:val="1107"/>
    <w:link w:val="962"/>
    <w:uiPriority w:val="99"/>
    <w:pPr>
      <w:spacing w:after="0" w:line="240" w:lineRule="auto"/>
    </w:pPr>
    <w:tblPr/>
  </w:style>
  <w:style w:type="table" w:styleId="1108">
    <w:name w:val="List Table 5 Dark - Accent 6"/>
    <w:next w:val="1108"/>
    <w:link w:val="962"/>
    <w:uiPriority w:val="99"/>
    <w:pPr>
      <w:spacing w:after="0" w:line="240" w:lineRule="auto"/>
    </w:pPr>
    <w:tblPr/>
  </w:style>
  <w:style w:type="table" w:styleId="1109">
    <w:name w:val="List Table 6 Colorful"/>
    <w:next w:val="1109"/>
    <w:link w:val="962"/>
    <w:uiPriority w:val="99"/>
    <w:pPr>
      <w:spacing w:after="0" w:line="240" w:lineRule="auto"/>
    </w:pPr>
    <w:tblPr/>
  </w:style>
  <w:style w:type="table" w:styleId="1110">
    <w:name w:val="List Table 6 Colorful - Accent 1"/>
    <w:next w:val="1110"/>
    <w:link w:val="962"/>
    <w:uiPriority w:val="99"/>
    <w:pPr>
      <w:spacing w:after="0" w:line="240" w:lineRule="auto"/>
    </w:pPr>
    <w:tblPr/>
  </w:style>
  <w:style w:type="table" w:styleId="1111">
    <w:name w:val="List Table 6 Colorful - Accent 2"/>
    <w:next w:val="1111"/>
    <w:link w:val="962"/>
    <w:uiPriority w:val="99"/>
    <w:pPr>
      <w:spacing w:after="0" w:line="240" w:lineRule="auto"/>
    </w:pPr>
    <w:tblPr/>
  </w:style>
  <w:style w:type="table" w:styleId="1112">
    <w:name w:val="List Table 6 Colorful - Accent 3"/>
    <w:next w:val="1112"/>
    <w:link w:val="962"/>
    <w:uiPriority w:val="99"/>
    <w:pPr>
      <w:spacing w:after="0" w:line="240" w:lineRule="auto"/>
    </w:pPr>
    <w:tblPr/>
  </w:style>
  <w:style w:type="table" w:styleId="1113">
    <w:name w:val="List Table 6 Colorful - Accent 4"/>
    <w:next w:val="1113"/>
    <w:link w:val="962"/>
    <w:uiPriority w:val="99"/>
    <w:pPr>
      <w:spacing w:after="0" w:line="240" w:lineRule="auto"/>
    </w:pPr>
    <w:tblPr/>
  </w:style>
  <w:style w:type="table" w:styleId="1114">
    <w:name w:val="List Table 6 Colorful - Accent 5"/>
    <w:next w:val="1114"/>
    <w:link w:val="962"/>
    <w:uiPriority w:val="99"/>
    <w:pPr>
      <w:spacing w:after="0" w:line="240" w:lineRule="auto"/>
    </w:pPr>
    <w:tblPr/>
  </w:style>
  <w:style w:type="table" w:styleId="1115">
    <w:name w:val="List Table 6 Colorful - Accent 6"/>
    <w:next w:val="1115"/>
    <w:link w:val="962"/>
    <w:uiPriority w:val="99"/>
    <w:pPr>
      <w:spacing w:after="0" w:line="240" w:lineRule="auto"/>
    </w:pPr>
    <w:tblPr/>
  </w:style>
  <w:style w:type="table" w:styleId="1116">
    <w:name w:val="List Table 7 Colorful"/>
    <w:next w:val="1116"/>
    <w:link w:val="962"/>
    <w:uiPriority w:val="99"/>
    <w:pPr>
      <w:spacing w:after="0" w:line="240" w:lineRule="auto"/>
    </w:pPr>
    <w:tblPr/>
  </w:style>
  <w:style w:type="table" w:styleId="1117">
    <w:name w:val="List Table 7 Colorful - Accent 1"/>
    <w:next w:val="1117"/>
    <w:link w:val="962"/>
    <w:uiPriority w:val="99"/>
    <w:pPr>
      <w:spacing w:after="0" w:line="240" w:lineRule="auto"/>
    </w:pPr>
    <w:tblPr/>
  </w:style>
  <w:style w:type="table" w:styleId="1118">
    <w:name w:val="List Table 7 Colorful - Accent 2"/>
    <w:next w:val="1118"/>
    <w:link w:val="962"/>
    <w:uiPriority w:val="99"/>
    <w:pPr>
      <w:spacing w:after="0" w:line="240" w:lineRule="auto"/>
    </w:pPr>
    <w:tblPr/>
  </w:style>
  <w:style w:type="table" w:styleId="1119">
    <w:name w:val="List Table 7 Colorful - Accent 3"/>
    <w:next w:val="1119"/>
    <w:link w:val="962"/>
    <w:uiPriority w:val="99"/>
    <w:pPr>
      <w:spacing w:after="0" w:line="240" w:lineRule="auto"/>
    </w:pPr>
    <w:tblPr/>
  </w:style>
  <w:style w:type="table" w:styleId="1120">
    <w:name w:val="List Table 7 Colorful - Accent 4"/>
    <w:next w:val="1120"/>
    <w:link w:val="962"/>
    <w:uiPriority w:val="99"/>
    <w:pPr>
      <w:spacing w:after="0" w:line="240" w:lineRule="auto"/>
    </w:pPr>
    <w:tblPr/>
  </w:style>
  <w:style w:type="table" w:styleId="1121">
    <w:name w:val="List Table 7 Colorful - Accent 5"/>
    <w:next w:val="1121"/>
    <w:link w:val="962"/>
    <w:uiPriority w:val="99"/>
    <w:pPr>
      <w:spacing w:after="0" w:line="240" w:lineRule="auto"/>
    </w:pPr>
    <w:tblPr/>
  </w:style>
  <w:style w:type="table" w:styleId="1122">
    <w:name w:val="List Table 7 Colorful - Accent 6"/>
    <w:next w:val="1122"/>
    <w:link w:val="962"/>
    <w:uiPriority w:val="99"/>
    <w:pPr>
      <w:spacing w:after="0" w:line="240" w:lineRule="auto"/>
    </w:pPr>
    <w:tblPr/>
  </w:style>
  <w:style w:type="table" w:styleId="1123">
    <w:name w:val="Lined - Accent"/>
    <w:next w:val="1123"/>
    <w:link w:val="962"/>
    <w:uiPriority w:val="99"/>
    <w:pPr>
      <w:spacing w:after="0" w:line="240" w:lineRule="auto"/>
    </w:pPr>
    <w:rPr>
      <w:color w:val="404040"/>
    </w:rPr>
    <w:tblPr/>
  </w:style>
  <w:style w:type="table" w:styleId="1124">
    <w:name w:val="Lined - Accent 1"/>
    <w:next w:val="1124"/>
    <w:link w:val="962"/>
    <w:uiPriority w:val="99"/>
    <w:pPr>
      <w:spacing w:after="0" w:line="240" w:lineRule="auto"/>
    </w:pPr>
    <w:rPr>
      <w:color w:val="404040"/>
    </w:rPr>
    <w:tblPr/>
  </w:style>
  <w:style w:type="table" w:styleId="1125">
    <w:name w:val="Lined - Accent 2"/>
    <w:next w:val="1125"/>
    <w:link w:val="962"/>
    <w:uiPriority w:val="99"/>
    <w:pPr>
      <w:spacing w:after="0" w:line="240" w:lineRule="auto"/>
    </w:pPr>
    <w:rPr>
      <w:color w:val="404040"/>
    </w:rPr>
    <w:tblPr/>
  </w:style>
  <w:style w:type="table" w:styleId="1126">
    <w:name w:val="Lined - Accent 3"/>
    <w:next w:val="1126"/>
    <w:link w:val="962"/>
    <w:uiPriority w:val="99"/>
    <w:pPr>
      <w:spacing w:after="0" w:line="240" w:lineRule="auto"/>
    </w:pPr>
    <w:rPr>
      <w:color w:val="404040"/>
    </w:rPr>
    <w:tblPr/>
  </w:style>
  <w:style w:type="table" w:styleId="1127">
    <w:name w:val="Lined - Accent 4"/>
    <w:next w:val="1127"/>
    <w:link w:val="962"/>
    <w:uiPriority w:val="99"/>
    <w:pPr>
      <w:spacing w:after="0" w:line="240" w:lineRule="auto"/>
    </w:pPr>
    <w:rPr>
      <w:color w:val="404040"/>
    </w:rPr>
    <w:tblPr/>
  </w:style>
  <w:style w:type="table" w:styleId="1128">
    <w:name w:val="Lined - Accent 5"/>
    <w:next w:val="1128"/>
    <w:link w:val="962"/>
    <w:uiPriority w:val="99"/>
    <w:pPr>
      <w:spacing w:after="0" w:line="240" w:lineRule="auto"/>
    </w:pPr>
    <w:rPr>
      <w:color w:val="404040"/>
    </w:rPr>
    <w:tblPr/>
  </w:style>
  <w:style w:type="table" w:styleId="1129">
    <w:name w:val="Lined - Accent 6"/>
    <w:next w:val="1129"/>
    <w:link w:val="962"/>
    <w:uiPriority w:val="99"/>
    <w:pPr>
      <w:spacing w:after="0" w:line="240" w:lineRule="auto"/>
    </w:pPr>
    <w:rPr>
      <w:color w:val="404040"/>
    </w:rPr>
    <w:tblPr/>
  </w:style>
  <w:style w:type="table" w:styleId="1130">
    <w:name w:val="Bordered &amp; Lined - Accent"/>
    <w:next w:val="1130"/>
    <w:link w:val="962"/>
    <w:uiPriority w:val="99"/>
    <w:pPr>
      <w:spacing w:after="0" w:line="240" w:lineRule="auto"/>
    </w:pPr>
    <w:rPr>
      <w:color w:val="404040"/>
    </w:rPr>
    <w:tblPr/>
  </w:style>
  <w:style w:type="table" w:styleId="1131">
    <w:name w:val="Bordered &amp; Lined - Accent 1"/>
    <w:next w:val="1131"/>
    <w:link w:val="962"/>
    <w:uiPriority w:val="99"/>
    <w:pPr>
      <w:spacing w:after="0" w:line="240" w:lineRule="auto"/>
    </w:pPr>
    <w:rPr>
      <w:color w:val="404040"/>
    </w:rPr>
    <w:tblPr/>
  </w:style>
  <w:style w:type="table" w:styleId="1132">
    <w:name w:val="Bordered &amp; Lined - Accent 2"/>
    <w:next w:val="1132"/>
    <w:link w:val="962"/>
    <w:uiPriority w:val="99"/>
    <w:pPr>
      <w:spacing w:after="0" w:line="240" w:lineRule="auto"/>
    </w:pPr>
    <w:rPr>
      <w:color w:val="404040"/>
    </w:rPr>
    <w:tblPr/>
  </w:style>
  <w:style w:type="table" w:styleId="1133">
    <w:name w:val="Bordered &amp; Lined - Accent 3"/>
    <w:next w:val="1133"/>
    <w:link w:val="962"/>
    <w:uiPriority w:val="99"/>
    <w:pPr>
      <w:spacing w:after="0" w:line="240" w:lineRule="auto"/>
    </w:pPr>
    <w:rPr>
      <w:color w:val="404040"/>
    </w:rPr>
    <w:tblPr/>
  </w:style>
  <w:style w:type="table" w:styleId="1134">
    <w:name w:val="Bordered &amp; Lined - Accent 4"/>
    <w:next w:val="1134"/>
    <w:link w:val="962"/>
    <w:uiPriority w:val="99"/>
    <w:pPr>
      <w:spacing w:after="0" w:line="240" w:lineRule="auto"/>
    </w:pPr>
    <w:rPr>
      <w:color w:val="404040"/>
    </w:rPr>
    <w:tblPr/>
  </w:style>
  <w:style w:type="table" w:styleId="1135">
    <w:name w:val="Bordered &amp; Lined - Accent 5"/>
    <w:next w:val="1135"/>
    <w:link w:val="962"/>
    <w:uiPriority w:val="99"/>
    <w:pPr>
      <w:spacing w:after="0" w:line="240" w:lineRule="auto"/>
    </w:pPr>
    <w:rPr>
      <w:color w:val="404040"/>
    </w:rPr>
    <w:tblPr/>
  </w:style>
  <w:style w:type="table" w:styleId="1136">
    <w:name w:val="Bordered &amp; Lined - Accent 6"/>
    <w:next w:val="1136"/>
    <w:link w:val="962"/>
    <w:uiPriority w:val="99"/>
    <w:pPr>
      <w:spacing w:after="0" w:line="240" w:lineRule="auto"/>
    </w:pPr>
    <w:rPr>
      <w:color w:val="404040"/>
    </w:rPr>
    <w:tblPr/>
  </w:style>
  <w:style w:type="table" w:styleId="1137">
    <w:name w:val="Bordered"/>
    <w:next w:val="1137"/>
    <w:link w:val="962"/>
    <w:uiPriority w:val="99"/>
    <w:pPr>
      <w:spacing w:after="0" w:line="240" w:lineRule="auto"/>
    </w:pPr>
    <w:tblPr/>
  </w:style>
  <w:style w:type="table" w:styleId="1138">
    <w:name w:val="Bordered - Accent 1"/>
    <w:next w:val="1138"/>
    <w:link w:val="962"/>
    <w:uiPriority w:val="99"/>
    <w:pPr>
      <w:spacing w:after="0" w:line="240" w:lineRule="auto"/>
    </w:pPr>
    <w:tblPr/>
  </w:style>
  <w:style w:type="table" w:styleId="1139">
    <w:name w:val="Bordered - Accent 2"/>
    <w:next w:val="1139"/>
    <w:link w:val="962"/>
    <w:uiPriority w:val="99"/>
    <w:pPr>
      <w:spacing w:after="0" w:line="240" w:lineRule="auto"/>
    </w:pPr>
    <w:tblPr/>
  </w:style>
  <w:style w:type="table" w:styleId="1140">
    <w:name w:val="Bordered - Accent 3"/>
    <w:next w:val="1140"/>
    <w:link w:val="962"/>
    <w:uiPriority w:val="99"/>
    <w:pPr>
      <w:spacing w:after="0" w:line="240" w:lineRule="auto"/>
    </w:pPr>
    <w:tblPr/>
  </w:style>
  <w:style w:type="table" w:styleId="1141">
    <w:name w:val="Bordered - Accent 4"/>
    <w:next w:val="1141"/>
    <w:link w:val="962"/>
    <w:uiPriority w:val="99"/>
    <w:pPr>
      <w:spacing w:after="0" w:line="240" w:lineRule="auto"/>
    </w:pPr>
    <w:tblPr/>
  </w:style>
  <w:style w:type="table" w:styleId="1142">
    <w:name w:val="Bordered - Accent 5"/>
    <w:next w:val="1142"/>
    <w:link w:val="962"/>
    <w:uiPriority w:val="99"/>
    <w:pPr>
      <w:spacing w:after="0" w:line="240" w:lineRule="auto"/>
    </w:pPr>
    <w:tblPr/>
  </w:style>
  <w:style w:type="table" w:styleId="1143">
    <w:name w:val="Bordered - Accent 6"/>
    <w:next w:val="1143"/>
    <w:link w:val="962"/>
    <w:uiPriority w:val="99"/>
    <w:pPr>
      <w:spacing w:after="0" w:line="240" w:lineRule="auto"/>
    </w:pPr>
    <w:tblPr/>
  </w:style>
  <w:style w:type="paragraph" w:styleId="1144">
    <w:name w:val="TOC Heading"/>
    <w:next w:val="1144"/>
    <w:link w:val="962"/>
    <w:uiPriority w:val="39"/>
    <w:unhideWhenUsed/>
    <w:rPr>
      <w:rFonts w:ascii="Times New Roman" w:hAnsi="Times New Roman" w:eastAsia="宋体" w:cs="Times New Roman"/>
    </w:rPr>
  </w:style>
  <w:style w:type="paragraph" w:styleId="1145">
    <w:name w:val="标题 11"/>
    <w:basedOn w:val="962"/>
    <w:next w:val="962"/>
    <w:link w:val="1146"/>
    <w:qFormat/>
    <w:pPr>
      <w:jc w:val="center"/>
      <w:keepLines/>
      <w:keepNext/>
      <w:spacing w:before="240" w:after="120" w:line="300" w:lineRule="auto"/>
      <w:outlineLvl w:val="0"/>
    </w:pPr>
    <w:rPr>
      <w:rFonts w:ascii="宋体"/>
      <w:b/>
      <w:sz w:val="32"/>
      <w:szCs w:val="20"/>
    </w:rPr>
  </w:style>
  <w:style w:type="character" w:styleId="1146">
    <w:name w:val="标题 1 Char"/>
    <w:next w:val="1146"/>
    <w:link w:val="1145"/>
    <w:qFormat/>
    <w:rPr>
      <w:rFonts w:ascii="宋体"/>
      <w:b/>
      <w:sz w:val="32"/>
    </w:rPr>
  </w:style>
  <w:style w:type="paragraph" w:styleId="1147">
    <w:name w:val="标题 21"/>
    <w:basedOn w:val="962"/>
    <w:next w:val="962"/>
    <w:link w:val="1148"/>
    <w:qFormat/>
    <w:pPr>
      <w:jc w:val="center"/>
      <w:keepLines/>
      <w:keepNext/>
      <w:spacing w:before="120" w:line="300" w:lineRule="auto"/>
      <w:outlineLvl w:val="1"/>
    </w:pPr>
    <w:rPr>
      <w:rFonts w:ascii="Arial" w:hAnsi="Arial" w:eastAsia="黑体"/>
      <w:b/>
      <w:sz w:val="30"/>
      <w:szCs w:val="20"/>
    </w:rPr>
  </w:style>
  <w:style w:type="character" w:styleId="1148">
    <w:name w:val="标题 2 Char1"/>
    <w:next w:val="1148"/>
    <w:link w:val="1147"/>
    <w:qFormat/>
    <w:rPr>
      <w:rFonts w:ascii="Arial" w:hAnsi="Arial" w:eastAsia="黑体"/>
      <w:b/>
      <w:sz w:val="30"/>
      <w:lang w:val="en-US" w:eastAsia="zh-CN" w:bidi="ar-SA"/>
    </w:rPr>
  </w:style>
  <w:style w:type="paragraph" w:styleId="1149">
    <w:name w:val="标题 31"/>
    <w:basedOn w:val="962"/>
    <w:next w:val="962"/>
    <w:link w:val="1150"/>
    <w:qFormat/>
    <w:pPr>
      <w:jc w:val="left"/>
      <w:keepLines/>
      <w:keepNext/>
      <w:spacing w:before="360" w:after="120"/>
      <w:outlineLvl w:val="2"/>
    </w:pPr>
    <w:rPr>
      <w:rFonts w:ascii="宋体"/>
      <w:b/>
      <w:sz w:val="24"/>
      <w:szCs w:val="20"/>
      <w:u w:val="single"/>
    </w:rPr>
  </w:style>
  <w:style w:type="character" w:styleId="1150">
    <w:name w:val="标题 3 Char1"/>
    <w:next w:val="1150"/>
    <w:link w:val="1149"/>
    <w:qFormat/>
    <w:rPr>
      <w:rFonts w:ascii="宋体" w:eastAsia="宋体"/>
      <w:b/>
      <w:sz w:val="24"/>
      <w:u w:val="single"/>
      <w:lang w:val="en-US" w:eastAsia="zh-CN" w:bidi="ar-SA"/>
    </w:rPr>
  </w:style>
  <w:style w:type="paragraph" w:styleId="1151">
    <w:name w:val="标题 41"/>
    <w:basedOn w:val="962"/>
    <w:next w:val="962"/>
    <w:link w:val="1152"/>
    <w:qFormat/>
    <w:pPr>
      <w:keepLines/>
      <w:keepNext/>
      <w:spacing w:before="280" w:after="290" w:line="376" w:lineRule="atLeast"/>
      <w:outlineLvl w:val="3"/>
    </w:pPr>
    <w:rPr>
      <w:rFonts w:ascii="Arial" w:hAnsi="Arial" w:eastAsia="黑体"/>
      <w:b/>
      <w:sz w:val="28"/>
      <w:szCs w:val="20"/>
    </w:rPr>
  </w:style>
  <w:style w:type="character" w:styleId="1152">
    <w:name w:val="标题 4 Char"/>
    <w:next w:val="1152"/>
    <w:link w:val="1151"/>
    <w:qFormat/>
    <w:rPr>
      <w:rFonts w:ascii="Arial" w:hAnsi="Arial" w:eastAsia="黑体"/>
      <w:b/>
      <w:sz w:val="28"/>
    </w:rPr>
  </w:style>
  <w:style w:type="paragraph" w:styleId="1153">
    <w:name w:val="标题 51"/>
    <w:basedOn w:val="962"/>
    <w:next w:val="962"/>
    <w:link w:val="1154"/>
    <w:qFormat/>
    <w:pPr>
      <w:keepLines/>
      <w:keepNext/>
      <w:spacing w:before="280" w:after="290" w:line="376" w:lineRule="atLeast"/>
      <w:outlineLvl w:val="4"/>
    </w:pPr>
    <w:rPr>
      <w:b/>
      <w:sz w:val="28"/>
      <w:szCs w:val="20"/>
    </w:rPr>
  </w:style>
  <w:style w:type="character" w:styleId="1154">
    <w:name w:val="标题 5 Char"/>
    <w:next w:val="1154"/>
    <w:link w:val="1153"/>
    <w:qFormat/>
    <w:rPr>
      <w:b/>
      <w:sz w:val="28"/>
    </w:rPr>
  </w:style>
  <w:style w:type="paragraph" w:styleId="1155">
    <w:name w:val="标题 61"/>
    <w:basedOn w:val="962"/>
    <w:next w:val="962"/>
    <w:link w:val="1156"/>
    <w:qFormat/>
    <w:pPr>
      <w:keepLines/>
      <w:keepNext/>
      <w:spacing w:before="240" w:after="64" w:line="320" w:lineRule="atLeast"/>
      <w:outlineLvl w:val="5"/>
    </w:pPr>
    <w:rPr>
      <w:rFonts w:ascii="Arial" w:hAnsi="Arial" w:eastAsia="黑体"/>
      <w:b/>
      <w:sz w:val="24"/>
      <w:szCs w:val="20"/>
    </w:rPr>
  </w:style>
  <w:style w:type="character" w:styleId="1156">
    <w:name w:val="标题 6 Char"/>
    <w:next w:val="1156"/>
    <w:link w:val="1155"/>
    <w:qFormat/>
    <w:rPr>
      <w:rFonts w:ascii="Arial" w:hAnsi="Arial" w:eastAsia="黑体"/>
      <w:b/>
      <w:sz w:val="24"/>
    </w:rPr>
  </w:style>
  <w:style w:type="paragraph" w:styleId="1157">
    <w:name w:val="标题 71"/>
    <w:basedOn w:val="962"/>
    <w:next w:val="962"/>
    <w:link w:val="1158"/>
    <w:qFormat/>
    <w:pPr>
      <w:keepLines/>
      <w:keepNext/>
      <w:spacing w:before="240" w:after="64" w:line="320" w:lineRule="atLeast"/>
      <w:outlineLvl w:val="6"/>
    </w:pPr>
    <w:rPr>
      <w:b/>
      <w:sz w:val="24"/>
      <w:szCs w:val="20"/>
    </w:rPr>
  </w:style>
  <w:style w:type="character" w:styleId="1158">
    <w:name w:val="标题 7 Char"/>
    <w:next w:val="1158"/>
    <w:link w:val="1157"/>
    <w:qFormat/>
    <w:rPr>
      <w:b/>
      <w:sz w:val="24"/>
    </w:rPr>
  </w:style>
  <w:style w:type="paragraph" w:styleId="1159">
    <w:name w:val="标题 81"/>
    <w:basedOn w:val="962"/>
    <w:next w:val="962"/>
    <w:link w:val="1160"/>
    <w:qFormat/>
    <w:pPr>
      <w:keepLines/>
      <w:keepNext/>
      <w:spacing w:before="240" w:after="64" w:line="320" w:lineRule="atLeast"/>
      <w:outlineLvl w:val="7"/>
    </w:pPr>
    <w:rPr>
      <w:rFonts w:ascii="Arial" w:hAnsi="Arial" w:eastAsia="黑体"/>
      <w:sz w:val="24"/>
      <w:szCs w:val="20"/>
    </w:rPr>
  </w:style>
  <w:style w:type="character" w:styleId="1160">
    <w:name w:val="标题 8 Char"/>
    <w:next w:val="1160"/>
    <w:link w:val="1159"/>
    <w:qFormat/>
    <w:rPr>
      <w:rFonts w:ascii="Arial" w:hAnsi="Arial" w:eastAsia="黑体"/>
      <w:sz w:val="24"/>
    </w:rPr>
  </w:style>
  <w:style w:type="paragraph" w:styleId="1161">
    <w:name w:val="标题 91"/>
    <w:basedOn w:val="962"/>
    <w:next w:val="962"/>
    <w:link w:val="1162"/>
    <w:qFormat/>
    <w:pPr>
      <w:keepLines/>
      <w:keepNext/>
      <w:spacing w:before="240" w:after="64" w:line="320" w:lineRule="atLeast"/>
      <w:outlineLvl w:val="8"/>
    </w:pPr>
    <w:rPr>
      <w:rFonts w:ascii="Arial" w:hAnsi="Arial" w:eastAsia="黑体"/>
      <w:szCs w:val="20"/>
    </w:rPr>
  </w:style>
  <w:style w:type="character" w:styleId="1162">
    <w:name w:val="标题 9 Char"/>
    <w:next w:val="1162"/>
    <w:link w:val="1161"/>
    <w:qFormat/>
    <w:rPr>
      <w:rFonts w:ascii="Arial" w:hAnsi="Arial" w:eastAsia="黑体"/>
      <w:sz w:val="21"/>
    </w:rPr>
  </w:style>
  <w:style w:type="character" w:styleId="1163">
    <w:name w:val="默认段落字体1"/>
    <w:next w:val="1163"/>
    <w:link w:val="962"/>
    <w:uiPriority w:val="1"/>
    <w:unhideWhenUsed/>
    <w:qFormat/>
  </w:style>
  <w:style w:type="table" w:styleId="1164">
    <w:name w:val="普通表格1"/>
    <w:next w:val="1164"/>
    <w:link w:val="962"/>
    <w:uiPriority w:val="99"/>
    <w:unhideWhenUsed/>
    <w:qFormat/>
    <w:tblPr/>
  </w:style>
  <w:style w:type="paragraph" w:styleId="1165">
    <w:name w:val="目录 71"/>
    <w:basedOn w:val="962"/>
    <w:next w:val="962"/>
    <w:link w:val="962"/>
    <w:qFormat/>
    <w:pPr>
      <w:ind w:left="2520"/>
    </w:pPr>
  </w:style>
  <w:style w:type="paragraph" w:styleId="1166">
    <w:name w:val="正文缩进111"/>
    <w:basedOn w:val="962"/>
    <w:next w:val="1166"/>
    <w:link w:val="1167"/>
    <w:qFormat/>
    <w:pPr>
      <w:ind w:firstLine="420"/>
      <w:jc w:val="left"/>
    </w:pPr>
    <w:rPr>
      <w:rFonts w:ascii="宋体"/>
      <w:sz w:val="24"/>
    </w:rPr>
  </w:style>
  <w:style w:type="character" w:styleId="1167">
    <w:name w:val="正文缩进 Char1"/>
    <w:next w:val="1167"/>
    <w:link w:val="1166"/>
    <w:qFormat/>
    <w:rPr>
      <w:rFonts w:ascii="宋体" w:eastAsia="宋体"/>
      <w:sz w:val="24"/>
      <w:szCs w:val="24"/>
      <w:lang w:val="en-US" w:eastAsia="zh-CN" w:bidi="ar-SA"/>
    </w:rPr>
  </w:style>
  <w:style w:type="paragraph" w:styleId="1168">
    <w:name w:val="题注1"/>
    <w:basedOn w:val="962"/>
    <w:next w:val="962"/>
    <w:link w:val="962"/>
    <w:qFormat/>
    <w:pPr>
      <w:spacing w:line="480" w:lineRule="auto"/>
    </w:pPr>
    <w:rPr>
      <w:rFonts w:ascii="华文中宋" w:hAnsi="华文中宋" w:eastAsia="华文中宋"/>
      <w:sz w:val="36"/>
      <w:szCs w:val="20"/>
    </w:rPr>
  </w:style>
  <w:style w:type="paragraph" w:styleId="1169">
    <w:name w:val="文档结构图1"/>
    <w:basedOn w:val="962"/>
    <w:next w:val="1169"/>
    <w:link w:val="1170"/>
    <w:qFormat/>
    <w:pPr>
      <w:shd w:val="clear" w:color="auto" w:fill="000080"/>
    </w:pPr>
  </w:style>
  <w:style w:type="character" w:styleId="1170">
    <w:name w:val="文档结构图 Char"/>
    <w:next w:val="1170"/>
    <w:link w:val="1169"/>
    <w:qFormat/>
    <w:rPr>
      <w:sz w:val="21"/>
      <w:szCs w:val="24"/>
      <w:shd w:val="clear" w:color="auto" w:fill="000080"/>
    </w:rPr>
  </w:style>
  <w:style w:type="paragraph" w:styleId="1171">
    <w:name w:val="批注文字1"/>
    <w:basedOn w:val="962"/>
    <w:next w:val="1171"/>
    <w:link w:val="1172"/>
    <w:qFormat/>
    <w:pPr>
      <w:jc w:val="left"/>
    </w:pPr>
  </w:style>
  <w:style w:type="character" w:styleId="1172">
    <w:name w:val="批注文字 Char1"/>
    <w:next w:val="1172"/>
    <w:link w:val="1171"/>
    <w:uiPriority w:val="99"/>
    <w:qFormat/>
    <w:rPr>
      <w:sz w:val="21"/>
      <w:szCs w:val="24"/>
    </w:rPr>
  </w:style>
  <w:style w:type="paragraph" w:styleId="1173">
    <w:name w:val="正文文本 31"/>
    <w:basedOn w:val="962"/>
    <w:next w:val="1173"/>
    <w:link w:val="1174"/>
    <w:qFormat/>
    <w:pPr>
      <w:spacing w:after="120"/>
    </w:pPr>
    <w:rPr>
      <w:sz w:val="16"/>
      <w:szCs w:val="16"/>
    </w:rPr>
  </w:style>
  <w:style w:type="character" w:styleId="1174">
    <w:name w:val="正文文本 3 Char"/>
    <w:next w:val="1174"/>
    <w:link w:val="1173"/>
    <w:qFormat/>
    <w:rPr>
      <w:sz w:val="16"/>
      <w:szCs w:val="16"/>
    </w:rPr>
  </w:style>
  <w:style w:type="paragraph" w:styleId="1175">
    <w:name w:val="正文文本111"/>
    <w:basedOn w:val="962"/>
    <w:next w:val="962"/>
    <w:link w:val="1176"/>
    <w:qFormat/>
    <w:pPr>
      <w:spacing w:before="120" w:line="22" w:lineRule="atLeast"/>
      <w:tabs>
        <w:tab w:val="left" w:pos="567" w:leader="none"/>
      </w:tabs>
    </w:pPr>
    <w:rPr>
      <w:rFonts w:ascii="宋体" w:hAnsi="宋体"/>
      <w:sz w:val="24"/>
    </w:rPr>
  </w:style>
  <w:style w:type="character" w:styleId="1176">
    <w:name w:val="正文文本 Char1"/>
    <w:next w:val="1176"/>
    <w:link w:val="1175"/>
    <w:qFormat/>
    <w:rPr>
      <w:rFonts w:ascii="宋体" w:hAnsi="宋体"/>
      <w:sz w:val="24"/>
      <w:szCs w:val="24"/>
    </w:rPr>
  </w:style>
  <w:style w:type="paragraph" w:styleId="1177">
    <w:name w:val="正文文本缩进11"/>
    <w:basedOn w:val="962"/>
    <w:next w:val="1177"/>
    <w:link w:val="1178"/>
    <w:uiPriority w:val="99"/>
    <w:qFormat/>
    <w:pPr>
      <w:ind w:firstLine="570"/>
      <w:spacing w:line="360" w:lineRule="auto"/>
    </w:pPr>
    <w:rPr>
      <w:sz w:val="24"/>
    </w:rPr>
  </w:style>
  <w:style w:type="character" w:styleId="1178">
    <w:name w:val="正文文本缩进 Char2"/>
    <w:next w:val="1178"/>
    <w:link w:val="1177"/>
    <w:uiPriority w:val="99"/>
    <w:qFormat/>
    <w:rPr>
      <w:rFonts w:eastAsia="宋体"/>
      <w:sz w:val="24"/>
      <w:szCs w:val="24"/>
      <w:lang w:val="en-US" w:eastAsia="zh-CN" w:bidi="ar-SA"/>
    </w:rPr>
  </w:style>
  <w:style w:type="paragraph" w:styleId="1179">
    <w:name w:val="列表 21"/>
    <w:basedOn w:val="962"/>
    <w:next w:val="1179"/>
    <w:link w:val="962"/>
    <w:qFormat/>
    <w:pPr>
      <w:ind w:left="100" w:hanging="200"/>
    </w:pPr>
  </w:style>
  <w:style w:type="paragraph" w:styleId="1180">
    <w:name w:val="文本块1"/>
    <w:basedOn w:val="962"/>
    <w:next w:val="1180"/>
    <w:link w:val="962"/>
    <w:qFormat/>
    <w:pPr>
      <w:ind w:left="480" w:right="-341" w:firstLine="513"/>
      <w:widowControl/>
    </w:pPr>
    <w:rPr>
      <w:sz w:val="24"/>
      <w:szCs w:val="20"/>
    </w:rPr>
  </w:style>
  <w:style w:type="paragraph" w:styleId="1181">
    <w:name w:val="目录 51"/>
    <w:basedOn w:val="962"/>
    <w:next w:val="962"/>
    <w:link w:val="962"/>
    <w:qFormat/>
    <w:pPr>
      <w:ind w:left="1680"/>
    </w:pPr>
  </w:style>
  <w:style w:type="paragraph" w:styleId="1182">
    <w:name w:val="目录 31"/>
    <w:basedOn w:val="962"/>
    <w:next w:val="962"/>
    <w:link w:val="962"/>
    <w:uiPriority w:val="39"/>
    <w:qFormat/>
    <w:pPr>
      <w:ind w:left="840"/>
    </w:pPr>
  </w:style>
  <w:style w:type="paragraph" w:styleId="1183">
    <w:name w:val="纯文本11"/>
    <w:basedOn w:val="962"/>
    <w:next w:val="1183"/>
    <w:link w:val="1184"/>
    <w:uiPriority w:val="99"/>
    <w:qFormat/>
    <w:rPr>
      <w:rFonts w:hint="eastAsia" w:ascii="宋体" w:hAnsi="Courier New"/>
      <w:szCs w:val="20"/>
    </w:rPr>
  </w:style>
  <w:style w:type="character" w:styleId="1184">
    <w:name w:val="纯文本 Char"/>
    <w:next w:val="1184"/>
    <w:link w:val="1183"/>
    <w:qFormat/>
    <w:rPr>
      <w:rFonts w:hint="eastAsia" w:ascii="宋体" w:hAnsi="Courier New" w:eastAsia="宋体" w:cs="宋体"/>
      <w:sz w:val="21"/>
    </w:rPr>
  </w:style>
  <w:style w:type="paragraph" w:styleId="1185">
    <w:name w:val="目录 81"/>
    <w:basedOn w:val="962"/>
    <w:next w:val="962"/>
    <w:link w:val="962"/>
    <w:qFormat/>
    <w:pPr>
      <w:ind w:left="2940"/>
    </w:pPr>
  </w:style>
  <w:style w:type="paragraph" w:styleId="1186">
    <w:name w:val="日期1"/>
    <w:basedOn w:val="962"/>
    <w:next w:val="962"/>
    <w:link w:val="1187"/>
    <w:qFormat/>
    <w:pPr>
      <w:ind w:left="100"/>
    </w:pPr>
    <w:rPr>
      <w:rFonts w:ascii="仿宋_GB2312" w:hAnsi="宋体" w:eastAsia="仿宋_GB2312"/>
      <w:color w:val="000000"/>
      <w:sz w:val="24"/>
    </w:rPr>
  </w:style>
  <w:style w:type="character" w:styleId="1187">
    <w:name w:val="日期 Char"/>
    <w:next w:val="1187"/>
    <w:link w:val="1186"/>
    <w:qFormat/>
    <w:rPr>
      <w:rFonts w:ascii="仿宋_GB2312" w:hAnsi="宋体" w:eastAsia="仿宋_GB2312"/>
      <w:color w:val="000000"/>
      <w:sz w:val="24"/>
      <w:szCs w:val="24"/>
    </w:rPr>
  </w:style>
  <w:style w:type="paragraph" w:styleId="1188">
    <w:name w:val="正文文本缩进 21"/>
    <w:basedOn w:val="962"/>
    <w:next w:val="1188"/>
    <w:link w:val="1189"/>
    <w:qFormat/>
    <w:pPr>
      <w:ind w:firstLine="480"/>
    </w:pPr>
    <w:rPr>
      <w:rFonts w:ascii="仿宋_GB2312" w:eastAsia="仿宋_GB2312"/>
      <w:sz w:val="24"/>
    </w:rPr>
  </w:style>
  <w:style w:type="character" w:styleId="1189">
    <w:name w:val="正文文本缩进 2 Char"/>
    <w:next w:val="1189"/>
    <w:link w:val="1188"/>
    <w:qFormat/>
    <w:rPr>
      <w:rFonts w:ascii="仿宋_GB2312" w:eastAsia="仿宋_GB2312"/>
      <w:sz w:val="24"/>
      <w:szCs w:val="24"/>
    </w:rPr>
  </w:style>
  <w:style w:type="paragraph" w:styleId="1190">
    <w:name w:val="批注框文本1"/>
    <w:basedOn w:val="962"/>
    <w:next w:val="1190"/>
    <w:link w:val="1191"/>
    <w:qFormat/>
    <w:rPr>
      <w:sz w:val="18"/>
      <w:szCs w:val="18"/>
    </w:rPr>
  </w:style>
  <w:style w:type="character" w:styleId="1191">
    <w:name w:val="批注框文本 Char"/>
    <w:next w:val="1191"/>
    <w:link w:val="1190"/>
    <w:qFormat/>
    <w:rPr>
      <w:sz w:val="18"/>
      <w:szCs w:val="18"/>
    </w:rPr>
  </w:style>
  <w:style w:type="paragraph" w:styleId="1192">
    <w:name w:val="页脚1"/>
    <w:basedOn w:val="962"/>
    <w:next w:val="1192"/>
    <w:link w:val="1193"/>
    <w:uiPriority w:val="99"/>
    <w:qFormat/>
    <w:pPr>
      <w:jc w:val="left"/>
      <w:tabs>
        <w:tab w:val="center" w:pos="4153" w:leader="none"/>
        <w:tab w:val="right" w:pos="8306" w:leader="none"/>
      </w:tabs>
    </w:pPr>
    <w:rPr>
      <w:rFonts w:ascii="宋体"/>
      <w:sz w:val="18"/>
      <w:szCs w:val="20"/>
    </w:rPr>
  </w:style>
  <w:style w:type="character" w:styleId="1193">
    <w:name w:val="页脚 Char2"/>
    <w:next w:val="1193"/>
    <w:link w:val="1192"/>
    <w:uiPriority w:val="99"/>
    <w:qFormat/>
    <w:rPr>
      <w:rFonts w:ascii="宋体" w:eastAsia="宋体"/>
      <w:sz w:val="18"/>
      <w:lang w:val="en-US" w:eastAsia="zh-CN" w:bidi="ar-SA"/>
    </w:rPr>
  </w:style>
  <w:style w:type="paragraph" w:styleId="1194">
    <w:name w:val="页眉1"/>
    <w:basedOn w:val="962"/>
    <w:next w:val="1194"/>
    <w:link w:val="1195"/>
    <w:qFormat/>
    <w:pPr>
      <w:jc w:val="center"/>
      <w:tabs>
        <w:tab w:val="center" w:pos="4153" w:leader="none"/>
        <w:tab w:val="right" w:pos="8306" w:leader="none"/>
      </w:tabs>
      <w:pBdr>
        <w:bottom w:val="single" w:color="000000" w:sz="6" w:space="1"/>
      </w:pBdr>
    </w:pPr>
    <w:rPr>
      <w:sz w:val="18"/>
      <w:szCs w:val="18"/>
    </w:rPr>
  </w:style>
  <w:style w:type="character" w:styleId="1195">
    <w:name w:val="页眉 Char2"/>
    <w:next w:val="1195"/>
    <w:link w:val="1194"/>
    <w:qFormat/>
    <w:rPr>
      <w:rFonts w:eastAsia="宋体"/>
      <w:sz w:val="18"/>
      <w:szCs w:val="18"/>
      <w:lang w:val="en-US" w:eastAsia="zh-CN" w:bidi="ar-SA"/>
    </w:rPr>
  </w:style>
  <w:style w:type="paragraph" w:styleId="1196">
    <w:name w:val="目录 11"/>
    <w:basedOn w:val="962"/>
    <w:next w:val="962"/>
    <w:link w:val="962"/>
    <w:uiPriority w:val="39"/>
    <w:qFormat/>
    <w:pPr>
      <w:spacing w:line="300" w:lineRule="auto"/>
      <w:tabs>
        <w:tab w:val="left" w:pos="1050" w:leader="none"/>
        <w:tab w:val="right" w:pos="8937" w:leader="dot"/>
      </w:tabs>
    </w:pPr>
    <w:rPr>
      <w:rFonts w:ascii="宋体" w:hAnsi="宋体"/>
      <w:b/>
      <w:sz w:val="24"/>
    </w:rPr>
  </w:style>
  <w:style w:type="paragraph" w:styleId="1197">
    <w:name w:val="目录 41"/>
    <w:basedOn w:val="962"/>
    <w:next w:val="962"/>
    <w:link w:val="962"/>
    <w:qFormat/>
    <w:pPr>
      <w:ind w:left="1260"/>
    </w:pPr>
  </w:style>
  <w:style w:type="paragraph" w:styleId="1198">
    <w:name w:val="目录 61"/>
    <w:basedOn w:val="962"/>
    <w:next w:val="962"/>
    <w:link w:val="962"/>
    <w:qFormat/>
    <w:pPr>
      <w:ind w:left="2100"/>
    </w:pPr>
  </w:style>
  <w:style w:type="paragraph" w:styleId="1199">
    <w:name w:val="正文文本缩进 31"/>
    <w:basedOn w:val="962"/>
    <w:next w:val="1199"/>
    <w:link w:val="1200"/>
    <w:qFormat/>
    <w:pPr>
      <w:ind w:left="720" w:firstLine="480"/>
      <w:jc w:val="left"/>
      <w:spacing w:before="120" w:line="22" w:lineRule="atLeast"/>
    </w:pPr>
    <w:rPr>
      <w:rFonts w:ascii="宋体"/>
      <w:sz w:val="24"/>
      <w:szCs w:val="20"/>
    </w:rPr>
  </w:style>
  <w:style w:type="character" w:styleId="1200">
    <w:name w:val="正文文本缩进 3 Char"/>
    <w:next w:val="1200"/>
    <w:link w:val="1199"/>
    <w:qFormat/>
    <w:rPr>
      <w:rFonts w:ascii="宋体"/>
      <w:sz w:val="24"/>
    </w:rPr>
  </w:style>
  <w:style w:type="paragraph" w:styleId="1201">
    <w:name w:val="目录 21"/>
    <w:basedOn w:val="962"/>
    <w:next w:val="962"/>
    <w:link w:val="962"/>
    <w:uiPriority w:val="39"/>
    <w:qFormat/>
    <w:pPr>
      <w:ind w:left="420"/>
      <w:spacing w:line="312" w:lineRule="auto"/>
      <w:tabs>
        <w:tab w:val="right" w:pos="8937" w:leader="dot"/>
      </w:tabs>
    </w:pPr>
  </w:style>
  <w:style w:type="paragraph" w:styleId="1202">
    <w:name w:val="目录 91"/>
    <w:basedOn w:val="962"/>
    <w:next w:val="962"/>
    <w:link w:val="962"/>
    <w:qFormat/>
    <w:pPr>
      <w:ind w:left="3360"/>
    </w:pPr>
  </w:style>
  <w:style w:type="paragraph" w:styleId="1203">
    <w:name w:val="HTML 预设格式1"/>
    <w:basedOn w:val="962"/>
    <w:next w:val="1203"/>
    <w:link w:val="12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4">
    <w:name w:val="HTML 预设格式 Char"/>
    <w:next w:val="1204"/>
    <w:link w:val="1203"/>
    <w:qFormat/>
    <w:rPr>
      <w:rFonts w:ascii="宋体" w:hAnsi="宋体" w:cs="宋体"/>
      <w:sz w:val="24"/>
      <w:szCs w:val="24"/>
    </w:rPr>
  </w:style>
  <w:style w:type="paragraph" w:styleId="1205">
    <w:name w:val="普通(网站)1"/>
    <w:basedOn w:val="962"/>
    <w:next w:val="1205"/>
    <w:link w:val="1206"/>
    <w:uiPriority w:val="99"/>
    <w:unhideWhenUsed/>
    <w:qFormat/>
    <w:pPr>
      <w:jc w:val="left"/>
      <w:spacing w:before="100" w:beforeAutospacing="1" w:after="100" w:afterAutospacing="1"/>
      <w:widowControl/>
    </w:pPr>
    <w:rPr>
      <w:rFonts w:ascii="宋体" w:hAnsi="宋体"/>
      <w:sz w:val="24"/>
    </w:rPr>
  </w:style>
  <w:style w:type="character" w:styleId="1206">
    <w:name w:val="普通(网站) Char"/>
    <w:next w:val="1206"/>
    <w:link w:val="1205"/>
    <w:uiPriority w:val="99"/>
    <w:qFormat/>
    <w:rPr>
      <w:rFonts w:ascii="宋体" w:hAnsi="宋体" w:cs="宋体"/>
      <w:sz w:val="24"/>
      <w:szCs w:val="24"/>
    </w:rPr>
  </w:style>
  <w:style w:type="paragraph" w:styleId="1207">
    <w:name w:val="索引 11"/>
    <w:basedOn w:val="962"/>
    <w:next w:val="962"/>
    <w:link w:val="962"/>
    <w:qFormat/>
    <w:rPr>
      <w:szCs w:val="20"/>
    </w:rPr>
  </w:style>
  <w:style w:type="paragraph" w:styleId="1208">
    <w:name w:val="标题1"/>
    <w:basedOn w:val="962"/>
    <w:next w:val="1208"/>
    <w:link w:val="1209"/>
    <w:qFormat/>
    <w:pPr>
      <w:jc w:val="center"/>
      <w:outlineLvl w:val="0"/>
    </w:pPr>
    <w:rPr>
      <w:b/>
      <w:sz w:val="32"/>
      <w:szCs w:val="20"/>
    </w:rPr>
  </w:style>
  <w:style w:type="character" w:styleId="1209">
    <w:name w:val="标题 Char1"/>
    <w:next w:val="1209"/>
    <w:link w:val="1208"/>
    <w:qFormat/>
    <w:rPr>
      <w:b/>
      <w:sz w:val="32"/>
    </w:rPr>
  </w:style>
  <w:style w:type="paragraph" w:styleId="1210">
    <w:name w:val="批注主题1"/>
    <w:basedOn w:val="1171"/>
    <w:next w:val="1171"/>
    <w:link w:val="1211"/>
    <w:qFormat/>
    <w:rPr>
      <w:b/>
      <w:bCs/>
      <w:lang w:val="en-US" w:eastAsia="zh-CN"/>
    </w:rPr>
  </w:style>
  <w:style w:type="character" w:styleId="1211">
    <w:name w:val="批注主题 Char"/>
    <w:next w:val="1211"/>
    <w:link w:val="1210"/>
    <w:qFormat/>
    <w:rPr>
      <w:rFonts w:ascii="Times New Roman" w:hAnsi="Times New Roman" w:eastAsia="宋体" w:cs="Times New Roman"/>
      <w:b/>
      <w:bCs/>
      <w:sz w:val="21"/>
      <w:szCs w:val="24"/>
      <w:lang w:val="en-US" w:eastAsia="zh-CN" w:bidi="ar-SA"/>
    </w:rPr>
  </w:style>
  <w:style w:type="paragraph" w:styleId="1212">
    <w:name w:val="正文首行缩进 21"/>
    <w:basedOn w:val="1177"/>
    <w:next w:val="962"/>
    <w:link w:val="1213"/>
    <w:qFormat/>
    <w:pPr>
      <w:ind w:left="420" w:firstLine="420"/>
      <w:spacing w:after="120" w:line="480" w:lineRule="exact"/>
    </w:pPr>
  </w:style>
  <w:style w:type="character" w:styleId="1213">
    <w:name w:val="正文首行缩进 2 Char"/>
    <w:next w:val="1213"/>
    <w:link w:val="1212"/>
    <w:qFormat/>
    <w:rPr>
      <w:rFonts w:eastAsia="宋体"/>
      <w:sz w:val="24"/>
      <w:szCs w:val="24"/>
      <w:lang w:val="en-US" w:eastAsia="zh-CN" w:bidi="ar-SA"/>
    </w:rPr>
  </w:style>
  <w:style w:type="table" w:styleId="1214">
    <w:name w:val="网格型11"/>
    <w:basedOn w:val="1164"/>
    <w:next w:val="1214"/>
    <w:link w:val="962"/>
    <w:uiPriority w:val="39"/>
    <w:qFormat/>
    <w:tblPr/>
  </w:style>
  <w:style w:type="table" w:styleId="1215">
    <w:name w:val="中等深浅网格 1 - 强调文字颜色 21"/>
    <w:basedOn w:val="1164"/>
    <w:next w:val="1215"/>
    <w:link w:val="962"/>
    <w:qFormat/>
    <w:rPr>
      <w:sz w:val="21"/>
      <w:szCs w:val="24"/>
    </w:rPr>
    <w:tblPr/>
  </w:style>
  <w:style w:type="character" w:styleId="1216">
    <w:name w:val="要点1"/>
    <w:next w:val="1216"/>
    <w:link w:val="962"/>
    <w:qFormat/>
    <w:rPr>
      <w:b/>
      <w:bCs/>
    </w:rPr>
  </w:style>
  <w:style w:type="character" w:styleId="1217">
    <w:name w:val="页码1"/>
    <w:next w:val="1217"/>
    <w:link w:val="962"/>
    <w:qFormat/>
  </w:style>
  <w:style w:type="character" w:styleId="1218">
    <w:name w:val="已访问的超链接1"/>
    <w:next w:val="1218"/>
    <w:link w:val="962"/>
    <w:qFormat/>
    <w:rPr>
      <w:color w:val="000000"/>
      <w:u w:val="none"/>
    </w:rPr>
  </w:style>
  <w:style w:type="character" w:styleId="1219">
    <w:name w:val="强调1"/>
    <w:next w:val="1219"/>
    <w:link w:val="962"/>
    <w:qFormat/>
    <w:rPr>
      <w:color w:val="cc0033"/>
    </w:rPr>
  </w:style>
  <w:style w:type="character" w:styleId="1220">
    <w:name w:val="HTML 定义1"/>
    <w:next w:val="1220"/>
    <w:link w:val="962"/>
    <w:rPr>
      <w:b w:val="0"/>
      <w:bCs w:val="0"/>
      <w:i w:val="0"/>
      <w:iCs w:val="0"/>
    </w:rPr>
  </w:style>
  <w:style w:type="character" w:styleId="1221">
    <w:name w:val="HTML 打字机1"/>
    <w:next w:val="1221"/>
    <w:link w:val="962"/>
    <w:rPr>
      <w:rFonts w:ascii="monospace" w:hAnsi="monospace" w:eastAsia="monospace" w:cs="monospace"/>
      <w:sz w:val="20"/>
    </w:rPr>
  </w:style>
  <w:style w:type="character" w:styleId="1222">
    <w:name w:val="HTML 缩写1"/>
    <w:next w:val="1222"/>
    <w:link w:val="962"/>
  </w:style>
  <w:style w:type="character" w:styleId="1223">
    <w:name w:val="HTML 变量1"/>
    <w:next w:val="1223"/>
    <w:link w:val="962"/>
    <w:rPr>
      <w:b w:val="0"/>
      <w:bCs w:val="0"/>
      <w:i w:val="0"/>
      <w:iCs w:val="0"/>
    </w:rPr>
  </w:style>
  <w:style w:type="character" w:styleId="1224">
    <w:name w:val="超链接1"/>
    <w:next w:val="1224"/>
    <w:link w:val="962"/>
    <w:uiPriority w:val="99"/>
    <w:qFormat/>
    <w:rPr>
      <w:color w:val="000000"/>
      <w:u w:val="none"/>
    </w:rPr>
  </w:style>
  <w:style w:type="character" w:styleId="1225">
    <w:name w:val="HTML 代码1"/>
    <w:next w:val="1225"/>
    <w:link w:val="962"/>
    <w:rPr>
      <w:rFonts w:ascii="monospace" w:hAnsi="monospace" w:eastAsia="monospace" w:cs="monospace"/>
      <w:b w:val="0"/>
      <w:bCs w:val="0"/>
      <w:i w:val="0"/>
      <w:iCs w:val="0"/>
      <w:sz w:val="20"/>
    </w:rPr>
  </w:style>
  <w:style w:type="character" w:styleId="1226">
    <w:name w:val="批注引用1"/>
    <w:next w:val="1226"/>
    <w:link w:val="962"/>
    <w:uiPriority w:val="99"/>
    <w:qFormat/>
    <w:rPr>
      <w:sz w:val="21"/>
      <w:szCs w:val="21"/>
    </w:rPr>
  </w:style>
  <w:style w:type="character" w:styleId="1227">
    <w:name w:val="HTML 引文1"/>
    <w:next w:val="1227"/>
    <w:link w:val="962"/>
    <w:qFormat/>
    <w:rPr>
      <w:i/>
      <w:iCs/>
    </w:rPr>
  </w:style>
  <w:style w:type="character" w:styleId="1228">
    <w:name w:val="HTML 键盘1"/>
    <w:next w:val="1228"/>
    <w:link w:val="962"/>
    <w:rPr>
      <w:rFonts w:ascii="monospace" w:hAnsi="monospace" w:eastAsia="monospace" w:cs="monospace"/>
      <w:sz w:val="20"/>
    </w:rPr>
  </w:style>
  <w:style w:type="character" w:styleId="1229">
    <w:name w:val="HTML 样本1"/>
    <w:next w:val="1229"/>
    <w:link w:val="962"/>
    <w:rPr>
      <w:rFonts w:ascii="monospace" w:hAnsi="monospace" w:eastAsia="monospace" w:cs="monospace"/>
    </w:rPr>
  </w:style>
  <w:style w:type="character" w:styleId="1230">
    <w:name w:val="批注文字 字符"/>
    <w:next w:val="1230"/>
    <w:link w:val="962"/>
    <w:qFormat/>
    <w:rPr>
      <w:rFonts w:ascii="Times New Roman" w:hAnsi="Times New Roman" w:eastAsia="宋体" w:cs="Times New Roman"/>
      <w:sz w:val="24"/>
      <w:lang w:val="en-US" w:eastAsia="zh-CN" w:bidi="ar-SA"/>
    </w:rPr>
  </w:style>
  <w:style w:type="character" w:styleId="1231">
    <w:name w:val="c21"/>
    <w:next w:val="1231"/>
    <w:link w:val="962"/>
    <w:qFormat/>
    <w:rPr>
      <w:rFonts w:ascii="ˎ̥" w:hAnsi="ˎ̥"/>
      <w:color w:val="000000"/>
      <w:sz w:val="20"/>
      <w:szCs w:val="20"/>
      <w:u w:val="none"/>
    </w:rPr>
  </w:style>
  <w:style w:type="character" w:styleId="1232">
    <w:name w:val="title4"/>
    <w:next w:val="1232"/>
    <w:link w:val="962"/>
    <w:qFormat/>
    <w:rPr>
      <w:b/>
      <w:bCs/>
      <w:color w:val="1d87b3"/>
      <w:sz w:val="15"/>
      <w:szCs w:val="15"/>
    </w:rPr>
  </w:style>
  <w:style w:type="character" w:styleId="1233">
    <w:name w:val="标题 2 Char Char"/>
    <w:next w:val="1233"/>
    <w:link w:val="962"/>
    <w:qFormat/>
    <w:rPr>
      <w:rFonts w:ascii="Arial" w:hAnsi="Arial" w:eastAsia="黑体"/>
      <w:b/>
      <w:bCs/>
      <w:sz w:val="32"/>
      <w:szCs w:val="32"/>
      <w:lang w:val="en-US" w:eastAsia="zh-CN" w:bidi="ar-SA"/>
    </w:rPr>
  </w:style>
  <w:style w:type="character" w:styleId="1234">
    <w:name w:val="black1"/>
    <w:next w:val="1234"/>
    <w:link w:val="962"/>
    <w:qFormat/>
    <w:rPr>
      <w:color w:val="000000"/>
    </w:rPr>
  </w:style>
  <w:style w:type="character" w:styleId="1235">
    <w:name w:val="street-address"/>
    <w:next w:val="1235"/>
    <w:link w:val="962"/>
    <w:qFormat/>
  </w:style>
  <w:style w:type="character" w:styleId="1236">
    <w:name w:val="locality"/>
    <w:next w:val="1236"/>
    <w:link w:val="962"/>
    <w:qFormat/>
  </w:style>
  <w:style w:type="character" w:styleId="1237">
    <w:name w:val="正文文本缩进 Char1"/>
    <w:next w:val="1237"/>
    <w:link w:val="1238"/>
    <w:qFormat/>
    <w:rPr>
      <w:rFonts w:ascii="宋体" w:hAnsi="宋体" w:eastAsia="宋体"/>
      <w:sz w:val="24"/>
      <w:szCs w:val="24"/>
      <w:lang w:bidi="ar-SA"/>
    </w:rPr>
  </w:style>
  <w:style w:type="paragraph" w:styleId="1238">
    <w:name w:val="正文文本缩进1"/>
    <w:basedOn w:val="962"/>
    <w:next w:val="1238"/>
    <w:link w:val="1237"/>
    <w:qFormat/>
    <w:pPr>
      <w:ind w:firstLine="480"/>
      <w:spacing w:line="480" w:lineRule="exact"/>
    </w:pPr>
    <w:rPr>
      <w:rFonts w:ascii="宋体" w:hAnsi="宋体"/>
      <w:sz w:val="24"/>
    </w:rPr>
  </w:style>
  <w:style w:type="character" w:styleId="1239">
    <w:name w:val="Char Char11"/>
    <w:next w:val="1239"/>
    <w:link w:val="962"/>
    <w:qFormat/>
    <w:rPr>
      <w:rFonts w:ascii="宋体" w:eastAsia="宋体"/>
      <w:b/>
      <w:sz w:val="24"/>
      <w:u w:val="single"/>
      <w:lang w:val="en-US" w:eastAsia="zh-CN" w:bidi="ar-SA"/>
    </w:rPr>
  </w:style>
  <w:style w:type="character" w:styleId="1240">
    <w:name w:val="txt"/>
    <w:next w:val="1240"/>
    <w:link w:val="962"/>
    <w:qFormat/>
  </w:style>
  <w:style w:type="character" w:styleId="1241">
    <w:name w:val="正文缩进 Char Char"/>
    <w:next w:val="1241"/>
    <w:link w:val="1242"/>
    <w:qFormat/>
    <w:rPr>
      <w:rFonts w:ascii="宋体" w:eastAsia="宋体"/>
      <w:color w:val="000000"/>
      <w:sz w:val="28"/>
      <w:lang w:bidi="ar-SA"/>
    </w:rPr>
  </w:style>
  <w:style w:type="paragraph" w:styleId="1242">
    <w:name w:val="正文缩进1"/>
    <w:basedOn w:val="962"/>
    <w:next w:val="1242"/>
    <w:link w:val="1241"/>
    <w:qFormat/>
    <w:pPr>
      <w:ind w:firstLine="567"/>
      <w:spacing w:line="480" w:lineRule="exact"/>
      <w:widowControl/>
    </w:pPr>
    <w:rPr>
      <w:rFonts w:ascii="宋体"/>
      <w:color w:val="000000"/>
      <w:sz w:val="28"/>
      <w:szCs w:val="20"/>
    </w:rPr>
  </w:style>
  <w:style w:type="character" w:styleId="1243">
    <w:name w:val="普通文字1 Char1"/>
    <w:next w:val="1243"/>
    <w:link w:val="962"/>
    <w:qFormat/>
    <w:rPr>
      <w:rFonts w:ascii="宋体" w:hAnsi="Courier New" w:eastAsia="宋体"/>
      <w:sz w:val="21"/>
      <w:lang w:val="en-US" w:eastAsia="zh-CN" w:bidi="ar-SA"/>
    </w:rPr>
  </w:style>
  <w:style w:type="character" w:styleId="1244">
    <w:name w:val="chanpin1"/>
    <w:next w:val="1244"/>
    <w:link w:val="962"/>
    <w:qFormat/>
    <w:rPr>
      <w:rFonts w:ascii="ˎ̥" w:hAnsi="ˎ̥"/>
      <w:color w:val="000000"/>
      <w:sz w:val="20"/>
      <w:szCs w:val="20"/>
      <w:u w:val="none"/>
    </w:rPr>
  </w:style>
  <w:style w:type="character" w:styleId="1245">
    <w:name w:val="列出段落 Char1"/>
    <w:next w:val="1245"/>
    <w:link w:val="1246"/>
    <w:uiPriority w:val="34"/>
    <w:qFormat/>
    <w:rPr>
      <w:rFonts w:ascii="Calibri" w:hAnsi="Calibri" w:eastAsia="宋体"/>
      <w:sz w:val="21"/>
      <w:szCs w:val="22"/>
      <w:lang w:val="en-US" w:eastAsia="zh-CN" w:bidi="ar-SA"/>
    </w:rPr>
  </w:style>
  <w:style w:type="paragraph" w:styleId="1246">
    <w:name w:val="列出段落"/>
    <w:basedOn w:val="962"/>
    <w:next w:val="1246"/>
    <w:link w:val="1245"/>
    <w:uiPriority w:val="34"/>
    <w:qFormat/>
    <w:pPr>
      <w:ind w:firstLine="420"/>
    </w:pPr>
    <w:rPr>
      <w:rFonts w:ascii="Calibri" w:hAnsi="Calibri"/>
      <w:szCs w:val="22"/>
    </w:rPr>
  </w:style>
  <w:style w:type="character" w:styleId="1247">
    <w:name w:val="标题 3 Char Char"/>
    <w:next w:val="1247"/>
    <w:link w:val="962"/>
    <w:qFormat/>
    <w:rPr>
      <w:rFonts w:eastAsia="宋体"/>
      <w:b/>
      <w:bCs/>
      <w:sz w:val="32"/>
      <w:szCs w:val="32"/>
      <w:lang w:val="en-US" w:eastAsia="zh-CN" w:bidi="ar-SA"/>
    </w:rPr>
  </w:style>
  <w:style w:type="character" w:styleId="1248">
    <w:name w:val="段1 Char"/>
    <w:next w:val="1248"/>
    <w:link w:val="962"/>
    <w:qFormat/>
    <w:rPr>
      <w:rFonts w:ascii="宋体" w:eastAsia="宋体"/>
      <w:sz w:val="24"/>
      <w:lang w:val="en-US" w:eastAsia="zh-CN" w:bidi="ar-SA"/>
    </w:rPr>
  </w:style>
  <w:style w:type="character" w:styleId="1249">
    <w:name w:val="chanpin拷贝"/>
    <w:next w:val="1249"/>
    <w:link w:val="962"/>
    <w:qFormat/>
  </w:style>
  <w:style w:type="character" w:styleId="1250">
    <w:name w:val="纯文本 Char1"/>
    <w:next w:val="1250"/>
    <w:link w:val="1251"/>
    <w:qFormat/>
    <w:rPr>
      <w:rFonts w:ascii="宋体" w:hAnsi="Courier New" w:eastAsia="宋体"/>
      <w:sz w:val="21"/>
      <w:lang w:val="en-US" w:eastAsia="zh-CN" w:bidi="ar-SA"/>
    </w:rPr>
  </w:style>
  <w:style w:type="paragraph" w:styleId="1251">
    <w:name w:val="纯文本1"/>
    <w:basedOn w:val="962"/>
    <w:next w:val="1251"/>
    <w:link w:val="1250"/>
    <w:qFormat/>
    <w:rPr>
      <w:rFonts w:ascii="宋体" w:hAnsi="Courier New"/>
      <w:szCs w:val="20"/>
    </w:rPr>
  </w:style>
  <w:style w:type="character" w:styleId="1252">
    <w:name w:val="apple-style-span"/>
    <w:next w:val="1252"/>
    <w:link w:val="962"/>
    <w:qFormat/>
    <w:rPr>
      <w:rFonts w:cs="Times New Roman"/>
    </w:rPr>
  </w:style>
  <w:style w:type="paragraph" w:styleId="1253">
    <w:name w:val="二级条标题"/>
    <w:basedOn w:val="1254"/>
    <w:next w:val="962"/>
    <w:link w:val="962"/>
    <w:qFormat/>
    <w:pPr>
      <w:numPr>
        <w:ilvl w:val="0"/>
        <w:numId w:val="0"/>
      </w:numPr>
      <w:ind w:hanging="840"/>
      <w:tabs>
        <w:tab w:val="left" w:pos="360" w:leader="none"/>
        <w:tab w:val="left" w:pos="840" w:leader="none"/>
      </w:tabs>
      <w:outlineLvl w:val="2"/>
    </w:pPr>
    <w:rPr>
      <w:rFonts w:ascii="宋体" w:eastAsia="宋体"/>
      <w:b w:val="0"/>
    </w:rPr>
  </w:style>
  <w:style w:type="paragraph" w:styleId="1254">
    <w:name w:val="一级条标题"/>
    <w:basedOn w:val="1255"/>
    <w:next w:val="962"/>
    <w:link w:val="962"/>
    <w:qFormat/>
    <w:pPr>
      <w:numPr>
        <w:ilvl w:val="1"/>
      </w:numPr>
      <w:ind w:left="0" w:hanging="840"/>
      <w:tabs>
        <w:tab w:val="left" w:pos="360" w:leader="none"/>
        <w:tab w:val="left" w:pos="840" w:leader="none"/>
      </w:tabs>
      <w:outlineLvl w:val="1"/>
    </w:pPr>
  </w:style>
  <w:style w:type="paragraph" w:styleId="1255">
    <w:name w:val="章标题"/>
    <w:next w:val="962"/>
    <w:link w:val="962"/>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56">
    <w:name w:val="font7"/>
    <w:basedOn w:val="962"/>
    <w:next w:val="1256"/>
    <w:link w:val="962"/>
    <w:qFormat/>
    <w:pPr>
      <w:jc w:val="left"/>
      <w:spacing w:before="100" w:beforeAutospacing="1" w:after="100" w:afterAutospacing="1"/>
      <w:widowControl/>
    </w:pPr>
    <w:rPr>
      <w:rFonts w:eastAsia="Arial Unicode MS"/>
      <w:b/>
      <w:bCs/>
      <w:color w:val="000000"/>
      <w:sz w:val="20"/>
      <w:szCs w:val="20"/>
    </w:rPr>
  </w:style>
  <w:style w:type="paragraph" w:styleId="1257">
    <w:name w:val="字元 字元"/>
    <w:basedOn w:val="962"/>
    <w:next w:val="1257"/>
    <w:link w:val="962"/>
    <w:qFormat/>
    <w:rPr>
      <w:rFonts w:ascii="Tahoma" w:hAnsi="Tahoma"/>
      <w:sz w:val="24"/>
      <w:szCs w:val="20"/>
    </w:rPr>
  </w:style>
  <w:style w:type="paragraph" w:styleId="1258">
    <w:name w:val="Char3 Char Char Char"/>
    <w:basedOn w:val="962"/>
    <w:next w:val="1258"/>
    <w:link w:val="962"/>
    <w:qFormat/>
    <w:rPr>
      <w:rFonts w:ascii="Tahoma" w:hAnsi="Tahoma"/>
      <w:sz w:val="24"/>
      <w:szCs w:val="20"/>
    </w:rPr>
  </w:style>
  <w:style w:type="paragraph" w:styleId="1259">
    <w:name w:val="font6"/>
    <w:basedOn w:val="962"/>
    <w:next w:val="1259"/>
    <w:link w:val="962"/>
    <w:qFormat/>
    <w:pPr>
      <w:jc w:val="left"/>
      <w:spacing w:before="100" w:beforeAutospacing="1" w:after="100" w:afterAutospacing="1"/>
      <w:widowControl/>
    </w:pPr>
    <w:rPr>
      <w:rFonts w:ascii="宋体" w:hAnsi="宋体" w:cs="宋体"/>
      <w:sz w:val="20"/>
      <w:szCs w:val="20"/>
    </w:rPr>
  </w:style>
  <w:style w:type="paragraph" w:styleId="1260">
    <w:name w:val="项目编号2"/>
    <w:basedOn w:val="1261"/>
    <w:next w:val="1260"/>
    <w:link w:val="962"/>
    <w:qFormat/>
    <w:pPr>
      <w:numPr>
        <w:numId w:val="3"/>
      </w:numPr>
    </w:pPr>
  </w:style>
  <w:style w:type="paragraph" w:styleId="1261">
    <w:name w:val="项目编号1"/>
    <w:basedOn w:val="962"/>
    <w:next w:val="1261"/>
    <w:link w:val="962"/>
    <w:qFormat/>
    <w:pPr>
      <w:numPr>
        <w:ilvl w:val="0"/>
        <w:numId w:val="2"/>
      </w:numPr>
      <w:spacing w:before="100" w:beforeAutospacing="1" w:after="100" w:afterAutospacing="1" w:line="360" w:lineRule="auto"/>
    </w:pPr>
    <w:rPr>
      <w:sz w:val="24"/>
    </w:rPr>
  </w:style>
  <w:style w:type="paragraph" w:styleId="1262">
    <w:name w:val="图中文字"/>
    <w:basedOn w:val="962"/>
    <w:next w:val="1262"/>
    <w:link w:val="962"/>
    <w:qFormat/>
    <w:pPr>
      <w:jc w:val="center"/>
      <w:spacing w:line="0" w:lineRule="atLeast"/>
    </w:pPr>
    <w:rPr>
      <w:sz w:val="24"/>
      <w:szCs w:val="20"/>
    </w:rPr>
  </w:style>
  <w:style w:type="paragraph" w:styleId="1263">
    <w:name w:val="xl46"/>
    <w:basedOn w:val="962"/>
    <w:next w:val="1263"/>
    <w:link w:val="96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4">
    <w:name w:val="xl25"/>
    <w:basedOn w:val="962"/>
    <w:next w:val="1264"/>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5">
    <w:name w:val="Char2"/>
    <w:basedOn w:val="962"/>
    <w:next w:val="1265"/>
    <w:link w:val="962"/>
    <w:qFormat/>
    <w:rPr>
      <w:rFonts w:ascii="Tahoma" w:hAnsi="Tahoma"/>
      <w:sz w:val="24"/>
      <w:szCs w:val="20"/>
    </w:rPr>
  </w:style>
  <w:style w:type="paragraph" w:styleId="1266">
    <w:name w:val="xl35"/>
    <w:basedOn w:val="962"/>
    <w:next w:val="1266"/>
    <w:link w:val="96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7">
    <w:name w:val="xl40"/>
    <w:basedOn w:val="962"/>
    <w:next w:val="1267"/>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name w:val="xl52"/>
    <w:basedOn w:val="962"/>
    <w:next w:val="1268"/>
    <w:link w:val="9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9">
    <w:name w:val="xl43"/>
    <w:basedOn w:val="962"/>
    <w:next w:val="1269"/>
    <w:link w:val="96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0">
    <w:name w:val="background1"/>
    <w:basedOn w:val="962"/>
    <w:next w:val="1270"/>
    <w:link w:val="962"/>
    <w:qFormat/>
    <w:pPr>
      <w:jc w:val="left"/>
      <w:spacing w:before="100" w:beforeAutospacing="1" w:after="100" w:afterAutospacing="1"/>
      <w:widowControl/>
    </w:pPr>
    <w:rPr>
      <w:rFonts w:ascii="宋体" w:hAnsi="宋体" w:cs="宋体"/>
      <w:sz w:val="24"/>
    </w:rPr>
  </w:style>
  <w:style w:type="paragraph" w:styleId="1271">
    <w:name w:val="Char Char Char Char Char Char Char"/>
    <w:basedOn w:val="962"/>
    <w:next w:val="1271"/>
    <w:link w:val="962"/>
    <w:qFormat/>
    <w:pPr>
      <w:ind w:firstLine="200"/>
      <w:spacing w:line="360" w:lineRule="auto"/>
    </w:pPr>
    <w:rPr>
      <w:rFonts w:eastAsia="仿宋_GB2312"/>
      <w:sz w:val="24"/>
    </w:rPr>
  </w:style>
  <w:style w:type="paragraph" w:styleId="1272">
    <w:name w:val="xl38"/>
    <w:basedOn w:val="962"/>
    <w:next w:val="1272"/>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3">
    <w:name w:val="xl36"/>
    <w:basedOn w:val="962"/>
    <w:next w:val="1273"/>
    <w:link w:val="96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4">
    <w:name w:val="正文 + 宋体"/>
    <w:basedOn w:val="962"/>
    <w:next w:val="1274"/>
    <w:link w:val="962"/>
    <w:qFormat/>
    <w:pPr>
      <w:ind w:left="360" w:hanging="360"/>
      <w:jc w:val="left"/>
      <w:widowControl/>
    </w:pPr>
    <w:rPr>
      <w:rFonts w:ascii="宋体" w:hAnsi="宋体" w:cs="宋体"/>
      <w:b/>
      <w:bCs/>
      <w:color w:val="000000"/>
      <w:sz w:val="18"/>
      <w:szCs w:val="18"/>
    </w:rPr>
  </w:style>
  <w:style w:type="paragraph" w:styleId="1275">
    <w:name w:val="正文列项_数字"/>
    <w:basedOn w:val="962"/>
    <w:next w:val="1275"/>
    <w:link w:val="962"/>
    <w:qFormat/>
    <w:pPr>
      <w:numPr>
        <w:ilvl w:val="7"/>
        <w:numId w:val="1"/>
      </w:numPr>
      <w:ind w:left="680" w:hanging="150"/>
      <w:spacing w:line="460" w:lineRule="exact"/>
      <w:tabs>
        <w:tab w:val="clear" w:pos="860" w:leader="none"/>
      </w:tabs>
      <w:outlineLvl w:val="7"/>
    </w:pPr>
    <w:rPr>
      <w:rFonts w:ascii="宋体"/>
      <w:sz w:val="28"/>
      <w:szCs w:val="20"/>
    </w:rPr>
  </w:style>
  <w:style w:type="paragraph" w:styleId="1276">
    <w:name w:val="xl39"/>
    <w:basedOn w:val="962"/>
    <w:next w:val="1276"/>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7">
    <w:name w:val="xl37"/>
    <w:basedOn w:val="962"/>
    <w:next w:val="1277"/>
    <w:link w:val="96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8">
    <w:name w:val="xl32"/>
    <w:basedOn w:val="962"/>
    <w:next w:val="1278"/>
    <w:link w:val="9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9">
    <w:name w:val="font8"/>
    <w:basedOn w:val="962"/>
    <w:next w:val="1279"/>
    <w:link w:val="962"/>
    <w:qFormat/>
    <w:pPr>
      <w:jc w:val="left"/>
      <w:spacing w:before="100" w:beforeAutospacing="1" w:after="100" w:afterAutospacing="1"/>
      <w:widowControl/>
    </w:pPr>
    <w:rPr>
      <w:sz w:val="36"/>
      <w:szCs w:val="36"/>
    </w:rPr>
  </w:style>
  <w:style w:type="paragraph" w:styleId="1280">
    <w:name w:val="Char"/>
    <w:basedOn w:val="962"/>
    <w:next w:val="1280"/>
    <w:link w:val="962"/>
    <w:qFormat/>
    <w:pPr>
      <w:tabs>
        <w:tab w:val="left" w:pos="360" w:leader="none"/>
      </w:tabs>
    </w:pPr>
    <w:rPr>
      <w:sz w:val="24"/>
    </w:rPr>
  </w:style>
  <w:style w:type="paragraph" w:styleId="1281">
    <w:name w:val="Char Char Char Char Char Char Char Char Char Char Char Char Char Char Char Char"/>
    <w:basedOn w:val="962"/>
    <w:next w:val="1281"/>
    <w:link w:val="962"/>
    <w:qFormat/>
    <w:pPr>
      <w:jc w:val="center"/>
      <w:spacing w:after="160" w:line="240" w:lineRule="exact"/>
      <w:widowControl/>
    </w:pPr>
    <w:rPr>
      <w:rFonts w:ascii="宋体" w:hAnsi="宋体"/>
      <w:b/>
      <w:sz w:val="30"/>
      <w:szCs w:val="30"/>
      <w:lang w:eastAsia="en-US"/>
    </w:rPr>
  </w:style>
  <w:style w:type="paragraph" w:styleId="1282">
    <w:name w:val="xl45"/>
    <w:basedOn w:val="962"/>
    <w:next w:val="1282"/>
    <w:link w:val="96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3">
    <w:name w:val="Char Char1 Char Char Char Char Char Char"/>
    <w:basedOn w:val="962"/>
    <w:next w:val="1283"/>
    <w:link w:val="962"/>
    <w:qFormat/>
    <w:pPr>
      <w:jc w:val="left"/>
      <w:spacing w:after="160" w:line="240" w:lineRule="exact"/>
      <w:widowControl/>
    </w:pPr>
    <w:rPr>
      <w:rFonts w:ascii="Verdana" w:hAnsi="Verdana" w:eastAsia="仿宋_GB2312"/>
      <w:sz w:val="24"/>
      <w:szCs w:val="20"/>
      <w:lang w:eastAsia="en-US"/>
    </w:rPr>
  </w:style>
  <w:style w:type="paragraph" w:styleId="1284">
    <w:name w:val="Char Char1"/>
    <w:basedOn w:val="1169"/>
    <w:next w:val="1284"/>
    <w:link w:val="962"/>
    <w:qFormat/>
    <w:rPr>
      <w:rFonts w:ascii="Tahoma" w:hAnsi="Tahoma"/>
      <w:sz w:val="24"/>
    </w:rPr>
  </w:style>
  <w:style w:type="paragraph" w:styleId="1285">
    <w:name w:val="xl26"/>
    <w:basedOn w:val="962"/>
    <w:next w:val="1285"/>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6">
    <w:name w:val="xl30"/>
    <w:basedOn w:val="962"/>
    <w:next w:val="1286"/>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7">
    <w:name w:val="xl41"/>
    <w:basedOn w:val="962"/>
    <w:next w:val="1287"/>
    <w:link w:val="96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8">
    <w:name w:val="样式 宋体 五号 行距: 单倍行距"/>
    <w:basedOn w:val="962"/>
    <w:next w:val="1288"/>
    <w:link w:val="962"/>
    <w:qFormat/>
    <w:pPr>
      <w:jc w:val="left"/>
    </w:pPr>
    <w:rPr>
      <w:rFonts w:ascii="宋体" w:hAnsi="宋体"/>
      <w:szCs w:val="20"/>
    </w:rPr>
  </w:style>
  <w:style w:type="paragraph" w:styleId="1289">
    <w:name w:val="Char1 Char Char Char1"/>
    <w:basedOn w:val="962"/>
    <w:next w:val="1289"/>
    <w:link w:val="962"/>
    <w:qFormat/>
    <w:rPr>
      <w:rFonts w:ascii="Tahoma" w:hAnsi="Tahoma" w:cs="仿宋_GB2312"/>
      <w:sz w:val="24"/>
      <w:szCs w:val="28"/>
    </w:rPr>
  </w:style>
  <w:style w:type="paragraph" w:styleId="1290">
    <w:name w:val="四级条标题"/>
    <w:basedOn w:val="1291"/>
    <w:next w:val="962"/>
    <w:link w:val="962"/>
    <w:qFormat/>
    <w:pPr>
      <w:numPr>
        <w:ilvl w:val="4"/>
      </w:numPr>
      <w:ind w:left="0" w:hanging="840"/>
      <w:tabs>
        <w:tab w:val="left" w:pos="360" w:leader="none"/>
        <w:tab w:val="left" w:pos="840" w:leader="none"/>
      </w:tabs>
      <w:outlineLvl w:val="4"/>
    </w:pPr>
  </w:style>
  <w:style w:type="paragraph" w:styleId="1291">
    <w:name w:val="三级条标题"/>
    <w:basedOn w:val="1253"/>
    <w:next w:val="962"/>
    <w:link w:val="962"/>
    <w:qFormat/>
    <w:pPr>
      <w:numPr>
        <w:ilvl w:val="3"/>
        <w:numId w:val="1"/>
      </w:numPr>
      <w:ind w:left="0" w:hanging="840"/>
      <w:tabs>
        <w:tab w:val="left" w:pos="360" w:leader="none"/>
        <w:tab w:val="left" w:pos="840" w:leader="none"/>
      </w:tabs>
      <w:outlineLvl w:val="3"/>
    </w:pPr>
  </w:style>
  <w:style w:type="paragraph" w:styleId="1292">
    <w:name w:val="??"/>
    <w:next w:val="1292"/>
    <w:link w:val="962"/>
    <w:qFormat/>
    <w:pPr>
      <w:jc w:val="both"/>
      <w:widowControl w:val="off"/>
    </w:pPr>
    <w:rPr>
      <w:rFonts w:ascii="Times New Roman" w:hAnsi="Times New Roman" w:eastAsia="宋体" w:cs="Times New Roman"/>
      <w:sz w:val="21"/>
      <w:lang w:val="en-US" w:eastAsia="en-US" w:bidi="ar-SA"/>
    </w:rPr>
  </w:style>
  <w:style w:type="paragraph" w:styleId="1293">
    <w:name w:val="样式 标题 2 + 宋体 五号 行距: 单倍行距"/>
    <w:basedOn w:val="1147"/>
    <w:next w:val="1293"/>
    <w:link w:val="96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94">
    <w:name w:val="List Paragraph1"/>
    <w:basedOn w:val="962"/>
    <w:next w:val="1294"/>
    <w:link w:val="962"/>
    <w:qFormat/>
    <w:pPr>
      <w:ind w:firstLine="420"/>
    </w:pPr>
    <w:rPr>
      <w:rFonts w:ascii="Calibri" w:hAnsi="Calibri"/>
      <w:szCs w:val="22"/>
    </w:rPr>
  </w:style>
  <w:style w:type="paragraph" w:styleId="1295">
    <w:name w:val="项目符号1"/>
    <w:basedOn w:val="1296"/>
    <w:next w:val="1295"/>
    <w:link w:val="962"/>
    <w:qFormat/>
    <w:pPr>
      <w:ind w:left="-25" w:firstLine="0"/>
    </w:pPr>
  </w:style>
  <w:style w:type="paragraph" w:styleId="1296">
    <w:name w:val="正文文本样式"/>
    <w:basedOn w:val="962"/>
    <w:next w:val="1296"/>
    <w:link w:val="962"/>
    <w:qFormat/>
    <w:pPr>
      <w:ind w:firstLine="482"/>
      <w:spacing w:line="360" w:lineRule="auto"/>
    </w:pPr>
    <w:rPr>
      <w:rFonts w:cs="宋体"/>
      <w:sz w:val="24"/>
      <w:szCs w:val="20"/>
    </w:rPr>
  </w:style>
  <w:style w:type="paragraph" w:styleId="1297">
    <w:name w:val="xl27"/>
    <w:basedOn w:val="962"/>
    <w:next w:val="1297"/>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8">
    <w:name w:val="font5"/>
    <w:basedOn w:val="962"/>
    <w:next w:val="1298"/>
    <w:link w:val="962"/>
    <w:qFormat/>
    <w:pPr>
      <w:jc w:val="left"/>
      <w:spacing w:before="100" w:beforeAutospacing="1" w:after="100" w:afterAutospacing="1"/>
      <w:widowControl/>
    </w:pPr>
    <w:rPr>
      <w:rFonts w:ascii="宋体" w:hAnsi="宋体" w:cs="宋体"/>
      <w:sz w:val="18"/>
      <w:szCs w:val="18"/>
    </w:rPr>
  </w:style>
  <w:style w:type="paragraph" w:styleId="1299">
    <w:name w:val="五级条标题"/>
    <w:basedOn w:val="1290"/>
    <w:next w:val="962"/>
    <w:link w:val="962"/>
    <w:qFormat/>
    <w:pPr>
      <w:numPr>
        <w:ilvl w:val="5"/>
      </w:numPr>
      <w:ind w:left="0" w:hanging="840"/>
      <w:tabs>
        <w:tab w:val="left" w:pos="360" w:leader="none"/>
        <w:tab w:val="left" w:pos="840" w:leader="none"/>
      </w:tabs>
      <w:outlineLvl w:val="5"/>
    </w:pPr>
  </w:style>
  <w:style w:type="paragraph" w:styleId="1300">
    <w:name w:val="xl49"/>
    <w:basedOn w:val="962"/>
    <w:next w:val="1300"/>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1">
    <w:name w:val="文档正文"/>
    <w:basedOn w:val="962"/>
    <w:next w:val="1301"/>
    <w:link w:val="962"/>
    <w:qFormat/>
    <w:pPr>
      <w:spacing w:before="120" w:after="120" w:line="180" w:lineRule="auto"/>
    </w:pPr>
    <w:rPr>
      <w:rFonts w:ascii="Arial" w:hAnsi="Arial"/>
      <w:szCs w:val="20"/>
    </w:rPr>
  </w:style>
  <w:style w:type="paragraph" w:styleId="1302">
    <w:name w:val="xl33"/>
    <w:basedOn w:val="962"/>
    <w:next w:val="1302"/>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3">
    <w:name w:val="xl42"/>
    <w:basedOn w:val="962"/>
    <w:next w:val="1303"/>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4">
    <w:name w:val="Char Char Char1 Char"/>
    <w:basedOn w:val="962"/>
    <w:next w:val="1304"/>
    <w:link w:val="962"/>
    <w:qFormat/>
    <w:rPr>
      <w:rFonts w:ascii="Tahoma" w:hAnsi="Tahoma"/>
      <w:sz w:val="24"/>
      <w:szCs w:val="20"/>
    </w:rPr>
  </w:style>
  <w:style w:type="paragraph" w:styleId="1305">
    <w:name w:val="xl44"/>
    <w:basedOn w:val="962"/>
    <w:next w:val="1305"/>
    <w:link w:val="9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6">
    <w:name w:val="1名"/>
    <w:basedOn w:val="962"/>
    <w:next w:val="1306"/>
    <w:link w:val="962"/>
    <w:qFormat/>
    <w:pPr>
      <w:numPr>
        <w:ilvl w:val="0"/>
        <w:numId w:val="5"/>
      </w:numPr>
      <w:spacing w:before="120"/>
      <w:tabs>
        <w:tab w:val="left" w:pos="360" w:leader="none"/>
      </w:tabs>
    </w:pPr>
    <w:rPr>
      <w:rFonts w:ascii="宋体"/>
      <w:sz w:val="28"/>
      <w:szCs w:val="20"/>
    </w:rPr>
  </w:style>
  <w:style w:type="paragraph" w:styleId="1307">
    <w:name w:val="font9"/>
    <w:basedOn w:val="962"/>
    <w:next w:val="1307"/>
    <w:link w:val="962"/>
    <w:qFormat/>
    <w:pPr>
      <w:jc w:val="left"/>
      <w:spacing w:before="100" w:beforeAutospacing="1" w:after="100" w:afterAutospacing="1"/>
      <w:widowControl/>
    </w:pPr>
    <w:rPr>
      <w:rFonts w:hint="eastAsia" w:ascii="宋体" w:hAnsi="宋体" w:cs="Arial Unicode MS"/>
      <w:color w:val="000000"/>
      <w:sz w:val="20"/>
      <w:szCs w:val="20"/>
    </w:rPr>
  </w:style>
  <w:style w:type="paragraph" w:styleId="1308">
    <w:name w:val="Char Char Char1 Char1"/>
    <w:basedOn w:val="962"/>
    <w:next w:val="1308"/>
    <w:link w:val="962"/>
    <w:qFormat/>
    <w:rPr>
      <w:rFonts w:ascii="Tahoma" w:hAnsi="Tahoma"/>
      <w:sz w:val="24"/>
      <w:szCs w:val="20"/>
    </w:rPr>
  </w:style>
  <w:style w:type="paragraph" w:styleId="1309">
    <w:name w:val="Char Char Char Char Char Char Char Char Char Char"/>
    <w:basedOn w:val="962"/>
    <w:next w:val="1309"/>
    <w:link w:val="962"/>
    <w:qFormat/>
  </w:style>
  <w:style w:type="paragraph" w:styleId="1310">
    <w:name w:val="Char Char1 Char Char Char Char Char Char Char Char"/>
    <w:basedOn w:val="962"/>
    <w:next w:val="1310"/>
    <w:link w:val="962"/>
    <w:qFormat/>
    <w:pPr>
      <w:jc w:val="left"/>
      <w:spacing w:after="160" w:line="240" w:lineRule="exact"/>
      <w:widowControl/>
    </w:pPr>
    <w:rPr>
      <w:rFonts w:ascii="Verdana" w:hAnsi="Verdana"/>
      <w:sz w:val="20"/>
      <w:szCs w:val="20"/>
      <w:lang w:eastAsia="en-US"/>
    </w:rPr>
  </w:style>
  <w:style w:type="paragraph" w:styleId="1311">
    <w:name w:val="Char1"/>
    <w:basedOn w:val="962"/>
    <w:next w:val="1311"/>
    <w:link w:val="962"/>
    <w:qFormat/>
    <w:pPr>
      <w:tabs>
        <w:tab w:val="left" w:pos="360" w:leader="none"/>
      </w:tabs>
    </w:pPr>
    <w:rPr>
      <w:sz w:val="24"/>
    </w:rPr>
  </w:style>
  <w:style w:type="paragraph" w:styleId="1312">
    <w:name w:val="正文列项_字母"/>
    <w:basedOn w:val="962"/>
    <w:next w:val="1312"/>
    <w:link w:val="962"/>
    <w:qFormat/>
    <w:pPr>
      <w:numPr>
        <w:ilvl w:val="6"/>
        <w:numId w:val="1"/>
      </w:numPr>
      <w:ind w:left="480" w:hanging="180"/>
      <w:spacing w:line="460" w:lineRule="exact"/>
      <w:tabs>
        <w:tab w:val="clear" w:pos="635" w:leader="none"/>
      </w:tabs>
      <w:outlineLvl w:val="6"/>
    </w:pPr>
    <w:rPr>
      <w:rFonts w:ascii="宋体"/>
      <w:sz w:val="28"/>
      <w:szCs w:val="20"/>
    </w:rPr>
  </w:style>
  <w:style w:type="paragraph" w:styleId="1313">
    <w:name w:val="xl28"/>
    <w:basedOn w:val="962"/>
    <w:next w:val="1313"/>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4">
    <w:name w:val="xl47"/>
    <w:basedOn w:val="962"/>
    <w:next w:val="1314"/>
    <w:link w:val="9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5">
    <w:name w:val="默认段落字体 Para Char Char Char Char"/>
    <w:basedOn w:val="962"/>
    <w:next w:val="1315"/>
    <w:link w:val="962"/>
    <w:qFormat/>
    <w:rPr>
      <w:rFonts w:ascii="Arial" w:hAnsi="Arial" w:cs="Arial"/>
      <w:szCs w:val="21"/>
    </w:rPr>
  </w:style>
  <w:style w:type="paragraph" w:styleId="1316">
    <w:name w:val="xl48"/>
    <w:basedOn w:val="962"/>
    <w:next w:val="1316"/>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7">
    <w:name w:val="xl31"/>
    <w:basedOn w:val="962"/>
    <w:next w:val="1317"/>
    <w:link w:val="9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8">
    <w:name w:val="xl53"/>
    <w:basedOn w:val="962"/>
    <w:next w:val="1318"/>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name w:val="Char Char Char"/>
    <w:basedOn w:val="962"/>
    <w:next w:val="1319"/>
    <w:link w:val="962"/>
    <w:qFormat/>
    <w:rPr>
      <w:rFonts w:ascii="Tahoma" w:hAnsi="Tahoma"/>
      <w:sz w:val="24"/>
      <w:szCs w:val="20"/>
    </w:rPr>
  </w:style>
  <w:style w:type="paragraph" w:styleId="1320">
    <w:name w:val="xl50"/>
    <w:basedOn w:val="962"/>
    <w:next w:val="1320"/>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1">
    <w:name w:val="缺省文本"/>
    <w:basedOn w:val="962"/>
    <w:next w:val="1321"/>
    <w:link w:val="962"/>
    <w:qFormat/>
    <w:pPr>
      <w:jc w:val="left"/>
    </w:pPr>
    <w:rPr>
      <w:sz w:val="24"/>
    </w:rPr>
  </w:style>
  <w:style w:type="paragraph" w:styleId="1322">
    <w:name w:val="Char Char Char1"/>
    <w:basedOn w:val="962"/>
    <w:next w:val="1322"/>
    <w:link w:val="962"/>
    <w:qFormat/>
    <w:rPr>
      <w:rFonts w:ascii="Tahoma" w:hAnsi="Tahoma"/>
      <w:sz w:val="24"/>
      <w:szCs w:val="20"/>
    </w:rPr>
  </w:style>
  <w:style w:type="paragraph" w:styleId="1323">
    <w:name w:val="Char Char Char Char Char Char Char1"/>
    <w:basedOn w:val="962"/>
    <w:next w:val="1323"/>
    <w:link w:val="962"/>
    <w:qFormat/>
    <w:pPr>
      <w:ind w:firstLine="200"/>
      <w:spacing w:line="360" w:lineRule="auto"/>
    </w:pPr>
    <w:rPr>
      <w:rFonts w:eastAsia="仿宋_GB2312"/>
      <w:sz w:val="24"/>
    </w:rPr>
  </w:style>
  <w:style w:type="paragraph" w:styleId="1324">
    <w:name w:val="xl51"/>
    <w:basedOn w:val="962"/>
    <w:next w:val="1324"/>
    <w:link w:val="9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5">
    <w:name w:val="样式2"/>
    <w:basedOn w:val="1207"/>
    <w:next w:val="1325"/>
    <w:link w:val="962"/>
    <w:qFormat/>
    <w:pPr>
      <w:jc w:val="center"/>
      <w:spacing w:line="360" w:lineRule="auto"/>
    </w:pPr>
    <w:rPr>
      <w:sz w:val="24"/>
    </w:rPr>
  </w:style>
  <w:style w:type="paragraph" w:styleId="1326">
    <w:name w:val="xl24"/>
    <w:basedOn w:val="962"/>
    <w:next w:val="1326"/>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7">
    <w:name w:val="xl29"/>
    <w:basedOn w:val="962"/>
    <w:next w:val="1327"/>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8">
    <w:name w:val="正文 + 楷体_GB2312"/>
    <w:basedOn w:val="962"/>
    <w:next w:val="1328"/>
    <w:link w:val="962"/>
    <w:qFormat/>
    <w:pPr>
      <w:jc w:val="left"/>
      <w:widowControl/>
    </w:pPr>
    <w:rPr>
      <w:rFonts w:ascii="楷体_GB2312" w:eastAsia="楷体_GB2312" w:cs="Arial"/>
      <w:sz w:val="24"/>
    </w:rPr>
  </w:style>
  <w:style w:type="paragraph" w:styleId="1329">
    <w:name w:val="xl34"/>
    <w:basedOn w:val="962"/>
    <w:next w:val="1329"/>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0">
    <w:name w:val="1 Char Char Char Char"/>
    <w:basedOn w:val="962"/>
    <w:next w:val="1330"/>
    <w:link w:val="962"/>
    <w:qFormat/>
    <w:rPr>
      <w:rFonts w:ascii="Tahoma" w:hAnsi="Tahoma"/>
      <w:sz w:val="24"/>
      <w:szCs w:val="20"/>
    </w:rPr>
  </w:style>
  <w:style w:type="paragraph" w:styleId="1331">
    <w:name w:val="Default"/>
    <w:next w:val="1331"/>
    <w:link w:val="962"/>
    <w:qFormat/>
    <w:pPr>
      <w:widowControl w:val="off"/>
    </w:pPr>
    <w:rPr>
      <w:rFonts w:ascii="Symbol" w:hAnsi="Symbol" w:eastAsia="宋体" w:cs="Symbol"/>
      <w:color w:val="000000"/>
      <w:sz w:val="24"/>
      <w:szCs w:val="24"/>
      <w:lang w:val="en-US" w:eastAsia="zh-CN" w:bidi="ar-SA"/>
    </w:rPr>
  </w:style>
  <w:style w:type="paragraph" w:styleId="1332">
    <w:name w:val="列出段落1"/>
    <w:basedOn w:val="962"/>
    <w:next w:val="1332"/>
    <w:link w:val="962"/>
    <w:qFormat/>
    <w:pPr>
      <w:ind w:firstLine="420"/>
    </w:pPr>
    <w:rPr>
      <w:rFonts w:ascii="Calibri" w:hAnsi="Calibri"/>
      <w:szCs w:val="22"/>
    </w:rPr>
  </w:style>
  <w:style w:type="paragraph" w:styleId="1333">
    <w:name w:val="default"/>
    <w:basedOn w:val="962"/>
    <w:next w:val="1333"/>
    <w:link w:val="962"/>
    <w:qFormat/>
    <w:pPr>
      <w:jc w:val="left"/>
      <w:spacing w:before="100" w:beforeAutospacing="1" w:after="100" w:afterAutospacing="1"/>
      <w:widowControl/>
    </w:pPr>
    <w:rPr>
      <w:rFonts w:ascii="宋体" w:hAnsi="宋体" w:cs="宋体"/>
      <w:sz w:val="24"/>
    </w:rPr>
  </w:style>
  <w:style w:type="paragraph" w:styleId="1334">
    <w:name w:val="字元 字元1"/>
    <w:basedOn w:val="962"/>
    <w:next w:val="1334"/>
    <w:link w:val="962"/>
    <w:qFormat/>
    <w:rPr>
      <w:rFonts w:ascii="Tahoma" w:hAnsi="Tahoma"/>
      <w:sz w:val="24"/>
      <w:szCs w:val="20"/>
    </w:rPr>
  </w:style>
  <w:style w:type="paragraph" w:styleId="1335">
    <w:name w:val="_Style 160"/>
    <w:next w:val="1335"/>
    <w:link w:val="962"/>
    <w:qFormat/>
    <w:rPr>
      <w:rFonts w:ascii="Times New Roman" w:hAnsi="Times New Roman" w:eastAsia="宋体" w:cs="Times New Roman"/>
      <w:sz w:val="21"/>
      <w:szCs w:val="24"/>
      <w:lang w:val="en-US" w:eastAsia="zh-CN" w:bidi="ar-SA"/>
    </w:rPr>
  </w:style>
  <w:style w:type="paragraph" w:styleId="1336">
    <w:name w:val="项目编号3"/>
    <w:basedOn w:val="1296"/>
    <w:next w:val="1336"/>
    <w:link w:val="962"/>
    <w:qFormat/>
    <w:pPr>
      <w:numPr>
        <w:ilvl w:val="0"/>
        <w:numId w:val="6"/>
      </w:numPr>
    </w:pPr>
  </w:style>
  <w:style w:type="paragraph" w:styleId="1337">
    <w:name w:val="Char21"/>
    <w:basedOn w:val="962"/>
    <w:next w:val="1337"/>
    <w:link w:val="962"/>
    <w:qFormat/>
    <w:rPr>
      <w:rFonts w:ascii="Tahoma" w:hAnsi="Tahoma"/>
      <w:sz w:val="24"/>
      <w:szCs w:val="20"/>
    </w:rPr>
  </w:style>
  <w:style w:type="paragraph" w:styleId="1338">
    <w:name w:val="表格文字"/>
    <w:basedOn w:val="1177"/>
    <w:next w:val="1338"/>
    <w:link w:val="962"/>
    <w:qFormat/>
    <w:pPr>
      <w:ind w:firstLine="0"/>
      <w:spacing w:before="20" w:after="20" w:line="240" w:lineRule="auto"/>
    </w:pPr>
    <w:rPr>
      <w:rFonts w:ascii="Century Gothic" w:hAnsi="Century Gothic"/>
      <w:sz w:val="20"/>
      <w:szCs w:val="20"/>
    </w:rPr>
  </w:style>
  <w:style w:type="paragraph" w:styleId="1339">
    <w:name w:val="Char Char Char Char Char Char Char Char Char Char1"/>
    <w:basedOn w:val="962"/>
    <w:next w:val="1339"/>
    <w:link w:val="962"/>
    <w:qFormat/>
    <w:rPr>
      <w:rFonts w:ascii="宋体" w:hAnsi="宋体" w:cs="Courier New"/>
      <w:sz w:val="32"/>
      <w:szCs w:val="32"/>
    </w:rPr>
  </w:style>
  <w:style w:type="paragraph" w:styleId="1340">
    <w:name w:val="正文文本样式 加粗"/>
    <w:basedOn w:val="1296"/>
    <w:next w:val="1340"/>
    <w:link w:val="962"/>
    <w:qFormat/>
    <w:rPr>
      <w:b/>
    </w:rPr>
  </w:style>
  <w:style w:type="paragraph" w:styleId="1341">
    <w:name w:val="Char2 Char Char Char Char Char Char"/>
    <w:basedOn w:val="962"/>
    <w:next w:val="1341"/>
    <w:link w:val="962"/>
    <w:qFormat/>
    <w:pPr>
      <w:jc w:val="center"/>
      <w:spacing w:line="400" w:lineRule="exact"/>
      <w:widowControl/>
    </w:pPr>
  </w:style>
  <w:style w:type="paragraph" w:styleId="1342">
    <w:name w:val="Char Char4"/>
    <w:basedOn w:val="962"/>
    <w:next w:val="1342"/>
    <w:link w:val="962"/>
    <w:qFormat/>
    <w:pPr>
      <w:jc w:val="center"/>
      <w:spacing w:line="400" w:lineRule="exact"/>
      <w:widowControl/>
    </w:pPr>
  </w:style>
  <w:style w:type="paragraph" w:styleId="1343">
    <w:name w:val="Char3 Char Char Char1"/>
    <w:basedOn w:val="962"/>
    <w:next w:val="1343"/>
    <w:link w:val="962"/>
    <w:qFormat/>
    <w:rPr>
      <w:rFonts w:ascii="Tahoma" w:hAnsi="Tahoma"/>
      <w:sz w:val="24"/>
      <w:szCs w:val="20"/>
    </w:rPr>
  </w:style>
  <w:style w:type="paragraph" w:styleId="1344">
    <w:name w:val="无间隔"/>
    <w:next w:val="1344"/>
    <w:link w:val="962"/>
    <w:qFormat/>
    <w:pPr>
      <w:jc w:val="both"/>
      <w:widowControl w:val="off"/>
    </w:pPr>
    <w:rPr>
      <w:rFonts w:ascii="Times New Roman" w:hAnsi="Times New Roman" w:eastAsia="宋体" w:cs="Times New Roman"/>
      <w:sz w:val="21"/>
      <w:szCs w:val="24"/>
      <w:lang w:val="en-US" w:eastAsia="zh-CN" w:bidi="ar-SA"/>
    </w:rPr>
  </w:style>
  <w:style w:type="paragraph" w:styleId="1345">
    <w:name w:val="22222222222222"/>
    <w:basedOn w:val="962"/>
    <w:next w:val="1345"/>
    <w:link w:val="962"/>
    <w:qFormat/>
    <w:pPr>
      <w:ind w:firstLine="480"/>
      <w:jc w:val="left"/>
      <w:spacing w:line="360" w:lineRule="auto"/>
      <w:widowControl/>
    </w:pPr>
    <w:rPr>
      <w:color w:val="ff0000"/>
      <w:sz w:val="24"/>
      <w:szCs w:val="20"/>
    </w:rPr>
  </w:style>
  <w:style w:type="character" w:styleId="1346">
    <w:name w:val="中等深浅网格 1 - 强调文字颜色 2 Char"/>
    <w:next w:val="1346"/>
    <w:link w:val="1347"/>
    <w:qFormat/>
    <w:rPr>
      <w:sz w:val="21"/>
      <w:szCs w:val="24"/>
      <w:lang w:val="zh-CN" w:eastAsia="zh-CN" w:bidi="ar-SA"/>
    </w:rPr>
  </w:style>
  <w:style w:type="paragraph" w:styleId="1347">
    <w:name w:val="1"/>
    <w:next w:val="1347"/>
    <w:link w:val="1346"/>
    <w:uiPriority w:val="34"/>
    <w:qFormat/>
    <w:rPr>
      <w:rFonts w:ascii="Times New Roman" w:hAnsi="Times New Roman" w:eastAsia="宋体" w:cs="Times New Roman"/>
      <w:sz w:val="21"/>
      <w:szCs w:val="24"/>
      <w:lang w:val="zh-CN" w:eastAsia="zh-CN" w:bidi="ar-SA"/>
    </w:rPr>
  </w:style>
  <w:style w:type="paragraph" w:styleId="1348">
    <w:name w:val="图文"/>
    <w:basedOn w:val="962"/>
    <w:next w:val="1348"/>
    <w:link w:val="962"/>
    <w:qFormat/>
    <w:pPr>
      <w:spacing w:after="50" w:line="360" w:lineRule="auto"/>
    </w:pPr>
    <w:rPr>
      <w:sz w:val="24"/>
    </w:rPr>
  </w:style>
  <w:style w:type="paragraph" w:styleId="1349">
    <w:name w:val="xl23"/>
    <w:basedOn w:val="962"/>
    <w:next w:val="1349"/>
    <w:link w:val="962"/>
    <w:qFormat/>
    <w:pPr>
      <w:spacing w:before="100" w:beforeAutospacing="1" w:after="100" w:afterAutospacing="1" w:line="360" w:lineRule="auto"/>
      <w:widowControl/>
    </w:pPr>
    <w:rPr>
      <w:sz w:val="24"/>
      <w:szCs w:val="20"/>
    </w:rPr>
  </w:style>
  <w:style w:type="paragraph" w:styleId="1350">
    <w:name w:val="正文表格"/>
    <w:basedOn w:val="962"/>
    <w:next w:val="1350"/>
    <w:link w:val="1351"/>
    <w:qFormat/>
    <w:pPr>
      <w:jc w:val="left"/>
    </w:pPr>
    <w:rPr>
      <w:rFonts w:ascii="宋体" w:hAnsi="宋体"/>
      <w:color w:val="000000"/>
      <w:szCs w:val="21"/>
    </w:rPr>
  </w:style>
  <w:style w:type="character" w:styleId="1351">
    <w:name w:val="正文表格 Char"/>
    <w:next w:val="1351"/>
    <w:link w:val="1350"/>
    <w:qFormat/>
    <w:rPr>
      <w:rFonts w:ascii="宋体" w:hAnsi="宋体"/>
      <w:color w:val="000000"/>
      <w:sz w:val="21"/>
      <w:szCs w:val="21"/>
    </w:rPr>
  </w:style>
  <w:style w:type="paragraph" w:styleId="1352">
    <w:name w:val="正文重点"/>
    <w:basedOn w:val="962"/>
    <w:next w:val="1352"/>
    <w:link w:val="1353"/>
    <w:qFormat/>
    <w:pPr>
      <w:ind w:firstLine="482"/>
      <w:jc w:val="left"/>
      <w:spacing w:line="360" w:lineRule="auto"/>
    </w:pPr>
    <w:rPr>
      <w:b/>
      <w:sz w:val="24"/>
      <w:szCs w:val="20"/>
    </w:rPr>
  </w:style>
  <w:style w:type="character" w:styleId="1353">
    <w:name w:val="正文重点 Char"/>
    <w:next w:val="1353"/>
    <w:link w:val="1352"/>
    <w:qFormat/>
    <w:rPr>
      <w:b/>
      <w:sz w:val="24"/>
    </w:rPr>
  </w:style>
  <w:style w:type="paragraph" w:styleId="1354">
    <w:name w:val="标题1-附件"/>
    <w:basedOn w:val="1145"/>
    <w:next w:val="1354"/>
    <w:link w:val="962"/>
    <w:qFormat/>
    <w:pPr>
      <w:jc w:val="left"/>
    </w:pPr>
    <w:rPr>
      <w:sz w:val="24"/>
      <w:szCs w:val="24"/>
    </w:rPr>
  </w:style>
  <w:style w:type="paragraph" w:styleId="1355">
    <w:name w:val="正文小标题"/>
    <w:basedOn w:val="962"/>
    <w:next w:val="1166"/>
    <w:link w:val="1356"/>
    <w:qFormat/>
    <w:pPr>
      <w:ind w:firstLine="482"/>
      <w:jc w:val="left"/>
      <w:spacing w:before="312" w:after="312"/>
    </w:pPr>
    <w:rPr>
      <w:rFonts w:ascii="宋体" w:hAnsi="宋体"/>
      <w:b/>
      <w:i/>
      <w:color w:val="ff0000"/>
      <w:sz w:val="24"/>
      <w:szCs w:val="20"/>
    </w:rPr>
  </w:style>
  <w:style w:type="character" w:styleId="1356">
    <w:name w:val="正文小标题 Char"/>
    <w:next w:val="1356"/>
    <w:link w:val="1355"/>
    <w:qFormat/>
    <w:rPr>
      <w:rFonts w:ascii="宋体" w:hAnsi="宋体"/>
      <w:b/>
      <w:i/>
      <w:color w:val="ff0000"/>
      <w:sz w:val="24"/>
    </w:rPr>
  </w:style>
  <w:style w:type="paragraph" w:styleId="1357">
    <w:name w:val="正文大标题"/>
    <w:basedOn w:val="1355"/>
    <w:next w:val="1166"/>
    <w:link w:val="1358"/>
    <w:qFormat/>
    <w:pPr>
      <w:jc w:val="center"/>
    </w:pPr>
    <w:rPr>
      <w:i w:val="0"/>
      <w:color w:val="000000"/>
      <w:sz w:val="28"/>
      <w:szCs w:val="21"/>
    </w:rPr>
  </w:style>
  <w:style w:type="character" w:styleId="1358">
    <w:name w:val="正文大标题 Char"/>
    <w:next w:val="1358"/>
    <w:link w:val="1357"/>
    <w:qFormat/>
    <w:rPr>
      <w:rFonts w:ascii="宋体" w:hAnsi="宋体"/>
      <w:b/>
      <w:color w:val="000000"/>
      <w:sz w:val="28"/>
      <w:szCs w:val="21"/>
    </w:rPr>
  </w:style>
  <w:style w:type="paragraph" w:styleId="1359">
    <w:name w:val="注释"/>
    <w:basedOn w:val="962"/>
    <w:next w:val="1359"/>
    <w:link w:val="1360"/>
    <w:qFormat/>
    <w:pPr>
      <w:ind w:left="420" w:hanging="420"/>
      <w:jc w:val="left"/>
    </w:pPr>
    <w:rPr>
      <w:rFonts w:ascii="宋体" w:hAnsi="宋体"/>
      <w:szCs w:val="21"/>
    </w:rPr>
  </w:style>
  <w:style w:type="character" w:styleId="1360">
    <w:name w:val="注释 Char"/>
    <w:next w:val="1360"/>
    <w:link w:val="1359"/>
    <w:qFormat/>
    <w:rPr>
      <w:rFonts w:ascii="宋体" w:hAnsi="宋体"/>
      <w:sz w:val="21"/>
      <w:szCs w:val="21"/>
    </w:rPr>
  </w:style>
  <w:style w:type="paragraph" w:styleId="1361">
    <w:name w:val="正文须知-1级"/>
    <w:basedOn w:val="962"/>
    <w:next w:val="962"/>
    <w:link w:val="962"/>
    <w:qFormat/>
    <w:pPr>
      <w:numPr>
        <w:ilvl w:val="0"/>
        <w:numId w:val="7"/>
      </w:numPr>
      <w:spacing w:line="300" w:lineRule="auto"/>
    </w:pPr>
    <w:rPr>
      <w:rFonts w:ascii="宋体" w:hAnsi="Calibri"/>
      <w:sz w:val="24"/>
      <w:szCs w:val="21"/>
    </w:rPr>
  </w:style>
  <w:style w:type="paragraph" w:styleId="1362">
    <w:name w:val="正文须知-2级"/>
    <w:basedOn w:val="962"/>
    <w:next w:val="1362"/>
    <w:link w:val="962"/>
    <w:qFormat/>
    <w:pPr>
      <w:numPr>
        <w:ilvl w:val="1"/>
        <w:numId w:val="7"/>
      </w:numPr>
      <w:spacing w:line="300" w:lineRule="auto"/>
    </w:pPr>
    <w:rPr>
      <w:rFonts w:ascii="宋体" w:hAnsi="Calibri"/>
      <w:sz w:val="24"/>
      <w:szCs w:val="21"/>
    </w:rPr>
  </w:style>
  <w:style w:type="paragraph" w:styleId="1363">
    <w:name w:val="正文须知-3级"/>
    <w:basedOn w:val="962"/>
    <w:next w:val="1363"/>
    <w:link w:val="962"/>
    <w:qFormat/>
    <w:pPr>
      <w:numPr>
        <w:ilvl w:val="2"/>
        <w:numId w:val="7"/>
      </w:numPr>
      <w:ind w:hanging="355"/>
      <w:spacing w:line="300" w:lineRule="auto"/>
    </w:pPr>
    <w:rPr>
      <w:rFonts w:ascii="宋体" w:hAnsi="Calibri"/>
      <w:sz w:val="24"/>
      <w:szCs w:val="21"/>
    </w:rPr>
  </w:style>
  <w:style w:type="character" w:styleId="1364">
    <w:name w:val="纯文本 字符"/>
    <w:next w:val="1364"/>
    <w:link w:val="962"/>
    <w:uiPriority w:val="99"/>
    <w:qFormat/>
    <w:rPr>
      <w:rFonts w:ascii="宋体" w:hAnsi="Courier New" w:eastAsia="宋体" w:cs="Times New Roman"/>
      <w:sz w:val="21"/>
      <w:szCs w:val="21"/>
      <w:lang w:val="en-US" w:eastAsia="zh-CN" w:bidi="ar-SA"/>
    </w:rPr>
  </w:style>
  <w:style w:type="paragraph" w:styleId="1365">
    <w:name w:val="表格1"/>
    <w:basedOn w:val="962"/>
    <w:next w:val="1365"/>
    <w:link w:val="962"/>
    <w:qFormat/>
    <w:pPr>
      <w:ind w:firstLine="480"/>
      <w:jc w:val="center"/>
    </w:pPr>
    <w:rPr>
      <w:sz w:val="24"/>
      <w:szCs w:val="20"/>
    </w:rPr>
  </w:style>
  <w:style w:type="character" w:styleId="1366">
    <w:name w:val="纯文本 字符1"/>
    <w:next w:val="1366"/>
    <w:link w:val="962"/>
    <w:qFormat/>
    <w:rPr>
      <w:rFonts w:ascii="宋体" w:hAnsi="Courier New"/>
    </w:rPr>
  </w:style>
  <w:style w:type="character" w:styleId="1367">
    <w:name w:val="bjh-p"/>
    <w:next w:val="1367"/>
    <w:link w:val="962"/>
    <w:qFormat/>
  </w:style>
  <w:style w:type="paragraph" w:styleId="1368">
    <w:name w:val="无标题条"/>
    <w:next w:val="962"/>
    <w:link w:val="962"/>
    <w:qFormat/>
    <w:pPr>
      <w:jc w:val="both"/>
    </w:pPr>
    <w:rPr>
      <w:rFonts w:ascii="Times New Roman" w:hAnsi="Times New Roman" w:eastAsia="宋体" w:cs="Times New Roman"/>
      <w:sz w:val="21"/>
      <w:lang w:val="en-US" w:eastAsia="zh-CN" w:bidi="ar-SA"/>
    </w:rPr>
  </w:style>
  <w:style w:type="character" w:styleId="1369">
    <w:name w:val="正文格式 Char"/>
    <w:next w:val="1369"/>
    <w:link w:val="1370"/>
    <w:qFormat/>
    <w:rPr>
      <w:rFonts w:ascii="宋体" w:hAnsi="宋体"/>
      <w:sz w:val="24"/>
      <w:szCs w:val="24"/>
      <w:lang w:val="en-GB"/>
    </w:rPr>
  </w:style>
  <w:style w:type="paragraph" w:styleId="1370">
    <w:name w:val="正文格式"/>
    <w:basedOn w:val="962"/>
    <w:next w:val="1370"/>
    <w:link w:val="1369"/>
    <w:qFormat/>
    <w:pPr>
      <w:ind w:firstLine="480"/>
      <w:spacing w:line="360" w:lineRule="auto"/>
    </w:pPr>
    <w:rPr>
      <w:rFonts w:ascii="宋体" w:hAnsi="宋体"/>
      <w:sz w:val="24"/>
      <w:lang w:val="en-GB"/>
    </w:rPr>
  </w:style>
  <w:style w:type="character" w:styleId="1371">
    <w:name w:val="标题 3 Char"/>
    <w:next w:val="1371"/>
    <w:link w:val="962"/>
    <w:qFormat/>
    <w:rPr>
      <w:rFonts w:ascii="宋体" w:eastAsia="宋体"/>
      <w:b/>
      <w:sz w:val="24"/>
      <w:u w:val="single"/>
      <w:lang w:val="en-US" w:eastAsia="zh-CN" w:bidi="ar-SA"/>
    </w:rPr>
  </w:style>
  <w:style w:type="character" w:styleId="1372">
    <w:name w:val="正文缩进 Char"/>
    <w:next w:val="1372"/>
    <w:link w:val="962"/>
    <w:qFormat/>
    <w:rPr>
      <w:rFonts w:ascii="宋体" w:eastAsia="宋体"/>
      <w:sz w:val="24"/>
      <w:szCs w:val="24"/>
      <w:lang w:val="en-US" w:eastAsia="zh-CN" w:bidi="ar-SA"/>
    </w:rPr>
  </w:style>
  <w:style w:type="character" w:styleId="1373">
    <w:name w:val="Char Char111"/>
    <w:next w:val="1373"/>
    <w:link w:val="962"/>
    <w:qFormat/>
    <w:rPr>
      <w:rFonts w:ascii="宋体" w:eastAsia="宋体"/>
      <w:b/>
      <w:sz w:val="24"/>
      <w:u w:val="single"/>
      <w:lang w:val="en-US" w:eastAsia="zh-CN" w:bidi="ar-SA"/>
    </w:rPr>
  </w:style>
  <w:style w:type="character" w:styleId="1374">
    <w:name w:val="正文文本缩进 Char"/>
    <w:next w:val="1374"/>
    <w:link w:val="962"/>
    <w:qFormat/>
    <w:rPr>
      <w:rFonts w:eastAsia="宋体"/>
      <w:sz w:val="24"/>
      <w:szCs w:val="24"/>
      <w:lang w:val="en-US" w:eastAsia="zh-CN" w:bidi="ar-SA"/>
    </w:rPr>
  </w:style>
  <w:style w:type="character" w:styleId="1375">
    <w:name w:val="列出段落 Char"/>
    <w:next w:val="1375"/>
    <w:link w:val="962"/>
    <w:qFormat/>
    <w:rPr>
      <w:rFonts w:ascii="Calibri" w:hAnsi="Calibri" w:eastAsia="宋体"/>
      <w:sz w:val="21"/>
      <w:szCs w:val="22"/>
      <w:lang w:val="en-US" w:eastAsia="zh-CN" w:bidi="ar-SA"/>
    </w:rPr>
  </w:style>
  <w:style w:type="character" w:styleId="1376">
    <w:name w:val="页眉 Char"/>
    <w:next w:val="1376"/>
    <w:link w:val="962"/>
    <w:qFormat/>
    <w:rPr>
      <w:rFonts w:eastAsia="宋体"/>
      <w:sz w:val="18"/>
      <w:szCs w:val="18"/>
      <w:lang w:val="en-US" w:eastAsia="zh-CN" w:bidi="ar-SA"/>
    </w:rPr>
  </w:style>
  <w:style w:type="character" w:styleId="1377">
    <w:name w:val="标题 2 Char"/>
    <w:next w:val="1377"/>
    <w:link w:val="962"/>
    <w:qFormat/>
    <w:rPr>
      <w:rFonts w:ascii="Arial" w:hAnsi="Arial" w:eastAsia="黑体"/>
      <w:b/>
      <w:sz w:val="30"/>
      <w:lang w:val="en-US" w:eastAsia="zh-CN" w:bidi="ar-SA"/>
    </w:rPr>
  </w:style>
  <w:style w:type="paragraph" w:styleId="1378">
    <w:name w:val="字元 字元2"/>
    <w:basedOn w:val="962"/>
    <w:next w:val="1378"/>
    <w:link w:val="962"/>
    <w:qFormat/>
    <w:rPr>
      <w:rFonts w:ascii="Tahoma" w:hAnsi="Tahoma"/>
      <w:sz w:val="24"/>
      <w:szCs w:val="20"/>
    </w:rPr>
  </w:style>
  <w:style w:type="paragraph" w:styleId="1379">
    <w:name w:val="Char3 Char Char Char2"/>
    <w:basedOn w:val="962"/>
    <w:next w:val="1379"/>
    <w:link w:val="962"/>
    <w:qFormat/>
    <w:rPr>
      <w:rFonts w:ascii="Tahoma" w:hAnsi="Tahoma"/>
      <w:sz w:val="24"/>
      <w:szCs w:val="20"/>
    </w:rPr>
  </w:style>
  <w:style w:type="paragraph" w:styleId="1380">
    <w:name w:val="正文文本缩进2"/>
    <w:basedOn w:val="962"/>
    <w:next w:val="1380"/>
    <w:link w:val="962"/>
    <w:qFormat/>
    <w:pPr>
      <w:ind w:firstLine="480"/>
      <w:spacing w:line="480" w:lineRule="exact"/>
    </w:pPr>
    <w:rPr>
      <w:rFonts w:ascii="宋体" w:hAnsi="宋体"/>
      <w:sz w:val="24"/>
      <w:lang w:val="zh-CN" w:eastAsia="zh-CN"/>
    </w:rPr>
  </w:style>
  <w:style w:type="paragraph" w:styleId="1381">
    <w:name w:val="Char3"/>
    <w:basedOn w:val="962"/>
    <w:next w:val="1381"/>
    <w:link w:val="962"/>
    <w:qFormat/>
    <w:pPr>
      <w:tabs>
        <w:tab w:val="left" w:pos="360" w:leader="none"/>
      </w:tabs>
    </w:pPr>
    <w:rPr>
      <w:sz w:val="24"/>
    </w:rPr>
  </w:style>
  <w:style w:type="paragraph" w:styleId="1382">
    <w:name w:val="Char Char Char Char Char Char Char Char Char Char Char Char Char Char Char Char1"/>
    <w:basedOn w:val="962"/>
    <w:next w:val="1382"/>
    <w:link w:val="962"/>
    <w:qFormat/>
    <w:pPr>
      <w:jc w:val="center"/>
      <w:spacing w:after="160" w:line="240" w:lineRule="exact"/>
      <w:widowControl/>
    </w:pPr>
    <w:rPr>
      <w:rFonts w:ascii="宋体" w:hAnsi="宋体"/>
      <w:b/>
      <w:sz w:val="30"/>
      <w:szCs w:val="30"/>
      <w:lang w:eastAsia="en-US"/>
    </w:rPr>
  </w:style>
  <w:style w:type="paragraph" w:styleId="1383">
    <w:name w:val="Char Char1 Char Char Char Char Char Char1"/>
    <w:basedOn w:val="962"/>
    <w:next w:val="1383"/>
    <w:link w:val="962"/>
    <w:qFormat/>
    <w:pPr>
      <w:jc w:val="left"/>
      <w:spacing w:after="160" w:line="240" w:lineRule="exact"/>
      <w:widowControl/>
    </w:pPr>
    <w:rPr>
      <w:rFonts w:ascii="Verdana" w:hAnsi="Verdana" w:eastAsia="仿宋_GB2312"/>
      <w:sz w:val="24"/>
      <w:szCs w:val="20"/>
      <w:lang w:eastAsia="en-US"/>
    </w:rPr>
  </w:style>
  <w:style w:type="paragraph" w:styleId="1384">
    <w:name w:val="列出段落2"/>
    <w:basedOn w:val="962"/>
    <w:next w:val="1384"/>
    <w:link w:val="962"/>
    <w:qFormat/>
    <w:pPr>
      <w:ind w:firstLine="420"/>
    </w:pPr>
    <w:rPr>
      <w:rFonts w:ascii="Calibri" w:hAnsi="Calibri"/>
      <w:szCs w:val="22"/>
    </w:rPr>
  </w:style>
  <w:style w:type="paragraph" w:styleId="1385">
    <w:name w:val="Char Char Char1 Char2"/>
    <w:basedOn w:val="962"/>
    <w:next w:val="1385"/>
    <w:link w:val="962"/>
    <w:qFormat/>
    <w:rPr>
      <w:rFonts w:ascii="Tahoma" w:hAnsi="Tahoma"/>
      <w:sz w:val="24"/>
      <w:szCs w:val="20"/>
    </w:rPr>
  </w:style>
  <w:style w:type="paragraph" w:styleId="1386">
    <w:name w:val="Char Char Char2"/>
    <w:basedOn w:val="962"/>
    <w:next w:val="1386"/>
    <w:link w:val="962"/>
    <w:qFormat/>
    <w:rPr>
      <w:rFonts w:ascii="Tahoma" w:hAnsi="Tahoma"/>
      <w:sz w:val="24"/>
      <w:szCs w:val="20"/>
    </w:rPr>
  </w:style>
  <w:style w:type="paragraph" w:styleId="1387">
    <w:name w:val="Char Char Char Char Char Char Char2"/>
    <w:basedOn w:val="962"/>
    <w:next w:val="1387"/>
    <w:link w:val="962"/>
    <w:qFormat/>
    <w:pPr>
      <w:ind w:firstLine="200"/>
      <w:spacing w:line="360" w:lineRule="auto"/>
    </w:pPr>
    <w:rPr>
      <w:rFonts w:eastAsia="仿宋_GB2312"/>
      <w:sz w:val="24"/>
    </w:rPr>
  </w:style>
  <w:style w:type="paragraph" w:styleId="1388">
    <w:name w:val="正文缩进2"/>
    <w:basedOn w:val="962"/>
    <w:next w:val="1388"/>
    <w:link w:val="962"/>
    <w:qFormat/>
    <w:pPr>
      <w:ind w:firstLine="567"/>
      <w:spacing w:line="480" w:lineRule="exact"/>
      <w:widowControl/>
    </w:pPr>
    <w:rPr>
      <w:rFonts w:ascii="宋体"/>
      <w:color w:val="000000"/>
      <w:sz w:val="28"/>
      <w:szCs w:val="20"/>
      <w:lang w:val="zh-CN" w:eastAsia="zh-CN"/>
    </w:rPr>
  </w:style>
  <w:style w:type="paragraph" w:styleId="1389">
    <w:name w:val="Revision"/>
    <w:next w:val="1389"/>
    <w:link w:val="962"/>
    <w:qFormat/>
    <w:rPr>
      <w:rFonts w:ascii="Times New Roman" w:hAnsi="Times New Roman" w:eastAsia="宋体" w:cs="Times New Roman"/>
      <w:sz w:val="21"/>
      <w:szCs w:val="24"/>
      <w:lang w:val="en-US" w:eastAsia="zh-CN" w:bidi="ar-SA"/>
    </w:rPr>
  </w:style>
  <w:style w:type="paragraph" w:styleId="1390">
    <w:name w:val="Char22"/>
    <w:basedOn w:val="962"/>
    <w:next w:val="1390"/>
    <w:link w:val="962"/>
    <w:qFormat/>
    <w:rPr>
      <w:rFonts w:ascii="Tahoma" w:hAnsi="Tahoma"/>
      <w:sz w:val="24"/>
      <w:szCs w:val="20"/>
    </w:rPr>
  </w:style>
  <w:style w:type="paragraph" w:styleId="1391">
    <w:name w:val="Char Char Char Char Char Char Char Char Char Char2"/>
    <w:basedOn w:val="962"/>
    <w:next w:val="1391"/>
    <w:link w:val="962"/>
    <w:qFormat/>
    <w:rPr>
      <w:rFonts w:ascii="宋体" w:hAnsi="宋体" w:cs="Courier New"/>
      <w:sz w:val="32"/>
      <w:szCs w:val="32"/>
    </w:rPr>
  </w:style>
  <w:style w:type="paragraph" w:styleId="1392">
    <w:name w:val="Char2 Char Char Char Char Char Char1"/>
    <w:basedOn w:val="962"/>
    <w:next w:val="1392"/>
    <w:link w:val="962"/>
    <w:qFormat/>
    <w:pPr>
      <w:jc w:val="center"/>
      <w:spacing w:line="400" w:lineRule="exact"/>
      <w:widowControl/>
    </w:pPr>
  </w:style>
  <w:style w:type="character" w:styleId="1393">
    <w:name w:val="页脚 Char"/>
    <w:next w:val="1393"/>
    <w:link w:val="962"/>
    <w:qFormat/>
    <w:rPr>
      <w:rFonts w:ascii="宋体" w:eastAsia="宋体"/>
      <w:sz w:val="18"/>
      <w:lang w:val="en-US" w:eastAsia="zh-CN" w:bidi="ar-SA"/>
    </w:rPr>
  </w:style>
  <w:style w:type="paragraph" w:styleId="1394">
    <w:name w:val="Char Char41"/>
    <w:basedOn w:val="962"/>
    <w:next w:val="1394"/>
    <w:link w:val="962"/>
    <w:qFormat/>
    <w:pPr>
      <w:jc w:val="center"/>
      <w:spacing w:line="400" w:lineRule="exact"/>
      <w:widowControl/>
    </w:pPr>
  </w:style>
  <w:style w:type="character" w:styleId="1395">
    <w:name w:val="批注文字 Char"/>
    <w:next w:val="1395"/>
    <w:link w:val="962"/>
    <w:uiPriority w:val="99"/>
    <w:qFormat/>
    <w:rPr>
      <w:sz w:val="21"/>
      <w:szCs w:val="24"/>
    </w:rPr>
  </w:style>
  <w:style w:type="character" w:styleId="1396">
    <w:name w:val="标题 Char"/>
    <w:next w:val="1396"/>
    <w:link w:val="962"/>
    <w:qFormat/>
    <w:rPr>
      <w:b/>
      <w:sz w:val="32"/>
    </w:rPr>
  </w:style>
  <w:style w:type="paragraph" w:styleId="1397">
    <w:name w:val="图例"/>
    <w:basedOn w:val="962"/>
    <w:next w:val="1397"/>
    <w:link w:val="962"/>
    <w:qFormat/>
    <w:pPr>
      <w:jc w:val="center"/>
      <w:spacing w:before="120" w:after="120" w:line="360" w:lineRule="auto"/>
    </w:pPr>
    <w:rPr>
      <w:rFonts w:eastAsia="仿宋_GB2312"/>
      <w:b/>
      <w:sz w:val="24"/>
      <w:szCs w:val="20"/>
    </w:rPr>
  </w:style>
  <w:style w:type="table" w:styleId="1398">
    <w:name w:val="Table Normal"/>
    <w:next w:val="1398"/>
    <w:link w:val="962"/>
    <w:uiPriority w:val="2"/>
    <w:unhideWhenUsed/>
    <w:qFormat/>
    <w:pPr>
      <w:widowControl w:val="off"/>
    </w:pPr>
    <w:rPr>
      <w:rFonts w:ascii="Calibri" w:hAnsi="Calibri"/>
      <w:sz w:val="22"/>
      <w:szCs w:val="22"/>
      <w:lang w:val="en-US" w:eastAsia="en-US" w:bidi="ar-SA"/>
    </w:rPr>
    <w:tblPr/>
  </w:style>
  <w:style w:type="paragraph" w:styleId="1399">
    <w:name w:val="Table Paragraph"/>
    <w:basedOn w:val="962"/>
    <w:next w:val="1399"/>
    <w:link w:val="962"/>
    <w:uiPriority w:val="1"/>
    <w:qFormat/>
    <w:pPr>
      <w:jc w:val="left"/>
    </w:pPr>
    <w:rPr>
      <w:rFonts w:ascii="宋体" w:hAnsi="宋体" w:cs="宋体"/>
      <w:sz w:val="22"/>
      <w:szCs w:val="22"/>
      <w:lang w:eastAsia="en-US"/>
    </w:rPr>
  </w:style>
  <w:style w:type="paragraph" w:styleId="1400">
    <w:name w:val="成文日期"/>
    <w:basedOn w:val="962"/>
    <w:next w:val="1400"/>
    <w:link w:val="1401"/>
    <w:qFormat/>
    <w:pPr>
      <w:ind w:right="400" w:firstLine="200"/>
      <w:jc w:val="right"/>
      <w:spacing w:line="570" w:lineRule="exact"/>
    </w:pPr>
    <w:rPr>
      <w:rFonts w:ascii="仿宋_GB2312" w:eastAsia="仿宋_GB2312"/>
      <w:sz w:val="32"/>
      <w:szCs w:val="20"/>
    </w:rPr>
  </w:style>
  <w:style w:type="character" w:styleId="1401">
    <w:name w:val="成文日期 Char"/>
    <w:next w:val="1401"/>
    <w:link w:val="1400"/>
    <w:rPr>
      <w:rFonts w:ascii="仿宋_GB2312" w:eastAsia="仿宋_GB2312"/>
      <w:sz w:val="32"/>
    </w:rPr>
  </w:style>
  <w:style w:type="paragraph" w:styleId="1402">
    <w:name w:val="修订"/>
    <w:next w:val="1402"/>
    <w:link w:val="962"/>
    <w:uiPriority w:val="99"/>
    <w:unhideWhenUsed/>
    <w:rPr>
      <w:rFonts w:ascii="Times New Roman" w:hAnsi="Times New Roman" w:eastAsia="宋体" w:cs="Times New Roman"/>
      <w:sz w:val="21"/>
      <w:szCs w:val="24"/>
      <w:lang w:val="en-US" w:eastAsia="zh-CN" w:bidi="ar-SA"/>
    </w:rPr>
  </w:style>
  <w:style w:type="character" w:styleId="1403">
    <w:name w:val="页脚 字符"/>
    <w:next w:val="1403"/>
    <w:link w:val="962"/>
    <w:uiPriority w:val="99"/>
    <w:qFormat/>
  </w:style>
  <w:style w:type="character" w:styleId="1404">
    <w:name w:val="标题 2 字符1"/>
    <w:next w:val="1404"/>
    <w:link w:val="962"/>
    <w:semiHidden/>
    <w:qFormat/>
    <w:rPr>
      <w:rFonts w:ascii="Arial" w:hAnsi="Arial" w:eastAsia="黑体" w:cs="Times New Roman"/>
      <w:b/>
      <w:sz w:val="30"/>
      <w:szCs w:val="20"/>
    </w:rPr>
  </w:style>
  <w:style w:type="paragraph" w:styleId="1405">
    <w:name w:val="列出段落11"/>
    <w:basedOn w:val="962"/>
    <w:next w:val="1405"/>
    <w:link w:val="962"/>
    <w:uiPriority w:val="34"/>
    <w:qFormat/>
    <w:pPr>
      <w:ind w:firstLine="420"/>
    </w:pPr>
    <w:rPr>
      <w:szCs w:val="20"/>
    </w:rPr>
  </w:style>
  <w:style w:type="paragraph" w:styleId="1406">
    <w:name w:val="列表段落1"/>
    <w:basedOn w:val="962"/>
    <w:next w:val="1406"/>
    <w:link w:val="962"/>
    <w:uiPriority w:val="34"/>
    <w:qFormat/>
    <w:pPr>
      <w:ind w:firstLine="420"/>
    </w:pPr>
    <w:rPr>
      <w:rFonts w:eastAsia="等线"/>
      <w:szCs w:val="22"/>
    </w:rPr>
  </w:style>
  <w:style w:type="character" w:styleId="1407">
    <w:name w:val="正文文本 Char"/>
    <w:next w:val="1407"/>
    <w:link w:val="962"/>
    <w:qFormat/>
    <w:rPr>
      <w:rFonts w:ascii="宋体" w:hAnsi="宋体"/>
      <w:sz w:val="24"/>
      <w:szCs w:val="24"/>
    </w:rPr>
  </w:style>
  <w:style w:type="character" w:styleId="1408">
    <w:name w:val="页脚 Char1"/>
    <w:next w:val="1408"/>
    <w:link w:val="962"/>
    <w:uiPriority w:val="99"/>
    <w:qFormat/>
    <w:rPr>
      <w:rFonts w:ascii="宋体" w:eastAsia="宋体"/>
      <w:sz w:val="18"/>
      <w:lang w:val="en-US" w:eastAsia="zh-CN" w:bidi="ar-SA"/>
    </w:rPr>
  </w:style>
  <w:style w:type="character" w:styleId="1409">
    <w:name w:val="页眉 Char1"/>
    <w:next w:val="1409"/>
    <w:link w:val="962"/>
    <w:qFormat/>
    <w:rPr>
      <w:rFonts w:eastAsia="宋体"/>
      <w:sz w:val="18"/>
      <w:szCs w:val="18"/>
      <w:lang w:val="en-US" w:eastAsia="zh-CN" w:bidi="ar-SA"/>
    </w:rPr>
  </w:style>
  <w:style w:type="character" w:styleId="1410">
    <w:name w:val="NormalCharacter1"/>
    <w:next w:val="1410"/>
    <w:link w:val="962"/>
    <w:semiHidden/>
    <w:qFormat/>
  </w:style>
  <w:style w:type="paragraph" w:styleId="1411">
    <w:name w:val="段"/>
    <w:next w:val="962"/>
    <w:link w:val="962"/>
    <w:qFormat/>
    <w:pPr>
      <w:ind w:firstLine="200"/>
      <w:jc w:val="both"/>
    </w:pPr>
    <w:rPr>
      <w:rFonts w:ascii="宋体" w:hAnsi="Calibri" w:eastAsia="宋体" w:cs="Times New Roman"/>
      <w:sz w:val="21"/>
      <w:lang w:val="en-US" w:eastAsia="zh-CN" w:bidi="ar-SA"/>
    </w:rPr>
  </w:style>
  <w:style w:type="character" w:styleId="1412">
    <w:name w:val="正文缩进 字符1"/>
    <w:next w:val="1412"/>
    <w:link w:val="962"/>
    <w:qFormat/>
    <w:rPr>
      <w:rFonts w:ascii="宋体"/>
      <w:sz w:val="24"/>
      <w:szCs w:val="24"/>
    </w:rPr>
  </w:style>
  <w:style w:type="paragraph" w:styleId="1413">
    <w:name w:val="样式 正文缩进文2ALT+Z表正文正文非缩进特点段1标题4特点 Char Char特点 Char Char C..."/>
    <w:basedOn w:val="1166"/>
    <w:next w:val="1413"/>
    <w:link w:val="962"/>
    <w:qFormat/>
    <w:pPr>
      <w:ind w:firstLine="480"/>
      <w:jc w:val="both"/>
      <w:spacing w:line="360" w:lineRule="auto"/>
    </w:pPr>
    <w:rPr>
      <w:rFonts w:ascii="Times New Roman" w:hAnsi="Calibri" w:eastAsia="仿宋_GB2312" w:cs="宋体"/>
      <w:szCs w:val="20"/>
    </w:rPr>
  </w:style>
  <w:style w:type="table" w:styleId="1414">
    <w:name w:val="网格型1"/>
    <w:basedOn w:val="1164"/>
    <w:next w:val="1414"/>
    <w:link w:val="962"/>
    <w:pPr>
      <w:jc w:val="both"/>
      <w:widowControl w:val="off"/>
    </w:pPr>
    <w:tblPr/>
  </w:style>
  <w:style w:type="table" w:styleId="1415">
    <w:name w:val="网格型2"/>
    <w:basedOn w:val="1164"/>
    <w:next w:val="1415"/>
    <w:link w:val="962"/>
    <w:pPr>
      <w:jc w:val="both"/>
      <w:widowControl w:val="off"/>
    </w:pPr>
    <w:tblPr/>
  </w:style>
  <w:style w:type="character" w:styleId="1416">
    <w:name w:val="标题 字符1"/>
    <w:next w:val="1416"/>
    <w:link w:val="962"/>
    <w:qFormat/>
    <w:rPr>
      <w:rFonts w:ascii="Cambria" w:hAnsi="Cambria"/>
      <w:b/>
      <w:bCs/>
      <w:sz w:val="32"/>
      <w:szCs w:val="32"/>
    </w:rPr>
  </w:style>
  <w:style w:type="paragraph" w:styleId="1417">
    <w:name w:val="纯文本2"/>
    <w:next w:val="1197"/>
    <w:link w:val="962"/>
    <w:qFormat/>
    <w:pPr>
      <w:jc w:val="both"/>
      <w:spacing w:line="360" w:lineRule="auto"/>
      <w:widowControl w:val="off"/>
    </w:pPr>
    <w:rPr>
      <w:rFonts w:ascii="宋体" w:hAnsi="宋体" w:eastAsia="仿宋" w:cs="Times New Roman"/>
      <w:sz w:val="26"/>
      <w:szCs w:val="21"/>
      <w:lang w:val="en-US" w:eastAsia="zh-CN" w:bidi="ar-SA"/>
    </w:rPr>
  </w:style>
  <w:style w:type="character" w:styleId="1418">
    <w:name w:val="正文文本_"/>
    <w:basedOn w:val="1163"/>
    <w:next w:val="1418"/>
    <w:link w:val="1419"/>
    <w:uiPriority w:val="99"/>
    <w:unhideWhenUsed/>
    <w:qFormat/>
    <w:rPr>
      <w:rFonts w:ascii="MingLiU" w:hAnsi="MingLiU" w:eastAsia="MingLiU"/>
      <w:spacing w:val="10"/>
      <w:sz w:val="23"/>
      <w:shd w:val="clear" w:color="auto" w:fill="ffffff"/>
    </w:rPr>
  </w:style>
  <w:style w:type="paragraph" w:styleId="1419">
    <w:name w:val="正文文本1"/>
    <w:basedOn w:val="962"/>
    <w:next w:val="1419"/>
    <w:link w:val="1418"/>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420">
    <w:name w:val="font21"/>
    <w:next w:val="1420"/>
    <w:link w:val="962"/>
    <w:qFormat/>
    <w:rPr>
      <w:rFonts w:hint="eastAsia" w:ascii="宋体" w:hAnsi="宋体" w:eastAsia="宋体" w:cs="宋体"/>
      <w:color w:val="000000"/>
      <w:sz w:val="21"/>
      <w:szCs w:val="21"/>
      <w:u w:val="none"/>
    </w:rPr>
  </w:style>
  <w:style w:type="character" w:styleId="1421">
    <w:name w:val="font01"/>
    <w:next w:val="1421"/>
    <w:link w:val="962"/>
    <w:qFormat/>
    <w:rPr>
      <w:rFonts w:hint="eastAsia" w:ascii="宋体" w:hAnsi="宋体" w:eastAsia="宋体" w:cs="宋体"/>
      <w:b/>
      <w:color w:val="000000"/>
      <w:sz w:val="22"/>
      <w:szCs w:val="22"/>
      <w:u w:val="none"/>
    </w:rPr>
  </w:style>
  <w:style w:type="paragraph" w:styleId="1422">
    <w:name w:val="p0"/>
    <w:basedOn w:val="962"/>
    <w:next w:val="1422"/>
    <w:link w:val="962"/>
    <w:qFormat/>
    <w:pPr>
      <w:widowControl/>
    </w:pPr>
    <w:rPr>
      <w:rFonts w:ascii="Calibri" w:hAnsi="Calibri"/>
      <w:szCs w:val="21"/>
    </w:rPr>
  </w:style>
  <w:style w:type="paragraph" w:styleId="1423">
    <w:name w:val="be358f00-9758-446e-aec5-cde8345aeef3"/>
    <w:basedOn w:val="1175"/>
    <w:next w:val="1423"/>
    <w:link w:val="1424"/>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424">
    <w:name w:val="be358f00-9758-446e-aec5-cde8345aeef3 字符"/>
    <w:next w:val="1424"/>
    <w:link w:val="1423"/>
    <w:qFormat/>
    <w:rPr>
      <w:rFonts w:ascii="微软雅黑" w:hAnsi="微软雅黑" w:eastAsia="微软雅黑"/>
      <w:color w:val="000000"/>
      <w:sz w:val="22"/>
      <w:szCs w:val="24"/>
    </w:rPr>
  </w:style>
  <w:style w:type="character" w:styleId="1425">
    <w:name w:val="font61"/>
    <w:next w:val="1425"/>
    <w:link w:val="962"/>
    <w:rPr>
      <w:rFonts w:hint="eastAsia" w:ascii="宋体" w:hAnsi="宋体" w:eastAsia="宋体" w:cs="宋体"/>
      <w:color w:val="000000"/>
      <w:sz w:val="21"/>
      <w:szCs w:val="21"/>
      <w:u w:val="none"/>
    </w:rPr>
  </w:style>
  <w:style w:type="character" w:styleId="1426">
    <w:name w:val="font71"/>
    <w:next w:val="1426"/>
    <w:link w:val="962"/>
    <w:rPr>
      <w:rFonts w:hint="eastAsia" w:ascii="宋体" w:hAnsi="宋体" w:eastAsia="宋体" w:cs="宋体"/>
      <w:color w:val="000000"/>
      <w:sz w:val="22"/>
      <w:szCs w:val="22"/>
      <w:u w:val="none"/>
    </w:rPr>
  </w:style>
  <w:style w:type="character" w:styleId="1427">
    <w:name w:val="font31"/>
    <w:next w:val="1427"/>
    <w:link w:val="962"/>
    <w:qFormat/>
    <w:rPr>
      <w:rFonts w:ascii="Arial Unicode MS" w:hAnsi="Arial Unicode MS" w:eastAsia="Arial Unicode MS" w:cs="Arial Unicode MS"/>
      <w:color w:val="000000"/>
      <w:sz w:val="22"/>
      <w:szCs w:val="22"/>
      <w:u w:val="none"/>
    </w:rPr>
  </w:style>
  <w:style w:type="character" w:styleId="1428">
    <w:name w:val="font41"/>
    <w:next w:val="1428"/>
    <w:link w:val="962"/>
    <w:qFormat/>
    <w:rPr>
      <w:rFonts w:ascii="宋体" w:hAnsi="宋体" w:eastAsia="宋体" w:cs="宋体"/>
      <w:color w:val="000000"/>
      <w:sz w:val="22"/>
      <w:szCs w:val="22"/>
      <w:u w:val="none"/>
    </w:rPr>
  </w:style>
  <w:style w:type="character" w:styleId="1429">
    <w:name w:val="font11"/>
    <w:next w:val="1429"/>
    <w:link w:val="962"/>
    <w:qFormat/>
    <w:rPr>
      <w:rFonts w:hint="eastAsia" w:ascii="宋体" w:hAnsi="宋体" w:eastAsia="宋体" w:cs="宋体"/>
      <w:b/>
      <w:bCs/>
      <w:color w:val="000000"/>
      <w:sz w:val="21"/>
      <w:szCs w:val="21"/>
      <w:u w:val="none"/>
    </w:rPr>
  </w:style>
  <w:style w:type="character" w:styleId="1430">
    <w:name w:val="font51"/>
    <w:next w:val="1430"/>
    <w:link w:val="962"/>
    <w:qFormat/>
    <w:rPr>
      <w:rFonts w:ascii="Times New Roman" w:hAnsi="Times New Roman" w:cs="Times New Roman"/>
      <w:color w:val="000000"/>
      <w:sz w:val="21"/>
      <w:szCs w:val="21"/>
      <w:u w:val="none"/>
    </w:rPr>
  </w:style>
  <w:style w:type="paragraph" w:styleId="1431">
    <w:name w:val="正文缩进11"/>
    <w:basedOn w:val="962"/>
    <w:next w:val="1431"/>
    <w:link w:val="962"/>
    <w:qFormat/>
    <w:pPr>
      <w:ind w:firstLine="420"/>
      <w:jc w:val="left"/>
    </w:pPr>
    <w:rPr>
      <w:rFonts w:ascii="宋体"/>
      <w:sz w:val="24"/>
    </w:rPr>
  </w:style>
  <w:style w:type="paragraph" w:styleId="1432">
    <w:name w:val="一、"/>
    <w:basedOn w:val="962"/>
    <w:next w:val="1432"/>
    <w:link w:val="962"/>
    <w:qFormat/>
    <w:pPr>
      <w:ind w:firstLine="640"/>
    </w:pPr>
    <w:rPr>
      <w:rFonts w:eastAsia="黑体"/>
      <w:szCs w:val="32"/>
    </w:rPr>
  </w:style>
  <w:style w:type="paragraph" w:styleId="1433">
    <w:name w:val="附件标题"/>
    <w:next w:val="1433"/>
    <w:link w:val="962"/>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434">
    <w:name w:val="第一章"/>
    <w:basedOn w:val="1432"/>
    <w:next w:val="1434"/>
    <w:link w:val="962"/>
    <w:qFormat/>
    <w:pPr>
      <w:ind w:firstLine="0"/>
      <w:jc w:val="center"/>
    </w:pPr>
  </w:style>
  <w:style w:type="paragraph" w:styleId="1435">
    <w:name w:val="AONormal"/>
    <w:next w:val="1435"/>
    <w:link w:val="962"/>
    <w:qFormat/>
    <w:pPr>
      <w:ind w:firstLine="440"/>
      <w:spacing w:line="400" w:lineRule="exact"/>
    </w:pPr>
    <w:rPr>
      <w:rFonts w:ascii="华文楷体" w:hAnsi="华文楷体" w:eastAsia="华文楷体" w:cs="华文楷体"/>
      <w:sz w:val="22"/>
      <w:szCs w:val="21"/>
      <w:lang w:val="en-US" w:eastAsia="zh-CN" w:bidi="ar-SA"/>
    </w:rPr>
  </w:style>
  <w:style w:type="paragraph" w:styleId="1436">
    <w:name w:val="正文首行缩进1"/>
    <w:basedOn w:val="1419"/>
    <w:next w:val="1436"/>
    <w:link w:val="962"/>
    <w:qFormat/>
    <w:pPr>
      <w:ind w:firstLine="200"/>
      <w:spacing w:line="360" w:lineRule="auto"/>
    </w:pPr>
    <w:rPr>
      <w:rFonts w:ascii="仿宋_GB2312" w:eastAsia="仿宋_GB2312"/>
      <w:sz w:val="30"/>
      <w:szCs w:val="30"/>
    </w:rPr>
  </w:style>
  <w:style w:type="paragraph" w:styleId="1437">
    <w:name w:val="正文文本11"/>
    <w:basedOn w:val="962"/>
    <w:next w:val="962"/>
    <w:link w:val="962"/>
    <w:qFormat/>
    <w:pPr>
      <w:spacing w:before="120" w:line="22" w:lineRule="atLeast"/>
      <w:tabs>
        <w:tab w:val="left" w:pos="567" w:leader="none"/>
      </w:tabs>
    </w:pPr>
    <w:rPr>
      <w:rFonts w:ascii="宋体" w:hAnsi="宋体"/>
      <w:sz w:val="24"/>
    </w:rPr>
  </w:style>
  <w:style w:type="paragraph" w:styleId="1438">
    <w:name w:val="null3"/>
    <w:next w:val="1438"/>
    <w:link w:val="962"/>
    <w:qFormat/>
    <w:rPr>
      <w:rFonts w:hint="eastAsia" w:ascii="Calibri" w:hAnsi="Calibri" w:eastAsia="宋体" w:cs="Times New Roman"/>
      <w:lang w:val="en-US" w:eastAsia="zh-CN" w:bidi="ar-SA"/>
    </w:rPr>
  </w:style>
  <w:style w:type="character" w:styleId="1439" w:default="1">
    <w:name w:val="Default Paragraph Font"/>
    <w:uiPriority w:val="1"/>
    <w:semiHidden/>
    <w:unhideWhenUsed/>
  </w:style>
  <w:style w:type="numbering" w:styleId="1440" w:default="1">
    <w:name w:val="No List"/>
    <w:uiPriority w:val="99"/>
    <w:semiHidden/>
    <w:unhideWhenUsed/>
  </w:style>
  <w:style w:type="table" w:styleId="14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67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402"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71"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62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355"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72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3" TargetMode="External"/><Relationship Id="rId22" Type="http://schemas.openxmlformats.org/officeDocument/2006/relationships/image" Target="media/image1.png"/><Relationship Id="rId23" Type="http://schemas.openxmlformats.org/officeDocument/2006/relationships/hyperlink" Target="http://gks.mof.gov.cn/ztztz/zhengfucaigouguanli/201802/t20180201_2804589.htm" TargetMode="External"/><Relationship Id="rId24"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杭雪梅</cp:lastModifiedBy>
  <cp:revision>6</cp:revision>
  <dcterms:created xsi:type="dcterms:W3CDTF">2024-07-31T00:01:00Z</dcterms:created>
  <dcterms:modified xsi:type="dcterms:W3CDTF">2026-07-09T00:57:33Z</dcterms:modified>
</cp:coreProperties>
</file>