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20A32">
      <w:pPr>
        <w:pStyle w:val="275"/>
        <w:ind w:firstLine="0"/>
        <w:rPr>
          <w:rFonts w:hint="eastAsia" w:eastAsia="黑体"/>
          <w:b/>
          <w:bCs/>
          <w:color w:val="auto"/>
          <w:sz w:val="84"/>
          <w:highlight w:val="none"/>
          <w:shd w:val="clear" w:color="FFFFFF" w:fill="D9D9D9"/>
        </w:rPr>
      </w:pPr>
    </w:p>
    <w:p w14:paraId="1BF7AB2E">
      <w:pPr>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0DA77626">
      <w:pPr>
        <w:spacing w:line="360" w:lineRule="auto"/>
        <w:jc w:val="center"/>
        <w:rPr>
          <w:rFonts w:ascii="宋体" w:hAnsi="宋体"/>
          <w:b/>
          <w:bCs/>
          <w:color w:val="auto"/>
          <w:sz w:val="30"/>
          <w:highlight w:val="none"/>
        </w:rPr>
      </w:pPr>
      <w:r>
        <w:rPr>
          <w:rFonts w:hint="eastAsia" w:ascii="宋体" w:hAnsi="宋体"/>
          <w:b/>
          <w:bCs/>
          <w:color w:val="auto"/>
          <w:sz w:val="30"/>
          <w:highlight w:val="none"/>
        </w:rPr>
        <w:t>（全流程电子化）</w:t>
      </w:r>
    </w:p>
    <w:p w14:paraId="69981209">
      <w:pPr>
        <w:spacing w:line="360" w:lineRule="auto"/>
        <w:rPr>
          <w:rFonts w:ascii="宋体" w:hAnsi="宋体"/>
          <w:b/>
          <w:bCs/>
          <w:color w:val="auto"/>
          <w:sz w:val="30"/>
          <w:highlight w:val="none"/>
        </w:rPr>
      </w:pPr>
    </w:p>
    <w:p w14:paraId="35C614BA">
      <w:pPr>
        <w:jc w:val="center"/>
        <w:rPr>
          <w:rFonts w:hint="eastAsia" w:ascii="宋体" w:hAnsi="宋体" w:cs="宋体"/>
          <w:bCs/>
          <w:color w:val="auto"/>
          <w:spacing w:val="20"/>
          <w:sz w:val="52"/>
          <w:szCs w:val="52"/>
          <w:highlight w:val="none"/>
        </w:rPr>
      </w:pPr>
      <w:r>
        <w:rPr>
          <w:rFonts w:hint="eastAsia" w:ascii="宋体" w:hAnsi="宋体" w:cs="宋体"/>
          <w:b/>
          <w:color w:val="auto"/>
          <w:spacing w:val="20"/>
          <w:sz w:val="52"/>
          <w:szCs w:val="52"/>
          <w:highlight w:val="none"/>
        </w:rPr>
        <w:t>单一来源采购文件</w:t>
      </w:r>
    </w:p>
    <w:p w14:paraId="1EDAA855">
      <w:pPr>
        <w:spacing w:line="360" w:lineRule="auto"/>
        <w:rPr>
          <w:rFonts w:ascii="宋体" w:hAnsi="宋体"/>
          <w:b/>
          <w:bCs/>
          <w:color w:val="auto"/>
          <w:sz w:val="30"/>
          <w:highlight w:val="none"/>
        </w:rPr>
      </w:pPr>
    </w:p>
    <w:p w14:paraId="30ADC604">
      <w:pPr>
        <w:spacing w:line="360" w:lineRule="auto"/>
        <w:rPr>
          <w:rFonts w:ascii="宋体" w:hAnsi="宋体"/>
          <w:b/>
          <w:bCs/>
          <w:color w:val="auto"/>
          <w:sz w:val="30"/>
          <w:highlight w:val="none"/>
        </w:rPr>
      </w:pPr>
    </w:p>
    <w:p w14:paraId="1F32B617">
      <w:pPr>
        <w:spacing w:line="360" w:lineRule="auto"/>
        <w:rPr>
          <w:rFonts w:ascii="宋体" w:hAnsi="宋体"/>
          <w:b/>
          <w:bCs/>
          <w:color w:val="auto"/>
          <w:sz w:val="30"/>
          <w:highlight w:val="none"/>
        </w:rPr>
      </w:pPr>
    </w:p>
    <w:p w14:paraId="6676B4D6">
      <w:pPr>
        <w:spacing w:line="360" w:lineRule="auto"/>
        <w:rPr>
          <w:rFonts w:ascii="宋体" w:hAnsi="宋体"/>
          <w:b/>
          <w:bCs/>
          <w:color w:val="auto"/>
          <w:sz w:val="30"/>
          <w:highlight w:val="none"/>
        </w:rPr>
      </w:pPr>
    </w:p>
    <w:p w14:paraId="46B4D769">
      <w:pPr>
        <w:spacing w:line="360" w:lineRule="auto"/>
        <w:ind w:firstLine="1500"/>
        <w:rPr>
          <w:rFonts w:hint="eastAsia" w:ascii="宋体" w:hAnsi="宋体"/>
          <w:bCs/>
          <w:color w:val="auto"/>
          <w:sz w:val="30"/>
          <w:szCs w:val="30"/>
          <w:highlight w:val="none"/>
          <w:lang w:eastAsia="zh-CN"/>
        </w:rPr>
      </w:pPr>
      <w:r>
        <w:rPr>
          <w:rFonts w:hint="eastAsia" w:ascii="宋体" w:hAnsi="宋体"/>
          <w:bCs/>
          <w:color w:val="auto"/>
          <w:sz w:val="30"/>
          <w:szCs w:val="30"/>
          <w:highlight w:val="none"/>
          <w:lang w:eastAsia="zh-CN"/>
        </w:rPr>
        <w:t>采购项目编号：JSZC-320200-JSSZ-D2026-0034</w:t>
      </w:r>
      <w:r>
        <w:rPr>
          <w:rFonts w:hint="eastAsia" w:ascii="宋体" w:hAnsi="宋体"/>
          <w:bCs/>
          <w:color w:val="auto"/>
          <w:sz w:val="30"/>
          <w:szCs w:val="30"/>
          <w:highlight w:val="none"/>
          <w:lang w:val="en-US" w:eastAsia="zh-CN"/>
        </w:rPr>
        <w:t xml:space="preserve"> </w:t>
      </w:r>
    </w:p>
    <w:p w14:paraId="2B57556C">
      <w:pPr>
        <w:spacing w:line="360" w:lineRule="auto"/>
        <w:ind w:firstLine="1500"/>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采购项目名称：</w:t>
      </w:r>
      <w:r>
        <w:rPr>
          <w:rFonts w:hint="eastAsia" w:ascii="宋体" w:hAnsi="宋体"/>
          <w:bCs/>
          <w:color w:val="auto"/>
          <w:sz w:val="30"/>
          <w:szCs w:val="30"/>
          <w:highlight w:val="none"/>
          <w:lang w:eastAsia="zh-CN"/>
        </w:rPr>
        <w:t>康复训练和公共部位服务外包采购项目</w:t>
      </w:r>
    </w:p>
    <w:p w14:paraId="1D83C59F">
      <w:pPr>
        <w:spacing w:line="360" w:lineRule="auto"/>
        <w:ind w:firstLine="1500"/>
        <w:rPr>
          <w:rFonts w:hint="eastAsia" w:ascii="宋体" w:hAnsi="宋体" w:eastAsia="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无锡市残疾人综合服务中心</w:t>
      </w:r>
    </w:p>
    <w:p w14:paraId="794BB9BD">
      <w:pPr>
        <w:spacing w:line="360" w:lineRule="auto"/>
        <w:ind w:firstLine="1500"/>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采购代理机构：</w:t>
      </w:r>
      <w:r>
        <w:rPr>
          <w:rFonts w:hint="eastAsia" w:ascii="宋体" w:hAnsi="宋体"/>
          <w:bCs/>
          <w:color w:val="auto"/>
          <w:sz w:val="30"/>
          <w:szCs w:val="30"/>
          <w:highlight w:val="none"/>
          <w:lang w:eastAsia="zh-CN"/>
        </w:rPr>
        <w:t>江苏苏咨工程咨询有限责任公司</w:t>
      </w:r>
    </w:p>
    <w:p w14:paraId="5A6371FD">
      <w:pPr>
        <w:spacing w:line="360" w:lineRule="auto"/>
        <w:rPr>
          <w:rFonts w:ascii="宋体" w:hAnsi="宋体"/>
          <w:bCs/>
          <w:color w:val="auto"/>
          <w:sz w:val="32"/>
          <w:highlight w:val="none"/>
        </w:rPr>
      </w:pPr>
    </w:p>
    <w:p w14:paraId="5BF8C07F">
      <w:pPr>
        <w:spacing w:line="360" w:lineRule="auto"/>
        <w:rPr>
          <w:rFonts w:ascii="宋体" w:hAnsi="宋体"/>
          <w:bCs/>
          <w:color w:val="auto"/>
          <w:sz w:val="30"/>
          <w:highlight w:val="none"/>
        </w:rPr>
      </w:pPr>
    </w:p>
    <w:p w14:paraId="156BA5F7">
      <w:pPr>
        <w:spacing w:line="360" w:lineRule="auto"/>
        <w:rPr>
          <w:rFonts w:ascii="宋体" w:hAnsi="宋体"/>
          <w:bCs/>
          <w:color w:val="auto"/>
          <w:sz w:val="30"/>
          <w:highlight w:val="none"/>
        </w:rPr>
      </w:pPr>
    </w:p>
    <w:p w14:paraId="2ACD7342">
      <w:pPr>
        <w:spacing w:line="360" w:lineRule="auto"/>
        <w:rPr>
          <w:rFonts w:ascii="宋体" w:hAnsi="宋体"/>
          <w:bCs/>
          <w:color w:val="auto"/>
          <w:sz w:val="30"/>
          <w:highlight w:val="none"/>
        </w:rPr>
      </w:pPr>
    </w:p>
    <w:p w14:paraId="38BD7626">
      <w:pPr>
        <w:spacing w:line="360" w:lineRule="auto"/>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二〇二</w:t>
      </w:r>
      <w:r>
        <w:rPr>
          <w:rFonts w:hint="eastAsia" w:ascii="宋体" w:hAnsi="宋体" w:cs="宋体"/>
          <w:bCs/>
          <w:color w:val="auto"/>
          <w:sz w:val="44"/>
          <w:szCs w:val="44"/>
          <w:highlight w:val="none"/>
          <w:lang w:eastAsia="zh-CN"/>
        </w:rPr>
        <w:t>六</w:t>
      </w:r>
      <w:r>
        <w:rPr>
          <w:rFonts w:hint="eastAsia" w:ascii="宋体" w:hAnsi="宋体" w:cs="宋体"/>
          <w:bCs/>
          <w:color w:val="auto"/>
          <w:sz w:val="44"/>
          <w:szCs w:val="44"/>
          <w:highlight w:val="none"/>
        </w:rPr>
        <w:t>年</w:t>
      </w:r>
      <w:r>
        <w:rPr>
          <w:rFonts w:hint="eastAsia" w:ascii="宋体" w:hAnsi="宋体" w:cs="宋体"/>
          <w:bCs/>
          <w:color w:val="auto"/>
          <w:sz w:val="44"/>
          <w:szCs w:val="44"/>
          <w:highlight w:val="none"/>
          <w:lang w:val="en-US" w:eastAsia="zh-CN"/>
        </w:rPr>
        <w:t>六</w:t>
      </w:r>
      <w:r>
        <w:rPr>
          <w:rFonts w:hint="eastAsia" w:ascii="宋体" w:hAnsi="宋体" w:cs="宋体"/>
          <w:bCs/>
          <w:color w:val="auto"/>
          <w:sz w:val="44"/>
          <w:szCs w:val="44"/>
          <w:highlight w:val="none"/>
        </w:rPr>
        <w:t>月</w:t>
      </w:r>
    </w:p>
    <w:p w14:paraId="046E5031">
      <w:pPr>
        <w:pStyle w:val="275"/>
        <w:ind w:firstLine="0"/>
        <w:jc w:val="center"/>
        <w:rPr>
          <w:rFonts w:hint="eastAsia" w:ascii="黑体" w:hAnsi="黑体" w:eastAsia="黑体"/>
          <w:color w:val="auto"/>
          <w:sz w:val="36"/>
          <w:szCs w:val="36"/>
          <w:highlight w:val="none"/>
        </w:rPr>
        <w:sectPr>
          <w:footerReference r:id="rId4" w:type="first"/>
          <w:footerReference r:id="rId3" w:type="default"/>
          <w:pgSz w:w="11920" w:h="16840"/>
          <w:pgMar w:top="1431" w:right="1470" w:bottom="1066" w:left="1520" w:header="0" w:footer="788" w:gutter="0"/>
          <w:cols w:space="1701" w:num="1"/>
          <w:docGrid w:linePitch="360" w:charSpace="0"/>
        </w:sectPr>
      </w:pPr>
      <w:bookmarkStart w:id="0" w:name="_Toc120614210"/>
      <w:bookmarkStart w:id="1" w:name="_Toc513029200"/>
      <w:bookmarkStart w:id="2" w:name="_Toc16938516"/>
      <w:bookmarkStart w:id="3" w:name="_Toc523127445"/>
      <w:bookmarkStart w:id="4" w:name="_Toc479757206"/>
      <w:bookmarkStart w:id="5" w:name="_Toc20823272"/>
    </w:p>
    <w:p w14:paraId="48FCCC5B">
      <w:pPr>
        <w:pStyle w:val="275"/>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31E7989C">
      <w:pPr>
        <w:spacing w:line="480" w:lineRule="auto"/>
        <w:jc w:val="center"/>
        <w:outlineLvl w:val="0"/>
        <w:rPr>
          <w:rFonts w:hint="eastAsia" w:ascii="黑体" w:hAnsi="Arial" w:eastAsia="黑体"/>
          <w:color w:val="auto"/>
          <w:sz w:val="44"/>
          <w:highlight w:val="none"/>
        </w:rPr>
      </w:pPr>
    </w:p>
    <w:p w14:paraId="03FD6747">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单一来源采购邀请</w:t>
      </w:r>
    </w:p>
    <w:p w14:paraId="4E4088A8">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供应商须知</w:t>
      </w:r>
    </w:p>
    <w:p w14:paraId="3CB17AF4">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1F251071">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0E085C14">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响应文件内容与格式</w:t>
      </w:r>
    </w:p>
    <w:p w14:paraId="386ED284">
      <w:pPr>
        <w:tabs>
          <w:tab w:val="left" w:pos="1440"/>
        </w:tabs>
        <w:spacing w:line="500" w:lineRule="exact"/>
        <w:jc w:val="center"/>
        <w:outlineLvl w:val="0"/>
        <w:rPr>
          <w:rFonts w:hint="eastAsia" w:ascii="黑体" w:hAnsi="黑体" w:eastAsia="黑体"/>
          <w:color w:val="auto"/>
          <w:sz w:val="36"/>
          <w:szCs w:val="36"/>
          <w:highlight w:val="none"/>
        </w:rPr>
        <w:sectPr>
          <w:footerReference r:id="rId5" w:type="default"/>
          <w:pgSz w:w="11920" w:h="16840"/>
          <w:pgMar w:top="1431" w:right="1470" w:bottom="1066" w:left="1520" w:header="0" w:footer="788" w:gutter="0"/>
          <w:pgNumType w:start="1"/>
          <w:cols w:space="1701" w:num="1"/>
          <w:docGrid w:linePitch="360" w:charSpace="0"/>
        </w:sectPr>
      </w:pPr>
    </w:p>
    <w:p w14:paraId="153BFCA0">
      <w:pPr>
        <w:tabs>
          <w:tab w:val="left" w:pos="1440"/>
        </w:tabs>
        <w:spacing w:line="360" w:lineRule="auto"/>
        <w:jc w:val="center"/>
        <w:outlineLvl w:val="0"/>
        <w:rPr>
          <w:rFonts w:hint="eastAsia" w:ascii="黑体" w:hAnsi="黑体" w:eastAsia="黑体"/>
          <w:color w:val="auto"/>
          <w:sz w:val="36"/>
          <w:szCs w:val="36"/>
          <w:highlight w:val="none"/>
        </w:rPr>
      </w:pPr>
      <w:r>
        <w:rPr>
          <w:rFonts w:hint="eastAsia" w:ascii="黑体" w:hAnsi="黑体" w:eastAsia="黑体"/>
          <w:color w:val="auto"/>
          <w:sz w:val="36"/>
          <w:szCs w:val="36"/>
          <w:highlight w:val="none"/>
        </w:rPr>
        <w:t>第一章  单一来源采购邀请</w:t>
      </w:r>
      <w:bookmarkEnd w:id="0"/>
    </w:p>
    <w:p w14:paraId="20CBDB2B">
      <w:pPr>
        <w:spacing w:line="360" w:lineRule="auto"/>
        <w:ind w:firstLine="480"/>
        <w:rPr>
          <w:rFonts w:hint="eastAsia" w:ascii="宋体" w:hAnsi="宋体" w:cs="宋体"/>
          <w:color w:val="auto"/>
          <w:sz w:val="24"/>
          <w:szCs w:val="24"/>
          <w:highlight w:val="none"/>
          <w:shd w:val="clear" w:color="FFFFFF" w:fill="D9D9D9"/>
        </w:rPr>
      </w:pPr>
      <w:r>
        <w:rPr>
          <w:rFonts w:hint="eastAsia" w:ascii="宋体" w:hAnsi="宋体" w:cs="宋体"/>
          <w:color w:val="auto"/>
          <w:sz w:val="24"/>
          <w:szCs w:val="24"/>
          <w:highlight w:val="none"/>
          <w:lang w:eastAsia="zh-CN"/>
        </w:rPr>
        <w:t>受</w:t>
      </w:r>
      <w:r>
        <w:rPr>
          <w:rFonts w:hint="eastAsia" w:ascii="宋体" w:hAnsi="宋体" w:cs="宋体"/>
          <w:color w:val="auto"/>
          <w:sz w:val="24"/>
          <w:szCs w:val="24"/>
          <w:highlight w:val="none"/>
          <w:lang w:eastAsia="zh-CN"/>
        </w:rPr>
        <w:t>无锡市残疾人综合服务中心的委托，</w:t>
      </w:r>
      <w:r>
        <w:rPr>
          <w:rFonts w:hint="eastAsia" w:ascii="宋体" w:hAnsi="宋体" w:cs="宋体"/>
          <w:color w:val="auto"/>
          <w:sz w:val="24"/>
          <w:szCs w:val="24"/>
          <w:highlight w:val="none"/>
          <w:lang w:eastAsia="zh-CN"/>
        </w:rPr>
        <w:t>江苏苏咨工程咨询有限责任公司就</w:t>
      </w:r>
      <w:r>
        <w:rPr>
          <w:rFonts w:hint="eastAsia" w:ascii="宋体" w:hAnsi="宋体" w:cs="宋体"/>
          <w:color w:val="auto"/>
          <w:sz w:val="24"/>
          <w:szCs w:val="24"/>
          <w:highlight w:val="none"/>
          <w:lang w:eastAsia="zh-CN"/>
        </w:rPr>
        <w:t>康复训练和公共部位服务外包采购项目（项目编号：JSZC-320200-JSSZ-D2026-0034）进行单一</w:t>
      </w:r>
      <w:r>
        <w:rPr>
          <w:rFonts w:hint="eastAsia" w:ascii="宋体" w:hAnsi="宋体" w:cs="宋体"/>
          <w:color w:val="auto"/>
          <w:sz w:val="24"/>
          <w:szCs w:val="24"/>
          <w:highlight w:val="none"/>
        </w:rPr>
        <w:t>来源采购，欢迎符合相关条件的合格供应商参加采购活动。</w:t>
      </w:r>
    </w:p>
    <w:p w14:paraId="0D048600">
      <w:pPr>
        <w:pStyle w:val="191"/>
        <w:keepNext w:val="0"/>
        <w:keepLines w:val="0"/>
        <w:spacing w:before="0" w:after="0" w:line="360" w:lineRule="auto"/>
        <w:ind w:firstLine="452"/>
        <w:rPr>
          <w:color w:val="auto"/>
          <w:sz w:val="30"/>
          <w:szCs w:val="30"/>
          <w:highlight w:val="none"/>
        </w:rPr>
      </w:pPr>
      <w:bookmarkStart w:id="6" w:name="_Toc28359002"/>
      <w:bookmarkStart w:id="7" w:name="_Toc38985263"/>
      <w:bookmarkStart w:id="8" w:name="_Toc35393621"/>
      <w:bookmarkStart w:id="9" w:name="_Toc35393790"/>
      <w:bookmarkStart w:id="10" w:name="_Toc28359079"/>
      <w:bookmarkStart w:id="11" w:name="_Hlk24379207"/>
      <w:r>
        <w:rPr>
          <w:rFonts w:hint="eastAsia"/>
          <w:color w:val="auto"/>
          <w:sz w:val="30"/>
          <w:szCs w:val="30"/>
          <w:highlight w:val="none"/>
        </w:rPr>
        <w:t>一、项目基本情况</w:t>
      </w:r>
      <w:bookmarkEnd w:id="6"/>
      <w:bookmarkEnd w:id="7"/>
      <w:bookmarkEnd w:id="8"/>
      <w:bookmarkEnd w:id="9"/>
      <w:bookmarkEnd w:id="10"/>
    </w:p>
    <w:p w14:paraId="11C5E93B">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rPr>
        <w:t>1.项目编号：JSZC-320200-JSSZ-D2026-0034</w:t>
      </w:r>
      <w:r>
        <w:rPr>
          <w:rFonts w:hint="eastAsia" w:ascii="宋体" w:hAnsi="宋体"/>
          <w:color w:val="auto"/>
          <w:sz w:val="24"/>
          <w:szCs w:val="24"/>
          <w:highlight w:val="none"/>
          <w:lang w:val="en-US" w:eastAsia="zh-CN"/>
        </w:rPr>
        <w:t xml:space="preserve"> </w:t>
      </w:r>
    </w:p>
    <w:p w14:paraId="5F28C1C8">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康复训练和公共部位服务外包采购项目</w:t>
      </w:r>
    </w:p>
    <w:p w14:paraId="2389FED2">
      <w:pPr>
        <w:spacing w:line="360" w:lineRule="auto"/>
        <w:ind w:firstLine="480"/>
        <w:rPr>
          <w:rFonts w:hint="default" w:ascii="宋体" w:hAnsi="宋体"/>
          <w:color w:val="auto"/>
          <w:sz w:val="24"/>
          <w:szCs w:val="24"/>
          <w:highlight w:val="none"/>
          <w:lang w:val="en-US"/>
        </w:rPr>
      </w:pPr>
      <w:r>
        <w:rPr>
          <w:rFonts w:hint="eastAsia" w:ascii="宋体" w:hAnsi="宋体"/>
          <w:color w:val="auto"/>
          <w:sz w:val="24"/>
          <w:szCs w:val="24"/>
          <w:highlight w:val="none"/>
        </w:rPr>
        <w:t>3.项目预算金额：</w:t>
      </w:r>
      <w:r>
        <w:rPr>
          <w:rFonts w:hint="eastAsia" w:ascii="宋体" w:hAnsi="宋体" w:cs="宋体"/>
          <w:bCs/>
          <w:color w:val="auto"/>
          <w:sz w:val="24"/>
          <w:szCs w:val="24"/>
          <w:highlight w:val="none"/>
          <w:lang w:val="en-US" w:eastAsia="zh-CN"/>
        </w:rPr>
        <w:t>206</w:t>
      </w:r>
      <w:r>
        <w:rPr>
          <w:rFonts w:hint="eastAsia" w:ascii="宋体" w:hAnsi="宋体" w:eastAsia="宋体" w:cs="宋体"/>
          <w:bCs/>
          <w:color w:val="auto"/>
          <w:sz w:val="24"/>
          <w:szCs w:val="24"/>
          <w:highlight w:val="none"/>
          <w:lang w:val="en-US" w:eastAsia="zh-CN"/>
        </w:rPr>
        <w:t>万元</w:t>
      </w:r>
      <w:r>
        <w:rPr>
          <w:rFonts w:hint="eastAsia" w:ascii="宋体" w:hAnsi="宋体" w:cs="宋体"/>
          <w:bCs/>
          <w:color w:val="auto"/>
          <w:sz w:val="24"/>
          <w:szCs w:val="24"/>
          <w:highlight w:val="none"/>
          <w:lang w:val="en-US" w:eastAsia="zh-CN"/>
        </w:rPr>
        <w:t>；</w:t>
      </w:r>
    </w:p>
    <w:p w14:paraId="1E04C890">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4.项目最高限价：</w:t>
      </w:r>
      <w:r>
        <w:rPr>
          <w:rFonts w:hint="eastAsia" w:ascii="宋体" w:hAnsi="宋体" w:cs="Times New Roman"/>
          <w:color w:val="auto"/>
          <w:sz w:val="24"/>
          <w:szCs w:val="24"/>
          <w:highlight w:val="none"/>
          <w:lang w:val="en-US" w:eastAsia="zh-CN"/>
        </w:rPr>
        <w:t>206万元；</w:t>
      </w:r>
    </w:p>
    <w:p w14:paraId="700AE36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.采购方式：单一来源</w:t>
      </w:r>
    </w:p>
    <w:p w14:paraId="42240E8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.采购需求：</w:t>
      </w:r>
      <w:r>
        <w:rPr>
          <w:rFonts w:hint="eastAsia" w:ascii="宋体" w:hAnsi="宋体" w:cs="宋体"/>
          <w:color w:val="auto"/>
          <w:sz w:val="24"/>
          <w:szCs w:val="24"/>
          <w:highlight w:val="none"/>
        </w:rPr>
        <w:t>详见本文件第四章</w:t>
      </w:r>
    </w:p>
    <w:p w14:paraId="0FD043A8">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7.本项目不接受联合体参与单一来源采购活动。</w:t>
      </w:r>
    </w:p>
    <w:p w14:paraId="2800247B">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color w:val="auto"/>
          <w:sz w:val="24"/>
          <w:highlight w:val="none"/>
          <w:lang w:val="en-US" w:eastAsia="zh-CN"/>
        </w:rPr>
        <w:t>8.</w:t>
      </w:r>
      <w:r>
        <w:rPr>
          <w:rFonts w:hint="eastAsia" w:ascii="宋体" w:hAnsi="宋体"/>
          <w:color w:val="auto"/>
          <w:sz w:val="24"/>
          <w:highlight w:val="none"/>
        </w:rPr>
        <w:t>本项目是否专门面向中小企业采购：否。</w:t>
      </w:r>
    </w:p>
    <w:p w14:paraId="75163641">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.本项目所属行业：其他未列明行业。从业人员300人以下的为中小微型企业。其中，从业人员100人及以上的为中型企业</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从业人员10人及以上的为小型企业</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从业人员10人以下的为微型企业。</w:t>
      </w:r>
    </w:p>
    <w:p w14:paraId="2E312ED8">
      <w:pPr>
        <w:pStyle w:val="191"/>
        <w:keepNext w:val="0"/>
        <w:keepLines w:val="0"/>
        <w:spacing w:before="0" w:after="0" w:line="360" w:lineRule="auto"/>
        <w:ind w:firstLine="452"/>
        <w:rPr>
          <w:color w:val="auto"/>
          <w:sz w:val="30"/>
          <w:szCs w:val="30"/>
          <w:highlight w:val="none"/>
        </w:rPr>
      </w:pPr>
      <w:bookmarkStart w:id="12" w:name="_Toc38985264"/>
      <w:bookmarkStart w:id="13" w:name="_Toc28359003"/>
      <w:bookmarkStart w:id="14" w:name="_Toc35393791"/>
      <w:bookmarkStart w:id="15" w:name="_Toc28359080"/>
      <w:bookmarkStart w:id="16" w:name="_Toc35393622"/>
      <w:r>
        <w:rPr>
          <w:rFonts w:hint="eastAsia"/>
          <w:color w:val="auto"/>
          <w:sz w:val="30"/>
          <w:szCs w:val="30"/>
          <w:highlight w:val="none"/>
        </w:rPr>
        <w:t>二、</w:t>
      </w:r>
      <w:bookmarkEnd w:id="12"/>
      <w:bookmarkEnd w:id="13"/>
      <w:bookmarkEnd w:id="14"/>
      <w:bookmarkEnd w:id="15"/>
      <w:bookmarkEnd w:id="16"/>
      <w:r>
        <w:rPr>
          <w:rFonts w:hint="eastAsia"/>
          <w:color w:val="auto"/>
          <w:sz w:val="30"/>
          <w:szCs w:val="30"/>
          <w:highlight w:val="none"/>
        </w:rPr>
        <w:t>合格单一来源供应商资格要求</w:t>
      </w:r>
    </w:p>
    <w:p w14:paraId="51406E62">
      <w:pPr>
        <w:spacing w:line="360" w:lineRule="auto"/>
        <w:ind w:firstLine="480"/>
        <w:rPr>
          <w:rFonts w:ascii="宋体" w:hAnsi="宋体"/>
          <w:color w:val="auto"/>
          <w:sz w:val="24"/>
          <w:szCs w:val="24"/>
          <w:highlight w:val="none"/>
        </w:rPr>
      </w:pPr>
      <w:bookmarkStart w:id="17" w:name="_Toc28359004"/>
      <w:bookmarkStart w:id="18" w:name="_Toc38985265"/>
      <w:bookmarkStart w:id="19" w:name="_Toc35393792"/>
      <w:bookmarkStart w:id="20" w:name="_Toc28359081"/>
      <w:bookmarkStart w:id="21" w:name="_Toc35393623"/>
      <w:r>
        <w:rPr>
          <w:rFonts w:hint="eastAsia" w:ascii="宋体" w:hAnsi="宋体"/>
          <w:color w:val="auto"/>
          <w:sz w:val="24"/>
          <w:szCs w:val="24"/>
          <w:highlight w:val="none"/>
        </w:rPr>
        <w:t>1.满足《中华人民共和国政府采购法》第二十二条规定；</w:t>
      </w:r>
    </w:p>
    <w:p w14:paraId="608B174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0832446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2.1中小企业政策：</w:t>
      </w:r>
      <w:r>
        <w:rPr>
          <w:rFonts w:hint="eastAsia" w:ascii="宋体" w:hAnsi="宋体" w:eastAsia="宋体" w:cs="宋体"/>
          <w:bCs/>
          <w:color w:val="auto"/>
          <w:sz w:val="24"/>
          <w:szCs w:val="24"/>
          <w:highlight w:val="none"/>
        </w:rPr>
        <w:t>本项目</w:t>
      </w:r>
      <w:r>
        <w:rPr>
          <w:rFonts w:hint="eastAsia" w:ascii="宋体" w:hAnsi="宋体" w:cs="宋体"/>
          <w:bCs/>
          <w:color w:val="auto"/>
          <w:sz w:val="24"/>
          <w:szCs w:val="24"/>
          <w:highlight w:val="none"/>
          <w:lang w:eastAsia="zh-CN"/>
        </w:rPr>
        <w:t>不</w:t>
      </w:r>
      <w:r>
        <w:rPr>
          <w:rFonts w:hint="eastAsia" w:ascii="宋体" w:hAnsi="宋体" w:eastAsia="宋体" w:cs="宋体"/>
          <w:bCs/>
          <w:color w:val="auto"/>
          <w:sz w:val="24"/>
          <w:szCs w:val="24"/>
          <w:highlight w:val="none"/>
        </w:rPr>
        <w:t>专门面向中小企业</w:t>
      </w:r>
      <w:r>
        <w:rPr>
          <w:rFonts w:hint="eastAsia" w:ascii="宋体" w:hAnsi="宋体" w:eastAsia="宋体" w:cs="宋体"/>
          <w:bCs/>
          <w:color w:val="auto"/>
          <w:sz w:val="24"/>
          <w:szCs w:val="24"/>
          <w:highlight w:val="none"/>
        </w:rPr>
        <w:t>（或监狱企业或残疾人福利性单位）采购</w:t>
      </w:r>
      <w:r>
        <w:rPr>
          <w:rFonts w:hint="eastAsia" w:ascii="宋体" w:hAnsi="宋体"/>
          <w:color w:val="auto"/>
          <w:sz w:val="24"/>
          <w:szCs w:val="24"/>
          <w:highlight w:val="none"/>
        </w:rPr>
        <w:t>；</w:t>
      </w:r>
    </w:p>
    <w:p w14:paraId="72C668E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4078AB32">
      <w:pPr>
        <w:widowControl/>
        <w:numPr>
          <w:ilvl w:val="0"/>
          <w:numId w:val="5"/>
        </w:numPr>
        <w:shd w:val="clear" w:color="auto" w:fill="FFFFFF"/>
        <w:spacing w:line="360" w:lineRule="auto"/>
        <w:ind w:firstLine="482"/>
        <w:jc w:val="left"/>
        <w:rPr>
          <w:rFonts w:hint="eastAsia" w:ascii="宋体" w:hAnsi="宋体"/>
          <w:color w:val="auto"/>
          <w:sz w:val="24"/>
          <w:szCs w:val="24"/>
          <w:highlight w:val="none"/>
        </w:rPr>
      </w:pPr>
      <w:r>
        <w:rPr>
          <w:rFonts w:hint="eastAsia" w:ascii="宋体" w:hAnsi="宋体"/>
          <w:color w:val="auto"/>
          <w:sz w:val="24"/>
          <w:szCs w:val="24"/>
          <w:highlight w:val="none"/>
        </w:rPr>
        <w:t>本项目的特定资格要求：</w:t>
      </w:r>
    </w:p>
    <w:p w14:paraId="41A06761">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bookmarkStart w:id="22" w:name="OLE_LINK37"/>
      <w:bookmarkStart w:id="23" w:name="OLE_LINK36"/>
      <w:r>
        <w:rPr>
          <w:rFonts w:hint="eastAsia" w:ascii="宋体" w:hAnsi="宋体"/>
          <w:color w:val="auto"/>
          <w:sz w:val="24"/>
          <w:highlight w:val="none"/>
        </w:rPr>
        <w:t>供应商必须具备有效期内的中华人民共和国医疗机构执业许可证</w:t>
      </w:r>
      <w:bookmarkEnd w:id="22"/>
      <w:bookmarkEnd w:id="23"/>
      <w:r>
        <w:rPr>
          <w:rFonts w:hint="eastAsia" w:ascii="宋体" w:hAnsi="宋体" w:cs="宋体"/>
          <w:color w:val="auto"/>
          <w:sz w:val="24"/>
          <w:szCs w:val="24"/>
          <w:highlight w:val="none"/>
          <w:lang w:val="en-US" w:eastAsia="zh-CN"/>
        </w:rPr>
        <w:t>。</w:t>
      </w:r>
    </w:p>
    <w:p w14:paraId="25322086">
      <w:pPr>
        <w:pStyle w:val="191"/>
        <w:keepNext w:val="0"/>
        <w:keepLines w:val="0"/>
        <w:spacing w:before="0" w:after="0" w:line="360" w:lineRule="auto"/>
        <w:ind w:firstLine="602"/>
        <w:rPr>
          <w:color w:val="auto"/>
          <w:sz w:val="30"/>
          <w:szCs w:val="30"/>
          <w:highlight w:val="none"/>
        </w:rPr>
      </w:pPr>
      <w:r>
        <w:rPr>
          <w:rFonts w:hint="eastAsia"/>
          <w:color w:val="auto"/>
          <w:sz w:val="30"/>
          <w:szCs w:val="30"/>
          <w:highlight w:val="none"/>
        </w:rPr>
        <w:t>三、获取单一来源采购文件</w:t>
      </w:r>
      <w:bookmarkEnd w:id="17"/>
      <w:bookmarkEnd w:id="18"/>
      <w:bookmarkEnd w:id="19"/>
      <w:bookmarkEnd w:id="20"/>
      <w:bookmarkEnd w:id="21"/>
    </w:p>
    <w:p w14:paraId="47ACBA57">
      <w:pPr>
        <w:spacing w:line="360" w:lineRule="auto"/>
        <w:ind w:firstLine="540"/>
        <w:rPr>
          <w:rFonts w:hint="eastAsia" w:ascii="宋体" w:hAnsi="宋体"/>
          <w:bCs/>
          <w:color w:val="auto"/>
          <w:sz w:val="24"/>
          <w:szCs w:val="24"/>
          <w:highlight w:val="none"/>
        </w:rPr>
      </w:pPr>
      <w:bookmarkStart w:id="24" w:name="_Toc35393793"/>
      <w:bookmarkStart w:id="25" w:name="_Toc28359005"/>
      <w:bookmarkStart w:id="26" w:name="_Toc28359082"/>
      <w:bookmarkStart w:id="27" w:name="_Toc38985266"/>
      <w:bookmarkStart w:id="28" w:name="_Toc35393624"/>
      <w:r>
        <w:rPr>
          <w:rFonts w:ascii="宋体" w:hAnsi="宋体"/>
          <w:bCs/>
          <w:color w:val="auto"/>
          <w:sz w:val="24"/>
          <w:szCs w:val="24"/>
          <w:highlight w:val="none"/>
        </w:rPr>
        <w:t>单一来源供应商应</w:t>
      </w:r>
      <w:r>
        <w:rPr>
          <w:rFonts w:hint="eastAsia" w:ascii="宋体" w:hAnsi="宋体"/>
          <w:bCs/>
          <w:color w:val="auto"/>
          <w:sz w:val="24"/>
          <w:szCs w:val="24"/>
          <w:highlight w:val="none"/>
        </w:rPr>
        <w:t>在提交响应文件截止时间前</w:t>
      </w:r>
      <w:r>
        <w:rPr>
          <w:rFonts w:ascii="宋体" w:hAnsi="宋体"/>
          <w:bCs/>
          <w:color w:val="auto"/>
          <w:sz w:val="24"/>
          <w:szCs w:val="24"/>
          <w:highlight w:val="none"/>
        </w:rPr>
        <w:t>及时至</w:t>
      </w:r>
      <w:r>
        <w:rPr>
          <w:rFonts w:ascii="宋体" w:hAnsi="宋体"/>
          <w:color w:val="auto"/>
          <w:sz w:val="24"/>
          <w:szCs w:val="24"/>
          <w:highlight w:val="none"/>
        </w:rPr>
        <w:t>“江苏省政府采购（苏采云）平台”进行有效获取</w:t>
      </w:r>
      <w:r>
        <w:rPr>
          <w:rFonts w:hint="eastAsia" w:ascii="宋体" w:hAnsi="宋体"/>
          <w:color w:val="auto"/>
          <w:sz w:val="24"/>
          <w:szCs w:val="24"/>
          <w:highlight w:val="none"/>
        </w:rPr>
        <w:t>单一来源采购文件（以下简称采购文件）</w:t>
      </w:r>
      <w:r>
        <w:rPr>
          <w:rFonts w:ascii="宋体" w:hAnsi="宋体"/>
          <w:color w:val="auto"/>
          <w:sz w:val="24"/>
          <w:szCs w:val="24"/>
          <w:highlight w:val="none"/>
        </w:rPr>
        <w:t>，并于</w:t>
      </w:r>
      <w:r>
        <w:rPr>
          <w:rFonts w:hint="eastAsia" w:ascii="宋体" w:hAnsi="宋体"/>
          <w:bCs/>
          <w:color w:val="auto"/>
          <w:sz w:val="24"/>
          <w:szCs w:val="24"/>
          <w:highlight w:val="none"/>
        </w:rPr>
        <w:t>提交响应文件截止时间前按要求制作并上传完成响应文件。</w:t>
      </w:r>
    </w:p>
    <w:p w14:paraId="1CAEC139">
      <w:pPr>
        <w:pStyle w:val="191"/>
        <w:keepNext w:val="0"/>
        <w:keepLines w:val="0"/>
        <w:spacing w:before="0" w:after="0" w:line="360" w:lineRule="auto"/>
        <w:ind w:firstLine="452"/>
        <w:rPr>
          <w:color w:val="auto"/>
          <w:sz w:val="30"/>
          <w:szCs w:val="30"/>
          <w:highlight w:val="none"/>
        </w:rPr>
      </w:pPr>
      <w:r>
        <w:rPr>
          <w:rFonts w:hint="eastAsia"/>
          <w:color w:val="auto"/>
          <w:sz w:val="30"/>
          <w:szCs w:val="30"/>
          <w:highlight w:val="none"/>
        </w:rPr>
        <w:t>四、响应文件</w:t>
      </w:r>
      <w:bookmarkEnd w:id="24"/>
      <w:bookmarkEnd w:id="25"/>
      <w:bookmarkEnd w:id="26"/>
      <w:bookmarkEnd w:id="27"/>
      <w:bookmarkEnd w:id="28"/>
      <w:r>
        <w:rPr>
          <w:rFonts w:hint="eastAsia"/>
          <w:color w:val="auto"/>
          <w:sz w:val="30"/>
          <w:szCs w:val="30"/>
          <w:highlight w:val="none"/>
        </w:rPr>
        <w:t>提交</w:t>
      </w:r>
    </w:p>
    <w:p w14:paraId="718DE46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1.截止时间：202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点</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分（北京时间）</w:t>
      </w:r>
    </w:p>
    <w:p w14:paraId="3D98272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p>
    <w:p w14:paraId="05729A6F">
      <w:pPr>
        <w:pStyle w:val="191"/>
        <w:keepNext w:val="0"/>
        <w:keepLines w:val="0"/>
        <w:spacing w:before="0" w:after="0" w:line="360" w:lineRule="auto"/>
        <w:ind w:firstLine="452"/>
        <w:rPr>
          <w:color w:val="auto"/>
          <w:sz w:val="30"/>
          <w:szCs w:val="30"/>
          <w:highlight w:val="none"/>
        </w:rPr>
      </w:pPr>
      <w:bookmarkStart w:id="29" w:name="_Toc28359085"/>
      <w:bookmarkStart w:id="30" w:name="_Toc38985269"/>
      <w:bookmarkStart w:id="31" w:name="_Toc35393627"/>
      <w:bookmarkStart w:id="32" w:name="_Toc28359008"/>
      <w:bookmarkStart w:id="33" w:name="_Toc35393796"/>
      <w:r>
        <w:rPr>
          <w:rFonts w:hint="eastAsia"/>
          <w:color w:val="auto"/>
          <w:sz w:val="30"/>
          <w:szCs w:val="30"/>
          <w:highlight w:val="none"/>
        </w:rPr>
        <w:t>五、</w:t>
      </w:r>
      <w:bookmarkEnd w:id="29"/>
      <w:bookmarkEnd w:id="30"/>
      <w:bookmarkEnd w:id="31"/>
      <w:bookmarkEnd w:id="32"/>
      <w:bookmarkEnd w:id="33"/>
      <w:r>
        <w:rPr>
          <w:rFonts w:hint="eastAsia"/>
          <w:color w:val="auto"/>
          <w:sz w:val="30"/>
          <w:szCs w:val="30"/>
          <w:highlight w:val="none"/>
        </w:rPr>
        <w:t>本次单一来源采购联系方式</w:t>
      </w:r>
    </w:p>
    <w:p w14:paraId="4D410FD7">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采购人：无锡市残疾人综合服务中心</w:t>
      </w:r>
    </w:p>
    <w:p w14:paraId="20A23FCE">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联系地址：无锡市锡兴路199号3号楼3楼</w:t>
      </w:r>
    </w:p>
    <w:p w14:paraId="7853FD3A">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联系人：国宏元</w:t>
      </w:r>
    </w:p>
    <w:p w14:paraId="7B29ABFE">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联系电话：0510-81892336</w:t>
      </w:r>
    </w:p>
    <w:p w14:paraId="4FDEE4B1">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采购代理机构：江苏苏咨工程咨询有限责任公司</w:t>
      </w:r>
    </w:p>
    <w:p w14:paraId="4F2C7D14">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联系人：吴虹、张芳</w:t>
      </w:r>
    </w:p>
    <w:p w14:paraId="5453DAF3">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联系电话：</w:t>
      </w:r>
      <w:bookmarkStart w:id="34" w:name="OLE_LINK32"/>
      <w:bookmarkStart w:id="35" w:name="OLE_LINK31"/>
      <w:r>
        <w:rPr>
          <w:rFonts w:ascii="宋体" w:hAnsi="宋体"/>
          <w:color w:val="auto"/>
          <w:sz w:val="24"/>
          <w:szCs w:val="24"/>
          <w:highlight w:val="none"/>
        </w:rPr>
        <w:t>0510-85136316</w:t>
      </w:r>
      <w:bookmarkEnd w:id="34"/>
      <w:bookmarkEnd w:id="35"/>
    </w:p>
    <w:p w14:paraId="1332A7C5">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联系地址：无锡市滨湖区建筑西路599号国家工业设计园4幢706室</w:t>
      </w:r>
    </w:p>
    <w:p w14:paraId="7B6A6AEA">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邮政编码：214000</w:t>
      </w:r>
    </w:p>
    <w:p w14:paraId="01EA4D44">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邮箱：460894753@qq.com</w:t>
      </w:r>
    </w:p>
    <w:p w14:paraId="73B2C6E9">
      <w:pPr>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有关本次采购活动方面的问题，可来人、来函（传真）或电话联系。</w:t>
      </w:r>
    </w:p>
    <w:p w14:paraId="20523583">
      <w:pPr>
        <w:pStyle w:val="191"/>
        <w:keepNext w:val="0"/>
        <w:keepLines w:val="0"/>
        <w:spacing w:before="0" w:after="0" w:line="360" w:lineRule="auto"/>
        <w:ind w:firstLine="452"/>
        <w:rPr>
          <w:color w:val="auto"/>
          <w:sz w:val="30"/>
          <w:szCs w:val="30"/>
          <w:highlight w:val="none"/>
        </w:rPr>
      </w:pPr>
      <w:r>
        <w:rPr>
          <w:rFonts w:hint="eastAsia"/>
          <w:color w:val="auto"/>
          <w:sz w:val="30"/>
          <w:szCs w:val="30"/>
          <w:highlight w:val="none"/>
        </w:rPr>
        <w:t>六、其他</w:t>
      </w:r>
    </w:p>
    <w:p w14:paraId="5FB70D5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0111C733">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请单一来源供应商按以下流程进行操作：</w:t>
      </w:r>
    </w:p>
    <w:p w14:paraId="6B6AEE3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70F76199">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651F865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4DAC297B">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358458B9">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868EC04">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账号注册后</w:t>
      </w:r>
      <w:r>
        <w:rPr>
          <w:rFonts w:ascii="宋体" w:hAnsi="宋体"/>
          <w:color w:val="auto"/>
          <w:sz w:val="24"/>
          <w:szCs w:val="24"/>
          <w:highlight w:val="none"/>
        </w:rPr>
        <w:t>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41983BFD">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3863BF56">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p>
    <w:p w14:paraId="4E1E2694">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2FEA0ED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w:t>
      </w:r>
    </w:p>
    <w:p w14:paraId="0F1E2B6E">
      <w:pPr>
        <w:widowControl/>
        <w:shd w:val="clear" w:color="auto" w:fill="FFFFFF"/>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供应商在</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”找到需要获取采购文件的项目，点击“我要参与”——“参与投标”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采购</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响应</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响应</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响应</w:t>
      </w:r>
      <w:r>
        <w:rPr>
          <w:rFonts w:ascii="宋体" w:hAnsi="宋体"/>
          <w:color w:val="auto"/>
          <w:sz w:val="24"/>
          <w:szCs w:val="24"/>
          <w:highlight w:val="none"/>
        </w:rPr>
        <w:t>文件，对</w:t>
      </w:r>
      <w:r>
        <w:rPr>
          <w:rFonts w:hint="eastAsia" w:ascii="宋体" w:hAnsi="宋体"/>
          <w:color w:val="auto"/>
          <w:sz w:val="24"/>
          <w:szCs w:val="24"/>
          <w:highlight w:val="none"/>
        </w:rPr>
        <w:t>采购</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响应</w:t>
      </w:r>
      <w:r>
        <w:rPr>
          <w:rFonts w:ascii="宋体" w:hAnsi="宋体"/>
          <w:color w:val="auto"/>
          <w:sz w:val="24"/>
          <w:szCs w:val="24"/>
          <w:highlight w:val="none"/>
        </w:rPr>
        <w:t>文件无效。</w:t>
      </w:r>
    </w:p>
    <w:p w14:paraId="378199AB">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注，因</w:t>
      </w:r>
      <w:r>
        <w:rPr>
          <w:rFonts w:hint="eastAsia" w:ascii="宋体" w:hAnsi="宋体"/>
          <w:bCs/>
          <w:color w:val="auto"/>
          <w:sz w:val="24"/>
          <w:szCs w:val="24"/>
          <w:highlight w:val="none"/>
        </w:rPr>
        <w:t>“苏采云”系统原因，系统中针对本项目所称响应文件即指响应文件。</w:t>
      </w:r>
    </w:p>
    <w:p w14:paraId="7F3F565E">
      <w:pPr>
        <w:numPr>
          <w:ilvl w:val="0"/>
          <w:numId w:val="6"/>
        </w:num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本次单一来源采购不收取采购保证金。</w:t>
      </w:r>
    </w:p>
    <w:p w14:paraId="365E0B22">
      <w:pPr>
        <w:numPr>
          <w:ilvl w:val="0"/>
          <w:numId w:val="6"/>
        </w:num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纸质响应文件：本项目为不见面开标，供应商无需递交纸质响应文件至现场，成交后成交供应商向采购代理机构提供与电子响应文件完全一致的纸质响应文件（2份）。</w:t>
      </w:r>
    </w:p>
    <w:p w14:paraId="0E65D6F6">
      <w:p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（五）本采购文件中</w:t>
      </w:r>
      <w:r>
        <w:rPr>
          <w:rFonts w:hint="eastAsia" w:ascii="宋体" w:hAnsi="宋体"/>
          <w:bCs/>
          <w:color w:val="auto"/>
          <w:sz w:val="24"/>
          <w:szCs w:val="24"/>
          <w:highlight w:val="none"/>
          <w:lang w:eastAsia="zh-CN"/>
        </w:rPr>
        <w:t>涉及</w:t>
      </w:r>
      <w:r>
        <w:rPr>
          <w:rFonts w:hint="eastAsia" w:ascii="宋体" w:hAnsi="宋体"/>
          <w:bCs/>
          <w:color w:val="auto"/>
          <w:sz w:val="24"/>
          <w:szCs w:val="24"/>
          <w:highlight w:val="none"/>
        </w:rPr>
        <w:t>的盖章部分均可使用CA签章。</w:t>
      </w:r>
    </w:p>
    <w:p w14:paraId="7E07CC4C">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36"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36"/>
      <w:bookmarkStart w:id="37" w:name="_Toc16938518"/>
      <w:bookmarkStart w:id="38" w:name="_Toc513029202"/>
      <w:bookmarkStart w:id="39" w:name="_Toc120614213"/>
      <w:bookmarkStart w:id="40" w:name="_Toc20823274"/>
      <w:r>
        <w:rPr>
          <w:rFonts w:hint="eastAsia" w:ascii="黑体" w:hAnsi="黑体" w:eastAsia="黑体"/>
          <w:color w:val="auto"/>
          <w:sz w:val="36"/>
          <w:szCs w:val="36"/>
          <w:highlight w:val="none"/>
        </w:rPr>
        <w:t>供应商须知</w:t>
      </w:r>
      <w:bookmarkEnd w:id="37"/>
      <w:bookmarkEnd w:id="38"/>
      <w:bookmarkEnd w:id="39"/>
      <w:bookmarkEnd w:id="40"/>
    </w:p>
    <w:p w14:paraId="3265D806">
      <w:pPr>
        <w:pStyle w:val="191"/>
        <w:keepNext w:val="0"/>
        <w:keepLines w:val="0"/>
        <w:spacing w:before="0" w:after="0" w:line="500" w:lineRule="exact"/>
        <w:ind w:firstLine="452"/>
        <w:rPr>
          <w:rFonts w:hint="eastAsia"/>
          <w:color w:val="auto"/>
          <w:sz w:val="30"/>
          <w:szCs w:val="30"/>
          <w:highlight w:val="none"/>
        </w:rPr>
      </w:pPr>
      <w:bookmarkStart w:id="41" w:name="_Toc120614214"/>
      <w:bookmarkStart w:id="42" w:name="_Toc16938519"/>
      <w:bookmarkStart w:id="43" w:name="_Toc20823275"/>
      <w:bookmarkStart w:id="44" w:name="_Toc513029203"/>
      <w:r>
        <w:rPr>
          <w:rFonts w:hint="eastAsia"/>
          <w:color w:val="auto"/>
          <w:sz w:val="30"/>
          <w:szCs w:val="30"/>
          <w:highlight w:val="none"/>
        </w:rPr>
        <w:t>一、总则</w:t>
      </w:r>
      <w:bookmarkEnd w:id="41"/>
      <w:bookmarkEnd w:id="42"/>
      <w:bookmarkEnd w:id="43"/>
      <w:bookmarkEnd w:id="44"/>
    </w:p>
    <w:p w14:paraId="37FFA181">
      <w:pPr>
        <w:pStyle w:val="192"/>
        <w:keepNext w:val="0"/>
        <w:keepLines w:val="0"/>
        <w:spacing w:before="0" w:after="0" w:line="500" w:lineRule="exact"/>
        <w:ind w:firstLine="422"/>
        <w:rPr>
          <w:rFonts w:hint="eastAsia" w:ascii="宋体" w:hAnsi="宋体" w:eastAsia="宋体"/>
          <w:bCs w:val="0"/>
          <w:color w:val="auto"/>
          <w:highlight w:val="none"/>
        </w:rPr>
      </w:pPr>
      <w:bookmarkStart w:id="45" w:name="_Hlt16619475"/>
      <w:bookmarkEnd w:id="45"/>
      <w:bookmarkStart w:id="46" w:name="_Toc16938520"/>
      <w:bookmarkStart w:id="47" w:name="_Toc20823276"/>
      <w:bookmarkStart w:id="48" w:name="_Toc513029204"/>
      <w:r>
        <w:rPr>
          <w:rFonts w:hint="eastAsia" w:ascii="宋体" w:hAnsi="宋体" w:eastAsia="宋体"/>
          <w:bCs w:val="0"/>
          <w:color w:val="auto"/>
          <w:highlight w:val="none"/>
        </w:rPr>
        <w:t>1.采购方式</w:t>
      </w:r>
      <w:bookmarkEnd w:id="46"/>
      <w:bookmarkEnd w:id="47"/>
      <w:bookmarkEnd w:id="48"/>
    </w:p>
    <w:p w14:paraId="3B73DA41">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1.1本次政府采购活动采取单一来源采购方式。</w:t>
      </w:r>
    </w:p>
    <w:p w14:paraId="0B6823A4">
      <w:pPr>
        <w:pStyle w:val="192"/>
        <w:keepNext w:val="0"/>
        <w:keepLines w:val="0"/>
        <w:spacing w:before="0" w:after="0" w:line="500" w:lineRule="exact"/>
        <w:ind w:firstLine="422"/>
        <w:rPr>
          <w:rFonts w:hint="eastAsia" w:ascii="宋体" w:hAnsi="宋体" w:eastAsia="宋体"/>
          <w:bCs w:val="0"/>
          <w:color w:val="auto"/>
          <w:highlight w:val="none"/>
        </w:rPr>
      </w:pPr>
      <w:bookmarkStart w:id="49" w:name="_Toc20823277"/>
      <w:bookmarkStart w:id="50" w:name="_Toc513029205"/>
      <w:bookmarkStart w:id="51" w:name="_Toc16938521"/>
      <w:r>
        <w:rPr>
          <w:rFonts w:hint="eastAsia" w:ascii="宋体" w:hAnsi="宋体" w:eastAsia="宋体"/>
          <w:bCs w:val="0"/>
          <w:color w:val="auto"/>
          <w:highlight w:val="none"/>
        </w:rPr>
        <w:t>2.</w:t>
      </w:r>
      <w:bookmarkEnd w:id="49"/>
      <w:bookmarkEnd w:id="50"/>
      <w:bookmarkEnd w:id="51"/>
      <w:r>
        <w:rPr>
          <w:rFonts w:hint="eastAsia" w:ascii="宋体" w:hAnsi="宋体" w:eastAsia="宋体"/>
          <w:bCs w:val="0"/>
          <w:color w:val="auto"/>
          <w:highlight w:val="none"/>
        </w:rPr>
        <w:t>采购人、采购代理机构、供应商、联合体</w:t>
      </w:r>
    </w:p>
    <w:p w14:paraId="328C616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2.1采购人、采购代理机构：指依法进行政府采购的国家机关、事业单位、团体组织，及其委托的采购代理机构。本项目采购人、采购代理机构见第一章《单一来源采购邀请》。</w:t>
      </w:r>
    </w:p>
    <w:p w14:paraId="61D801E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2.2供应商（也称“报价人”“申请人”）：是指参加本次单一来源采购活动的法人、其他组织或者自然人。合格的供应商应满足合格单一来源供应商资格要求的规定以及本文件实质性要求和条件的规定。</w:t>
      </w:r>
    </w:p>
    <w:p w14:paraId="7D16E08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p>
    <w:p w14:paraId="003AB334">
      <w:pPr>
        <w:pStyle w:val="192"/>
        <w:keepNext w:val="0"/>
        <w:keepLines w:val="0"/>
        <w:spacing w:before="0" w:after="0" w:line="500" w:lineRule="exact"/>
        <w:ind w:firstLine="422"/>
        <w:rPr>
          <w:rFonts w:hint="eastAsia" w:ascii="宋体" w:hAnsi="宋体" w:eastAsia="宋体"/>
          <w:bCs w:val="0"/>
          <w:color w:val="auto"/>
          <w:highlight w:val="none"/>
        </w:rPr>
      </w:pPr>
      <w:bookmarkStart w:id="52" w:name="_Toc16938522"/>
      <w:bookmarkStart w:id="53" w:name="_Toc513029206"/>
      <w:bookmarkStart w:id="54" w:name="_Toc20823278"/>
      <w:r>
        <w:rPr>
          <w:rFonts w:hint="eastAsia" w:ascii="宋体" w:hAnsi="宋体" w:eastAsia="宋体"/>
          <w:bCs w:val="0"/>
          <w:color w:val="auto"/>
          <w:highlight w:val="none"/>
        </w:rPr>
        <w:t>3.适用法律</w:t>
      </w:r>
      <w:bookmarkEnd w:id="52"/>
      <w:bookmarkEnd w:id="53"/>
      <w:bookmarkEnd w:id="54"/>
    </w:p>
    <w:p w14:paraId="05EA65C3">
      <w:pPr>
        <w:spacing w:line="500" w:lineRule="exact"/>
        <w:ind w:firstLine="480"/>
        <w:rPr>
          <w:rFonts w:hint="eastAsia" w:ascii="宋体" w:hAnsi="宋体"/>
          <w:color w:val="auto"/>
          <w:sz w:val="24"/>
          <w:highlight w:val="none"/>
        </w:rPr>
      </w:pPr>
      <w:r>
        <w:rPr>
          <w:rFonts w:hint="eastAsia" w:ascii="宋体" w:hAnsi="宋体"/>
          <w:color w:val="auto"/>
          <w:sz w:val="24"/>
          <w:highlight w:val="none"/>
        </w:rPr>
        <w:t>3.1本次采购及由此产生的合同受中华人民共和国法律的制约和保护。</w:t>
      </w:r>
    </w:p>
    <w:p w14:paraId="72D1EEFA">
      <w:pPr>
        <w:pStyle w:val="192"/>
        <w:keepNext w:val="0"/>
        <w:keepLines w:val="0"/>
        <w:spacing w:before="0" w:after="0" w:line="500" w:lineRule="exact"/>
        <w:ind w:firstLine="422"/>
        <w:rPr>
          <w:rFonts w:hint="eastAsia" w:ascii="宋体" w:hAnsi="宋体" w:eastAsia="宋体"/>
          <w:bCs w:val="0"/>
          <w:color w:val="auto"/>
          <w:highlight w:val="none"/>
        </w:rPr>
      </w:pPr>
      <w:bookmarkStart w:id="55" w:name="_Toc513029207"/>
      <w:bookmarkStart w:id="56" w:name="_Toc16938523"/>
      <w:bookmarkStart w:id="57" w:name="_Toc462564067"/>
      <w:bookmarkStart w:id="58" w:name="_Toc20823279"/>
      <w:r>
        <w:rPr>
          <w:rFonts w:hint="eastAsia" w:ascii="宋体" w:hAnsi="宋体" w:eastAsia="宋体"/>
          <w:bCs w:val="0"/>
          <w:color w:val="auto"/>
          <w:highlight w:val="none"/>
        </w:rPr>
        <w:t>4.相关费用</w:t>
      </w:r>
      <w:bookmarkEnd w:id="55"/>
      <w:bookmarkEnd w:id="56"/>
      <w:bookmarkEnd w:id="57"/>
      <w:bookmarkEnd w:id="58"/>
    </w:p>
    <w:p w14:paraId="20BE0E38">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供应商应自行承担所有与参加本次采购有关的费用，无论采购过程中的做法和结果如何，</w:t>
      </w:r>
      <w:r>
        <w:rPr>
          <w:rFonts w:hint="eastAsia" w:ascii="宋体" w:hAnsi="宋体"/>
          <w:color w:val="auto"/>
          <w:sz w:val="24"/>
          <w:highlight w:val="none"/>
          <w:lang w:eastAsia="zh-CN"/>
        </w:rPr>
        <w:t>江苏苏咨工程咨询有限责任公司</w:t>
      </w:r>
      <w:r>
        <w:rPr>
          <w:rFonts w:hint="eastAsia" w:ascii="宋体" w:hAnsi="宋体"/>
          <w:color w:val="auto"/>
          <w:sz w:val="24"/>
          <w:highlight w:val="none"/>
        </w:rPr>
        <w:t>在任何情况下均无义务和责任承担这些费用。</w:t>
      </w:r>
    </w:p>
    <w:p w14:paraId="74951F24">
      <w:pPr>
        <w:spacing w:line="500" w:lineRule="exact"/>
        <w:ind w:firstLine="480"/>
        <w:rPr>
          <w:rFonts w:hint="eastAsia" w:ascii="宋体" w:hAnsi="宋体" w:eastAsia="宋体"/>
          <w:color w:val="auto"/>
          <w:sz w:val="24"/>
          <w:highlight w:val="none"/>
          <w:lang w:eastAsia="zh-CN"/>
        </w:rPr>
      </w:pPr>
      <w:r>
        <w:rPr>
          <w:rFonts w:hint="eastAsia" w:ascii="宋体" w:hAnsi="宋体"/>
          <w:color w:val="auto"/>
          <w:sz w:val="24"/>
          <w:highlight w:val="none"/>
        </w:rPr>
        <w:t>4.2</w:t>
      </w:r>
      <w:r>
        <w:rPr>
          <w:rFonts w:hint="eastAsia" w:ascii="宋体" w:hAnsi="宋体" w:cs="宋体"/>
          <w:bCs/>
          <w:color w:val="auto"/>
          <w:sz w:val="24"/>
          <w:highlight w:val="none"/>
        </w:rPr>
        <w:t>本项目采购代理服务费由</w:t>
      </w:r>
      <w:r>
        <w:rPr>
          <w:rFonts w:hint="eastAsia" w:ascii="宋体" w:hAnsi="宋体" w:cs="宋体"/>
          <w:bCs/>
          <w:color w:val="auto"/>
          <w:sz w:val="24"/>
          <w:highlight w:val="none"/>
          <w:lang w:eastAsia="zh-CN"/>
        </w:rPr>
        <w:t>成交</w:t>
      </w:r>
      <w:r>
        <w:rPr>
          <w:rFonts w:hint="eastAsia" w:ascii="宋体" w:hAnsi="宋体" w:cs="宋体"/>
          <w:bCs/>
          <w:color w:val="auto"/>
          <w:sz w:val="24"/>
          <w:highlight w:val="none"/>
        </w:rPr>
        <w:t>供应商支付，</w:t>
      </w:r>
      <w:r>
        <w:rPr>
          <w:rFonts w:hint="eastAsia" w:ascii="宋体" w:hAnsi="宋体" w:cs="宋体"/>
          <w:bCs/>
          <w:color w:val="auto"/>
          <w:sz w:val="24"/>
          <w:highlight w:val="none"/>
          <w:lang w:eastAsia="zh-CN"/>
        </w:rPr>
        <w:t>投标总价中必须包括招标代理服务费</w:t>
      </w:r>
      <w:r>
        <w:rPr>
          <w:rFonts w:hint="eastAsia" w:ascii="宋体" w:hAnsi="宋体" w:cs="宋体"/>
          <w:bCs/>
          <w:color w:val="auto"/>
          <w:sz w:val="24"/>
          <w:szCs w:val="22"/>
          <w:highlight w:val="none"/>
        </w:rPr>
        <w:t>采购代理费计算方法如下：</w:t>
      </w:r>
      <w:r>
        <w:rPr>
          <w:rFonts w:hint="eastAsia" w:ascii="宋体" w:hAnsi="宋体"/>
          <w:color w:val="auto"/>
          <w:sz w:val="24"/>
          <w:highlight w:val="none"/>
          <w:shd w:val="clear" w:color="auto" w:fill="FFFFFF"/>
        </w:rPr>
        <w:t>参照国家计委计价格〔2002〕1980号《招标代理服务收费管理暂行办法》所规定的收费标准</w:t>
      </w:r>
      <w:r>
        <w:rPr>
          <w:rFonts w:hint="eastAsia" w:ascii="宋体" w:hAnsi="宋体"/>
          <w:b/>
          <w:color w:val="auto"/>
          <w:sz w:val="24"/>
          <w:highlight w:val="none"/>
          <w:shd w:val="clear" w:color="auto" w:fill="FFFFFF"/>
        </w:rPr>
        <w:t>（服务招标）打七五折计取</w:t>
      </w:r>
      <w:r>
        <w:rPr>
          <w:rFonts w:hint="eastAsia" w:ascii="宋体" w:hAnsi="宋体"/>
          <w:color w:val="auto"/>
          <w:sz w:val="24"/>
          <w:highlight w:val="none"/>
          <w:shd w:val="clear" w:color="auto" w:fill="FFFFFF"/>
        </w:rPr>
        <w:t>，采购代理服务费的</w:t>
      </w:r>
      <w:r>
        <w:rPr>
          <w:rFonts w:hint="eastAsia"/>
          <w:color w:val="auto"/>
          <w:sz w:val="24"/>
          <w:highlight w:val="none"/>
          <w:shd w:val="clear" w:color="auto" w:fill="FFFFFF"/>
        </w:rPr>
        <w:t>收费按差额定率累进法，</w:t>
      </w:r>
      <w:r>
        <w:rPr>
          <w:rFonts w:hint="eastAsia" w:ascii="宋体" w:hAnsi="宋体"/>
          <w:color w:val="auto"/>
          <w:sz w:val="24"/>
          <w:highlight w:val="none"/>
          <w:shd w:val="clear" w:color="auto" w:fill="FFFFFF"/>
        </w:rPr>
        <w:t>收费标准为：中标金额100万以下费率为中标金额的1.5%；中标金额100万－500万费率为中标金额的0.8%；中标金额500万-1000万费率为中标金额的0.45%；中标金额1000万-5000万费率为中标金额的0.25%</w:t>
      </w:r>
      <w:r>
        <w:rPr>
          <w:rFonts w:hint="eastAsia" w:ascii="宋体" w:hAnsi="宋体" w:cs="宋体"/>
          <w:bCs/>
          <w:color w:val="auto"/>
          <w:sz w:val="24"/>
          <w:szCs w:val="22"/>
          <w:highlight w:val="none"/>
        </w:rPr>
        <w:t>。</w:t>
      </w:r>
    </w:p>
    <w:p w14:paraId="73D87351">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5.采购文件的约束力</w:t>
      </w:r>
    </w:p>
    <w:p w14:paraId="3FD3247D">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供应商一旦接收了本项目采购文件并决定参加单一来源采购活动，即被认为接受了本采购文件的规定和约束，并且视为自接收本采购文件之日起已经知道或应当知道自身权益是否受到了损害。</w:t>
      </w:r>
    </w:p>
    <w:p w14:paraId="72DED738">
      <w:pPr>
        <w:pStyle w:val="191"/>
        <w:keepNext w:val="0"/>
        <w:keepLines w:val="0"/>
        <w:spacing w:before="0" w:after="0" w:line="500" w:lineRule="exact"/>
        <w:ind w:firstLine="452"/>
        <w:rPr>
          <w:rFonts w:hint="eastAsia"/>
          <w:color w:val="auto"/>
          <w:sz w:val="30"/>
          <w:szCs w:val="30"/>
          <w:highlight w:val="none"/>
        </w:rPr>
      </w:pPr>
      <w:bookmarkStart w:id="59" w:name="_Toc513029209"/>
      <w:bookmarkStart w:id="60" w:name="_Toc120614215"/>
      <w:bookmarkStart w:id="61" w:name="_Toc16938525"/>
      <w:bookmarkStart w:id="62" w:name="_Toc20823281"/>
      <w:r>
        <w:rPr>
          <w:rFonts w:hint="eastAsia"/>
          <w:color w:val="auto"/>
          <w:sz w:val="30"/>
          <w:szCs w:val="30"/>
          <w:highlight w:val="none"/>
        </w:rPr>
        <w:t>二、采购文件</w:t>
      </w:r>
      <w:bookmarkEnd w:id="59"/>
      <w:bookmarkEnd w:id="60"/>
      <w:bookmarkEnd w:id="61"/>
      <w:bookmarkEnd w:id="62"/>
    </w:p>
    <w:p w14:paraId="36B92F34">
      <w:pPr>
        <w:pStyle w:val="192"/>
        <w:keepNext w:val="0"/>
        <w:keepLines w:val="0"/>
        <w:spacing w:before="0" w:after="0" w:line="500" w:lineRule="exact"/>
        <w:ind w:firstLine="422"/>
        <w:rPr>
          <w:rFonts w:hint="eastAsia" w:ascii="宋体" w:hAnsi="宋体" w:eastAsia="宋体"/>
          <w:bCs w:val="0"/>
          <w:color w:val="auto"/>
          <w:highlight w:val="none"/>
        </w:rPr>
      </w:pPr>
      <w:bookmarkStart w:id="63" w:name="_Toc16938526"/>
      <w:bookmarkStart w:id="64" w:name="_Toc20823282"/>
      <w:bookmarkStart w:id="65" w:name="_Toc513029210"/>
      <w:r>
        <w:rPr>
          <w:rFonts w:hint="eastAsia" w:ascii="宋体" w:hAnsi="宋体" w:eastAsia="宋体"/>
          <w:bCs w:val="0"/>
          <w:color w:val="auto"/>
          <w:highlight w:val="none"/>
        </w:rPr>
        <w:t>6.采购文件构成</w:t>
      </w:r>
      <w:bookmarkEnd w:id="63"/>
      <w:bookmarkEnd w:id="64"/>
      <w:bookmarkEnd w:id="65"/>
    </w:p>
    <w:p w14:paraId="016D4D1E">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采购文件由以下部分组成：</w:t>
      </w:r>
    </w:p>
    <w:p w14:paraId="65EC48B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（1）单一来源采购邀请</w:t>
      </w:r>
    </w:p>
    <w:p w14:paraId="2F15DE8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（2）供应商须知</w:t>
      </w:r>
    </w:p>
    <w:p w14:paraId="7CD8F13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746CC26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74427C2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（5）响应文件内容与格式</w:t>
      </w:r>
    </w:p>
    <w:p w14:paraId="29BD8CD2">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请仔细检查采购文件是否齐全，如有缺漏请立即与采购代理机构联系解决。</w:t>
      </w:r>
    </w:p>
    <w:p w14:paraId="4025DFFF">
      <w:pPr>
        <w:spacing w:line="500" w:lineRule="exact"/>
        <w:ind w:firstLine="480"/>
        <w:rPr>
          <w:rFonts w:hint="eastAsia" w:ascii="宋体" w:hAnsi="宋体"/>
          <w:color w:val="auto"/>
          <w:sz w:val="24"/>
          <w:highlight w:val="none"/>
        </w:rPr>
      </w:pPr>
      <w:r>
        <w:rPr>
          <w:rFonts w:hint="eastAsia" w:ascii="宋体" w:hAnsi="宋体"/>
          <w:color w:val="auto"/>
          <w:sz w:val="24"/>
          <w:highlight w:val="none"/>
        </w:rPr>
        <w:t>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42854CF6">
      <w:pPr>
        <w:pStyle w:val="192"/>
        <w:keepNext w:val="0"/>
        <w:keepLines w:val="0"/>
        <w:spacing w:before="0" w:after="0" w:line="500" w:lineRule="exact"/>
        <w:ind w:firstLine="422"/>
        <w:rPr>
          <w:rFonts w:hint="eastAsia" w:ascii="宋体" w:hAnsi="宋体" w:eastAsia="宋体"/>
          <w:bCs w:val="0"/>
          <w:color w:val="auto"/>
          <w:highlight w:val="none"/>
        </w:rPr>
      </w:pPr>
      <w:bookmarkStart w:id="66" w:name="_Toc20823283"/>
      <w:bookmarkStart w:id="67" w:name="_Toc16938527"/>
      <w:bookmarkStart w:id="68" w:name="_Toc462564070"/>
      <w:bookmarkStart w:id="69" w:name="_Toc513029211"/>
      <w:r>
        <w:rPr>
          <w:rFonts w:hint="eastAsia" w:ascii="宋体" w:hAnsi="宋体" w:eastAsia="宋体"/>
          <w:bCs w:val="0"/>
          <w:color w:val="auto"/>
          <w:highlight w:val="none"/>
        </w:rPr>
        <w:t>7.采购文件的澄清</w:t>
      </w:r>
      <w:bookmarkEnd w:id="66"/>
      <w:bookmarkEnd w:id="67"/>
      <w:bookmarkEnd w:id="68"/>
      <w:bookmarkEnd w:id="69"/>
    </w:p>
    <w:p w14:paraId="27ABA2AC">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7.1</w:t>
      </w:r>
      <w:r>
        <w:rPr>
          <w:rFonts w:hint="eastAsia" w:ascii="宋体" w:hAnsi="宋体"/>
          <w:bCs/>
          <w:color w:val="auto"/>
          <w:sz w:val="24"/>
          <w:szCs w:val="24"/>
          <w:highlight w:val="none"/>
        </w:rPr>
        <w:t>供应商如果要求对采购文件进行澄清的，应在提交响应文件截止时间（以下简称截止时间）前及时通知采购代理机构。</w:t>
      </w:r>
    </w:p>
    <w:p w14:paraId="24B8583B">
      <w:pPr>
        <w:pStyle w:val="192"/>
        <w:keepNext w:val="0"/>
        <w:keepLines w:val="0"/>
        <w:spacing w:before="0" w:after="0" w:line="500" w:lineRule="exact"/>
        <w:ind w:firstLine="422"/>
        <w:rPr>
          <w:rFonts w:hint="eastAsia" w:ascii="宋体" w:hAnsi="宋体" w:eastAsia="宋体"/>
          <w:bCs w:val="0"/>
          <w:color w:val="auto"/>
          <w:highlight w:val="none"/>
        </w:rPr>
      </w:pPr>
      <w:bookmarkStart w:id="70" w:name="_Toc462564071"/>
      <w:bookmarkStart w:id="71" w:name="_Toc20823284"/>
      <w:bookmarkStart w:id="72" w:name="_Toc513029212"/>
      <w:bookmarkStart w:id="73" w:name="_Toc16938528"/>
      <w:r>
        <w:rPr>
          <w:rFonts w:hint="eastAsia" w:ascii="宋体" w:hAnsi="宋体" w:eastAsia="宋体"/>
          <w:bCs w:val="0"/>
          <w:color w:val="auto"/>
          <w:highlight w:val="none"/>
        </w:rPr>
        <w:t>8.采购文件的修改</w:t>
      </w:r>
      <w:bookmarkEnd w:id="70"/>
      <w:bookmarkEnd w:id="71"/>
      <w:bookmarkEnd w:id="72"/>
      <w:bookmarkEnd w:id="73"/>
    </w:p>
    <w:p w14:paraId="405B019C">
      <w:pPr>
        <w:spacing w:line="500" w:lineRule="exact"/>
        <w:ind w:firstLine="480"/>
        <w:rPr>
          <w:rFonts w:hint="eastAsia" w:ascii="宋体" w:hAnsi="宋体"/>
          <w:color w:val="auto"/>
          <w:sz w:val="24"/>
          <w:highlight w:val="none"/>
        </w:rPr>
      </w:pPr>
      <w:r>
        <w:rPr>
          <w:rFonts w:hint="eastAsia" w:ascii="宋体" w:hAnsi="宋体"/>
          <w:color w:val="auto"/>
          <w:sz w:val="24"/>
          <w:highlight w:val="none"/>
        </w:rPr>
        <w:t>8.1在截止时间前，采购代理机构可以以补充文件的方式对采购文件进行修改。</w:t>
      </w:r>
    </w:p>
    <w:p w14:paraId="05480E74">
      <w:pPr>
        <w:spacing w:line="500" w:lineRule="exact"/>
        <w:ind w:firstLine="480"/>
        <w:rPr>
          <w:rFonts w:hint="eastAsia" w:ascii="宋体" w:hAnsi="宋体"/>
          <w:color w:val="auto"/>
          <w:sz w:val="24"/>
          <w:highlight w:val="none"/>
        </w:rPr>
      </w:pPr>
      <w:r>
        <w:rPr>
          <w:rFonts w:hint="eastAsia" w:ascii="宋体" w:hAnsi="宋体"/>
          <w:color w:val="auto"/>
          <w:sz w:val="24"/>
          <w:highlight w:val="none"/>
        </w:rPr>
        <w:t>8.2采购代理机构有权按照政府采购的有关要求推迟截止时间。</w:t>
      </w:r>
    </w:p>
    <w:p w14:paraId="27979924">
      <w:pPr>
        <w:spacing w:line="500" w:lineRule="exact"/>
        <w:ind w:firstLine="480"/>
        <w:rPr>
          <w:rFonts w:hint="eastAsia" w:ascii="宋体" w:hAnsi="宋体"/>
          <w:color w:val="auto"/>
          <w:sz w:val="24"/>
          <w:highlight w:val="none"/>
        </w:rPr>
      </w:pPr>
      <w:r>
        <w:rPr>
          <w:rFonts w:hint="eastAsia" w:ascii="宋体" w:hAnsi="宋体"/>
          <w:color w:val="auto"/>
          <w:sz w:val="24"/>
          <w:highlight w:val="none"/>
        </w:rPr>
        <w:t>8.3采购文件的补充文件将作为采购文件的组成部分，并对供应商具有约束力。</w:t>
      </w:r>
    </w:p>
    <w:p w14:paraId="15B2E153">
      <w:pPr>
        <w:pStyle w:val="191"/>
        <w:keepNext w:val="0"/>
        <w:keepLines w:val="0"/>
        <w:spacing w:before="0" w:after="0" w:line="500" w:lineRule="exact"/>
        <w:ind w:firstLine="452"/>
        <w:rPr>
          <w:rFonts w:hint="eastAsia"/>
          <w:color w:val="auto"/>
          <w:sz w:val="30"/>
          <w:szCs w:val="30"/>
          <w:highlight w:val="none"/>
        </w:rPr>
      </w:pPr>
      <w:bookmarkStart w:id="74" w:name="_Toc20823285"/>
      <w:bookmarkStart w:id="75" w:name="_Toc120614216"/>
      <w:bookmarkStart w:id="76" w:name="_Toc513029213"/>
      <w:bookmarkStart w:id="77" w:name="_Toc16938529"/>
      <w:bookmarkStart w:id="78" w:name="_Toc462564072"/>
      <w:r>
        <w:rPr>
          <w:rFonts w:hint="eastAsia"/>
          <w:color w:val="auto"/>
          <w:sz w:val="30"/>
          <w:szCs w:val="30"/>
          <w:highlight w:val="none"/>
        </w:rPr>
        <w:t>三、响应文件的编制</w:t>
      </w:r>
      <w:bookmarkEnd w:id="74"/>
      <w:bookmarkEnd w:id="75"/>
      <w:bookmarkEnd w:id="76"/>
      <w:bookmarkEnd w:id="77"/>
      <w:bookmarkEnd w:id="78"/>
    </w:p>
    <w:p w14:paraId="1C34096B">
      <w:pPr>
        <w:pStyle w:val="192"/>
        <w:keepNext w:val="0"/>
        <w:keepLines w:val="0"/>
        <w:spacing w:before="0" w:after="0" w:line="500" w:lineRule="exact"/>
        <w:ind w:firstLine="422"/>
        <w:rPr>
          <w:rFonts w:hint="eastAsia" w:ascii="宋体" w:hAnsi="宋体" w:eastAsia="宋体"/>
          <w:bCs w:val="0"/>
          <w:color w:val="auto"/>
          <w:highlight w:val="none"/>
        </w:rPr>
      </w:pPr>
      <w:bookmarkStart w:id="79" w:name="_Toc20823286"/>
      <w:bookmarkStart w:id="80" w:name="_Toc16938530"/>
      <w:bookmarkStart w:id="81" w:name="_Toc513029214"/>
      <w:bookmarkStart w:id="82" w:name="_Toc462564073"/>
      <w:r>
        <w:rPr>
          <w:rFonts w:hint="eastAsia" w:ascii="宋体" w:hAnsi="宋体" w:eastAsia="宋体"/>
          <w:bCs w:val="0"/>
          <w:color w:val="auto"/>
          <w:highlight w:val="none"/>
        </w:rPr>
        <w:t>9.响应文件的语言及度量衡单位</w:t>
      </w:r>
      <w:bookmarkEnd w:id="79"/>
      <w:bookmarkEnd w:id="80"/>
      <w:bookmarkEnd w:id="81"/>
      <w:bookmarkEnd w:id="82"/>
    </w:p>
    <w:p w14:paraId="27F5C4AE">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供应商提交的响应文件以及供应商与采购代理机构就有关采购活动的所有来往通知、函件和文件均应使用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4A210FE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除技术性能另有规定外，响应文件所使用的度量衡单位，均须采用国家法定计量单位。</w:t>
      </w:r>
    </w:p>
    <w:p w14:paraId="6BB1DD44">
      <w:pPr>
        <w:pStyle w:val="192"/>
        <w:keepNext w:val="0"/>
        <w:keepLines w:val="0"/>
        <w:spacing w:before="0" w:after="0" w:line="500" w:lineRule="exact"/>
        <w:ind w:firstLine="422"/>
        <w:rPr>
          <w:rFonts w:hint="eastAsia" w:ascii="宋体" w:hAnsi="宋体" w:eastAsia="宋体"/>
          <w:bCs w:val="0"/>
          <w:color w:val="auto"/>
          <w:highlight w:val="none"/>
        </w:rPr>
      </w:pPr>
      <w:bookmarkStart w:id="83" w:name="_Toc513029215"/>
      <w:bookmarkStart w:id="84" w:name="_Toc20823287"/>
      <w:bookmarkStart w:id="85" w:name="_Toc16938531"/>
      <w:bookmarkStart w:id="86" w:name="_Toc462564074"/>
      <w:r>
        <w:rPr>
          <w:rFonts w:hint="eastAsia" w:ascii="宋体" w:hAnsi="宋体" w:eastAsia="宋体"/>
          <w:bCs w:val="0"/>
          <w:color w:val="auto"/>
          <w:highlight w:val="none"/>
        </w:rPr>
        <w:t>10.响应文件构成</w:t>
      </w:r>
      <w:bookmarkEnd w:id="83"/>
      <w:bookmarkEnd w:id="84"/>
      <w:bookmarkEnd w:id="85"/>
      <w:bookmarkEnd w:id="86"/>
    </w:p>
    <w:p w14:paraId="34EA98D4">
      <w:pPr>
        <w:spacing w:line="500" w:lineRule="exact"/>
        <w:ind w:firstLine="480"/>
        <w:rPr>
          <w:rFonts w:ascii="宋体" w:hAnsi="宋体"/>
          <w:color w:val="auto"/>
          <w:sz w:val="24"/>
          <w:highlight w:val="none"/>
        </w:rPr>
      </w:pPr>
      <w:r>
        <w:rPr>
          <w:rFonts w:hint="eastAsia" w:ascii="宋体" w:hAnsi="宋体"/>
          <w:color w:val="auto"/>
          <w:sz w:val="24"/>
          <w:highlight w:val="none"/>
        </w:rPr>
        <w:t>10.1供应商编写的响应文件应包括资格证明文件、符合性证明文件（响应函、承诺书、报价表、《采购需求》中如有要求须提供的证明文件等）、其他证明文件（如供应商认为应附的文件）等内容。</w:t>
      </w:r>
    </w:p>
    <w:p w14:paraId="16250050">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10.2供应商所</w:t>
      </w:r>
      <w:r>
        <w:rPr>
          <w:rFonts w:hint="eastAsia" w:ascii="宋体" w:hAnsi="宋体"/>
          <w:color w:val="auto"/>
          <w:sz w:val="24"/>
          <w:highlight w:val="none"/>
          <w:lang w:eastAsia="zh-CN"/>
        </w:rPr>
        <w:t>需</w:t>
      </w:r>
      <w:r>
        <w:rPr>
          <w:rFonts w:hint="eastAsia" w:ascii="宋体" w:hAnsi="宋体"/>
          <w:color w:val="auto"/>
          <w:sz w:val="24"/>
          <w:highlight w:val="none"/>
        </w:rPr>
        <w:t>提供的相关证明文件和要求以及响应文件的部分格式要求，详见第五章《响应文件内容与格式》。</w:t>
      </w:r>
    </w:p>
    <w:p w14:paraId="3D37D646">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10.3如标书制作工具中格式和内容与采购文件不一致的，请以采购文件为准。</w:t>
      </w:r>
    </w:p>
    <w:p w14:paraId="31DC4626">
      <w:pPr>
        <w:pStyle w:val="192"/>
        <w:keepNext w:val="0"/>
        <w:keepLines w:val="0"/>
        <w:spacing w:before="0" w:after="0" w:line="500" w:lineRule="exact"/>
        <w:ind w:firstLine="422"/>
        <w:rPr>
          <w:rFonts w:hint="eastAsia" w:ascii="宋体" w:hAnsi="宋体" w:eastAsia="宋体"/>
          <w:bCs w:val="0"/>
          <w:color w:val="auto"/>
          <w:highlight w:val="none"/>
        </w:rPr>
      </w:pPr>
      <w:bookmarkStart w:id="87" w:name="_Hlt26954838"/>
      <w:bookmarkEnd w:id="87"/>
      <w:bookmarkStart w:id="88" w:name="_Hlt26668975"/>
      <w:bookmarkEnd w:id="88"/>
      <w:bookmarkStart w:id="89" w:name="_Hlt26670360"/>
      <w:bookmarkEnd w:id="89"/>
      <w:bookmarkStart w:id="90" w:name="_Toc14577357"/>
      <w:bookmarkStart w:id="91" w:name="_Toc513029219"/>
      <w:bookmarkStart w:id="92" w:name="_Toc49090509"/>
      <w:bookmarkStart w:id="93" w:name="_Toc513029216"/>
      <w:bookmarkStart w:id="94" w:name="_Toc14577354"/>
      <w:bookmarkStart w:id="95" w:name="_Toc49090507"/>
      <w:r>
        <w:rPr>
          <w:rFonts w:hint="eastAsia" w:ascii="宋体" w:hAnsi="宋体" w:eastAsia="宋体"/>
          <w:bCs w:val="0"/>
          <w:color w:val="auto"/>
          <w:highlight w:val="none"/>
        </w:rPr>
        <w:t>11.</w:t>
      </w:r>
      <w:bookmarkEnd w:id="90"/>
      <w:bookmarkEnd w:id="91"/>
      <w:bookmarkEnd w:id="92"/>
      <w:r>
        <w:rPr>
          <w:rFonts w:hint="eastAsia" w:ascii="宋体" w:hAnsi="宋体" w:eastAsia="宋体"/>
          <w:bCs w:val="0"/>
          <w:color w:val="auto"/>
          <w:highlight w:val="none"/>
        </w:rPr>
        <w:t>证明供应商及响应标的符合采购文件规定的文件</w:t>
      </w:r>
      <w:bookmarkEnd w:id="93"/>
      <w:bookmarkEnd w:id="94"/>
      <w:bookmarkEnd w:id="95"/>
    </w:p>
    <w:p w14:paraId="2E045CA0">
      <w:pPr>
        <w:spacing w:line="500" w:lineRule="exact"/>
        <w:ind w:firstLine="480"/>
        <w:rPr>
          <w:rFonts w:hint="eastAsia" w:ascii="宋体" w:hAnsi="宋体"/>
          <w:bCs/>
          <w:color w:val="auto"/>
          <w:sz w:val="24"/>
          <w:highlight w:val="none"/>
        </w:rPr>
      </w:pPr>
      <w:bookmarkStart w:id="96" w:name="_Toc14577355"/>
      <w:bookmarkStart w:id="97" w:name="_Toc49090508"/>
      <w:r>
        <w:rPr>
          <w:rFonts w:hint="eastAsia" w:ascii="宋体" w:hAnsi="宋体"/>
          <w:bCs/>
          <w:color w:val="auto"/>
          <w:sz w:val="24"/>
          <w:highlight w:val="none"/>
        </w:rPr>
        <w:t>11.1供应商应按照法律法规、规章和规范性文件以及采购文件要求提交证明文件，证明</w:t>
      </w:r>
      <w:r>
        <w:rPr>
          <w:rFonts w:hint="eastAsia" w:ascii="宋体" w:hAnsi="宋体"/>
          <w:bCs/>
          <w:color w:val="auto"/>
          <w:sz w:val="24"/>
          <w:highlight w:val="none"/>
          <w:lang w:eastAsia="zh-CN"/>
        </w:rPr>
        <w:t>其</w:t>
      </w:r>
      <w:r>
        <w:rPr>
          <w:rFonts w:hint="eastAsia" w:ascii="宋体" w:hAnsi="宋体"/>
          <w:bCs/>
          <w:color w:val="auto"/>
          <w:sz w:val="24"/>
          <w:highlight w:val="none"/>
        </w:rPr>
        <w:t>响应标的符合采购文件规定。</w:t>
      </w:r>
    </w:p>
    <w:p w14:paraId="1B75C654">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11.2采购文件对证明文件无明确形式要求的，证明文件可以以文字资料、图纸和数据等形式提交。</w:t>
      </w:r>
    </w:p>
    <w:p w14:paraId="5C225DCB">
      <w:pPr>
        <w:pStyle w:val="192"/>
        <w:keepNext w:val="0"/>
        <w:keepLines w:val="0"/>
        <w:spacing w:before="0" w:after="0" w:line="500" w:lineRule="exact"/>
        <w:ind w:firstLine="422"/>
        <w:rPr>
          <w:rFonts w:hint="eastAsia" w:ascii="宋体" w:hAnsi="宋体" w:eastAsia="宋体"/>
          <w:bCs w:val="0"/>
          <w:color w:val="auto"/>
          <w:highlight w:val="none"/>
        </w:rPr>
      </w:pPr>
      <w:bookmarkStart w:id="98" w:name="_Toc14577359"/>
      <w:bookmarkStart w:id="99" w:name="_Toc49090510"/>
      <w:r>
        <w:rPr>
          <w:rFonts w:hint="eastAsia" w:ascii="宋体" w:hAnsi="宋体" w:eastAsia="宋体"/>
          <w:bCs w:val="0"/>
          <w:color w:val="auto"/>
          <w:highlight w:val="none"/>
        </w:rPr>
        <w:t>12.响应函</w:t>
      </w:r>
    </w:p>
    <w:p w14:paraId="1A89895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供应商应按照采购文件中提供的格式，完整、正确填写响应函。</w:t>
      </w:r>
      <w:bookmarkEnd w:id="98"/>
      <w:bookmarkEnd w:id="99"/>
    </w:p>
    <w:p w14:paraId="596B9F3C">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13.</w:t>
      </w:r>
      <w:bookmarkEnd w:id="96"/>
      <w:bookmarkEnd w:id="97"/>
      <w:r>
        <w:rPr>
          <w:rFonts w:hint="eastAsia" w:ascii="宋体" w:hAnsi="宋体" w:eastAsia="宋体"/>
          <w:bCs w:val="0"/>
          <w:color w:val="auto"/>
          <w:highlight w:val="none"/>
        </w:rPr>
        <w:t>承诺书</w:t>
      </w:r>
    </w:p>
    <w:p w14:paraId="4DDA1E7C">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供应商应按照采购文件中提供的格式，完整、正确填写承诺书。</w:t>
      </w:r>
    </w:p>
    <w:p w14:paraId="53507AF6">
      <w:pPr>
        <w:pStyle w:val="192"/>
        <w:keepNext w:val="0"/>
        <w:keepLines w:val="0"/>
        <w:spacing w:before="0" w:after="0" w:line="500" w:lineRule="exact"/>
        <w:ind w:firstLine="422"/>
        <w:rPr>
          <w:rFonts w:hint="eastAsia" w:ascii="宋体" w:hAnsi="宋体" w:eastAsia="宋体"/>
          <w:bCs w:val="0"/>
          <w:color w:val="auto"/>
          <w:highlight w:val="none"/>
        </w:rPr>
      </w:pPr>
      <w:bookmarkStart w:id="100" w:name="_Hlt26954842"/>
      <w:bookmarkEnd w:id="100"/>
      <w:bookmarkStart w:id="101" w:name="_Hlt26670486"/>
      <w:bookmarkEnd w:id="101"/>
      <w:bookmarkStart w:id="102" w:name="_Hlt26670482"/>
      <w:bookmarkEnd w:id="102"/>
      <w:bookmarkStart w:id="103" w:name="_Hlt26670403"/>
      <w:bookmarkEnd w:id="103"/>
      <w:bookmarkStart w:id="104" w:name="_Hlt26954731"/>
      <w:bookmarkEnd w:id="104"/>
      <w:bookmarkStart w:id="105" w:name="_Hlt26954846"/>
      <w:bookmarkEnd w:id="105"/>
      <w:bookmarkStart w:id="106" w:name="_Hlt26954844"/>
      <w:bookmarkEnd w:id="106"/>
      <w:bookmarkStart w:id="107" w:name="_Hlt26670425"/>
      <w:bookmarkEnd w:id="107"/>
      <w:bookmarkStart w:id="108" w:name="_Hlt26954848"/>
      <w:bookmarkEnd w:id="108"/>
      <w:bookmarkStart w:id="109" w:name="_Hlt26668983"/>
      <w:bookmarkEnd w:id="109"/>
      <w:r>
        <w:rPr>
          <w:rFonts w:hint="eastAsia" w:ascii="宋体" w:hAnsi="宋体" w:eastAsia="宋体"/>
          <w:bCs w:val="0"/>
          <w:color w:val="auto"/>
          <w:highlight w:val="none"/>
        </w:rPr>
        <w:t>14.报价表</w:t>
      </w:r>
    </w:p>
    <w:p w14:paraId="4EA544E6">
      <w:pPr>
        <w:tabs>
          <w:tab w:val="left" w:pos="1035"/>
        </w:tabs>
        <w:spacing w:line="500" w:lineRule="exact"/>
        <w:ind w:firstLine="480"/>
        <w:rPr>
          <w:rFonts w:hint="eastAsia" w:ascii="宋体" w:hAnsi="Arial" w:cs="宋体"/>
          <w:color w:val="auto"/>
          <w:sz w:val="24"/>
          <w:highlight w:val="none"/>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1供应商应按照采购文件规定格式填报报价表。</w:t>
      </w:r>
    </w:p>
    <w:p w14:paraId="1A59D3F2">
      <w:pPr>
        <w:tabs>
          <w:tab w:val="left" w:pos="1035"/>
        </w:tabs>
        <w:spacing w:line="500" w:lineRule="exact"/>
        <w:ind w:firstLine="480"/>
        <w:rPr>
          <w:rFonts w:ascii="宋体" w:hAnsi="Arial" w:cs="宋体"/>
          <w:color w:val="auto"/>
          <w:sz w:val="24"/>
          <w:highlight w:val="none"/>
        </w:rPr>
      </w:pPr>
      <w:r>
        <w:rPr>
          <w:rFonts w:hint="eastAsia" w:ascii="宋体" w:hAnsi="Arial" w:cs="宋体"/>
          <w:color w:val="auto"/>
          <w:sz w:val="24"/>
          <w:highlight w:val="none"/>
        </w:rPr>
        <w:t>14.2报价货币。响应文件中的单价和总价无特殊规定的采用人民币报价，以</w:t>
      </w:r>
      <w:r>
        <w:rPr>
          <w:rFonts w:hint="eastAsia" w:ascii="宋体" w:hAnsi="宋体"/>
          <w:bCs/>
          <w:color w:val="auto"/>
          <w:sz w:val="24"/>
          <w:highlight w:val="none"/>
        </w:rPr>
        <w:t>“元”</w:t>
      </w:r>
      <w:r>
        <w:rPr>
          <w:rFonts w:hint="eastAsia" w:ascii="宋体" w:hAnsi="Arial" w:cs="宋体"/>
          <w:color w:val="auto"/>
          <w:sz w:val="24"/>
          <w:highlight w:val="none"/>
        </w:rPr>
        <w:t>为单位标注。采购文件中另有规定的按规定执行。</w:t>
      </w:r>
    </w:p>
    <w:p w14:paraId="353C7488">
      <w:pPr>
        <w:pStyle w:val="192"/>
        <w:keepNext w:val="0"/>
        <w:keepLines w:val="0"/>
        <w:spacing w:before="0" w:after="0" w:line="500" w:lineRule="exact"/>
        <w:ind w:firstLine="422"/>
        <w:rPr>
          <w:rFonts w:hint="eastAsia" w:ascii="宋体" w:hAnsi="宋体" w:eastAsia="宋体"/>
          <w:bCs w:val="0"/>
          <w:color w:val="auto"/>
          <w:highlight w:val="none"/>
        </w:rPr>
      </w:pPr>
      <w:bookmarkStart w:id="110" w:name="_Hlt26954734"/>
      <w:bookmarkEnd w:id="110"/>
      <w:bookmarkStart w:id="111" w:name="_Hlt26954850"/>
      <w:bookmarkEnd w:id="111"/>
      <w:bookmarkStart w:id="112" w:name="_Hlt26670489"/>
      <w:bookmarkEnd w:id="112"/>
      <w:bookmarkStart w:id="113" w:name="_Toc49090511"/>
      <w:bookmarkStart w:id="114" w:name="_Toc14577360"/>
      <w:r>
        <w:rPr>
          <w:rFonts w:hint="eastAsia" w:ascii="宋体" w:hAnsi="宋体" w:eastAsia="宋体"/>
          <w:bCs w:val="0"/>
          <w:color w:val="auto"/>
          <w:highlight w:val="none"/>
        </w:rPr>
        <w:t>15.单一来源采购有效期</w:t>
      </w:r>
      <w:bookmarkEnd w:id="113"/>
      <w:bookmarkEnd w:id="114"/>
    </w:p>
    <w:p w14:paraId="087C409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单一来源采购有效期为采购文件规定的提交响应文件截止之日后</w:t>
      </w:r>
      <w:r>
        <w:rPr>
          <w:rFonts w:hint="eastAsia" w:ascii="宋体" w:hAnsi="宋体"/>
          <w:color w:val="auto"/>
          <w:sz w:val="24"/>
          <w:highlight w:val="none"/>
        </w:rPr>
        <w:t>九十（90）天</w:t>
      </w:r>
      <w:r>
        <w:rPr>
          <w:rFonts w:hint="eastAsia" w:ascii="宋体" w:hAnsi="宋体"/>
          <w:bCs/>
          <w:color w:val="auto"/>
          <w:sz w:val="24"/>
          <w:highlight w:val="none"/>
        </w:rPr>
        <w:t>。有效期比规定短的将被视为未实质性响应采购</w:t>
      </w:r>
      <w:r>
        <w:rPr>
          <w:rFonts w:ascii="宋体" w:hAnsi="宋体"/>
          <w:bCs/>
          <w:color w:val="auto"/>
          <w:sz w:val="24"/>
          <w:highlight w:val="none"/>
        </w:rPr>
        <w:t>文件</w:t>
      </w:r>
      <w:r>
        <w:rPr>
          <w:rFonts w:hint="eastAsia" w:ascii="宋体" w:hAnsi="宋体"/>
          <w:bCs/>
          <w:color w:val="auto"/>
          <w:sz w:val="24"/>
          <w:highlight w:val="none"/>
        </w:rPr>
        <w:t>而予以拒绝。</w:t>
      </w:r>
    </w:p>
    <w:p w14:paraId="7F47979B">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16.有效期的延长</w:t>
      </w:r>
    </w:p>
    <w:p w14:paraId="7409AF38">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在特殊情况下，采购代理机构于原有效期满之前，可向供应商提出延长有效期的要求。这种要求与答复均应采用书面形式。供应商可以拒绝采购代理机构的这一要求而放弃单一来源采购活动</w:t>
      </w:r>
      <w:r>
        <w:rPr>
          <w:rFonts w:hint="eastAsia" w:ascii="宋体" w:hAnsi="宋体"/>
          <w:color w:val="auto"/>
          <w:sz w:val="24"/>
          <w:szCs w:val="24"/>
          <w:highlight w:val="none"/>
        </w:rPr>
        <w:t>。</w:t>
      </w:r>
      <w:r>
        <w:rPr>
          <w:rFonts w:hint="eastAsia" w:ascii="宋体" w:hAnsi="宋体"/>
          <w:bCs/>
          <w:color w:val="auto"/>
          <w:sz w:val="24"/>
          <w:highlight w:val="none"/>
        </w:rPr>
        <w:t>同意延长有效期的供应商既不能要求也不允许修改其响应文件</w:t>
      </w:r>
      <w:r>
        <w:rPr>
          <w:rFonts w:hint="eastAsia" w:ascii="宋体" w:hAnsi="宋体"/>
          <w:color w:val="auto"/>
          <w:sz w:val="24"/>
          <w:szCs w:val="24"/>
          <w:highlight w:val="none"/>
        </w:rPr>
        <w:t>，同时受有效期约束的所有权利与义务均延长至新的有效期</w:t>
      </w:r>
      <w:r>
        <w:rPr>
          <w:rFonts w:hint="eastAsia" w:ascii="宋体" w:hAnsi="宋体"/>
          <w:bCs/>
          <w:color w:val="auto"/>
          <w:sz w:val="24"/>
          <w:highlight w:val="none"/>
        </w:rPr>
        <w:t>。</w:t>
      </w:r>
    </w:p>
    <w:p w14:paraId="3A6D07AE">
      <w:pPr>
        <w:pStyle w:val="191"/>
        <w:keepNext w:val="0"/>
        <w:keepLines w:val="0"/>
        <w:spacing w:before="0" w:after="0" w:line="500" w:lineRule="exact"/>
        <w:ind w:firstLine="452"/>
        <w:rPr>
          <w:rFonts w:hint="eastAsia"/>
          <w:color w:val="auto"/>
          <w:sz w:val="30"/>
          <w:szCs w:val="30"/>
          <w:highlight w:val="none"/>
        </w:rPr>
      </w:pPr>
      <w:bookmarkStart w:id="115" w:name="_Hlt26954739"/>
      <w:bookmarkEnd w:id="115"/>
      <w:bookmarkStart w:id="116" w:name="_Hlt26954852"/>
      <w:bookmarkEnd w:id="116"/>
      <w:bookmarkStart w:id="117" w:name="_Toc120614217"/>
      <w:bookmarkStart w:id="118" w:name="_Toc513029224"/>
      <w:bookmarkStart w:id="119" w:name="_Toc16938540"/>
      <w:bookmarkStart w:id="120" w:name="_Toc20823296"/>
      <w:r>
        <w:rPr>
          <w:rFonts w:hint="eastAsia"/>
          <w:color w:val="auto"/>
          <w:sz w:val="30"/>
          <w:szCs w:val="30"/>
          <w:highlight w:val="none"/>
        </w:rPr>
        <w:t>四、响应文件的递交</w:t>
      </w:r>
      <w:bookmarkEnd w:id="117"/>
      <w:bookmarkEnd w:id="118"/>
      <w:bookmarkEnd w:id="119"/>
      <w:bookmarkEnd w:id="120"/>
    </w:p>
    <w:p w14:paraId="2C096CDD">
      <w:pPr>
        <w:pStyle w:val="192"/>
        <w:keepNext w:val="0"/>
        <w:keepLines w:val="0"/>
        <w:spacing w:before="0" w:after="0" w:line="500" w:lineRule="exact"/>
        <w:ind w:firstLine="422"/>
        <w:rPr>
          <w:rFonts w:hint="eastAsia" w:ascii="宋体" w:hAnsi="宋体" w:eastAsia="宋体"/>
          <w:bCs w:val="0"/>
          <w:color w:val="auto"/>
          <w:highlight w:val="none"/>
        </w:rPr>
      </w:pPr>
      <w:bookmarkStart w:id="121" w:name="_Toc462564084"/>
      <w:bookmarkStart w:id="122" w:name="_Toc513029225"/>
      <w:bookmarkStart w:id="123" w:name="_Toc16938541"/>
      <w:bookmarkStart w:id="124" w:name="_Toc20823297"/>
      <w:r>
        <w:rPr>
          <w:rFonts w:hint="eastAsia" w:ascii="宋体" w:hAnsi="宋体" w:eastAsia="宋体"/>
          <w:bCs w:val="0"/>
          <w:color w:val="auto"/>
          <w:highlight w:val="none"/>
        </w:rPr>
        <w:t>17.响应文件</w:t>
      </w:r>
      <w:bookmarkEnd w:id="121"/>
      <w:bookmarkEnd w:id="122"/>
      <w:bookmarkEnd w:id="123"/>
      <w:bookmarkEnd w:id="124"/>
      <w:r>
        <w:rPr>
          <w:rFonts w:hint="eastAsia" w:ascii="宋体" w:hAnsi="宋体" w:eastAsia="宋体"/>
          <w:bCs w:val="0"/>
          <w:color w:val="auto"/>
          <w:highlight w:val="none"/>
        </w:rPr>
        <w:t>的递交</w:t>
      </w:r>
    </w:p>
    <w:p w14:paraId="35B80EB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电子响应文件的递交</w:t>
      </w:r>
    </w:p>
    <w:p w14:paraId="580BF0B1">
      <w:pPr>
        <w:pStyle w:val="300"/>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供应商应当按照《操作手册》规定，在提交响应文件截止时间前</w:t>
      </w:r>
      <w:r>
        <w:rPr>
          <w:rFonts w:ascii="宋体" w:hAnsi="宋体"/>
          <w:bCs/>
          <w:color w:val="auto"/>
          <w:sz w:val="24"/>
          <w:highlight w:val="none"/>
        </w:rPr>
        <w:t>制作</w:t>
      </w:r>
      <w:r>
        <w:rPr>
          <w:rFonts w:hint="eastAsia" w:ascii="宋体" w:hAnsi="宋体"/>
          <w:bCs/>
          <w:color w:val="auto"/>
          <w:sz w:val="24"/>
          <w:highlight w:val="none"/>
        </w:rPr>
        <w:t>并上传电子响应文件。</w:t>
      </w:r>
      <w:bookmarkStart w:id="125" w:name="_Toc20823298"/>
      <w:bookmarkStart w:id="126" w:name="_Toc16938542"/>
      <w:bookmarkStart w:id="127" w:name="_Toc513029226"/>
    </w:p>
    <w:p w14:paraId="028D3C16">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18.</w:t>
      </w:r>
      <w:bookmarkEnd w:id="125"/>
      <w:bookmarkEnd w:id="126"/>
      <w:bookmarkEnd w:id="127"/>
      <w:r>
        <w:rPr>
          <w:rFonts w:hint="eastAsia" w:ascii="宋体" w:hAnsi="宋体" w:eastAsia="宋体"/>
          <w:bCs w:val="0"/>
          <w:color w:val="auto"/>
          <w:highlight w:val="none"/>
        </w:rPr>
        <w:t>提交响应文件截止时间</w:t>
      </w:r>
    </w:p>
    <w:p w14:paraId="4D512E18">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供应商上传电子响应文件的时间不得迟于单一来源采购邀请中规定的截止时间。</w:t>
      </w:r>
    </w:p>
    <w:p w14:paraId="02899B14">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供应商应</w:t>
      </w:r>
      <w:r>
        <w:rPr>
          <w:rFonts w:hint="eastAsia" w:ascii="宋体" w:hAnsi="宋体"/>
          <w:bCs/>
          <w:color w:val="auto"/>
          <w:sz w:val="24"/>
          <w:highlight w:val="none"/>
          <w:lang w:eastAsia="zh-CN"/>
        </w:rPr>
        <w:t>充分考虑</w:t>
      </w:r>
      <w:r>
        <w:rPr>
          <w:rFonts w:hint="eastAsia" w:ascii="宋体" w:hAnsi="宋体"/>
          <w:bCs/>
          <w:color w:val="auto"/>
          <w:sz w:val="24"/>
          <w:highlight w:val="none"/>
        </w:rPr>
        <w:t>网络环境、网络带宽等风险因素，如因供应商自身原因造成的电子响应文件上传不成功由供应商自行承担全部责任。</w:t>
      </w:r>
    </w:p>
    <w:p w14:paraId="491F27F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18.2采购代理机构可以按照规定，通过修改采购文件酌情延长截止时间，在此情况下，供应商的所有权利和义务以及供应商受制的截止时间以延长后新的截止时间为准。</w:t>
      </w:r>
    </w:p>
    <w:p w14:paraId="4B486200">
      <w:pPr>
        <w:pStyle w:val="192"/>
        <w:keepNext w:val="0"/>
        <w:keepLines w:val="0"/>
        <w:spacing w:before="0" w:after="0" w:line="500" w:lineRule="exact"/>
        <w:ind w:firstLine="422"/>
        <w:rPr>
          <w:rFonts w:hint="eastAsia" w:ascii="宋体" w:hAnsi="宋体" w:eastAsia="宋体"/>
          <w:bCs w:val="0"/>
          <w:color w:val="auto"/>
          <w:highlight w:val="none"/>
        </w:rPr>
      </w:pPr>
      <w:bookmarkStart w:id="128" w:name="_Toc20823299"/>
      <w:bookmarkStart w:id="129" w:name="_Toc513029227"/>
      <w:bookmarkStart w:id="130" w:name="_Toc16938543"/>
      <w:r>
        <w:rPr>
          <w:rFonts w:hint="eastAsia" w:ascii="宋体" w:hAnsi="宋体" w:eastAsia="宋体"/>
          <w:bCs w:val="0"/>
          <w:color w:val="auto"/>
          <w:highlight w:val="none"/>
        </w:rPr>
        <w:t>19.响应文件</w:t>
      </w:r>
      <w:bookmarkEnd w:id="128"/>
      <w:bookmarkEnd w:id="129"/>
      <w:bookmarkEnd w:id="130"/>
      <w:r>
        <w:rPr>
          <w:rFonts w:hint="eastAsia" w:ascii="宋体" w:hAnsi="宋体" w:eastAsia="宋体"/>
          <w:bCs w:val="0"/>
          <w:color w:val="auto"/>
          <w:highlight w:val="none"/>
        </w:rPr>
        <w:t>的拒收</w:t>
      </w:r>
    </w:p>
    <w:p w14:paraId="0E87ABC1">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19.1采购代理机构</w:t>
      </w:r>
      <w:r>
        <w:rPr>
          <w:rFonts w:hint="eastAsia" w:ascii="宋体" w:hAnsi="宋体"/>
          <w:bCs/>
          <w:color w:val="auto"/>
          <w:sz w:val="24"/>
          <w:highlight w:val="none"/>
        </w:rPr>
        <w:t>拒绝接收在其规定的提交响应文件截止时间后上传的任何响应文件。</w:t>
      </w:r>
    </w:p>
    <w:p w14:paraId="4CEB29C6">
      <w:pPr>
        <w:pStyle w:val="192"/>
        <w:keepNext w:val="0"/>
        <w:keepLines w:val="0"/>
        <w:spacing w:before="0" w:after="0" w:line="500" w:lineRule="exact"/>
        <w:ind w:firstLine="422"/>
        <w:rPr>
          <w:rFonts w:hint="eastAsia" w:ascii="宋体" w:hAnsi="宋体" w:eastAsia="宋体"/>
          <w:bCs w:val="0"/>
          <w:color w:val="auto"/>
          <w:highlight w:val="none"/>
        </w:rPr>
      </w:pPr>
      <w:bookmarkStart w:id="131" w:name="_Toc513029228"/>
      <w:bookmarkStart w:id="132" w:name="_Toc20823300"/>
      <w:bookmarkStart w:id="133" w:name="_Toc16938544"/>
      <w:r>
        <w:rPr>
          <w:rFonts w:hint="eastAsia" w:ascii="宋体" w:hAnsi="宋体" w:eastAsia="宋体"/>
          <w:bCs w:val="0"/>
          <w:color w:val="auto"/>
          <w:highlight w:val="none"/>
        </w:rPr>
        <w:t>20.响应文件的撤回和修改</w:t>
      </w:r>
      <w:bookmarkEnd w:id="131"/>
      <w:bookmarkEnd w:id="132"/>
      <w:bookmarkEnd w:id="133"/>
    </w:p>
    <w:p w14:paraId="54C5BB0F">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20.1响应文件的撤回</w:t>
      </w:r>
    </w:p>
    <w:p w14:paraId="11E19673">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20.1.1电子响应文件的撤回</w:t>
      </w:r>
    </w:p>
    <w:p w14:paraId="098D970B">
      <w:pPr>
        <w:spacing w:line="500" w:lineRule="exact"/>
        <w:ind w:firstLine="480"/>
        <w:rPr>
          <w:rFonts w:hint="eastAsia" w:ascii="宋体" w:hAnsi="宋体"/>
          <w:color w:val="auto"/>
          <w:sz w:val="24"/>
          <w:highlight w:val="none"/>
        </w:rPr>
      </w:pPr>
      <w:r>
        <w:rPr>
          <w:rFonts w:hint="eastAsia" w:ascii="宋体" w:hAnsi="宋体"/>
          <w:color w:val="auto"/>
          <w:sz w:val="24"/>
          <w:highlight w:val="none"/>
        </w:rPr>
        <w:t>供应商可在</w:t>
      </w:r>
      <w:r>
        <w:rPr>
          <w:rFonts w:hint="eastAsia" w:ascii="宋体" w:hAnsi="宋体"/>
          <w:bCs/>
          <w:color w:val="auto"/>
          <w:sz w:val="24"/>
          <w:highlight w:val="none"/>
        </w:rPr>
        <w:t>提交响应文件</w:t>
      </w:r>
      <w:r>
        <w:rPr>
          <w:rFonts w:hint="eastAsia" w:ascii="宋体" w:hAnsi="宋体"/>
          <w:color w:val="auto"/>
          <w:sz w:val="24"/>
          <w:highlight w:val="none"/>
        </w:rPr>
        <w:t>截止时间前，撤回其电子响应文件，具体操作方法见《操作手册》。</w:t>
      </w:r>
    </w:p>
    <w:p w14:paraId="565E377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供应商撤回电子响应文件，则认为其不再参与本项目采购活动。</w:t>
      </w:r>
    </w:p>
    <w:p w14:paraId="013C544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20.2响应文件的修改</w:t>
      </w:r>
    </w:p>
    <w:p w14:paraId="1D078703">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20.2.1供应商可在</w:t>
      </w:r>
      <w:r>
        <w:rPr>
          <w:rFonts w:hint="eastAsia" w:ascii="宋体" w:hAnsi="宋体"/>
          <w:bCs/>
          <w:color w:val="auto"/>
          <w:sz w:val="24"/>
          <w:highlight w:val="none"/>
        </w:rPr>
        <w:t>提交响应文件</w:t>
      </w:r>
      <w:r>
        <w:rPr>
          <w:rFonts w:hint="eastAsia" w:ascii="宋体" w:hAnsi="宋体"/>
          <w:color w:val="auto"/>
          <w:sz w:val="24"/>
          <w:highlight w:val="none"/>
        </w:rPr>
        <w:t>截止时间前，对其电子响应文件进行修改，具体操作方法见《操作手册》。</w:t>
      </w:r>
    </w:p>
    <w:p w14:paraId="5A9ED673">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在提交响应文件截止时间之后，供应商不得对其电子响应文件做任何修改。</w:t>
      </w:r>
    </w:p>
    <w:p w14:paraId="120DF811">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在提交响应文件截止时间至有效期满之间的这段时间内，供应商不得撤回其响应文件。</w:t>
      </w:r>
    </w:p>
    <w:p w14:paraId="6D6758DC">
      <w:pPr>
        <w:pStyle w:val="191"/>
        <w:keepNext w:val="0"/>
        <w:keepLines w:val="0"/>
        <w:spacing w:before="0" w:after="0" w:line="500" w:lineRule="exact"/>
        <w:ind w:firstLine="452"/>
        <w:rPr>
          <w:rFonts w:hint="eastAsia"/>
          <w:color w:val="auto"/>
          <w:sz w:val="30"/>
          <w:szCs w:val="30"/>
          <w:highlight w:val="none"/>
        </w:rPr>
      </w:pPr>
      <w:bookmarkStart w:id="134" w:name="_Toc513029229"/>
      <w:bookmarkStart w:id="135" w:name="_Toc120614218"/>
      <w:bookmarkStart w:id="136" w:name="_Toc16938545"/>
      <w:bookmarkStart w:id="137" w:name="_Toc20823301"/>
      <w:r>
        <w:rPr>
          <w:rFonts w:hint="eastAsia"/>
          <w:color w:val="auto"/>
          <w:sz w:val="30"/>
          <w:szCs w:val="30"/>
          <w:highlight w:val="none"/>
        </w:rPr>
        <w:t>五、</w:t>
      </w:r>
      <w:bookmarkEnd w:id="134"/>
      <w:bookmarkEnd w:id="135"/>
      <w:bookmarkEnd w:id="136"/>
      <w:bookmarkEnd w:id="137"/>
      <w:r>
        <w:rPr>
          <w:rFonts w:hint="eastAsia"/>
          <w:color w:val="auto"/>
          <w:sz w:val="30"/>
          <w:szCs w:val="30"/>
          <w:highlight w:val="none"/>
        </w:rPr>
        <w:t>响应文件的解密与评审</w:t>
      </w:r>
    </w:p>
    <w:p w14:paraId="03C64796">
      <w:pPr>
        <w:pStyle w:val="192"/>
        <w:keepNext w:val="0"/>
        <w:keepLines w:val="0"/>
        <w:spacing w:before="0" w:after="0" w:line="500" w:lineRule="exact"/>
        <w:ind w:firstLine="422"/>
        <w:rPr>
          <w:rFonts w:hint="eastAsia" w:ascii="宋体" w:hAnsi="宋体" w:eastAsia="宋体"/>
          <w:bCs w:val="0"/>
          <w:color w:val="auto"/>
          <w:highlight w:val="none"/>
        </w:rPr>
      </w:pPr>
      <w:bookmarkStart w:id="138" w:name="_Toc513029230"/>
      <w:bookmarkStart w:id="139" w:name="_Toc20823302"/>
      <w:bookmarkStart w:id="140" w:name="_Toc16938546"/>
      <w:r>
        <w:rPr>
          <w:rFonts w:hint="eastAsia" w:ascii="宋体" w:hAnsi="宋体" w:eastAsia="宋体"/>
          <w:bCs w:val="0"/>
          <w:color w:val="auto"/>
          <w:highlight w:val="none"/>
        </w:rPr>
        <w:t>21.</w:t>
      </w:r>
      <w:bookmarkEnd w:id="138"/>
      <w:bookmarkEnd w:id="139"/>
      <w:bookmarkEnd w:id="140"/>
      <w:r>
        <w:rPr>
          <w:rFonts w:hint="eastAsia" w:ascii="宋体" w:hAnsi="宋体" w:eastAsia="宋体"/>
          <w:bCs w:val="0"/>
          <w:color w:val="auto"/>
          <w:highlight w:val="none"/>
        </w:rPr>
        <w:t>响应文件解密</w:t>
      </w:r>
    </w:p>
    <w:p w14:paraId="191E6EBA">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21.1供应商应当按照《操作手册》规定，在</w:t>
      </w:r>
      <w:r>
        <w:rPr>
          <w:rFonts w:hint="eastAsia" w:ascii="宋体" w:hAnsi="宋体"/>
          <w:bCs/>
          <w:color w:val="auto"/>
          <w:sz w:val="24"/>
          <w:szCs w:val="24"/>
          <w:highlight w:val="none"/>
        </w:rPr>
        <w:t>“苏采云”系统</w:t>
      </w:r>
      <w:r>
        <w:rPr>
          <w:rFonts w:hint="eastAsia" w:ascii="宋体" w:hAnsi="宋体"/>
          <w:color w:val="auto"/>
          <w:sz w:val="24"/>
          <w:highlight w:val="none"/>
        </w:rPr>
        <w:t>规定的时间内对响应文件进行解密。</w:t>
      </w:r>
    </w:p>
    <w:p w14:paraId="2B8A4C09">
      <w:pPr>
        <w:pStyle w:val="192"/>
        <w:keepNext w:val="0"/>
        <w:keepLines w:val="0"/>
        <w:spacing w:before="0" w:after="0" w:line="500" w:lineRule="exact"/>
        <w:ind w:firstLine="422"/>
        <w:rPr>
          <w:rFonts w:hint="eastAsia" w:ascii="宋体" w:hAnsi="宋体" w:eastAsia="宋体"/>
          <w:bCs w:val="0"/>
          <w:color w:val="auto"/>
          <w:highlight w:val="none"/>
        </w:rPr>
      </w:pPr>
      <w:bookmarkStart w:id="141" w:name="_Toc16938547"/>
      <w:bookmarkStart w:id="142" w:name="_Toc20823303"/>
      <w:bookmarkStart w:id="143" w:name="_Toc513029231"/>
      <w:r>
        <w:rPr>
          <w:rFonts w:hint="eastAsia" w:ascii="宋体" w:hAnsi="宋体" w:eastAsia="宋体"/>
          <w:bCs w:val="0"/>
          <w:color w:val="auto"/>
          <w:highlight w:val="none"/>
        </w:rPr>
        <w:t>22.单一来源采购人员</w:t>
      </w:r>
    </w:p>
    <w:p w14:paraId="7ACE711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22.1单一来源采购人员（以下简称采购小组）由政府采购评审专家、采购人代表组成，且人员构成符合政府采购有关规定。</w:t>
      </w:r>
    </w:p>
    <w:p w14:paraId="21F5CB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22.2采购小组应当按照客观、公正、审慎的原则评审供应商的响应文件，并与</w:t>
      </w:r>
      <w:r>
        <w:rPr>
          <w:rFonts w:hint="eastAsia" w:ascii="宋体" w:hAnsi="宋体"/>
          <w:bCs/>
          <w:color w:val="auto"/>
          <w:sz w:val="24"/>
          <w:highlight w:val="none"/>
        </w:rPr>
        <w:t>供应商协商采购标的的价格</w:t>
      </w:r>
      <w:r>
        <w:rPr>
          <w:rFonts w:hint="eastAsia" w:ascii="宋体" w:hAnsi="宋体"/>
          <w:color w:val="auto"/>
          <w:sz w:val="24"/>
          <w:szCs w:val="24"/>
          <w:highlight w:val="none"/>
        </w:rPr>
        <w:t>。</w:t>
      </w:r>
    </w:p>
    <w:p w14:paraId="00220B43">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23.单一来源协商过程的保密与公正</w:t>
      </w:r>
      <w:bookmarkEnd w:id="141"/>
      <w:bookmarkEnd w:id="142"/>
      <w:bookmarkEnd w:id="143"/>
    </w:p>
    <w:p w14:paraId="54AE0D5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23.1采购小组</w:t>
      </w:r>
      <w:r>
        <w:rPr>
          <w:rFonts w:ascii="宋体" w:hAnsi="宋体"/>
          <w:bCs/>
          <w:color w:val="auto"/>
          <w:sz w:val="24"/>
          <w:highlight w:val="none"/>
        </w:rPr>
        <w:t>、采购人和</w:t>
      </w:r>
      <w:r>
        <w:rPr>
          <w:rFonts w:hint="eastAsia" w:ascii="宋体" w:hAnsi="宋体"/>
          <w:bCs/>
          <w:color w:val="auto"/>
          <w:sz w:val="24"/>
          <w:highlight w:val="none"/>
        </w:rPr>
        <w:t>采购代理机构</w:t>
      </w:r>
      <w:r>
        <w:rPr>
          <w:rFonts w:ascii="宋体" w:hAnsi="宋体"/>
          <w:bCs/>
          <w:color w:val="auto"/>
          <w:sz w:val="24"/>
          <w:highlight w:val="none"/>
        </w:rPr>
        <w:t>、相关监督人员等与评审工作有关的人员，对评审</w:t>
      </w:r>
      <w:r>
        <w:rPr>
          <w:rFonts w:hint="eastAsia" w:ascii="宋体" w:hAnsi="宋体"/>
          <w:bCs/>
          <w:color w:val="auto"/>
          <w:sz w:val="24"/>
          <w:highlight w:val="none"/>
        </w:rPr>
        <w:t>、单一来源协商</w:t>
      </w:r>
      <w:r>
        <w:rPr>
          <w:rFonts w:ascii="宋体" w:hAnsi="宋体"/>
          <w:bCs/>
          <w:color w:val="auto"/>
          <w:sz w:val="24"/>
          <w:highlight w:val="none"/>
        </w:rPr>
        <w:t>情况以及在评审</w:t>
      </w:r>
      <w:r>
        <w:rPr>
          <w:rFonts w:hint="eastAsia" w:ascii="宋体" w:hAnsi="宋体"/>
          <w:bCs/>
          <w:color w:val="auto"/>
          <w:sz w:val="24"/>
          <w:highlight w:val="none"/>
        </w:rPr>
        <w:t>、单一来源协商</w:t>
      </w:r>
      <w:r>
        <w:rPr>
          <w:rFonts w:ascii="宋体" w:hAnsi="宋体"/>
          <w:bCs/>
          <w:color w:val="auto"/>
          <w:sz w:val="24"/>
          <w:highlight w:val="none"/>
        </w:rPr>
        <w:t>过程</w:t>
      </w:r>
      <w:r>
        <w:rPr>
          <w:rFonts w:hint="eastAsia" w:ascii="宋体" w:hAnsi="宋体"/>
          <w:bCs/>
          <w:color w:val="auto"/>
          <w:sz w:val="24"/>
          <w:highlight w:val="none"/>
        </w:rPr>
        <w:t>（以下简称协商过程）</w:t>
      </w:r>
      <w:r>
        <w:rPr>
          <w:rFonts w:ascii="宋体" w:hAnsi="宋体"/>
          <w:bCs/>
          <w:color w:val="auto"/>
          <w:sz w:val="24"/>
          <w:highlight w:val="none"/>
        </w:rPr>
        <w:t>中获悉的国家秘密、商业秘密负有保密责任。</w:t>
      </w:r>
    </w:p>
    <w:p w14:paraId="52C30FF5">
      <w:pPr>
        <w:spacing w:line="50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在评审及协商过程中，供应商不得以任何行为影响评审及协商过程，否则其响应文件将被作为无效响应文件。</w:t>
      </w:r>
    </w:p>
    <w:p w14:paraId="4AA5C68D">
      <w:pPr>
        <w:pStyle w:val="192"/>
        <w:keepNext w:val="0"/>
        <w:keepLines w:val="0"/>
        <w:spacing w:before="0" w:after="0" w:line="500" w:lineRule="exact"/>
        <w:ind w:firstLine="422"/>
        <w:rPr>
          <w:rFonts w:hint="eastAsia" w:ascii="宋体" w:hAnsi="宋体" w:eastAsia="宋体"/>
          <w:bCs w:val="0"/>
          <w:color w:val="auto"/>
          <w:highlight w:val="none"/>
        </w:rPr>
      </w:pPr>
      <w:bookmarkStart w:id="144" w:name="_Toc513029232"/>
      <w:bookmarkStart w:id="145" w:name="_Toc16938548"/>
      <w:bookmarkStart w:id="146" w:name="_Toc20823304"/>
      <w:r>
        <w:rPr>
          <w:rFonts w:hint="eastAsia" w:ascii="宋体" w:hAnsi="宋体" w:eastAsia="宋体"/>
          <w:bCs w:val="0"/>
          <w:color w:val="auto"/>
          <w:highlight w:val="none"/>
        </w:rPr>
        <w:t>24.评审及协商过程中的澄清</w:t>
      </w:r>
      <w:bookmarkEnd w:id="144"/>
      <w:bookmarkEnd w:id="145"/>
      <w:bookmarkEnd w:id="146"/>
    </w:p>
    <w:p w14:paraId="3A7A7F87">
      <w:pPr>
        <w:spacing w:line="500" w:lineRule="exact"/>
        <w:ind w:firstLine="480"/>
        <w:rPr>
          <w:rFonts w:ascii="宋体" w:hAnsi="宋体"/>
          <w:color w:val="auto"/>
          <w:sz w:val="24"/>
          <w:szCs w:val="24"/>
          <w:highlight w:val="none"/>
        </w:rPr>
      </w:pPr>
      <w:r>
        <w:rPr>
          <w:rFonts w:hint="eastAsia" w:ascii="宋体" w:hAnsi="宋体" w:cs="宋体"/>
          <w:color w:val="auto"/>
          <w:sz w:val="24"/>
          <w:szCs w:val="24"/>
          <w:highlight w:val="none"/>
        </w:rPr>
        <w:t>24.1项目评审及协商过程中，采购小组有权要求供应商对响应文件中含义不明确、同类问题表述不一致或者有明显文字和计算错误的内容等作出必要的澄清、说明或者更正。</w:t>
      </w:r>
    </w:p>
    <w:p w14:paraId="7603273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24.2需要供应商进行澄清、说明和补正的，采购小组将通过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向供应商发出“澄清要求函”，接到“澄清要求函”的供应商应当按照要求在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中提交“澄清响应函”并加盖CA电子公章。澄清、说明和补正的内容作为响应文件的补充部分，具体操作方式见《操作手册》。</w:t>
      </w:r>
    </w:p>
    <w:p w14:paraId="4E7EBF0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24.3接到采购小组澄清、说明和补正要求的供应商如未按规定及时作出澄清、说明和补正，其风险由供应商自行承担。</w:t>
      </w:r>
    </w:p>
    <w:p w14:paraId="13ED0465">
      <w:pPr>
        <w:pStyle w:val="192"/>
        <w:keepNext w:val="0"/>
        <w:keepLines w:val="0"/>
        <w:spacing w:before="0" w:after="0" w:line="500" w:lineRule="exact"/>
        <w:ind w:firstLine="422"/>
        <w:rPr>
          <w:rFonts w:hint="eastAsia" w:ascii="宋体" w:hAnsi="宋体" w:eastAsia="宋体"/>
          <w:bCs w:val="0"/>
          <w:color w:val="auto"/>
          <w:highlight w:val="none"/>
        </w:rPr>
      </w:pPr>
      <w:bookmarkStart w:id="147" w:name="_Toc16938549"/>
      <w:bookmarkStart w:id="148" w:name="_Toc20823305"/>
      <w:bookmarkStart w:id="149" w:name="_Toc513029233"/>
      <w:r>
        <w:rPr>
          <w:rFonts w:hint="eastAsia" w:ascii="宋体" w:hAnsi="宋体" w:eastAsia="宋体"/>
          <w:bCs w:val="0"/>
          <w:color w:val="auto"/>
          <w:highlight w:val="none"/>
        </w:rPr>
        <w:t>25.对响应文件的审查</w:t>
      </w:r>
      <w:bookmarkEnd w:id="147"/>
      <w:bookmarkEnd w:id="148"/>
      <w:bookmarkEnd w:id="149"/>
    </w:p>
    <w:p w14:paraId="7B9A0EEC">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响应文件审查分为资格审查和符合性审查。</w:t>
      </w:r>
    </w:p>
    <w:p w14:paraId="2F7F558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25.1.1资格审查：依据法律法规和采购文件的规定，由采购小组对响应文件中的资格证明文件进行审查，以确定供应商是否具备参加单一来源采购的资格。</w:t>
      </w:r>
    </w:p>
    <w:p w14:paraId="4CC98B28">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采购小组在进行资格审查的同时，将</w:t>
      </w:r>
      <w:r>
        <w:rPr>
          <w:rFonts w:hint="eastAsia" w:ascii="宋体" w:hAnsi="宋体" w:cs="宋体"/>
          <w:bCs/>
          <w:color w:val="auto"/>
          <w:sz w:val="24"/>
          <w:szCs w:val="24"/>
          <w:highlight w:val="none"/>
        </w:rPr>
        <w:t>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查询供应商在提交响应文件截止时间之前，是否被列入</w:t>
      </w:r>
      <w:r>
        <w:rPr>
          <w:rFonts w:hint="eastAsia" w:ascii="宋体" w:hAnsi="宋体" w:cs="宋体"/>
          <w:color w:val="auto"/>
          <w:sz w:val="24"/>
          <w:szCs w:val="24"/>
          <w:highlight w:val="none"/>
        </w:rPr>
        <w:t>失信被执行人、重大税收违法失信主体、政府采购严重违法失信行为记录名单，</w:t>
      </w:r>
      <w:r>
        <w:rPr>
          <w:rFonts w:hint="eastAsia" w:ascii="宋体" w:hAnsi="宋体" w:cs="宋体"/>
          <w:bCs/>
          <w:color w:val="auto"/>
          <w:sz w:val="24"/>
          <w:highlight w:val="none"/>
        </w:rPr>
        <w:t>以确定供应商是否具备参加单一来源采购资格。</w:t>
      </w:r>
      <w:r>
        <w:rPr>
          <w:rFonts w:hint="eastAsia" w:ascii="宋体" w:hAnsi="宋体" w:cs="宋体"/>
          <w:color w:val="auto"/>
          <w:sz w:val="24"/>
          <w:szCs w:val="24"/>
          <w:highlight w:val="none"/>
        </w:rPr>
        <w:t>查询结果留存并归档。</w:t>
      </w:r>
    </w:p>
    <w:p w14:paraId="47B365D3">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7BFE31E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25.1.2符合性审查：依据采购文件的规定，由采购小组从响应文件的有效性、完整性和对采购文件的响应程度进行审查，以确定是否对采购文件的实质性要求作出响应。</w:t>
      </w:r>
    </w:p>
    <w:p w14:paraId="2828396D">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3未通过资格审查或符合性审查的供应商，将在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w:t>
      </w:r>
      <w:r>
        <w:rPr>
          <w:rFonts w:hint="eastAsia" w:ascii="宋体" w:hAnsi="宋体"/>
          <w:bCs/>
          <w:color w:val="auto"/>
          <w:sz w:val="24"/>
          <w:highlight w:val="none"/>
        </w:rPr>
        <w:t>审</w:t>
      </w:r>
      <w:r>
        <w:rPr>
          <w:rFonts w:ascii="宋体" w:hAnsi="宋体"/>
          <w:bCs/>
          <w:color w:val="auto"/>
          <w:sz w:val="24"/>
          <w:highlight w:val="none"/>
        </w:rPr>
        <w:t>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D445942">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.2在正式协商之前，采购小组将首先审查每份响应文件是否实质性响应了采购文件的要求。实质性响应的响应文件应该是与采购文件要求的全部条款、条件和规格相符，没有重大偏离或保留。</w:t>
      </w:r>
    </w:p>
    <w:p w14:paraId="035B4158">
      <w:pPr>
        <w:spacing w:line="50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采购文件规定的实质性要求存在负偏离，或者在实质上与采购文件不一致，而且限制了合同中买方和采购代理机构的权利或供应商的义务。重大偏离的认定需经过采购小组以少数服从多数的原则作出结论。采购小组决定响应文件的响应性只根据响应文件本身的内容，而不寻求外部的证据。</w:t>
      </w:r>
    </w:p>
    <w:p w14:paraId="3A3844E4">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25.3</w:t>
      </w:r>
      <w:r>
        <w:rPr>
          <w:rFonts w:hint="eastAsia" w:ascii="宋体" w:hAnsi="宋体"/>
          <w:bCs/>
          <w:color w:val="auto"/>
          <w:sz w:val="24"/>
          <w:highlight w:val="none"/>
        </w:rPr>
        <w:t>采购小组将对确定为实质性响应的响应文件进行进一步审核，确定其是否有计算上或累加上的算术错误，修正错误的原则如下：</w:t>
      </w:r>
    </w:p>
    <w:p w14:paraId="0654106C">
      <w:pPr>
        <w:spacing w:line="500" w:lineRule="exact"/>
        <w:ind w:firstLine="480"/>
        <w:rPr>
          <w:rFonts w:ascii="宋体" w:hAnsi="宋体"/>
          <w:bCs/>
          <w:color w:val="auto"/>
          <w:sz w:val="24"/>
          <w:highlight w:val="none"/>
        </w:rPr>
      </w:pPr>
      <w:r>
        <w:rPr>
          <w:rFonts w:hint="eastAsia" w:ascii="宋体" w:hAnsi="宋体"/>
          <w:bCs/>
          <w:color w:val="auto"/>
          <w:sz w:val="24"/>
          <w:highlight w:val="none"/>
        </w:rPr>
        <w:t>（1）响应文件中报价表内容与采购文件中相应内容不一致的，以报价表为准；</w:t>
      </w:r>
    </w:p>
    <w:p w14:paraId="10038324">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650D7A57">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（3）单价金额小数点或者百分比有明显错位的，以报价表的总价为准，并修改单价；</w:t>
      </w:r>
    </w:p>
    <w:p w14:paraId="7EF3DC15">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3798FF06">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67D768E8">
      <w:pPr>
        <w:spacing w:line="500" w:lineRule="exact"/>
        <w:ind w:firstLine="480"/>
        <w:rPr>
          <w:rFonts w:ascii="宋体" w:hAnsi="宋体"/>
          <w:bCs/>
          <w:color w:val="auto"/>
          <w:sz w:val="24"/>
          <w:highlight w:val="none"/>
        </w:rPr>
      </w:pPr>
      <w:r>
        <w:rPr>
          <w:rFonts w:hint="eastAsia" w:ascii="宋体" w:hAnsi="宋体"/>
          <w:color w:val="auto"/>
          <w:sz w:val="24"/>
          <w:highlight w:val="none"/>
        </w:rPr>
        <w:t>25.4</w:t>
      </w:r>
      <w:r>
        <w:rPr>
          <w:rFonts w:hint="eastAsia" w:ascii="宋体" w:hAnsi="宋体"/>
          <w:bCs/>
          <w:color w:val="auto"/>
          <w:sz w:val="24"/>
          <w:highlight w:val="none"/>
        </w:rPr>
        <w:t>采购小组将按上述修正错误的方法调整响应文件中的报价，并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告知供应商</w:t>
      </w:r>
      <w:r>
        <w:rPr>
          <w:rFonts w:ascii="宋体" w:hAnsi="宋体"/>
          <w:bCs/>
          <w:color w:val="auto"/>
          <w:sz w:val="24"/>
          <w:highlight w:val="none"/>
        </w:rPr>
        <w:t>，</w:t>
      </w:r>
      <w:r>
        <w:rPr>
          <w:rFonts w:hint="eastAsia" w:ascii="宋体" w:hAnsi="宋体"/>
          <w:bCs/>
          <w:color w:val="auto"/>
          <w:sz w:val="24"/>
          <w:highlight w:val="none"/>
        </w:rPr>
        <w:t>调整后的价格应对供应商具有约束力。</w:t>
      </w:r>
    </w:p>
    <w:p w14:paraId="3870F8FD">
      <w:pPr>
        <w:spacing w:line="500" w:lineRule="exact"/>
        <w:ind w:firstLine="420"/>
        <w:rPr>
          <w:rFonts w:hint="eastAsia" w:ascii="宋体" w:hAnsi="宋体"/>
          <w:color w:val="auto"/>
          <w:sz w:val="24"/>
          <w:highlight w:val="none"/>
        </w:rPr>
      </w:pPr>
      <w:bookmarkStart w:id="150" w:name="_Toc20823306"/>
      <w:bookmarkStart w:id="151" w:name="_Toc513029234"/>
      <w:bookmarkStart w:id="152" w:name="_Toc16938550"/>
      <w:r>
        <w:rPr>
          <w:rFonts w:hint="eastAsia" w:ascii="宋体" w:hAnsi="宋体"/>
          <w:color w:val="auto"/>
          <w:sz w:val="24"/>
          <w:highlight w:val="none"/>
        </w:rPr>
        <w:t>25.5供应商在评审及协商全过程中应</w:t>
      </w:r>
      <w:r>
        <w:rPr>
          <w:rFonts w:hint="eastAsia" w:ascii="宋体" w:hAnsi="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并安排专人随时接受与代理机构及采购小组的相关询问。</w:t>
      </w:r>
    </w:p>
    <w:p w14:paraId="669A4538">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26</w:t>
      </w:r>
      <w:bookmarkEnd w:id="150"/>
      <w:bookmarkEnd w:id="151"/>
      <w:bookmarkEnd w:id="152"/>
      <w:r>
        <w:rPr>
          <w:rFonts w:hint="eastAsia" w:ascii="宋体" w:hAnsi="宋体" w:eastAsia="宋体"/>
          <w:bCs w:val="0"/>
          <w:color w:val="auto"/>
          <w:highlight w:val="none"/>
        </w:rPr>
        <w:t>.无效响应条款和采购活动终止</w:t>
      </w:r>
    </w:p>
    <w:p w14:paraId="012E3E16">
      <w:pPr>
        <w:spacing w:line="500" w:lineRule="exact"/>
        <w:ind w:left="479"/>
        <w:rPr>
          <w:rFonts w:hint="eastAsia" w:ascii="宋体" w:hAnsi="宋体"/>
          <w:bCs/>
          <w:color w:val="auto"/>
          <w:sz w:val="24"/>
          <w:highlight w:val="none"/>
        </w:rPr>
      </w:pPr>
      <w:bookmarkStart w:id="153" w:name="_Toc513029235"/>
      <w:bookmarkStart w:id="154" w:name="_Toc16938551"/>
      <w:bookmarkStart w:id="155" w:name="_Toc20823307"/>
      <w:r>
        <w:rPr>
          <w:rFonts w:hint="eastAsia" w:ascii="宋体" w:hAnsi="宋体"/>
          <w:bCs/>
          <w:color w:val="auto"/>
          <w:sz w:val="24"/>
          <w:highlight w:val="none"/>
        </w:rPr>
        <w:t>26.1无效响应条款</w:t>
      </w:r>
    </w:p>
    <w:p w14:paraId="223E2BB0">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0C5E99A1">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26.1.2供应商在“苏采云”系统规定的时间内未成功解密电子响应文件的。</w:t>
      </w:r>
    </w:p>
    <w:p w14:paraId="5467AE5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26.1.3供应商</w:t>
      </w:r>
      <w:r>
        <w:rPr>
          <w:rFonts w:hint="eastAsia" w:ascii="宋体" w:hAnsi="宋体"/>
          <w:bCs/>
          <w:color w:val="auto"/>
          <w:sz w:val="24"/>
          <w:highlight w:val="none"/>
        </w:rPr>
        <w:t>未按照采购文件要求上传电子响应文件、</w:t>
      </w:r>
      <w:r>
        <w:rPr>
          <w:rFonts w:hint="eastAsia" w:ascii="宋体" w:hAnsi="宋体"/>
          <w:bCs/>
          <w:color w:val="auto"/>
          <w:sz w:val="24"/>
          <w:szCs w:val="24"/>
          <w:highlight w:val="none"/>
        </w:rPr>
        <w:t>电子响应文件未按规定期限提交的，纸质响应文件（如有）未按规定的期限、地点送达的。</w:t>
      </w:r>
    </w:p>
    <w:p w14:paraId="597D495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26.1.4供应商</w:t>
      </w:r>
      <w:r>
        <w:rPr>
          <w:rFonts w:hint="eastAsia" w:ascii="宋体" w:hAnsi="宋体"/>
          <w:bCs/>
          <w:color w:val="auto"/>
          <w:sz w:val="24"/>
          <w:highlight w:val="none"/>
        </w:rPr>
        <w:t>的</w:t>
      </w:r>
      <w:r>
        <w:rPr>
          <w:rFonts w:hint="eastAsia" w:ascii="宋体" w:hAnsi="宋体"/>
          <w:bCs/>
          <w:color w:val="auto"/>
          <w:sz w:val="24"/>
          <w:szCs w:val="24"/>
          <w:highlight w:val="none"/>
        </w:rPr>
        <w:t>电子响应文件未按采购文件要求签章或盖章的。</w:t>
      </w:r>
    </w:p>
    <w:p w14:paraId="21A5EAC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26.1.5供应商的被授权代表无授权委托书或授权委托日期晚于提交响应文件截止日期的。</w:t>
      </w:r>
    </w:p>
    <w:p w14:paraId="661DAA2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26.1.6供应商不具备采购文件中规定的资格要求或未按采购文件规定的要求提供资格证明文件的。</w:t>
      </w:r>
    </w:p>
    <w:p w14:paraId="6522D73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26.1.7供应商在</w:t>
      </w:r>
      <w:r>
        <w:rPr>
          <w:rFonts w:ascii="宋体" w:hAnsi="宋体"/>
          <w:bCs/>
          <w:color w:val="auto"/>
          <w:sz w:val="24"/>
          <w:szCs w:val="24"/>
          <w:highlight w:val="none"/>
        </w:rPr>
        <w:t>一个报价环节内</w:t>
      </w:r>
      <w:r>
        <w:rPr>
          <w:rFonts w:hint="eastAsia" w:ascii="宋体" w:hAnsi="宋体"/>
          <w:bCs/>
          <w:color w:val="auto"/>
          <w:sz w:val="24"/>
          <w:highlight w:val="none"/>
        </w:rPr>
        <w:t>提交两种（含两种）以上不同报价的。</w:t>
      </w:r>
    </w:p>
    <w:p w14:paraId="660C74CF">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26.1.8</w:t>
      </w:r>
      <w:r>
        <w:rPr>
          <w:rFonts w:hint="eastAsia" w:ascii="宋体" w:hAnsi="宋体"/>
          <w:bCs/>
          <w:color w:val="auto"/>
          <w:sz w:val="24"/>
          <w:szCs w:val="24"/>
          <w:highlight w:val="none"/>
        </w:rPr>
        <w:t>供应商</w:t>
      </w:r>
      <w:r>
        <w:rPr>
          <w:rFonts w:hint="eastAsia" w:ascii="宋体" w:hAnsi="宋体"/>
          <w:color w:val="auto"/>
          <w:sz w:val="24"/>
          <w:szCs w:val="24"/>
          <w:highlight w:val="none"/>
        </w:rPr>
        <w:t>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）、中国政府采购网（www.ccgp.gov.cn）列入失信被执行人或重大税收违法失信主体或政府采购严重违法失信行为记录名单的。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后发现供应商存在其他不符合《中华人民共和国政府采购法》第二十二条规定条件的信用记录。</w:t>
      </w:r>
    </w:p>
    <w:p w14:paraId="356F64B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26.1.9响应文件未按采购文件规定的内容和要求填写的。</w:t>
      </w:r>
    </w:p>
    <w:p w14:paraId="3EF6916D">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26.1.10供应商</w:t>
      </w:r>
      <w:r>
        <w:rPr>
          <w:rFonts w:hint="eastAsia" w:ascii="宋体" w:hAnsi="宋体"/>
          <w:bCs/>
          <w:color w:val="auto"/>
          <w:sz w:val="24"/>
          <w:highlight w:val="none"/>
        </w:rPr>
        <w:t>的</w:t>
      </w:r>
      <w:r>
        <w:rPr>
          <w:rFonts w:hint="eastAsia" w:ascii="宋体" w:hAnsi="宋体"/>
          <w:bCs/>
          <w:color w:val="auto"/>
          <w:sz w:val="24"/>
          <w:szCs w:val="24"/>
          <w:highlight w:val="none"/>
        </w:rPr>
        <w:t>项目（采购包、标项、标段）总报价（包括最后总报价）超过本项目（本采购包、本标项、本标段）预算或最高限价的。</w:t>
      </w:r>
    </w:p>
    <w:p w14:paraId="4AD1276D">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5F06B79D">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26.1.12响应文件含有采购人不能接受的附加条件的。</w:t>
      </w:r>
    </w:p>
    <w:p w14:paraId="669F4A3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26.1.13电子响应文件图片、字迹模糊不清、无法辨认导致无法评审的。</w:t>
      </w:r>
    </w:p>
    <w:p w14:paraId="2589A23F">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26.1.14响应文件中有采购文件未允许提供的选择性内容。</w:t>
      </w:r>
    </w:p>
    <w:p w14:paraId="7B897F83">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提供虚假材料的（包括工商营业执照、财务报表、资格证明文件等）。</w:t>
      </w:r>
    </w:p>
    <w:p w14:paraId="56E3EE3E">
      <w:pPr>
        <w:spacing w:line="500" w:lineRule="exact"/>
        <w:ind w:firstLine="480"/>
        <w:rPr>
          <w:rFonts w:hint="eastAsia" w:ascii="宋体" w:hAnsi="宋体"/>
          <w:bCs/>
          <w:color w:val="auto"/>
          <w:sz w:val="24"/>
          <w:highlight w:val="none"/>
        </w:rPr>
      </w:pPr>
      <w:r>
        <w:rPr>
          <w:rFonts w:hint="eastAsia" w:ascii="宋体" w:hAnsi="宋体"/>
          <w:bCs/>
          <w:color w:val="auto"/>
          <w:sz w:val="24"/>
          <w:szCs w:val="24"/>
          <w:highlight w:val="none"/>
        </w:rPr>
        <w:t>26.1.16响应文件内容不全或不符合采购文件中规定的其他实质性要求和条件的。</w:t>
      </w:r>
    </w:p>
    <w:p w14:paraId="6C72F6D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26.1.17其他法律法规及本采购文件规定的属无效响应的情形。</w:t>
      </w:r>
    </w:p>
    <w:p w14:paraId="1016DF88">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26.2采购活动终止</w:t>
      </w:r>
    </w:p>
    <w:p w14:paraId="2A4F120C">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在单一来源采购中，出现下列情况之一的，本次采购活动终止：</w:t>
      </w:r>
    </w:p>
    <w:p w14:paraId="43B5A37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26.2.1因情况变化，不再符合规定的单一来源采购方式适用情形的；</w:t>
      </w:r>
    </w:p>
    <w:p w14:paraId="3D6BDB36">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26.2.2</w:t>
      </w:r>
      <w:r>
        <w:rPr>
          <w:rFonts w:ascii="宋体" w:hAnsi="宋体"/>
          <w:bCs/>
          <w:color w:val="auto"/>
          <w:sz w:val="24"/>
          <w:szCs w:val="24"/>
          <w:highlight w:val="none"/>
        </w:rPr>
        <w:t>出现影响采购公正的违法、违规行为的</w:t>
      </w:r>
      <w:r>
        <w:rPr>
          <w:rFonts w:hint="eastAsia" w:ascii="宋体" w:hAnsi="宋体"/>
          <w:bCs/>
          <w:color w:val="auto"/>
          <w:sz w:val="24"/>
          <w:szCs w:val="24"/>
          <w:highlight w:val="none"/>
        </w:rPr>
        <w:t>；</w:t>
      </w:r>
    </w:p>
    <w:p w14:paraId="7F7845AA">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26.2.3</w:t>
      </w:r>
      <w:r>
        <w:rPr>
          <w:rFonts w:ascii="宋体" w:hAnsi="宋体"/>
          <w:bCs/>
          <w:color w:val="auto"/>
          <w:sz w:val="24"/>
          <w:szCs w:val="24"/>
          <w:highlight w:val="none"/>
        </w:rPr>
        <w:t>报价超过采购预算</w:t>
      </w:r>
      <w:r>
        <w:rPr>
          <w:rFonts w:hint="eastAsia" w:ascii="宋体" w:hAnsi="宋体"/>
          <w:bCs/>
          <w:color w:val="auto"/>
          <w:sz w:val="24"/>
          <w:szCs w:val="24"/>
          <w:highlight w:val="none"/>
        </w:rPr>
        <w:t>或最高限价</w:t>
      </w:r>
      <w:r>
        <w:rPr>
          <w:rFonts w:ascii="宋体" w:hAnsi="宋体"/>
          <w:bCs/>
          <w:color w:val="auto"/>
          <w:sz w:val="24"/>
          <w:szCs w:val="24"/>
          <w:highlight w:val="none"/>
        </w:rPr>
        <w:t>的</w:t>
      </w:r>
      <w:r>
        <w:rPr>
          <w:rFonts w:hint="eastAsia" w:ascii="宋体" w:hAnsi="宋体"/>
          <w:bCs/>
          <w:color w:val="auto"/>
          <w:sz w:val="24"/>
          <w:szCs w:val="24"/>
          <w:highlight w:val="none"/>
        </w:rPr>
        <w:t>。</w:t>
      </w:r>
    </w:p>
    <w:p w14:paraId="2826D1C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26.2.4供应商的技术方案、服务承诺、商务条款等不能满足采购人或采购小组的要求；</w:t>
      </w:r>
    </w:p>
    <w:p w14:paraId="43A6957F">
      <w:pPr>
        <w:spacing w:line="500" w:lineRule="exact"/>
        <w:ind w:firstLine="480"/>
        <w:rPr>
          <w:rFonts w:hint="eastAsia" w:ascii="宋体" w:hAnsi="宋体"/>
          <w:bCs/>
          <w:color w:val="auto"/>
          <w:sz w:val="24"/>
          <w:highlight w:val="none"/>
        </w:rPr>
      </w:pPr>
      <w:r>
        <w:rPr>
          <w:rFonts w:hint="eastAsia" w:ascii="宋体" w:hAnsi="宋体"/>
          <w:bCs/>
          <w:color w:val="auto"/>
          <w:sz w:val="24"/>
          <w:szCs w:val="24"/>
          <w:highlight w:val="none"/>
        </w:rPr>
        <w:t>26.2.5法律法规、规章规定的其他应当终止的情形。</w:t>
      </w:r>
    </w:p>
    <w:p w14:paraId="28B556E1">
      <w:pPr>
        <w:pStyle w:val="192"/>
        <w:keepNext w:val="0"/>
        <w:keepLines w:val="0"/>
        <w:spacing w:before="0" w:after="0" w:line="500" w:lineRule="exact"/>
        <w:ind w:firstLine="422"/>
        <w:rPr>
          <w:rFonts w:hint="eastAsia" w:ascii="宋体" w:hAnsi="宋体" w:eastAsia="宋体"/>
          <w:bCs w:val="0"/>
          <w:color w:val="auto"/>
          <w:highlight w:val="none"/>
        </w:rPr>
      </w:pPr>
      <w:bookmarkStart w:id="156" w:name="_Toc120614219"/>
      <w:r>
        <w:rPr>
          <w:rFonts w:hint="eastAsia" w:ascii="宋体" w:hAnsi="宋体" w:eastAsia="宋体"/>
          <w:bCs w:val="0"/>
          <w:color w:val="auto"/>
          <w:highlight w:val="none"/>
        </w:rPr>
        <w:t>27.单一来源协商程序</w:t>
      </w:r>
    </w:p>
    <w:p w14:paraId="38504313">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27.1协商程序</w:t>
      </w:r>
    </w:p>
    <w:p w14:paraId="5123FC5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27.1.1 对于通过资格审查和符合性审查的供应商，采购小组将与其就采购标的的价格、服务等内容进行单一来源协商。</w:t>
      </w:r>
    </w:p>
    <w:p w14:paraId="4EDBEB35">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27.1.2供应商应当以书面形式对协商过程中做出的承诺与澄清进行确认，并在采购小组规定的时间内通过“苏采云”系统完成最后报价。</w:t>
      </w:r>
    </w:p>
    <w:p w14:paraId="23C57345">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27.1.3 供应商的最后报价在响应产品数量没有增加，配置、服务没有重大提高的情况下，一般不允许高于第一次的总报价。否则，采购小组有权拒绝该最后报价并不再给予报价补救机会。</w:t>
      </w:r>
    </w:p>
    <w:p w14:paraId="3BB77867">
      <w:pPr>
        <w:pStyle w:val="191"/>
        <w:keepNext w:val="0"/>
        <w:keepLines w:val="0"/>
        <w:spacing w:before="0" w:after="0" w:line="500" w:lineRule="exact"/>
        <w:ind w:firstLine="452"/>
        <w:rPr>
          <w:rFonts w:hint="eastAsia"/>
          <w:color w:val="auto"/>
          <w:sz w:val="30"/>
          <w:szCs w:val="30"/>
          <w:highlight w:val="none"/>
        </w:rPr>
      </w:pPr>
      <w:r>
        <w:rPr>
          <w:rFonts w:hint="eastAsia"/>
          <w:color w:val="auto"/>
          <w:sz w:val="30"/>
          <w:szCs w:val="30"/>
          <w:highlight w:val="none"/>
        </w:rPr>
        <w:t>六、</w:t>
      </w:r>
      <w:bookmarkEnd w:id="153"/>
      <w:bookmarkEnd w:id="154"/>
      <w:bookmarkEnd w:id="155"/>
      <w:bookmarkEnd w:id="156"/>
      <w:r>
        <w:rPr>
          <w:rFonts w:hint="eastAsia"/>
          <w:color w:val="auto"/>
          <w:sz w:val="30"/>
          <w:szCs w:val="30"/>
          <w:highlight w:val="none"/>
        </w:rPr>
        <w:t>成交</w:t>
      </w:r>
    </w:p>
    <w:p w14:paraId="49B45145">
      <w:pPr>
        <w:pStyle w:val="192"/>
        <w:keepNext w:val="0"/>
        <w:keepLines w:val="0"/>
        <w:spacing w:before="0" w:after="0" w:line="500" w:lineRule="exact"/>
        <w:ind w:firstLine="422"/>
        <w:rPr>
          <w:rFonts w:hint="eastAsia" w:ascii="宋体" w:hAnsi="宋体" w:eastAsia="宋体"/>
          <w:bCs w:val="0"/>
          <w:color w:val="auto"/>
          <w:highlight w:val="none"/>
        </w:rPr>
      </w:pPr>
      <w:bookmarkStart w:id="157" w:name="_Toc20823310"/>
      <w:bookmarkStart w:id="158" w:name="_Toc16938554"/>
      <w:bookmarkStart w:id="159" w:name="_Toc513029238"/>
      <w:r>
        <w:rPr>
          <w:rFonts w:hint="eastAsia" w:ascii="宋体" w:hAnsi="宋体" w:eastAsia="宋体"/>
          <w:bCs w:val="0"/>
          <w:color w:val="auto"/>
          <w:highlight w:val="none"/>
        </w:rPr>
        <w:t>28.确定成交供应商</w:t>
      </w:r>
    </w:p>
    <w:p w14:paraId="709EA033">
      <w:pPr>
        <w:spacing w:line="500" w:lineRule="exact"/>
        <w:ind w:firstLine="480"/>
        <w:rPr>
          <w:rFonts w:hint="eastAsia" w:ascii="宋体" w:hAnsi="宋体"/>
          <w:color w:val="auto"/>
          <w:sz w:val="24"/>
          <w:szCs w:val="24"/>
          <w:highlight w:val="none"/>
        </w:rPr>
      </w:pPr>
      <w:r>
        <w:rPr>
          <w:rFonts w:hint="eastAsia" w:ascii="宋体" w:hAnsi="宋体"/>
          <w:bCs/>
          <w:color w:val="auto"/>
          <w:sz w:val="24"/>
          <w:highlight w:val="none"/>
        </w:rPr>
        <w:t>28.1采购小组根据政府采购相关法律、规章的规定，在供应商的响应情况能保证采购项目质量且最后报价合理的基础上确定其为成交供应商。</w:t>
      </w:r>
    </w:p>
    <w:p w14:paraId="6565326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28.2采购小组根据协商情况编写单一来源评审报告。</w:t>
      </w:r>
    </w:p>
    <w:p w14:paraId="22AB321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 采购人根据采购小组协商结果确认成交供应商。</w:t>
      </w:r>
    </w:p>
    <w:p w14:paraId="248AF36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28.4联合体成交的，联合体各方应当共同与采购人签订合同，就成交项目向采购人承担连带责任。</w:t>
      </w:r>
    </w:p>
    <w:p w14:paraId="333D810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28.5采购人确定成交供应商后，采购代理机构将在“江苏政府采购网”发布成交结果公告，公告期限为1个工作日。</w:t>
      </w:r>
    </w:p>
    <w:p w14:paraId="190C9D8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28.6若有充分证据证明，成交供应商出现下列情况之一的，一经查实，将被取消成交资格：</w:t>
      </w:r>
    </w:p>
    <w:p w14:paraId="2C7D34C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28.6.1提供虚假材料谋取成交的。</w:t>
      </w:r>
    </w:p>
    <w:p w14:paraId="5A5A5B3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28.6.2与评审专家、采购人、其他供应商或者采购代理机构工作人员恶意串通的。</w:t>
      </w:r>
    </w:p>
    <w:p w14:paraId="48695E8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28.6.3向评审专家、采购人或采购代理机构工作人员行贿或者提供其他不正当利益的。</w:t>
      </w:r>
    </w:p>
    <w:p w14:paraId="21491E3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28.6.4最后报价明显低于其自身合理成本且又无法提供证明的。</w:t>
      </w:r>
    </w:p>
    <w:p w14:paraId="643EDF2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28.6.5不满足本采购文件规定的实质性要求，但在评审过程中又未被采购小组发现的。</w:t>
      </w:r>
    </w:p>
    <w:p w14:paraId="64D7B44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28.6.6成交后无正当理由拒不与采购人签订政府采购合同或者未按照采购文件确定的事项签订政府采购合同的。</w:t>
      </w:r>
      <w:bookmarkEnd w:id="157"/>
      <w:bookmarkEnd w:id="158"/>
      <w:bookmarkEnd w:id="159"/>
    </w:p>
    <w:p w14:paraId="0E3E0256">
      <w:pPr>
        <w:pStyle w:val="192"/>
        <w:keepNext w:val="0"/>
        <w:keepLines w:val="0"/>
        <w:spacing w:before="0" w:after="0" w:line="500" w:lineRule="exact"/>
        <w:ind w:firstLine="422"/>
        <w:rPr>
          <w:rFonts w:hint="eastAsia" w:ascii="宋体" w:hAnsi="宋体" w:eastAsia="宋体"/>
          <w:bCs w:val="0"/>
          <w:color w:val="auto"/>
          <w:highlight w:val="none"/>
        </w:rPr>
      </w:pPr>
      <w:bookmarkStart w:id="160" w:name="_Toc200451960"/>
      <w:r>
        <w:rPr>
          <w:rFonts w:hint="eastAsia" w:ascii="宋体" w:hAnsi="宋体" w:eastAsia="宋体"/>
          <w:bCs w:val="0"/>
          <w:color w:val="auto"/>
          <w:highlight w:val="none"/>
        </w:rPr>
        <w:t>29.质疑处理</w:t>
      </w:r>
      <w:bookmarkEnd w:id="160"/>
    </w:p>
    <w:p w14:paraId="4F42D47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 提出质疑的供应商应当是参与所质疑项目采购活动的供应商。供应商</w:t>
      </w:r>
      <w:r>
        <w:rPr>
          <w:rFonts w:hint="eastAsia" w:ascii="宋体" w:hAnsi="宋体"/>
          <w:color w:val="auto"/>
          <w:sz w:val="24"/>
          <w:szCs w:val="24"/>
          <w:highlight w:val="none"/>
          <w:lang w:eastAsia="zh-CN"/>
        </w:rPr>
        <w:t>对</w:t>
      </w:r>
      <w:r>
        <w:rPr>
          <w:rFonts w:hint="eastAsia" w:ascii="宋体" w:hAnsi="宋体"/>
          <w:color w:val="auto"/>
          <w:sz w:val="24"/>
          <w:szCs w:val="24"/>
          <w:highlight w:val="none"/>
        </w:rPr>
        <w:t>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61E5600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4D99D7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29.2.1</w:t>
      </w:r>
      <w:r>
        <w:rPr>
          <w:rFonts w:ascii="宋体" w:hAnsi="宋体"/>
          <w:color w:val="auto"/>
          <w:sz w:val="24"/>
          <w:szCs w:val="24"/>
          <w:highlight w:val="none"/>
        </w:rPr>
        <w:t>对可以质疑的采购文件提出质疑的，为收到采购文件之日或者采购文件公告期限届满之日；</w:t>
      </w:r>
    </w:p>
    <w:p w14:paraId="71A0DE6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29.2.2</w:t>
      </w:r>
      <w:r>
        <w:rPr>
          <w:rFonts w:ascii="宋体" w:hAnsi="宋体"/>
          <w:color w:val="auto"/>
          <w:sz w:val="24"/>
          <w:szCs w:val="24"/>
          <w:highlight w:val="none"/>
        </w:rPr>
        <w:t>对采购过程提出质疑的，为各采购程序环节结束之日；</w:t>
      </w:r>
    </w:p>
    <w:p w14:paraId="3B5FFC2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29.2.3</w:t>
      </w:r>
      <w:r>
        <w:rPr>
          <w:rFonts w:ascii="宋体" w:hAnsi="宋体"/>
          <w:color w:val="auto"/>
          <w:sz w:val="24"/>
          <w:szCs w:val="24"/>
          <w:highlight w:val="none"/>
        </w:rPr>
        <w:t>对中标或者成交结果提出质疑的，为中标或者成交结果公告期限届满之日。</w:t>
      </w:r>
    </w:p>
    <w:p w14:paraId="0F77A78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20DB0AC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供应商如组成联合体参加采购活动，则《质疑函范本》中要求签字、盖章、加盖公章之处，联合体各方均须按要求签字、盖章、加盖公章。</w:t>
      </w:r>
    </w:p>
    <w:p w14:paraId="7C8FDA3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29.4供应商（含潜在供应商）对项目属性、采购方式、采购需求、供应商资格条件及审查结果、合同文本的询问、质疑请向采购人提出，由采购人负责答复。供应商对除上述事项以外其他事项的询问、质疑请向采购代理机构提出，由采购代理机构负责答复。</w:t>
      </w:r>
    </w:p>
    <w:p w14:paraId="6207710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0883D73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采购人、采购代理机构联系人、联系方式、通信地址见本文件第一章。</w:t>
      </w:r>
    </w:p>
    <w:p w14:paraId="1E5DDED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 以下情形的质疑不予受理</w:t>
      </w:r>
    </w:p>
    <w:p w14:paraId="13804AF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29.5.1 内容不符合《政府采购质疑和投诉办法》第十二条规定的质疑。</w:t>
      </w:r>
    </w:p>
    <w:p w14:paraId="347FF73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29.5.2 超出政府采购法定期限的质疑。</w:t>
      </w:r>
    </w:p>
    <w:p w14:paraId="31ECF37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29.5.3 以传真、电子邮件等方式递交的非原件形式的质疑。</w:t>
      </w:r>
    </w:p>
    <w:p w14:paraId="4E071F8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29.5.4未参加采购活动的供应商或在采购活动中自身权益未受到损害的供应商所提出的质疑。</w:t>
      </w:r>
    </w:p>
    <w:p w14:paraId="2C3F0F2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29.5.5供应商组成联合体参加采购活动，联合体中任何一方或多方未按要求签字、盖章、加盖公章的质疑。</w:t>
      </w:r>
    </w:p>
    <w:p w14:paraId="338AA9EE">
      <w:pPr>
        <w:spacing w:line="5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29.6供应商提出书面质疑必须有理、有据，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一经查实，采购代理机构有权依据政府采购的有关规定，报请政府采购监管部门对该供应商进行相应的行政处罚和记录该供应商的失信信息。</w:t>
      </w:r>
    </w:p>
    <w:p w14:paraId="1F2CD532">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30.成交通知书</w:t>
      </w:r>
    </w:p>
    <w:p w14:paraId="21A18D2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30.l成交结果确定后，采购代理机构将向成交供应商发出成交通知书。请成交供应商在成交结果公告届满之日起30日内，使用CA数字证书登录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及时下载成交通知书。因系统存储空间有限，自成交结果公告届满之日起30日后，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不再保证提供下载成交通知书服务，因未及时下载而造成的不利后果由成交供应商自行承担。</w:t>
      </w:r>
    </w:p>
    <w:p w14:paraId="1C0FD7E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w:t>
      </w:r>
      <w:r>
        <w:rPr>
          <w:rFonts w:ascii="宋体" w:hAnsi="宋体"/>
          <w:color w:val="auto"/>
          <w:sz w:val="24"/>
          <w:szCs w:val="24"/>
          <w:highlight w:val="none"/>
        </w:rPr>
        <w:t>2</w:t>
      </w:r>
      <w:r>
        <w:rPr>
          <w:rFonts w:hint="eastAsia" w:ascii="宋体" w:hAnsi="宋体"/>
          <w:color w:val="auto"/>
          <w:sz w:val="24"/>
          <w:szCs w:val="24"/>
          <w:highlight w:val="none"/>
        </w:rPr>
        <w:t>成交通知书将是合同的一个组成部分。对采购人和成交供应商均具有法律效力。成交通知书发出后，采购人改变成交结果的，或者成交供应商放弃成交项目的，应当依法承担法律责任。</w:t>
      </w:r>
    </w:p>
    <w:p w14:paraId="5390B485">
      <w:pPr>
        <w:pStyle w:val="191"/>
        <w:keepNext w:val="0"/>
        <w:keepLines w:val="0"/>
        <w:spacing w:before="0" w:after="0" w:line="500" w:lineRule="exact"/>
        <w:ind w:firstLine="452"/>
        <w:rPr>
          <w:rFonts w:hint="eastAsia"/>
          <w:color w:val="auto"/>
          <w:sz w:val="30"/>
          <w:szCs w:val="30"/>
          <w:highlight w:val="none"/>
        </w:rPr>
      </w:pPr>
      <w:bookmarkStart w:id="161" w:name="_Toc16938552"/>
      <w:bookmarkStart w:id="162" w:name="_Toc20823308"/>
      <w:bookmarkStart w:id="163" w:name="_Toc120614220"/>
      <w:bookmarkStart w:id="164" w:name="_Toc513029236"/>
      <w:r>
        <w:rPr>
          <w:rFonts w:hint="eastAsia"/>
          <w:color w:val="auto"/>
          <w:sz w:val="30"/>
          <w:szCs w:val="30"/>
          <w:highlight w:val="none"/>
        </w:rPr>
        <w:t>七、授予合同</w:t>
      </w:r>
      <w:bookmarkEnd w:id="161"/>
      <w:bookmarkEnd w:id="162"/>
      <w:bookmarkEnd w:id="163"/>
      <w:bookmarkEnd w:id="164"/>
    </w:p>
    <w:p w14:paraId="39324BAF">
      <w:pPr>
        <w:pStyle w:val="192"/>
        <w:keepNext w:val="0"/>
        <w:keepLines w:val="0"/>
        <w:spacing w:before="0" w:after="0" w:line="500" w:lineRule="exact"/>
        <w:ind w:firstLine="422"/>
        <w:rPr>
          <w:rFonts w:hint="eastAsia" w:ascii="宋体" w:hAnsi="宋体" w:eastAsia="宋体"/>
          <w:bCs w:val="0"/>
          <w:color w:val="auto"/>
          <w:highlight w:val="none"/>
        </w:rPr>
      </w:pPr>
      <w:bookmarkStart w:id="165" w:name="_Toc20823309"/>
      <w:bookmarkStart w:id="166" w:name="_Toc513029237"/>
      <w:bookmarkStart w:id="167" w:name="_Toc16938553"/>
      <w:r>
        <w:rPr>
          <w:rFonts w:hint="eastAsia" w:ascii="宋体" w:hAnsi="宋体" w:eastAsia="宋体"/>
          <w:bCs w:val="0"/>
          <w:color w:val="auto"/>
          <w:highlight w:val="none"/>
        </w:rPr>
        <w:t>31.签订合同</w:t>
      </w:r>
    </w:p>
    <w:p w14:paraId="550A052F">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31.1采购人应当自成交通知书发出之日起三十日内，按照采购文件和成交供应商响应文件的约定，与成交供应商签订政府采购合同。所签订的合同不得对采购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olor w:val="auto"/>
          <w:sz w:val="24"/>
          <w:szCs w:val="24"/>
          <w:highlight w:val="none"/>
        </w:rPr>
        <w:t>采购文件、成交供应商的响应文件及采购过程中有关澄清、承诺文件均应作为合同附件。</w:t>
      </w:r>
    </w:p>
    <w:p w14:paraId="32060F9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31.2成交供应商非因不可抗力未履行采购、响应文件和合同规定的义务，一经查实，采购代理机构将根据具体情况提请政府采购管理部门作出相应处理。</w:t>
      </w:r>
    </w:p>
    <w:p w14:paraId="45D4CFA6">
      <w:pPr>
        <w:pStyle w:val="192"/>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32.服务（包含与服务相关的货物）的追加</w:t>
      </w:r>
    </w:p>
    <w:p w14:paraId="71BD4BF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32.1政府采购合同履行中，采购人需追加与合同标的相同的服务（包含与服务相关的货物），在不改变合同其他条款的前提下，可以与成交供应商协商签订补充合同，但所有补充合同的采购金额不超过原合同金</w:t>
      </w:r>
      <w:r>
        <w:rPr>
          <w:rFonts w:hint="eastAsia" w:ascii="宋体" w:hAnsi="宋体"/>
          <w:color w:val="auto"/>
          <w:sz w:val="24"/>
          <w:szCs w:val="24"/>
          <w:highlight w:val="none"/>
          <w:lang w:eastAsia="zh-CN"/>
        </w:rPr>
        <w:t>额的</w:t>
      </w:r>
      <w:r>
        <w:rPr>
          <w:rFonts w:hint="eastAsia" w:ascii="宋体" w:hAnsi="宋体"/>
          <w:color w:val="auto"/>
          <w:sz w:val="24"/>
          <w:szCs w:val="24"/>
          <w:highlight w:val="none"/>
        </w:rPr>
        <w:t>10%。</w:t>
      </w:r>
      <w:bookmarkEnd w:id="165"/>
      <w:bookmarkEnd w:id="166"/>
      <w:bookmarkEnd w:id="167"/>
    </w:p>
    <w:p w14:paraId="1C20B21B">
      <w:pPr>
        <w:pStyle w:val="190"/>
        <w:spacing w:line="360" w:lineRule="auto"/>
        <w:jc w:val="center"/>
        <w:rPr>
          <w:rFonts w:hint="eastAsia" w:ascii="黑体" w:eastAsia="黑体"/>
          <w:bCs/>
          <w:color w:val="auto"/>
          <w:sz w:val="36"/>
          <w:szCs w:val="36"/>
          <w:highlight w:val="none"/>
        </w:rPr>
      </w:pPr>
      <w:bookmarkStart w:id="168" w:name="_Toc513029242"/>
      <w:bookmarkStart w:id="169" w:name="_Toc120614221"/>
      <w:bookmarkStart w:id="170" w:name="_Toc20823314"/>
      <w:bookmarkStart w:id="171" w:name="_Toc16938558"/>
      <w:bookmarkStart w:id="172" w:name="_Toc479757207"/>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第三章  合同</w:t>
      </w:r>
      <w:bookmarkEnd w:id="168"/>
      <w:bookmarkEnd w:id="169"/>
      <w:bookmarkEnd w:id="170"/>
      <w:bookmarkEnd w:id="171"/>
      <w:bookmarkEnd w:id="172"/>
      <w:r>
        <w:rPr>
          <w:rFonts w:hint="eastAsia" w:ascii="黑体" w:eastAsia="黑体"/>
          <w:bCs/>
          <w:color w:val="auto"/>
          <w:sz w:val="36"/>
          <w:szCs w:val="36"/>
          <w:highlight w:val="none"/>
        </w:rPr>
        <w:t>文本</w:t>
      </w:r>
    </w:p>
    <w:p w14:paraId="00D7D179">
      <w:pPr>
        <w:pStyle w:val="30"/>
        <w:widowControl/>
        <w:spacing w:before="0" w:beforeAutospacing="0" w:after="0" w:afterAutospacing="0" w:line="360" w:lineRule="auto"/>
        <w:ind w:firstLine="482"/>
        <w:jc w:val="center"/>
        <w:rPr>
          <w:rFonts w:ascii="宋体" w:hAnsi="宋体" w:cs="宋体"/>
          <w:b/>
          <w:color w:val="auto"/>
          <w:highlight w:val="none"/>
        </w:rPr>
      </w:pPr>
      <w:bookmarkStart w:id="173" w:name="_Hlt16619350"/>
      <w:bookmarkStart w:id="174" w:name="_Toc120614244"/>
      <w:bookmarkStart w:id="175" w:name="_Toc20823346"/>
      <w:bookmarkStart w:id="176" w:name="_Toc16938590"/>
      <w:bookmarkStart w:id="177" w:name="_Toc462564139"/>
      <w:bookmarkStart w:id="178" w:name="_Toc479757211"/>
      <w:r>
        <w:rPr>
          <w:rFonts w:hint="eastAsia" w:ascii="宋体" w:hAnsi="宋体" w:cs="宋体"/>
          <w:b/>
          <w:color w:val="auto"/>
          <w:highlight w:val="none"/>
        </w:rPr>
        <w:t>（投标时无需填写）</w:t>
      </w:r>
    </w:p>
    <w:p w14:paraId="42999B1C">
      <w:pPr>
        <w:spacing w:line="560" w:lineRule="exact"/>
        <w:rPr>
          <w:rFonts w:ascii="宋体" w:hAnsi="宋体"/>
          <w:color w:val="auto"/>
          <w:sz w:val="24"/>
          <w:highlight w:val="none"/>
        </w:rPr>
      </w:pPr>
      <w:r>
        <w:rPr>
          <w:rFonts w:ascii="宋体" w:hAnsi="宋体"/>
          <w:color w:val="auto"/>
          <w:sz w:val="24"/>
          <w:highlight w:val="none"/>
        </w:rPr>
        <w:t>采购人（甲方）：</w:t>
      </w:r>
      <w:r>
        <w:rPr>
          <w:rFonts w:hint="eastAsia" w:ascii="宋体" w:hAnsi="宋体"/>
          <w:color w:val="auto"/>
          <w:sz w:val="24"/>
          <w:highlight w:val="none"/>
        </w:rPr>
        <w:t xml:space="preserve">无锡市残疾人综合服务中心   </w:t>
      </w:r>
      <w:bookmarkStart w:id="179" w:name="OLE_LINK49"/>
      <w:bookmarkStart w:id="180" w:name="OLE_LINK50"/>
      <w:r>
        <w:rPr>
          <w:rFonts w:hint="eastAsia" w:ascii="宋体" w:hAnsi="宋体" w:cs="Arial"/>
          <w:color w:val="auto"/>
          <w:sz w:val="24"/>
          <w:highlight w:val="none"/>
        </w:rPr>
        <w:t>无锡市老龄工作发展促进中心</w:t>
      </w:r>
      <w:bookmarkEnd w:id="179"/>
      <w:bookmarkEnd w:id="180"/>
    </w:p>
    <w:p w14:paraId="574A6D9E">
      <w:pPr>
        <w:spacing w:line="560" w:lineRule="exact"/>
        <w:rPr>
          <w:rFonts w:ascii="宋体" w:hAnsi="宋体"/>
          <w:color w:val="auto"/>
          <w:sz w:val="24"/>
          <w:highlight w:val="none"/>
        </w:rPr>
      </w:pPr>
      <w:r>
        <w:rPr>
          <w:rFonts w:ascii="宋体" w:hAnsi="宋体"/>
          <w:color w:val="auto"/>
          <w:sz w:val="24"/>
          <w:highlight w:val="none"/>
        </w:rPr>
        <w:t>联系人：                         联系人：</w:t>
      </w:r>
    </w:p>
    <w:p w14:paraId="5A3DA697">
      <w:pPr>
        <w:spacing w:line="560" w:lineRule="exact"/>
        <w:rPr>
          <w:rFonts w:ascii="宋体" w:hAnsi="宋体"/>
          <w:color w:val="auto"/>
          <w:sz w:val="24"/>
          <w:highlight w:val="none"/>
        </w:rPr>
      </w:pPr>
      <w:r>
        <w:rPr>
          <w:rFonts w:ascii="宋体" w:hAnsi="宋体"/>
          <w:color w:val="auto"/>
          <w:sz w:val="24"/>
          <w:highlight w:val="none"/>
        </w:rPr>
        <w:t>地点：无锡市锡兴北路199号         地址：无锡市锡兴北路199号</w:t>
      </w:r>
    </w:p>
    <w:p w14:paraId="012A1EF6">
      <w:pPr>
        <w:spacing w:line="560" w:lineRule="exact"/>
        <w:jc w:val="left"/>
        <w:rPr>
          <w:rFonts w:ascii="宋体" w:hAnsi="宋体"/>
          <w:color w:val="auto"/>
          <w:sz w:val="24"/>
          <w:highlight w:val="none"/>
        </w:rPr>
      </w:pPr>
      <w:r>
        <w:rPr>
          <w:rFonts w:ascii="宋体" w:hAnsi="宋体"/>
          <w:color w:val="auto"/>
          <w:sz w:val="24"/>
          <w:highlight w:val="none"/>
        </w:rPr>
        <w:t>中标供应商：（乙方）</w:t>
      </w:r>
    </w:p>
    <w:p w14:paraId="63BB75A4">
      <w:pPr>
        <w:spacing w:line="560" w:lineRule="exact"/>
        <w:jc w:val="left"/>
        <w:rPr>
          <w:rFonts w:ascii="宋体" w:hAnsi="宋体"/>
          <w:color w:val="auto"/>
          <w:sz w:val="24"/>
          <w:highlight w:val="none"/>
        </w:rPr>
      </w:pPr>
      <w:r>
        <w:rPr>
          <w:rFonts w:ascii="宋体" w:hAnsi="宋体"/>
          <w:color w:val="auto"/>
          <w:sz w:val="24"/>
          <w:highlight w:val="none"/>
        </w:rPr>
        <w:t>联系人：</w:t>
      </w:r>
    </w:p>
    <w:p w14:paraId="32A719E0">
      <w:pPr>
        <w:spacing w:line="560" w:lineRule="exact"/>
        <w:jc w:val="left"/>
        <w:rPr>
          <w:rFonts w:ascii="宋体" w:hAnsi="宋体"/>
          <w:color w:val="auto"/>
          <w:sz w:val="24"/>
          <w:highlight w:val="none"/>
        </w:rPr>
      </w:pPr>
      <w:r>
        <w:rPr>
          <w:rFonts w:ascii="宋体" w:hAnsi="宋体"/>
          <w:color w:val="auto"/>
          <w:sz w:val="24"/>
          <w:highlight w:val="none"/>
        </w:rPr>
        <w:t>电话：</w:t>
      </w:r>
    </w:p>
    <w:p w14:paraId="1E162398">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根据《中华人民共和国政府采购法》、《无锡市政府采购法公开招标文件》的规定，通过公开招标，经甲方、乙方协商同意，签订服务合同，在合同有效期间，甲、乙双方必须遵守国家法律、法规，以保护甲、乙双方的合法权益，不受侵犯。</w:t>
      </w:r>
    </w:p>
    <w:p w14:paraId="109F3B4B">
      <w:pPr>
        <w:spacing w:line="420" w:lineRule="exact"/>
        <w:ind w:firstLine="480"/>
        <w:jc w:val="left"/>
        <w:rPr>
          <w:rFonts w:ascii="宋体" w:hAnsi="宋体" w:cs="宋体"/>
          <w:color w:val="auto"/>
          <w:sz w:val="24"/>
          <w:highlight w:val="none"/>
        </w:rPr>
      </w:pPr>
      <w:r>
        <w:rPr>
          <w:rFonts w:hint="eastAsia" w:ascii="宋体" w:hAnsi="宋体" w:cs="宋体"/>
          <w:b/>
          <w:color w:val="auto"/>
          <w:sz w:val="24"/>
          <w:highlight w:val="none"/>
        </w:rPr>
        <w:t>第一条　服务事项</w:t>
      </w:r>
      <w:r>
        <w:rPr>
          <w:rFonts w:hint="eastAsia" w:ascii="宋体" w:hAnsi="宋体" w:cs="宋体"/>
          <w:b/>
          <w:color w:val="auto"/>
          <w:sz w:val="24"/>
          <w:highlight w:val="none"/>
        </w:rPr>
        <w:br w:type="textWrapping"/>
      </w:r>
      <w:r>
        <w:rPr>
          <w:rFonts w:hint="eastAsia" w:ascii="宋体" w:hAnsi="宋体" w:cs="宋体"/>
          <w:color w:val="auto"/>
          <w:sz w:val="24"/>
          <w:highlight w:val="none"/>
        </w:rPr>
        <w:t>　　康复训练和公共服务外包。</w:t>
      </w:r>
    </w:p>
    <w:p w14:paraId="39939821">
      <w:pPr>
        <w:spacing w:line="420" w:lineRule="exact"/>
        <w:ind w:firstLine="542" w:firstLineChars="225"/>
        <w:jc w:val="left"/>
        <w:rPr>
          <w:rFonts w:ascii="宋体" w:hAnsi="宋体" w:cs="宋体"/>
          <w:color w:val="auto"/>
          <w:sz w:val="24"/>
          <w:highlight w:val="none"/>
        </w:rPr>
      </w:pPr>
      <w:r>
        <w:rPr>
          <w:rFonts w:hint="eastAsia" w:ascii="宋体" w:hAnsi="宋体" w:cs="宋体"/>
          <w:b/>
          <w:color w:val="auto"/>
          <w:sz w:val="24"/>
          <w:highlight w:val="none"/>
        </w:rPr>
        <w:t>第二条　服务地点</w:t>
      </w:r>
      <w:r>
        <w:rPr>
          <w:rFonts w:hint="eastAsia" w:ascii="宋体" w:hAnsi="宋体" w:cs="宋体"/>
          <w:color w:val="auto"/>
          <w:sz w:val="24"/>
          <w:highlight w:val="none"/>
        </w:rPr>
        <w:br w:type="textWrapping"/>
      </w:r>
      <w:r>
        <w:rPr>
          <w:rFonts w:hint="eastAsia" w:ascii="宋体" w:hAnsi="宋体" w:cs="宋体"/>
          <w:color w:val="auto"/>
          <w:sz w:val="24"/>
          <w:highlight w:val="none"/>
        </w:rPr>
        <w:t>　　服务地点：</w:t>
      </w:r>
      <w:r>
        <w:rPr>
          <w:rFonts w:hint="eastAsia" w:ascii="宋体" w:hAnsi="宋体" w:cs="宋体"/>
          <w:color w:val="auto"/>
          <w:sz w:val="24"/>
          <w:highlight w:val="none"/>
          <w:u w:val="single"/>
        </w:rPr>
        <w:t xml:space="preserve"> 无锡 </w:t>
      </w:r>
      <w:r>
        <w:rPr>
          <w:rFonts w:hint="eastAsia" w:ascii="宋体" w:hAnsi="宋体" w:cs="宋体"/>
          <w:color w:val="auto"/>
          <w:sz w:val="24"/>
          <w:highlight w:val="none"/>
        </w:rPr>
        <w:t>市</w:t>
      </w:r>
      <w:r>
        <w:rPr>
          <w:rFonts w:hint="eastAsia" w:ascii="宋体" w:hAnsi="宋体" w:cs="宋体"/>
          <w:color w:val="auto"/>
          <w:sz w:val="24"/>
          <w:highlight w:val="none"/>
          <w:u w:val="single"/>
        </w:rPr>
        <w:t>新吴区</w:t>
      </w:r>
      <w:r>
        <w:rPr>
          <w:rFonts w:hint="eastAsia" w:ascii="宋体" w:hAnsi="宋体" w:cs="宋体"/>
          <w:color w:val="auto"/>
          <w:sz w:val="24"/>
          <w:highlight w:val="none"/>
        </w:rPr>
        <w:t>（县）</w:t>
      </w:r>
      <w:r>
        <w:rPr>
          <w:rFonts w:hint="eastAsia" w:ascii="宋体" w:hAnsi="宋体" w:cs="宋体"/>
          <w:color w:val="auto"/>
          <w:sz w:val="24"/>
          <w:highlight w:val="none"/>
          <w:u w:val="single"/>
        </w:rPr>
        <w:t>锡兴北路</w:t>
      </w:r>
      <w:r>
        <w:rPr>
          <w:rFonts w:hint="eastAsia" w:ascii="宋体" w:hAnsi="宋体" w:cs="宋体"/>
          <w:color w:val="auto"/>
          <w:sz w:val="24"/>
          <w:highlight w:val="none"/>
        </w:rPr>
        <w:t>（路）</w:t>
      </w:r>
      <w:r>
        <w:rPr>
          <w:rFonts w:hint="eastAsia" w:ascii="宋体" w:hAnsi="宋体" w:cs="宋体"/>
          <w:color w:val="auto"/>
          <w:sz w:val="24"/>
          <w:highlight w:val="none"/>
          <w:u w:val="single"/>
        </w:rPr>
        <w:t xml:space="preserve"> 199</w:t>
      </w:r>
      <w:r>
        <w:rPr>
          <w:rFonts w:hint="eastAsia" w:ascii="宋体" w:hAnsi="宋体" w:cs="宋体"/>
          <w:color w:val="auto"/>
          <w:sz w:val="24"/>
          <w:highlight w:val="none"/>
        </w:rPr>
        <w:t>号</w:t>
      </w:r>
      <w:bookmarkStart w:id="181" w:name="OLE_LINK51"/>
      <w:bookmarkStart w:id="182" w:name="OLE_LINK52"/>
      <w:r>
        <w:rPr>
          <w:rFonts w:hint="eastAsia" w:ascii="宋体" w:hAnsi="宋体" w:cs="宋体"/>
          <w:color w:val="auto"/>
          <w:sz w:val="24"/>
          <w:highlight w:val="none"/>
          <w:u w:val="single"/>
        </w:rPr>
        <w:t>无锡市残疾人综合服务中心、无锡市老龄工作发展促进中心</w:t>
      </w:r>
      <w:bookmarkEnd w:id="181"/>
      <w:bookmarkEnd w:id="182"/>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第三条　服务期限</w:t>
      </w:r>
    </w:p>
    <w:p w14:paraId="39A9B62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1.自合同签订生效之日起，服务期限为两年。合同期满，如有需要，乙方应根据甲方的要求延续提供服务，费用标准按原合同规定执行。</w:t>
      </w:r>
    </w:p>
    <w:p w14:paraId="649034C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2.实行人员工资和管理费按月结算，月服务费用结算按实际到岗人数结合考核结果后支付。</w:t>
      </w:r>
    </w:p>
    <w:p w14:paraId="0E5EAC6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3.合同期内如甲方运营模式发生重大变动或出现其它法律事由影响合同正常履行的，甲方提前一个月通知乙方后合同解除，乙方放弃向甲方主张违约责任或损害赔偿。</w:t>
      </w:r>
    </w:p>
    <w:p w14:paraId="3F487A7E">
      <w:pPr>
        <w:spacing w:line="420" w:lineRule="exact"/>
        <w:ind w:left="479" w:leftChars="228" w:firstLine="60" w:firstLineChars="25"/>
        <w:rPr>
          <w:rFonts w:ascii="宋体" w:hAnsi="宋体" w:cs="宋体"/>
          <w:color w:val="auto"/>
          <w:sz w:val="24"/>
          <w:highlight w:val="none"/>
        </w:rPr>
      </w:pPr>
      <w:r>
        <w:rPr>
          <w:rFonts w:hint="eastAsia" w:ascii="宋体" w:hAnsi="宋体" w:cs="宋体"/>
          <w:b/>
          <w:color w:val="auto"/>
          <w:sz w:val="24"/>
          <w:highlight w:val="none"/>
        </w:rPr>
        <w:t>第四条　服务费用及财务管理要求</w:t>
      </w:r>
    </w:p>
    <w:p w14:paraId="6034CDE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1．本项目服务费用共计：人民币（大写），（小写）¥（含税费）。</w:t>
      </w:r>
    </w:p>
    <w:p w14:paraId="75F2F3E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2．乙方须实地踏看并仔细核算各项费用。若乙方未考虑周全或对标书的误解而造成漏项等少计费用将被视为已包括在其他项目中计取，而不再增加。</w:t>
      </w:r>
    </w:p>
    <w:p w14:paraId="4A4779E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3．报价应当符合国家法律法规和行业的有关规定。</w:t>
      </w:r>
    </w:p>
    <w:p w14:paraId="4124753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乙方应按规定，与所有聘用人员依法签订劳动合同或劳务协议。乙方员工在合同期间所发生的福利费、工伤、生病住院、意外伤（亡）害等费用均由乙方依法承担。发生劳动仲裁及劳动纠纷的一切事宜，一律由乙方依法处理并承担相应法律责任。</w:t>
      </w:r>
    </w:p>
    <w:p w14:paraId="7F254BD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乙方的报价总额即为本服务项目的最终价。服务期间如遇国家政策性调价，市场材料等价格发生变化，本服务项目均不予调整。新增减服务范围按实调整。乙方报价时应充分考虑服务期内所有可能影响到报价的因素（包括最低工资标准和社保基数的政策性调整），如发生漏、缺、少项，都将被认为是乙方的报价让利行为，损失由其自负。</w:t>
      </w:r>
    </w:p>
    <w:p w14:paraId="3D01439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6、验收标准：</w:t>
      </w:r>
    </w:p>
    <w:p w14:paraId="0858CFA4">
      <w:pPr>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6.1</w:t>
      </w:r>
      <w:r>
        <w:rPr>
          <w:rFonts w:hint="eastAsia" w:ascii="宋体" w:hAnsi="宋体"/>
          <w:color w:val="auto"/>
          <w:sz w:val="24"/>
          <w:highlight w:val="none"/>
        </w:rPr>
        <w:t>甲方每月对相应内容的检查结果进行考核，采用百分制考核，考核分低于90分的，每低1分相应扣除当月服务外包费用1000元。考核内容包括：人员保障，服务质量，管理成效等。考核当月出现以下情形视为考核不合格，扣除当月服务费总额的10%，另赔偿甲方的损失：</w:t>
      </w:r>
    </w:p>
    <w:p w14:paraId="5F2B42D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1）不配合甲方开展各项工作且书面通知仍然不改正的。</w:t>
      </w:r>
    </w:p>
    <w:p w14:paraId="1CF0102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2）服务人员与托养人员发生纠纷，造成托养人员人身伤害严重的。</w:t>
      </w:r>
    </w:p>
    <w:p w14:paraId="2800E8E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3）因乙方原因造成甲方人员伤亡、财产损失，对甲方产生重大影响的。</w:t>
      </w:r>
    </w:p>
    <w:p w14:paraId="22D6410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4）乙方与服务人员发生劳资纠纷，对甲方产生重大影响的。</w:t>
      </w:r>
    </w:p>
    <w:p w14:paraId="08C7803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5）其他因乙方原因对甲方或托养人员造成重大影响的事项。</w:t>
      </w:r>
    </w:p>
    <w:p w14:paraId="7F0CE7E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6.2甲方定期和不定期地对乙方管理服务进行检查和抽查，核查记录和整改期限将反馈给乙方。</w:t>
      </w:r>
    </w:p>
    <w:p w14:paraId="589CE80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6.3乙方所有的工作应按服务流程实施外，应接受甲方或第三方（职能部门）的随时检查，如出现服务质量未达标情况，甲方有权要求其整改。</w:t>
      </w:r>
    </w:p>
    <w:p w14:paraId="28CCF2CE">
      <w:pPr>
        <w:spacing w:line="420" w:lineRule="exact"/>
        <w:ind w:left="479" w:leftChars="228" w:firstLine="60" w:firstLineChars="25"/>
        <w:rPr>
          <w:rFonts w:ascii="宋体" w:hAnsi="宋体" w:cs="宋体"/>
          <w:b/>
          <w:color w:val="auto"/>
          <w:sz w:val="24"/>
          <w:highlight w:val="none"/>
        </w:rPr>
      </w:pPr>
      <w:r>
        <w:rPr>
          <w:rFonts w:hint="eastAsia" w:ascii="宋体" w:hAnsi="宋体" w:cs="宋体"/>
          <w:b/>
          <w:color w:val="auto"/>
          <w:sz w:val="24"/>
          <w:highlight w:val="none"/>
        </w:rPr>
        <w:t>第五条  护理服务应达到的指标要求</w:t>
      </w:r>
    </w:p>
    <w:p w14:paraId="6DAA0BCC">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（一）质量要求</w:t>
      </w:r>
    </w:p>
    <w:p w14:paraId="2B5C0AE0">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1．开展康复评估=100%；</w:t>
      </w:r>
    </w:p>
    <w:p w14:paraId="3861C07D">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2．根据康复评估结果建立康复档案=100%</w:t>
      </w:r>
    </w:p>
    <w:p w14:paraId="6913C212">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3．评估通过人员康复文娱参与率≥90%；</w:t>
      </w:r>
    </w:p>
    <w:p w14:paraId="4DCBD5CB">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4．参加康复文娱活动人员或其家属对康复服务满意率≥90%；</w:t>
      </w:r>
    </w:p>
    <w:p w14:paraId="27D4A9D6">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5．服务过程中安全率=100%；</w:t>
      </w:r>
    </w:p>
    <w:p w14:paraId="1A60483E">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6．理发服务，每人每月一般不少于1次；</w:t>
      </w:r>
    </w:p>
    <w:p w14:paraId="144B85EB">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7. 床上用品随换随洗，外衣根据托养人员的需要洗涤。窗帘，隔帘根据实际需要洗涤，特殊换洗的根据要求单独洗涤，消毒。</w:t>
      </w:r>
    </w:p>
    <w:p w14:paraId="3BBEE60A">
      <w:pPr>
        <w:pStyle w:val="30"/>
        <w:shd w:val="clear" w:color="auto" w:fill="FFFFFF"/>
        <w:spacing w:before="90" w:beforeAutospacing="0" w:after="90" w:afterAutospacing="0" w:line="360" w:lineRule="auto"/>
        <w:rPr>
          <w:b/>
          <w:color w:val="auto"/>
          <w:highlight w:val="none"/>
        </w:rPr>
      </w:pPr>
      <w:r>
        <w:rPr>
          <w:rFonts w:hint="eastAsia"/>
          <w:b/>
          <w:color w:val="auto"/>
          <w:highlight w:val="none"/>
        </w:rPr>
        <w:t>（二）安全要求</w:t>
      </w:r>
    </w:p>
    <w:p w14:paraId="4B644609">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1．遵守两中心各项规章制度，严格执行技术操作规程，落实安全防范措施；</w:t>
      </w:r>
    </w:p>
    <w:p w14:paraId="01074CE8">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2．评估服务对象不安全因素，制定意外事故的预防方案；</w:t>
      </w:r>
    </w:p>
    <w:p w14:paraId="4C32FB7B">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3．组织、参加安全相关培训每年不少于2次；</w:t>
      </w:r>
    </w:p>
    <w:p w14:paraId="356608C7">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4．在训练人员中发现患有传染病的情况，要迅速采取特殊保护措施，并及时上报。</w:t>
      </w:r>
    </w:p>
    <w:p w14:paraId="776197F1">
      <w:pPr>
        <w:spacing w:line="440" w:lineRule="exact"/>
        <w:ind w:firstLine="542" w:firstLineChars="225"/>
        <w:rPr>
          <w:rFonts w:ascii="宋体" w:hAnsi="宋体" w:cs="宋体"/>
          <w:color w:val="auto"/>
          <w:sz w:val="24"/>
          <w:highlight w:val="none"/>
        </w:rPr>
      </w:pPr>
      <w:r>
        <w:rPr>
          <w:rFonts w:hint="eastAsia" w:ascii="宋体" w:hAnsi="宋体" w:cs="宋体"/>
          <w:b/>
          <w:color w:val="auto"/>
          <w:sz w:val="24"/>
          <w:highlight w:val="none"/>
        </w:rPr>
        <w:t>第六条　服务标准</w:t>
      </w:r>
    </w:p>
    <w:p w14:paraId="5E154B70">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（一）服务内容</w:t>
      </w:r>
    </w:p>
    <w:p w14:paraId="5CEBA28F">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康复活动：</w:t>
      </w:r>
    </w:p>
    <w:p w14:paraId="44A2AC3C">
      <w:pPr>
        <w:spacing w:line="360" w:lineRule="auto"/>
        <w:ind w:firstLine="352" w:firstLineChars="147"/>
        <w:rPr>
          <w:rFonts w:ascii="宋体" w:hAnsi="宋体"/>
          <w:b/>
          <w:color w:val="auto"/>
          <w:sz w:val="24"/>
          <w:highlight w:val="none"/>
        </w:rPr>
      </w:pPr>
      <w:r>
        <w:rPr>
          <w:rFonts w:hint="eastAsia" w:ascii="宋体" w:hAnsi="宋体" w:cs="宋体"/>
          <w:color w:val="auto"/>
          <w:sz w:val="24"/>
          <w:highlight w:val="none"/>
        </w:rPr>
        <w:t xml:space="preserve"> 1.对</w:t>
      </w:r>
      <w:r>
        <w:rPr>
          <w:rFonts w:hint="eastAsia" w:ascii="宋体" w:hAnsi="宋体"/>
          <w:color w:val="auto"/>
          <w:sz w:val="24"/>
          <w:highlight w:val="none"/>
        </w:rPr>
        <w:t>服务对象</w:t>
      </w:r>
      <w:r>
        <w:rPr>
          <w:rFonts w:hint="eastAsia" w:ascii="宋体" w:hAnsi="宋体" w:cs="宋体"/>
          <w:color w:val="auto"/>
          <w:sz w:val="24"/>
          <w:highlight w:val="none"/>
        </w:rPr>
        <w:t>进行康复功能评估，并出具评定结果，交招标方确认。</w:t>
      </w:r>
    </w:p>
    <w:p w14:paraId="3EB9A593">
      <w:pPr>
        <w:spacing w:line="360" w:lineRule="auto"/>
        <w:ind w:firstLine="352" w:firstLineChars="147"/>
        <w:rPr>
          <w:rFonts w:ascii="宋体" w:hAnsi="宋体" w:cs="宋体"/>
          <w:color w:val="auto"/>
          <w:sz w:val="24"/>
          <w:highlight w:val="none"/>
        </w:rPr>
      </w:pPr>
      <w:r>
        <w:rPr>
          <w:rFonts w:hint="eastAsia" w:ascii="宋体" w:hAnsi="宋体" w:cs="宋体"/>
          <w:color w:val="auto"/>
          <w:sz w:val="24"/>
          <w:highlight w:val="none"/>
        </w:rPr>
        <w:t xml:space="preserve"> 2.根据评定结果科学制定相适应的康复方案/计划。</w:t>
      </w:r>
    </w:p>
    <w:p w14:paraId="47187A2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3.具体实施训练，训练强度合理，过程性资料完整。</w:t>
      </w:r>
    </w:p>
    <w:p w14:paraId="4AD74EF0">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4.按照康复训练阶段或功能水平的提高程度，进行及时的能力分析、评定、以此修订计划，各节点康复计划实施前应提交招标方审核批准。</w:t>
      </w:r>
    </w:p>
    <w:p w14:paraId="74912D67">
      <w:pPr>
        <w:spacing w:line="360" w:lineRule="auto"/>
        <w:ind w:firstLine="352" w:firstLineChars="147"/>
        <w:rPr>
          <w:rFonts w:ascii="宋体" w:hAnsi="宋体"/>
          <w:b/>
          <w:color w:val="auto"/>
          <w:sz w:val="24"/>
          <w:highlight w:val="none"/>
        </w:rPr>
      </w:pPr>
      <w:r>
        <w:rPr>
          <w:rFonts w:hint="eastAsia" w:ascii="宋体" w:hAnsi="宋体" w:cs="宋体"/>
          <w:color w:val="auto"/>
          <w:sz w:val="24"/>
          <w:highlight w:val="none"/>
        </w:rPr>
        <w:t xml:space="preserve"> 5.建立一人一档的康复档案，康复过程记录与康复方案/计划一致。康复记录书写及时、完整，对服务对象接受康复服务的内容、方法和效果进行评估。</w:t>
      </w:r>
    </w:p>
    <w:p w14:paraId="7FAFFE44">
      <w:pPr>
        <w:spacing w:line="360" w:lineRule="auto"/>
        <w:ind w:firstLine="352" w:firstLineChars="147"/>
        <w:rPr>
          <w:rFonts w:ascii="宋体" w:hAnsi="宋体" w:cs="宋体"/>
          <w:color w:val="auto"/>
          <w:sz w:val="24"/>
          <w:highlight w:val="none"/>
        </w:rPr>
      </w:pPr>
      <w:r>
        <w:rPr>
          <w:rFonts w:hint="eastAsia" w:ascii="宋体" w:hAnsi="宋体" w:cs="宋体"/>
          <w:color w:val="auto"/>
          <w:sz w:val="24"/>
          <w:highlight w:val="none"/>
        </w:rPr>
        <w:t xml:space="preserve"> 6.建立康复设备与器材安全检查台账，提出更换、淘汰建议。</w:t>
      </w:r>
    </w:p>
    <w:p w14:paraId="185D8490">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7.每季度至少举办一次讲座普及康复知识，传授疾病预防和康复训练知识。</w:t>
      </w:r>
    </w:p>
    <w:p w14:paraId="766AA504">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 xml:space="preserve"> 文娱活动：</w:t>
      </w:r>
    </w:p>
    <w:p w14:paraId="6431B60F">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1.工作日组织适宜服务对象活动（包含文化、体育、休闲娱乐活动等），要求日常活动种类多样，有适合不同服务对象的活动。</w:t>
      </w:r>
    </w:p>
    <w:p w14:paraId="107D2FE5">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2.协助甲方开展大型传统节日、特殊纪念日活动、特色主题活动、集体生日会等。</w:t>
      </w:r>
    </w:p>
    <w:p w14:paraId="7C9F77A3">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3.制定服务对象文化娱乐活动相关应急预案，熟练使用文化娱乐相关设备并做好设备日常维护工作。</w:t>
      </w:r>
    </w:p>
    <w:p w14:paraId="222D487B">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4.按照服务对象需要制订活动服务计划，包括日常活动、月度活动及特色活动等。</w:t>
      </w:r>
    </w:p>
    <w:p w14:paraId="4AC501D3">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5.文化活动适宜服务对象心理精神需求，体育活动适合服务对象体能情况，缓和不剧烈。</w:t>
      </w:r>
    </w:p>
    <w:p w14:paraId="225E7146">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6.开展音乐康复治疗，组织残疾人乐队日常排练演出曲目。</w:t>
      </w:r>
    </w:p>
    <w:p w14:paraId="2B38EE10">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 xml:space="preserve"> 护理活动：</w:t>
      </w:r>
    </w:p>
    <w:p w14:paraId="343DB2E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1.服从老年托养部护士长的排班，实行24小时值班制。</w:t>
      </w:r>
    </w:p>
    <w:p w14:paraId="5F6D9A74">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2.负责入住老人的基础护理工作，如导尿、鼻饲、会阴护理、口腔护理等常规护理工作。</w:t>
      </w:r>
    </w:p>
    <w:p w14:paraId="698FBD0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3.定时定点给老人发口服药、注射胰岛素等常规工作。</w:t>
      </w:r>
    </w:p>
    <w:p w14:paraId="6D0DDFF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4.会进行简单的急救工作，做好护理记录。</w:t>
      </w:r>
    </w:p>
    <w:p w14:paraId="3C3C2F2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5.做好老人的心理护理及家属的沟通工作。</w:t>
      </w:r>
    </w:p>
    <w:p w14:paraId="2EB875F2">
      <w:pPr>
        <w:spacing w:line="360" w:lineRule="auto"/>
        <w:ind w:firstLine="723" w:firstLineChars="300"/>
        <w:rPr>
          <w:rFonts w:ascii="宋体" w:hAnsi="宋体"/>
          <w:b/>
          <w:color w:val="auto"/>
          <w:sz w:val="24"/>
          <w:highlight w:val="none"/>
        </w:rPr>
      </w:pPr>
      <w:r>
        <w:rPr>
          <w:rFonts w:hint="eastAsia" w:ascii="宋体" w:hAnsi="宋体"/>
          <w:b/>
          <w:color w:val="auto"/>
          <w:sz w:val="24"/>
          <w:highlight w:val="none"/>
        </w:rPr>
        <w:t>具体工作事宜由市老龄工作发展促进中心安排。</w:t>
      </w:r>
    </w:p>
    <w:p w14:paraId="7128D40E">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洗涤服务：</w:t>
      </w:r>
    </w:p>
    <w:p w14:paraId="3FF5F8F3">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1.为“两中心”入托人员的衣物（外衣），床上用品以及房间的窗帘、隔帘等提供收集、清洗、消毒、烘干、整理服务。</w:t>
      </w:r>
    </w:p>
    <w:p w14:paraId="4F2D6699">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2.床上用品、特殊污衣物随换随洗。</w:t>
      </w:r>
    </w:p>
    <w:p w14:paraId="534B607C">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3.洗涤衣物和床上用品应分类清洗、晒干或烘干。</w:t>
      </w:r>
    </w:p>
    <w:p w14:paraId="292114E2">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4.指定地点收集污物，运送车洁污分开。</w:t>
      </w:r>
    </w:p>
    <w:p w14:paraId="2D34CC3E">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5.被血液、排泄物、分泌物污染或疑似传染性衣物及床上用品封闭运输，单独清洗，洗涤过程采用消毒－清洗－消毒的顺序，有消毒记录。</w:t>
      </w:r>
    </w:p>
    <w:p w14:paraId="700D61A9">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6.衣物完好无损，整理后准确无误送还，有记录。因布料老化等原因导致破损应及时说明情况。</w:t>
      </w:r>
    </w:p>
    <w:p w14:paraId="127C80FA">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7.常规洗涤设备每日清洗，每周消毒，有清洗、消毒记录。</w:t>
      </w:r>
    </w:p>
    <w:p w14:paraId="36E82CF4">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理发服务：</w:t>
      </w:r>
    </w:p>
    <w:p w14:paraId="376E1866">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提供每月一次入托人员的理发服务，做好工具定期消毒。</w:t>
      </w:r>
    </w:p>
    <w:p w14:paraId="7210D9D1">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（二）工作要求</w:t>
      </w:r>
    </w:p>
    <w:p w14:paraId="2CD1D05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olor w:val="auto"/>
          <w:sz w:val="24"/>
          <w:highlight w:val="none"/>
        </w:rPr>
        <w:t>.</w:t>
      </w:r>
      <w:r>
        <w:rPr>
          <w:rFonts w:hint="eastAsia" w:ascii="宋体" w:hAnsi="宋体" w:cs="宋体"/>
          <w:color w:val="auto"/>
          <w:sz w:val="24"/>
          <w:highlight w:val="none"/>
        </w:rPr>
        <w:t>激发入托人员参与康复活动的热情，提高参与度。</w:t>
      </w:r>
    </w:p>
    <w:p w14:paraId="1EE148D4">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olor w:val="auto"/>
          <w:sz w:val="24"/>
          <w:highlight w:val="none"/>
        </w:rPr>
        <w:t>.</w:t>
      </w:r>
      <w:r>
        <w:rPr>
          <w:rFonts w:hint="eastAsia" w:ascii="宋体" w:hAnsi="宋体" w:cs="宋体"/>
          <w:color w:val="auto"/>
          <w:sz w:val="24"/>
          <w:highlight w:val="none"/>
        </w:rPr>
        <w:t>熟悉了解每一位服务对象的疾病情况、服务需求，科学制定计划，提高康复训练针对性。</w:t>
      </w:r>
    </w:p>
    <w:p w14:paraId="587C9699">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olor w:val="auto"/>
          <w:sz w:val="24"/>
          <w:highlight w:val="none"/>
        </w:rPr>
        <w:t>.</w:t>
      </w:r>
      <w:r>
        <w:rPr>
          <w:rFonts w:hint="eastAsia" w:ascii="宋体" w:hAnsi="宋体" w:cs="宋体"/>
          <w:color w:val="auto"/>
          <w:sz w:val="24"/>
          <w:highlight w:val="none"/>
        </w:rPr>
        <w:t>服务人员尊重、关心、爱护每一位服务对象，语言文明礼貌，举止端庄大方，服务耐心细致。</w:t>
      </w:r>
    </w:p>
    <w:p w14:paraId="0247BE93">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olor w:val="auto"/>
          <w:sz w:val="24"/>
          <w:highlight w:val="none"/>
        </w:rPr>
        <w:t>.</w:t>
      </w:r>
      <w:r>
        <w:rPr>
          <w:rFonts w:hint="eastAsia" w:ascii="宋体" w:hAnsi="宋体" w:cs="宋体"/>
          <w:color w:val="auto"/>
          <w:sz w:val="24"/>
          <w:highlight w:val="none"/>
        </w:rPr>
        <w:t>在工作岗位上及时观察服务对象的情况，发现异常，及时报告，及时处理，杜绝差错事故发生。</w:t>
      </w:r>
    </w:p>
    <w:p w14:paraId="0D178AF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olor w:val="auto"/>
          <w:sz w:val="24"/>
          <w:highlight w:val="none"/>
        </w:rPr>
        <w:t>.</w:t>
      </w:r>
      <w:r>
        <w:rPr>
          <w:rFonts w:hint="eastAsia" w:ascii="宋体" w:hAnsi="宋体" w:cs="宋体"/>
          <w:color w:val="auto"/>
          <w:sz w:val="24"/>
          <w:highlight w:val="none"/>
        </w:rPr>
        <w:t>注重保护老年人及残疾人的个人隐私，不得利用入托人员相关的资料、数据进行商业宣传或泄露。</w:t>
      </w:r>
    </w:p>
    <w:p w14:paraId="0E6EC2BA">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olor w:val="auto"/>
          <w:sz w:val="24"/>
          <w:highlight w:val="none"/>
        </w:rPr>
        <w:t>.</w:t>
      </w:r>
      <w:r>
        <w:rPr>
          <w:rFonts w:hint="eastAsia" w:ascii="宋体" w:hAnsi="宋体" w:cs="宋体"/>
          <w:color w:val="auto"/>
          <w:sz w:val="24"/>
          <w:highlight w:val="none"/>
        </w:rPr>
        <w:t>与同事和班组团结合作，创造文明、健康、乐观的工作氛围。</w:t>
      </w:r>
    </w:p>
    <w:p w14:paraId="213E43C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olor w:val="auto"/>
          <w:sz w:val="24"/>
          <w:highlight w:val="none"/>
        </w:rPr>
        <w:t>.</w:t>
      </w:r>
      <w:r>
        <w:rPr>
          <w:rFonts w:hint="eastAsia" w:ascii="宋体" w:hAnsi="宋体" w:cs="宋体"/>
          <w:color w:val="auto"/>
          <w:sz w:val="24"/>
          <w:highlight w:val="none"/>
        </w:rPr>
        <w:t>做好物资、康复器械、办公设备等管理，建立管理台账，有物资或设备损坏应及时与有关方联系，进行及时更换或修缮，保证康复工作的正常进行。</w:t>
      </w:r>
    </w:p>
    <w:p w14:paraId="03AB33A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8</w:t>
      </w:r>
      <w:r>
        <w:rPr>
          <w:rFonts w:hint="eastAsia" w:ascii="宋体" w:hAnsi="宋体"/>
          <w:color w:val="auto"/>
          <w:sz w:val="24"/>
          <w:highlight w:val="none"/>
        </w:rPr>
        <w:t>.</w:t>
      </w:r>
      <w:r>
        <w:rPr>
          <w:rFonts w:hint="eastAsia" w:ascii="宋体" w:hAnsi="宋体" w:cs="宋体"/>
          <w:color w:val="auto"/>
          <w:sz w:val="24"/>
          <w:highlight w:val="none"/>
        </w:rPr>
        <w:t>做好各康复活动室、办公区域及其他相关活动区域的卫生工作，保持康复训练环境的整洁、安全、舒适。</w:t>
      </w:r>
    </w:p>
    <w:p w14:paraId="231495C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9.保证洗涤质量，确保洗涤物品不因工作责任心不强导致丢失，损坏。</w:t>
      </w:r>
    </w:p>
    <w:p w14:paraId="43CC64CF">
      <w:pPr>
        <w:spacing w:line="360" w:lineRule="auto"/>
        <w:ind w:firstLine="480" w:firstLineChars="200"/>
        <w:jc w:val="left"/>
        <w:rPr>
          <w:rFonts w:ascii="宋体" w:hAnsi="宋体"/>
          <w:b/>
          <w:color w:val="auto"/>
          <w:sz w:val="24"/>
          <w:highlight w:val="none"/>
        </w:rPr>
      </w:pPr>
      <w:r>
        <w:rPr>
          <w:rFonts w:hint="eastAsia" w:ascii="宋体" w:hAnsi="宋体" w:cs="宋体"/>
          <w:color w:val="auto"/>
          <w:sz w:val="24"/>
          <w:highlight w:val="none"/>
        </w:rPr>
        <w:t>10</w:t>
      </w:r>
      <w:r>
        <w:rPr>
          <w:rFonts w:hint="eastAsia" w:ascii="宋体" w:hAnsi="宋体"/>
          <w:color w:val="auto"/>
          <w:sz w:val="24"/>
          <w:highlight w:val="none"/>
        </w:rPr>
        <w:t>.</w:t>
      </w:r>
      <w:r>
        <w:rPr>
          <w:rFonts w:hint="eastAsia" w:ascii="宋体" w:hAnsi="宋体" w:cs="宋体"/>
          <w:color w:val="auto"/>
          <w:sz w:val="24"/>
          <w:highlight w:val="none"/>
        </w:rPr>
        <w:t>参加甲方组织的各项活动；完成甲方交办的其他任务；自觉接受甲方对服务过程的全程监督和指导。</w:t>
      </w:r>
    </w:p>
    <w:p w14:paraId="2963B631">
      <w:pPr>
        <w:widowControl/>
        <w:spacing w:line="440" w:lineRule="exact"/>
        <w:ind w:left="523" w:leftChars="249"/>
        <w:jc w:val="left"/>
        <w:rPr>
          <w:rFonts w:ascii="宋体" w:hAnsi="宋体" w:cs="宋体"/>
          <w:b/>
          <w:color w:val="auto"/>
          <w:sz w:val="24"/>
          <w:highlight w:val="none"/>
        </w:rPr>
      </w:pPr>
      <w:r>
        <w:rPr>
          <w:rFonts w:hint="eastAsia" w:ascii="宋体" w:hAnsi="宋体" w:cs="宋体"/>
          <w:b/>
          <w:color w:val="auto"/>
          <w:sz w:val="24"/>
          <w:highlight w:val="none"/>
        </w:rPr>
        <w:t>第七条　工作时间、人员要求</w:t>
      </w:r>
    </w:p>
    <w:p w14:paraId="1A06C88F">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1．管理人员、康复治疗师、社工、护士</w:t>
      </w:r>
    </w:p>
    <w:p w14:paraId="6072560E">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 xml:space="preserve">   上午8:30至下午4:30（参照两中心工作时间，根据排班表参加值班）</w:t>
      </w:r>
    </w:p>
    <w:p w14:paraId="7E44314A">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 xml:space="preserve">   洗衣房工作人员</w:t>
      </w:r>
    </w:p>
    <w:p w14:paraId="37182CBF">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 xml:space="preserve">   上午8:00至下午4:00，节假日至少一人在岗</w:t>
      </w:r>
    </w:p>
    <w:p w14:paraId="7F33833B">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应做好出勤考勤表, 正常工作时间内不得缺席。节假日期间有关岗位应按规定安排值班，如遇特殊情况，需服从招标方安排。参加值班、加班人员可安排调休。</w:t>
      </w:r>
    </w:p>
    <w:p w14:paraId="3A34B829">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2．专技人员均持证上岗，且根据不同岗位安排着装。</w:t>
      </w:r>
    </w:p>
    <w:p w14:paraId="522DD912">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3．工作人员要求身体健康，思想素质好、爱岗敬业，不虐待托养人员，不接受或不向托养人员及其亲属索要红包或物品，无不良行为记录。</w:t>
      </w:r>
    </w:p>
    <w:p w14:paraId="121CA191">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4．中标后重要岗位人员如需更换，应提前两周以上书面告知甲方，经同意认可后方可更换，并建立工作人员花名册、档案。</w:t>
      </w:r>
    </w:p>
    <w:p w14:paraId="75668FB6">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5．为提高服务质量，所有工作人员应定期进行各类业务培训，不断提高服务水平。定期进行安全教育，认真做好各类事故的预防工作，确保安全无事故。</w:t>
      </w:r>
    </w:p>
    <w:p w14:paraId="2F7541D3">
      <w:pPr>
        <w:spacing w:line="44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第八条权利与义务</w:t>
      </w:r>
    </w:p>
    <w:p w14:paraId="75D650F8">
      <w:pPr>
        <w:spacing w:line="42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（一）甲方的权利与义务</w:t>
      </w:r>
    </w:p>
    <w:p w14:paraId="6E566734">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1、按合同约定根据考核结果按期核算和支付合同款项。</w:t>
      </w:r>
    </w:p>
    <w:p w14:paraId="1982B36B">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2、审核确认乙方服务员工的排班和考勤的权利。</w:t>
      </w:r>
    </w:p>
    <w:p w14:paraId="6242FD96">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3、审核、督导服务人员服务质量的权利。</w:t>
      </w:r>
    </w:p>
    <w:p w14:paraId="5B7085EA">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甲方有权对以下情况的服务人员向乙方提出调换人员要求：①不能胜任工作岗位的；②严重违反甲方劳动纪律和规章制度的；③由于工作差错造成入托人员或家属投诉，经查情况属实的；④严重损害甲方声誉和利益的；</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5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⑤</w:t>
      </w:r>
      <w:r>
        <w:rPr>
          <w:rFonts w:hint="eastAsia" w:ascii="宋体" w:hAnsi="宋体" w:cs="宋体"/>
          <w:color w:val="auto"/>
          <w:sz w:val="24"/>
          <w:highlight w:val="none"/>
        </w:rPr>
        <w:fldChar w:fldCharType="end"/>
      </w:r>
      <w:r>
        <w:rPr>
          <w:rFonts w:hint="eastAsia" w:ascii="宋体" w:hAnsi="宋体" w:cs="宋体"/>
          <w:color w:val="auto"/>
          <w:sz w:val="24"/>
          <w:highlight w:val="none"/>
        </w:rPr>
        <w:t>身患疾病不适宜从事服务工作的；</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6 \* GB3</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⑥</w:t>
      </w:r>
      <w:r>
        <w:rPr>
          <w:rFonts w:hint="eastAsia" w:ascii="宋体" w:hAnsi="宋体" w:cs="宋体"/>
          <w:color w:val="auto"/>
          <w:sz w:val="24"/>
          <w:highlight w:val="none"/>
        </w:rPr>
        <w:fldChar w:fldCharType="end"/>
      </w:r>
      <w:r>
        <w:rPr>
          <w:rFonts w:hint="eastAsia" w:ascii="宋体" w:hAnsi="宋体" w:cs="宋体"/>
          <w:color w:val="auto"/>
          <w:sz w:val="24"/>
          <w:highlight w:val="none"/>
        </w:rPr>
        <w:t>收取托养对象或家属钱财的</w:t>
      </w:r>
      <w:r>
        <w:rPr>
          <w:rFonts w:hint="eastAsia" w:ascii="宋体" w:hAnsi="宋体"/>
          <w:color w:val="auto"/>
          <w:sz w:val="24"/>
          <w:highlight w:val="none"/>
        </w:rPr>
        <w:t>；⑦存在其他违反本协议约定或法律法规规定情形的</w:t>
      </w:r>
      <w:r>
        <w:rPr>
          <w:rFonts w:hint="eastAsia" w:ascii="宋体" w:hAnsi="宋体" w:cs="宋体"/>
          <w:color w:val="auto"/>
          <w:sz w:val="24"/>
          <w:highlight w:val="none"/>
        </w:rPr>
        <w:t>。</w:t>
      </w:r>
    </w:p>
    <w:p w14:paraId="562A72C9">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5、甲方不承担乙方与乙方工作人员签订合同后所发生的劳务纠纷的任何费用。</w:t>
      </w:r>
    </w:p>
    <w:p w14:paraId="2202DBDC">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6、甲方有告知托养人员的身体状况评估及相关医护重难点的义务，与乙方共同管控服务风险，监管指导服务人员工作。</w:t>
      </w:r>
    </w:p>
    <w:p w14:paraId="22A8C71D">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7、因托养人员的原因导致服务人员受伤，由乙方依法处理并承担相应法律责任，甲方不对乙方服务人员承担责任。</w:t>
      </w:r>
    </w:p>
    <w:p w14:paraId="5F8B2901">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8、《中华人民共和国民法典》规定的其他权利与义务。</w:t>
      </w:r>
    </w:p>
    <w:p w14:paraId="135F3C43">
      <w:pPr>
        <w:spacing w:line="42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（二）乙方的权利和义务</w:t>
      </w:r>
    </w:p>
    <w:p w14:paraId="2ED1FC18">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1、建立用工信息表（照片、姓名、身份证号、年龄、性别、部门岗位、到岗时间），并按需着装、挂牌上岗服务。</w:t>
      </w:r>
    </w:p>
    <w:p w14:paraId="36AF7994">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2、建立、执行服务规章和考核制度，确保服务质量，乙方需严格遵循甲方服务要求，接受甲方的监督和指导，对于甲方提出的整改要求应当立即落实。</w:t>
      </w:r>
    </w:p>
    <w:p w14:paraId="04895F54">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3、全力配合、及时完成甲方临时性服务需求和突击性任务。</w:t>
      </w:r>
    </w:p>
    <w:p w14:paraId="40344646">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乙方应根据有关劳动法律法规的规定，负责与员工劳动合同（劳务协议）的签订、解除等相关手续。乙方员工在合同期间所发生的福利费、工伤、生病住院、意外伤（亡）害等费用均由乙方依法承担。发生劳动仲裁及劳动纠纷的一切事宜，一律由乙方依法处理并承担相应法律责任。</w:t>
      </w:r>
    </w:p>
    <w:p w14:paraId="18B111F8">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未经甲方同意，不得以任何形式转租、转让、抵押承包区域及承包合作合同内容，不得从事合同范围外服务，否则甲方有权单方面终止合作合同，并保留进一步追究乙方责任的权利。在合作合同履行期间，乙方任何重大变动或法律事宜均应通知甲方。</w:t>
      </w:r>
    </w:p>
    <w:p w14:paraId="269157EC">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6、服务人员的调配和业务培训由乙方负责。员工必须持证上岗。</w:t>
      </w:r>
    </w:p>
    <w:p w14:paraId="118F9C10">
      <w:pPr>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7、遇有员工患病、产假等涉及的费用由乙方负责依法处理，同时由乙方及时安排人员接替工作，甲方按原核定的岗位实际人数支付费用。</w:t>
      </w:r>
    </w:p>
    <w:p w14:paraId="6B2963D6">
      <w:pPr>
        <w:widowControl/>
        <w:spacing w:line="42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8、乙方负责服务人员的管理工作，定期或不定期进行跟踪管理；</w:t>
      </w:r>
    </w:p>
    <w:p w14:paraId="1908383D">
      <w:pPr>
        <w:widowControl/>
        <w:spacing w:line="42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9、《中华人民共和国民法典》规定的其他权利与义务。</w:t>
      </w:r>
    </w:p>
    <w:p w14:paraId="1B06534E">
      <w:pPr>
        <w:widowControl/>
        <w:spacing w:line="440" w:lineRule="exact"/>
        <w:ind w:firstLine="525" w:firstLineChars="218"/>
        <w:jc w:val="left"/>
        <w:rPr>
          <w:rFonts w:ascii="宋体" w:hAnsi="宋体" w:cs="宋体"/>
          <w:color w:val="auto"/>
          <w:sz w:val="24"/>
          <w:highlight w:val="none"/>
        </w:rPr>
      </w:pPr>
      <w:r>
        <w:rPr>
          <w:rFonts w:hint="eastAsia" w:ascii="宋体" w:hAnsi="宋体" w:cs="宋体"/>
          <w:b/>
          <w:color w:val="auto"/>
          <w:sz w:val="24"/>
          <w:highlight w:val="none"/>
        </w:rPr>
        <w:t>第九条　合同的解除</w:t>
      </w:r>
      <w:r>
        <w:rPr>
          <w:rFonts w:hint="eastAsia" w:ascii="宋体" w:hAnsi="宋体" w:cs="宋体"/>
          <w:color w:val="auto"/>
          <w:sz w:val="24"/>
          <w:highlight w:val="none"/>
        </w:rPr>
        <w:br w:type="textWrapping"/>
      </w:r>
      <w:r>
        <w:rPr>
          <w:rFonts w:hint="eastAsia" w:ascii="宋体" w:hAnsi="宋体" w:cs="宋体"/>
          <w:color w:val="auto"/>
          <w:sz w:val="24"/>
          <w:highlight w:val="none"/>
        </w:rPr>
        <w:t>　　1、符合列情况之一，甲方有权解除合同：</w:t>
      </w:r>
    </w:p>
    <w:p w14:paraId="26BDCCE3">
      <w:pPr>
        <w:widowControl/>
        <w:spacing w:line="44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（1）有确凿理由证明服务需求不再存在的；</w:t>
      </w:r>
    </w:p>
    <w:p w14:paraId="33C23A2C">
      <w:pPr>
        <w:widowControl/>
        <w:spacing w:line="44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（2）提供有效证据证明服务人员有违法或违约行为的，经向乙方提出整改或更换服务人员后，乙方未能采取合理措施的；</w:t>
      </w:r>
    </w:p>
    <w:p w14:paraId="6DF42850">
      <w:pPr>
        <w:widowControl/>
        <w:spacing w:line="44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（3）甲方提出更换服务人员，15个工作日后乙方无法提供符合要求的服务人员到岗工作的；</w:t>
      </w:r>
    </w:p>
    <w:p w14:paraId="70552307">
      <w:pPr>
        <w:widowControl/>
        <w:spacing w:line="44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（4）服务人员在上岗15个工作日的适应期后，仍不能相对独立完成工作，且乙方予以更换的服务人员在适应期满后均未能达到相应服务标准的。</w:t>
      </w:r>
    </w:p>
    <w:p w14:paraId="22449472">
      <w:pPr>
        <w:widowControl/>
        <w:spacing w:line="54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（5）乙方提供服务过程中发生重大事故或工作质量严重不符合本合同约定，经甲方提出整改后，乙方未能达到合同要求的；</w:t>
      </w:r>
      <w:r>
        <w:rPr>
          <w:rFonts w:hint="eastAsia" w:ascii="宋体" w:hAnsi="宋体" w:cs="宋体"/>
          <w:color w:val="auto"/>
          <w:sz w:val="24"/>
          <w:highlight w:val="none"/>
        </w:rPr>
        <w:br w:type="textWrapping"/>
      </w:r>
      <w:r>
        <w:rPr>
          <w:rFonts w:hint="eastAsia" w:ascii="宋体" w:hAnsi="宋体" w:cs="宋体"/>
          <w:color w:val="auto"/>
          <w:sz w:val="24"/>
          <w:highlight w:val="none"/>
        </w:rPr>
        <w:t>　　（6）甲方因故发生重大变动或出现其它法律事由影响本合同正常履行的，经提前一个月及时通知乙方。</w:t>
      </w:r>
    </w:p>
    <w:p w14:paraId="2D208E07">
      <w:pPr>
        <w:widowControl/>
        <w:spacing w:line="44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2、符合列情况之一，乙方有权解除合同并追究甲方相应责任：</w:t>
      </w:r>
      <w:r>
        <w:rPr>
          <w:rFonts w:hint="eastAsia" w:ascii="宋体" w:hAnsi="宋体" w:cs="宋体"/>
          <w:color w:val="auto"/>
          <w:sz w:val="24"/>
          <w:highlight w:val="none"/>
        </w:rPr>
        <w:br w:type="textWrapping"/>
      </w:r>
      <w:r>
        <w:rPr>
          <w:rFonts w:hint="eastAsia" w:ascii="宋体" w:hAnsi="宋体" w:cs="宋体"/>
          <w:color w:val="auto"/>
          <w:sz w:val="24"/>
          <w:highlight w:val="none"/>
        </w:rPr>
        <w:t>　　（1）甲方对服务人员工作要求或内容违反国家法律、法规或无锡市治安管理条例的；</w:t>
      </w:r>
      <w:r>
        <w:rPr>
          <w:rFonts w:hint="eastAsia" w:ascii="宋体" w:hAnsi="宋体" w:cs="宋体"/>
          <w:color w:val="auto"/>
          <w:sz w:val="24"/>
          <w:highlight w:val="none"/>
        </w:rPr>
        <w:br w:type="textWrapping"/>
      </w:r>
      <w:r>
        <w:rPr>
          <w:rFonts w:hint="eastAsia" w:ascii="宋体" w:hAnsi="宋体" w:cs="宋体"/>
          <w:color w:val="auto"/>
          <w:sz w:val="24"/>
          <w:highlight w:val="none"/>
        </w:rPr>
        <w:t>　　（2）甲方刁难、虐待、打骂服务人员的。</w:t>
      </w:r>
    </w:p>
    <w:p w14:paraId="1A2DD914">
      <w:pPr>
        <w:widowControl/>
        <w:spacing w:line="440" w:lineRule="exact"/>
        <w:ind w:firstLine="525" w:firstLineChars="218"/>
        <w:jc w:val="left"/>
        <w:rPr>
          <w:rFonts w:ascii="宋体" w:hAnsi="宋体" w:cs="宋体"/>
          <w:color w:val="auto"/>
          <w:sz w:val="24"/>
          <w:highlight w:val="none"/>
        </w:rPr>
      </w:pPr>
      <w:r>
        <w:rPr>
          <w:rFonts w:hint="eastAsia" w:ascii="宋体" w:hAnsi="宋体" w:cs="宋体"/>
          <w:b/>
          <w:color w:val="auto"/>
          <w:sz w:val="24"/>
          <w:highlight w:val="none"/>
        </w:rPr>
        <w:t>第十条　违约责任</w:t>
      </w:r>
      <w:r>
        <w:rPr>
          <w:rFonts w:hint="eastAsia" w:ascii="宋体" w:hAnsi="宋体" w:cs="宋体"/>
          <w:color w:val="auto"/>
          <w:sz w:val="24"/>
          <w:highlight w:val="none"/>
        </w:rPr>
        <w:br w:type="textWrapping"/>
      </w:r>
      <w:r>
        <w:rPr>
          <w:rFonts w:hint="eastAsia" w:ascii="宋体" w:hAnsi="宋体" w:cs="宋体"/>
          <w:color w:val="auto"/>
          <w:sz w:val="24"/>
          <w:highlight w:val="none"/>
        </w:rPr>
        <w:t>　　1、如甲方无正当理由不按合同规定期限内向乙方付费，经乙方催讨后仍未支付时，对逾期未付的费用每逾一天，按交付金额的</w:t>
      </w:r>
      <w:r>
        <w:rPr>
          <w:rFonts w:hint="eastAsia" w:ascii="宋体" w:hAnsi="宋体" w:cs="宋体"/>
          <w:color w:val="auto"/>
          <w:sz w:val="24"/>
          <w:highlight w:val="none"/>
          <w:u w:val="single"/>
        </w:rPr>
        <w:t xml:space="preserve">  0.4  </w:t>
      </w:r>
      <w:r>
        <w:rPr>
          <w:rFonts w:hint="eastAsia" w:ascii="宋体" w:hAnsi="宋体" w:cs="宋体"/>
          <w:color w:val="auto"/>
          <w:sz w:val="24"/>
          <w:highlight w:val="none"/>
        </w:rPr>
        <w:t>‰支付滞纳金。</w:t>
      </w:r>
      <w:r>
        <w:rPr>
          <w:rFonts w:hint="eastAsia" w:ascii="宋体" w:hAnsi="宋体" w:cs="宋体"/>
          <w:color w:val="auto"/>
          <w:sz w:val="24"/>
          <w:highlight w:val="none"/>
        </w:rPr>
        <w:br w:type="textWrapping"/>
      </w:r>
      <w:r>
        <w:rPr>
          <w:rFonts w:hint="eastAsia" w:ascii="宋体" w:hAnsi="宋体" w:cs="宋体"/>
          <w:color w:val="auto"/>
          <w:sz w:val="24"/>
          <w:highlight w:val="none"/>
        </w:rPr>
        <w:t>　　2、如乙方未按合同标准提供服务，且给甲方造成恶劣影响或重大损失时，甲方有权解除合同，乙方向甲方支付【当年合同金额10%的】违约金，违约金不足以弥补甲方损失（包括但不限于第三方索赔、行政罚款等），乙方应当补足，并承担诉讼费、律师费、保全费、保全担保费等甲方为主张权利所发生的费用。</w:t>
      </w:r>
      <w:r>
        <w:rPr>
          <w:rFonts w:hint="eastAsia" w:ascii="宋体" w:hAnsi="宋体" w:cs="宋体"/>
          <w:color w:val="auto"/>
          <w:sz w:val="24"/>
          <w:highlight w:val="none"/>
        </w:rPr>
        <w:br w:type="textWrapping"/>
      </w:r>
      <w:r>
        <w:rPr>
          <w:rFonts w:hint="eastAsia" w:ascii="宋体" w:hAnsi="宋体" w:cs="宋体"/>
          <w:color w:val="auto"/>
          <w:sz w:val="24"/>
          <w:highlight w:val="none"/>
        </w:rPr>
        <w:t>　　3、双方中途变更或终止合同，应当提前一个月以书面形式通知对方。未及时通知对方，应赔偿对方因此造成的损失。</w:t>
      </w:r>
    </w:p>
    <w:p w14:paraId="603276BB">
      <w:pPr>
        <w:widowControl/>
        <w:spacing w:line="440" w:lineRule="exact"/>
        <w:ind w:firstLine="525" w:firstLineChars="218"/>
        <w:jc w:val="left"/>
        <w:rPr>
          <w:rFonts w:ascii="宋体" w:hAnsi="宋体" w:cs="宋体"/>
          <w:color w:val="auto"/>
          <w:sz w:val="24"/>
          <w:highlight w:val="none"/>
        </w:rPr>
      </w:pPr>
      <w:r>
        <w:rPr>
          <w:rFonts w:hint="eastAsia" w:ascii="宋体" w:hAnsi="宋体" w:cs="宋体"/>
          <w:b/>
          <w:color w:val="auto"/>
          <w:sz w:val="24"/>
          <w:highlight w:val="none"/>
        </w:rPr>
        <w:t>第十一条　保密</w:t>
      </w:r>
      <w:r>
        <w:rPr>
          <w:rFonts w:hint="eastAsia" w:ascii="宋体" w:hAnsi="宋体" w:cs="宋体"/>
          <w:color w:val="auto"/>
          <w:sz w:val="24"/>
          <w:highlight w:val="none"/>
        </w:rPr>
        <w:br w:type="textWrapping"/>
      </w:r>
      <w:r>
        <w:rPr>
          <w:rFonts w:hint="eastAsia" w:ascii="宋体" w:hAnsi="宋体" w:cs="宋体"/>
          <w:color w:val="auto"/>
          <w:sz w:val="24"/>
          <w:highlight w:val="none"/>
        </w:rPr>
        <w:t>　　甲乙双方保证对在讨论、签订、执行本合同过程中所获悉的属于对方的且无法自公开渠道获得的文件及资料（包括商业秘密、运营活动、财务信息、技术信息、经营信息及其他商业秘密）予以保密。未经该资料和文件的原提供方同意，另一方不得向任何第三方泄露该商业秘密的全部或部分内容。但法律、法规另有规定或双方另有约定的除外。保密期限为2年。</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第十二条　通知</w:t>
      </w:r>
      <w:r>
        <w:rPr>
          <w:rFonts w:hint="eastAsia" w:ascii="宋体" w:hAnsi="宋体" w:cs="宋体"/>
          <w:color w:val="auto"/>
          <w:sz w:val="24"/>
          <w:highlight w:val="none"/>
        </w:rPr>
        <w:br w:type="textWrapping"/>
      </w:r>
      <w:r>
        <w:rPr>
          <w:rFonts w:hint="eastAsia" w:ascii="宋体" w:hAnsi="宋体" w:cs="宋体"/>
          <w:color w:val="auto"/>
          <w:sz w:val="24"/>
          <w:highlight w:val="none"/>
        </w:rPr>
        <w:t>　　1、根据本合同需要一方向另一方发出的全部通知以及双方的文件往来及与本合同有关的通知和要求等，必须用书面形式，可采用当面送交方式传递。以上方式无法送达的，方可采取公告送达的方式。</w:t>
      </w:r>
      <w:r>
        <w:rPr>
          <w:rFonts w:hint="eastAsia" w:ascii="宋体" w:hAnsi="宋体" w:cs="宋体"/>
          <w:color w:val="auto"/>
          <w:sz w:val="24"/>
          <w:highlight w:val="none"/>
        </w:rPr>
        <w:br w:type="textWrapping"/>
      </w:r>
      <w:r>
        <w:rPr>
          <w:rFonts w:hint="eastAsia" w:ascii="宋体" w:hAnsi="宋体" w:cs="宋体"/>
          <w:color w:val="auto"/>
          <w:sz w:val="24"/>
          <w:highlight w:val="none"/>
        </w:rPr>
        <w:t>　　2、各方通讯地址如下：甲方 无锡市锡兴北路199号</w:t>
      </w:r>
    </w:p>
    <w:p w14:paraId="2AD36044">
      <w:pPr>
        <w:widowControl/>
        <w:spacing w:line="440" w:lineRule="exact"/>
        <w:ind w:firstLine="3040" w:firstLineChars="1267"/>
        <w:jc w:val="left"/>
        <w:rPr>
          <w:rFonts w:ascii="宋体" w:hAnsi="宋体" w:cs="宋体"/>
          <w:color w:val="auto"/>
          <w:sz w:val="24"/>
          <w:highlight w:val="none"/>
        </w:rPr>
      </w:pPr>
      <w:r>
        <w:rPr>
          <w:rFonts w:hint="eastAsia" w:ascii="宋体" w:hAnsi="宋体" w:cs="宋体"/>
          <w:color w:val="auto"/>
          <w:sz w:val="24"/>
          <w:highlight w:val="none"/>
        </w:rPr>
        <w:t xml:space="preserve">乙方  </w:t>
      </w:r>
    </w:p>
    <w:p w14:paraId="371E02D8">
      <w:pPr>
        <w:widowControl/>
        <w:spacing w:line="440" w:lineRule="exact"/>
        <w:ind w:firstLine="523" w:firstLineChars="218"/>
        <w:jc w:val="left"/>
        <w:rPr>
          <w:rFonts w:ascii="宋体" w:hAnsi="宋体" w:cs="宋体"/>
          <w:color w:val="auto"/>
          <w:sz w:val="24"/>
          <w:highlight w:val="none"/>
        </w:rPr>
      </w:pPr>
      <w:r>
        <w:rPr>
          <w:rFonts w:hint="eastAsia" w:ascii="宋体" w:hAnsi="宋体" w:cs="宋体"/>
          <w:color w:val="auto"/>
          <w:sz w:val="24"/>
          <w:highlight w:val="none"/>
        </w:rPr>
        <w:t>3、一方变更通知或通讯地址，应自变更之日起5日内，以书面形式通知对方；否则，由未通知方承担由此而引起的相关责任。</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第十三条　合同的变更</w:t>
      </w:r>
      <w:r>
        <w:rPr>
          <w:rFonts w:hint="eastAsia" w:ascii="宋体" w:hAnsi="宋体" w:cs="宋体"/>
          <w:color w:val="auto"/>
          <w:sz w:val="24"/>
          <w:highlight w:val="none"/>
        </w:rPr>
        <w:br w:type="textWrapping"/>
      </w:r>
      <w:r>
        <w:rPr>
          <w:rFonts w:hint="eastAsia" w:ascii="宋体" w:hAnsi="宋体" w:cs="宋体"/>
          <w:color w:val="auto"/>
          <w:sz w:val="24"/>
          <w:highlight w:val="none"/>
        </w:rPr>
        <w:t>　　本合同履行期间，发生特殊情况时，甲、乙任何一方需变更本合同的，要求变更一方应及时书面通知对方，征得对方同意后，双方在规定的时限内（书面通知发出10天内）签订书面变更协议，该协议将成为合同不可分割的部分。未经双方签署书面文件，任何一方无权变更本合同，否则，由此造成对方的经济损失，由责任方承担。</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第十四条　合同的转让</w:t>
      </w:r>
      <w:r>
        <w:rPr>
          <w:rFonts w:hint="eastAsia" w:ascii="宋体" w:hAnsi="宋体" w:cs="宋体"/>
          <w:color w:val="auto"/>
          <w:sz w:val="24"/>
          <w:highlight w:val="none"/>
        </w:rPr>
        <w:br w:type="textWrapping"/>
      </w:r>
      <w:r>
        <w:rPr>
          <w:rFonts w:hint="eastAsia" w:ascii="宋体" w:hAnsi="宋体" w:cs="宋体"/>
          <w:color w:val="auto"/>
          <w:sz w:val="24"/>
          <w:highlight w:val="none"/>
        </w:rPr>
        <w:t>　　除合同中另有规定外或经双方协商同意外，本合同所规定双方的任何权利和义务，任何一方在未经征得另一方书面同意之前，不得转让给第三者。任何转让，未经另一方书面明确同意，均属无效。</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第十五条　争议的处理</w:t>
      </w:r>
      <w:r>
        <w:rPr>
          <w:rFonts w:hint="eastAsia" w:ascii="宋体" w:hAnsi="宋体" w:cs="宋体"/>
          <w:color w:val="auto"/>
          <w:sz w:val="24"/>
          <w:highlight w:val="none"/>
        </w:rPr>
        <w:br w:type="textWrapping"/>
      </w:r>
      <w:r>
        <w:rPr>
          <w:rFonts w:hint="eastAsia" w:ascii="宋体" w:hAnsi="宋体" w:cs="宋体"/>
          <w:color w:val="auto"/>
          <w:sz w:val="24"/>
          <w:highlight w:val="none"/>
        </w:rPr>
        <w:t>　　1、本合同受中华人民共和国法律管辖并按其进行解释。</w:t>
      </w:r>
      <w:r>
        <w:rPr>
          <w:rFonts w:hint="eastAsia" w:ascii="宋体" w:hAnsi="宋体" w:cs="宋体"/>
          <w:color w:val="auto"/>
          <w:sz w:val="24"/>
          <w:highlight w:val="none"/>
        </w:rPr>
        <w:br w:type="textWrapping"/>
      </w:r>
      <w:r>
        <w:rPr>
          <w:rFonts w:hint="eastAsia" w:ascii="宋体" w:hAnsi="宋体" w:cs="宋体"/>
          <w:color w:val="auto"/>
          <w:sz w:val="24"/>
          <w:highlight w:val="none"/>
        </w:rPr>
        <w:t>　　2、本合同在履行过程中发生的争议，由双方当事人协商解决，也可由有关部门调解；协商或调解不成的，依法向甲方所在地有管辖权的人民法院起诉。</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第十六条　不可抗力</w:t>
      </w:r>
      <w:r>
        <w:rPr>
          <w:rFonts w:hint="eastAsia" w:ascii="宋体" w:hAnsi="宋体" w:cs="宋体"/>
          <w:color w:val="auto"/>
          <w:sz w:val="24"/>
          <w:highlight w:val="none"/>
        </w:rPr>
        <w:br w:type="textWrapping"/>
      </w:r>
      <w:r>
        <w:rPr>
          <w:rFonts w:hint="eastAsia" w:ascii="宋体" w:hAnsi="宋体" w:cs="宋体"/>
          <w:color w:val="auto"/>
          <w:sz w:val="24"/>
          <w:highlight w:val="none"/>
        </w:rPr>
        <w:t>　　1、如果本合同任何一方因受不可抗力事件影响而未能履行其在本合同下的全部或部分义务，该义务的履行在不可抗力事件妨碍其履行期间应予中止。</w:t>
      </w:r>
      <w:r>
        <w:rPr>
          <w:rFonts w:hint="eastAsia" w:ascii="宋体" w:hAnsi="宋体" w:cs="宋体"/>
          <w:color w:val="auto"/>
          <w:sz w:val="24"/>
          <w:highlight w:val="none"/>
        </w:rPr>
        <w:br w:type="textWrapping"/>
      </w:r>
      <w:r>
        <w:rPr>
          <w:rFonts w:hint="eastAsia" w:ascii="宋体" w:hAnsi="宋体" w:cs="宋体"/>
          <w:color w:val="auto"/>
          <w:sz w:val="24"/>
          <w:highlight w:val="none"/>
        </w:rPr>
        <w:t>　　2、声称受到不可抗力事件影响的一方应尽可能在最短的时间内通过书面形式将不可抗力事件的发生通知另一方，并在该不可抗力事件发生后10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rPr>
          <w:rFonts w:hint="eastAsia" w:ascii="宋体" w:hAnsi="宋体" w:cs="宋体"/>
          <w:color w:val="auto"/>
          <w:sz w:val="24"/>
          <w:highlight w:val="none"/>
        </w:rPr>
        <w:br w:type="textWrapping"/>
      </w:r>
      <w:r>
        <w:rPr>
          <w:rFonts w:hint="eastAsia" w:ascii="宋体" w:hAnsi="宋体" w:cs="宋体"/>
          <w:color w:val="auto"/>
          <w:sz w:val="24"/>
          <w:highlight w:val="none"/>
        </w:rPr>
        <w:t>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rPr>
          <w:rFonts w:hint="eastAsia" w:ascii="宋体" w:hAnsi="宋体" w:cs="宋体"/>
          <w:color w:val="auto"/>
          <w:sz w:val="24"/>
          <w:highlight w:val="none"/>
        </w:rPr>
        <w:br w:type="textWrapping"/>
      </w:r>
      <w:r>
        <w:rPr>
          <w:rFonts w:hint="eastAsia" w:ascii="宋体" w:hAnsi="宋体" w:cs="宋体"/>
          <w:color w:val="auto"/>
          <w:sz w:val="24"/>
          <w:highlight w:val="none"/>
        </w:rPr>
        <w:t>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第十七条　合同的解释</w:t>
      </w:r>
      <w:r>
        <w:rPr>
          <w:rFonts w:hint="eastAsia" w:ascii="宋体" w:hAnsi="宋体" w:cs="宋体"/>
          <w:color w:val="auto"/>
          <w:sz w:val="24"/>
          <w:highlight w:val="none"/>
        </w:rPr>
        <w:br w:type="textWrapping"/>
      </w:r>
      <w:r>
        <w:rPr>
          <w:rFonts w:hint="eastAsia" w:ascii="宋体" w:hAnsi="宋体" w:cs="宋体"/>
          <w:color w:val="auto"/>
          <w:sz w:val="24"/>
          <w:highlight w:val="none"/>
        </w:rPr>
        <w:t>　　本合同未尽事宜或条款内容不明确，合同双方当事人可以根据本合同的原则、合同的目的、交易习惯及关联条款的内容，按照通常理解对本合同作出合理解释。该解释具有约束力，除非解释与法律或本合同相抵触。</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第十八条　补充与附件</w:t>
      </w:r>
      <w:r>
        <w:rPr>
          <w:rFonts w:hint="eastAsia" w:ascii="宋体" w:hAnsi="宋体" w:cs="宋体"/>
          <w:color w:val="auto"/>
          <w:sz w:val="24"/>
          <w:highlight w:val="none"/>
        </w:rPr>
        <w:br w:type="textWrapping"/>
      </w:r>
      <w:r>
        <w:rPr>
          <w:rFonts w:hint="eastAsia" w:ascii="宋体" w:hAnsi="宋体" w:cs="宋体"/>
          <w:color w:val="auto"/>
          <w:sz w:val="24"/>
          <w:highlight w:val="none"/>
        </w:rPr>
        <w:t>　　本合同未尽事宜，依照有关法律、法规执行，法律、法规未作规定的，甲乙双方可以达成书面补充合同。本合同的附件和补充合同均为本合同不可分割的组成部分，与本合同具有同等的法律效力。</w:t>
      </w:r>
      <w:r>
        <w:rPr>
          <w:rFonts w:hint="eastAsia" w:ascii="宋体" w:hAnsi="宋体" w:cs="宋体"/>
          <w:color w:val="auto"/>
          <w:sz w:val="24"/>
          <w:highlight w:val="none"/>
        </w:rPr>
        <w:br w:type="textWrapping"/>
      </w:r>
      <w:r>
        <w:rPr>
          <w:rFonts w:hint="eastAsia" w:ascii="宋体" w:hAnsi="宋体" w:cs="宋体"/>
          <w:color w:val="auto"/>
          <w:sz w:val="24"/>
          <w:highlight w:val="none"/>
        </w:rPr>
        <w:t>　　</w:t>
      </w:r>
      <w:r>
        <w:rPr>
          <w:rFonts w:hint="eastAsia" w:ascii="宋体" w:hAnsi="宋体" w:cs="宋体"/>
          <w:b/>
          <w:color w:val="auto"/>
          <w:sz w:val="24"/>
          <w:highlight w:val="none"/>
        </w:rPr>
        <w:t>第十九条　合同的效力</w:t>
      </w:r>
      <w:r>
        <w:rPr>
          <w:rFonts w:hint="eastAsia" w:ascii="宋体" w:hAnsi="宋体" w:cs="宋体"/>
          <w:color w:val="auto"/>
          <w:sz w:val="24"/>
          <w:highlight w:val="none"/>
        </w:rPr>
        <w:br w:type="textWrapping"/>
      </w:r>
      <w:r>
        <w:rPr>
          <w:rFonts w:hint="eastAsia" w:ascii="宋体" w:hAnsi="宋体" w:cs="宋体"/>
          <w:color w:val="auto"/>
          <w:sz w:val="24"/>
          <w:highlight w:val="none"/>
        </w:rPr>
        <w:t>　　1、本合同自双方或双方法定代表人或其授权代表人签字并加盖单位公章或合同专用章之日起生效。</w:t>
      </w:r>
      <w:r>
        <w:rPr>
          <w:rFonts w:hint="eastAsia" w:ascii="宋体" w:hAnsi="宋体" w:cs="宋体"/>
          <w:color w:val="auto"/>
          <w:sz w:val="24"/>
          <w:highlight w:val="none"/>
        </w:rPr>
        <w:br w:type="textWrapping"/>
      </w:r>
      <w:r>
        <w:rPr>
          <w:rFonts w:hint="eastAsia" w:ascii="宋体" w:hAnsi="宋体" w:cs="宋体"/>
          <w:color w:val="auto"/>
          <w:sz w:val="24"/>
          <w:highlight w:val="none"/>
        </w:rPr>
        <w:t>　　2、本协议一式伍份，甲方、乙方各两份，见证方一份，具有同等法律效力。</w:t>
      </w:r>
      <w:r>
        <w:rPr>
          <w:rFonts w:hint="eastAsia" w:ascii="宋体" w:hAnsi="宋体" w:cs="宋体"/>
          <w:color w:val="auto"/>
          <w:sz w:val="24"/>
          <w:highlight w:val="none"/>
        </w:rPr>
        <w:br w:type="textWrapping"/>
      </w:r>
      <w:r>
        <w:rPr>
          <w:rFonts w:hint="eastAsia" w:ascii="宋体" w:hAnsi="宋体" w:cs="宋体"/>
          <w:color w:val="auto"/>
          <w:sz w:val="24"/>
          <w:highlight w:val="none"/>
        </w:rPr>
        <w:t>　　3、本合同的附件和补充合同均为本合同不可分割的组成部分，与本合同具有同等的法律效力。</w:t>
      </w:r>
      <w:r>
        <w:rPr>
          <w:rFonts w:hint="eastAsia" w:ascii="宋体" w:hAnsi="宋体" w:cs="宋体"/>
          <w:color w:val="auto"/>
          <w:sz w:val="24"/>
          <w:highlight w:val="none"/>
        </w:rPr>
        <w:br w:type="textWrapping"/>
      </w:r>
    </w:p>
    <w:p w14:paraId="0A776C90">
      <w:pPr>
        <w:widowControl/>
        <w:spacing w:line="600" w:lineRule="exact"/>
        <w:jc w:val="left"/>
        <w:rPr>
          <w:rFonts w:ascii="宋体" w:hAnsi="宋体" w:cs="宋体"/>
          <w:color w:val="auto"/>
          <w:sz w:val="24"/>
          <w:highlight w:val="none"/>
        </w:rPr>
      </w:pPr>
      <w:r>
        <w:rPr>
          <w:rFonts w:hint="eastAsia" w:ascii="宋体" w:hAnsi="宋体" w:cs="宋体"/>
          <w:color w:val="auto"/>
          <w:sz w:val="24"/>
          <w:highlight w:val="none"/>
        </w:rPr>
        <w:t>甲方（盖章）：_________　       乙方（盖章）：_________　　</w:t>
      </w:r>
      <w:r>
        <w:rPr>
          <w:rFonts w:hint="eastAsia" w:ascii="宋体" w:hAnsi="宋体" w:cs="宋体"/>
          <w:color w:val="auto"/>
          <w:sz w:val="24"/>
          <w:highlight w:val="none"/>
        </w:rPr>
        <w:br w:type="textWrapping"/>
      </w:r>
      <w:r>
        <w:rPr>
          <w:rFonts w:hint="eastAsia" w:ascii="宋体" w:hAnsi="宋体" w:cs="宋体"/>
          <w:color w:val="auto"/>
          <w:sz w:val="24"/>
          <w:highlight w:val="none"/>
        </w:rPr>
        <w:t>法定代表人（签字</w:t>
      </w:r>
      <w:bookmarkStart w:id="183" w:name="OLE_LINK6"/>
      <w:bookmarkStart w:id="184" w:name="OLE_LINK7"/>
      <w:r>
        <w:rPr>
          <w:rFonts w:hint="eastAsia" w:ascii="宋体" w:hAnsi="宋体" w:cs="宋体"/>
          <w:color w:val="auto"/>
          <w:sz w:val="24"/>
          <w:highlight w:val="none"/>
        </w:rPr>
        <w:t>或盖章</w:t>
      </w:r>
      <w:bookmarkEnd w:id="183"/>
      <w:bookmarkEnd w:id="184"/>
      <w:r>
        <w:rPr>
          <w:rFonts w:hint="eastAsia" w:ascii="宋体" w:hAnsi="宋体" w:cs="宋体"/>
          <w:color w:val="auto"/>
          <w:sz w:val="24"/>
          <w:highlight w:val="none"/>
        </w:rPr>
        <w:t xml:space="preserve">）：_________   </w:t>
      </w:r>
      <w:bookmarkStart w:id="185" w:name="OLE_LINK12"/>
      <w:bookmarkStart w:id="186" w:name="OLE_LINK13"/>
      <w:r>
        <w:rPr>
          <w:rFonts w:hint="eastAsia" w:ascii="宋体" w:hAnsi="宋体" w:cs="宋体"/>
          <w:color w:val="auto"/>
          <w:sz w:val="24"/>
          <w:highlight w:val="none"/>
        </w:rPr>
        <w:t>法定代表人</w:t>
      </w:r>
      <w:bookmarkEnd w:id="185"/>
      <w:bookmarkEnd w:id="186"/>
      <w:r>
        <w:rPr>
          <w:rFonts w:hint="eastAsia" w:ascii="宋体" w:hAnsi="宋体" w:cs="宋体"/>
          <w:color w:val="auto"/>
          <w:sz w:val="24"/>
          <w:highlight w:val="none"/>
        </w:rPr>
        <w:t>（签字或盖章）：</w:t>
      </w:r>
      <w:bookmarkStart w:id="187" w:name="OLE_LINK18"/>
      <w:bookmarkStart w:id="188" w:name="OLE_LINK23"/>
      <w:r>
        <w:rPr>
          <w:rFonts w:hint="eastAsia" w:ascii="宋体" w:hAnsi="宋体" w:cs="宋体"/>
          <w:color w:val="auto"/>
          <w:sz w:val="24"/>
          <w:highlight w:val="none"/>
        </w:rPr>
        <w:t>_____</w:t>
      </w:r>
      <w:bookmarkEnd w:id="187"/>
      <w:bookmarkEnd w:id="188"/>
      <w:r>
        <w:rPr>
          <w:rFonts w:hint="eastAsia" w:ascii="宋体" w:hAnsi="宋体" w:cs="宋体"/>
          <w:color w:val="auto"/>
          <w:sz w:val="24"/>
          <w:highlight w:val="none"/>
        </w:rPr>
        <w:t>　　</w:t>
      </w:r>
      <w:r>
        <w:rPr>
          <w:rFonts w:hint="eastAsia" w:ascii="宋体" w:hAnsi="宋体" w:cs="宋体"/>
          <w:color w:val="auto"/>
          <w:sz w:val="24"/>
          <w:highlight w:val="none"/>
        </w:rPr>
        <w:br w:type="textWrapping"/>
      </w:r>
      <w:r>
        <w:rPr>
          <w:rFonts w:hint="eastAsia" w:ascii="宋体" w:hAnsi="宋体" w:cs="宋体"/>
          <w:color w:val="auto"/>
          <w:sz w:val="24"/>
          <w:highlight w:val="none"/>
        </w:rPr>
        <w:t>或委托代理人（</w:t>
      </w:r>
      <w:bookmarkStart w:id="189" w:name="OLE_LINK8"/>
      <w:bookmarkStart w:id="190" w:name="OLE_LINK9"/>
      <w:r>
        <w:rPr>
          <w:rFonts w:hint="eastAsia" w:ascii="宋体" w:hAnsi="宋体" w:cs="宋体"/>
          <w:color w:val="auto"/>
          <w:sz w:val="24"/>
          <w:highlight w:val="none"/>
        </w:rPr>
        <w:t>签字或盖章</w:t>
      </w:r>
      <w:bookmarkEnd w:id="189"/>
      <w:bookmarkEnd w:id="190"/>
      <w:r>
        <w:rPr>
          <w:rFonts w:hint="eastAsia" w:ascii="宋体" w:hAnsi="宋体" w:cs="宋体"/>
          <w:color w:val="auto"/>
          <w:sz w:val="24"/>
          <w:highlight w:val="none"/>
        </w:rPr>
        <w:t>）：_______  或委托代理人（</w:t>
      </w:r>
      <w:bookmarkStart w:id="191" w:name="OLE_LINK14"/>
      <w:bookmarkStart w:id="192" w:name="OLE_LINK17"/>
      <w:r>
        <w:rPr>
          <w:rFonts w:hint="eastAsia" w:ascii="宋体" w:hAnsi="宋体" w:cs="宋体"/>
          <w:color w:val="auto"/>
          <w:sz w:val="24"/>
          <w:highlight w:val="none"/>
        </w:rPr>
        <w:t>签字或盖章</w:t>
      </w:r>
      <w:bookmarkEnd w:id="191"/>
      <w:bookmarkEnd w:id="192"/>
      <w:r>
        <w:rPr>
          <w:rFonts w:hint="eastAsia" w:ascii="宋体" w:hAnsi="宋体" w:cs="宋体"/>
          <w:color w:val="auto"/>
          <w:sz w:val="24"/>
          <w:highlight w:val="none"/>
        </w:rPr>
        <w:t>）：_________年____月____日　　　　________年____月____日</w:t>
      </w:r>
    </w:p>
    <w:p w14:paraId="1518AA14">
      <w:pPr>
        <w:rPr>
          <w:color w:val="auto"/>
          <w:highlight w:val="none"/>
        </w:rPr>
      </w:pPr>
    </w:p>
    <w:p w14:paraId="2D858E7F">
      <w:pPr>
        <w:widowControl/>
        <w:spacing w:line="600" w:lineRule="exact"/>
        <w:jc w:val="left"/>
        <w:rPr>
          <w:rFonts w:ascii="宋体" w:hAnsi="宋体" w:cs="宋体"/>
          <w:color w:val="auto"/>
          <w:sz w:val="24"/>
          <w:highlight w:val="none"/>
        </w:rPr>
      </w:pPr>
      <w:r>
        <w:rPr>
          <w:rFonts w:hint="eastAsia" w:ascii="宋体" w:hAnsi="宋体" w:cs="宋体"/>
          <w:color w:val="auto"/>
          <w:sz w:val="24"/>
          <w:highlight w:val="none"/>
        </w:rPr>
        <w:t>甲方（盖章）：_________　 　　</w:t>
      </w:r>
      <w:r>
        <w:rPr>
          <w:rFonts w:hint="eastAsia" w:ascii="宋体" w:hAnsi="宋体" w:cs="宋体"/>
          <w:color w:val="auto"/>
          <w:sz w:val="24"/>
          <w:highlight w:val="none"/>
        </w:rPr>
        <w:br w:type="textWrapping"/>
      </w:r>
      <w:bookmarkStart w:id="193" w:name="OLE_LINK10"/>
      <w:bookmarkStart w:id="194" w:name="OLE_LINK11"/>
      <w:r>
        <w:rPr>
          <w:rFonts w:hint="eastAsia" w:ascii="宋体" w:hAnsi="宋体" w:cs="宋体"/>
          <w:color w:val="auto"/>
          <w:sz w:val="24"/>
          <w:highlight w:val="none"/>
        </w:rPr>
        <w:t>法定代表人（签字或盖章）：_________ 　　</w:t>
      </w:r>
      <w:r>
        <w:rPr>
          <w:rFonts w:hint="eastAsia" w:ascii="宋体" w:hAnsi="宋体" w:cs="宋体"/>
          <w:color w:val="auto"/>
          <w:sz w:val="24"/>
          <w:highlight w:val="none"/>
        </w:rPr>
        <w:br w:type="textWrapping"/>
      </w:r>
      <w:r>
        <w:rPr>
          <w:rFonts w:hint="eastAsia" w:ascii="宋体" w:hAnsi="宋体" w:cs="宋体"/>
          <w:color w:val="auto"/>
          <w:sz w:val="24"/>
          <w:highlight w:val="none"/>
        </w:rPr>
        <w:t>或委托代理人（签字或盖章）：_________　 　　</w:t>
      </w:r>
      <w:r>
        <w:rPr>
          <w:rFonts w:hint="eastAsia" w:ascii="宋体" w:hAnsi="宋体" w:cs="宋体"/>
          <w:color w:val="auto"/>
          <w:sz w:val="24"/>
          <w:highlight w:val="none"/>
        </w:rPr>
        <w:br w:type="textWrapping"/>
      </w:r>
      <w:bookmarkEnd w:id="193"/>
      <w:bookmarkEnd w:id="194"/>
      <w:r>
        <w:rPr>
          <w:rFonts w:hint="eastAsia" w:ascii="宋体" w:hAnsi="宋体" w:cs="宋体"/>
          <w:color w:val="auto"/>
          <w:sz w:val="24"/>
          <w:highlight w:val="none"/>
        </w:rPr>
        <w:t>_________年____月____日　　　　</w:t>
      </w:r>
    </w:p>
    <w:p w14:paraId="6B5F50B0">
      <w:pPr>
        <w:widowControl/>
        <w:spacing w:line="600" w:lineRule="exact"/>
        <w:jc w:val="left"/>
        <w:rPr>
          <w:rFonts w:ascii="宋体" w:hAnsi="宋体" w:cs="宋体"/>
          <w:color w:val="auto"/>
          <w:sz w:val="24"/>
          <w:highlight w:val="none"/>
        </w:rPr>
      </w:pPr>
      <w:r>
        <w:rPr>
          <w:rFonts w:hint="eastAsia" w:ascii="宋体" w:hAnsi="宋体" w:cs="宋体"/>
          <w:color w:val="auto"/>
          <w:sz w:val="24"/>
          <w:highlight w:val="none"/>
        </w:rPr>
        <w:t>见证方（盖章）</w:t>
      </w:r>
    </w:p>
    <w:p w14:paraId="5A9F265F">
      <w:pPr>
        <w:widowControl/>
        <w:spacing w:line="600" w:lineRule="exact"/>
        <w:jc w:val="left"/>
        <w:rPr>
          <w:rFonts w:ascii="宋体" w:hAnsi="宋体" w:cs="宋体"/>
          <w:color w:val="auto"/>
          <w:sz w:val="24"/>
          <w:highlight w:val="none"/>
        </w:rPr>
      </w:pPr>
      <w:r>
        <w:rPr>
          <w:rFonts w:hint="eastAsia" w:ascii="宋体" w:hAnsi="宋体" w:cs="宋体"/>
          <w:color w:val="auto"/>
          <w:sz w:val="24"/>
          <w:highlight w:val="none"/>
        </w:rPr>
        <w:t>法定代表人（签字或盖章）：_________ 　　</w:t>
      </w:r>
      <w:r>
        <w:rPr>
          <w:rFonts w:hint="eastAsia" w:ascii="宋体" w:hAnsi="宋体" w:cs="宋体"/>
          <w:color w:val="auto"/>
          <w:sz w:val="24"/>
          <w:highlight w:val="none"/>
        </w:rPr>
        <w:br w:type="textWrapping"/>
      </w:r>
      <w:r>
        <w:rPr>
          <w:rFonts w:hint="eastAsia" w:ascii="宋体" w:hAnsi="宋体" w:cs="宋体"/>
          <w:color w:val="auto"/>
          <w:sz w:val="24"/>
          <w:highlight w:val="none"/>
        </w:rPr>
        <w:t>或委托代理人（签字或盖章）：_________　 　　</w:t>
      </w:r>
      <w:r>
        <w:rPr>
          <w:rFonts w:hint="eastAsia" w:ascii="宋体" w:hAnsi="宋体" w:cs="宋体"/>
          <w:color w:val="auto"/>
          <w:sz w:val="24"/>
          <w:highlight w:val="none"/>
        </w:rPr>
        <w:br w:type="textWrapping"/>
      </w:r>
      <w:r>
        <w:rPr>
          <w:rFonts w:hint="eastAsia" w:ascii="宋体" w:hAnsi="宋体" w:cs="宋体"/>
          <w:color w:val="auto"/>
          <w:sz w:val="24"/>
          <w:highlight w:val="none"/>
        </w:rPr>
        <w:t>_________年____月____日</w:t>
      </w:r>
    </w:p>
    <w:p w14:paraId="1C873018">
      <w:pPr>
        <w:rPr>
          <w:rFonts w:hint="eastAsia" w:ascii="黑体" w:eastAsia="黑体"/>
          <w:bCs/>
          <w:color w:val="auto"/>
          <w:sz w:val="36"/>
          <w:szCs w:val="36"/>
          <w:highlight w:val="none"/>
        </w:rPr>
      </w:pPr>
    </w:p>
    <w:p w14:paraId="3294DCDD">
      <w:pPr>
        <w:widowControl/>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p>
    <w:p w14:paraId="0B909B75">
      <w:pPr>
        <w:spacing w:line="360" w:lineRule="auto"/>
        <w:jc w:val="center"/>
        <w:rPr>
          <w:rFonts w:hint="eastAsia" w:hAnsi="宋体"/>
          <w:color w:val="auto"/>
          <w:sz w:val="36"/>
          <w:szCs w:val="36"/>
          <w:highlight w:val="none"/>
        </w:rPr>
      </w:pPr>
      <w:r>
        <w:rPr>
          <w:rFonts w:hint="eastAsia" w:ascii="黑体" w:eastAsia="黑体"/>
          <w:bCs/>
          <w:color w:val="auto"/>
          <w:sz w:val="36"/>
          <w:szCs w:val="36"/>
          <w:highlight w:val="none"/>
        </w:rPr>
        <w:t>第</w:t>
      </w:r>
      <w:bookmarkEnd w:id="173"/>
      <w:r>
        <w:rPr>
          <w:rFonts w:hint="eastAsia" w:ascii="黑体" w:eastAsia="黑体"/>
          <w:bCs/>
          <w:color w:val="auto"/>
          <w:sz w:val="36"/>
          <w:szCs w:val="36"/>
          <w:highlight w:val="none"/>
        </w:rPr>
        <w:t>四章 采购需求</w:t>
      </w:r>
      <w:bookmarkEnd w:id="174"/>
      <w:bookmarkEnd w:id="175"/>
      <w:bookmarkEnd w:id="176"/>
    </w:p>
    <w:p w14:paraId="19554DAC">
      <w:pPr>
        <w:spacing w:line="360" w:lineRule="auto"/>
        <w:ind w:firstLine="480"/>
        <w:jc w:val="left"/>
        <w:rPr>
          <w:rFonts w:hint="eastAsia" w:ascii="宋体" w:hAnsi="宋体"/>
          <w:color w:val="auto"/>
          <w:sz w:val="24"/>
          <w:szCs w:val="24"/>
          <w:highlight w:val="none"/>
        </w:rPr>
      </w:pPr>
      <w:bookmarkStart w:id="195" w:name="_Toc26554093"/>
      <w:bookmarkStart w:id="196" w:name="_Toc49090575"/>
      <w:r>
        <w:rPr>
          <w:rFonts w:hint="eastAsia" w:ascii="宋体" w:hAnsi="宋体"/>
          <w:color w:val="auto"/>
          <w:sz w:val="24"/>
          <w:szCs w:val="24"/>
          <w:highlight w:val="none"/>
        </w:rPr>
        <w:t>供应商所响应内容必须满足以下要求，不得有负偏离。</w:t>
      </w:r>
    </w:p>
    <w:p w14:paraId="7CABDECB">
      <w:pPr>
        <w:widowControl/>
        <w:spacing w:line="360" w:lineRule="auto"/>
        <w:ind w:firstLine="482" w:firstLineChars="200"/>
        <w:jc w:val="left"/>
        <w:rPr>
          <w:rFonts w:ascii="宋体" w:hAnsi="宋体" w:cs="Arial"/>
          <w:b/>
          <w:color w:val="auto"/>
          <w:sz w:val="24"/>
          <w:highlight w:val="none"/>
        </w:rPr>
      </w:pPr>
      <w:r>
        <w:rPr>
          <w:rFonts w:hint="eastAsia" w:ascii="宋体" w:hAnsi="宋体" w:cs="Arial"/>
          <w:b/>
          <w:color w:val="auto"/>
          <w:sz w:val="24"/>
          <w:highlight w:val="none"/>
        </w:rPr>
        <w:t>一、采购标的需实现的功能或者目标，以及为落实政府采购政策需满足的要求：</w:t>
      </w:r>
    </w:p>
    <w:p w14:paraId="2CF28EAE">
      <w:pPr>
        <w:spacing w:line="360" w:lineRule="auto"/>
        <w:ind w:firstLine="540" w:firstLineChars="225"/>
        <w:rPr>
          <w:rFonts w:ascii="宋体" w:hAnsi="宋体" w:cs="宋体"/>
          <w:color w:val="auto"/>
          <w:sz w:val="24"/>
          <w:highlight w:val="none"/>
        </w:rPr>
      </w:pPr>
      <w:r>
        <w:rPr>
          <w:rFonts w:hint="eastAsia" w:ascii="宋体" w:hAnsi="宋体" w:cs="宋体"/>
          <w:color w:val="auto"/>
          <w:sz w:val="24"/>
          <w:highlight w:val="none"/>
        </w:rPr>
        <w:t>以提升残疾人自理能力、生活品质、托养幸福感为目标，为入托的残疾人开展相应的物理治疗、作业治疗、音乐治疗、运动治疗、绘画疗愈、娱疗等多种形式的康复训练项目。</w:t>
      </w:r>
    </w:p>
    <w:p w14:paraId="71B8B847">
      <w:pPr>
        <w:spacing w:line="360" w:lineRule="auto"/>
        <w:ind w:firstLine="540" w:firstLineChars="225"/>
        <w:rPr>
          <w:rFonts w:ascii="宋体" w:hAnsi="宋体" w:cs="宋体"/>
          <w:color w:val="auto"/>
          <w:sz w:val="24"/>
          <w:highlight w:val="none"/>
        </w:rPr>
      </w:pPr>
      <w:r>
        <w:rPr>
          <w:rFonts w:hint="eastAsia" w:ascii="宋体" w:hAnsi="宋体" w:cs="宋体"/>
          <w:color w:val="auto"/>
          <w:sz w:val="24"/>
          <w:highlight w:val="none"/>
        </w:rPr>
        <w:t>以保障康复项目常态化开展为目标，负责康复设施设备使用管理、保养、维修等。</w:t>
      </w:r>
    </w:p>
    <w:p w14:paraId="58D5C76B">
      <w:pPr>
        <w:spacing w:line="360" w:lineRule="auto"/>
        <w:ind w:firstLine="540" w:firstLineChars="225"/>
        <w:rPr>
          <w:rFonts w:ascii="宋体" w:hAnsi="宋体" w:cs="宋体"/>
          <w:color w:val="auto"/>
          <w:sz w:val="24"/>
          <w:highlight w:val="none"/>
        </w:rPr>
      </w:pPr>
      <w:r>
        <w:rPr>
          <w:rFonts w:hint="eastAsia" w:ascii="宋体" w:hAnsi="宋体" w:cs="宋体"/>
          <w:color w:val="auto"/>
          <w:sz w:val="24"/>
          <w:highlight w:val="none"/>
        </w:rPr>
        <w:t>以提升在院老人生活质量为目标，为其提供专业护理服务。</w:t>
      </w:r>
    </w:p>
    <w:p w14:paraId="3DE4E812">
      <w:pPr>
        <w:spacing w:line="360" w:lineRule="auto"/>
        <w:ind w:firstLine="540" w:firstLineChars="225"/>
        <w:rPr>
          <w:rFonts w:ascii="宋体" w:hAnsi="宋体"/>
          <w:color w:val="auto"/>
          <w:sz w:val="24"/>
          <w:highlight w:val="none"/>
        </w:rPr>
      </w:pPr>
      <w:r>
        <w:rPr>
          <w:rFonts w:hint="eastAsia" w:ascii="宋体" w:hAnsi="宋体" w:cs="宋体"/>
          <w:color w:val="auto"/>
          <w:sz w:val="24"/>
          <w:highlight w:val="none"/>
        </w:rPr>
        <w:t>为完善两中心服务功能为目标，提供洗衣房服务，理发服务，多功能厅等部位使用管理服务。</w:t>
      </w:r>
    </w:p>
    <w:p w14:paraId="09B52933">
      <w:pPr>
        <w:pStyle w:val="30"/>
        <w:shd w:val="clear" w:color="auto" w:fill="FFFFFF"/>
        <w:spacing w:before="90" w:beforeAutospacing="0" w:after="90" w:afterAutospacing="0" w:line="360" w:lineRule="auto"/>
        <w:ind w:firstLine="482" w:firstLineChars="200"/>
        <w:rPr>
          <w:b/>
          <w:color w:val="auto"/>
          <w:highlight w:val="none"/>
        </w:rPr>
      </w:pPr>
      <w:r>
        <w:rPr>
          <w:rFonts w:hint="eastAsia"/>
          <w:b/>
          <w:color w:val="auto"/>
          <w:highlight w:val="none"/>
        </w:rPr>
        <w:t>二、采购标的需执行的国家相关标准、行业标准：</w:t>
      </w:r>
    </w:p>
    <w:p w14:paraId="33B74DD0">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《就业年龄段智力、精神及重度肢体残疾人托养服务基本规范》（GB/T37516-2019）</w:t>
      </w:r>
    </w:p>
    <w:p w14:paraId="06F8C046">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《养老机构服务质量基本规范》（GB/T35796-2017）</w:t>
      </w:r>
    </w:p>
    <w:p w14:paraId="7FF55ACC">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《无锡市养老机构等级评定实施细则（试行）》</w:t>
      </w:r>
    </w:p>
    <w:p w14:paraId="2326AB4A">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三、采购标的需满足的质量、安全、技术规格、物理特性等要求：</w:t>
      </w:r>
    </w:p>
    <w:p w14:paraId="08BC8819">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（一）质量要求</w:t>
      </w:r>
    </w:p>
    <w:p w14:paraId="42E2FC66">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1．开展康复评估=100%；</w:t>
      </w:r>
    </w:p>
    <w:p w14:paraId="7888FA64">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2．根据康复评估结果建立康复档案=100%</w:t>
      </w:r>
    </w:p>
    <w:p w14:paraId="6DCBD2D3">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3．评估通过人员康复文娱参与率≥90%；</w:t>
      </w:r>
    </w:p>
    <w:p w14:paraId="5DBC0867">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4．参加康复文娱活动人员或其家属对康复服务满意率≥90%；</w:t>
      </w:r>
    </w:p>
    <w:p w14:paraId="3CF7F8AF">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5．服务过程中安全率=100%；</w:t>
      </w:r>
    </w:p>
    <w:p w14:paraId="4E5C9F5A">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6．理发服务，每人每月不少于1次；</w:t>
      </w:r>
    </w:p>
    <w:p w14:paraId="5ED47450">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7. 床上用品随换随洗，外衣根据托养人员的需要洗涤。窗帘，隔帘根据实际需要洗涤，特殊换洗的根据要求单独洗涤，消毒。</w:t>
      </w:r>
    </w:p>
    <w:p w14:paraId="127D93FA">
      <w:pPr>
        <w:pStyle w:val="30"/>
        <w:shd w:val="clear" w:color="auto" w:fill="FFFFFF"/>
        <w:spacing w:before="90" w:beforeAutospacing="0" w:after="90" w:afterAutospacing="0" w:line="360" w:lineRule="auto"/>
        <w:ind w:firstLine="482" w:firstLineChars="200"/>
        <w:rPr>
          <w:b/>
          <w:color w:val="auto"/>
          <w:highlight w:val="none"/>
        </w:rPr>
      </w:pPr>
      <w:r>
        <w:rPr>
          <w:rFonts w:hint="eastAsia"/>
          <w:b/>
          <w:color w:val="auto"/>
          <w:highlight w:val="none"/>
        </w:rPr>
        <w:t>（二）安全要求</w:t>
      </w:r>
    </w:p>
    <w:p w14:paraId="22346A3B">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1．遵守两中心各项规章制度，严格执行技术操作规程，落实安全防范措施；</w:t>
      </w:r>
    </w:p>
    <w:p w14:paraId="361B01AC">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2．评估服务对象不安全因素，制定意外事故的预防方案；</w:t>
      </w:r>
    </w:p>
    <w:p w14:paraId="0254A22E">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3．组织、参加安全相关培训每年不少于2次；</w:t>
      </w:r>
    </w:p>
    <w:p w14:paraId="04991B8F">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4．在训练人员中发现患有传染病的情况，要迅速采取特殊保护措施，并及时上报。</w:t>
      </w:r>
    </w:p>
    <w:p w14:paraId="4733DCF7">
      <w:pPr>
        <w:pStyle w:val="30"/>
        <w:shd w:val="clear" w:color="auto" w:fill="FFFFFF"/>
        <w:spacing w:before="90" w:beforeAutospacing="0" w:after="90" w:afterAutospacing="0" w:line="360" w:lineRule="auto"/>
        <w:ind w:firstLine="482" w:firstLineChars="200"/>
        <w:rPr>
          <w:b/>
          <w:color w:val="auto"/>
          <w:highlight w:val="none"/>
        </w:rPr>
      </w:pPr>
      <w:r>
        <w:rPr>
          <w:rFonts w:hint="eastAsia"/>
          <w:b/>
          <w:color w:val="auto"/>
          <w:highlight w:val="none"/>
        </w:rPr>
        <w:t>四、采购标的的数量、采购项目交付或者实施的时间和地点：</w:t>
      </w:r>
    </w:p>
    <w:p w14:paraId="10890DF5">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（一）采购标的数量：服务人员共11名，其中：</w:t>
      </w:r>
    </w:p>
    <w:p w14:paraId="4D0C9DEA">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服务市残疾人综合服务中心4名</w:t>
      </w:r>
    </w:p>
    <w:p w14:paraId="4FF0FC41">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1．康复治疗师：3名，康复相关专业或有对应专业技术资格证书，主要负责常规康复治疗。</w:t>
      </w:r>
    </w:p>
    <w:p w14:paraId="7F26A66C">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2.社会工作者：1名，</w:t>
      </w:r>
      <w:r>
        <w:rPr>
          <w:rFonts w:ascii="宋体" w:hAnsi="宋体" w:cs="Arial"/>
          <w:color w:val="auto"/>
          <w:sz w:val="24"/>
          <w:highlight w:val="none"/>
        </w:rPr>
        <w:t>大专以上学历或</w:t>
      </w:r>
      <w:r>
        <w:rPr>
          <w:rFonts w:hint="eastAsia" w:ascii="宋体" w:hAnsi="宋体" w:cs="Arial"/>
          <w:color w:val="auto"/>
          <w:sz w:val="24"/>
          <w:highlight w:val="none"/>
        </w:rPr>
        <w:t>有</w:t>
      </w:r>
      <w:r>
        <w:rPr>
          <w:rFonts w:ascii="宋体" w:hAnsi="宋体" w:cs="Arial"/>
          <w:color w:val="auto"/>
          <w:sz w:val="24"/>
          <w:highlight w:val="none"/>
        </w:rPr>
        <w:t>社工资格证书</w:t>
      </w:r>
      <w:r>
        <w:rPr>
          <w:rFonts w:hint="eastAsia" w:ascii="宋体" w:hAnsi="宋体" w:cs="Arial"/>
          <w:color w:val="auto"/>
          <w:sz w:val="24"/>
          <w:highlight w:val="none"/>
        </w:rPr>
        <w:t>,针对不同需求设计和开展针对性的小组或个案类专业社工服务；策划开展节日及其他主题活动；</w:t>
      </w:r>
      <w:r>
        <w:rPr>
          <w:rFonts w:ascii="宋体" w:hAnsi="宋体" w:cs="Arial"/>
          <w:color w:val="auto"/>
          <w:sz w:val="24"/>
          <w:highlight w:val="none"/>
        </w:rPr>
        <w:t>配合做好其他交办的工作</w:t>
      </w:r>
      <w:r>
        <w:rPr>
          <w:rFonts w:hint="eastAsia" w:ascii="宋体" w:hAnsi="宋体" w:cs="Arial"/>
          <w:color w:val="auto"/>
          <w:sz w:val="24"/>
          <w:highlight w:val="none"/>
        </w:rPr>
        <w:t>。</w:t>
      </w:r>
    </w:p>
    <w:p w14:paraId="3C357B55">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服务市老龄工作发展促进中心3名</w:t>
      </w:r>
    </w:p>
    <w:p w14:paraId="6C415221">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护士：3名，</w:t>
      </w:r>
      <w:r>
        <w:rPr>
          <w:rFonts w:ascii="宋体" w:hAnsi="宋体" w:cs="Arial"/>
          <w:color w:val="auto"/>
          <w:sz w:val="24"/>
          <w:highlight w:val="none"/>
        </w:rPr>
        <w:t>大专以上学历，</w:t>
      </w:r>
      <w:r>
        <w:rPr>
          <w:rFonts w:hint="eastAsia" w:ascii="宋体" w:hAnsi="宋体" w:cs="Arial"/>
          <w:color w:val="auto"/>
          <w:sz w:val="24"/>
          <w:highlight w:val="none"/>
        </w:rPr>
        <w:t>有护士</w:t>
      </w:r>
      <w:r>
        <w:rPr>
          <w:rFonts w:ascii="宋体" w:hAnsi="宋体" w:cs="Arial"/>
          <w:color w:val="auto"/>
          <w:sz w:val="24"/>
          <w:highlight w:val="none"/>
        </w:rPr>
        <w:t>资格证书</w:t>
      </w:r>
      <w:r>
        <w:rPr>
          <w:rFonts w:hint="eastAsia" w:ascii="宋体" w:hAnsi="宋体" w:cs="Arial"/>
          <w:color w:val="auto"/>
          <w:sz w:val="24"/>
          <w:highlight w:val="none"/>
        </w:rPr>
        <w:t>，有老年护理工作者优先，有责任心，会电脑，主要负责服务对象的基础护理及发药工作，会简单的意外急救处理等基本护理技能。</w:t>
      </w:r>
    </w:p>
    <w:p w14:paraId="004B49FC">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两中心共用人员4名</w:t>
      </w:r>
    </w:p>
    <w:p w14:paraId="5ED5C08B">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1.现场管理人员：1名，护理、康复、社工等相关专业，有五年以上相关工作经验。</w:t>
      </w:r>
    </w:p>
    <w:p w14:paraId="408CF2CE">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2.洗衣房工作人员：3名，有相关工作经验。</w:t>
      </w:r>
    </w:p>
    <w:p w14:paraId="51AC5AA2">
      <w:pPr>
        <w:spacing w:line="360" w:lineRule="auto"/>
        <w:ind w:firstLine="474" w:firstLineChars="225"/>
        <w:rPr>
          <w:rFonts w:ascii="宋体" w:hAnsi="宋体" w:cs="Arial"/>
          <w:b/>
          <w:bCs/>
          <w:color w:val="auto"/>
          <w:sz w:val="24"/>
          <w:highlight w:val="none"/>
        </w:rPr>
      </w:pPr>
      <w:r>
        <w:rPr>
          <w:rFonts w:hint="eastAsia" w:ascii="宋体" w:hAnsi="宋体"/>
          <w:b/>
          <w:bCs/>
          <w:color w:val="auto"/>
          <w:szCs w:val="21"/>
          <w:highlight w:val="none"/>
        </w:rPr>
        <w:t>投标时需提供承诺书（格式见附件——承诺书二），承诺中标后2周内将所有人员配备齐全，不提供承诺书，符合性审查不通过。</w:t>
      </w:r>
    </w:p>
    <w:p w14:paraId="312CBF6A">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因增加托养人员数量或新增服务需求，确有必要增加服务人员另行商议。人员经费分担在两中心与中标方合同中予以明确。在服务期内，招标方可根据实际情况对服务人员构成做出调整。</w:t>
      </w:r>
    </w:p>
    <w:p w14:paraId="76909DC8">
      <w:pPr>
        <w:widowControl/>
        <w:spacing w:line="360" w:lineRule="auto"/>
        <w:ind w:firstLine="480" w:firstLineChars="200"/>
        <w:jc w:val="left"/>
        <w:rPr>
          <w:rFonts w:ascii="宋体" w:hAnsi="宋体" w:cs="Arial"/>
          <w:color w:val="auto"/>
          <w:sz w:val="24"/>
          <w:highlight w:val="none"/>
        </w:rPr>
      </w:pPr>
      <w:r>
        <w:rPr>
          <w:rFonts w:hint="eastAsia" w:ascii="宋体" w:hAnsi="宋体" w:cs="Arial"/>
          <w:color w:val="auto"/>
          <w:sz w:val="24"/>
          <w:highlight w:val="none"/>
        </w:rPr>
        <w:t>（二）</w:t>
      </w:r>
      <w:bookmarkStart w:id="197" w:name="OLE_LINK21"/>
      <w:bookmarkStart w:id="198" w:name="OLE_LINK22"/>
      <w:r>
        <w:rPr>
          <w:rFonts w:hint="eastAsia" w:ascii="宋体" w:hAnsi="宋体" w:cs="Arial"/>
          <w:color w:val="auto"/>
          <w:sz w:val="24"/>
          <w:highlight w:val="none"/>
        </w:rPr>
        <w:t>实施地点：无锡市新吴区锡兴路199号</w:t>
      </w:r>
      <w:bookmarkEnd w:id="197"/>
      <w:bookmarkEnd w:id="198"/>
    </w:p>
    <w:p w14:paraId="599260EE">
      <w:pPr>
        <w:widowControl/>
        <w:spacing w:line="360" w:lineRule="auto"/>
        <w:ind w:firstLine="482" w:firstLineChars="200"/>
        <w:jc w:val="left"/>
        <w:rPr>
          <w:rFonts w:ascii="宋体" w:hAnsi="宋体" w:cs="Arial"/>
          <w:color w:val="auto"/>
          <w:sz w:val="24"/>
          <w:highlight w:val="none"/>
        </w:rPr>
      </w:pPr>
      <w:r>
        <w:rPr>
          <w:rFonts w:hint="eastAsia" w:ascii="宋体" w:hAnsi="宋体"/>
          <w:b/>
          <w:color w:val="auto"/>
          <w:sz w:val="24"/>
          <w:highlight w:val="none"/>
        </w:rPr>
        <w:t>五、采购标的需满足的服务标准、期限、效率等要求：</w:t>
      </w:r>
    </w:p>
    <w:p w14:paraId="720C65E0">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（一）服务内容</w:t>
      </w:r>
    </w:p>
    <w:p w14:paraId="522EBD4A">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康复活动：</w:t>
      </w:r>
    </w:p>
    <w:p w14:paraId="2E836707">
      <w:pPr>
        <w:spacing w:line="360" w:lineRule="auto"/>
        <w:ind w:firstLine="352" w:firstLineChars="147"/>
        <w:rPr>
          <w:rFonts w:ascii="宋体" w:hAnsi="宋体"/>
          <w:b/>
          <w:color w:val="auto"/>
          <w:sz w:val="24"/>
          <w:highlight w:val="none"/>
        </w:rPr>
      </w:pPr>
      <w:r>
        <w:rPr>
          <w:rFonts w:hint="eastAsia" w:ascii="宋体" w:hAnsi="宋体" w:cs="宋体"/>
          <w:color w:val="auto"/>
          <w:sz w:val="24"/>
          <w:highlight w:val="none"/>
        </w:rPr>
        <w:t xml:space="preserve"> 1.对</w:t>
      </w:r>
      <w:r>
        <w:rPr>
          <w:rFonts w:hint="eastAsia" w:ascii="宋体" w:hAnsi="宋体"/>
          <w:color w:val="auto"/>
          <w:sz w:val="24"/>
          <w:highlight w:val="none"/>
        </w:rPr>
        <w:t>服务对象</w:t>
      </w:r>
      <w:r>
        <w:rPr>
          <w:rFonts w:hint="eastAsia" w:ascii="宋体" w:hAnsi="宋体" w:cs="宋体"/>
          <w:color w:val="auto"/>
          <w:sz w:val="24"/>
          <w:highlight w:val="none"/>
        </w:rPr>
        <w:t>进行康复功能评估，并出具评定结果，交招标方确认。</w:t>
      </w:r>
    </w:p>
    <w:p w14:paraId="059B4FC8">
      <w:pPr>
        <w:spacing w:line="360" w:lineRule="auto"/>
        <w:ind w:firstLine="352" w:firstLineChars="147"/>
        <w:rPr>
          <w:rFonts w:ascii="宋体" w:hAnsi="宋体" w:cs="宋体"/>
          <w:color w:val="auto"/>
          <w:sz w:val="24"/>
          <w:highlight w:val="none"/>
        </w:rPr>
      </w:pPr>
      <w:r>
        <w:rPr>
          <w:rFonts w:hint="eastAsia" w:ascii="宋体" w:hAnsi="宋体" w:cs="宋体"/>
          <w:color w:val="auto"/>
          <w:sz w:val="24"/>
          <w:highlight w:val="none"/>
        </w:rPr>
        <w:t xml:space="preserve"> 2.根据评定结果科学制定相适应的康复方案/计划。</w:t>
      </w:r>
    </w:p>
    <w:p w14:paraId="3B4D80A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3.具体实施训练，训练强度合理，过程性资料完整。</w:t>
      </w:r>
    </w:p>
    <w:p w14:paraId="3A97C22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4.按照康复训练阶段或功能水平的提高程度，进行及时的能力分析、评定、以此修订计划，各节点康复计划实施前应提交招标方审核批准。</w:t>
      </w:r>
    </w:p>
    <w:p w14:paraId="0585C6B7">
      <w:pPr>
        <w:spacing w:line="360" w:lineRule="auto"/>
        <w:ind w:firstLine="352" w:firstLineChars="147"/>
        <w:rPr>
          <w:rFonts w:ascii="宋体" w:hAnsi="宋体"/>
          <w:b/>
          <w:color w:val="auto"/>
          <w:sz w:val="24"/>
          <w:highlight w:val="none"/>
        </w:rPr>
      </w:pPr>
      <w:r>
        <w:rPr>
          <w:rFonts w:hint="eastAsia" w:ascii="宋体" w:hAnsi="宋体" w:cs="宋体"/>
          <w:color w:val="auto"/>
          <w:sz w:val="24"/>
          <w:highlight w:val="none"/>
        </w:rPr>
        <w:t xml:space="preserve"> 5.建立一人一档的康复档案，康复过程记录与康复方案/计划一致。康复记录书写及时、完整，对服务对象接受康复服务的内容、方法和效果进行评估。</w:t>
      </w:r>
    </w:p>
    <w:p w14:paraId="73531EFF">
      <w:pPr>
        <w:spacing w:line="360" w:lineRule="auto"/>
        <w:ind w:firstLine="352" w:firstLineChars="147"/>
        <w:rPr>
          <w:rFonts w:ascii="宋体" w:hAnsi="宋体" w:cs="宋体"/>
          <w:color w:val="auto"/>
          <w:sz w:val="24"/>
          <w:highlight w:val="none"/>
        </w:rPr>
      </w:pPr>
      <w:r>
        <w:rPr>
          <w:rFonts w:hint="eastAsia" w:ascii="宋体" w:hAnsi="宋体" w:cs="宋体"/>
          <w:color w:val="auto"/>
          <w:sz w:val="24"/>
          <w:highlight w:val="none"/>
        </w:rPr>
        <w:t xml:space="preserve"> 6.建立康复设备与器材安全检查台账，提出更换、淘汰建议。</w:t>
      </w:r>
    </w:p>
    <w:p w14:paraId="37979D88">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7.每季度至少举办一次讲座普及康复知识，传授疾病预防和康复训练知识。</w:t>
      </w:r>
    </w:p>
    <w:p w14:paraId="2DC6DA68">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 xml:space="preserve"> 文娱活动：</w:t>
      </w:r>
    </w:p>
    <w:p w14:paraId="6211B17B">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1.工作日组织适宜服务对象活动（包含文化、体育、休闲娱乐活动等），要求日常活动种类多样，有适合不同服务对象的活动。</w:t>
      </w:r>
    </w:p>
    <w:p w14:paraId="33987341">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2.协助招标方开展大型传统节日、特殊纪念日活动、特色主题活动、集体生日会等。</w:t>
      </w:r>
    </w:p>
    <w:p w14:paraId="0BF5B9E5">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3.制定服务对象文化娱乐活动相关应急预案，熟练使用文化娱乐相关设备并做好设备日常维护工作。</w:t>
      </w:r>
    </w:p>
    <w:p w14:paraId="53227706">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4.按照服务对象需要制订活动服务计划，包括日常活动、月度活动及特色活动等。</w:t>
      </w:r>
    </w:p>
    <w:p w14:paraId="03E2B20D">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5.文化活动适宜服务对象心理精神需求，体育活动适合服务对象体能情况，缓和不剧烈。</w:t>
      </w:r>
    </w:p>
    <w:p w14:paraId="2F1DEF13">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6.开展音乐康复治疗，组织残疾人乐队日常排练演出曲目。</w:t>
      </w:r>
    </w:p>
    <w:p w14:paraId="494247FC">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 xml:space="preserve"> 护理活动：</w:t>
      </w:r>
    </w:p>
    <w:p w14:paraId="36B2E452">
      <w:pPr>
        <w:numPr>
          <w:ilvl w:val="0"/>
          <w:numId w:val="7"/>
        </w:numPr>
        <w:spacing w:line="360" w:lineRule="auto"/>
        <w:ind w:firstLine="352" w:firstLineChars="147"/>
        <w:rPr>
          <w:rFonts w:ascii="宋体" w:hAnsi="宋体"/>
          <w:bCs/>
          <w:color w:val="auto"/>
          <w:sz w:val="24"/>
          <w:highlight w:val="none"/>
        </w:rPr>
      </w:pPr>
      <w:r>
        <w:rPr>
          <w:rFonts w:hint="eastAsia" w:ascii="宋体" w:hAnsi="宋体"/>
          <w:bCs/>
          <w:color w:val="auto"/>
          <w:sz w:val="24"/>
          <w:highlight w:val="none"/>
        </w:rPr>
        <w:t>服从老年托养部护士长的排班，实行24小时值班制。</w:t>
      </w:r>
    </w:p>
    <w:p w14:paraId="25BA8BBF">
      <w:pPr>
        <w:numPr>
          <w:ilvl w:val="0"/>
          <w:numId w:val="7"/>
        </w:numPr>
        <w:spacing w:line="360" w:lineRule="auto"/>
        <w:ind w:firstLine="352" w:firstLineChars="147"/>
        <w:rPr>
          <w:rFonts w:ascii="宋体" w:hAnsi="宋体"/>
          <w:bCs/>
          <w:color w:val="auto"/>
          <w:sz w:val="24"/>
          <w:highlight w:val="none"/>
        </w:rPr>
      </w:pPr>
      <w:r>
        <w:rPr>
          <w:rFonts w:hint="eastAsia" w:ascii="宋体" w:hAnsi="宋体"/>
          <w:bCs/>
          <w:color w:val="auto"/>
          <w:sz w:val="24"/>
          <w:highlight w:val="none"/>
        </w:rPr>
        <w:t>负责入住老人的基础护理工作，如导尿、鼻饲、会阴护理、口腔护理等常规护理工作。</w:t>
      </w:r>
    </w:p>
    <w:p w14:paraId="2B78A946">
      <w:pPr>
        <w:numPr>
          <w:ilvl w:val="0"/>
          <w:numId w:val="7"/>
        </w:numPr>
        <w:spacing w:line="360" w:lineRule="auto"/>
        <w:ind w:firstLine="352" w:firstLineChars="147"/>
        <w:rPr>
          <w:rFonts w:ascii="宋体" w:hAnsi="宋体"/>
          <w:bCs/>
          <w:color w:val="auto"/>
          <w:sz w:val="24"/>
          <w:highlight w:val="none"/>
        </w:rPr>
      </w:pPr>
      <w:r>
        <w:rPr>
          <w:rFonts w:hint="eastAsia" w:ascii="宋体" w:hAnsi="宋体"/>
          <w:bCs/>
          <w:color w:val="auto"/>
          <w:sz w:val="24"/>
          <w:highlight w:val="none"/>
        </w:rPr>
        <w:t>定时定点给老人发口服药、注射胰岛素等常规工作。</w:t>
      </w:r>
    </w:p>
    <w:p w14:paraId="60E5D5EC">
      <w:pPr>
        <w:numPr>
          <w:ilvl w:val="0"/>
          <w:numId w:val="7"/>
        </w:numPr>
        <w:spacing w:line="360" w:lineRule="auto"/>
        <w:ind w:firstLine="352" w:firstLineChars="147"/>
        <w:rPr>
          <w:rFonts w:ascii="宋体" w:hAnsi="宋体"/>
          <w:bCs/>
          <w:color w:val="auto"/>
          <w:sz w:val="24"/>
          <w:highlight w:val="none"/>
        </w:rPr>
      </w:pPr>
      <w:r>
        <w:rPr>
          <w:rFonts w:hint="eastAsia" w:ascii="宋体" w:hAnsi="宋体"/>
          <w:bCs/>
          <w:color w:val="auto"/>
          <w:sz w:val="24"/>
          <w:highlight w:val="none"/>
        </w:rPr>
        <w:t>会进行简单的急救工作，做好护理记录。</w:t>
      </w:r>
    </w:p>
    <w:p w14:paraId="03A900F7">
      <w:pPr>
        <w:numPr>
          <w:ilvl w:val="0"/>
          <w:numId w:val="7"/>
        </w:numPr>
        <w:spacing w:line="360" w:lineRule="auto"/>
        <w:ind w:firstLine="352" w:firstLineChars="147"/>
        <w:rPr>
          <w:rFonts w:ascii="宋体" w:hAnsi="宋体"/>
          <w:bCs/>
          <w:color w:val="auto"/>
          <w:sz w:val="24"/>
          <w:highlight w:val="none"/>
        </w:rPr>
      </w:pPr>
      <w:r>
        <w:rPr>
          <w:rFonts w:hint="eastAsia" w:ascii="宋体" w:hAnsi="宋体"/>
          <w:bCs/>
          <w:color w:val="auto"/>
          <w:sz w:val="24"/>
          <w:highlight w:val="none"/>
        </w:rPr>
        <w:t>做好老人的心理护理及家属的沟通工作。</w:t>
      </w:r>
    </w:p>
    <w:p w14:paraId="38872AEE">
      <w:pPr>
        <w:spacing w:line="360" w:lineRule="auto"/>
        <w:ind w:firstLine="723" w:firstLineChars="300"/>
        <w:rPr>
          <w:rFonts w:ascii="宋体" w:hAnsi="宋体"/>
          <w:b/>
          <w:color w:val="auto"/>
          <w:sz w:val="24"/>
          <w:highlight w:val="none"/>
        </w:rPr>
      </w:pPr>
      <w:r>
        <w:rPr>
          <w:rFonts w:hint="eastAsia" w:ascii="宋体" w:hAnsi="宋体"/>
          <w:b/>
          <w:color w:val="auto"/>
          <w:sz w:val="24"/>
          <w:highlight w:val="none"/>
        </w:rPr>
        <w:t>具体工作事宜由市老龄工作发展促进中心安排。</w:t>
      </w:r>
    </w:p>
    <w:p w14:paraId="74D6565F">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洗涤服务：</w:t>
      </w:r>
    </w:p>
    <w:p w14:paraId="5ACDA2D8">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1.为“两中心”入托人员的衣物（外衣），床上用品以及房间的窗帘、隔帘等提供收集、清洗、消毒、烘干、整理服务。</w:t>
      </w:r>
    </w:p>
    <w:p w14:paraId="3D52C1F0">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2.床上用品、特殊污衣物随换随洗。</w:t>
      </w:r>
    </w:p>
    <w:p w14:paraId="00C37DBB">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3.洗涤衣物和床上用品应分类清洗、晒干或烘干。</w:t>
      </w:r>
    </w:p>
    <w:p w14:paraId="3AEE42CB">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4.指定地点收集污物，运送车洁污分开。</w:t>
      </w:r>
    </w:p>
    <w:p w14:paraId="5D010C8E">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5.被血液、排泄物、分泌物污染或疑似传染性衣物及床上用品封闭运输，单独清洗，洗涤过程采用消毒－清洗－消毒的顺序，有消毒记录。</w:t>
      </w:r>
    </w:p>
    <w:p w14:paraId="1FB735BD">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6.衣物完好无损，整理后准确无误送还，有记录。因布料老化等原因导致破损应及时说明情况。</w:t>
      </w:r>
    </w:p>
    <w:p w14:paraId="1FA4A3FF">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 xml:space="preserve"> 7.常规洗涤设备每日清洗，每周消毒，有清洗、消毒记录。</w:t>
      </w:r>
    </w:p>
    <w:p w14:paraId="23B381CC">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理发服务：</w:t>
      </w:r>
    </w:p>
    <w:p w14:paraId="01187B81">
      <w:pPr>
        <w:spacing w:line="360" w:lineRule="auto"/>
        <w:ind w:firstLine="352" w:firstLineChars="147"/>
        <w:rPr>
          <w:rFonts w:ascii="宋体" w:hAnsi="宋体"/>
          <w:color w:val="auto"/>
          <w:sz w:val="24"/>
          <w:highlight w:val="none"/>
        </w:rPr>
      </w:pPr>
      <w:r>
        <w:rPr>
          <w:rFonts w:hint="eastAsia" w:ascii="宋体" w:hAnsi="宋体"/>
          <w:color w:val="auto"/>
          <w:sz w:val="24"/>
          <w:highlight w:val="none"/>
        </w:rPr>
        <w:t>提供每月一次入托人员的理发服务，做好工具定期消毒。</w:t>
      </w:r>
    </w:p>
    <w:p w14:paraId="060A8492">
      <w:pPr>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（二）工作要求</w:t>
      </w:r>
    </w:p>
    <w:p w14:paraId="1EBDCCA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olor w:val="auto"/>
          <w:sz w:val="24"/>
          <w:highlight w:val="none"/>
        </w:rPr>
        <w:t>.</w:t>
      </w:r>
      <w:r>
        <w:rPr>
          <w:rFonts w:hint="eastAsia" w:ascii="宋体" w:hAnsi="宋体" w:cs="宋体"/>
          <w:color w:val="auto"/>
          <w:sz w:val="24"/>
          <w:highlight w:val="none"/>
        </w:rPr>
        <w:t>激发入托人员参与康复活动的热情，提高参与度。</w:t>
      </w:r>
    </w:p>
    <w:p w14:paraId="1CB97A9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olor w:val="auto"/>
          <w:sz w:val="24"/>
          <w:highlight w:val="none"/>
        </w:rPr>
        <w:t>.</w:t>
      </w:r>
      <w:r>
        <w:rPr>
          <w:rFonts w:hint="eastAsia" w:ascii="宋体" w:hAnsi="宋体" w:cs="宋体"/>
          <w:color w:val="auto"/>
          <w:sz w:val="24"/>
          <w:highlight w:val="none"/>
        </w:rPr>
        <w:t>熟悉了解每一位服务对象的疾病情况、服务需求，科学制定计划，提高康复训练针对性。</w:t>
      </w:r>
    </w:p>
    <w:p w14:paraId="2744377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olor w:val="auto"/>
          <w:sz w:val="24"/>
          <w:highlight w:val="none"/>
        </w:rPr>
        <w:t>.</w:t>
      </w:r>
      <w:r>
        <w:rPr>
          <w:rFonts w:hint="eastAsia" w:ascii="宋体" w:hAnsi="宋体" w:cs="宋体"/>
          <w:color w:val="auto"/>
          <w:sz w:val="24"/>
          <w:highlight w:val="none"/>
        </w:rPr>
        <w:t>服务人员尊重、关心、爱护每一位服务对象，语言文明礼貌，举止端庄大方，服务耐心细致。</w:t>
      </w:r>
    </w:p>
    <w:p w14:paraId="24FC7E9B">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olor w:val="auto"/>
          <w:sz w:val="24"/>
          <w:highlight w:val="none"/>
        </w:rPr>
        <w:t>.</w:t>
      </w:r>
      <w:r>
        <w:rPr>
          <w:rFonts w:hint="eastAsia" w:ascii="宋体" w:hAnsi="宋体" w:cs="宋体"/>
          <w:color w:val="auto"/>
          <w:sz w:val="24"/>
          <w:highlight w:val="none"/>
        </w:rPr>
        <w:t>在工作岗位上及时观察服务对象的情况，发现异常，及时报告，及时处理，杜绝差错事故发生。</w:t>
      </w:r>
    </w:p>
    <w:p w14:paraId="1C4C3B6B">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olor w:val="auto"/>
          <w:sz w:val="24"/>
          <w:highlight w:val="none"/>
        </w:rPr>
        <w:t>.</w:t>
      </w:r>
      <w:r>
        <w:rPr>
          <w:rFonts w:hint="eastAsia" w:ascii="宋体" w:hAnsi="宋体" w:cs="宋体"/>
          <w:color w:val="auto"/>
          <w:sz w:val="24"/>
          <w:highlight w:val="none"/>
        </w:rPr>
        <w:t>注重保护老年人及残疾人的个人隐私，不得利用入托人员相关的资料、数据进行商业宣传或泄露。</w:t>
      </w:r>
    </w:p>
    <w:p w14:paraId="286EB03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olor w:val="auto"/>
          <w:sz w:val="24"/>
          <w:highlight w:val="none"/>
        </w:rPr>
        <w:t>.</w:t>
      </w:r>
      <w:r>
        <w:rPr>
          <w:rFonts w:hint="eastAsia" w:ascii="宋体" w:hAnsi="宋体" w:cs="宋体"/>
          <w:color w:val="auto"/>
          <w:sz w:val="24"/>
          <w:highlight w:val="none"/>
        </w:rPr>
        <w:t>与同事和班组团结合作，创造文明、健康、乐观的工作氛围。</w:t>
      </w:r>
    </w:p>
    <w:p w14:paraId="70AFD88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olor w:val="auto"/>
          <w:sz w:val="24"/>
          <w:highlight w:val="none"/>
        </w:rPr>
        <w:t>.</w:t>
      </w:r>
      <w:r>
        <w:rPr>
          <w:rFonts w:hint="eastAsia" w:ascii="宋体" w:hAnsi="宋体" w:cs="宋体"/>
          <w:color w:val="auto"/>
          <w:sz w:val="24"/>
          <w:highlight w:val="none"/>
        </w:rPr>
        <w:t>做好物资、康复器械、办公设备等管理，建立管理台账，有物资或设备损坏应及时与有关方联系，进行及时更换或修缮，保证康复工作的正常进行。</w:t>
      </w:r>
    </w:p>
    <w:p w14:paraId="0399A4AB">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8</w:t>
      </w:r>
      <w:r>
        <w:rPr>
          <w:rFonts w:hint="eastAsia" w:ascii="宋体" w:hAnsi="宋体"/>
          <w:color w:val="auto"/>
          <w:sz w:val="24"/>
          <w:highlight w:val="none"/>
        </w:rPr>
        <w:t>.</w:t>
      </w:r>
      <w:r>
        <w:rPr>
          <w:rFonts w:hint="eastAsia" w:ascii="宋体" w:hAnsi="宋体" w:cs="宋体"/>
          <w:color w:val="auto"/>
          <w:sz w:val="24"/>
          <w:highlight w:val="none"/>
        </w:rPr>
        <w:t>做好各康复活动室、办公区域及其他相关活动区域的卫生工作，保持康复训练环境的整洁、安全、舒适。</w:t>
      </w:r>
    </w:p>
    <w:p w14:paraId="4442717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9.保证洗涤质量，确保洗涤物品不因工作责任心不强导致丢失，损坏。</w:t>
      </w:r>
    </w:p>
    <w:p w14:paraId="0F6DE9F1">
      <w:pPr>
        <w:spacing w:line="360" w:lineRule="auto"/>
        <w:ind w:firstLine="480" w:firstLineChars="200"/>
        <w:jc w:val="left"/>
        <w:rPr>
          <w:rFonts w:ascii="宋体" w:hAnsi="宋体"/>
          <w:b/>
          <w:color w:val="auto"/>
          <w:sz w:val="24"/>
          <w:highlight w:val="none"/>
        </w:rPr>
      </w:pPr>
      <w:r>
        <w:rPr>
          <w:rFonts w:hint="eastAsia" w:ascii="宋体" w:hAnsi="宋体" w:cs="宋体"/>
          <w:color w:val="auto"/>
          <w:sz w:val="24"/>
          <w:highlight w:val="none"/>
        </w:rPr>
        <w:t>10</w:t>
      </w:r>
      <w:r>
        <w:rPr>
          <w:rFonts w:hint="eastAsia" w:ascii="宋体" w:hAnsi="宋体"/>
          <w:color w:val="auto"/>
          <w:sz w:val="24"/>
          <w:highlight w:val="none"/>
        </w:rPr>
        <w:t>.</w:t>
      </w:r>
      <w:r>
        <w:rPr>
          <w:rFonts w:hint="eastAsia" w:ascii="宋体" w:hAnsi="宋体" w:cs="宋体"/>
          <w:color w:val="auto"/>
          <w:sz w:val="24"/>
          <w:highlight w:val="none"/>
        </w:rPr>
        <w:t>参加招标方组织的各项活动；完成招标方交办的其他任务；自觉接受招标方对服务过程的全程监督和指导。</w:t>
      </w:r>
    </w:p>
    <w:p w14:paraId="026926BA">
      <w:pPr>
        <w:spacing w:line="360" w:lineRule="auto"/>
        <w:ind w:firstLine="542" w:firstLineChars="225"/>
        <w:rPr>
          <w:rFonts w:ascii="宋体" w:hAnsi="宋体"/>
          <w:b/>
          <w:color w:val="auto"/>
          <w:sz w:val="24"/>
          <w:highlight w:val="none"/>
        </w:rPr>
      </w:pPr>
      <w:r>
        <w:rPr>
          <w:rFonts w:hint="eastAsia" w:ascii="宋体" w:hAnsi="宋体"/>
          <w:b/>
          <w:color w:val="auto"/>
          <w:sz w:val="24"/>
          <w:highlight w:val="none"/>
        </w:rPr>
        <w:t>（三）服务期限及付款方式：</w:t>
      </w:r>
    </w:p>
    <w:p w14:paraId="74EC784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1.自合同签订生效之日起，服务期限为两年。合同期满，如有需要，中标方应根据招标方的要求延续提供服务，费用标准按原合同规定执行。</w:t>
      </w:r>
    </w:p>
    <w:p w14:paraId="4A23BFF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2.实行人员工资和管理费按月结算，月服务费用结算按实际到岗人数结合考核结果后支付服务。</w:t>
      </w:r>
    </w:p>
    <w:p w14:paraId="36E75E8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3.合同期内如招标方运营模式发生重大变动或出现其它法律事由影响合同正常履行的，招标方提前一个月通知乙方后合同解除，中标方放弃向招标方主张违约责任或损害赔偿。</w:t>
      </w:r>
    </w:p>
    <w:p w14:paraId="11FA43D7">
      <w:pPr>
        <w:pStyle w:val="30"/>
        <w:shd w:val="clear" w:color="auto" w:fill="FFFFFF"/>
        <w:spacing w:before="90" w:beforeAutospacing="0" w:after="90" w:afterAutospacing="0" w:line="360" w:lineRule="auto"/>
        <w:ind w:firstLine="482" w:firstLineChars="200"/>
        <w:rPr>
          <w:b/>
          <w:color w:val="auto"/>
          <w:highlight w:val="none"/>
        </w:rPr>
      </w:pPr>
      <w:r>
        <w:rPr>
          <w:rFonts w:hint="eastAsia"/>
          <w:b/>
          <w:color w:val="auto"/>
          <w:highlight w:val="none"/>
        </w:rPr>
        <w:t>（四）招标方提供的经营条件</w:t>
      </w:r>
    </w:p>
    <w:p w14:paraId="169992C1">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1．招标方提供服务场地和休息场所。中标方人员的住宿、交通由中标方自行解决，招标方为中标方当班员工提供搭伙便利，费用自理；</w:t>
      </w:r>
    </w:p>
    <w:p w14:paraId="285D547A">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2．招标方提供中标方办公室一间、员工更衣室，更衣柜若干。</w:t>
      </w:r>
    </w:p>
    <w:p w14:paraId="2EA8E60E">
      <w:pPr>
        <w:pStyle w:val="30"/>
        <w:shd w:val="clear" w:color="auto" w:fill="FFFFFF"/>
        <w:spacing w:before="90" w:beforeAutospacing="0" w:after="90" w:afterAutospacing="0" w:line="360" w:lineRule="auto"/>
        <w:ind w:firstLine="482" w:firstLineChars="200"/>
        <w:rPr>
          <w:b/>
          <w:color w:val="auto"/>
          <w:highlight w:val="none"/>
        </w:rPr>
      </w:pPr>
      <w:r>
        <w:rPr>
          <w:rFonts w:hint="eastAsia"/>
          <w:b/>
          <w:color w:val="auto"/>
          <w:highlight w:val="none"/>
        </w:rPr>
        <w:t>六、采购标的验收标准：</w:t>
      </w:r>
    </w:p>
    <w:p w14:paraId="7D8E452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一）采购人每月对相应内容的检查结果进行考核，采用百分制考核，考核分低于90分的，每低1分相应扣除当月服务外包费用1000元。考核内容包括：人员保障，服务质量，管理成效等。考核当月出现以下情形视为考核不合格，扣除当月服务费总额的10%，另赔偿招标方的损失：</w:t>
      </w:r>
    </w:p>
    <w:p w14:paraId="6577B14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1．不配合招标方开展各项工作且书面通知仍然不改正的。</w:t>
      </w:r>
    </w:p>
    <w:p w14:paraId="4B5E32B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 服务人员与托养人员发生纠纷，造成托养人员人身伤害严重的。</w:t>
      </w:r>
    </w:p>
    <w:p w14:paraId="506E62C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3．因中标方原因造成招标方人员伤亡、财产损失，对招标方产生重大影响的。</w:t>
      </w:r>
    </w:p>
    <w:p w14:paraId="386DF30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4．中标方与服务人员发生劳资纠纷，对招标方产生重大影响的。</w:t>
      </w:r>
    </w:p>
    <w:p w14:paraId="5C9DFF8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5．其他因中标方原因对招标方或托养人员造成重大影响的事项。</w:t>
      </w:r>
    </w:p>
    <w:p w14:paraId="7B22CA3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（二）采购人定期和不定期地对中标方管理服务进行检查和抽查，核查记录和整改期限将反馈给中标方。</w:t>
      </w:r>
    </w:p>
    <w:p w14:paraId="6BC3FC0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（三）中标供应商所有的工作应按服务流程实施外，应接受采购人或第三方（职能部门）的随时检查，如出现服务质量未达标情况，采购人有权要求其整改。</w:t>
      </w:r>
    </w:p>
    <w:p w14:paraId="2F84A97C">
      <w:pPr>
        <w:spacing w:line="360" w:lineRule="auto"/>
        <w:ind w:firstLine="482" w:firstLineChars="200"/>
        <w:rPr>
          <w:rFonts w:ascii="宋体" w:hAnsi="宋体"/>
          <w:color w:val="auto"/>
          <w:sz w:val="24"/>
          <w:highlight w:val="none"/>
        </w:rPr>
      </w:pPr>
      <w:r>
        <w:rPr>
          <w:rFonts w:hint="eastAsia" w:ascii="宋体" w:hAnsi="宋体"/>
          <w:b/>
          <w:color w:val="auto"/>
          <w:sz w:val="24"/>
          <w:highlight w:val="none"/>
        </w:rPr>
        <w:t>七、采购标的的其他技术、服务等要求</w:t>
      </w:r>
      <w:r>
        <w:rPr>
          <w:rFonts w:hint="eastAsia" w:ascii="宋体" w:hAnsi="宋体"/>
          <w:color w:val="auto"/>
          <w:sz w:val="24"/>
          <w:highlight w:val="none"/>
        </w:rPr>
        <w:t>：</w:t>
      </w:r>
    </w:p>
    <w:p w14:paraId="2D512B05">
      <w:pPr>
        <w:spacing w:line="360" w:lineRule="auto"/>
        <w:ind w:firstLine="542" w:firstLineChars="225"/>
        <w:rPr>
          <w:rFonts w:ascii="宋体" w:hAnsi="宋体"/>
          <w:b/>
          <w:color w:val="auto"/>
          <w:sz w:val="24"/>
          <w:highlight w:val="none"/>
        </w:rPr>
      </w:pPr>
      <w:r>
        <w:rPr>
          <w:rFonts w:hint="eastAsia" w:ascii="宋体" w:hAnsi="宋体"/>
          <w:b/>
          <w:color w:val="auto"/>
          <w:sz w:val="24"/>
          <w:highlight w:val="none"/>
        </w:rPr>
        <w:t>（一）工作时间及人员要求</w:t>
      </w:r>
    </w:p>
    <w:p w14:paraId="3CEDD676">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1．管理人员、康复治疗师、社工、护士</w:t>
      </w:r>
    </w:p>
    <w:p w14:paraId="0C4B403B">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 xml:space="preserve">   上午8:30至下午4:30（参照两中心工作时间，根据排班表参加值班）</w:t>
      </w:r>
    </w:p>
    <w:p w14:paraId="41AF158C">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 xml:space="preserve">   洗衣房工作人员</w:t>
      </w:r>
    </w:p>
    <w:p w14:paraId="1AEA84E7">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 xml:space="preserve">   上午8:00至下午4:00，节假日至少一人在岗</w:t>
      </w:r>
    </w:p>
    <w:p w14:paraId="21CE9089">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乙方应做好考勤表，按月交甲方审核，乙方工作人员按甲方要求参加值班、加班可安排调休。</w:t>
      </w:r>
    </w:p>
    <w:p w14:paraId="3655F948">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应做好出勤考勤表, 正常工作时间内不得缺席。节假日期间有关岗位应按规定安排值班，如遇特殊情况，需服从招标方安排。参加值班、加班人员可安排调休。</w:t>
      </w:r>
    </w:p>
    <w:p w14:paraId="7A6DA9D0">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2．专技人员均持证上岗，且根据不同岗位安排着装。</w:t>
      </w:r>
    </w:p>
    <w:p w14:paraId="410D39A6">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3．工作人员要求身体健康，思想素质好、爱岗敬业，不虐待托养人员，不接受或不向托养人员及其亲属索要红包或物品，无不良行为记录。</w:t>
      </w:r>
    </w:p>
    <w:p w14:paraId="113C215F">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4．中标后重要岗位人员如需更换，应提前两周以上告知招标方，经同意认可后方可更换，并建立工作人员花名册、档案。</w:t>
      </w:r>
    </w:p>
    <w:p w14:paraId="4B4D40A0">
      <w:pPr>
        <w:spacing w:line="360" w:lineRule="auto"/>
        <w:ind w:firstLine="540" w:firstLineChars="225"/>
        <w:rPr>
          <w:rFonts w:ascii="宋体" w:hAnsi="宋体"/>
          <w:color w:val="auto"/>
          <w:sz w:val="24"/>
          <w:highlight w:val="none"/>
        </w:rPr>
      </w:pPr>
      <w:r>
        <w:rPr>
          <w:rFonts w:hint="eastAsia" w:ascii="宋体" w:hAnsi="宋体"/>
          <w:color w:val="auto"/>
          <w:sz w:val="24"/>
          <w:highlight w:val="none"/>
        </w:rPr>
        <w:t>5．为提高服务质量，所有工作人员应定期进行各类业务培训，不断提高服务水平。定期进行安全教育，认真做好各类事故的预防工作，确保安全无事故。</w:t>
      </w:r>
    </w:p>
    <w:p w14:paraId="484D9F39">
      <w:pPr>
        <w:spacing w:line="360" w:lineRule="auto"/>
        <w:ind w:firstLine="602"/>
        <w:rPr>
          <w:rFonts w:hint="eastAsia" w:ascii="宋体" w:hAnsi="宋体"/>
          <w:b/>
          <w:color w:val="auto"/>
          <w:sz w:val="30"/>
          <w:szCs w:val="30"/>
          <w:highlight w:val="none"/>
        </w:rPr>
      </w:pPr>
    </w:p>
    <w:p w14:paraId="40A9AE83">
      <w:pPr>
        <w:spacing w:line="360" w:lineRule="auto"/>
        <w:ind w:firstLine="602"/>
        <w:rPr>
          <w:rFonts w:hint="eastAsia" w:ascii="宋体" w:hAnsi="宋体"/>
          <w:b/>
          <w:color w:val="auto"/>
          <w:sz w:val="30"/>
          <w:szCs w:val="30"/>
          <w:highlight w:val="none"/>
        </w:rPr>
      </w:pPr>
    </w:p>
    <w:p w14:paraId="0D9F6FE2">
      <w:pPr>
        <w:spacing w:line="360" w:lineRule="auto"/>
        <w:ind w:firstLine="602"/>
        <w:rPr>
          <w:rFonts w:hint="eastAsia" w:ascii="宋体" w:hAnsi="宋体"/>
          <w:b/>
          <w:color w:val="auto"/>
          <w:sz w:val="30"/>
          <w:szCs w:val="30"/>
          <w:highlight w:val="none"/>
        </w:rPr>
      </w:pPr>
    </w:p>
    <w:p w14:paraId="6E2F0470">
      <w:pPr>
        <w:spacing w:line="360" w:lineRule="auto"/>
        <w:ind w:firstLine="602"/>
        <w:rPr>
          <w:rFonts w:hint="eastAsia" w:ascii="宋体" w:hAnsi="宋体"/>
          <w:b/>
          <w:color w:val="auto"/>
          <w:sz w:val="30"/>
          <w:szCs w:val="30"/>
          <w:highlight w:val="none"/>
        </w:rPr>
      </w:pPr>
    </w:p>
    <w:p w14:paraId="722174BC">
      <w:pPr>
        <w:spacing w:line="360" w:lineRule="auto"/>
        <w:ind w:firstLine="602"/>
        <w:rPr>
          <w:rFonts w:hint="eastAsia" w:ascii="宋体" w:hAnsi="宋体"/>
          <w:b/>
          <w:color w:val="auto"/>
          <w:sz w:val="30"/>
          <w:szCs w:val="30"/>
          <w:highlight w:val="none"/>
        </w:rPr>
      </w:pPr>
    </w:p>
    <w:p w14:paraId="5A579E8D">
      <w:pPr>
        <w:spacing w:line="360" w:lineRule="auto"/>
        <w:ind w:firstLine="602"/>
        <w:rPr>
          <w:rFonts w:hint="eastAsia" w:ascii="宋体" w:hAnsi="宋体"/>
          <w:b/>
          <w:color w:val="auto"/>
          <w:sz w:val="30"/>
          <w:szCs w:val="30"/>
          <w:highlight w:val="none"/>
        </w:rPr>
      </w:pPr>
    </w:p>
    <w:p w14:paraId="04F350A7">
      <w:pPr>
        <w:spacing w:line="360" w:lineRule="auto"/>
        <w:ind w:firstLine="602"/>
        <w:rPr>
          <w:rFonts w:hint="eastAsia" w:ascii="宋体" w:hAnsi="宋体"/>
          <w:b/>
          <w:color w:val="auto"/>
          <w:sz w:val="30"/>
          <w:szCs w:val="30"/>
          <w:highlight w:val="none"/>
        </w:rPr>
      </w:pPr>
    </w:p>
    <w:p w14:paraId="1B04F68E">
      <w:pPr>
        <w:spacing w:line="360" w:lineRule="auto"/>
        <w:ind w:firstLine="602"/>
        <w:rPr>
          <w:rFonts w:hint="eastAsia" w:ascii="宋体" w:hAnsi="宋体"/>
          <w:b/>
          <w:color w:val="auto"/>
          <w:sz w:val="30"/>
          <w:szCs w:val="30"/>
          <w:highlight w:val="none"/>
        </w:rPr>
      </w:pPr>
    </w:p>
    <w:p w14:paraId="76F1BE0E">
      <w:pPr>
        <w:spacing w:line="360" w:lineRule="auto"/>
        <w:ind w:firstLine="602"/>
        <w:rPr>
          <w:rFonts w:hint="eastAsia" w:ascii="宋体" w:hAnsi="宋体"/>
          <w:b/>
          <w:color w:val="auto"/>
          <w:sz w:val="30"/>
          <w:szCs w:val="30"/>
          <w:highlight w:val="none"/>
        </w:rPr>
      </w:pPr>
    </w:p>
    <w:p w14:paraId="23CD0317">
      <w:pPr>
        <w:spacing w:line="360" w:lineRule="auto"/>
        <w:ind w:firstLine="602"/>
        <w:rPr>
          <w:rFonts w:hint="eastAsia" w:ascii="宋体" w:hAnsi="宋体"/>
          <w:b/>
          <w:color w:val="auto"/>
          <w:sz w:val="30"/>
          <w:szCs w:val="30"/>
          <w:highlight w:val="none"/>
        </w:rPr>
      </w:pPr>
    </w:p>
    <w:p w14:paraId="3B5BE969">
      <w:pPr>
        <w:spacing w:line="360" w:lineRule="auto"/>
        <w:ind w:firstLine="602"/>
        <w:rPr>
          <w:rFonts w:hint="eastAsia" w:ascii="宋体" w:hAnsi="宋体"/>
          <w:b/>
          <w:color w:val="auto"/>
          <w:sz w:val="30"/>
          <w:szCs w:val="30"/>
          <w:highlight w:val="none"/>
        </w:rPr>
      </w:pPr>
    </w:p>
    <w:p w14:paraId="226FB6C1">
      <w:pPr>
        <w:spacing w:line="360" w:lineRule="auto"/>
        <w:ind w:firstLine="602"/>
        <w:rPr>
          <w:rFonts w:hint="eastAsia" w:ascii="宋体" w:hAnsi="宋体"/>
          <w:b/>
          <w:color w:val="auto"/>
          <w:sz w:val="30"/>
          <w:szCs w:val="30"/>
          <w:highlight w:val="none"/>
        </w:rPr>
      </w:pPr>
    </w:p>
    <w:p w14:paraId="52337DDC">
      <w:pPr>
        <w:spacing w:line="360" w:lineRule="auto"/>
        <w:ind w:firstLine="602"/>
        <w:rPr>
          <w:rFonts w:hint="eastAsia" w:ascii="宋体" w:hAnsi="宋体"/>
          <w:b/>
          <w:color w:val="auto"/>
          <w:sz w:val="30"/>
          <w:szCs w:val="30"/>
          <w:highlight w:val="none"/>
        </w:rPr>
      </w:pPr>
    </w:p>
    <w:p w14:paraId="6F46EE3A">
      <w:pPr>
        <w:spacing w:line="360" w:lineRule="auto"/>
        <w:ind w:firstLine="602"/>
        <w:rPr>
          <w:rFonts w:hint="eastAsia" w:ascii="宋体" w:hAnsi="宋体"/>
          <w:b/>
          <w:color w:val="auto"/>
          <w:sz w:val="30"/>
          <w:szCs w:val="30"/>
          <w:highlight w:val="none"/>
        </w:rPr>
      </w:pPr>
    </w:p>
    <w:p w14:paraId="208D7640">
      <w:pPr>
        <w:spacing w:line="360" w:lineRule="auto"/>
        <w:ind w:firstLine="602"/>
        <w:rPr>
          <w:rFonts w:hint="eastAsia" w:ascii="宋体" w:hAnsi="宋体"/>
          <w:b/>
          <w:color w:val="auto"/>
          <w:sz w:val="30"/>
          <w:szCs w:val="30"/>
          <w:highlight w:val="none"/>
        </w:rPr>
      </w:pPr>
    </w:p>
    <w:p w14:paraId="2C7469F9">
      <w:pPr>
        <w:spacing w:line="360" w:lineRule="auto"/>
        <w:ind w:firstLine="602"/>
        <w:rPr>
          <w:rFonts w:hint="eastAsia" w:ascii="宋体" w:hAnsi="宋体"/>
          <w:b/>
          <w:color w:val="auto"/>
          <w:sz w:val="30"/>
          <w:szCs w:val="30"/>
          <w:highlight w:val="none"/>
        </w:rPr>
      </w:pPr>
    </w:p>
    <w:p w14:paraId="54A50592">
      <w:pPr>
        <w:tabs>
          <w:tab w:val="left" w:pos="525"/>
          <w:tab w:val="left" w:pos="630"/>
          <w:tab w:val="left" w:pos="735"/>
          <w:tab w:val="left" w:pos="945"/>
          <w:tab w:val="left" w:pos="1080"/>
        </w:tabs>
        <w:spacing w:line="360" w:lineRule="auto"/>
        <w:ind w:firstLine="480"/>
        <w:jc w:val="center"/>
        <w:rPr>
          <w:rFonts w:hint="eastAsia" w:ascii="黑体" w:eastAsia="黑体"/>
          <w:bCs/>
          <w:color w:val="auto"/>
          <w:sz w:val="36"/>
          <w:szCs w:val="36"/>
          <w:highlight w:val="none"/>
        </w:rPr>
      </w:pPr>
      <w:bookmarkStart w:id="199" w:name="_Toc120614281"/>
      <w:r>
        <w:rPr>
          <w:rFonts w:ascii="宋体" w:hAnsi="宋体"/>
          <w:color w:val="auto"/>
          <w:sz w:val="24"/>
          <w:highlight w:val="none"/>
        </w:rPr>
        <w:t xml:space="preserve"> </w:t>
      </w:r>
      <w:r>
        <w:rPr>
          <w:rFonts w:hint="eastAsia" w:ascii="黑体" w:eastAsia="黑体"/>
          <w:bCs/>
          <w:color w:val="auto"/>
          <w:sz w:val="36"/>
          <w:szCs w:val="36"/>
          <w:highlight w:val="none"/>
        </w:rPr>
        <w:t xml:space="preserve">第五章  </w:t>
      </w:r>
      <w:bookmarkEnd w:id="195"/>
      <w:bookmarkEnd w:id="196"/>
      <w:bookmarkEnd w:id="199"/>
      <w:r>
        <w:rPr>
          <w:rFonts w:hint="eastAsia" w:ascii="黑体" w:eastAsia="黑体"/>
          <w:bCs/>
          <w:color w:val="auto"/>
          <w:sz w:val="36"/>
          <w:szCs w:val="36"/>
          <w:highlight w:val="none"/>
        </w:rPr>
        <w:t>响应文件内容与格式</w:t>
      </w:r>
    </w:p>
    <w:p w14:paraId="466F603E">
      <w:pPr>
        <w:pStyle w:val="275"/>
        <w:spacing w:before="0" w:after="0" w:line="500" w:lineRule="exact"/>
        <w:ind w:firstLine="602"/>
        <w:rPr>
          <w:rFonts w:hint="eastAsia" w:cs="Arial"/>
          <w:b/>
          <w:color w:val="auto"/>
          <w:sz w:val="30"/>
          <w:szCs w:val="30"/>
          <w:highlight w:val="none"/>
        </w:rPr>
      </w:pPr>
      <w:bookmarkStart w:id="200" w:name="_Hlt26955039"/>
      <w:bookmarkEnd w:id="200"/>
      <w:bookmarkStart w:id="201" w:name="_Hlt26671244"/>
      <w:bookmarkEnd w:id="201"/>
      <w:bookmarkStart w:id="202" w:name="_Toc26554094"/>
      <w:bookmarkStart w:id="203" w:name="_Toc49090576"/>
      <w:bookmarkStart w:id="204" w:name="_Toc120614282"/>
      <w:r>
        <w:rPr>
          <w:rFonts w:hint="eastAsia" w:cs="Arial"/>
          <w:b/>
          <w:color w:val="auto"/>
          <w:sz w:val="30"/>
          <w:szCs w:val="30"/>
          <w:highlight w:val="none"/>
        </w:rPr>
        <w:t>第一部分  响应文件内容</w:t>
      </w:r>
    </w:p>
    <w:p w14:paraId="2121D876">
      <w:pPr>
        <w:pStyle w:val="275"/>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8AB6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33FC710A">
            <w:pPr>
              <w:pStyle w:val="275"/>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43E209AF">
            <w:pPr>
              <w:pStyle w:val="275"/>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14:paraId="1FA51390">
            <w:pPr>
              <w:pStyle w:val="275"/>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0BD0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51169920">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3189C8C1">
            <w:pPr>
              <w:pStyle w:val="275"/>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供应商营业执照或相关部门的登记证明文件扫描件（供应商如是允许以分支机构身份参加的，提供供应商分支机构的营业执照扫描件；供应商如是自然人情形的，提供有效身份证扫描件）。</w:t>
            </w:r>
          </w:p>
        </w:tc>
        <w:tc>
          <w:tcPr>
            <w:tcW w:w="2449" w:type="dxa"/>
            <w:vMerge w:val="restart"/>
            <w:noWrap w:val="0"/>
            <w:vAlign w:val="center"/>
          </w:tcPr>
          <w:p w14:paraId="6176D4B0">
            <w:pPr>
              <w:pStyle w:val="275"/>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1F564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15198C56">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1074E99E">
            <w:pPr>
              <w:pStyle w:val="275"/>
              <w:spacing w:before="0" w:after="0" w:line="240" w:lineRule="auto"/>
              <w:ind w:firstLine="0"/>
              <w:jc w:val="both"/>
              <w:rPr>
                <w:rFonts w:hint="eastAsia" w:ascii="宋体" w:hAnsi="宋体" w:eastAsia="宋体" w:cs="宋体"/>
                <w:color w:val="auto"/>
                <w:highlight w:val="none"/>
                <w:lang w:eastAsia="zh-CN"/>
              </w:rPr>
            </w:pPr>
            <w:r>
              <w:rPr>
                <w:rFonts w:hint="eastAsia" w:ascii="宋体" w:hAnsi="宋体" w:cs="宋体"/>
                <w:color w:val="auto"/>
                <w:highlight w:val="none"/>
              </w:rPr>
              <w:t>《授权委托书》（给定格式；供应商如是自然人情形的，可不提供）。</w:t>
            </w:r>
          </w:p>
        </w:tc>
        <w:tc>
          <w:tcPr>
            <w:tcW w:w="2449" w:type="dxa"/>
            <w:vMerge w:val="continue"/>
            <w:noWrap w:val="0"/>
            <w:vAlign w:val="center"/>
          </w:tcPr>
          <w:p w14:paraId="334D066E">
            <w:pPr>
              <w:pStyle w:val="275"/>
              <w:spacing w:before="0" w:after="0" w:line="240" w:lineRule="auto"/>
              <w:ind w:firstLine="0"/>
              <w:rPr>
                <w:rFonts w:hint="eastAsia" w:ascii="宋体" w:hAnsi="宋体" w:cs="宋体"/>
                <w:color w:val="auto"/>
                <w:highlight w:val="none"/>
              </w:rPr>
            </w:pPr>
          </w:p>
        </w:tc>
      </w:tr>
      <w:tr w14:paraId="47D1B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230BCAF0">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28F4091B">
            <w:pPr>
              <w:pStyle w:val="275"/>
              <w:spacing w:before="0" w:after="0" w:line="240" w:lineRule="auto"/>
              <w:ind w:firstLine="0"/>
              <w:jc w:val="both"/>
              <w:rPr>
                <w:rFonts w:hint="eastAsia" w:ascii="宋体" w:hAnsi="宋体" w:cs="宋体"/>
                <w:color w:val="auto"/>
                <w:highlight w:val="none"/>
              </w:rPr>
            </w:pPr>
            <w:r>
              <w:rPr>
                <w:rFonts w:hint="eastAsia" w:ascii="宋体" w:hAnsi="宋体" w:cs="宋体"/>
                <w:bCs/>
                <w:color w:val="auto"/>
                <w:sz w:val="24"/>
                <w:highlight w:val="none"/>
              </w:rPr>
              <w:t>法定代表人授权代表由法定的社保收缴部门出具的近一年中任意一个月份（不含投标当月）的投标供应商依法为其缴纳社会保险证明</w:t>
            </w:r>
            <w:r>
              <w:rPr>
                <w:rFonts w:hint="eastAsia" w:ascii="宋体" w:hAnsi="宋体" w:cs="宋体"/>
                <w:b/>
                <w:color w:val="auto"/>
                <w:sz w:val="24"/>
                <w:highlight w:val="none"/>
              </w:rPr>
              <w:t>（法定代表人亲自参加投标的除外；社保缴费证明必须提交带有社保部门公章的或含有县（区）级及以上社保部门</w:t>
            </w:r>
            <w:r>
              <w:rPr>
                <w:rFonts w:hint="eastAsia" w:ascii="宋体" w:hAnsi="宋体" w:cs="宋体"/>
                <w:b/>
                <w:bCs/>
                <w:color w:val="auto"/>
                <w:sz w:val="24"/>
                <w:highlight w:val="none"/>
              </w:rPr>
              <w:t>电子签章或带二维码验证的扫描件</w:t>
            </w:r>
            <w:r>
              <w:rPr>
                <w:rFonts w:hint="eastAsia" w:ascii="宋体" w:hAnsi="宋体" w:cs="宋体"/>
                <w:b/>
                <w:color w:val="auto"/>
                <w:sz w:val="24"/>
                <w:highlight w:val="none"/>
              </w:rPr>
              <w:t>）</w:t>
            </w:r>
          </w:p>
        </w:tc>
        <w:tc>
          <w:tcPr>
            <w:tcW w:w="2449" w:type="dxa"/>
            <w:vMerge w:val="continue"/>
            <w:noWrap w:val="0"/>
            <w:vAlign w:val="center"/>
          </w:tcPr>
          <w:p w14:paraId="03EDAC60">
            <w:pPr>
              <w:pStyle w:val="275"/>
              <w:spacing w:before="0" w:after="0" w:line="240" w:lineRule="auto"/>
              <w:ind w:firstLine="0"/>
              <w:rPr>
                <w:rFonts w:hint="eastAsia" w:ascii="宋体" w:hAnsi="宋体" w:cs="宋体"/>
                <w:color w:val="auto"/>
                <w:highlight w:val="none"/>
              </w:rPr>
            </w:pPr>
          </w:p>
        </w:tc>
      </w:tr>
      <w:tr w14:paraId="47E9E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29D5A5A1">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2E3CB37C">
            <w:pPr>
              <w:pStyle w:val="275"/>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供应商近六个月中任意一个月份（不含报价当月）的财务状况报告（资产负债表和利润表）或由会计师事务所出具</w:t>
            </w:r>
            <w:r>
              <w:rPr>
                <w:rFonts w:hint="eastAsia" w:ascii="宋体" w:hAnsi="宋体" w:cs="宋体"/>
                <w:color w:val="auto"/>
                <w:highlight w:val="none"/>
                <w:lang w:val="en-US" w:eastAsia="zh-CN"/>
              </w:rPr>
              <w:t>的</w:t>
            </w:r>
            <w:r>
              <w:rPr>
                <w:rFonts w:hint="eastAsia" w:ascii="宋体" w:hAnsi="宋体" w:cs="宋体"/>
                <w:color w:val="auto"/>
                <w:highlight w:val="none"/>
              </w:rPr>
              <w:t>202</w:t>
            </w:r>
            <w:r>
              <w:rPr>
                <w:rFonts w:hint="eastAsia" w:ascii="宋体" w:hAnsi="宋体" w:cs="宋体"/>
                <w:color w:val="auto"/>
                <w:highlight w:val="none"/>
                <w:lang w:val="en-US" w:eastAsia="zh-CN"/>
              </w:rPr>
              <w:t>4</w:t>
            </w:r>
            <w:r>
              <w:rPr>
                <w:rFonts w:hint="eastAsia" w:ascii="宋体" w:hAnsi="宋体" w:cs="宋体"/>
                <w:color w:val="auto"/>
                <w:highlight w:val="none"/>
              </w:rPr>
              <w:t>年度</w:t>
            </w:r>
            <w:r>
              <w:rPr>
                <w:rFonts w:hint="eastAsia" w:ascii="宋体" w:hAnsi="宋体" w:cs="宋体"/>
                <w:color w:val="auto"/>
                <w:highlight w:val="none"/>
                <w:lang w:eastAsia="zh-CN"/>
              </w:rPr>
              <w:t>或</w:t>
            </w:r>
            <w:r>
              <w:rPr>
                <w:rFonts w:hint="eastAsia" w:ascii="宋体" w:hAnsi="宋体" w:cs="宋体"/>
                <w:color w:val="auto"/>
                <w:highlight w:val="none"/>
                <w:lang w:val="en-US" w:eastAsia="zh-CN"/>
              </w:rPr>
              <w:t>2025年度</w:t>
            </w:r>
            <w:r>
              <w:rPr>
                <w:rFonts w:hint="eastAsia" w:ascii="宋体" w:hAnsi="宋体" w:cs="宋体"/>
                <w:color w:val="auto"/>
                <w:highlight w:val="none"/>
              </w:rPr>
              <w:t>的审计报告和所附已审财务报告（供应商如是自然人情形的，没有经审计的财务报告的，可以提供银行出具的资信证明）</w:t>
            </w:r>
            <w:r>
              <w:rPr>
                <w:rStyle w:val="262"/>
                <w:rFonts w:hint="eastAsia" w:ascii="宋体" w:hAnsi="宋体" w:cs="宋体"/>
                <w:color w:val="auto"/>
                <w:sz w:val="24"/>
                <w:szCs w:val="24"/>
                <w:highlight w:val="none"/>
              </w:rPr>
              <w:t>。</w:t>
            </w:r>
          </w:p>
        </w:tc>
        <w:tc>
          <w:tcPr>
            <w:tcW w:w="2449" w:type="dxa"/>
            <w:vMerge w:val="continue"/>
            <w:noWrap w:val="0"/>
            <w:vAlign w:val="center"/>
          </w:tcPr>
          <w:p w14:paraId="3D81C155">
            <w:pPr>
              <w:pStyle w:val="275"/>
              <w:spacing w:before="0" w:after="0" w:line="240" w:lineRule="auto"/>
              <w:ind w:firstLine="0"/>
              <w:rPr>
                <w:rFonts w:hint="eastAsia" w:ascii="宋体" w:hAnsi="宋体" w:cs="宋体"/>
                <w:color w:val="auto"/>
                <w:highlight w:val="none"/>
              </w:rPr>
            </w:pPr>
          </w:p>
        </w:tc>
      </w:tr>
      <w:tr w14:paraId="33D62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512572A8">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258B758C">
            <w:pPr>
              <w:pStyle w:val="275"/>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供应商近六个月任意一个月份（不含报价当月）的依法缴纳税收的相关材料（提供相关主管部门证明或银行代扣证明）。</w:t>
            </w:r>
          </w:p>
        </w:tc>
        <w:tc>
          <w:tcPr>
            <w:tcW w:w="2449" w:type="dxa"/>
            <w:vMerge w:val="continue"/>
            <w:noWrap w:val="0"/>
            <w:vAlign w:val="center"/>
          </w:tcPr>
          <w:p w14:paraId="46A2D030">
            <w:pPr>
              <w:pStyle w:val="275"/>
              <w:spacing w:before="0" w:after="0" w:line="240" w:lineRule="auto"/>
              <w:ind w:firstLine="0"/>
              <w:rPr>
                <w:rFonts w:hint="eastAsia" w:ascii="宋体" w:hAnsi="宋体" w:cs="宋体"/>
                <w:color w:val="auto"/>
                <w:highlight w:val="none"/>
              </w:rPr>
            </w:pPr>
          </w:p>
        </w:tc>
      </w:tr>
      <w:tr w14:paraId="03EF6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773C9A11">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655469B6">
            <w:pPr>
              <w:pStyle w:val="275"/>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供应商近六个月任意一个月份（不含报价当月）的依法缴纳社会保障资金的相关材料（提供相关主管部门证明或银行代扣证明）。</w:t>
            </w:r>
          </w:p>
        </w:tc>
        <w:tc>
          <w:tcPr>
            <w:tcW w:w="2449" w:type="dxa"/>
            <w:vMerge w:val="continue"/>
            <w:noWrap w:val="0"/>
            <w:vAlign w:val="center"/>
          </w:tcPr>
          <w:p w14:paraId="4E83A9B8">
            <w:pPr>
              <w:pStyle w:val="275"/>
              <w:spacing w:before="0" w:after="0" w:line="240" w:lineRule="auto"/>
              <w:ind w:firstLine="0"/>
              <w:rPr>
                <w:rFonts w:hint="eastAsia" w:ascii="宋体" w:hAnsi="宋体" w:cs="宋体"/>
                <w:color w:val="auto"/>
                <w:highlight w:val="none"/>
              </w:rPr>
            </w:pPr>
          </w:p>
        </w:tc>
      </w:tr>
      <w:tr w14:paraId="63AF2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455E5BB1">
            <w:pPr>
              <w:pStyle w:val="275"/>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45075FE1">
            <w:pPr>
              <w:pStyle w:val="275"/>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69E3E872">
            <w:pPr>
              <w:pStyle w:val="275"/>
              <w:spacing w:before="0" w:after="0" w:line="240" w:lineRule="auto"/>
              <w:ind w:firstLine="0"/>
              <w:rPr>
                <w:rFonts w:hint="eastAsia" w:ascii="宋体" w:hAnsi="宋体" w:cs="宋体"/>
                <w:color w:val="auto"/>
                <w:highlight w:val="none"/>
              </w:rPr>
            </w:pPr>
          </w:p>
        </w:tc>
      </w:tr>
      <w:tr w14:paraId="732D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5BAE1A3F">
            <w:pPr>
              <w:pStyle w:val="275"/>
              <w:spacing w:before="0" w:after="0" w:line="240" w:lineRule="auto"/>
              <w:ind w:firstLine="0"/>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8</w:t>
            </w:r>
          </w:p>
        </w:tc>
        <w:tc>
          <w:tcPr>
            <w:tcW w:w="6104" w:type="dxa"/>
            <w:noWrap w:val="0"/>
            <w:vAlign w:val="center"/>
          </w:tcPr>
          <w:p w14:paraId="7F503EE0">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本项目要求的特定资格证明文件：</w:t>
            </w:r>
          </w:p>
          <w:p w14:paraId="0B278FCA">
            <w:pPr>
              <w:keepNext w:val="0"/>
              <w:keepLines w:val="0"/>
              <w:pageBreakBefore w:val="0"/>
              <w:widowControl w:val="0"/>
              <w:spacing w:line="360" w:lineRule="auto"/>
              <w:rPr>
                <w:rFonts w:hint="eastAsia" w:ascii="宋体" w:hAnsi="宋体" w:eastAsia="宋体" w:cs="宋体"/>
                <w:bCs/>
                <w:color w:val="auto"/>
                <w:highlight w:val="none"/>
                <w:lang w:eastAsia="zh-CN"/>
              </w:rPr>
            </w:pPr>
            <w:r>
              <w:rPr>
                <w:rFonts w:hint="eastAsia" w:ascii="宋体" w:hAnsi="宋体"/>
                <w:color w:val="auto"/>
                <w:sz w:val="24"/>
                <w:highlight w:val="none"/>
              </w:rPr>
              <w:t>供应商有效期内的中华人民共和国医疗机构执业许可证</w:t>
            </w:r>
            <w:r>
              <w:rPr>
                <w:rFonts w:hint="eastAsia" w:ascii="宋体" w:hAnsi="宋体" w:eastAsia="宋体" w:cs="宋体"/>
                <w:color w:val="auto"/>
                <w:sz w:val="24"/>
                <w:szCs w:val="24"/>
                <w:highlight w:val="none"/>
                <w:lang w:val="en-US" w:eastAsia="zh-CN" w:bidi="ar-SA"/>
              </w:rPr>
              <w:t>。</w:t>
            </w:r>
          </w:p>
        </w:tc>
        <w:tc>
          <w:tcPr>
            <w:tcW w:w="2449" w:type="dxa"/>
            <w:noWrap w:val="0"/>
            <w:vAlign w:val="center"/>
          </w:tcPr>
          <w:p w14:paraId="2CF39E5B">
            <w:pPr>
              <w:pStyle w:val="275"/>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特定资格要求，详见第一章《单一来源采购邀请》</w:t>
            </w:r>
          </w:p>
        </w:tc>
      </w:tr>
    </w:tbl>
    <w:p w14:paraId="7C93A74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077D5255">
      <w:pPr>
        <w:numPr>
          <w:ilvl w:val="0"/>
          <w:numId w:val="8"/>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项必须全部按要求提供（有给定格式的，必须按给定格式的要求正确填报并提供，相应格式见本章第二部分），否则响应文件无效。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36C16BB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w:t>
      </w:r>
      <w:r>
        <w:rPr>
          <w:rFonts w:hint="eastAsia" w:ascii="宋体" w:hAnsi="宋体"/>
          <w:color w:val="auto"/>
          <w:sz w:val="24"/>
          <w:szCs w:val="24"/>
          <w:highlight w:val="none"/>
          <w:lang w:eastAsia="zh-CN"/>
        </w:rPr>
        <w:t>《中华人民共和国政府采购法实施条例释义》</w:t>
      </w:r>
      <w:r>
        <w:rPr>
          <w:rFonts w:hint="eastAsia" w:ascii="宋体" w:hAnsi="宋体"/>
          <w:color w:val="auto"/>
          <w:sz w:val="24"/>
          <w:szCs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076DD52D">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项，如本项目有特定资格要求的（详见第一章《单一来源采购邀请》），须提供相应的特定资格证明文件。</w:t>
      </w:r>
    </w:p>
    <w:p w14:paraId="6A9ED442">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F8AFC33">
      <w:pPr>
        <w:rPr>
          <w:b/>
          <w:color w:val="auto"/>
          <w:sz w:val="28"/>
          <w:szCs w:val="28"/>
          <w:highlight w:val="none"/>
        </w:rPr>
      </w:pPr>
      <w:r>
        <w:rPr>
          <w:rFonts w:hint="eastAsia"/>
          <w:b/>
          <w:color w:val="auto"/>
          <w:sz w:val="28"/>
          <w:szCs w:val="28"/>
          <w:highlight w:val="none"/>
        </w:rPr>
        <w:t>（一）符合性证明文件</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5812"/>
        <w:gridCol w:w="2262"/>
      </w:tblGrid>
      <w:tr w14:paraId="0CFFB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83303AB">
            <w:pPr>
              <w:pStyle w:val="275"/>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5812" w:type="dxa"/>
            <w:noWrap w:val="0"/>
            <w:vAlign w:val="center"/>
          </w:tcPr>
          <w:p w14:paraId="306A9DD8">
            <w:pPr>
              <w:pStyle w:val="275"/>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评审项目及评审要求</w:t>
            </w:r>
          </w:p>
        </w:tc>
        <w:tc>
          <w:tcPr>
            <w:tcW w:w="2262" w:type="dxa"/>
            <w:noWrap w:val="0"/>
            <w:vAlign w:val="center"/>
          </w:tcPr>
          <w:p w14:paraId="64A88967">
            <w:pPr>
              <w:pStyle w:val="275"/>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14:paraId="004A1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9F5006F">
            <w:pPr>
              <w:pStyle w:val="275"/>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5812" w:type="dxa"/>
            <w:noWrap w:val="0"/>
            <w:vAlign w:val="center"/>
          </w:tcPr>
          <w:p w14:paraId="46AEB413">
            <w:pPr>
              <w:pStyle w:val="275"/>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响应函（给定格式）</w:t>
            </w:r>
          </w:p>
        </w:tc>
        <w:tc>
          <w:tcPr>
            <w:tcW w:w="2262" w:type="dxa"/>
            <w:vMerge w:val="restart"/>
            <w:noWrap w:val="0"/>
            <w:vAlign w:val="center"/>
          </w:tcPr>
          <w:p w14:paraId="5491CE68">
            <w:pPr>
              <w:pStyle w:val="275"/>
              <w:spacing w:before="0" w:after="0" w:line="240" w:lineRule="auto"/>
              <w:ind w:firstLine="0"/>
              <w:jc w:val="center"/>
              <w:rPr>
                <w:rFonts w:hint="eastAsia" w:cs="Arial"/>
                <w:color w:val="auto"/>
                <w:highlight w:val="none"/>
              </w:rPr>
            </w:pPr>
            <w:r>
              <w:rPr>
                <w:rFonts w:hint="eastAsia" w:cs="Arial"/>
                <w:color w:val="auto"/>
                <w:highlight w:val="none"/>
              </w:rPr>
              <w:t>商务符合性</w:t>
            </w:r>
          </w:p>
        </w:tc>
      </w:tr>
      <w:tr w14:paraId="35EFB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906EC76">
            <w:pPr>
              <w:pStyle w:val="275"/>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5812" w:type="dxa"/>
            <w:noWrap w:val="0"/>
            <w:vAlign w:val="center"/>
          </w:tcPr>
          <w:p w14:paraId="1AA7A5EE">
            <w:pPr>
              <w:pStyle w:val="275"/>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2262" w:type="dxa"/>
            <w:vMerge w:val="continue"/>
            <w:noWrap w:val="0"/>
            <w:vAlign w:val="center"/>
          </w:tcPr>
          <w:p w14:paraId="49690EF5">
            <w:pPr>
              <w:pStyle w:val="275"/>
              <w:spacing w:before="0" w:after="0" w:line="240" w:lineRule="auto"/>
              <w:ind w:firstLine="0"/>
              <w:jc w:val="center"/>
              <w:rPr>
                <w:rFonts w:hint="eastAsia" w:cs="Arial"/>
                <w:color w:val="auto"/>
                <w:highlight w:val="none"/>
              </w:rPr>
            </w:pPr>
          </w:p>
        </w:tc>
      </w:tr>
      <w:tr w14:paraId="78978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462ED47">
            <w:pPr>
              <w:pStyle w:val="275"/>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3</w:t>
            </w:r>
          </w:p>
        </w:tc>
        <w:tc>
          <w:tcPr>
            <w:tcW w:w="5812" w:type="dxa"/>
            <w:noWrap w:val="0"/>
            <w:vAlign w:val="center"/>
          </w:tcPr>
          <w:p w14:paraId="5E6AE575">
            <w:pPr>
              <w:pStyle w:val="275"/>
              <w:spacing w:before="0" w:after="0" w:line="240" w:lineRule="auto"/>
              <w:ind w:firstLine="0"/>
              <w:jc w:val="both"/>
              <w:rPr>
                <w:rFonts w:hint="eastAsia" w:ascii="宋体" w:hAnsi="宋体" w:eastAsia="宋体" w:cs="Arial"/>
                <w:color w:val="auto"/>
                <w:highlight w:val="none"/>
                <w:lang w:eastAsia="zh-CN"/>
              </w:rPr>
            </w:pPr>
            <w:r>
              <w:rPr>
                <w:rFonts w:hint="eastAsia" w:ascii="宋体" w:hAnsi="宋体" w:cs="Arial"/>
                <w:color w:val="auto"/>
                <w:highlight w:val="none"/>
              </w:rPr>
              <w:t>报价表（给定格式）</w:t>
            </w:r>
            <w:r>
              <w:rPr>
                <w:rFonts w:hint="eastAsia" w:ascii="宋体" w:hAnsi="宋体" w:cs="Arial"/>
                <w:color w:val="auto"/>
                <w:highlight w:val="none"/>
                <w:lang w:eastAsia="zh-CN"/>
              </w:rPr>
              <w:t>（含：单一来源报价表、单一来源报价一览表、单一来源报价明细表格式、附件</w:t>
            </w:r>
            <w:r>
              <w:rPr>
                <w:rFonts w:hint="eastAsia" w:ascii="宋体" w:hAnsi="宋体" w:cs="Arial"/>
                <w:color w:val="auto"/>
                <w:highlight w:val="none"/>
                <w:lang w:val="en-US" w:eastAsia="zh-CN"/>
              </w:rPr>
              <w:t>-</w:t>
            </w:r>
            <w:r>
              <w:rPr>
                <w:rFonts w:hint="eastAsia" w:ascii="宋体" w:hAnsi="宋体" w:cs="Arial"/>
                <w:color w:val="auto"/>
                <w:highlight w:val="none"/>
                <w:lang w:eastAsia="zh-CN"/>
              </w:rPr>
              <w:t>细目报价表）</w:t>
            </w:r>
          </w:p>
        </w:tc>
        <w:tc>
          <w:tcPr>
            <w:tcW w:w="2262" w:type="dxa"/>
            <w:vMerge w:val="restart"/>
            <w:noWrap w:val="0"/>
            <w:vAlign w:val="center"/>
          </w:tcPr>
          <w:p w14:paraId="07238411">
            <w:pPr>
              <w:pStyle w:val="275"/>
              <w:spacing w:before="0" w:after="0" w:line="240" w:lineRule="auto"/>
              <w:ind w:firstLine="0"/>
              <w:jc w:val="center"/>
              <w:rPr>
                <w:rFonts w:hint="eastAsia" w:cs="Arial"/>
                <w:color w:val="auto"/>
                <w:highlight w:val="none"/>
              </w:rPr>
            </w:pPr>
            <w:r>
              <w:rPr>
                <w:rFonts w:hint="eastAsia" w:cs="Arial"/>
                <w:color w:val="auto"/>
                <w:highlight w:val="none"/>
              </w:rPr>
              <w:t>报价及技术符合性</w:t>
            </w:r>
          </w:p>
        </w:tc>
      </w:tr>
      <w:tr w14:paraId="35364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668F853">
            <w:pPr>
              <w:pStyle w:val="275"/>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5812" w:type="dxa"/>
            <w:noWrap w:val="0"/>
            <w:vAlign w:val="center"/>
          </w:tcPr>
          <w:p w14:paraId="61FC4388">
            <w:pPr>
              <w:pStyle w:val="275"/>
              <w:spacing w:before="0" w:after="0" w:line="240" w:lineRule="auto"/>
              <w:ind w:firstLine="0"/>
              <w:jc w:val="both"/>
              <w:rPr>
                <w:rFonts w:ascii="宋体" w:hAnsi="宋体"/>
                <w:color w:val="auto"/>
                <w:highlight w:val="none"/>
              </w:rPr>
            </w:pPr>
            <w:r>
              <w:rPr>
                <w:rFonts w:hint="eastAsia" w:ascii="宋体" w:hAnsi="宋体"/>
                <w:color w:val="auto"/>
                <w:highlight w:val="none"/>
                <w:lang w:eastAsia="zh-CN"/>
              </w:rPr>
              <w:t>响应偏离表</w:t>
            </w:r>
            <w:r>
              <w:rPr>
                <w:rFonts w:hint="eastAsia" w:ascii="宋体" w:hAnsi="宋体"/>
                <w:color w:val="auto"/>
                <w:highlight w:val="none"/>
              </w:rPr>
              <w:t>（给定格式）</w:t>
            </w:r>
          </w:p>
        </w:tc>
        <w:tc>
          <w:tcPr>
            <w:tcW w:w="2262" w:type="dxa"/>
            <w:vMerge w:val="continue"/>
            <w:noWrap w:val="0"/>
            <w:vAlign w:val="center"/>
          </w:tcPr>
          <w:p w14:paraId="0091C171">
            <w:pPr>
              <w:pStyle w:val="275"/>
              <w:spacing w:before="0" w:after="0" w:line="240" w:lineRule="auto"/>
              <w:ind w:firstLine="0"/>
              <w:jc w:val="both"/>
              <w:rPr>
                <w:rFonts w:hint="eastAsia" w:cs="Arial"/>
                <w:color w:val="auto"/>
                <w:highlight w:val="none"/>
              </w:rPr>
            </w:pPr>
          </w:p>
        </w:tc>
      </w:tr>
      <w:tr w14:paraId="7E0B5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FCF2011">
            <w:pPr>
              <w:pStyle w:val="275"/>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5812" w:type="dxa"/>
            <w:noWrap w:val="0"/>
            <w:vAlign w:val="center"/>
          </w:tcPr>
          <w:p w14:paraId="17736A3D">
            <w:pPr>
              <w:pStyle w:val="275"/>
              <w:spacing w:before="0" w:after="0" w:line="240" w:lineRule="auto"/>
              <w:ind w:firstLine="0"/>
              <w:jc w:val="both"/>
              <w:rPr>
                <w:rFonts w:hint="eastAsia" w:ascii="宋体" w:hAnsi="宋体"/>
                <w:color w:val="auto"/>
                <w:highlight w:val="none"/>
              </w:rPr>
            </w:pPr>
            <w:r>
              <w:rPr>
                <w:rFonts w:hint="eastAsia" w:ascii="宋体" w:hAnsi="宋体"/>
                <w:color w:val="auto"/>
                <w:highlight w:val="none"/>
              </w:rPr>
              <w:t>《采购需求》中要求提供的证明材料（如有）</w:t>
            </w:r>
          </w:p>
        </w:tc>
        <w:tc>
          <w:tcPr>
            <w:tcW w:w="2262" w:type="dxa"/>
            <w:vMerge w:val="continue"/>
            <w:noWrap w:val="0"/>
            <w:vAlign w:val="center"/>
          </w:tcPr>
          <w:p w14:paraId="4F63804C">
            <w:pPr>
              <w:pStyle w:val="275"/>
              <w:spacing w:before="0" w:after="0" w:line="240" w:lineRule="auto"/>
              <w:ind w:firstLine="0"/>
              <w:jc w:val="both"/>
              <w:rPr>
                <w:rFonts w:hint="eastAsia" w:cs="Arial"/>
                <w:color w:val="auto"/>
                <w:highlight w:val="none"/>
              </w:rPr>
            </w:pPr>
          </w:p>
        </w:tc>
      </w:tr>
    </w:tbl>
    <w:p w14:paraId="707B2947">
      <w:pPr>
        <w:spacing w:line="500" w:lineRule="exact"/>
        <w:ind w:firstLine="480"/>
        <w:rPr>
          <w:rFonts w:hint="eastAsia" w:ascii="宋体" w:hAnsi="宋体" w:cs="Arial"/>
          <w:color w:val="auto"/>
          <w:sz w:val="24"/>
          <w:szCs w:val="24"/>
          <w:highlight w:val="none"/>
        </w:rPr>
      </w:pPr>
      <w:r>
        <w:rPr>
          <w:rFonts w:hint="eastAsia" w:ascii="宋体" w:hAnsi="宋体"/>
          <w:color w:val="auto"/>
          <w:sz w:val="24"/>
          <w:szCs w:val="24"/>
          <w:highlight w:val="none"/>
        </w:rPr>
        <w:t>说明：上述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1～4项必须按要求全部提供（有给定格式的，必须按给定格式的要求正确填报并提供，相应格式见本章第二部分），否则响应文件无效。上述</w:t>
      </w:r>
      <w:r>
        <w:rPr>
          <w:rFonts w:hint="eastAsia" w:ascii="宋体" w:hAnsi="宋体" w:cs="Arial"/>
          <w:color w:val="auto"/>
          <w:sz w:val="24"/>
          <w:szCs w:val="24"/>
          <w:highlight w:val="none"/>
        </w:rPr>
        <w:t>符合性证明文件第5项，《采购需求》中如有要求提供证明材料的，须按要求提供，否则响应文件无效。</w:t>
      </w:r>
    </w:p>
    <w:p w14:paraId="6C5F1823">
      <w:pPr>
        <w:spacing w:line="500" w:lineRule="exact"/>
        <w:ind w:firstLine="480"/>
        <w:rPr>
          <w:rFonts w:hint="eastAsia" w:ascii="宋体" w:hAnsi="宋体" w:cs="Arial"/>
          <w:color w:val="auto"/>
          <w:sz w:val="24"/>
          <w:szCs w:val="24"/>
          <w:highlight w:val="none"/>
        </w:rPr>
      </w:pPr>
    </w:p>
    <w:p w14:paraId="0301C19D">
      <w:pPr>
        <w:rPr>
          <w:rFonts w:hint="eastAsia"/>
          <w:b/>
          <w:color w:val="auto"/>
          <w:sz w:val="28"/>
          <w:szCs w:val="28"/>
          <w:highlight w:val="none"/>
        </w:rPr>
      </w:pPr>
      <w:r>
        <w:rPr>
          <w:rFonts w:hint="eastAsia"/>
          <w:b/>
          <w:color w:val="auto"/>
          <w:sz w:val="28"/>
          <w:szCs w:val="28"/>
          <w:highlight w:val="none"/>
        </w:rPr>
        <w:t>（二）其他证明文件</w:t>
      </w:r>
    </w:p>
    <w:p w14:paraId="0F0A1824">
      <w:pPr>
        <w:spacing w:line="500" w:lineRule="exact"/>
        <w:ind w:left="480"/>
        <w:rPr>
          <w:rFonts w:hint="eastAsia" w:ascii="宋体" w:hAnsi="宋体"/>
          <w:color w:val="auto"/>
          <w:sz w:val="24"/>
          <w:szCs w:val="24"/>
          <w:highlight w:val="none"/>
        </w:rPr>
      </w:pPr>
      <w:r>
        <w:rPr>
          <w:rFonts w:hint="eastAsia" w:ascii="宋体" w:hAnsi="宋体" w:cs="宋体"/>
          <w:color w:val="auto"/>
          <w:sz w:val="24"/>
          <w:szCs w:val="24"/>
          <w:highlight w:val="none"/>
        </w:rPr>
        <w:t>供应商认为如有其他应附的文件可自拟并自行添加。</w:t>
      </w:r>
    </w:p>
    <w:p w14:paraId="193B79AE">
      <w:pPr>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响应文件格式</w:t>
      </w:r>
    </w:p>
    <w:p w14:paraId="1A995A62">
      <w:pPr>
        <w:pStyle w:val="275"/>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0654E78C">
      <w:pPr>
        <w:jc w:val="center"/>
        <w:rPr>
          <w:rFonts w:hint="eastAsia" w:ascii="宋体" w:hAnsi="宋体"/>
          <w:b/>
          <w:color w:val="auto"/>
          <w:sz w:val="72"/>
          <w:highlight w:val="none"/>
          <w:shd w:val="clear" w:color="FFFFFF" w:fill="D9D9D9"/>
        </w:rPr>
      </w:pPr>
    </w:p>
    <w:p w14:paraId="2468FAFE">
      <w:pPr>
        <w:jc w:val="center"/>
        <w:rPr>
          <w:rFonts w:hint="eastAsia" w:ascii="宋体" w:hAnsi="宋体"/>
          <w:b/>
          <w:color w:val="auto"/>
          <w:sz w:val="72"/>
          <w:highlight w:val="none"/>
          <w:shd w:val="clear" w:color="FFFFFF" w:fill="D9D9D9"/>
        </w:rPr>
      </w:pPr>
    </w:p>
    <w:p w14:paraId="07693660">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响  应  文  件</w:t>
      </w:r>
    </w:p>
    <w:p w14:paraId="29E102A0">
      <w:pPr>
        <w:jc w:val="center"/>
        <w:rPr>
          <w:rFonts w:hint="eastAsia" w:ascii="宋体" w:hAnsi="宋体"/>
          <w:b/>
          <w:color w:val="auto"/>
          <w:sz w:val="72"/>
          <w:highlight w:val="none"/>
          <w:shd w:val="clear" w:color="FFFFFF" w:fill="D9D9D9"/>
        </w:rPr>
      </w:pPr>
    </w:p>
    <w:p w14:paraId="6F889E84">
      <w:pPr>
        <w:jc w:val="center"/>
        <w:rPr>
          <w:rFonts w:hint="eastAsia" w:ascii="宋体" w:hAnsi="宋体"/>
          <w:b/>
          <w:color w:val="auto"/>
          <w:sz w:val="72"/>
          <w:highlight w:val="none"/>
          <w:shd w:val="clear" w:color="FFFFFF" w:fill="D9D9D9"/>
        </w:rPr>
      </w:pPr>
    </w:p>
    <w:p w14:paraId="704A124C">
      <w:pPr>
        <w:jc w:val="center"/>
        <w:rPr>
          <w:rFonts w:hint="eastAsia" w:ascii="宋体" w:hAnsi="宋体"/>
          <w:b/>
          <w:color w:val="auto"/>
          <w:sz w:val="72"/>
          <w:highlight w:val="none"/>
          <w:shd w:val="clear" w:color="FFFFFF" w:fill="D9D9D9"/>
        </w:rPr>
      </w:pPr>
    </w:p>
    <w:p w14:paraId="4D860E37">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val="en-US" w:eastAsia="zh-CN"/>
        </w:rPr>
        <w:t xml:space="preserve"> </w:t>
      </w:r>
    </w:p>
    <w:p w14:paraId="0BB43457">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康复训练和公共部位服务外包采购项目</w:t>
      </w:r>
    </w:p>
    <w:p w14:paraId="5855559D">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供 应 商：</w:t>
      </w:r>
    </w:p>
    <w:p w14:paraId="735E701E">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2350D1">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3818E90">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14CF960C">
      <w:pPr>
        <w:pStyle w:val="273"/>
        <w:ind w:firstLine="480"/>
        <w:rPr>
          <w:rFonts w:hint="eastAsia"/>
          <w:color w:val="auto"/>
          <w:sz w:val="24"/>
          <w:szCs w:val="24"/>
          <w:highlight w:val="none"/>
        </w:rPr>
      </w:pPr>
      <w:r>
        <w:rPr>
          <w:rFonts w:hint="eastAsia"/>
          <w:color w:val="auto"/>
          <w:sz w:val="24"/>
          <w:szCs w:val="24"/>
          <w:highlight w:val="none"/>
        </w:rPr>
        <w:t>我公司（单位、联合体）针对</w:t>
      </w:r>
      <w:r>
        <w:rPr>
          <w:rFonts w:hint="eastAsia" w:ascii="宋体" w:hAnsi="宋体"/>
          <w:bCs/>
          <w:color w:val="auto"/>
          <w:sz w:val="24"/>
          <w:szCs w:val="24"/>
          <w:highlight w:val="none"/>
          <w:lang w:eastAsia="zh-CN"/>
        </w:rPr>
        <w:t>本</w:t>
      </w:r>
      <w:r>
        <w:rPr>
          <w:rFonts w:hint="eastAsia" w:ascii="宋体" w:hAnsi="宋体"/>
          <w:bCs/>
          <w:color w:val="auto"/>
          <w:sz w:val="24"/>
          <w:szCs w:val="24"/>
          <w:highlight w:val="none"/>
        </w:rPr>
        <w:t>项目，兹授权：</w:t>
      </w:r>
    </w:p>
    <w:p w14:paraId="6662C5C7">
      <w:pPr>
        <w:pStyle w:val="273"/>
        <w:ind w:firstLine="480"/>
        <w:rPr>
          <w:rFonts w:hint="eastAsia"/>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2F27DC64">
      <w:pPr>
        <w:pStyle w:val="273"/>
        <w:ind w:firstLine="480"/>
        <w:rPr>
          <w:rFonts w:hint="eastAsia"/>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69E351CE">
      <w:pPr>
        <w:pStyle w:val="273"/>
        <w:ind w:firstLine="480"/>
        <w:rPr>
          <w:rFonts w:hint="eastAsia"/>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针对本次项目的采购活动、参与报价、签约等具体工作，并签署全部有关的文件、协议及合同以及其他</w:t>
      </w:r>
      <w:r>
        <w:rPr>
          <w:rFonts w:hint="eastAsia"/>
          <w:color w:val="auto"/>
          <w:sz w:val="24"/>
          <w:szCs w:val="24"/>
          <w:highlight w:val="none"/>
        </w:rPr>
        <w:t>一切与该项目采购有关的事务。</w:t>
      </w:r>
    </w:p>
    <w:p w14:paraId="0EE139FC">
      <w:pPr>
        <w:pStyle w:val="273"/>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7720E6E4">
      <w:pPr>
        <w:pStyle w:val="273"/>
        <w:ind w:firstLine="480"/>
        <w:rPr>
          <w:rFonts w:hint="eastAsia"/>
          <w:color w:val="auto"/>
          <w:sz w:val="24"/>
          <w:szCs w:val="24"/>
          <w:highlight w:val="none"/>
        </w:rPr>
      </w:pPr>
      <w:r>
        <w:rPr>
          <w:rFonts w:hint="eastAsia"/>
          <w:color w:val="auto"/>
          <w:sz w:val="24"/>
          <w:szCs w:val="24"/>
          <w:highlight w:val="none"/>
        </w:rPr>
        <w:t>特此授权委托。</w:t>
      </w:r>
    </w:p>
    <w:p w14:paraId="2CF9EC91">
      <w:pPr>
        <w:pStyle w:val="273"/>
        <w:ind w:firstLine="0"/>
        <w:rPr>
          <w:rFonts w:hint="eastAsia"/>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供应商名称</w:t>
      </w:r>
      <w:r>
        <w:rPr>
          <w:rFonts w:hint="eastAsia" w:ascii="宋体" w:hAnsi="宋体"/>
          <w:bCs/>
          <w:color w:val="auto"/>
          <w:sz w:val="24"/>
          <w:szCs w:val="24"/>
          <w:highlight w:val="none"/>
        </w:rPr>
        <w:t>（盖章）</w:t>
      </w:r>
      <w:r>
        <w:rPr>
          <w:rFonts w:hint="eastAsia"/>
          <w:color w:val="auto"/>
          <w:sz w:val="24"/>
          <w:szCs w:val="24"/>
          <w:highlight w:val="none"/>
        </w:rPr>
        <w:t>：</w:t>
      </w:r>
    </w:p>
    <w:p w14:paraId="1C3000A8">
      <w:pPr>
        <w:pStyle w:val="273"/>
        <w:ind w:firstLine="0"/>
        <w:rPr>
          <w:rFonts w:hint="eastAsia"/>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14:paraId="44FE6880">
      <w:pPr>
        <w:pStyle w:val="273"/>
        <w:ind w:firstLine="0"/>
        <w:rPr>
          <w:rFonts w:hint="eastAsia"/>
          <w:color w:val="auto"/>
          <w:sz w:val="24"/>
          <w:szCs w:val="24"/>
          <w:highlight w:val="none"/>
        </w:rPr>
      </w:pPr>
      <w:r>
        <w:rPr>
          <w:rFonts w:hint="eastAsia" w:ascii="宋体" w:hAnsi="宋体" w:cs="宋体"/>
          <w:b/>
          <w:color w:val="auto"/>
          <w:sz w:val="30"/>
          <w:highlight w:val="none"/>
        </w:rPr>
        <w:t>（被授权人身份证原件扫描件附后）</w:t>
      </w:r>
    </w:p>
    <w:p w14:paraId="6811D1C8">
      <w:pPr>
        <w:pStyle w:val="273"/>
        <w:ind w:firstLine="0"/>
        <w:rPr>
          <w:rFonts w:hint="eastAsia"/>
          <w:color w:val="auto"/>
          <w:sz w:val="24"/>
          <w:szCs w:val="24"/>
          <w:highlight w:val="none"/>
        </w:rPr>
      </w:pPr>
      <w:r>
        <w:rPr>
          <w:rFonts w:hint="eastAsia"/>
          <w:color w:val="auto"/>
          <w:sz w:val="24"/>
          <w:szCs w:val="24"/>
          <w:highlight w:val="none"/>
        </w:rPr>
        <w:t>说明：</w:t>
      </w:r>
    </w:p>
    <w:p w14:paraId="45E8E367">
      <w:pPr>
        <w:pStyle w:val="273"/>
        <w:numPr>
          <w:ilvl w:val="0"/>
          <w:numId w:val="9"/>
        </w:numPr>
        <w:ind w:firstLine="480"/>
        <w:rPr>
          <w:rFonts w:hint="eastAsia" w:ascii="宋体" w:hAnsi="宋体"/>
          <w:color w:val="auto"/>
          <w:sz w:val="24"/>
          <w:szCs w:val="20"/>
          <w:highlight w:val="none"/>
        </w:rPr>
      </w:pPr>
      <w:r>
        <w:rPr>
          <w:rFonts w:ascii="宋体" w:hAnsi="宋体"/>
          <w:color w:val="auto"/>
          <w:sz w:val="24"/>
          <w:szCs w:val="20"/>
          <w:highlight w:val="none"/>
        </w:rPr>
        <w:t>若</w:t>
      </w:r>
      <w:r>
        <w:rPr>
          <w:rFonts w:hint="eastAsia"/>
          <w:color w:val="auto"/>
          <w:sz w:val="24"/>
          <w:szCs w:val="24"/>
          <w:highlight w:val="none"/>
        </w:rPr>
        <w:t>供应商</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限采购文件</w:t>
      </w:r>
      <w:r>
        <w:rPr>
          <w:rFonts w:ascii="宋体" w:hAnsi="宋体"/>
          <w:color w:val="auto"/>
          <w:sz w:val="24"/>
          <w:szCs w:val="20"/>
          <w:highlight w:val="none"/>
        </w:rPr>
        <w:t>注明允许分支机构</w:t>
      </w:r>
      <w:r>
        <w:rPr>
          <w:rFonts w:hint="eastAsia" w:ascii="宋体" w:hAnsi="宋体"/>
          <w:color w:val="auto"/>
          <w:sz w:val="24"/>
          <w:szCs w:val="20"/>
          <w:highlight w:val="none"/>
        </w:rPr>
        <w:t>参与情形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1CF7B8D1">
      <w:pPr>
        <w:pStyle w:val="273"/>
        <w:numPr>
          <w:ilvl w:val="0"/>
          <w:numId w:val="9"/>
        </w:numPr>
        <w:ind w:firstLine="480"/>
        <w:rPr>
          <w:rFonts w:hint="eastAsia" w:ascii="宋体" w:hAnsi="宋体"/>
          <w:color w:val="auto"/>
          <w:sz w:val="24"/>
          <w:szCs w:val="20"/>
          <w:highlight w:val="none"/>
        </w:rPr>
      </w:pPr>
      <w:r>
        <w:rPr>
          <w:rFonts w:hint="eastAsia" w:ascii="宋体" w:hAnsi="宋体"/>
          <w:color w:val="auto"/>
          <w:sz w:val="24"/>
          <w:szCs w:val="20"/>
          <w:highlight w:val="none"/>
        </w:rPr>
        <w:t>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w:t>
      </w:r>
      <w:r>
        <w:rPr>
          <w:rFonts w:hint="eastAsia"/>
          <w:color w:val="auto"/>
          <w:sz w:val="24"/>
          <w:szCs w:val="24"/>
          <w:highlight w:val="none"/>
        </w:rPr>
        <w:t>或盖章</w:t>
      </w:r>
      <w:r>
        <w:rPr>
          <w:rFonts w:hint="eastAsia" w:ascii="宋体" w:hAnsi="宋体"/>
          <w:color w:val="auto"/>
          <w:sz w:val="24"/>
          <w:szCs w:val="20"/>
          <w:highlight w:val="none"/>
        </w:rPr>
        <w:t>即可。</w:t>
      </w:r>
    </w:p>
    <w:p w14:paraId="17A98558">
      <w:pPr>
        <w:pStyle w:val="273"/>
        <w:numPr>
          <w:ilvl w:val="0"/>
          <w:numId w:val="9"/>
        </w:numPr>
        <w:ind w:firstLine="480"/>
        <w:rPr>
          <w:rFonts w:hint="eastAsia" w:ascii="宋体" w:hAnsi="宋体"/>
          <w:color w:val="auto"/>
          <w:sz w:val="24"/>
          <w:szCs w:val="20"/>
          <w:highlight w:val="none"/>
        </w:rPr>
      </w:pPr>
      <w:r>
        <w:rPr>
          <w:rFonts w:hint="eastAsia" w:ascii="宋体" w:hAnsi="宋体"/>
          <w:color w:val="auto"/>
          <w:sz w:val="24"/>
          <w:szCs w:val="20"/>
          <w:highlight w:val="none"/>
        </w:rPr>
        <w:t>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66633149">
      <w:pPr>
        <w:pStyle w:val="273"/>
        <w:numPr>
          <w:ilvl w:val="0"/>
          <w:numId w:val="9"/>
        </w:numPr>
        <w:ind w:firstLine="480"/>
        <w:rPr>
          <w:rFonts w:hint="eastAsia" w:ascii="宋体" w:hAnsi="宋体"/>
          <w:color w:val="auto"/>
          <w:sz w:val="24"/>
          <w:szCs w:val="20"/>
          <w:highlight w:val="none"/>
        </w:rPr>
      </w:pPr>
      <w:r>
        <w:rPr>
          <w:rFonts w:hint="eastAsia" w:ascii="宋体" w:hAnsi="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6DD3733D">
      <w:pPr>
        <w:pStyle w:val="273"/>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23367764">
      <w:pPr>
        <w:jc w:val="center"/>
        <w:outlineLvl w:val="0"/>
        <w:rPr>
          <w:rFonts w:ascii="黑体" w:eastAsia="黑体"/>
          <w:bCs/>
          <w:color w:val="auto"/>
          <w:sz w:val="28"/>
          <w:szCs w:val="28"/>
          <w:highlight w:val="none"/>
        </w:rPr>
      </w:pPr>
      <w:bookmarkStart w:id="205" w:name="报价方关于资格的声明函（格式）"/>
      <w:bookmarkEnd w:id="205"/>
      <w:r>
        <w:rPr>
          <w:rFonts w:hint="eastAsia" w:ascii="黑体" w:eastAsia="黑体"/>
          <w:bCs/>
          <w:color w:val="auto"/>
          <w:sz w:val="28"/>
          <w:szCs w:val="28"/>
          <w:highlight w:val="none"/>
        </w:rPr>
        <w:t>资格声明函</w:t>
      </w:r>
    </w:p>
    <w:p w14:paraId="46C9869F">
      <w:pPr>
        <w:spacing w:line="480" w:lineRule="auto"/>
        <w:jc w:val="center"/>
        <w:rPr>
          <w:rFonts w:ascii="宋体"/>
          <w:bCs/>
          <w:color w:val="auto"/>
          <w:sz w:val="24"/>
          <w:szCs w:val="24"/>
          <w:highlight w:val="none"/>
        </w:rPr>
      </w:pPr>
    </w:p>
    <w:p w14:paraId="0167E6F7">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w:t>
      </w:r>
    </w:p>
    <w:p w14:paraId="52BD1A5D">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我公司（单位、联合体）针对本次项目参与报价，并做如下声明</w:t>
      </w:r>
    </w:p>
    <w:p w14:paraId="13CBECB1">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4CDDD87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75F81E5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0FB6DDF1">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我公司（单位、联合体）针对本次项目的上述声明以及响应文件中所有关于报价资格的文件、证明、陈述均是真实的、准确的。若有违背，我公司（单位、联合体）愿意承担由此而产生的一切后果。</w:t>
      </w:r>
    </w:p>
    <w:p w14:paraId="53DD6092">
      <w:pPr>
        <w:spacing w:line="480" w:lineRule="auto"/>
        <w:rPr>
          <w:rFonts w:ascii="宋体"/>
          <w:bCs/>
          <w:color w:val="auto"/>
          <w:sz w:val="24"/>
          <w:szCs w:val="24"/>
          <w:highlight w:val="none"/>
        </w:rPr>
      </w:pPr>
    </w:p>
    <w:p w14:paraId="1954EAD7">
      <w:pPr>
        <w:spacing w:line="480" w:lineRule="auto"/>
        <w:rPr>
          <w:rFonts w:ascii="宋体"/>
          <w:bCs/>
          <w:color w:val="auto"/>
          <w:sz w:val="24"/>
          <w:szCs w:val="24"/>
          <w:highlight w:val="none"/>
        </w:rPr>
      </w:pPr>
      <w:r>
        <w:rPr>
          <w:rFonts w:hint="eastAsia" w:ascii="宋体" w:hAnsi="宋体"/>
          <w:bCs/>
          <w:color w:val="auto"/>
          <w:sz w:val="24"/>
          <w:szCs w:val="24"/>
          <w:highlight w:val="none"/>
        </w:rPr>
        <w:t>供应商名称（盖章）：</w:t>
      </w:r>
    </w:p>
    <w:p w14:paraId="71CF909E">
      <w:pPr>
        <w:pStyle w:val="273"/>
        <w:ind w:firstLine="0"/>
        <w:rPr>
          <w:rFonts w:hint="eastAsia" w:ascii="宋体" w:hAnsi="宋体" w:cs="宋体"/>
          <w:b/>
          <w:color w:val="auto"/>
          <w:szCs w:val="28"/>
          <w:highlight w:val="none"/>
        </w:rPr>
      </w:pPr>
      <w:r>
        <w:rPr>
          <w:rFonts w:ascii="宋体"/>
          <w:bCs/>
          <w:color w:val="auto"/>
          <w:sz w:val="24"/>
          <w:szCs w:val="24"/>
          <w:highlight w:val="none"/>
        </w:rPr>
        <w:br w:type="page" w:clear="all"/>
      </w:r>
      <w:r>
        <w:rPr>
          <w:rFonts w:ascii="宋体" w:hAnsi="宋体" w:cs="宋体"/>
          <w:b/>
          <w:color w:val="auto"/>
          <w:szCs w:val="28"/>
          <w:highlight w:val="none"/>
        </w:rPr>
        <w:t>四、</w:t>
      </w:r>
      <w:r>
        <w:rPr>
          <w:rFonts w:hint="eastAsia" w:ascii="宋体" w:hAnsi="宋体" w:cs="宋体"/>
          <w:b/>
          <w:color w:val="auto"/>
          <w:szCs w:val="28"/>
          <w:highlight w:val="none"/>
        </w:rPr>
        <w:t>响应</w:t>
      </w:r>
      <w:r>
        <w:rPr>
          <w:rFonts w:ascii="宋体" w:hAnsi="宋体" w:cs="宋体"/>
          <w:b/>
          <w:color w:val="auto"/>
          <w:szCs w:val="28"/>
          <w:highlight w:val="none"/>
        </w:rPr>
        <w:t>函</w:t>
      </w:r>
      <w:r>
        <w:rPr>
          <w:rFonts w:hint="eastAsia" w:ascii="宋体" w:hAnsi="宋体" w:cs="宋体"/>
          <w:b/>
          <w:color w:val="auto"/>
          <w:szCs w:val="28"/>
          <w:highlight w:val="none"/>
        </w:rPr>
        <w:t>（给定格式）：</w:t>
      </w:r>
    </w:p>
    <w:p w14:paraId="37E79313">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响应函</w:t>
      </w:r>
    </w:p>
    <w:p w14:paraId="0E5EBA1B">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w:t>
      </w:r>
    </w:p>
    <w:p w14:paraId="5C5A3AD3">
      <w:pPr>
        <w:spacing w:line="400" w:lineRule="exact"/>
        <w:ind w:firstLine="480"/>
        <w:rPr>
          <w:rFonts w:ascii="宋体"/>
          <w:bCs/>
          <w:color w:val="auto"/>
          <w:sz w:val="24"/>
          <w:szCs w:val="24"/>
          <w:highlight w:val="none"/>
        </w:rPr>
      </w:pPr>
    </w:p>
    <w:p w14:paraId="1BA959B3">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cs="宋体"/>
          <w:bCs/>
          <w:color w:val="auto"/>
          <w:sz w:val="24"/>
          <w:highlight w:val="none"/>
        </w:rPr>
        <w:t>单一来源文件</w:t>
      </w:r>
      <w:r>
        <w:rPr>
          <w:rFonts w:hint="eastAsia" w:ascii="宋体" w:hAnsi="宋体"/>
          <w:bCs/>
          <w:color w:val="auto"/>
          <w:sz w:val="24"/>
          <w:szCs w:val="24"/>
          <w:highlight w:val="none"/>
        </w:rPr>
        <w:t>，经仔细阅读和研究，我方决定参加此项目的投标。</w:t>
      </w:r>
    </w:p>
    <w:p w14:paraId="22AB78F7">
      <w:pPr>
        <w:numPr>
          <w:ilvl w:val="0"/>
          <w:numId w:val="10"/>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我方愿意按照单一来源文件的一切要求，提供本项目的报价，总报价见《报价一览表》。</w:t>
      </w:r>
    </w:p>
    <w:p w14:paraId="70B879CD">
      <w:pPr>
        <w:numPr>
          <w:ilvl w:val="0"/>
          <w:numId w:val="10"/>
        </w:numPr>
        <w:tabs>
          <w:tab w:val="left" w:pos="0"/>
          <w:tab w:val="left" w:pos="315"/>
          <w:tab w:val="left" w:pos="525"/>
          <w:tab w:val="left" w:pos="840"/>
          <w:tab w:val="left" w:pos="945"/>
          <w:tab w:val="left" w:pos="1050"/>
        </w:tabs>
        <w:spacing w:line="400" w:lineRule="exact"/>
        <w:ind w:left="0" w:firstLine="523"/>
        <w:rPr>
          <w:rStyle w:val="263"/>
          <w:bCs/>
          <w:color w:val="auto"/>
          <w:highlight w:val="none"/>
        </w:rPr>
      </w:pPr>
      <w:r>
        <w:rPr>
          <w:rFonts w:hint="eastAsia" w:ascii="宋体" w:hAnsi="宋体"/>
          <w:bCs/>
          <w:color w:val="auto"/>
          <w:sz w:val="24"/>
          <w:szCs w:val="24"/>
          <w:highlight w:val="none"/>
        </w:rPr>
        <w:t>我方愿意提供采购代理机构在单一来源文件中要求的文件、资料。</w:t>
      </w:r>
    </w:p>
    <w:p w14:paraId="29B3AEAB">
      <w:pPr>
        <w:numPr>
          <w:ilvl w:val="0"/>
          <w:numId w:val="10"/>
        </w:numPr>
        <w:tabs>
          <w:tab w:val="left" w:pos="0"/>
          <w:tab w:val="left" w:pos="315"/>
          <w:tab w:val="left" w:pos="525"/>
          <w:tab w:val="left" w:pos="945"/>
          <w:tab w:val="left" w:pos="1050"/>
        </w:tabs>
        <w:spacing w:line="400" w:lineRule="exact"/>
        <w:ind w:left="0" w:firstLine="523"/>
        <w:rPr>
          <w:rFonts w:hint="eastAsia" w:ascii="宋体"/>
          <w:bCs/>
          <w:color w:val="auto"/>
          <w:sz w:val="24"/>
          <w:szCs w:val="24"/>
          <w:highlight w:val="none"/>
        </w:rPr>
      </w:pPr>
      <w:r>
        <w:rPr>
          <w:rFonts w:hint="eastAsia" w:ascii="宋体" w:hAnsi="宋体"/>
          <w:bCs/>
          <w:color w:val="auto"/>
          <w:sz w:val="24"/>
          <w:szCs w:val="24"/>
          <w:highlight w:val="none"/>
        </w:rPr>
        <w:t>我方同意按单一来源文件中的规定，从单一来源文件规定的</w:t>
      </w:r>
      <w:r>
        <w:rPr>
          <w:rFonts w:hint="eastAsia" w:ascii="宋体" w:hAnsi="宋体"/>
          <w:bCs/>
          <w:color w:val="auto"/>
          <w:sz w:val="24"/>
          <w:highlight w:val="none"/>
        </w:rPr>
        <w:t>投标有效期</w:t>
      </w:r>
      <w:r>
        <w:rPr>
          <w:rFonts w:hint="eastAsia" w:ascii="宋体" w:hAnsi="宋体"/>
          <w:bCs/>
          <w:color w:val="auto"/>
          <w:sz w:val="24"/>
          <w:szCs w:val="24"/>
          <w:highlight w:val="none"/>
        </w:rPr>
        <w:t>内遵循本响应文件，并在规定的投标有效期期满之前均具有约束力。</w:t>
      </w:r>
    </w:p>
    <w:p w14:paraId="134E1C96">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如果我方的响应文件被接受，我方将履行单一来源文件中规定的每一项要求，按期、按质、按量，完成交货任务。</w:t>
      </w:r>
    </w:p>
    <w:p w14:paraId="1331FF08">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我方完全同意单一来源文件规定的决定成交者的方式。</w:t>
      </w:r>
    </w:p>
    <w:p w14:paraId="38C985D4">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我方愿意遵守《中华人民共和国政府采购法》，并按《中华人民共和国民法典》等相关法律法规和合同条款履行自己的全部责任。</w:t>
      </w:r>
    </w:p>
    <w:p w14:paraId="4F0C95F3">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我方已详细审核全部单一来源文件及其有效补充文件，我们知道必须放弃提出含糊不清或误解问题的权利。</w:t>
      </w:r>
    </w:p>
    <w:p w14:paraId="525383BB">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如我方在提交响应文件截止期后撤回响应文件及成交后拒绝遵守响应承诺或拒绝在规定的时间内与采购人签订合同，则接受政府采购监督管理部门的处理。</w:t>
      </w:r>
    </w:p>
    <w:p w14:paraId="0C11EC3E">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成交供应商，且我方如无不可抗力，又未履行单一来源文件、响应文件和合同条款的，一经查实，我方愿意赔偿由此而造成的一切损失，并同意接受按单一来源文件的相关要求对我方进行的处理。</w:t>
      </w:r>
    </w:p>
    <w:p w14:paraId="010A2AEE">
      <w:pPr>
        <w:numPr>
          <w:ilvl w:val="0"/>
          <w:numId w:val="1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2194429">
      <w:pPr>
        <w:spacing w:line="400" w:lineRule="exact"/>
        <w:ind w:firstLine="720"/>
        <w:rPr>
          <w:rFonts w:ascii="宋体"/>
          <w:bCs/>
          <w:color w:val="auto"/>
          <w:sz w:val="24"/>
          <w:szCs w:val="24"/>
          <w:highlight w:val="none"/>
        </w:rPr>
      </w:pPr>
    </w:p>
    <w:p w14:paraId="6BA2FD17">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11E68C7F">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0FFEE481">
      <w:pPr>
        <w:spacing w:line="400" w:lineRule="exact"/>
        <w:ind w:firstLine="480"/>
        <w:rPr>
          <w:rFonts w:ascii="宋体" w:hAnsi="宋体"/>
          <w:bCs/>
          <w:color w:val="auto"/>
          <w:sz w:val="24"/>
          <w:szCs w:val="24"/>
          <w:highlight w:val="none"/>
        </w:rPr>
      </w:pPr>
    </w:p>
    <w:p w14:paraId="7A78BAE5">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供应商名称（盖章）：</w:t>
      </w:r>
    </w:p>
    <w:p w14:paraId="53186760">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五、承诺书（给定格式）：</w:t>
      </w:r>
    </w:p>
    <w:p w14:paraId="5D0AE886">
      <w:pPr>
        <w:keepNext/>
        <w:jc w:val="center"/>
        <w:outlineLvl w:val="2"/>
        <w:rPr>
          <w:rFonts w:hAnsi="宋体"/>
          <w:bCs/>
          <w:color w:val="auto"/>
          <w:sz w:val="28"/>
          <w:szCs w:val="28"/>
          <w:highlight w:val="none"/>
        </w:rPr>
      </w:pPr>
      <w:r>
        <w:rPr>
          <w:rFonts w:hint="eastAsia" w:hAnsi="宋体"/>
          <w:b/>
          <w:color w:val="auto"/>
          <w:sz w:val="28"/>
          <w:szCs w:val="22"/>
          <w:highlight w:val="none"/>
        </w:rPr>
        <w:t>承诺书一</w:t>
      </w:r>
    </w:p>
    <w:p w14:paraId="3D8BAE24">
      <w:pPr>
        <w:spacing w:line="360" w:lineRule="auto"/>
        <w:ind w:firstLine="360"/>
        <w:outlineLvl w:val="0"/>
        <w:rPr>
          <w:rFonts w:hAnsi="宋体" w:cs="宋体"/>
          <w:bCs/>
          <w:color w:val="auto"/>
          <w:sz w:val="24"/>
          <w:szCs w:val="22"/>
          <w:highlight w:val="none"/>
        </w:rPr>
      </w:pPr>
      <w:r>
        <w:rPr>
          <w:rFonts w:hint="eastAsia" w:hAnsi="宋体" w:cs="宋体"/>
          <w:bCs/>
          <w:color w:val="auto"/>
          <w:sz w:val="24"/>
          <w:szCs w:val="22"/>
          <w:highlight w:val="none"/>
        </w:rPr>
        <w:t>（</w:t>
      </w:r>
      <w:r>
        <w:rPr>
          <w:rFonts w:hint="eastAsia" w:hAnsi="宋体"/>
          <w:color w:val="auto"/>
          <w:sz w:val="24"/>
          <w:highlight w:val="none"/>
        </w:rPr>
        <w:t>投标</w:t>
      </w:r>
      <w:r>
        <w:rPr>
          <w:rFonts w:hint="eastAsia" w:hAnsi="宋体" w:cs="宋体"/>
          <w:bCs/>
          <w:color w:val="auto"/>
          <w:sz w:val="24"/>
          <w:szCs w:val="22"/>
          <w:highlight w:val="none"/>
        </w:rPr>
        <w:t>供应商名称）在此承诺：</w:t>
      </w:r>
    </w:p>
    <w:p w14:paraId="36423EBF">
      <w:pPr>
        <w:spacing w:line="360" w:lineRule="auto"/>
        <w:ind w:firstLine="360"/>
        <w:outlineLvl w:val="0"/>
        <w:rPr>
          <w:rFonts w:hAnsi="宋体" w:cs="宋体"/>
          <w:bCs/>
          <w:color w:val="auto"/>
          <w:sz w:val="24"/>
          <w:szCs w:val="22"/>
          <w:highlight w:val="none"/>
        </w:rPr>
      </w:pPr>
    </w:p>
    <w:p w14:paraId="7A70B83E">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我公司（单位）愿针对此次</w:t>
      </w:r>
      <w:r>
        <w:rPr>
          <w:rFonts w:hint="eastAsia" w:hAnsi="宋体" w:cs="宋体"/>
          <w:bCs/>
          <w:color w:val="auto"/>
          <w:sz w:val="24"/>
          <w:szCs w:val="22"/>
          <w:highlight w:val="none"/>
          <w:u w:val="single"/>
        </w:rPr>
        <w:t>（项目名称）</w:t>
      </w:r>
      <w:r>
        <w:rPr>
          <w:rFonts w:hint="eastAsia" w:hAnsi="宋体" w:cs="宋体"/>
          <w:bCs/>
          <w:color w:val="auto"/>
          <w:sz w:val="24"/>
          <w:szCs w:val="22"/>
          <w:highlight w:val="none"/>
        </w:rPr>
        <w:t>进行投标。</w:t>
      </w:r>
    </w:p>
    <w:p w14:paraId="238AAB7E">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我公司符合《中华人民共和国政府采购法》第二十二条的规定，在此郑重承诺具备以下条件：</w:t>
      </w:r>
    </w:p>
    <w:p w14:paraId="4F08ACE0">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（一）具有独立承担民事责任的能力；</w:t>
      </w:r>
    </w:p>
    <w:p w14:paraId="273C49C3">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（二）具有良好的商业信誉和健全的财务会计制度；</w:t>
      </w:r>
    </w:p>
    <w:p w14:paraId="7B1D957B">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（三）具有履行合同所必需的设备和专业技术能力；</w:t>
      </w:r>
    </w:p>
    <w:p w14:paraId="1FBE92DB">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（四）有依法缴纳税收和社会保障资金的良好记录；</w:t>
      </w:r>
    </w:p>
    <w:p w14:paraId="364D91FA">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（五）近三年内，在经营活动中没有重大违法记录；</w:t>
      </w:r>
    </w:p>
    <w:p w14:paraId="23DA9AC0">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（六）</w:t>
      </w:r>
      <w:r>
        <w:rPr>
          <w:rFonts w:hint="eastAsia" w:hAnsi="宋体"/>
          <w:color w:val="auto"/>
          <w:sz w:val="24"/>
          <w:highlight w:val="none"/>
        </w:rPr>
        <w:t>投标</w:t>
      </w:r>
      <w:r>
        <w:rPr>
          <w:rFonts w:hint="eastAsia" w:hAnsi="宋体" w:cs="宋体"/>
          <w:bCs/>
          <w:color w:val="auto"/>
          <w:sz w:val="24"/>
          <w:szCs w:val="22"/>
          <w:highlight w:val="none"/>
        </w:rPr>
        <w:t>文件中所有关于投标资格的文件、证明、陈述均是真实的、准确的。</w:t>
      </w:r>
    </w:p>
    <w:p w14:paraId="328BBD90">
      <w:pPr>
        <w:spacing w:line="360" w:lineRule="auto"/>
        <w:ind w:firstLine="600"/>
        <w:outlineLvl w:val="0"/>
        <w:rPr>
          <w:rFonts w:hAnsi="宋体" w:cs="宋体"/>
          <w:bCs/>
          <w:color w:val="auto"/>
          <w:sz w:val="24"/>
          <w:szCs w:val="22"/>
          <w:highlight w:val="none"/>
        </w:rPr>
      </w:pPr>
      <w:r>
        <w:rPr>
          <w:rFonts w:hint="eastAsia" w:hAnsi="宋体" w:cs="宋体"/>
          <w:bCs/>
          <w:color w:val="auto"/>
          <w:sz w:val="24"/>
          <w:szCs w:val="22"/>
          <w:highlight w:val="none"/>
        </w:rPr>
        <w:t>若有违背，我公司（单位）愿意承担由此而产生的一切后果。</w:t>
      </w:r>
    </w:p>
    <w:p w14:paraId="0A0816C8">
      <w:pPr>
        <w:spacing w:line="360" w:lineRule="auto"/>
        <w:ind w:firstLine="650"/>
        <w:outlineLvl w:val="0"/>
        <w:rPr>
          <w:rFonts w:hAnsi="宋体" w:cs="宋体"/>
          <w:bCs/>
          <w:color w:val="auto"/>
          <w:sz w:val="24"/>
          <w:szCs w:val="22"/>
          <w:highlight w:val="none"/>
        </w:rPr>
      </w:pPr>
      <w:r>
        <w:rPr>
          <w:rFonts w:hint="eastAsia" w:hAnsi="宋体" w:cs="宋体"/>
          <w:bCs/>
          <w:color w:val="auto"/>
          <w:sz w:val="24"/>
          <w:szCs w:val="22"/>
          <w:highlight w:val="none"/>
        </w:rPr>
        <w:t>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36CBEEA6">
      <w:pPr>
        <w:spacing w:line="360" w:lineRule="auto"/>
        <w:ind w:firstLine="360"/>
        <w:outlineLvl w:val="0"/>
        <w:rPr>
          <w:rFonts w:hAnsi="宋体" w:cs="宋体"/>
          <w:bCs/>
          <w:color w:val="auto"/>
          <w:sz w:val="24"/>
          <w:szCs w:val="22"/>
          <w:highlight w:val="none"/>
        </w:rPr>
      </w:pPr>
    </w:p>
    <w:p w14:paraId="20025754">
      <w:pPr>
        <w:spacing w:line="360" w:lineRule="auto"/>
        <w:ind w:firstLine="360"/>
        <w:outlineLvl w:val="0"/>
        <w:rPr>
          <w:rFonts w:hAnsi="宋体" w:cs="宋体"/>
          <w:bCs/>
          <w:color w:val="auto"/>
          <w:sz w:val="24"/>
          <w:szCs w:val="22"/>
          <w:highlight w:val="none"/>
        </w:rPr>
      </w:pPr>
      <w:r>
        <w:rPr>
          <w:rFonts w:hint="eastAsia" w:hAnsi="宋体"/>
          <w:color w:val="auto"/>
          <w:sz w:val="24"/>
          <w:highlight w:val="none"/>
        </w:rPr>
        <w:t>投标</w:t>
      </w:r>
      <w:r>
        <w:rPr>
          <w:rFonts w:hint="eastAsia" w:hAnsi="宋体" w:cs="宋体"/>
          <w:bCs/>
          <w:color w:val="auto"/>
          <w:sz w:val="24"/>
          <w:szCs w:val="22"/>
          <w:highlight w:val="none"/>
        </w:rPr>
        <w:t>供应商（盖章）：</w:t>
      </w:r>
    </w:p>
    <w:p w14:paraId="1DD5523A">
      <w:pPr>
        <w:spacing w:line="360" w:lineRule="auto"/>
        <w:ind w:firstLine="360"/>
        <w:outlineLvl w:val="0"/>
        <w:rPr>
          <w:rFonts w:hAnsi="宋体" w:cs="宋体"/>
          <w:bCs/>
          <w:color w:val="auto"/>
          <w:sz w:val="24"/>
          <w:szCs w:val="22"/>
          <w:highlight w:val="none"/>
        </w:rPr>
      </w:pPr>
      <w:r>
        <w:rPr>
          <w:rFonts w:hint="eastAsia" w:hAnsi="宋体" w:cs="宋体"/>
          <w:bCs/>
          <w:color w:val="auto"/>
          <w:sz w:val="24"/>
          <w:szCs w:val="22"/>
          <w:highlight w:val="none"/>
        </w:rPr>
        <w:t>法定代表人或法定代表人授权代表签字或盖章：</w:t>
      </w:r>
    </w:p>
    <w:p w14:paraId="3DCF2F84">
      <w:pPr>
        <w:keepNext/>
        <w:jc w:val="center"/>
        <w:outlineLvl w:val="2"/>
        <w:rPr>
          <w:rFonts w:hAnsi="宋体"/>
          <w:b/>
          <w:color w:val="auto"/>
          <w:sz w:val="32"/>
          <w:szCs w:val="32"/>
          <w:highlight w:val="none"/>
        </w:rPr>
      </w:pPr>
      <w:r>
        <w:rPr>
          <w:rFonts w:hAnsi="宋体"/>
          <w:bCs/>
          <w:color w:val="auto"/>
          <w:sz w:val="24"/>
          <w:highlight w:val="none"/>
        </w:rPr>
        <w:br w:type="page"/>
      </w:r>
      <w:r>
        <w:rPr>
          <w:rFonts w:hint="eastAsia" w:hAnsi="宋体"/>
          <w:b/>
          <w:color w:val="auto"/>
          <w:sz w:val="28"/>
          <w:szCs w:val="22"/>
          <w:highlight w:val="none"/>
        </w:rPr>
        <w:t>承诺书二</w:t>
      </w:r>
    </w:p>
    <w:p w14:paraId="2BCF18EC">
      <w:pPr>
        <w:spacing w:line="360" w:lineRule="auto"/>
        <w:rPr>
          <w:rFonts w:hAnsi="宋体"/>
          <w:color w:val="auto"/>
          <w:sz w:val="24"/>
          <w:highlight w:val="none"/>
        </w:rPr>
      </w:pPr>
    </w:p>
    <w:p w14:paraId="7BB8D4E4">
      <w:pPr>
        <w:spacing w:line="480" w:lineRule="auto"/>
        <w:outlineLvl w:val="0"/>
        <w:rPr>
          <w:rFonts w:hAnsi="宋体" w:cs="宋体"/>
          <w:bCs/>
          <w:color w:val="auto"/>
          <w:sz w:val="24"/>
          <w:szCs w:val="22"/>
          <w:highlight w:val="none"/>
        </w:rPr>
      </w:pPr>
      <w:r>
        <w:rPr>
          <w:rFonts w:hint="eastAsia" w:hAnsi="宋体" w:cs="宋体"/>
          <w:bCs/>
          <w:color w:val="auto"/>
          <w:sz w:val="24"/>
          <w:szCs w:val="22"/>
          <w:highlight w:val="none"/>
        </w:rPr>
        <w:t>致：（采购人名称）</w:t>
      </w:r>
    </w:p>
    <w:p w14:paraId="0967AAC2">
      <w:pPr>
        <w:spacing w:before="240" w:line="480" w:lineRule="auto"/>
        <w:ind w:firstLine="480"/>
        <w:rPr>
          <w:rFonts w:hAnsi="宋体"/>
          <w:color w:val="auto"/>
          <w:sz w:val="24"/>
          <w:highlight w:val="none"/>
        </w:rPr>
      </w:pPr>
      <w:r>
        <w:rPr>
          <w:rFonts w:hint="eastAsia"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43CC4C6F">
      <w:pPr>
        <w:spacing w:line="360" w:lineRule="auto"/>
        <w:ind w:firstLine="474" w:firstLineChars="225"/>
        <w:rPr>
          <w:rFonts w:ascii="宋体" w:hAnsi="宋体"/>
          <w:b/>
          <w:bCs/>
          <w:color w:val="auto"/>
          <w:szCs w:val="21"/>
          <w:highlight w:val="none"/>
        </w:rPr>
      </w:pPr>
      <w:r>
        <w:rPr>
          <w:rFonts w:hint="eastAsia" w:ascii="宋体" w:hAnsi="宋体"/>
          <w:b/>
          <w:bCs/>
          <w:color w:val="auto"/>
          <w:szCs w:val="21"/>
          <w:highlight w:val="none"/>
        </w:rPr>
        <w:t>我方承诺中标后2周内将以下所有人员配备齐全：</w:t>
      </w:r>
    </w:p>
    <w:p w14:paraId="7557A0D5">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1</w:t>
      </w:r>
      <w:bookmarkStart w:id="206" w:name="OLE_LINK66"/>
      <w:bookmarkStart w:id="207" w:name="OLE_LINK65"/>
      <w:r>
        <w:rPr>
          <w:rFonts w:hint="eastAsia" w:ascii="宋体" w:hAnsi="宋体" w:cs="Arial"/>
          <w:color w:val="auto"/>
          <w:sz w:val="24"/>
          <w:highlight w:val="none"/>
        </w:rPr>
        <w:t>.康复治疗师</w:t>
      </w:r>
      <w:bookmarkEnd w:id="206"/>
      <w:bookmarkEnd w:id="207"/>
      <w:r>
        <w:rPr>
          <w:rFonts w:hint="eastAsia" w:ascii="宋体" w:hAnsi="宋体" w:cs="Arial"/>
          <w:color w:val="auto"/>
          <w:sz w:val="24"/>
          <w:highlight w:val="none"/>
        </w:rPr>
        <w:t>：3名，康复相关专业或有对应专业技术资格证书。</w:t>
      </w:r>
    </w:p>
    <w:p w14:paraId="7EBEF6E8">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2.社会工作者：1名，</w:t>
      </w:r>
      <w:r>
        <w:rPr>
          <w:rFonts w:ascii="宋体" w:hAnsi="宋体" w:cs="Arial"/>
          <w:color w:val="auto"/>
          <w:sz w:val="24"/>
          <w:highlight w:val="none"/>
        </w:rPr>
        <w:t>大专以上学历或</w:t>
      </w:r>
      <w:r>
        <w:rPr>
          <w:rFonts w:hint="eastAsia" w:ascii="宋体" w:hAnsi="宋体" w:cs="Arial"/>
          <w:color w:val="auto"/>
          <w:sz w:val="24"/>
          <w:highlight w:val="none"/>
        </w:rPr>
        <w:t>有</w:t>
      </w:r>
      <w:r>
        <w:rPr>
          <w:rFonts w:ascii="宋体" w:hAnsi="宋体" w:cs="Arial"/>
          <w:color w:val="auto"/>
          <w:sz w:val="24"/>
          <w:highlight w:val="none"/>
        </w:rPr>
        <w:t>社工资格证书</w:t>
      </w:r>
      <w:r>
        <w:rPr>
          <w:rFonts w:hint="eastAsia" w:ascii="宋体" w:hAnsi="宋体" w:cs="Arial"/>
          <w:color w:val="auto"/>
          <w:sz w:val="24"/>
          <w:highlight w:val="none"/>
        </w:rPr>
        <w:t>。</w:t>
      </w:r>
    </w:p>
    <w:p w14:paraId="14E72797">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3.护士：3名，</w:t>
      </w:r>
      <w:r>
        <w:rPr>
          <w:rFonts w:ascii="宋体" w:hAnsi="宋体" w:cs="Arial"/>
          <w:color w:val="auto"/>
          <w:sz w:val="24"/>
          <w:highlight w:val="none"/>
        </w:rPr>
        <w:t>大专以上学历，</w:t>
      </w:r>
      <w:r>
        <w:rPr>
          <w:rFonts w:hint="eastAsia" w:ascii="宋体" w:hAnsi="宋体" w:cs="Arial"/>
          <w:color w:val="auto"/>
          <w:sz w:val="24"/>
          <w:highlight w:val="none"/>
        </w:rPr>
        <w:t>有护士</w:t>
      </w:r>
      <w:r>
        <w:rPr>
          <w:rFonts w:ascii="宋体" w:hAnsi="宋体" w:cs="Arial"/>
          <w:color w:val="auto"/>
          <w:sz w:val="24"/>
          <w:highlight w:val="none"/>
        </w:rPr>
        <w:t>资格证书</w:t>
      </w:r>
      <w:r>
        <w:rPr>
          <w:rFonts w:hint="eastAsia" w:ascii="宋体" w:hAnsi="宋体" w:cs="Arial"/>
          <w:color w:val="auto"/>
          <w:sz w:val="24"/>
          <w:highlight w:val="none"/>
        </w:rPr>
        <w:t>。</w:t>
      </w:r>
    </w:p>
    <w:p w14:paraId="52013116">
      <w:pPr>
        <w:spacing w:line="360" w:lineRule="auto"/>
        <w:ind w:firstLine="540" w:firstLineChars="225"/>
        <w:rPr>
          <w:rFonts w:ascii="宋体" w:hAnsi="宋体" w:cs="Arial"/>
          <w:color w:val="auto"/>
          <w:sz w:val="24"/>
          <w:highlight w:val="none"/>
        </w:rPr>
      </w:pPr>
      <w:r>
        <w:rPr>
          <w:rFonts w:hint="eastAsia" w:ascii="宋体" w:hAnsi="宋体" w:cs="Arial"/>
          <w:color w:val="auto"/>
          <w:sz w:val="24"/>
          <w:highlight w:val="none"/>
        </w:rPr>
        <w:t>4.现场管理人员：1名，护理、康复、社工等相关专业，有五年以上相关工作经验。</w:t>
      </w:r>
    </w:p>
    <w:p w14:paraId="365D3F86">
      <w:pPr>
        <w:spacing w:before="240" w:line="480" w:lineRule="auto"/>
        <w:ind w:firstLine="480"/>
        <w:rPr>
          <w:rFonts w:hAnsi="宋体"/>
          <w:color w:val="auto"/>
          <w:sz w:val="24"/>
          <w:highlight w:val="none"/>
        </w:rPr>
      </w:pPr>
      <w:r>
        <w:rPr>
          <w:rFonts w:hint="eastAsia" w:ascii="宋体" w:hAnsi="宋体" w:cs="Arial"/>
          <w:color w:val="auto"/>
          <w:sz w:val="24"/>
          <w:highlight w:val="none"/>
        </w:rPr>
        <w:t>5.洗衣房工作人员：3名，有相关工作经验。</w:t>
      </w:r>
    </w:p>
    <w:p w14:paraId="497D3F81">
      <w:pPr>
        <w:spacing w:before="240" w:line="480" w:lineRule="auto"/>
        <w:ind w:firstLine="480"/>
        <w:rPr>
          <w:rFonts w:hAnsi="宋体"/>
          <w:color w:val="auto"/>
          <w:sz w:val="24"/>
          <w:highlight w:val="none"/>
        </w:rPr>
      </w:pPr>
      <w:r>
        <w:rPr>
          <w:rFonts w:hint="eastAsia" w:hAnsi="宋体"/>
          <w:color w:val="auto"/>
          <w:sz w:val="24"/>
          <w:highlight w:val="none"/>
        </w:rPr>
        <w:t>我方愿承担因以上承诺情况不真实而产生的一切经济、法律责任。</w:t>
      </w:r>
    </w:p>
    <w:p w14:paraId="364BE04B">
      <w:pPr>
        <w:spacing w:line="480" w:lineRule="auto"/>
        <w:ind w:firstLine="4560"/>
        <w:rPr>
          <w:rFonts w:hAnsi="宋体"/>
          <w:color w:val="auto"/>
          <w:sz w:val="24"/>
          <w:highlight w:val="none"/>
        </w:rPr>
      </w:pPr>
      <w:r>
        <w:rPr>
          <w:rFonts w:hint="eastAsia" w:hAnsi="宋体"/>
          <w:color w:val="auto"/>
          <w:sz w:val="24"/>
          <w:highlight w:val="none"/>
        </w:rPr>
        <w:t>投标供应商：（盖章）</w:t>
      </w:r>
    </w:p>
    <w:p w14:paraId="03764C8A">
      <w:pPr>
        <w:spacing w:line="480" w:lineRule="auto"/>
        <w:ind w:firstLine="4560"/>
        <w:rPr>
          <w:color w:val="auto"/>
          <w:sz w:val="24"/>
          <w:highlight w:val="none"/>
        </w:rPr>
      </w:pPr>
      <w:r>
        <w:rPr>
          <w:rFonts w:hint="eastAsia" w:hAnsi="宋体"/>
          <w:color w:val="auto"/>
          <w:sz w:val="24"/>
          <w:highlight w:val="none"/>
        </w:rPr>
        <w:t>法定代表人签名或盖章：</w:t>
      </w:r>
    </w:p>
    <w:p w14:paraId="654FA3D8">
      <w:pPr>
        <w:widowControl/>
        <w:spacing w:line="480" w:lineRule="auto"/>
        <w:jc w:val="center"/>
        <w:rPr>
          <w:rFonts w:ascii="宋体" w:hAnsi="宋体" w:cs="宋体"/>
          <w:b/>
          <w:color w:val="auto"/>
          <w:sz w:val="24"/>
          <w:highlight w:val="none"/>
        </w:rPr>
      </w:pPr>
      <w:r>
        <w:rPr>
          <w:rFonts w:hint="eastAsia" w:hAnsi="宋体"/>
          <w:color w:val="auto"/>
          <w:sz w:val="24"/>
          <w:highlight w:val="none"/>
          <w:lang w:val="en-US" w:eastAsia="zh-CN"/>
        </w:rPr>
        <w:t xml:space="preserve">     </w:t>
      </w:r>
      <w:r>
        <w:rPr>
          <w:rFonts w:hint="eastAsia" w:hAnsi="宋体"/>
          <w:color w:val="auto"/>
          <w:sz w:val="24"/>
          <w:highlight w:val="none"/>
        </w:rPr>
        <w:t>年月日</w:t>
      </w:r>
    </w:p>
    <w:p w14:paraId="79A75565">
      <w:pPr>
        <w:spacing w:line="360" w:lineRule="auto"/>
        <w:rPr>
          <w:rFonts w:hint="eastAsia" w:ascii="宋体" w:hAnsi="宋体" w:eastAsia="宋体" w:cs="宋体"/>
          <w:b/>
          <w:color w:val="auto"/>
          <w:sz w:val="32"/>
          <w:szCs w:val="32"/>
          <w:highlight w:val="none"/>
        </w:rPr>
      </w:pPr>
      <w:r>
        <w:rPr>
          <w:rFonts w:ascii="宋体" w:hAnsi="宋体"/>
          <w:bCs/>
          <w:color w:val="auto"/>
          <w:sz w:val="24"/>
          <w:szCs w:val="24"/>
          <w:highlight w:val="none"/>
        </w:rPr>
        <w:br w:type="page" w:clear="all"/>
      </w:r>
      <w:r>
        <w:rPr>
          <w:rFonts w:hint="eastAsia" w:ascii="Times New Roman" w:hAnsi="Times New Roman" w:eastAsia="宋体"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rPr>
        <w:t>中小企业声明函（</w:t>
      </w:r>
      <w:r>
        <w:rPr>
          <w:rFonts w:hint="eastAsia" w:ascii="Times New Roman" w:hAnsi="Times New Roman" w:eastAsia="宋体" w:cs="Times New Roman"/>
          <w:b/>
          <w:color w:val="auto"/>
          <w:sz w:val="28"/>
          <w:szCs w:val="28"/>
          <w:highlight w:val="none"/>
          <w:lang w:val="en-US" w:eastAsia="zh-CN"/>
        </w:rPr>
        <w:t>给定</w:t>
      </w:r>
      <w:r>
        <w:rPr>
          <w:rFonts w:hint="eastAsia" w:ascii="Times New Roman" w:hAnsi="Times New Roman" w:eastAsia="宋体" w:cs="Times New Roman"/>
          <w:b/>
          <w:color w:val="auto"/>
          <w:sz w:val="28"/>
          <w:szCs w:val="28"/>
          <w:highlight w:val="none"/>
        </w:rPr>
        <w:t>格式）</w:t>
      </w:r>
    </w:p>
    <w:p w14:paraId="43689DA5">
      <w:pPr>
        <w:keepNext w:val="0"/>
        <w:keepLines w:val="0"/>
        <w:pageBreakBefore w:val="0"/>
        <w:widowControl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中小企业声明函（服务）</w:t>
      </w:r>
    </w:p>
    <w:p w14:paraId="037FE5CD">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b w:val="0"/>
          <w:bCs/>
          <w:color w:val="auto"/>
          <w:sz w:val="24"/>
          <w:szCs w:val="24"/>
          <w:highlight w:val="none"/>
          <w:u w:val="single"/>
        </w:rPr>
        <w:t>（单位名称）</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u w:val="single"/>
        </w:rPr>
        <w:t>（项目名称）</w:t>
      </w:r>
      <w:r>
        <w:rPr>
          <w:rFonts w:hint="eastAsia" w:ascii="宋体" w:hAnsi="宋体" w:eastAsia="宋体" w:cs="宋体"/>
          <w:b w:val="0"/>
          <w:bCs/>
          <w:color w:val="auto"/>
          <w:sz w:val="24"/>
          <w:szCs w:val="24"/>
          <w:highlight w:val="none"/>
        </w:rPr>
        <w:t>采购活动，服务全部由符合政策要求的中小企业承接。相关企业（含联合体中的中小企业、签订分包意向协议的中小企业）的具体情况如下：</w:t>
      </w:r>
    </w:p>
    <w:p w14:paraId="43875CA1">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万元，资产总额为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万元，属于（中型企业、小型企业、微型企业）；</w:t>
      </w:r>
    </w:p>
    <w:p w14:paraId="2E60F67C">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万元，资产总额为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万元，属于（中型企业、小型企业、微型企业）；</w:t>
      </w:r>
    </w:p>
    <w:p w14:paraId="69098AB1">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4747F2A6">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14:paraId="01E923F4">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本企业对上述声明内容的真实性负责。如有虚假，将依法承担相应责任。</w:t>
      </w:r>
    </w:p>
    <w:p w14:paraId="4A46FE12">
      <w:pPr>
        <w:keepNext w:val="0"/>
        <w:keepLines w:val="0"/>
        <w:pageBreakBefore w:val="0"/>
        <w:widowControl w:val="0"/>
        <w:spacing w:line="360" w:lineRule="auto"/>
        <w:ind w:firstLine="480"/>
        <w:jc w:val="right"/>
        <w:rPr>
          <w:rFonts w:hint="eastAsia" w:ascii="宋体" w:hAnsi="宋体" w:eastAsia="宋体" w:cs="宋体"/>
          <w:b w:val="0"/>
          <w:bCs/>
          <w:color w:val="auto"/>
          <w:sz w:val="24"/>
          <w:szCs w:val="24"/>
          <w:highlight w:val="none"/>
        </w:rPr>
      </w:pPr>
    </w:p>
    <w:p w14:paraId="3EB38BF8">
      <w:pPr>
        <w:keepNext w:val="0"/>
        <w:keepLines w:val="0"/>
        <w:pageBreakBefore w:val="0"/>
        <w:widowControl w:val="0"/>
        <w:spacing w:line="360" w:lineRule="auto"/>
        <w:ind w:firstLine="480"/>
        <w:jc w:val="right"/>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企业名称（盖章）：</w:t>
      </w:r>
      <w:r>
        <w:rPr>
          <w:rFonts w:hint="eastAsia" w:ascii="宋体" w:hAnsi="宋体" w:eastAsia="宋体" w:cs="宋体"/>
          <w:b w:val="0"/>
          <w:bCs/>
          <w:color w:val="auto"/>
          <w:sz w:val="24"/>
          <w:szCs w:val="24"/>
          <w:highlight w:val="none"/>
          <w:lang w:val="en-US" w:eastAsia="zh-CN"/>
        </w:rPr>
        <w:t xml:space="preserve">    </w:t>
      </w:r>
    </w:p>
    <w:p w14:paraId="0CBEEB5B">
      <w:pPr>
        <w:keepNext w:val="0"/>
        <w:keepLines w:val="0"/>
        <w:pageBreakBefore w:val="0"/>
        <w:widowControl w:val="0"/>
        <w:spacing w:line="360" w:lineRule="auto"/>
        <w:ind w:firstLine="480"/>
        <w:jc w:val="right"/>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lang w:val="en-US" w:eastAsia="zh-CN"/>
        </w:rPr>
        <w:t xml:space="preserve">    </w:t>
      </w:r>
    </w:p>
    <w:p w14:paraId="35BBF9DD">
      <w:pPr>
        <w:keepNext w:val="0"/>
        <w:keepLines w:val="0"/>
        <w:pageBreakBefore w:val="0"/>
        <w:widowControl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b w:val="0"/>
          <w:bCs/>
          <w:color w:val="auto"/>
          <w:sz w:val="21"/>
          <w:szCs w:val="21"/>
          <w:highlight w:val="none"/>
          <w:lang w:eastAsia="zh-CN"/>
        </w:rPr>
        <w:t>只需按</w:t>
      </w:r>
      <w:r>
        <w:rPr>
          <w:rFonts w:hint="eastAsia" w:ascii="宋体" w:hAnsi="宋体" w:eastAsia="宋体" w:cs="宋体"/>
          <w:b w:val="0"/>
          <w:bCs/>
          <w:color w:val="auto"/>
          <w:sz w:val="21"/>
          <w:szCs w:val="21"/>
          <w:highlight w:val="none"/>
        </w:rPr>
        <w:t>项目技术要求中的服务部分标的及其所属行业逐一进行填报，“企业名称”应填报为提供该项服务的承建（承接）商。专门面向中小企业的项目投标人未按上述要求逐一进行填报的将被视为无效</w:t>
      </w:r>
      <w:r>
        <w:rPr>
          <w:rFonts w:hint="eastAsia" w:ascii="宋体" w:hAnsi="宋体" w:eastAsia="宋体" w:cs="宋体"/>
          <w:b w:val="0"/>
          <w:bCs/>
          <w:color w:val="auto"/>
          <w:sz w:val="21"/>
          <w:szCs w:val="21"/>
          <w:highlight w:val="none"/>
          <w:lang w:eastAsia="zh-CN"/>
        </w:rPr>
        <w:t>响应文件</w:t>
      </w:r>
      <w:r>
        <w:rPr>
          <w:rFonts w:hint="eastAsia" w:ascii="宋体" w:hAnsi="宋体" w:eastAsia="宋体" w:cs="宋体"/>
          <w:b w:val="0"/>
          <w:bCs/>
          <w:color w:val="auto"/>
          <w:sz w:val="21"/>
          <w:szCs w:val="21"/>
          <w:highlight w:val="none"/>
        </w:rPr>
        <w:t>；非专门面向中小企业的项目投标人未按上述要求逐一进行填报的将</w:t>
      </w:r>
      <w:r>
        <w:rPr>
          <w:rFonts w:hint="eastAsia" w:ascii="宋体" w:hAnsi="宋体" w:eastAsia="宋体" w:cs="宋体"/>
          <w:b w:val="0"/>
          <w:bCs/>
          <w:color w:val="auto"/>
          <w:sz w:val="21"/>
          <w:szCs w:val="21"/>
          <w:highlight w:val="none"/>
          <w:lang w:eastAsia="zh-CN"/>
        </w:rPr>
        <w:t>不</w:t>
      </w:r>
      <w:r>
        <w:rPr>
          <w:rFonts w:hint="eastAsia" w:ascii="宋体" w:hAnsi="宋体" w:eastAsia="宋体" w:cs="宋体"/>
          <w:b w:val="0"/>
          <w:bCs/>
          <w:color w:val="auto"/>
          <w:sz w:val="21"/>
          <w:szCs w:val="21"/>
          <w:highlight w:val="none"/>
        </w:rPr>
        <w:t>进行中、小、微型企业认定。</w:t>
      </w:r>
    </w:p>
    <w:p w14:paraId="59D28505">
      <w:pPr>
        <w:keepNext w:val="0"/>
        <w:keepLines w:val="0"/>
        <w:pageBreakBefore w:val="0"/>
        <w:widowControl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（2）从业人员、营业收入、资产总额填报上一年度数据，无上一年度数据的新成立企业可不填报。</w:t>
      </w:r>
    </w:p>
    <w:p w14:paraId="07122639">
      <w:pPr>
        <w:keepNext w:val="0"/>
        <w:keepLines w:val="0"/>
        <w:pageBreakBefore w:val="0"/>
        <w:widowControl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5DA96EA0">
      <w:pPr>
        <w:spacing w:line="360" w:lineRule="auto"/>
        <w:rPr>
          <w:rFonts w:ascii="宋体"/>
          <w:b/>
          <w:bCs/>
          <w:color w:val="auto"/>
          <w:sz w:val="24"/>
          <w:szCs w:val="24"/>
          <w:highlight w:val="none"/>
        </w:rPr>
      </w:pPr>
      <w:r>
        <w:rPr>
          <w:rFonts w:hint="eastAsia" w:ascii="宋体"/>
          <w:b/>
          <w:bCs/>
          <w:color w:val="auto"/>
          <w:sz w:val="24"/>
          <w:szCs w:val="24"/>
          <w:highlight w:val="none"/>
        </w:rPr>
        <w:br w:type="page" w:clear="all"/>
      </w:r>
      <w:r>
        <w:rPr>
          <w:rFonts w:hint="eastAsia" w:ascii="Times New Roman" w:hAnsi="Times New Roman" w:eastAsia="宋体" w:cs="Times New Roman"/>
          <w:b/>
          <w:color w:val="auto"/>
          <w:sz w:val="28"/>
          <w:szCs w:val="28"/>
          <w:highlight w:val="none"/>
          <w:lang w:val="en-US" w:eastAsia="zh-CN"/>
        </w:rPr>
        <w:t>七、残疾人福利性单位声明函（给定格式）</w:t>
      </w:r>
    </w:p>
    <w:p w14:paraId="07DCA012">
      <w:pPr>
        <w:pStyle w:val="254"/>
        <w:ind w:left="600" w:firstLine="422"/>
        <w:rPr>
          <w:rFonts w:hint="eastAsia"/>
          <w:color w:val="auto"/>
          <w:highlight w:val="none"/>
        </w:rPr>
      </w:pPr>
    </w:p>
    <w:p w14:paraId="6D59CD3C">
      <w:pPr>
        <w:keepNext w:val="0"/>
        <w:keepLines w:val="0"/>
        <w:pageBreakBefore w:val="0"/>
        <w:widowControl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残疾人福利性单位声明函（格式）</w:t>
      </w:r>
    </w:p>
    <w:p w14:paraId="689315C8">
      <w:pPr>
        <w:spacing w:line="480" w:lineRule="auto"/>
        <w:rPr>
          <w:rFonts w:hint="eastAsia" w:ascii="宋体" w:hAnsi="宋体" w:eastAsia="宋体" w:cs="宋体"/>
          <w:color w:val="auto"/>
          <w:highlight w:val="none"/>
        </w:rPr>
      </w:pPr>
    </w:p>
    <w:p w14:paraId="2621AB7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本公司郑重承诺，根据《财政部司法部中国残疾人联合会关于促进残疾人就业政府采购政策的通知》（财库</w:t>
      </w:r>
      <w:r>
        <w:rPr>
          <w:rFonts w:hint="eastAsia" w:ascii="宋体" w:hAnsi="宋体" w:eastAsia="宋体" w:cs="宋体"/>
          <w:bCs/>
          <w:color w:val="auto"/>
          <w:sz w:val="24"/>
          <w:highlight w:val="none"/>
          <w:lang w:eastAsia="zh-CN"/>
        </w:rPr>
        <w:t>〔2017〕141号</w:t>
      </w:r>
      <w:r>
        <w:rPr>
          <w:rFonts w:hint="eastAsia" w:ascii="宋体" w:hAnsi="宋体" w:eastAsia="宋体" w:cs="宋体"/>
          <w:bCs/>
          <w:color w:val="auto"/>
          <w:sz w:val="24"/>
          <w:highlight w:val="none"/>
        </w:rPr>
        <w:t>）的规定，本单位为符合条件的残疾人福利性单位，且本单位参加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4ACA383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本公司对上述声明的真实性负责。如有虚假，将依法承担相应责任。</w:t>
      </w:r>
    </w:p>
    <w:p w14:paraId="4459CC56">
      <w:pPr>
        <w:spacing w:line="480" w:lineRule="auto"/>
        <w:rPr>
          <w:rFonts w:hint="eastAsia" w:ascii="宋体" w:hAnsi="宋体" w:eastAsia="宋体" w:cs="宋体"/>
          <w:bCs/>
          <w:color w:val="auto"/>
          <w:sz w:val="24"/>
          <w:highlight w:val="none"/>
        </w:rPr>
      </w:pPr>
    </w:p>
    <w:p w14:paraId="7DB9B778">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b/>
      </w:r>
    </w:p>
    <w:p w14:paraId="0C267A72">
      <w:pPr>
        <w:spacing w:line="480" w:lineRule="auto"/>
        <w:rPr>
          <w:rFonts w:hint="eastAsia" w:ascii="宋体" w:hAnsi="宋体" w:eastAsia="宋体" w:cs="宋体"/>
          <w:bCs/>
          <w:color w:val="auto"/>
          <w:sz w:val="24"/>
          <w:highlight w:val="none"/>
        </w:rPr>
      </w:pPr>
    </w:p>
    <w:p w14:paraId="71996448">
      <w:pPr>
        <w:spacing w:line="48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r>
        <w:rPr>
          <w:rFonts w:hint="eastAsia" w:ascii="宋体" w:hAnsi="宋体" w:eastAsia="宋体" w:cs="宋体"/>
          <w:bCs/>
          <w:color w:val="auto"/>
          <w:sz w:val="24"/>
          <w:highlight w:val="none"/>
        </w:rPr>
        <w:tab/>
      </w:r>
    </w:p>
    <w:p w14:paraId="354D16A0">
      <w:pPr>
        <w:spacing w:line="480" w:lineRule="auto"/>
        <w:ind w:right="96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5FCD4C2B">
      <w:pPr>
        <w:rPr>
          <w:rFonts w:hint="eastAsia"/>
          <w:b/>
          <w:color w:val="auto"/>
          <w:sz w:val="28"/>
          <w:szCs w:val="28"/>
          <w:highlight w:val="none"/>
          <w:lang w:val="en-US" w:eastAsia="zh-CN"/>
        </w:rPr>
      </w:pPr>
      <w:r>
        <w:rPr>
          <w:rFonts w:hint="eastAsia"/>
          <w:b/>
          <w:color w:val="auto"/>
          <w:sz w:val="28"/>
          <w:szCs w:val="28"/>
          <w:highlight w:val="none"/>
          <w:lang w:val="en-US" w:eastAsia="zh-CN"/>
        </w:rPr>
        <w:br w:type="page" w:clear="all"/>
      </w:r>
    </w:p>
    <w:p w14:paraId="752B65E3">
      <w:pPr>
        <w:outlineLvl w:val="0"/>
        <w:rPr>
          <w:rFonts w:hint="eastAsia"/>
          <w:b/>
          <w:color w:val="auto"/>
          <w:sz w:val="28"/>
          <w:szCs w:val="28"/>
          <w:highlight w:val="none"/>
        </w:rPr>
      </w:pPr>
      <w:r>
        <w:rPr>
          <w:rFonts w:hint="eastAsia"/>
          <w:b/>
          <w:color w:val="auto"/>
          <w:sz w:val="28"/>
          <w:szCs w:val="28"/>
          <w:highlight w:val="none"/>
          <w:lang w:val="en-US" w:eastAsia="zh-CN"/>
        </w:rPr>
        <w:t>八</w:t>
      </w:r>
      <w:r>
        <w:rPr>
          <w:rFonts w:hint="eastAsia"/>
          <w:b/>
          <w:color w:val="auto"/>
          <w:sz w:val="28"/>
          <w:szCs w:val="28"/>
          <w:highlight w:val="none"/>
        </w:rPr>
        <w:t>、</w:t>
      </w:r>
      <w:r>
        <w:rPr>
          <w:b/>
          <w:color w:val="auto"/>
          <w:sz w:val="28"/>
          <w:szCs w:val="28"/>
          <w:highlight w:val="none"/>
        </w:rPr>
        <w:t>报价表</w:t>
      </w:r>
      <w:r>
        <w:rPr>
          <w:rFonts w:hint="eastAsia"/>
          <w:b/>
          <w:color w:val="auto"/>
          <w:sz w:val="28"/>
          <w:szCs w:val="28"/>
          <w:highlight w:val="none"/>
        </w:rPr>
        <w:t>（给定格式）：</w:t>
      </w:r>
    </w:p>
    <w:p w14:paraId="54E9F062">
      <w:pPr>
        <w:spacing w:line="360" w:lineRule="auto"/>
        <w:rPr>
          <w:rFonts w:hint="eastAsia"/>
          <w:b/>
          <w:color w:val="auto"/>
          <w:sz w:val="30"/>
          <w:szCs w:val="30"/>
          <w:highlight w:val="none"/>
        </w:rPr>
      </w:pPr>
    </w:p>
    <w:p w14:paraId="7D056930">
      <w:pPr>
        <w:spacing w:line="400" w:lineRule="exact"/>
        <w:jc w:val="center"/>
        <w:outlineLvl w:val="0"/>
        <w:rPr>
          <w:rFonts w:ascii="黑体" w:eastAsia="黑体"/>
          <w:bCs/>
          <w:color w:val="auto"/>
          <w:sz w:val="28"/>
          <w:szCs w:val="28"/>
          <w:highlight w:val="none"/>
        </w:rPr>
      </w:pPr>
      <w:r>
        <w:rPr>
          <w:rFonts w:hint="eastAsia" w:ascii="宋体" w:hAnsi="宋体" w:cs="宋体"/>
          <w:b/>
          <w:color w:val="auto"/>
          <w:sz w:val="32"/>
          <w:szCs w:val="32"/>
          <w:highlight w:val="none"/>
          <w:lang w:val="en-US" w:eastAsia="zh-CN"/>
        </w:rPr>
        <w:t>（一）</w:t>
      </w:r>
      <w:r>
        <w:rPr>
          <w:rFonts w:hint="eastAsia" w:ascii="宋体" w:hAnsi="宋体" w:eastAsia="宋体" w:cs="宋体"/>
          <w:b/>
          <w:color w:val="auto"/>
          <w:sz w:val="32"/>
          <w:szCs w:val="32"/>
          <w:highlight w:val="none"/>
          <w:lang w:val="en-US" w:eastAsia="zh-CN"/>
        </w:rPr>
        <w:t>单一来源</w:t>
      </w:r>
      <w:r>
        <w:rPr>
          <w:rFonts w:hint="eastAsia" w:ascii="宋体" w:hAnsi="宋体" w:eastAsia="宋体" w:cs="宋体"/>
          <w:b/>
          <w:color w:val="auto"/>
          <w:sz w:val="32"/>
          <w:szCs w:val="32"/>
          <w:highlight w:val="none"/>
        </w:rPr>
        <w:t>报价表</w:t>
      </w:r>
    </w:p>
    <w:p w14:paraId="52FF5BA0">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p>
    <w:p w14:paraId="49F7AE5E">
      <w:pPr>
        <w:spacing w:line="400" w:lineRule="exact"/>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货币单位：人民币元</w:t>
      </w:r>
    </w:p>
    <w:p w14:paraId="1F31CB45">
      <w:pPr>
        <w:pStyle w:val="39"/>
        <w:rPr>
          <w:rFonts w:hint="eastAsia"/>
          <w:color w:val="auto"/>
          <w:highlight w:val="none"/>
          <w:lang w:eastAsia="zh-CN"/>
        </w:rPr>
      </w:pPr>
    </w:p>
    <w:tbl>
      <w:tblPr>
        <w:tblStyle w:val="32"/>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5"/>
        <w:gridCol w:w="3188"/>
        <w:gridCol w:w="2303"/>
      </w:tblGrid>
      <w:tr w14:paraId="60E50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365" w:type="dxa"/>
            <w:noWrap w:val="0"/>
            <w:vAlign w:val="center"/>
          </w:tcPr>
          <w:p w14:paraId="6C1BA23C">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1E93979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投标总报价（小写）</w:t>
            </w:r>
          </w:p>
        </w:tc>
        <w:tc>
          <w:tcPr>
            <w:tcW w:w="2303" w:type="dxa"/>
            <w:noWrap w:val="0"/>
            <w:vAlign w:val="center"/>
          </w:tcPr>
          <w:p w14:paraId="1F1F3412">
            <w:pPr>
              <w:spacing w:line="360" w:lineRule="auto"/>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备注</w:t>
            </w:r>
          </w:p>
        </w:tc>
      </w:tr>
      <w:tr w14:paraId="11A7A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4365" w:type="dxa"/>
            <w:noWrap w:val="0"/>
            <w:vAlign w:val="center"/>
          </w:tcPr>
          <w:p w14:paraId="3864E537">
            <w:pPr>
              <w:pStyle w:val="301"/>
              <w:spacing w:line="360" w:lineRule="auto"/>
              <w:jc w:val="center"/>
              <w:rPr>
                <w:rFonts w:hAnsi="宋体"/>
                <w:bCs/>
                <w:color w:val="auto"/>
                <w:szCs w:val="24"/>
                <w:highlight w:val="none"/>
              </w:rPr>
            </w:pPr>
          </w:p>
        </w:tc>
        <w:tc>
          <w:tcPr>
            <w:tcW w:w="3188" w:type="dxa"/>
            <w:noWrap w:val="0"/>
            <w:vAlign w:val="center"/>
          </w:tcPr>
          <w:p w14:paraId="06EC5E48">
            <w:pPr>
              <w:pStyle w:val="301"/>
              <w:spacing w:line="360" w:lineRule="auto"/>
              <w:rPr>
                <w:rFonts w:hAnsi="宋体"/>
                <w:b/>
                <w:color w:val="auto"/>
                <w:szCs w:val="24"/>
                <w:highlight w:val="none"/>
              </w:rPr>
            </w:pPr>
          </w:p>
        </w:tc>
        <w:tc>
          <w:tcPr>
            <w:tcW w:w="2303" w:type="dxa"/>
            <w:noWrap w:val="0"/>
            <w:vAlign w:val="center"/>
          </w:tcPr>
          <w:p w14:paraId="587B4206">
            <w:pPr>
              <w:pStyle w:val="301"/>
              <w:spacing w:line="360" w:lineRule="auto"/>
              <w:rPr>
                <w:rFonts w:hAnsi="宋体"/>
                <w:b/>
                <w:color w:val="auto"/>
                <w:szCs w:val="24"/>
                <w:highlight w:val="none"/>
              </w:rPr>
            </w:pPr>
          </w:p>
        </w:tc>
      </w:tr>
      <w:tr w14:paraId="492BF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7553" w:type="dxa"/>
            <w:gridSpan w:val="2"/>
            <w:noWrap w:val="0"/>
            <w:vAlign w:val="center"/>
          </w:tcPr>
          <w:p w14:paraId="0A369527">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c>
          <w:tcPr>
            <w:tcW w:w="2303" w:type="dxa"/>
            <w:noWrap w:val="0"/>
            <w:vAlign w:val="center"/>
          </w:tcPr>
          <w:p w14:paraId="658BF9BC">
            <w:pPr>
              <w:spacing w:line="360" w:lineRule="auto"/>
              <w:rPr>
                <w:rFonts w:hint="eastAsia" w:ascii="黑体" w:eastAsia="黑体"/>
                <w:color w:val="auto"/>
                <w:sz w:val="24"/>
                <w:highlight w:val="none"/>
              </w:rPr>
            </w:pPr>
          </w:p>
        </w:tc>
      </w:tr>
    </w:tbl>
    <w:p w14:paraId="44AD98EF">
      <w:pPr>
        <w:spacing w:before="5" w:line="560" w:lineRule="atLeast"/>
        <w:rPr>
          <w:rFonts w:hint="eastAsia"/>
          <w:b/>
          <w:bCs/>
          <w:color w:val="auto"/>
          <w:sz w:val="24"/>
          <w:szCs w:val="24"/>
          <w:highlight w:val="none"/>
        </w:rPr>
      </w:pPr>
      <w:r>
        <w:rPr>
          <w:rFonts w:ascii="宋体" w:hAnsi="宋体" w:eastAsia="宋体" w:cs="宋体"/>
          <w:color w:val="auto"/>
          <w:sz w:val="24"/>
          <w:szCs w:val="24"/>
          <w:highlight w:val="none"/>
        </w:rPr>
        <w:t>本次报价为总价，大小写不一致以大写为准。</w:t>
      </w:r>
    </w:p>
    <w:p w14:paraId="3EEC8291">
      <w:pPr>
        <w:spacing w:before="5" w:line="560" w:lineRule="atLeast"/>
        <w:rPr>
          <w:b/>
          <w:bCs/>
          <w:color w:val="auto"/>
          <w:sz w:val="24"/>
          <w:szCs w:val="24"/>
          <w:highlight w:val="none"/>
        </w:rPr>
      </w:pPr>
      <w:r>
        <w:rPr>
          <w:rFonts w:hint="eastAsia"/>
          <w:b/>
          <w:bCs/>
          <w:color w:val="auto"/>
          <w:sz w:val="24"/>
          <w:szCs w:val="24"/>
          <w:highlight w:val="none"/>
        </w:rPr>
        <w:t>供应商名称（盖章）：</w:t>
      </w:r>
    </w:p>
    <w:p w14:paraId="2AA4084D">
      <w:pPr>
        <w:spacing w:line="400" w:lineRule="exact"/>
        <w:outlineLvl w:val="0"/>
        <w:rPr>
          <w:rFonts w:hint="eastAsia" w:ascii="宋体" w:hAnsi="宋体"/>
          <w:b/>
          <w:color w:val="auto"/>
          <w:highlight w:val="none"/>
        </w:rPr>
      </w:pPr>
    </w:p>
    <w:p w14:paraId="219DA4DC">
      <w:pPr>
        <w:spacing w:line="400" w:lineRule="exact"/>
        <w:ind w:firstLine="316"/>
        <w:outlineLvl w:val="0"/>
        <w:rPr>
          <w:rFonts w:hint="eastAsia" w:ascii="宋体" w:hAnsi="宋体" w:cs="宋体"/>
          <w:b/>
          <w:color w:val="auto"/>
          <w:sz w:val="24"/>
          <w:szCs w:val="24"/>
          <w:highlight w:val="none"/>
        </w:rPr>
      </w:pPr>
      <w:r>
        <w:rPr>
          <w:rFonts w:hint="eastAsia" w:ascii="宋体" w:hAnsi="宋体"/>
          <w:b/>
          <w:color w:val="auto"/>
          <w:highlight w:val="none"/>
        </w:rPr>
        <w:t>注：</w:t>
      </w:r>
      <w:r>
        <w:rPr>
          <w:rFonts w:hint="eastAsia" w:ascii="宋体" w:hAnsi="宋体" w:cs="宋体"/>
          <w:b/>
          <w:color w:val="auto"/>
          <w:sz w:val="24"/>
          <w:szCs w:val="24"/>
          <w:highlight w:val="none"/>
        </w:rPr>
        <w:t>上述报价包含本项目所需的所有费用。</w:t>
      </w:r>
      <w:bookmarkEnd w:id="177"/>
      <w:bookmarkEnd w:id="178"/>
      <w:bookmarkEnd w:id="202"/>
      <w:bookmarkEnd w:id="203"/>
      <w:bookmarkEnd w:id="204"/>
      <w:bookmarkStart w:id="208" w:name="_Hlt26609389"/>
      <w:bookmarkEnd w:id="208"/>
      <w:bookmarkStart w:id="209" w:name="_Hlt26671374"/>
      <w:bookmarkEnd w:id="209"/>
      <w:bookmarkStart w:id="210" w:name="_Hlt26955066"/>
      <w:bookmarkEnd w:id="210"/>
      <w:bookmarkStart w:id="211" w:name="_格式2__法定代表人授权书"/>
      <w:bookmarkEnd w:id="211"/>
    </w:p>
    <w:p w14:paraId="32D9AED1">
      <w:pPr>
        <w:spacing w:line="360" w:lineRule="auto"/>
        <w:rPr>
          <w:rFonts w:hint="eastAsia" w:ascii="宋体" w:hAnsi="宋体" w:cs="宋体"/>
          <w:b/>
          <w:color w:val="auto"/>
          <w:sz w:val="24"/>
          <w:szCs w:val="24"/>
          <w:highlight w:val="none"/>
        </w:rPr>
      </w:pPr>
    </w:p>
    <w:p w14:paraId="3A8FDC4A">
      <w:pPr>
        <w:spacing w:line="360" w:lineRule="auto"/>
        <w:rPr>
          <w:rFonts w:hint="eastAsia" w:ascii="宋体" w:hAnsi="宋体" w:cs="宋体"/>
          <w:b/>
          <w:color w:val="auto"/>
          <w:sz w:val="24"/>
          <w:szCs w:val="24"/>
          <w:highlight w:val="none"/>
        </w:rPr>
      </w:pPr>
    </w:p>
    <w:p w14:paraId="44FEE229">
      <w:pPr>
        <w:spacing w:line="360" w:lineRule="auto"/>
        <w:rPr>
          <w:rFonts w:hint="eastAsia" w:ascii="宋体" w:hAnsi="宋体" w:cs="宋体"/>
          <w:b/>
          <w:color w:val="auto"/>
          <w:sz w:val="24"/>
          <w:szCs w:val="24"/>
          <w:highlight w:val="none"/>
        </w:rPr>
      </w:pPr>
    </w:p>
    <w:p w14:paraId="658D87A5">
      <w:pPr>
        <w:spacing w:line="360" w:lineRule="auto"/>
        <w:rPr>
          <w:rFonts w:hint="eastAsia" w:ascii="宋体" w:hAnsi="宋体" w:cs="宋体"/>
          <w:b/>
          <w:color w:val="auto"/>
          <w:sz w:val="24"/>
          <w:szCs w:val="24"/>
          <w:highlight w:val="none"/>
        </w:rPr>
      </w:pPr>
    </w:p>
    <w:p w14:paraId="7C01A72D">
      <w:pPr>
        <w:spacing w:line="360" w:lineRule="auto"/>
        <w:rPr>
          <w:rFonts w:hint="eastAsia" w:ascii="宋体" w:hAnsi="宋体" w:cs="宋体"/>
          <w:b/>
          <w:color w:val="auto"/>
          <w:sz w:val="24"/>
          <w:szCs w:val="24"/>
          <w:highlight w:val="none"/>
        </w:rPr>
      </w:pPr>
    </w:p>
    <w:p w14:paraId="05B42BFD">
      <w:pPr>
        <w:spacing w:line="360" w:lineRule="auto"/>
        <w:rPr>
          <w:rFonts w:hint="eastAsia" w:ascii="宋体" w:hAnsi="宋体" w:cs="宋体"/>
          <w:b/>
          <w:color w:val="auto"/>
          <w:sz w:val="24"/>
          <w:szCs w:val="24"/>
          <w:highlight w:val="none"/>
        </w:rPr>
      </w:pPr>
    </w:p>
    <w:p w14:paraId="6B29B111">
      <w:pPr>
        <w:spacing w:line="360" w:lineRule="auto"/>
        <w:rPr>
          <w:rFonts w:hint="eastAsia" w:ascii="宋体" w:hAnsi="宋体" w:cs="宋体"/>
          <w:b/>
          <w:color w:val="auto"/>
          <w:sz w:val="24"/>
          <w:szCs w:val="24"/>
          <w:highlight w:val="none"/>
        </w:rPr>
      </w:pPr>
    </w:p>
    <w:p w14:paraId="79553C6F">
      <w:pPr>
        <w:spacing w:line="360" w:lineRule="auto"/>
        <w:rPr>
          <w:rFonts w:hint="eastAsia" w:ascii="宋体" w:hAnsi="宋体" w:cs="宋体"/>
          <w:b/>
          <w:color w:val="auto"/>
          <w:sz w:val="24"/>
          <w:szCs w:val="24"/>
          <w:highlight w:val="none"/>
        </w:rPr>
      </w:pPr>
    </w:p>
    <w:p w14:paraId="3EC4C5B1">
      <w:pPr>
        <w:spacing w:line="360" w:lineRule="auto"/>
        <w:rPr>
          <w:rFonts w:hint="eastAsia" w:ascii="宋体" w:hAnsi="宋体" w:cs="宋体"/>
          <w:b/>
          <w:color w:val="auto"/>
          <w:sz w:val="24"/>
          <w:szCs w:val="24"/>
          <w:highlight w:val="none"/>
        </w:rPr>
      </w:pPr>
    </w:p>
    <w:p w14:paraId="339BB358">
      <w:pPr>
        <w:spacing w:line="360" w:lineRule="auto"/>
        <w:rPr>
          <w:rFonts w:hint="eastAsia" w:ascii="宋体" w:hAnsi="宋体" w:cs="宋体"/>
          <w:b/>
          <w:color w:val="auto"/>
          <w:sz w:val="24"/>
          <w:szCs w:val="24"/>
          <w:highlight w:val="none"/>
        </w:rPr>
      </w:pPr>
    </w:p>
    <w:p w14:paraId="36985029">
      <w:pPr>
        <w:spacing w:line="360" w:lineRule="auto"/>
        <w:rPr>
          <w:rFonts w:hint="eastAsia" w:ascii="宋体" w:hAnsi="宋体" w:cs="宋体"/>
          <w:b/>
          <w:color w:val="auto"/>
          <w:sz w:val="24"/>
          <w:szCs w:val="24"/>
          <w:highlight w:val="none"/>
        </w:rPr>
      </w:pPr>
    </w:p>
    <w:p w14:paraId="617C0E83">
      <w:pPr>
        <w:spacing w:line="360" w:lineRule="auto"/>
        <w:rPr>
          <w:rFonts w:hint="eastAsia" w:ascii="宋体" w:hAnsi="宋体" w:cs="宋体"/>
          <w:b/>
          <w:color w:val="auto"/>
          <w:sz w:val="24"/>
          <w:szCs w:val="24"/>
          <w:highlight w:val="none"/>
        </w:rPr>
      </w:pPr>
    </w:p>
    <w:p w14:paraId="10DD7208">
      <w:pPr>
        <w:spacing w:line="360" w:lineRule="auto"/>
        <w:rPr>
          <w:rFonts w:hint="eastAsia" w:ascii="宋体" w:hAnsi="宋体" w:cs="宋体"/>
          <w:b/>
          <w:color w:val="auto"/>
          <w:sz w:val="24"/>
          <w:szCs w:val="24"/>
          <w:highlight w:val="none"/>
        </w:rPr>
      </w:pPr>
    </w:p>
    <w:p w14:paraId="76CDD0F0">
      <w:pPr>
        <w:spacing w:line="360" w:lineRule="auto"/>
        <w:rPr>
          <w:rFonts w:hint="eastAsia" w:ascii="宋体" w:hAnsi="宋体" w:cs="宋体"/>
          <w:b/>
          <w:color w:val="auto"/>
          <w:sz w:val="24"/>
          <w:szCs w:val="24"/>
          <w:highlight w:val="none"/>
        </w:rPr>
      </w:pPr>
    </w:p>
    <w:p w14:paraId="659DD0D8">
      <w:pPr>
        <w:spacing w:line="400" w:lineRule="exact"/>
        <w:jc w:val="center"/>
        <w:outlineLvl w:val="0"/>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（二）单一来源报价一览表</w:t>
      </w:r>
    </w:p>
    <w:p w14:paraId="09841789">
      <w:pPr>
        <w:spacing w:line="360" w:lineRule="auto"/>
        <w:rPr>
          <w:rFonts w:hint="eastAsia" w:ascii="宋体" w:hAnsi="宋体" w:cs="宋体"/>
          <w:b/>
          <w:color w:val="auto"/>
          <w:sz w:val="24"/>
          <w:szCs w:val="24"/>
          <w:highlight w:val="none"/>
        </w:rPr>
      </w:pPr>
    </w:p>
    <w:p w14:paraId="3CB64294">
      <w:pPr>
        <w:rPr>
          <w:rFonts w:hint="eastAsia" w:ascii="宋体" w:hAnsi="宋体" w:cs="宋体"/>
          <w:b/>
          <w:color w:val="auto"/>
          <w:sz w:val="24"/>
          <w:szCs w:val="24"/>
          <w:highlight w:val="none"/>
        </w:rPr>
      </w:pPr>
    </w:p>
    <w:tbl>
      <w:tblPr>
        <w:tblStyle w:val="32"/>
        <w:tblW w:w="91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008"/>
      </w:tblGrid>
      <w:tr w14:paraId="0CAC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127" w:type="dxa"/>
            <w:tcBorders>
              <w:top w:val="single" w:color="auto" w:sz="4" w:space="0"/>
              <w:left w:val="single" w:color="auto" w:sz="4" w:space="0"/>
              <w:right w:val="single" w:color="auto" w:sz="4" w:space="0"/>
            </w:tcBorders>
            <w:vAlign w:val="center"/>
          </w:tcPr>
          <w:p w14:paraId="40694F0E">
            <w:pPr>
              <w:pStyle w:val="14"/>
              <w:spacing w:line="300" w:lineRule="auto"/>
              <w:ind w:left="240" w:leftChars="57" w:hanging="120" w:hangingChars="50"/>
              <w:jc w:val="center"/>
              <w:rPr>
                <w:rFonts w:ascii="宋体" w:hAnsi="宋体" w:cs="宋体"/>
                <w:color w:val="auto"/>
                <w:kern w:val="2"/>
                <w:sz w:val="24"/>
                <w:highlight w:val="none"/>
              </w:rPr>
            </w:pPr>
            <w:r>
              <w:rPr>
                <w:rFonts w:hint="eastAsia" w:ascii="宋体" w:hAnsi="宋体" w:cs="宋体"/>
                <w:color w:val="auto"/>
                <w:kern w:val="2"/>
                <w:sz w:val="24"/>
                <w:highlight w:val="none"/>
              </w:rPr>
              <w:t>项目总报价（第一年）</w:t>
            </w:r>
          </w:p>
        </w:tc>
        <w:tc>
          <w:tcPr>
            <w:tcW w:w="7008" w:type="dxa"/>
            <w:tcBorders>
              <w:top w:val="single" w:color="auto" w:sz="4" w:space="0"/>
              <w:left w:val="single" w:color="auto" w:sz="4" w:space="0"/>
              <w:bottom w:val="single" w:color="auto" w:sz="4" w:space="0"/>
              <w:right w:val="single" w:color="auto" w:sz="4" w:space="0"/>
            </w:tcBorders>
            <w:vAlign w:val="center"/>
          </w:tcPr>
          <w:p w14:paraId="17AD95A3">
            <w:pPr>
              <w:pStyle w:val="14"/>
              <w:spacing w:line="300" w:lineRule="auto"/>
              <w:rPr>
                <w:rFonts w:ascii="宋体" w:hAnsi="宋体" w:cs="宋体"/>
                <w:color w:val="auto"/>
                <w:kern w:val="2"/>
                <w:sz w:val="24"/>
                <w:highlight w:val="none"/>
              </w:rPr>
            </w:pPr>
            <w:r>
              <w:rPr>
                <w:rFonts w:hint="eastAsia" w:ascii="宋体" w:hAnsi="宋体" w:cs="宋体"/>
                <w:color w:val="auto"/>
                <w:kern w:val="2"/>
                <w:sz w:val="24"/>
                <w:highlight w:val="none"/>
              </w:rPr>
              <w:t>大写：</w:t>
            </w:r>
          </w:p>
          <w:p w14:paraId="50E99E0B">
            <w:pPr>
              <w:pStyle w:val="14"/>
              <w:spacing w:line="300" w:lineRule="auto"/>
              <w:rPr>
                <w:rFonts w:ascii="宋体" w:hAnsi="宋体" w:cs="宋体"/>
                <w:color w:val="auto"/>
                <w:kern w:val="2"/>
                <w:sz w:val="24"/>
                <w:highlight w:val="none"/>
              </w:rPr>
            </w:pPr>
            <w:r>
              <w:rPr>
                <w:rFonts w:hint="eastAsia" w:ascii="宋体" w:hAnsi="宋体" w:cs="宋体"/>
                <w:color w:val="auto"/>
                <w:kern w:val="2"/>
                <w:sz w:val="24"/>
                <w:highlight w:val="none"/>
              </w:rPr>
              <w:t>小写：</w:t>
            </w:r>
          </w:p>
        </w:tc>
      </w:tr>
      <w:tr w14:paraId="4134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127" w:type="dxa"/>
            <w:tcBorders>
              <w:top w:val="single" w:color="auto" w:sz="4" w:space="0"/>
              <w:left w:val="single" w:color="auto" w:sz="4" w:space="0"/>
              <w:right w:val="single" w:color="auto" w:sz="4" w:space="0"/>
            </w:tcBorders>
            <w:vAlign w:val="center"/>
          </w:tcPr>
          <w:p w14:paraId="7BB6BB09">
            <w:pPr>
              <w:pStyle w:val="14"/>
              <w:spacing w:line="300" w:lineRule="auto"/>
              <w:ind w:left="240" w:leftChars="57" w:hanging="120" w:hangingChars="50"/>
              <w:jc w:val="center"/>
              <w:rPr>
                <w:rFonts w:ascii="宋体" w:hAnsi="宋体" w:cs="宋体"/>
                <w:color w:val="auto"/>
                <w:kern w:val="2"/>
                <w:sz w:val="24"/>
                <w:highlight w:val="none"/>
              </w:rPr>
            </w:pPr>
            <w:r>
              <w:rPr>
                <w:rFonts w:hint="eastAsia" w:ascii="宋体" w:hAnsi="宋体" w:cs="宋体"/>
                <w:color w:val="auto"/>
                <w:kern w:val="2"/>
                <w:sz w:val="24"/>
                <w:highlight w:val="none"/>
              </w:rPr>
              <w:t>项目总报价（第二年）</w:t>
            </w:r>
          </w:p>
        </w:tc>
        <w:tc>
          <w:tcPr>
            <w:tcW w:w="7008" w:type="dxa"/>
            <w:tcBorders>
              <w:top w:val="single" w:color="auto" w:sz="4" w:space="0"/>
              <w:left w:val="single" w:color="auto" w:sz="4" w:space="0"/>
              <w:bottom w:val="single" w:color="auto" w:sz="4" w:space="0"/>
              <w:right w:val="single" w:color="auto" w:sz="4" w:space="0"/>
            </w:tcBorders>
            <w:vAlign w:val="center"/>
          </w:tcPr>
          <w:p w14:paraId="5810AC42">
            <w:pPr>
              <w:pStyle w:val="14"/>
              <w:spacing w:line="300" w:lineRule="auto"/>
              <w:rPr>
                <w:rFonts w:ascii="宋体" w:hAnsi="宋体" w:cs="宋体"/>
                <w:color w:val="auto"/>
                <w:kern w:val="2"/>
                <w:sz w:val="24"/>
                <w:highlight w:val="none"/>
              </w:rPr>
            </w:pPr>
            <w:r>
              <w:rPr>
                <w:rFonts w:hint="eastAsia" w:ascii="宋体" w:hAnsi="宋体" w:cs="宋体"/>
                <w:color w:val="auto"/>
                <w:kern w:val="2"/>
                <w:sz w:val="24"/>
                <w:highlight w:val="none"/>
              </w:rPr>
              <w:t>大写：</w:t>
            </w:r>
          </w:p>
          <w:p w14:paraId="7701635A">
            <w:pPr>
              <w:pStyle w:val="14"/>
              <w:spacing w:line="300" w:lineRule="auto"/>
              <w:rPr>
                <w:rFonts w:ascii="宋体" w:hAnsi="宋体" w:cs="宋体"/>
                <w:color w:val="auto"/>
                <w:kern w:val="2"/>
                <w:sz w:val="24"/>
                <w:highlight w:val="none"/>
              </w:rPr>
            </w:pPr>
            <w:r>
              <w:rPr>
                <w:rFonts w:hint="eastAsia" w:ascii="宋体" w:hAnsi="宋体" w:cs="宋体"/>
                <w:color w:val="auto"/>
                <w:kern w:val="2"/>
                <w:sz w:val="24"/>
                <w:highlight w:val="none"/>
              </w:rPr>
              <w:t>小写：</w:t>
            </w:r>
          </w:p>
        </w:tc>
      </w:tr>
      <w:tr w14:paraId="7B38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127" w:type="dxa"/>
            <w:tcBorders>
              <w:top w:val="single" w:color="auto" w:sz="4" w:space="0"/>
              <w:left w:val="single" w:color="auto" w:sz="4" w:space="0"/>
              <w:right w:val="single" w:color="auto" w:sz="4" w:space="0"/>
            </w:tcBorders>
            <w:vAlign w:val="center"/>
          </w:tcPr>
          <w:p w14:paraId="46144803">
            <w:pPr>
              <w:pStyle w:val="14"/>
              <w:spacing w:line="300" w:lineRule="auto"/>
              <w:ind w:left="240" w:leftChars="57" w:hanging="120" w:hangingChars="50"/>
              <w:jc w:val="center"/>
              <w:rPr>
                <w:rFonts w:ascii="宋体" w:hAnsi="宋体" w:cs="宋体"/>
                <w:color w:val="auto"/>
                <w:kern w:val="2"/>
                <w:sz w:val="24"/>
                <w:highlight w:val="none"/>
              </w:rPr>
            </w:pPr>
            <w:r>
              <w:rPr>
                <w:rFonts w:hint="eastAsia" w:ascii="宋体" w:hAnsi="宋体" w:cs="宋体"/>
                <w:color w:val="auto"/>
                <w:kern w:val="2"/>
                <w:sz w:val="24"/>
                <w:highlight w:val="none"/>
              </w:rPr>
              <w:t>现场管理人员</w:t>
            </w:r>
          </w:p>
        </w:tc>
        <w:tc>
          <w:tcPr>
            <w:tcW w:w="7008" w:type="dxa"/>
            <w:tcBorders>
              <w:top w:val="single" w:color="auto" w:sz="4" w:space="0"/>
              <w:left w:val="single" w:color="auto" w:sz="4" w:space="0"/>
              <w:bottom w:val="single" w:color="auto" w:sz="4" w:space="0"/>
              <w:right w:val="single" w:color="auto" w:sz="4" w:space="0"/>
            </w:tcBorders>
            <w:vAlign w:val="center"/>
          </w:tcPr>
          <w:p w14:paraId="5940BA35">
            <w:pPr>
              <w:pStyle w:val="14"/>
              <w:spacing w:line="300" w:lineRule="auto"/>
              <w:rPr>
                <w:rFonts w:ascii="宋体" w:hAnsi="宋体" w:cs="宋体"/>
                <w:color w:val="auto"/>
                <w:kern w:val="2"/>
                <w:sz w:val="24"/>
                <w:highlight w:val="none"/>
              </w:rPr>
            </w:pPr>
          </w:p>
        </w:tc>
      </w:tr>
      <w:tr w14:paraId="1BC7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127" w:type="dxa"/>
            <w:tcBorders>
              <w:top w:val="single" w:color="auto" w:sz="4" w:space="0"/>
              <w:left w:val="single" w:color="auto" w:sz="4" w:space="0"/>
              <w:right w:val="single" w:color="auto" w:sz="4" w:space="0"/>
            </w:tcBorders>
            <w:vAlign w:val="center"/>
          </w:tcPr>
          <w:p w14:paraId="0A7D37A3">
            <w:pPr>
              <w:adjustRightInd w:val="0"/>
              <w:snapToGrid w:val="0"/>
              <w:spacing w:line="300" w:lineRule="auto"/>
              <w:jc w:val="center"/>
              <w:rPr>
                <w:rFonts w:ascii="宋体" w:hAnsi="宋体" w:cs="宋体"/>
                <w:color w:val="auto"/>
                <w:sz w:val="24"/>
                <w:szCs w:val="28"/>
                <w:highlight w:val="none"/>
              </w:rPr>
            </w:pPr>
            <w:r>
              <w:rPr>
                <w:rFonts w:hint="eastAsia" w:ascii="宋体" w:hAnsi="宋体" w:cs="宋体"/>
                <w:color w:val="auto"/>
                <w:sz w:val="24"/>
                <w:szCs w:val="28"/>
                <w:highlight w:val="none"/>
              </w:rPr>
              <w:t>服务期</w:t>
            </w:r>
          </w:p>
        </w:tc>
        <w:tc>
          <w:tcPr>
            <w:tcW w:w="7008" w:type="dxa"/>
            <w:tcBorders>
              <w:top w:val="single" w:color="auto" w:sz="4" w:space="0"/>
              <w:left w:val="single" w:color="auto" w:sz="4" w:space="0"/>
              <w:bottom w:val="single" w:color="auto" w:sz="4" w:space="0"/>
              <w:right w:val="single" w:color="auto" w:sz="4" w:space="0"/>
            </w:tcBorders>
          </w:tcPr>
          <w:p w14:paraId="0A777A0B">
            <w:pPr>
              <w:adjustRightInd w:val="0"/>
              <w:snapToGrid w:val="0"/>
              <w:spacing w:line="300" w:lineRule="auto"/>
              <w:rPr>
                <w:rFonts w:ascii="宋体" w:hAnsi="宋体" w:cs="宋体"/>
                <w:color w:val="auto"/>
                <w:sz w:val="24"/>
                <w:szCs w:val="28"/>
                <w:highlight w:val="none"/>
              </w:rPr>
            </w:pPr>
            <w:r>
              <w:rPr>
                <w:rFonts w:ascii="宋体" w:hAnsi="宋体" w:cs="宋体"/>
                <w:color w:val="auto"/>
                <w:sz w:val="24"/>
                <w:szCs w:val="28"/>
                <w:highlight w:val="none"/>
              </w:rPr>
              <w:t>二年</w:t>
            </w:r>
          </w:p>
        </w:tc>
      </w:tr>
    </w:tbl>
    <w:p w14:paraId="64A998C2">
      <w:pPr>
        <w:spacing w:before="5" w:line="560" w:lineRule="atLeast"/>
        <w:rPr>
          <w:b/>
          <w:bCs/>
          <w:color w:val="auto"/>
          <w:sz w:val="24"/>
          <w:szCs w:val="24"/>
          <w:highlight w:val="none"/>
        </w:rPr>
      </w:pPr>
      <w:r>
        <w:rPr>
          <w:rFonts w:hint="eastAsia"/>
          <w:b/>
          <w:bCs/>
          <w:color w:val="auto"/>
          <w:sz w:val="24"/>
          <w:szCs w:val="24"/>
          <w:highlight w:val="none"/>
        </w:rPr>
        <w:t>供应商名称（盖章）：</w:t>
      </w:r>
    </w:p>
    <w:p w14:paraId="61BE828B">
      <w:pPr>
        <w:rPr>
          <w:color w:val="auto"/>
          <w:highlight w:val="none"/>
        </w:rPr>
      </w:pPr>
    </w:p>
    <w:p w14:paraId="05A43159">
      <w:pPr>
        <w:rPr>
          <w:color w:val="auto"/>
          <w:highlight w:val="none"/>
        </w:rPr>
      </w:pPr>
    </w:p>
    <w:p w14:paraId="46F0EA0C">
      <w:pPr>
        <w:rPr>
          <w:color w:val="auto"/>
          <w:highlight w:val="none"/>
        </w:rPr>
      </w:pPr>
    </w:p>
    <w:p w14:paraId="7D6064F4">
      <w:pPr>
        <w:rPr>
          <w:color w:val="auto"/>
          <w:highlight w:val="none"/>
        </w:rPr>
      </w:pPr>
    </w:p>
    <w:p w14:paraId="5E081BA1">
      <w:pPr>
        <w:rPr>
          <w:color w:val="auto"/>
          <w:highlight w:val="none"/>
        </w:rPr>
      </w:pPr>
    </w:p>
    <w:p w14:paraId="5644E883">
      <w:pPr>
        <w:rPr>
          <w:color w:val="auto"/>
          <w:highlight w:val="none"/>
        </w:rPr>
      </w:pPr>
    </w:p>
    <w:p w14:paraId="7AD59317">
      <w:pPr>
        <w:rPr>
          <w:color w:val="auto"/>
          <w:highlight w:val="none"/>
        </w:rPr>
      </w:pPr>
    </w:p>
    <w:p w14:paraId="3FF50C66">
      <w:pPr>
        <w:rPr>
          <w:color w:val="auto"/>
          <w:highlight w:val="none"/>
        </w:rPr>
      </w:pPr>
    </w:p>
    <w:p w14:paraId="3107D997">
      <w:pPr>
        <w:rPr>
          <w:color w:val="auto"/>
          <w:highlight w:val="none"/>
        </w:rPr>
      </w:pPr>
    </w:p>
    <w:p w14:paraId="094564B4">
      <w:pPr>
        <w:rPr>
          <w:color w:val="auto"/>
          <w:highlight w:val="none"/>
        </w:rPr>
      </w:pPr>
    </w:p>
    <w:p w14:paraId="294B8BC7">
      <w:pPr>
        <w:rPr>
          <w:color w:val="auto"/>
          <w:highlight w:val="none"/>
        </w:rPr>
      </w:pPr>
    </w:p>
    <w:p w14:paraId="51F98B75">
      <w:pPr>
        <w:rPr>
          <w:color w:val="auto"/>
          <w:highlight w:val="none"/>
        </w:rPr>
      </w:pPr>
    </w:p>
    <w:p w14:paraId="3314B890">
      <w:pPr>
        <w:rPr>
          <w:color w:val="auto"/>
          <w:highlight w:val="none"/>
        </w:rPr>
      </w:pPr>
    </w:p>
    <w:p w14:paraId="238EEF56">
      <w:pPr>
        <w:rPr>
          <w:color w:val="auto"/>
          <w:highlight w:val="none"/>
        </w:rPr>
      </w:pPr>
    </w:p>
    <w:p w14:paraId="231FCF16">
      <w:pPr>
        <w:rPr>
          <w:color w:val="auto"/>
          <w:highlight w:val="none"/>
        </w:rPr>
      </w:pPr>
    </w:p>
    <w:p w14:paraId="051F467E">
      <w:pPr>
        <w:rPr>
          <w:color w:val="auto"/>
          <w:highlight w:val="none"/>
        </w:rPr>
      </w:pPr>
    </w:p>
    <w:p w14:paraId="7C66AE45">
      <w:pPr>
        <w:rPr>
          <w:color w:val="auto"/>
          <w:highlight w:val="none"/>
        </w:rPr>
      </w:pPr>
    </w:p>
    <w:p w14:paraId="149D87D8">
      <w:pPr>
        <w:rPr>
          <w:color w:val="auto"/>
          <w:highlight w:val="none"/>
        </w:rPr>
      </w:pPr>
    </w:p>
    <w:p w14:paraId="5AAD1798">
      <w:pPr>
        <w:rPr>
          <w:color w:val="auto"/>
          <w:highlight w:val="none"/>
        </w:rPr>
      </w:pPr>
    </w:p>
    <w:p w14:paraId="66482DF7">
      <w:pPr>
        <w:rPr>
          <w:color w:val="auto"/>
          <w:highlight w:val="none"/>
        </w:rPr>
      </w:pPr>
    </w:p>
    <w:p w14:paraId="0898B852">
      <w:pPr>
        <w:rPr>
          <w:color w:val="auto"/>
          <w:highlight w:val="none"/>
        </w:rPr>
      </w:pPr>
    </w:p>
    <w:p w14:paraId="60367974">
      <w:pPr>
        <w:rPr>
          <w:color w:val="auto"/>
          <w:highlight w:val="none"/>
        </w:rPr>
      </w:pPr>
    </w:p>
    <w:p w14:paraId="0CCD4BAC">
      <w:pPr>
        <w:rPr>
          <w:color w:val="auto"/>
          <w:highlight w:val="none"/>
        </w:rPr>
      </w:pPr>
    </w:p>
    <w:p w14:paraId="0E4B5474">
      <w:pPr>
        <w:rPr>
          <w:color w:val="auto"/>
          <w:highlight w:val="none"/>
        </w:rPr>
      </w:pPr>
    </w:p>
    <w:p w14:paraId="13BFA3CA">
      <w:pPr>
        <w:rPr>
          <w:color w:val="auto"/>
          <w:highlight w:val="none"/>
        </w:rPr>
      </w:pPr>
    </w:p>
    <w:p w14:paraId="4E73AF6E">
      <w:pPr>
        <w:rPr>
          <w:color w:val="auto"/>
          <w:highlight w:val="none"/>
        </w:rPr>
      </w:pPr>
    </w:p>
    <w:p w14:paraId="3433811C">
      <w:pPr>
        <w:rPr>
          <w:color w:val="auto"/>
          <w:highlight w:val="none"/>
        </w:rPr>
      </w:pPr>
    </w:p>
    <w:p w14:paraId="0657DF43">
      <w:pPr>
        <w:rPr>
          <w:color w:val="auto"/>
          <w:highlight w:val="none"/>
        </w:rPr>
      </w:pPr>
    </w:p>
    <w:p w14:paraId="2E22F318">
      <w:pPr>
        <w:rPr>
          <w:color w:val="auto"/>
          <w:highlight w:val="none"/>
        </w:rPr>
      </w:pPr>
    </w:p>
    <w:p w14:paraId="233A2830">
      <w:pPr>
        <w:rPr>
          <w:color w:val="auto"/>
          <w:highlight w:val="none"/>
        </w:rPr>
      </w:pPr>
    </w:p>
    <w:p w14:paraId="4714EC2A">
      <w:pPr>
        <w:rPr>
          <w:color w:val="auto"/>
          <w:highlight w:val="none"/>
        </w:rPr>
      </w:pPr>
    </w:p>
    <w:p w14:paraId="3B541F74">
      <w:pPr>
        <w:rPr>
          <w:color w:val="auto"/>
          <w:highlight w:val="none"/>
        </w:rPr>
      </w:pPr>
    </w:p>
    <w:p w14:paraId="2CA3C8F0">
      <w:pPr>
        <w:rPr>
          <w:color w:val="auto"/>
          <w:highlight w:val="none"/>
        </w:rPr>
      </w:pPr>
    </w:p>
    <w:p w14:paraId="6452578A">
      <w:pPr>
        <w:spacing w:line="400" w:lineRule="exact"/>
        <w:jc w:val="center"/>
        <w:outlineLvl w:val="0"/>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（三）单一来源报价明细表格式</w:t>
      </w:r>
    </w:p>
    <w:p w14:paraId="3E10A068">
      <w:pPr>
        <w:spacing w:line="400" w:lineRule="exact"/>
        <w:rPr>
          <w:rFonts w:ascii="宋体" w:hAnsi="宋体" w:cs="宋体"/>
          <w:color w:val="auto"/>
          <w:szCs w:val="21"/>
          <w:highlight w:val="none"/>
        </w:rPr>
      </w:pPr>
      <w:r>
        <w:rPr>
          <w:rFonts w:hint="eastAsia" w:ascii="宋体" w:hAnsi="宋体" w:cs="宋体"/>
          <w:color w:val="auto"/>
          <w:szCs w:val="21"/>
          <w:highlight w:val="none"/>
        </w:rPr>
        <w:t>项目投标报价表</w:t>
      </w:r>
    </w:p>
    <w:tbl>
      <w:tblPr>
        <w:tblStyle w:val="32"/>
        <w:tblW w:w="10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3722"/>
        <w:gridCol w:w="1275"/>
        <w:gridCol w:w="1175"/>
        <w:gridCol w:w="1560"/>
        <w:gridCol w:w="1560"/>
      </w:tblGrid>
      <w:tr w14:paraId="77914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7A273E81">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3722" w:type="dxa"/>
          </w:tcPr>
          <w:p w14:paraId="51D74C9C">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1275" w:type="dxa"/>
          </w:tcPr>
          <w:p w14:paraId="0B8FB2E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报价（元/第一年）</w:t>
            </w:r>
          </w:p>
        </w:tc>
        <w:tc>
          <w:tcPr>
            <w:tcW w:w="1175" w:type="dxa"/>
          </w:tcPr>
          <w:p w14:paraId="57CCCE1C">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报价（元/第二年）</w:t>
            </w:r>
          </w:p>
        </w:tc>
        <w:tc>
          <w:tcPr>
            <w:tcW w:w="1560" w:type="dxa"/>
          </w:tcPr>
          <w:p w14:paraId="7CEFE997">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二年总报价（元）</w:t>
            </w:r>
          </w:p>
        </w:tc>
        <w:tc>
          <w:tcPr>
            <w:tcW w:w="1560" w:type="dxa"/>
          </w:tcPr>
          <w:p w14:paraId="120832B1">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4F07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380638B0">
            <w:pPr>
              <w:spacing w:line="400" w:lineRule="exact"/>
              <w:rPr>
                <w:rFonts w:ascii="宋体" w:hAnsi="宋体" w:cs="宋体"/>
                <w:color w:val="auto"/>
                <w:szCs w:val="21"/>
                <w:highlight w:val="none"/>
              </w:rPr>
            </w:pPr>
            <w:r>
              <w:rPr>
                <w:rFonts w:hint="eastAsia" w:ascii="宋体" w:hAnsi="宋体" w:cs="宋体"/>
                <w:color w:val="auto"/>
                <w:szCs w:val="21"/>
                <w:highlight w:val="none"/>
              </w:rPr>
              <w:t>1</w:t>
            </w:r>
          </w:p>
        </w:tc>
        <w:tc>
          <w:tcPr>
            <w:tcW w:w="3722" w:type="dxa"/>
          </w:tcPr>
          <w:p w14:paraId="234B083E">
            <w:pPr>
              <w:spacing w:line="400" w:lineRule="exact"/>
              <w:rPr>
                <w:rFonts w:ascii="宋体" w:hAnsi="宋体" w:cs="宋体"/>
                <w:color w:val="auto"/>
                <w:szCs w:val="21"/>
                <w:highlight w:val="none"/>
              </w:rPr>
            </w:pPr>
            <w:r>
              <w:rPr>
                <w:rFonts w:hint="eastAsia" w:ascii="宋体" w:hAnsi="宋体" w:cs="宋体"/>
                <w:color w:val="auto"/>
                <w:szCs w:val="21"/>
                <w:highlight w:val="none"/>
              </w:rPr>
              <w:t>现场管理人员人工工资、社保费、服装费、工具和耗材、管理费等费用</w:t>
            </w:r>
          </w:p>
        </w:tc>
        <w:tc>
          <w:tcPr>
            <w:tcW w:w="1275" w:type="dxa"/>
          </w:tcPr>
          <w:p w14:paraId="445CB8E5">
            <w:pPr>
              <w:spacing w:line="400" w:lineRule="exact"/>
              <w:rPr>
                <w:rFonts w:ascii="宋体" w:hAnsi="宋体" w:cs="宋体"/>
                <w:color w:val="auto"/>
                <w:szCs w:val="21"/>
                <w:highlight w:val="none"/>
              </w:rPr>
            </w:pPr>
          </w:p>
        </w:tc>
        <w:tc>
          <w:tcPr>
            <w:tcW w:w="1175" w:type="dxa"/>
          </w:tcPr>
          <w:p w14:paraId="7CE46E9B">
            <w:pPr>
              <w:spacing w:line="400" w:lineRule="exact"/>
              <w:rPr>
                <w:rFonts w:ascii="宋体" w:hAnsi="宋体" w:cs="宋体"/>
                <w:color w:val="auto"/>
                <w:szCs w:val="21"/>
                <w:highlight w:val="none"/>
              </w:rPr>
            </w:pPr>
          </w:p>
        </w:tc>
        <w:tc>
          <w:tcPr>
            <w:tcW w:w="1560" w:type="dxa"/>
          </w:tcPr>
          <w:p w14:paraId="29C1038F">
            <w:pPr>
              <w:spacing w:line="400" w:lineRule="exact"/>
              <w:rPr>
                <w:rFonts w:ascii="宋体" w:hAnsi="宋体" w:cs="宋体"/>
                <w:color w:val="auto"/>
                <w:szCs w:val="21"/>
                <w:highlight w:val="none"/>
              </w:rPr>
            </w:pPr>
          </w:p>
        </w:tc>
        <w:tc>
          <w:tcPr>
            <w:tcW w:w="1560" w:type="dxa"/>
          </w:tcPr>
          <w:p w14:paraId="65A6E449">
            <w:pPr>
              <w:spacing w:line="400" w:lineRule="exact"/>
              <w:rPr>
                <w:rFonts w:ascii="宋体" w:hAnsi="宋体" w:cs="宋体"/>
                <w:color w:val="auto"/>
                <w:szCs w:val="21"/>
                <w:highlight w:val="none"/>
              </w:rPr>
            </w:pPr>
          </w:p>
        </w:tc>
      </w:tr>
      <w:tr w14:paraId="2F08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740" w:type="dxa"/>
          </w:tcPr>
          <w:p w14:paraId="02101CE8">
            <w:pPr>
              <w:spacing w:line="400" w:lineRule="exact"/>
              <w:rPr>
                <w:rFonts w:ascii="宋体" w:hAnsi="宋体" w:cs="宋体"/>
                <w:color w:val="auto"/>
                <w:szCs w:val="21"/>
                <w:highlight w:val="none"/>
              </w:rPr>
            </w:pPr>
            <w:r>
              <w:rPr>
                <w:rFonts w:hint="eastAsia" w:ascii="宋体" w:hAnsi="宋体" w:cs="宋体"/>
                <w:color w:val="auto"/>
                <w:szCs w:val="21"/>
                <w:highlight w:val="none"/>
              </w:rPr>
              <w:t>2</w:t>
            </w:r>
          </w:p>
        </w:tc>
        <w:tc>
          <w:tcPr>
            <w:tcW w:w="3722" w:type="dxa"/>
          </w:tcPr>
          <w:p w14:paraId="7139AC8C">
            <w:pPr>
              <w:spacing w:line="400" w:lineRule="exact"/>
              <w:rPr>
                <w:rFonts w:ascii="宋体" w:hAnsi="宋体" w:cs="宋体"/>
                <w:color w:val="auto"/>
                <w:szCs w:val="21"/>
                <w:highlight w:val="none"/>
              </w:rPr>
            </w:pPr>
            <w:r>
              <w:rPr>
                <w:rFonts w:hint="eastAsia" w:ascii="宋体" w:hAnsi="宋体" w:cs="宋体"/>
                <w:color w:val="auto"/>
                <w:szCs w:val="21"/>
                <w:highlight w:val="none"/>
              </w:rPr>
              <w:t>康复治疗师人工工资、社保费、服装费、工具和耗材、管理费等费用</w:t>
            </w:r>
          </w:p>
        </w:tc>
        <w:tc>
          <w:tcPr>
            <w:tcW w:w="1275" w:type="dxa"/>
          </w:tcPr>
          <w:p w14:paraId="160424B1">
            <w:pPr>
              <w:spacing w:line="400" w:lineRule="exact"/>
              <w:rPr>
                <w:rFonts w:ascii="宋体" w:hAnsi="宋体" w:cs="宋体"/>
                <w:color w:val="auto"/>
                <w:szCs w:val="21"/>
                <w:highlight w:val="none"/>
              </w:rPr>
            </w:pPr>
          </w:p>
        </w:tc>
        <w:tc>
          <w:tcPr>
            <w:tcW w:w="1175" w:type="dxa"/>
          </w:tcPr>
          <w:p w14:paraId="7430932C">
            <w:pPr>
              <w:spacing w:line="400" w:lineRule="exact"/>
              <w:rPr>
                <w:rFonts w:ascii="宋体" w:hAnsi="宋体" w:cs="宋体"/>
                <w:color w:val="auto"/>
                <w:szCs w:val="21"/>
                <w:highlight w:val="none"/>
              </w:rPr>
            </w:pPr>
          </w:p>
        </w:tc>
        <w:tc>
          <w:tcPr>
            <w:tcW w:w="1560" w:type="dxa"/>
          </w:tcPr>
          <w:p w14:paraId="7CB2A84E">
            <w:pPr>
              <w:spacing w:line="400" w:lineRule="exact"/>
              <w:rPr>
                <w:rFonts w:ascii="宋体" w:hAnsi="宋体" w:cs="宋体"/>
                <w:color w:val="auto"/>
                <w:szCs w:val="21"/>
                <w:highlight w:val="none"/>
              </w:rPr>
            </w:pPr>
          </w:p>
        </w:tc>
        <w:tc>
          <w:tcPr>
            <w:tcW w:w="1560" w:type="dxa"/>
          </w:tcPr>
          <w:p w14:paraId="6A8A36DD">
            <w:pPr>
              <w:spacing w:line="400" w:lineRule="exact"/>
              <w:rPr>
                <w:rFonts w:ascii="宋体" w:hAnsi="宋体" w:cs="宋体"/>
                <w:color w:val="auto"/>
                <w:szCs w:val="21"/>
                <w:highlight w:val="none"/>
              </w:rPr>
            </w:pPr>
          </w:p>
        </w:tc>
      </w:tr>
      <w:tr w14:paraId="2FE7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02C1A68D">
            <w:pPr>
              <w:spacing w:line="400" w:lineRule="exact"/>
              <w:rPr>
                <w:rFonts w:ascii="宋体" w:hAnsi="宋体" w:cs="宋体"/>
                <w:color w:val="auto"/>
                <w:szCs w:val="21"/>
                <w:highlight w:val="none"/>
              </w:rPr>
            </w:pPr>
            <w:r>
              <w:rPr>
                <w:rFonts w:hint="eastAsia" w:ascii="宋体" w:hAnsi="宋体" w:cs="宋体"/>
                <w:color w:val="auto"/>
                <w:szCs w:val="21"/>
                <w:highlight w:val="none"/>
              </w:rPr>
              <w:t>3</w:t>
            </w:r>
          </w:p>
        </w:tc>
        <w:tc>
          <w:tcPr>
            <w:tcW w:w="3722" w:type="dxa"/>
          </w:tcPr>
          <w:p w14:paraId="23F241BC">
            <w:pPr>
              <w:spacing w:line="400" w:lineRule="exact"/>
              <w:rPr>
                <w:rFonts w:ascii="宋体" w:hAnsi="宋体" w:cs="宋体"/>
                <w:color w:val="auto"/>
                <w:szCs w:val="21"/>
                <w:highlight w:val="none"/>
              </w:rPr>
            </w:pPr>
            <w:r>
              <w:rPr>
                <w:rFonts w:hint="eastAsia" w:ascii="宋体" w:hAnsi="宋体" w:cs="宋体"/>
                <w:color w:val="auto"/>
                <w:szCs w:val="21"/>
                <w:highlight w:val="none"/>
              </w:rPr>
              <w:t>社会工作者人工工资、社保费、服装费、工具和耗材、管理费等费用</w:t>
            </w:r>
          </w:p>
        </w:tc>
        <w:tc>
          <w:tcPr>
            <w:tcW w:w="1275" w:type="dxa"/>
          </w:tcPr>
          <w:p w14:paraId="30CEDDEF">
            <w:pPr>
              <w:spacing w:line="400" w:lineRule="exact"/>
              <w:rPr>
                <w:rFonts w:ascii="宋体" w:hAnsi="宋体" w:cs="宋体"/>
                <w:color w:val="auto"/>
                <w:szCs w:val="21"/>
                <w:highlight w:val="none"/>
              </w:rPr>
            </w:pPr>
          </w:p>
        </w:tc>
        <w:tc>
          <w:tcPr>
            <w:tcW w:w="1175" w:type="dxa"/>
          </w:tcPr>
          <w:p w14:paraId="6E7F3BA8">
            <w:pPr>
              <w:spacing w:line="400" w:lineRule="exact"/>
              <w:rPr>
                <w:rFonts w:ascii="宋体" w:hAnsi="宋体" w:cs="宋体"/>
                <w:color w:val="auto"/>
                <w:szCs w:val="21"/>
                <w:highlight w:val="none"/>
              </w:rPr>
            </w:pPr>
          </w:p>
        </w:tc>
        <w:tc>
          <w:tcPr>
            <w:tcW w:w="1560" w:type="dxa"/>
          </w:tcPr>
          <w:p w14:paraId="1C241FE9">
            <w:pPr>
              <w:spacing w:line="400" w:lineRule="exact"/>
              <w:rPr>
                <w:rFonts w:ascii="宋体" w:hAnsi="宋体" w:cs="宋体"/>
                <w:color w:val="auto"/>
                <w:szCs w:val="21"/>
                <w:highlight w:val="none"/>
              </w:rPr>
            </w:pPr>
          </w:p>
        </w:tc>
        <w:tc>
          <w:tcPr>
            <w:tcW w:w="1560" w:type="dxa"/>
          </w:tcPr>
          <w:p w14:paraId="1AB00F6D">
            <w:pPr>
              <w:spacing w:line="400" w:lineRule="exact"/>
              <w:rPr>
                <w:rFonts w:ascii="宋体" w:hAnsi="宋体" w:cs="宋体"/>
                <w:color w:val="auto"/>
                <w:szCs w:val="21"/>
                <w:highlight w:val="none"/>
              </w:rPr>
            </w:pPr>
          </w:p>
        </w:tc>
      </w:tr>
      <w:tr w14:paraId="6B32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3C4ED38D">
            <w:pPr>
              <w:spacing w:line="400" w:lineRule="exact"/>
              <w:rPr>
                <w:rFonts w:ascii="宋体" w:hAnsi="宋体" w:cs="宋体"/>
                <w:color w:val="auto"/>
                <w:szCs w:val="21"/>
                <w:highlight w:val="none"/>
              </w:rPr>
            </w:pPr>
            <w:r>
              <w:rPr>
                <w:rFonts w:hint="eastAsia" w:ascii="宋体" w:hAnsi="宋体" w:cs="宋体"/>
                <w:color w:val="auto"/>
                <w:szCs w:val="21"/>
                <w:highlight w:val="none"/>
              </w:rPr>
              <w:t>4</w:t>
            </w:r>
          </w:p>
        </w:tc>
        <w:tc>
          <w:tcPr>
            <w:tcW w:w="3722" w:type="dxa"/>
          </w:tcPr>
          <w:p w14:paraId="67798450">
            <w:pPr>
              <w:spacing w:line="400" w:lineRule="exact"/>
              <w:rPr>
                <w:rFonts w:ascii="宋体" w:hAnsi="宋体" w:cs="宋体"/>
                <w:color w:val="auto"/>
                <w:szCs w:val="21"/>
                <w:highlight w:val="none"/>
              </w:rPr>
            </w:pPr>
            <w:r>
              <w:rPr>
                <w:rFonts w:hint="eastAsia" w:ascii="宋体" w:hAnsi="宋体" w:cs="宋体"/>
                <w:color w:val="auto"/>
                <w:szCs w:val="21"/>
                <w:highlight w:val="none"/>
              </w:rPr>
              <w:t>洗衣房工作人员人工工资、社保费、服装费、工具和耗材、管理费等费用</w:t>
            </w:r>
          </w:p>
        </w:tc>
        <w:tc>
          <w:tcPr>
            <w:tcW w:w="1275" w:type="dxa"/>
          </w:tcPr>
          <w:p w14:paraId="7C0A50B6">
            <w:pPr>
              <w:spacing w:line="400" w:lineRule="exact"/>
              <w:rPr>
                <w:rFonts w:ascii="宋体" w:hAnsi="宋体" w:cs="宋体"/>
                <w:color w:val="auto"/>
                <w:szCs w:val="21"/>
                <w:highlight w:val="none"/>
              </w:rPr>
            </w:pPr>
          </w:p>
        </w:tc>
        <w:tc>
          <w:tcPr>
            <w:tcW w:w="1175" w:type="dxa"/>
          </w:tcPr>
          <w:p w14:paraId="5B660F9A">
            <w:pPr>
              <w:spacing w:line="400" w:lineRule="exact"/>
              <w:rPr>
                <w:rFonts w:ascii="宋体" w:hAnsi="宋体" w:cs="宋体"/>
                <w:color w:val="auto"/>
                <w:szCs w:val="21"/>
                <w:highlight w:val="none"/>
              </w:rPr>
            </w:pPr>
          </w:p>
        </w:tc>
        <w:tc>
          <w:tcPr>
            <w:tcW w:w="1560" w:type="dxa"/>
          </w:tcPr>
          <w:p w14:paraId="43FD743F">
            <w:pPr>
              <w:spacing w:line="400" w:lineRule="exact"/>
              <w:rPr>
                <w:rFonts w:ascii="宋体" w:hAnsi="宋体" w:cs="宋体"/>
                <w:color w:val="auto"/>
                <w:szCs w:val="21"/>
                <w:highlight w:val="none"/>
              </w:rPr>
            </w:pPr>
          </w:p>
        </w:tc>
        <w:tc>
          <w:tcPr>
            <w:tcW w:w="1560" w:type="dxa"/>
          </w:tcPr>
          <w:p w14:paraId="0C0C15A9">
            <w:pPr>
              <w:spacing w:line="400" w:lineRule="exact"/>
              <w:rPr>
                <w:rFonts w:ascii="宋体" w:hAnsi="宋体" w:cs="宋体"/>
                <w:color w:val="auto"/>
                <w:szCs w:val="21"/>
                <w:highlight w:val="none"/>
              </w:rPr>
            </w:pPr>
          </w:p>
        </w:tc>
      </w:tr>
      <w:tr w14:paraId="483E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3B63D27A">
            <w:pPr>
              <w:spacing w:line="400" w:lineRule="exact"/>
              <w:rPr>
                <w:rFonts w:ascii="宋体" w:hAnsi="宋体" w:cs="宋体"/>
                <w:color w:val="auto"/>
                <w:szCs w:val="21"/>
                <w:highlight w:val="none"/>
              </w:rPr>
            </w:pPr>
            <w:r>
              <w:rPr>
                <w:rFonts w:hint="eastAsia" w:ascii="宋体" w:hAnsi="宋体" w:cs="宋体"/>
                <w:color w:val="auto"/>
                <w:szCs w:val="21"/>
                <w:highlight w:val="none"/>
              </w:rPr>
              <w:t>5</w:t>
            </w:r>
          </w:p>
        </w:tc>
        <w:tc>
          <w:tcPr>
            <w:tcW w:w="3722" w:type="dxa"/>
          </w:tcPr>
          <w:p w14:paraId="0942B285">
            <w:pPr>
              <w:spacing w:line="400" w:lineRule="exact"/>
              <w:rPr>
                <w:rFonts w:ascii="宋体" w:hAnsi="宋体" w:cs="宋体"/>
                <w:color w:val="auto"/>
                <w:szCs w:val="21"/>
                <w:highlight w:val="none"/>
              </w:rPr>
            </w:pPr>
            <w:r>
              <w:rPr>
                <w:rFonts w:hint="eastAsia" w:ascii="宋体" w:hAnsi="宋体" w:cs="宋体"/>
                <w:color w:val="auto"/>
                <w:szCs w:val="21"/>
                <w:highlight w:val="none"/>
              </w:rPr>
              <w:t>护士人工工资、社保费、服装费、工具和耗材、管理费等费用</w:t>
            </w:r>
          </w:p>
        </w:tc>
        <w:tc>
          <w:tcPr>
            <w:tcW w:w="1275" w:type="dxa"/>
          </w:tcPr>
          <w:p w14:paraId="597F5E98">
            <w:pPr>
              <w:spacing w:line="400" w:lineRule="exact"/>
              <w:rPr>
                <w:rFonts w:ascii="宋体" w:hAnsi="宋体" w:cs="宋体"/>
                <w:color w:val="auto"/>
                <w:szCs w:val="21"/>
                <w:highlight w:val="none"/>
              </w:rPr>
            </w:pPr>
          </w:p>
        </w:tc>
        <w:tc>
          <w:tcPr>
            <w:tcW w:w="1175" w:type="dxa"/>
          </w:tcPr>
          <w:p w14:paraId="6D250FBD">
            <w:pPr>
              <w:spacing w:line="400" w:lineRule="exact"/>
              <w:rPr>
                <w:rFonts w:ascii="宋体" w:hAnsi="宋体" w:cs="宋体"/>
                <w:color w:val="auto"/>
                <w:szCs w:val="21"/>
                <w:highlight w:val="none"/>
              </w:rPr>
            </w:pPr>
          </w:p>
        </w:tc>
        <w:tc>
          <w:tcPr>
            <w:tcW w:w="1560" w:type="dxa"/>
          </w:tcPr>
          <w:p w14:paraId="22A22454">
            <w:pPr>
              <w:spacing w:line="400" w:lineRule="exact"/>
              <w:rPr>
                <w:rFonts w:ascii="宋体" w:hAnsi="宋体" w:cs="宋体"/>
                <w:color w:val="auto"/>
                <w:szCs w:val="21"/>
                <w:highlight w:val="none"/>
              </w:rPr>
            </w:pPr>
          </w:p>
        </w:tc>
        <w:tc>
          <w:tcPr>
            <w:tcW w:w="1560" w:type="dxa"/>
          </w:tcPr>
          <w:p w14:paraId="3E00C29B">
            <w:pPr>
              <w:spacing w:line="400" w:lineRule="exact"/>
              <w:rPr>
                <w:rFonts w:ascii="宋体" w:hAnsi="宋体" w:cs="宋体"/>
                <w:color w:val="auto"/>
                <w:szCs w:val="21"/>
                <w:highlight w:val="none"/>
              </w:rPr>
            </w:pPr>
          </w:p>
        </w:tc>
      </w:tr>
      <w:tr w14:paraId="7D416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1B0B152A">
            <w:pPr>
              <w:spacing w:line="400" w:lineRule="exact"/>
              <w:rPr>
                <w:rFonts w:ascii="宋体" w:hAnsi="宋体" w:cs="宋体"/>
                <w:color w:val="auto"/>
                <w:szCs w:val="21"/>
                <w:highlight w:val="none"/>
              </w:rPr>
            </w:pPr>
            <w:r>
              <w:rPr>
                <w:rFonts w:hint="eastAsia" w:ascii="宋体" w:hAnsi="宋体" w:cs="宋体"/>
                <w:color w:val="auto"/>
                <w:szCs w:val="21"/>
                <w:highlight w:val="none"/>
              </w:rPr>
              <w:t>6</w:t>
            </w:r>
          </w:p>
        </w:tc>
        <w:tc>
          <w:tcPr>
            <w:tcW w:w="3722" w:type="dxa"/>
          </w:tcPr>
          <w:p w14:paraId="396C49C4">
            <w:pPr>
              <w:spacing w:line="400" w:lineRule="exact"/>
              <w:rPr>
                <w:rFonts w:ascii="宋体" w:hAnsi="宋体" w:cs="宋体"/>
                <w:color w:val="auto"/>
                <w:szCs w:val="21"/>
                <w:highlight w:val="none"/>
              </w:rPr>
            </w:pPr>
            <w:r>
              <w:rPr>
                <w:rFonts w:hint="eastAsia" w:ascii="宋体" w:hAnsi="宋体" w:cs="宋体"/>
                <w:color w:val="auto"/>
                <w:szCs w:val="21"/>
                <w:highlight w:val="none"/>
              </w:rPr>
              <w:t>投入本项目的低值易耗用品</w:t>
            </w:r>
          </w:p>
        </w:tc>
        <w:tc>
          <w:tcPr>
            <w:tcW w:w="1275" w:type="dxa"/>
          </w:tcPr>
          <w:p w14:paraId="48869C2C">
            <w:pPr>
              <w:spacing w:line="400" w:lineRule="exact"/>
              <w:rPr>
                <w:rFonts w:ascii="宋体" w:hAnsi="宋体" w:cs="宋体"/>
                <w:color w:val="auto"/>
                <w:szCs w:val="21"/>
                <w:highlight w:val="none"/>
              </w:rPr>
            </w:pPr>
          </w:p>
        </w:tc>
        <w:tc>
          <w:tcPr>
            <w:tcW w:w="1175" w:type="dxa"/>
          </w:tcPr>
          <w:p w14:paraId="4D2C7E0E">
            <w:pPr>
              <w:spacing w:line="400" w:lineRule="exact"/>
              <w:rPr>
                <w:rFonts w:ascii="宋体" w:hAnsi="宋体" w:cs="宋体"/>
                <w:color w:val="auto"/>
                <w:szCs w:val="21"/>
                <w:highlight w:val="none"/>
              </w:rPr>
            </w:pPr>
          </w:p>
        </w:tc>
        <w:tc>
          <w:tcPr>
            <w:tcW w:w="1560" w:type="dxa"/>
          </w:tcPr>
          <w:p w14:paraId="0E60AE97">
            <w:pPr>
              <w:spacing w:line="400" w:lineRule="exact"/>
              <w:rPr>
                <w:rFonts w:ascii="宋体" w:hAnsi="宋体" w:cs="宋体"/>
                <w:color w:val="auto"/>
                <w:szCs w:val="21"/>
                <w:highlight w:val="none"/>
              </w:rPr>
            </w:pPr>
          </w:p>
        </w:tc>
        <w:tc>
          <w:tcPr>
            <w:tcW w:w="1560" w:type="dxa"/>
          </w:tcPr>
          <w:p w14:paraId="60E898CD">
            <w:pPr>
              <w:spacing w:line="400" w:lineRule="exact"/>
              <w:rPr>
                <w:rFonts w:ascii="宋体" w:hAnsi="宋体" w:cs="宋体"/>
                <w:color w:val="auto"/>
                <w:szCs w:val="21"/>
                <w:highlight w:val="none"/>
              </w:rPr>
            </w:pPr>
          </w:p>
        </w:tc>
      </w:tr>
      <w:tr w14:paraId="55AB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26B3BA33">
            <w:pPr>
              <w:spacing w:line="400" w:lineRule="exact"/>
              <w:rPr>
                <w:rFonts w:ascii="宋体" w:hAnsi="宋体" w:cs="宋体"/>
                <w:color w:val="auto"/>
                <w:szCs w:val="21"/>
                <w:highlight w:val="none"/>
              </w:rPr>
            </w:pPr>
            <w:r>
              <w:rPr>
                <w:rFonts w:hint="eastAsia" w:ascii="宋体" w:hAnsi="宋体" w:cs="宋体"/>
                <w:color w:val="auto"/>
                <w:szCs w:val="21"/>
                <w:highlight w:val="none"/>
              </w:rPr>
              <w:t>7</w:t>
            </w:r>
          </w:p>
        </w:tc>
        <w:tc>
          <w:tcPr>
            <w:tcW w:w="3722" w:type="dxa"/>
          </w:tcPr>
          <w:p w14:paraId="3D6F4CF9">
            <w:pPr>
              <w:spacing w:line="400" w:lineRule="exact"/>
              <w:rPr>
                <w:rFonts w:ascii="宋体" w:hAnsi="宋体" w:cs="宋体"/>
                <w:color w:val="auto"/>
                <w:szCs w:val="21"/>
                <w:highlight w:val="none"/>
              </w:rPr>
            </w:pPr>
            <w:r>
              <w:rPr>
                <w:rFonts w:hint="eastAsia" w:ascii="宋体" w:hAnsi="宋体" w:cs="宋体"/>
                <w:color w:val="auto"/>
                <w:szCs w:val="21"/>
                <w:highlight w:val="none"/>
              </w:rPr>
              <w:t>税金</w:t>
            </w:r>
          </w:p>
        </w:tc>
        <w:tc>
          <w:tcPr>
            <w:tcW w:w="1275" w:type="dxa"/>
          </w:tcPr>
          <w:p w14:paraId="026172C5">
            <w:pPr>
              <w:spacing w:line="400" w:lineRule="exact"/>
              <w:rPr>
                <w:rFonts w:ascii="宋体" w:hAnsi="宋体" w:cs="宋体"/>
                <w:color w:val="auto"/>
                <w:szCs w:val="21"/>
                <w:highlight w:val="none"/>
              </w:rPr>
            </w:pPr>
          </w:p>
        </w:tc>
        <w:tc>
          <w:tcPr>
            <w:tcW w:w="1175" w:type="dxa"/>
          </w:tcPr>
          <w:p w14:paraId="17EFD119">
            <w:pPr>
              <w:spacing w:line="400" w:lineRule="exact"/>
              <w:rPr>
                <w:rFonts w:ascii="宋体" w:hAnsi="宋体" w:cs="宋体"/>
                <w:color w:val="auto"/>
                <w:szCs w:val="21"/>
                <w:highlight w:val="none"/>
              </w:rPr>
            </w:pPr>
          </w:p>
        </w:tc>
        <w:tc>
          <w:tcPr>
            <w:tcW w:w="1560" w:type="dxa"/>
          </w:tcPr>
          <w:p w14:paraId="60C2F7B4">
            <w:pPr>
              <w:spacing w:line="400" w:lineRule="exact"/>
              <w:rPr>
                <w:rFonts w:ascii="宋体" w:hAnsi="宋体" w:cs="宋体"/>
                <w:color w:val="auto"/>
                <w:szCs w:val="21"/>
                <w:highlight w:val="none"/>
              </w:rPr>
            </w:pPr>
          </w:p>
        </w:tc>
        <w:tc>
          <w:tcPr>
            <w:tcW w:w="1560" w:type="dxa"/>
          </w:tcPr>
          <w:p w14:paraId="517EF2F1">
            <w:pPr>
              <w:spacing w:line="400" w:lineRule="exact"/>
              <w:rPr>
                <w:rFonts w:ascii="宋体" w:hAnsi="宋体" w:cs="宋体"/>
                <w:color w:val="auto"/>
                <w:szCs w:val="21"/>
                <w:highlight w:val="none"/>
              </w:rPr>
            </w:pPr>
          </w:p>
        </w:tc>
      </w:tr>
      <w:tr w14:paraId="60D3D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tcPr>
          <w:p w14:paraId="479A8DEC">
            <w:pPr>
              <w:spacing w:line="400" w:lineRule="exact"/>
              <w:rPr>
                <w:rFonts w:ascii="宋体" w:hAnsi="宋体" w:cs="宋体"/>
                <w:color w:val="auto"/>
                <w:szCs w:val="21"/>
                <w:highlight w:val="none"/>
              </w:rPr>
            </w:pPr>
            <w:r>
              <w:rPr>
                <w:rFonts w:hint="eastAsia" w:ascii="宋体" w:hAnsi="宋体" w:cs="宋体"/>
                <w:color w:val="auto"/>
                <w:szCs w:val="21"/>
                <w:highlight w:val="none"/>
              </w:rPr>
              <w:t>8</w:t>
            </w:r>
          </w:p>
        </w:tc>
        <w:tc>
          <w:tcPr>
            <w:tcW w:w="3722" w:type="dxa"/>
          </w:tcPr>
          <w:p w14:paraId="0786389F">
            <w:pPr>
              <w:spacing w:line="400" w:lineRule="exact"/>
              <w:rPr>
                <w:rFonts w:ascii="宋体" w:hAnsi="宋体" w:cs="宋体"/>
                <w:color w:val="auto"/>
                <w:szCs w:val="21"/>
                <w:highlight w:val="none"/>
              </w:rPr>
            </w:pPr>
            <w:r>
              <w:rPr>
                <w:rFonts w:hint="eastAsia" w:ascii="宋体" w:hAnsi="宋体" w:cs="宋体"/>
                <w:color w:val="auto"/>
                <w:szCs w:val="21"/>
                <w:highlight w:val="none"/>
              </w:rPr>
              <w:t>`````</w:t>
            </w:r>
          </w:p>
        </w:tc>
        <w:tc>
          <w:tcPr>
            <w:tcW w:w="1275" w:type="dxa"/>
          </w:tcPr>
          <w:p w14:paraId="0AD16564">
            <w:pPr>
              <w:spacing w:line="400" w:lineRule="exact"/>
              <w:rPr>
                <w:rFonts w:ascii="宋体" w:hAnsi="宋体" w:cs="宋体"/>
                <w:color w:val="auto"/>
                <w:szCs w:val="21"/>
                <w:highlight w:val="none"/>
              </w:rPr>
            </w:pPr>
          </w:p>
        </w:tc>
        <w:tc>
          <w:tcPr>
            <w:tcW w:w="1175" w:type="dxa"/>
          </w:tcPr>
          <w:p w14:paraId="61568484">
            <w:pPr>
              <w:spacing w:line="400" w:lineRule="exact"/>
              <w:rPr>
                <w:rFonts w:ascii="宋体" w:hAnsi="宋体" w:cs="宋体"/>
                <w:color w:val="auto"/>
                <w:szCs w:val="21"/>
                <w:highlight w:val="none"/>
              </w:rPr>
            </w:pPr>
          </w:p>
        </w:tc>
        <w:tc>
          <w:tcPr>
            <w:tcW w:w="1560" w:type="dxa"/>
          </w:tcPr>
          <w:p w14:paraId="25B36EC6">
            <w:pPr>
              <w:spacing w:line="400" w:lineRule="exact"/>
              <w:rPr>
                <w:rFonts w:ascii="宋体" w:hAnsi="宋体" w:cs="宋体"/>
                <w:color w:val="auto"/>
                <w:szCs w:val="21"/>
                <w:highlight w:val="none"/>
              </w:rPr>
            </w:pPr>
          </w:p>
        </w:tc>
        <w:tc>
          <w:tcPr>
            <w:tcW w:w="1560" w:type="dxa"/>
          </w:tcPr>
          <w:p w14:paraId="385E3CA3">
            <w:pPr>
              <w:spacing w:line="400" w:lineRule="exact"/>
              <w:rPr>
                <w:rFonts w:ascii="宋体" w:hAnsi="宋体" w:cs="宋体"/>
                <w:color w:val="auto"/>
                <w:szCs w:val="21"/>
                <w:highlight w:val="none"/>
              </w:rPr>
            </w:pPr>
          </w:p>
        </w:tc>
      </w:tr>
      <w:tr w14:paraId="78A9E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462" w:type="dxa"/>
            <w:gridSpan w:val="2"/>
          </w:tcPr>
          <w:p w14:paraId="3382BD1A">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总计</w:t>
            </w:r>
          </w:p>
        </w:tc>
        <w:tc>
          <w:tcPr>
            <w:tcW w:w="1275" w:type="dxa"/>
            <w:vAlign w:val="center"/>
          </w:tcPr>
          <w:p w14:paraId="5EE3373D">
            <w:pPr>
              <w:spacing w:line="400" w:lineRule="exact"/>
              <w:ind w:left="1327"/>
              <w:rPr>
                <w:rFonts w:ascii="宋体" w:hAnsi="宋体" w:cs="宋体"/>
                <w:color w:val="auto"/>
                <w:szCs w:val="21"/>
                <w:highlight w:val="none"/>
              </w:rPr>
            </w:pPr>
          </w:p>
        </w:tc>
        <w:tc>
          <w:tcPr>
            <w:tcW w:w="1175" w:type="dxa"/>
            <w:vAlign w:val="center"/>
          </w:tcPr>
          <w:p w14:paraId="34761DF5">
            <w:pPr>
              <w:spacing w:line="400" w:lineRule="exact"/>
              <w:ind w:left="1327"/>
              <w:rPr>
                <w:rFonts w:ascii="宋体" w:hAnsi="宋体" w:cs="宋体"/>
                <w:color w:val="auto"/>
                <w:szCs w:val="21"/>
                <w:highlight w:val="none"/>
              </w:rPr>
            </w:pPr>
          </w:p>
        </w:tc>
        <w:tc>
          <w:tcPr>
            <w:tcW w:w="1560" w:type="dxa"/>
          </w:tcPr>
          <w:p w14:paraId="06284DC8">
            <w:pPr>
              <w:spacing w:line="400" w:lineRule="exact"/>
              <w:ind w:left="1327"/>
              <w:rPr>
                <w:rFonts w:ascii="宋体" w:hAnsi="宋体" w:cs="宋体"/>
                <w:color w:val="auto"/>
                <w:szCs w:val="21"/>
                <w:highlight w:val="none"/>
              </w:rPr>
            </w:pPr>
          </w:p>
        </w:tc>
        <w:tc>
          <w:tcPr>
            <w:tcW w:w="1560" w:type="dxa"/>
            <w:vAlign w:val="center"/>
          </w:tcPr>
          <w:p w14:paraId="10C7B5EE">
            <w:pPr>
              <w:spacing w:line="400" w:lineRule="exact"/>
              <w:ind w:left="1327"/>
              <w:rPr>
                <w:rFonts w:ascii="宋体" w:hAnsi="宋体" w:cs="宋体"/>
                <w:color w:val="auto"/>
                <w:szCs w:val="21"/>
                <w:highlight w:val="none"/>
              </w:rPr>
            </w:pPr>
          </w:p>
        </w:tc>
      </w:tr>
    </w:tbl>
    <w:p w14:paraId="51D2E6A5">
      <w:pPr>
        <w:rPr>
          <w:rFonts w:ascii="宋体" w:hAnsi="宋体" w:cs="宋体"/>
          <w:bCs/>
          <w:color w:val="auto"/>
          <w:szCs w:val="21"/>
          <w:highlight w:val="none"/>
        </w:rPr>
      </w:pPr>
      <w:r>
        <w:rPr>
          <w:rFonts w:hint="eastAsia" w:ascii="宋体" w:hAnsi="宋体" w:cs="宋体"/>
          <w:bCs/>
          <w:color w:val="auto"/>
          <w:szCs w:val="21"/>
          <w:highlight w:val="none"/>
        </w:rPr>
        <w:t>注：1、供应商报价时应充分考虑服务期内所有可能影响到报价的因素（包括最低工资标准和社保基数的政策性调整），一旦投标结束最终中标，总价将包定，不予调整。如发生漏、缺、少项，都将被认为是中标人的报价让利行为，损失自负。</w:t>
      </w:r>
    </w:p>
    <w:p w14:paraId="06A02981">
      <w:pPr>
        <w:spacing w:line="400" w:lineRule="exact"/>
        <w:ind w:firstLine="420" w:firstLineChars="200"/>
        <w:rPr>
          <w:rFonts w:ascii="宋体" w:hAnsi="宋体" w:cs="宋体"/>
          <w:bCs/>
          <w:color w:val="auto"/>
          <w:sz w:val="32"/>
          <w:highlight w:val="none"/>
        </w:rPr>
      </w:pPr>
      <w:r>
        <w:rPr>
          <w:rFonts w:hint="eastAsia" w:ascii="宋体" w:hAnsi="宋体" w:cs="宋体"/>
          <w:bCs/>
          <w:color w:val="auto"/>
          <w:szCs w:val="21"/>
          <w:highlight w:val="none"/>
        </w:rPr>
        <w:t>2、上述报价表由投标单位参照，不限于此，可根据采购需求自行添加条目进行投报。</w:t>
      </w:r>
    </w:p>
    <w:p w14:paraId="6AF0EB1E">
      <w:pPr>
        <w:spacing w:line="400" w:lineRule="exact"/>
        <w:rPr>
          <w:rFonts w:ascii="宋体" w:hAnsi="宋体" w:cs="宋体"/>
          <w:color w:val="auto"/>
          <w:szCs w:val="21"/>
          <w:highlight w:val="none"/>
        </w:rPr>
      </w:pPr>
    </w:p>
    <w:p w14:paraId="75F90FB5">
      <w:pPr>
        <w:spacing w:line="400" w:lineRule="exact"/>
        <w:rPr>
          <w:rFonts w:ascii="宋体" w:hAnsi="宋体" w:cs="宋体"/>
          <w:color w:val="auto"/>
          <w:szCs w:val="21"/>
          <w:highlight w:val="none"/>
        </w:rPr>
      </w:pPr>
      <w:r>
        <w:rPr>
          <w:rFonts w:hint="eastAsia" w:ascii="宋体" w:hAnsi="宋体" w:cs="宋体"/>
          <w:color w:val="auto"/>
          <w:szCs w:val="21"/>
          <w:highlight w:val="none"/>
        </w:rPr>
        <w:t>投标方：（单位盖章）</w:t>
      </w:r>
    </w:p>
    <w:p w14:paraId="43548F48">
      <w:pPr>
        <w:spacing w:line="400" w:lineRule="exact"/>
        <w:rPr>
          <w:rFonts w:ascii="宋体" w:hAnsi="宋体" w:cs="宋体"/>
          <w:color w:val="auto"/>
          <w:szCs w:val="21"/>
          <w:highlight w:val="none"/>
        </w:rPr>
      </w:pPr>
      <w:r>
        <w:rPr>
          <w:rFonts w:hint="eastAsia" w:ascii="宋体" w:hAnsi="宋体" w:cs="宋体"/>
          <w:color w:val="auto"/>
          <w:szCs w:val="21"/>
          <w:highlight w:val="none"/>
        </w:rPr>
        <w:t>法定代表人或代理人：（签字或盖章）</w:t>
      </w:r>
    </w:p>
    <w:p w14:paraId="5B794A85">
      <w:pPr>
        <w:spacing w:line="400" w:lineRule="exact"/>
        <w:rPr>
          <w:rFonts w:ascii="宋体" w:hAnsi="宋体" w:cs="宋体"/>
          <w:color w:val="auto"/>
          <w:szCs w:val="21"/>
          <w:highlight w:val="none"/>
        </w:rPr>
      </w:pPr>
      <w:r>
        <w:rPr>
          <w:rFonts w:hint="eastAsia" w:ascii="宋体" w:hAnsi="宋体" w:cs="宋体"/>
          <w:color w:val="auto"/>
          <w:szCs w:val="21"/>
          <w:highlight w:val="none"/>
        </w:rPr>
        <w:t>日期：          年  月  日</w:t>
      </w:r>
    </w:p>
    <w:p w14:paraId="7FD339FF">
      <w:pPr>
        <w:spacing w:line="400" w:lineRule="exact"/>
        <w:rPr>
          <w:rFonts w:ascii="宋体" w:hAnsi="宋体" w:cs="宋体"/>
          <w:color w:val="auto"/>
          <w:szCs w:val="21"/>
          <w:highlight w:val="none"/>
        </w:rPr>
      </w:pPr>
    </w:p>
    <w:p w14:paraId="6B33EB7B">
      <w:pPr>
        <w:spacing w:line="500" w:lineRule="exact"/>
        <w:ind w:firstLine="482" w:firstLineChars="200"/>
        <w:rPr>
          <w:rFonts w:ascii="宋体" w:hAnsi="宋体" w:cs="宋体"/>
          <w:b/>
          <w:color w:val="auto"/>
          <w:sz w:val="24"/>
          <w:highlight w:val="none"/>
        </w:rPr>
      </w:pPr>
    </w:p>
    <w:p w14:paraId="7E6A1291">
      <w:pPr>
        <w:pStyle w:val="303"/>
        <w:ind w:firstLine="482"/>
        <w:rPr>
          <w:rFonts w:hAnsi="宋体" w:cs="宋体"/>
          <w:b/>
          <w:color w:val="auto"/>
          <w:highlight w:val="none"/>
        </w:rPr>
      </w:pPr>
    </w:p>
    <w:p w14:paraId="3245FA2F">
      <w:pPr>
        <w:rPr>
          <w:rFonts w:ascii="宋体" w:hAnsi="宋体" w:cs="宋体"/>
          <w:b/>
          <w:color w:val="auto"/>
          <w:sz w:val="24"/>
          <w:highlight w:val="none"/>
        </w:rPr>
      </w:pPr>
    </w:p>
    <w:p w14:paraId="6D652EB5">
      <w:pPr>
        <w:rPr>
          <w:rFonts w:ascii="宋体" w:hAnsi="宋体" w:cs="宋体"/>
          <w:b/>
          <w:color w:val="auto"/>
          <w:sz w:val="24"/>
          <w:highlight w:val="none"/>
        </w:rPr>
      </w:pPr>
    </w:p>
    <w:p w14:paraId="3CF69460">
      <w:pPr>
        <w:rPr>
          <w:rFonts w:ascii="宋体" w:hAnsi="宋体" w:cs="宋体"/>
          <w:b/>
          <w:color w:val="auto"/>
          <w:sz w:val="24"/>
          <w:highlight w:val="none"/>
        </w:rPr>
      </w:pPr>
    </w:p>
    <w:p w14:paraId="6A2F75E0">
      <w:pPr>
        <w:pStyle w:val="303"/>
        <w:rPr>
          <w:color w:val="auto"/>
          <w:highlight w:val="none"/>
        </w:rPr>
      </w:pPr>
    </w:p>
    <w:p w14:paraId="3EBA5124">
      <w:pPr>
        <w:rPr>
          <w:color w:val="auto"/>
          <w:highlight w:val="none"/>
        </w:rPr>
      </w:pPr>
    </w:p>
    <w:p w14:paraId="2981E5E5">
      <w:pPr>
        <w:pStyle w:val="303"/>
        <w:rPr>
          <w:color w:val="auto"/>
          <w:highlight w:val="none"/>
        </w:rPr>
      </w:pPr>
    </w:p>
    <w:p w14:paraId="3F05AA9F">
      <w:pPr>
        <w:spacing w:line="400" w:lineRule="exact"/>
        <w:outlineLvl w:val="0"/>
        <w:rPr>
          <w:rFonts w:ascii="宋体" w:hAnsi="宋体" w:cs="宋体"/>
          <w:bCs/>
          <w:color w:val="auto"/>
          <w:sz w:val="28"/>
          <w:szCs w:val="28"/>
          <w:highlight w:val="none"/>
        </w:rPr>
      </w:pPr>
    </w:p>
    <w:p w14:paraId="55DAA55A">
      <w:pPr>
        <w:spacing w:line="400" w:lineRule="exact"/>
        <w:outlineLvl w:val="0"/>
        <w:rPr>
          <w:rFonts w:ascii="宋体" w:hAnsi="宋体" w:cs="宋体"/>
          <w:bCs/>
          <w:color w:val="auto"/>
          <w:sz w:val="28"/>
          <w:szCs w:val="28"/>
          <w:highlight w:val="none"/>
        </w:rPr>
      </w:pPr>
    </w:p>
    <w:p w14:paraId="1FAE384B">
      <w:pPr>
        <w:spacing w:line="400" w:lineRule="exact"/>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附件</w:t>
      </w:r>
    </w:p>
    <w:p w14:paraId="2AE4DEED">
      <w:pPr>
        <w:spacing w:line="400" w:lineRule="exact"/>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细目报价表</w:t>
      </w:r>
    </w:p>
    <w:p w14:paraId="0BF17439">
      <w:pPr>
        <w:spacing w:line="400" w:lineRule="exact"/>
        <w:rPr>
          <w:rFonts w:ascii="宋体" w:hAnsi="宋体" w:cs="宋体"/>
          <w:bCs/>
          <w:color w:val="auto"/>
          <w:sz w:val="24"/>
          <w:highlight w:val="none"/>
        </w:rPr>
      </w:pPr>
      <w:r>
        <w:rPr>
          <w:rFonts w:hint="eastAsia" w:ascii="宋体" w:hAnsi="宋体" w:cs="宋体"/>
          <w:bCs/>
          <w:color w:val="auto"/>
          <w:sz w:val="24"/>
          <w:highlight w:val="none"/>
        </w:rPr>
        <w:t>投标人名称（盖章）                                  政府采购编号：</w:t>
      </w:r>
    </w:p>
    <w:tbl>
      <w:tblPr>
        <w:tblStyle w:val="32"/>
        <w:tblW w:w="10028"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1"/>
        <w:gridCol w:w="1984"/>
        <w:gridCol w:w="2126"/>
        <w:gridCol w:w="1276"/>
        <w:gridCol w:w="1701"/>
        <w:gridCol w:w="2410"/>
      </w:tblGrid>
      <w:tr w14:paraId="1510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trPr>
        <w:tc>
          <w:tcPr>
            <w:tcW w:w="531" w:type="dxa"/>
            <w:tcMar>
              <w:top w:w="15" w:type="dxa"/>
              <w:left w:w="15" w:type="dxa"/>
              <w:bottom w:w="0" w:type="dxa"/>
              <w:right w:w="15" w:type="dxa"/>
            </w:tcMar>
            <w:vAlign w:val="center"/>
          </w:tcPr>
          <w:p w14:paraId="686D1366">
            <w:pPr>
              <w:spacing w:before="72" w:after="72"/>
              <w:jc w:val="center"/>
              <w:rPr>
                <w:rFonts w:ascii="宋体" w:hAnsi="宋体" w:cs="宋体"/>
                <w:b/>
                <w:color w:val="auto"/>
                <w:highlight w:val="none"/>
              </w:rPr>
            </w:pPr>
            <w:r>
              <w:rPr>
                <w:rFonts w:hint="eastAsia" w:ascii="宋体" w:hAnsi="宋体" w:cs="宋体"/>
                <w:b/>
                <w:color w:val="auto"/>
                <w:highlight w:val="none"/>
              </w:rPr>
              <w:t>序号</w:t>
            </w:r>
          </w:p>
        </w:tc>
        <w:tc>
          <w:tcPr>
            <w:tcW w:w="1984" w:type="dxa"/>
            <w:tcMar>
              <w:top w:w="15" w:type="dxa"/>
              <w:left w:w="15" w:type="dxa"/>
              <w:bottom w:w="0" w:type="dxa"/>
              <w:right w:w="15" w:type="dxa"/>
            </w:tcMar>
            <w:vAlign w:val="center"/>
          </w:tcPr>
          <w:p w14:paraId="7CD9856E">
            <w:pPr>
              <w:spacing w:before="72" w:after="72"/>
              <w:jc w:val="center"/>
              <w:rPr>
                <w:rFonts w:ascii="宋体" w:hAnsi="宋体" w:cs="宋体"/>
                <w:b/>
                <w:color w:val="auto"/>
                <w:highlight w:val="none"/>
              </w:rPr>
            </w:pPr>
            <w:r>
              <w:rPr>
                <w:rFonts w:hint="eastAsia" w:ascii="宋体" w:hAnsi="宋体" w:cs="宋体"/>
                <w:b/>
                <w:color w:val="auto"/>
                <w:highlight w:val="none"/>
              </w:rPr>
              <w:t>名称</w:t>
            </w:r>
          </w:p>
        </w:tc>
        <w:tc>
          <w:tcPr>
            <w:tcW w:w="2126" w:type="dxa"/>
            <w:tcMar>
              <w:top w:w="15" w:type="dxa"/>
              <w:left w:w="15" w:type="dxa"/>
              <w:bottom w:w="0" w:type="dxa"/>
              <w:right w:w="15" w:type="dxa"/>
            </w:tcMar>
            <w:vAlign w:val="center"/>
          </w:tcPr>
          <w:p w14:paraId="3DEFBFF1">
            <w:pPr>
              <w:spacing w:before="72" w:after="72"/>
              <w:jc w:val="center"/>
              <w:rPr>
                <w:rFonts w:ascii="宋体" w:hAnsi="宋体" w:cs="宋体"/>
                <w:b/>
                <w:color w:val="auto"/>
                <w:highlight w:val="none"/>
              </w:rPr>
            </w:pPr>
            <w:r>
              <w:rPr>
                <w:rFonts w:hint="eastAsia" w:ascii="宋体" w:hAnsi="宋体" w:cs="宋体"/>
                <w:b/>
                <w:color w:val="auto"/>
                <w:highlight w:val="none"/>
              </w:rPr>
              <w:t>服务期</w:t>
            </w:r>
          </w:p>
        </w:tc>
        <w:tc>
          <w:tcPr>
            <w:tcW w:w="1276" w:type="dxa"/>
            <w:vAlign w:val="center"/>
          </w:tcPr>
          <w:p w14:paraId="5B3BF019">
            <w:pPr>
              <w:spacing w:before="72" w:after="72"/>
              <w:jc w:val="center"/>
              <w:rPr>
                <w:rFonts w:ascii="宋体" w:hAnsi="宋体" w:cs="宋体"/>
                <w:b/>
                <w:color w:val="auto"/>
                <w:highlight w:val="none"/>
              </w:rPr>
            </w:pPr>
            <w:r>
              <w:rPr>
                <w:rFonts w:hint="eastAsia" w:ascii="宋体" w:hAnsi="宋体" w:cs="宋体"/>
                <w:color w:val="auto"/>
                <w:highlight w:val="none"/>
              </w:rPr>
              <w:t>是否属于中、小、微型企业/残疾人福利企业/监狱企业</w:t>
            </w:r>
          </w:p>
        </w:tc>
        <w:tc>
          <w:tcPr>
            <w:tcW w:w="1701" w:type="dxa"/>
            <w:vAlign w:val="center"/>
          </w:tcPr>
          <w:p w14:paraId="646DC4E5">
            <w:pPr>
              <w:spacing w:before="72" w:after="72"/>
              <w:jc w:val="center"/>
              <w:rPr>
                <w:rFonts w:ascii="宋体" w:hAnsi="宋体" w:cs="宋体"/>
                <w:b/>
                <w:color w:val="auto"/>
                <w:highlight w:val="none"/>
              </w:rPr>
            </w:pPr>
            <w:r>
              <w:rPr>
                <w:rFonts w:hint="eastAsia" w:ascii="宋体" w:hAnsi="宋体" w:cs="宋体"/>
                <w:b/>
                <w:color w:val="auto"/>
                <w:highlight w:val="none"/>
              </w:rPr>
              <w:t>单报价（一年）</w:t>
            </w:r>
          </w:p>
        </w:tc>
        <w:tc>
          <w:tcPr>
            <w:tcW w:w="2410" w:type="dxa"/>
            <w:vAlign w:val="center"/>
          </w:tcPr>
          <w:p w14:paraId="6E8852EC">
            <w:pPr>
              <w:spacing w:before="72" w:after="72"/>
              <w:jc w:val="center"/>
              <w:rPr>
                <w:rFonts w:ascii="宋体" w:hAnsi="宋体" w:cs="宋体"/>
                <w:b/>
                <w:color w:val="auto"/>
                <w:highlight w:val="none"/>
              </w:rPr>
            </w:pPr>
            <w:r>
              <w:rPr>
                <w:rFonts w:hint="eastAsia" w:ascii="宋体" w:hAnsi="宋体" w:cs="宋体"/>
                <w:b/>
                <w:color w:val="auto"/>
                <w:highlight w:val="none"/>
              </w:rPr>
              <w:t>总报价（二年）</w:t>
            </w:r>
          </w:p>
        </w:tc>
      </w:tr>
      <w:tr w14:paraId="0566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tcMar>
              <w:top w:w="15" w:type="dxa"/>
              <w:left w:w="15" w:type="dxa"/>
              <w:bottom w:w="0" w:type="dxa"/>
              <w:right w:w="15" w:type="dxa"/>
            </w:tcMar>
            <w:vAlign w:val="center"/>
          </w:tcPr>
          <w:p w14:paraId="7E870B1B">
            <w:pPr>
              <w:spacing w:before="72" w:after="72"/>
              <w:jc w:val="center"/>
              <w:rPr>
                <w:rFonts w:ascii="宋体" w:hAnsi="宋体" w:cs="宋体"/>
                <w:color w:val="auto"/>
                <w:highlight w:val="none"/>
              </w:rPr>
            </w:pPr>
            <w:r>
              <w:rPr>
                <w:rFonts w:hint="eastAsia" w:ascii="宋体" w:hAnsi="宋体" w:cs="宋体"/>
                <w:color w:val="auto"/>
                <w:highlight w:val="none"/>
              </w:rPr>
              <w:t>1</w:t>
            </w:r>
          </w:p>
        </w:tc>
        <w:tc>
          <w:tcPr>
            <w:tcW w:w="1984" w:type="dxa"/>
            <w:tcMar>
              <w:top w:w="15" w:type="dxa"/>
              <w:left w:w="15" w:type="dxa"/>
              <w:bottom w:w="0" w:type="dxa"/>
              <w:right w:w="15" w:type="dxa"/>
            </w:tcMar>
            <w:vAlign w:val="center"/>
          </w:tcPr>
          <w:p w14:paraId="2AAA1C66">
            <w:pPr>
              <w:spacing w:before="72" w:after="72"/>
              <w:rPr>
                <w:rFonts w:ascii="宋体" w:hAnsi="宋体" w:cs="宋体"/>
                <w:color w:val="auto"/>
                <w:highlight w:val="none"/>
              </w:rPr>
            </w:pPr>
          </w:p>
        </w:tc>
        <w:tc>
          <w:tcPr>
            <w:tcW w:w="2126" w:type="dxa"/>
            <w:tcMar>
              <w:top w:w="15" w:type="dxa"/>
              <w:left w:w="15" w:type="dxa"/>
              <w:bottom w:w="0" w:type="dxa"/>
              <w:right w:w="15" w:type="dxa"/>
            </w:tcMar>
            <w:vAlign w:val="center"/>
          </w:tcPr>
          <w:p w14:paraId="3588A4DB">
            <w:pPr>
              <w:spacing w:before="72" w:after="72"/>
              <w:rPr>
                <w:rFonts w:ascii="宋体" w:hAnsi="宋体" w:cs="宋体"/>
                <w:bCs/>
                <w:color w:val="auto"/>
                <w:highlight w:val="none"/>
              </w:rPr>
            </w:pPr>
          </w:p>
        </w:tc>
        <w:tc>
          <w:tcPr>
            <w:tcW w:w="1276" w:type="dxa"/>
            <w:vAlign w:val="center"/>
          </w:tcPr>
          <w:p w14:paraId="11963FFB">
            <w:pPr>
              <w:spacing w:before="72" w:after="72"/>
              <w:jc w:val="center"/>
              <w:rPr>
                <w:rFonts w:ascii="宋体" w:hAnsi="宋体" w:cs="宋体"/>
                <w:b/>
                <w:bCs/>
                <w:color w:val="auto"/>
                <w:highlight w:val="none"/>
              </w:rPr>
            </w:pPr>
          </w:p>
        </w:tc>
        <w:tc>
          <w:tcPr>
            <w:tcW w:w="1701" w:type="dxa"/>
            <w:vAlign w:val="center"/>
          </w:tcPr>
          <w:p w14:paraId="337DF793">
            <w:pPr>
              <w:spacing w:before="72" w:after="72"/>
              <w:jc w:val="center"/>
              <w:rPr>
                <w:rFonts w:ascii="宋体" w:hAnsi="宋体" w:cs="宋体"/>
                <w:b/>
                <w:bCs/>
                <w:color w:val="auto"/>
                <w:highlight w:val="none"/>
              </w:rPr>
            </w:pPr>
          </w:p>
        </w:tc>
        <w:tc>
          <w:tcPr>
            <w:tcW w:w="2410" w:type="dxa"/>
            <w:vAlign w:val="center"/>
          </w:tcPr>
          <w:p w14:paraId="67D47A53">
            <w:pPr>
              <w:spacing w:before="72" w:after="72"/>
              <w:jc w:val="center"/>
              <w:rPr>
                <w:rFonts w:ascii="宋体" w:hAnsi="宋体" w:cs="宋体"/>
                <w:b/>
                <w:bCs/>
                <w:color w:val="auto"/>
                <w:highlight w:val="none"/>
              </w:rPr>
            </w:pPr>
          </w:p>
        </w:tc>
      </w:tr>
      <w:tr w14:paraId="38A58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tcMar>
              <w:top w:w="15" w:type="dxa"/>
              <w:left w:w="15" w:type="dxa"/>
              <w:bottom w:w="0" w:type="dxa"/>
              <w:right w:w="15" w:type="dxa"/>
            </w:tcMar>
            <w:vAlign w:val="center"/>
          </w:tcPr>
          <w:p w14:paraId="7111E94D">
            <w:pPr>
              <w:spacing w:before="72" w:after="72"/>
              <w:jc w:val="center"/>
              <w:rPr>
                <w:rFonts w:ascii="宋体" w:hAnsi="宋体" w:cs="宋体"/>
                <w:color w:val="auto"/>
                <w:highlight w:val="none"/>
              </w:rPr>
            </w:pPr>
            <w:r>
              <w:rPr>
                <w:rFonts w:hint="eastAsia" w:ascii="宋体" w:hAnsi="宋体" w:cs="宋体"/>
                <w:color w:val="auto"/>
                <w:highlight w:val="none"/>
              </w:rPr>
              <w:t>2</w:t>
            </w:r>
          </w:p>
        </w:tc>
        <w:tc>
          <w:tcPr>
            <w:tcW w:w="1984" w:type="dxa"/>
            <w:tcMar>
              <w:top w:w="15" w:type="dxa"/>
              <w:left w:w="15" w:type="dxa"/>
              <w:bottom w:w="0" w:type="dxa"/>
              <w:right w:w="15" w:type="dxa"/>
            </w:tcMar>
            <w:vAlign w:val="center"/>
          </w:tcPr>
          <w:p w14:paraId="6EE91DB1">
            <w:pPr>
              <w:spacing w:before="72" w:after="72"/>
              <w:rPr>
                <w:rFonts w:ascii="宋体" w:hAnsi="宋体" w:cs="宋体"/>
                <w:color w:val="auto"/>
                <w:highlight w:val="none"/>
              </w:rPr>
            </w:pPr>
          </w:p>
        </w:tc>
        <w:tc>
          <w:tcPr>
            <w:tcW w:w="2126" w:type="dxa"/>
            <w:tcMar>
              <w:top w:w="15" w:type="dxa"/>
              <w:left w:w="15" w:type="dxa"/>
              <w:bottom w:w="0" w:type="dxa"/>
              <w:right w:w="15" w:type="dxa"/>
            </w:tcMar>
            <w:vAlign w:val="center"/>
          </w:tcPr>
          <w:p w14:paraId="7FA338F3">
            <w:pPr>
              <w:spacing w:before="72" w:after="72"/>
              <w:rPr>
                <w:rFonts w:ascii="宋体" w:hAnsi="宋体" w:cs="宋体"/>
                <w:bCs/>
                <w:color w:val="auto"/>
                <w:highlight w:val="none"/>
              </w:rPr>
            </w:pPr>
          </w:p>
        </w:tc>
        <w:tc>
          <w:tcPr>
            <w:tcW w:w="1276" w:type="dxa"/>
            <w:vAlign w:val="center"/>
          </w:tcPr>
          <w:p w14:paraId="35842E1A">
            <w:pPr>
              <w:spacing w:before="72" w:after="72"/>
              <w:jc w:val="center"/>
              <w:rPr>
                <w:rFonts w:ascii="宋体" w:hAnsi="宋体" w:cs="宋体"/>
                <w:b/>
                <w:bCs/>
                <w:color w:val="auto"/>
                <w:highlight w:val="none"/>
              </w:rPr>
            </w:pPr>
          </w:p>
        </w:tc>
        <w:tc>
          <w:tcPr>
            <w:tcW w:w="1701" w:type="dxa"/>
            <w:vAlign w:val="center"/>
          </w:tcPr>
          <w:p w14:paraId="0FBA02DC">
            <w:pPr>
              <w:spacing w:before="72" w:after="72"/>
              <w:jc w:val="center"/>
              <w:rPr>
                <w:rFonts w:ascii="宋体" w:hAnsi="宋体" w:cs="宋体"/>
                <w:b/>
                <w:bCs/>
                <w:color w:val="auto"/>
                <w:highlight w:val="none"/>
              </w:rPr>
            </w:pPr>
          </w:p>
        </w:tc>
        <w:tc>
          <w:tcPr>
            <w:tcW w:w="2410" w:type="dxa"/>
            <w:vAlign w:val="center"/>
          </w:tcPr>
          <w:p w14:paraId="12C1943D">
            <w:pPr>
              <w:spacing w:before="72" w:after="72"/>
              <w:jc w:val="center"/>
              <w:rPr>
                <w:rFonts w:ascii="宋体" w:hAnsi="宋体" w:cs="宋体"/>
                <w:b/>
                <w:bCs/>
                <w:color w:val="auto"/>
                <w:highlight w:val="none"/>
              </w:rPr>
            </w:pPr>
          </w:p>
        </w:tc>
      </w:tr>
      <w:tr w14:paraId="6FD0D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531" w:type="dxa"/>
            <w:vMerge w:val="restart"/>
            <w:tcBorders>
              <w:top w:val="single" w:color="auto" w:sz="4" w:space="0"/>
              <w:left w:val="single" w:color="auto" w:sz="4" w:space="0"/>
              <w:right w:val="single" w:color="auto" w:sz="4" w:space="0"/>
            </w:tcBorders>
            <w:vAlign w:val="center"/>
          </w:tcPr>
          <w:p w14:paraId="336348B4">
            <w:pPr>
              <w:adjustRightInd w:val="0"/>
              <w:spacing w:before="72" w:after="72"/>
              <w:ind w:firstLine="105" w:firstLineChars="50"/>
              <w:textAlignment w:val="baseline"/>
              <w:rPr>
                <w:rFonts w:ascii="宋体" w:hAnsi="宋体" w:cs="宋体"/>
                <w:b/>
                <w:bCs/>
                <w:color w:val="auto"/>
                <w:highlight w:val="none"/>
              </w:rPr>
            </w:pPr>
            <w:r>
              <w:rPr>
                <w:rFonts w:hint="eastAsia" w:ascii="宋体" w:hAnsi="宋体" w:cs="宋体"/>
                <w:b/>
                <w:bCs/>
                <w:color w:val="auto"/>
                <w:highlight w:val="none"/>
              </w:rPr>
              <w:t>服</w:t>
            </w:r>
          </w:p>
          <w:p w14:paraId="0D894520">
            <w:pPr>
              <w:adjustRightInd w:val="0"/>
              <w:spacing w:before="72" w:after="72"/>
              <w:ind w:firstLine="105" w:firstLineChars="50"/>
              <w:textAlignment w:val="baseline"/>
              <w:rPr>
                <w:rFonts w:ascii="宋体" w:hAnsi="宋体" w:cs="宋体"/>
                <w:b/>
                <w:bCs/>
                <w:color w:val="auto"/>
                <w:highlight w:val="none"/>
              </w:rPr>
            </w:pPr>
            <w:r>
              <w:rPr>
                <w:rFonts w:hint="eastAsia" w:ascii="宋体" w:hAnsi="宋体" w:cs="宋体"/>
                <w:b/>
                <w:bCs/>
                <w:color w:val="auto"/>
                <w:highlight w:val="none"/>
              </w:rPr>
              <w:t>务</w:t>
            </w:r>
          </w:p>
          <w:p w14:paraId="0B184CA7">
            <w:pPr>
              <w:adjustRightInd w:val="0"/>
              <w:spacing w:before="72" w:after="72"/>
              <w:ind w:firstLine="105" w:firstLineChars="50"/>
              <w:textAlignment w:val="baseline"/>
              <w:rPr>
                <w:rFonts w:ascii="宋体" w:hAnsi="宋体" w:cs="宋体"/>
                <w:b/>
                <w:bCs/>
                <w:color w:val="auto"/>
                <w:highlight w:val="none"/>
              </w:rPr>
            </w:pPr>
            <w:r>
              <w:rPr>
                <w:rFonts w:hint="eastAsia" w:ascii="宋体" w:hAnsi="宋体" w:cs="宋体"/>
                <w:b/>
                <w:bCs/>
                <w:color w:val="auto"/>
                <w:highlight w:val="none"/>
              </w:rPr>
              <w:t>承</w:t>
            </w:r>
          </w:p>
          <w:p w14:paraId="2A406749">
            <w:pPr>
              <w:adjustRightInd w:val="0"/>
              <w:spacing w:before="72" w:after="72"/>
              <w:ind w:firstLine="105" w:firstLineChars="50"/>
              <w:textAlignment w:val="baseline"/>
              <w:rPr>
                <w:rFonts w:ascii="宋体" w:hAnsi="宋体" w:cs="宋体"/>
                <w:bCs/>
                <w:color w:val="auto"/>
                <w:highlight w:val="none"/>
              </w:rPr>
            </w:pPr>
            <w:r>
              <w:rPr>
                <w:rFonts w:hint="eastAsia" w:ascii="宋体" w:hAnsi="宋体" w:cs="宋体"/>
                <w:b/>
                <w:bCs/>
                <w:color w:val="auto"/>
                <w:highlight w:val="none"/>
              </w:rPr>
              <w:t>诺</w:t>
            </w:r>
          </w:p>
        </w:tc>
        <w:tc>
          <w:tcPr>
            <w:tcW w:w="9497" w:type="dxa"/>
            <w:gridSpan w:val="5"/>
            <w:tcBorders>
              <w:top w:val="single" w:color="auto" w:sz="4" w:space="0"/>
              <w:left w:val="single" w:color="auto" w:sz="4" w:space="0"/>
              <w:bottom w:val="single" w:color="auto" w:sz="4" w:space="0"/>
              <w:right w:val="single" w:color="auto" w:sz="4" w:space="0"/>
            </w:tcBorders>
            <w:vAlign w:val="center"/>
          </w:tcPr>
          <w:p w14:paraId="70E7E7C9">
            <w:pPr>
              <w:numPr>
                <w:ilvl w:val="0"/>
                <w:numId w:val="11"/>
              </w:numPr>
              <w:spacing w:before="72" w:after="72"/>
              <w:rPr>
                <w:rFonts w:ascii="宋体" w:hAnsi="宋体" w:cs="宋体"/>
                <w:bCs/>
                <w:color w:val="auto"/>
                <w:highlight w:val="none"/>
              </w:rPr>
            </w:pPr>
            <w:r>
              <w:rPr>
                <w:rFonts w:hint="eastAsia" w:ascii="宋体" w:hAnsi="宋体" w:cs="宋体"/>
                <w:bCs/>
                <w:color w:val="auto"/>
                <w:highlight w:val="none"/>
              </w:rPr>
              <w:t>质量 2.其他承诺</w:t>
            </w:r>
          </w:p>
          <w:p w14:paraId="6CE5458C">
            <w:pPr>
              <w:spacing w:before="72" w:after="72"/>
              <w:rPr>
                <w:rFonts w:ascii="宋体" w:hAnsi="宋体" w:cs="宋体"/>
                <w:bCs/>
                <w:color w:val="auto"/>
                <w:highlight w:val="none"/>
              </w:rPr>
            </w:pPr>
            <w:r>
              <w:rPr>
                <w:rFonts w:hint="eastAsia" w:ascii="宋体" w:hAnsi="宋体" w:cs="宋体"/>
                <w:bCs/>
                <w:color w:val="auto"/>
                <w:highlight w:val="none"/>
              </w:rPr>
              <w:t>（以上是主要承诺，供报价供应商参考，报价供应商应在满足磋商文件要求的基础上，根据自己单位的情况作出具体承诺）</w:t>
            </w:r>
          </w:p>
        </w:tc>
      </w:tr>
      <w:tr w14:paraId="33127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trPr>
        <w:tc>
          <w:tcPr>
            <w:tcW w:w="531" w:type="dxa"/>
            <w:vMerge w:val="continue"/>
            <w:tcBorders>
              <w:left w:val="single" w:color="auto" w:sz="4" w:space="0"/>
              <w:bottom w:val="single" w:color="auto" w:sz="4" w:space="0"/>
              <w:right w:val="single" w:color="auto" w:sz="4" w:space="0"/>
            </w:tcBorders>
            <w:vAlign w:val="center"/>
          </w:tcPr>
          <w:p w14:paraId="3692E6C6">
            <w:pPr>
              <w:adjustRightInd w:val="0"/>
              <w:spacing w:before="72" w:after="72"/>
              <w:ind w:firstLine="420"/>
              <w:textAlignment w:val="baseline"/>
              <w:rPr>
                <w:rFonts w:ascii="宋体" w:hAnsi="宋体" w:cs="宋体"/>
                <w:bCs/>
                <w:color w:val="auto"/>
                <w:highlight w:val="none"/>
              </w:rPr>
            </w:pPr>
          </w:p>
        </w:tc>
        <w:tc>
          <w:tcPr>
            <w:tcW w:w="9497" w:type="dxa"/>
            <w:gridSpan w:val="5"/>
            <w:tcBorders>
              <w:top w:val="single" w:color="auto" w:sz="4" w:space="0"/>
              <w:left w:val="single" w:color="auto" w:sz="4" w:space="0"/>
              <w:bottom w:val="single" w:color="auto" w:sz="4" w:space="0"/>
              <w:right w:val="single" w:color="auto" w:sz="4" w:space="0"/>
            </w:tcBorders>
            <w:vAlign w:val="center"/>
          </w:tcPr>
          <w:p w14:paraId="0BA62B38">
            <w:pPr>
              <w:spacing w:before="72" w:after="72"/>
              <w:rPr>
                <w:rFonts w:ascii="宋体" w:hAnsi="宋体" w:cs="宋体"/>
                <w:bCs/>
                <w:color w:val="auto"/>
                <w:highlight w:val="none"/>
              </w:rPr>
            </w:pPr>
          </w:p>
        </w:tc>
      </w:tr>
    </w:tbl>
    <w:p w14:paraId="4E8D9A3D">
      <w:pPr>
        <w:spacing w:beforeLines="100" w:after="72" w:line="312" w:lineRule="auto"/>
        <w:rPr>
          <w:rFonts w:ascii="宋体" w:hAnsi="宋体"/>
          <w:b/>
          <w:bCs/>
          <w:color w:val="auto"/>
          <w:highlight w:val="none"/>
        </w:rPr>
      </w:pPr>
      <w:r>
        <w:rPr>
          <w:rFonts w:hint="eastAsia" w:ascii="宋体" w:hAnsi="宋体"/>
          <w:b/>
          <w:bCs/>
          <w:color w:val="auto"/>
          <w:highlight w:val="none"/>
        </w:rPr>
        <w:t>法定代表人或法定代表人授权代表签字或盖章：</w:t>
      </w:r>
    </w:p>
    <w:p w14:paraId="7B33FD5C">
      <w:pPr>
        <w:spacing w:before="72" w:after="72" w:line="312" w:lineRule="auto"/>
        <w:outlineLvl w:val="0"/>
        <w:rPr>
          <w:rFonts w:ascii="宋体" w:hAnsi="宋体"/>
          <w:color w:val="auto"/>
          <w:highlight w:val="none"/>
        </w:rPr>
      </w:pPr>
      <w:r>
        <w:rPr>
          <w:rFonts w:hint="eastAsia" w:ascii="宋体" w:hAnsi="宋体"/>
          <w:b/>
          <w:color w:val="auto"/>
          <w:highlight w:val="none"/>
        </w:rPr>
        <w:t>注：</w:t>
      </w:r>
      <w:r>
        <w:rPr>
          <w:rFonts w:hint="eastAsia" w:ascii="宋体" w:hAnsi="宋体"/>
          <w:color w:val="auto"/>
          <w:highlight w:val="none"/>
        </w:rPr>
        <w:t>（1）在“是否属于小、微型企业”栏内填写“是”或“否”。报价供应商对所报相关数据的真实性负责，江苏苏咨工程咨询有限责任公司有权将相关内容进行公示；</w:t>
      </w:r>
    </w:p>
    <w:p w14:paraId="61952E1E">
      <w:pPr>
        <w:spacing w:before="72" w:after="72" w:line="312" w:lineRule="auto"/>
        <w:outlineLvl w:val="0"/>
        <w:rPr>
          <w:rFonts w:ascii="宋体" w:hAnsi="宋体"/>
          <w:color w:val="auto"/>
          <w:highlight w:val="none"/>
        </w:rPr>
      </w:pPr>
      <w:r>
        <w:rPr>
          <w:rFonts w:hint="eastAsia" w:ascii="宋体" w:hAnsi="宋体"/>
          <w:color w:val="auto"/>
          <w:highlight w:val="none"/>
        </w:rPr>
        <w:t>（2）在“是否属于监狱和戒毒企业产品”栏内填写“是”或“否”。监狱和戒毒企业参加政府采购活动视同小型、微型企业，享受评审价格扣除10%的政府采购优惠政策。参加报价的监狱和戒毒企业，应当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p>
    <w:p w14:paraId="68C2F808">
      <w:pPr>
        <w:spacing w:before="72" w:after="72" w:line="312" w:lineRule="auto"/>
        <w:outlineLvl w:val="0"/>
        <w:rPr>
          <w:rFonts w:ascii="宋体" w:hAnsi="宋体"/>
          <w:color w:val="auto"/>
          <w:highlight w:val="none"/>
        </w:rPr>
      </w:pPr>
      <w:r>
        <w:rPr>
          <w:rFonts w:hint="eastAsia" w:ascii="宋体" w:hAnsi="宋体"/>
          <w:color w:val="auto"/>
          <w:highlight w:val="none"/>
        </w:rPr>
        <w:t>（3）在“是否属于残疾人福利性单位产品”栏内填写“是”或“否”。残疾人福利性单位参加政府采购活动视同小型、微型企业，享受评审价格扣除10%的政府采购优惠政策。参加报价的残疾人福利性单位，应当提供《残疾人福利性单位声明函》。残疾人福利性单位属于小型、微型企业的，不重复享受政策。（按属于残疾人福利性单位产品细目报价表认真填写，如未按要求填写和提供有效声明函的，不得享受价格扣除。）</w:t>
      </w:r>
    </w:p>
    <w:p w14:paraId="5410EF4D">
      <w:pPr>
        <w:spacing w:before="72" w:after="72" w:line="312" w:lineRule="auto"/>
        <w:outlineLvl w:val="0"/>
        <w:rPr>
          <w:rFonts w:ascii="宋体" w:hAnsi="宋体"/>
          <w:color w:val="auto"/>
          <w:highlight w:val="none"/>
        </w:rPr>
      </w:pPr>
      <w:r>
        <w:rPr>
          <w:rFonts w:hint="eastAsia" w:ascii="宋体" w:hAnsi="宋体"/>
          <w:color w:val="auto"/>
          <w:highlight w:val="none"/>
        </w:rPr>
        <w:t>（4）报价供应商应当根据“采购需求”的内容在上表中详细填写；</w:t>
      </w:r>
    </w:p>
    <w:p w14:paraId="790654BB">
      <w:pPr>
        <w:outlineLvl w:val="0"/>
        <w:rPr>
          <w:rFonts w:ascii="宋体" w:hAnsi="宋体"/>
          <w:bCs/>
          <w:color w:val="auto"/>
          <w:szCs w:val="21"/>
          <w:highlight w:val="none"/>
        </w:rPr>
      </w:pPr>
      <w:r>
        <w:rPr>
          <w:rFonts w:hint="eastAsia" w:ascii="宋体" w:hAnsi="宋体"/>
          <w:color w:val="auto"/>
          <w:highlight w:val="none"/>
        </w:rPr>
        <w:t>（5）表格不够可自行延长。</w:t>
      </w:r>
    </w:p>
    <w:p w14:paraId="646CB802">
      <w:pPr>
        <w:widowControl/>
        <w:topLinePunct/>
        <w:spacing w:before="4" w:line="360" w:lineRule="auto"/>
        <w:ind w:left="6626" w:hanging="6626" w:hangingChars="2200"/>
        <w:jc w:val="center"/>
        <w:rPr>
          <w:rFonts w:ascii="宋体" w:hAnsi="宋体" w:cs="宋体"/>
          <w:b/>
          <w:color w:val="auto"/>
          <w:sz w:val="30"/>
          <w:szCs w:val="30"/>
          <w:highlight w:val="none"/>
        </w:rPr>
      </w:pPr>
    </w:p>
    <w:p w14:paraId="710D780A">
      <w:pPr>
        <w:widowControl/>
        <w:topLinePunct/>
        <w:spacing w:before="4" w:line="360" w:lineRule="auto"/>
        <w:ind w:left="6626" w:hanging="6626" w:hangingChars="2200"/>
        <w:jc w:val="center"/>
        <w:rPr>
          <w:rFonts w:ascii="宋体" w:hAnsi="宋体" w:cs="宋体"/>
          <w:b/>
          <w:color w:val="auto"/>
          <w:sz w:val="30"/>
          <w:szCs w:val="30"/>
          <w:highlight w:val="none"/>
        </w:rPr>
      </w:pPr>
    </w:p>
    <w:p w14:paraId="372815D5">
      <w:pPr>
        <w:widowControl/>
        <w:topLinePunct/>
        <w:spacing w:before="4" w:line="360" w:lineRule="auto"/>
        <w:ind w:left="6626" w:hanging="6626" w:hangingChars="2200"/>
        <w:jc w:val="center"/>
        <w:rPr>
          <w:rFonts w:ascii="宋体" w:hAnsi="宋体" w:cs="宋体"/>
          <w:b/>
          <w:color w:val="auto"/>
          <w:sz w:val="30"/>
          <w:szCs w:val="30"/>
          <w:highlight w:val="none"/>
        </w:rPr>
      </w:pPr>
    </w:p>
    <w:p w14:paraId="6069F0D1">
      <w:pPr>
        <w:widowControl/>
        <w:topLinePunct/>
        <w:spacing w:before="4" w:line="360" w:lineRule="auto"/>
        <w:ind w:left="6626" w:hanging="6626" w:hangingChars="2200"/>
        <w:jc w:val="center"/>
        <w:rPr>
          <w:rFonts w:ascii="宋体" w:hAnsi="宋体" w:cs="宋体"/>
          <w:b/>
          <w:color w:val="auto"/>
          <w:sz w:val="30"/>
          <w:szCs w:val="30"/>
          <w:highlight w:val="none"/>
        </w:rPr>
      </w:pPr>
    </w:p>
    <w:p w14:paraId="42EFEB2A">
      <w:pPr>
        <w:widowControl/>
        <w:topLinePunct/>
        <w:spacing w:before="4" w:line="360" w:lineRule="auto"/>
        <w:ind w:left="6626" w:hanging="6626" w:hangingChars="2200"/>
        <w:jc w:val="center"/>
        <w:rPr>
          <w:rFonts w:ascii="宋体" w:hAnsi="宋体" w:cs="宋体"/>
          <w:b/>
          <w:color w:val="auto"/>
          <w:sz w:val="30"/>
          <w:szCs w:val="30"/>
          <w:highlight w:val="none"/>
        </w:rPr>
      </w:pPr>
    </w:p>
    <w:p w14:paraId="5D6A5796">
      <w:pPr>
        <w:jc w:val="left"/>
        <w:outlineLvl w:val="0"/>
        <w:rPr>
          <w:rFonts w:ascii="黑体" w:hAnsi="宋体" w:eastAsia="黑体"/>
          <w:bCs/>
          <w:color w:val="auto"/>
          <w:sz w:val="24"/>
          <w:szCs w:val="22"/>
          <w:highlight w:val="none"/>
        </w:rPr>
      </w:pP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eastAsia="zh-CN"/>
        </w:rPr>
        <w:t>九</w:t>
      </w: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eastAsia="zh-CN"/>
        </w:rPr>
        <w:t>响应</w:t>
      </w:r>
      <w:r>
        <w:rPr>
          <w:rFonts w:hint="eastAsia" w:ascii="黑体" w:hAnsi="宋体" w:eastAsia="黑体"/>
          <w:bCs/>
          <w:color w:val="auto"/>
          <w:sz w:val="24"/>
          <w:szCs w:val="22"/>
          <w:highlight w:val="none"/>
        </w:rPr>
        <w:t>偏离表（</w:t>
      </w:r>
      <w:r>
        <w:rPr>
          <w:rFonts w:hint="eastAsia" w:ascii="黑体" w:hAnsi="宋体" w:eastAsia="黑体"/>
          <w:bCs/>
          <w:color w:val="auto"/>
          <w:sz w:val="24"/>
          <w:szCs w:val="22"/>
          <w:highlight w:val="none"/>
          <w:lang w:eastAsia="zh-CN"/>
        </w:rPr>
        <w:t>给定</w:t>
      </w:r>
      <w:r>
        <w:rPr>
          <w:rFonts w:hint="eastAsia" w:ascii="黑体" w:hAnsi="宋体" w:eastAsia="黑体"/>
          <w:bCs/>
          <w:color w:val="auto"/>
          <w:sz w:val="24"/>
          <w:szCs w:val="22"/>
          <w:highlight w:val="none"/>
        </w:rPr>
        <w:t>格式）：</w:t>
      </w:r>
    </w:p>
    <w:p w14:paraId="51C07D4D">
      <w:pPr>
        <w:ind w:firstLine="490"/>
        <w:jc w:val="center"/>
        <w:outlineLvl w:val="0"/>
        <w:rPr>
          <w:rFonts w:ascii="黑体" w:eastAsia="黑体"/>
          <w:bCs/>
          <w:color w:val="auto"/>
          <w:sz w:val="28"/>
          <w:szCs w:val="28"/>
          <w:highlight w:val="none"/>
        </w:rPr>
      </w:pPr>
    </w:p>
    <w:p w14:paraId="5777E4BB">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eastAsia="zh-CN"/>
        </w:rPr>
        <w:t>响应</w:t>
      </w:r>
      <w:r>
        <w:rPr>
          <w:rFonts w:hint="eastAsia" w:ascii="黑体" w:eastAsia="黑体"/>
          <w:bCs/>
          <w:color w:val="auto"/>
          <w:sz w:val="28"/>
          <w:szCs w:val="28"/>
          <w:highlight w:val="none"/>
        </w:rPr>
        <w:t>偏离表</w:t>
      </w:r>
    </w:p>
    <w:p w14:paraId="3F8E15D0">
      <w:pPr>
        <w:spacing w:line="400" w:lineRule="exact"/>
        <w:jc w:val="center"/>
        <w:outlineLvl w:val="0"/>
        <w:rPr>
          <w:rFonts w:ascii="黑体" w:eastAsia="黑体"/>
          <w:bCs/>
          <w:color w:val="auto"/>
          <w:sz w:val="28"/>
          <w:szCs w:val="28"/>
          <w:highlight w:val="none"/>
        </w:rPr>
      </w:pPr>
    </w:p>
    <w:p w14:paraId="78A8BA27">
      <w:pPr>
        <w:spacing w:line="400" w:lineRule="exact"/>
        <w:jc w:val="center"/>
        <w:outlineLvl w:val="0"/>
        <w:rPr>
          <w:rFonts w:ascii="黑体" w:eastAsia="黑体"/>
          <w:bCs/>
          <w:color w:val="auto"/>
          <w:sz w:val="28"/>
          <w:szCs w:val="28"/>
          <w:highlight w:val="none"/>
        </w:rPr>
      </w:pPr>
    </w:p>
    <w:p w14:paraId="617F57FF">
      <w:pPr>
        <w:spacing w:line="400" w:lineRule="exact"/>
        <w:rPr>
          <w:rFonts w:ascii="黑体" w:eastAsia="黑体"/>
          <w:bCs/>
          <w:color w:val="auto"/>
          <w:sz w:val="24"/>
          <w:highlight w:val="none"/>
        </w:rPr>
      </w:pPr>
      <w:r>
        <w:rPr>
          <w:rFonts w:hint="eastAsia" w:ascii="黑体" w:eastAsia="黑体"/>
          <w:bCs/>
          <w:color w:val="auto"/>
          <w:sz w:val="24"/>
          <w:highlight w:val="none"/>
        </w:rPr>
        <w:t xml:space="preserve">项目编号： </w:t>
      </w:r>
    </w:p>
    <w:tbl>
      <w:tblPr>
        <w:tblStyle w:val="32"/>
        <w:tblW w:w="9885" w:type="dxa"/>
        <w:jc w:val="center"/>
        <w:tblLayout w:type="fixed"/>
        <w:tblCellMar>
          <w:top w:w="15" w:type="dxa"/>
          <w:left w:w="15" w:type="dxa"/>
          <w:bottom w:w="0" w:type="dxa"/>
          <w:right w:w="15" w:type="dxa"/>
        </w:tblCellMar>
      </w:tblPr>
      <w:tblGrid>
        <w:gridCol w:w="1905"/>
        <w:gridCol w:w="2835"/>
        <w:gridCol w:w="2835"/>
        <w:gridCol w:w="2310"/>
      </w:tblGrid>
      <w:tr w14:paraId="327B173E">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89D5DA">
            <w:pPr>
              <w:jc w:val="center"/>
              <w:rPr>
                <w:rFonts w:ascii="宋体"/>
                <w:b/>
                <w:bCs/>
                <w:color w:val="auto"/>
                <w:sz w:val="24"/>
                <w:highlight w:val="none"/>
              </w:rPr>
            </w:pPr>
            <w:r>
              <w:rPr>
                <w:rFonts w:hint="eastAsia" w:ascii="宋体" w:hAnsi="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0F2121EE">
            <w:pPr>
              <w:jc w:val="center"/>
              <w:rPr>
                <w:rFonts w:ascii="宋体"/>
                <w:b/>
                <w:bCs/>
                <w:color w:val="auto"/>
                <w:sz w:val="24"/>
                <w:highlight w:val="none"/>
              </w:rPr>
            </w:pPr>
            <w:r>
              <w:rPr>
                <w:rFonts w:hint="eastAsia" w:ascii="宋体" w:hAnsi="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6FB501F8">
            <w:pPr>
              <w:jc w:val="center"/>
              <w:rPr>
                <w:rFonts w:ascii="宋体"/>
                <w:b/>
                <w:bCs/>
                <w:color w:val="auto"/>
                <w:sz w:val="24"/>
                <w:highlight w:val="none"/>
              </w:rPr>
            </w:pPr>
            <w:r>
              <w:rPr>
                <w:rFonts w:hint="eastAsia" w:ascii="宋体" w:hAnsi="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53B105F">
            <w:pPr>
              <w:jc w:val="center"/>
              <w:rPr>
                <w:rFonts w:ascii="宋体"/>
                <w:b/>
                <w:bCs/>
                <w:color w:val="auto"/>
                <w:sz w:val="24"/>
                <w:highlight w:val="none"/>
              </w:rPr>
            </w:pPr>
            <w:r>
              <w:rPr>
                <w:rFonts w:hint="eastAsia" w:ascii="宋体" w:hAnsi="宋体"/>
                <w:b/>
                <w:bCs/>
                <w:color w:val="auto"/>
                <w:sz w:val="24"/>
                <w:highlight w:val="none"/>
              </w:rPr>
              <w:t>偏离说明</w:t>
            </w:r>
          </w:p>
        </w:tc>
      </w:tr>
      <w:tr w14:paraId="409F7AE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4C73A6">
            <w:pPr>
              <w:jc w:val="center"/>
              <w:rPr>
                <w:rFonts w:ascii="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677505F">
            <w:pPr>
              <w:rPr>
                <w:rFonts w:ascii="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6983D19">
            <w:pPr>
              <w:jc w:val="center"/>
              <w:rPr>
                <w:rFonts w:ascii="宋体"/>
                <w:bCs/>
                <w:color w:val="auto"/>
                <w:sz w:val="2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A1A18AA">
            <w:pPr>
              <w:jc w:val="center"/>
              <w:rPr>
                <w:rFonts w:ascii="宋体"/>
                <w:bCs/>
                <w:color w:val="auto"/>
                <w:sz w:val="20"/>
                <w:szCs w:val="20"/>
                <w:highlight w:val="none"/>
              </w:rPr>
            </w:pPr>
          </w:p>
        </w:tc>
      </w:tr>
    </w:tbl>
    <w:p w14:paraId="163E6F58">
      <w:pPr>
        <w:rPr>
          <w:rFonts w:ascii="宋体" w:eastAsia="黑体"/>
          <w:b/>
          <w:color w:val="auto"/>
          <w:sz w:val="24"/>
          <w:highlight w:val="none"/>
        </w:rPr>
      </w:pPr>
      <w:r>
        <w:rPr>
          <w:rFonts w:hint="eastAsia" w:ascii="黑体" w:eastAsia="黑体"/>
          <w:bCs/>
          <w:color w:val="auto"/>
          <w:sz w:val="24"/>
          <w:highlight w:val="none"/>
          <w:lang w:eastAsia="zh-CN"/>
        </w:rPr>
        <w:t>报价</w:t>
      </w:r>
      <w:r>
        <w:rPr>
          <w:rFonts w:hint="eastAsia" w:ascii="黑体" w:eastAsia="黑体"/>
          <w:bCs/>
          <w:color w:val="auto"/>
          <w:sz w:val="24"/>
          <w:highlight w:val="none"/>
        </w:rPr>
        <w:t>人名称（盖章）：</w:t>
      </w:r>
    </w:p>
    <w:p w14:paraId="20FECE58">
      <w:pPr>
        <w:outlineLvl w:val="0"/>
        <w:rPr>
          <w:rFonts w:ascii="宋体" w:hAnsi="宋体"/>
          <w:bCs/>
          <w:i/>
          <w:color w:val="auto"/>
          <w:sz w:val="24"/>
          <w:highlight w:val="none"/>
        </w:rPr>
      </w:pPr>
    </w:p>
    <w:p w14:paraId="592CBBEB">
      <w:pPr>
        <w:ind w:firstLine="420"/>
        <w:outlineLvl w:val="0"/>
        <w:rPr>
          <w:rFonts w:ascii="宋体" w:hAnsi="宋体"/>
          <w:bCs/>
          <w:color w:val="auto"/>
          <w:sz w:val="24"/>
          <w:highlight w:val="none"/>
        </w:rPr>
      </w:pPr>
      <w:r>
        <w:rPr>
          <w:rFonts w:hint="eastAsia" w:ascii="宋体" w:hAnsi="宋体"/>
          <w:bCs/>
          <w:color w:val="auto"/>
          <w:sz w:val="24"/>
          <w:highlight w:val="none"/>
        </w:rPr>
        <w:t>注：（</w:t>
      </w:r>
      <w:r>
        <w:rPr>
          <w:rFonts w:ascii="宋体" w:hAnsi="宋体"/>
          <w:bCs/>
          <w:color w:val="auto"/>
          <w:sz w:val="24"/>
          <w:highlight w:val="none"/>
        </w:rPr>
        <w:t>1</w:t>
      </w:r>
      <w:r>
        <w:rPr>
          <w:rFonts w:hint="eastAsia" w:ascii="宋体" w:hAnsi="宋体"/>
          <w:bCs/>
          <w:color w:val="auto"/>
          <w:sz w:val="24"/>
          <w:highlight w:val="none"/>
        </w:rPr>
        <w:t>）本表不得删除；</w:t>
      </w:r>
    </w:p>
    <w:p w14:paraId="08F9B39A">
      <w:pPr>
        <w:ind w:firstLine="420"/>
        <w:outlineLvl w:val="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）如无任何服务偏离，请于本表 “偏离说明”中注明“无偏离”；</w:t>
      </w:r>
    </w:p>
    <w:p w14:paraId="0CE2FA7C">
      <w:pPr>
        <w:ind w:firstLine="420"/>
        <w:outlineLvl w:val="0"/>
        <w:rPr>
          <w:rFonts w:ascii="宋体" w:hAnsi="宋体"/>
          <w:bCs/>
          <w:color w:val="auto"/>
          <w:sz w:val="24"/>
          <w:highlight w:val="none"/>
        </w:rPr>
      </w:pPr>
      <w:r>
        <w:rPr>
          <w:rFonts w:hint="eastAsia" w:ascii="宋体" w:hAnsi="宋体"/>
          <w:bCs/>
          <w:color w:val="auto"/>
          <w:sz w:val="24"/>
          <w:highlight w:val="none"/>
        </w:rPr>
        <w:t xml:space="preserve">   （3）如有服务偏离项，请于本表中列明偏离内容，如需要可自行延长，其余无偏离内容不须赘述。</w:t>
      </w:r>
    </w:p>
    <w:p w14:paraId="2A37E69A">
      <w:pPr>
        <w:spacing w:line="400" w:lineRule="exact"/>
        <w:jc w:val="center"/>
        <w:outlineLvl w:val="0"/>
        <w:rPr>
          <w:rFonts w:hint="eastAsia" w:ascii="黑体" w:eastAsia="黑体"/>
          <w:bCs/>
          <w:color w:val="auto"/>
          <w:sz w:val="28"/>
          <w:szCs w:val="28"/>
          <w:highlight w:val="none"/>
          <w:lang w:eastAsia="zh-CN"/>
        </w:rPr>
      </w:pPr>
    </w:p>
    <w:p w14:paraId="594A2122">
      <w:pPr>
        <w:spacing w:line="400" w:lineRule="exact"/>
        <w:jc w:val="center"/>
        <w:outlineLvl w:val="0"/>
        <w:rPr>
          <w:rFonts w:hint="eastAsia" w:ascii="黑体" w:eastAsia="黑体"/>
          <w:bCs/>
          <w:color w:val="auto"/>
          <w:sz w:val="28"/>
          <w:szCs w:val="28"/>
          <w:highlight w:val="none"/>
          <w:lang w:eastAsia="zh-CN"/>
        </w:rPr>
      </w:pPr>
    </w:p>
    <w:p w14:paraId="4FFBF8F9">
      <w:pPr>
        <w:spacing w:line="400" w:lineRule="exact"/>
        <w:jc w:val="center"/>
        <w:outlineLvl w:val="0"/>
        <w:rPr>
          <w:rFonts w:hint="eastAsia" w:ascii="黑体" w:eastAsia="黑体"/>
          <w:bCs/>
          <w:color w:val="auto"/>
          <w:sz w:val="28"/>
          <w:szCs w:val="28"/>
          <w:highlight w:val="none"/>
          <w:lang w:eastAsia="zh-CN"/>
        </w:rPr>
      </w:pPr>
    </w:p>
    <w:p w14:paraId="74E0D3B6">
      <w:pPr>
        <w:spacing w:line="400" w:lineRule="exact"/>
        <w:jc w:val="center"/>
        <w:outlineLvl w:val="0"/>
        <w:rPr>
          <w:rFonts w:hint="eastAsia" w:ascii="黑体" w:eastAsia="黑体"/>
          <w:bCs/>
          <w:color w:val="auto"/>
          <w:sz w:val="28"/>
          <w:szCs w:val="28"/>
          <w:highlight w:val="none"/>
          <w:lang w:eastAsia="zh-CN"/>
        </w:rPr>
      </w:pPr>
    </w:p>
    <w:p w14:paraId="52B67A99">
      <w:pPr>
        <w:spacing w:line="400" w:lineRule="exact"/>
        <w:jc w:val="center"/>
        <w:outlineLvl w:val="0"/>
        <w:rPr>
          <w:rFonts w:hint="eastAsia" w:ascii="黑体" w:eastAsia="黑体"/>
          <w:bCs/>
          <w:color w:val="auto"/>
          <w:sz w:val="28"/>
          <w:szCs w:val="28"/>
          <w:highlight w:val="none"/>
          <w:lang w:eastAsia="zh-CN"/>
        </w:rPr>
      </w:pPr>
    </w:p>
    <w:p w14:paraId="1FD6B1E7">
      <w:pPr>
        <w:spacing w:line="400" w:lineRule="exact"/>
        <w:jc w:val="center"/>
        <w:outlineLvl w:val="0"/>
        <w:rPr>
          <w:rFonts w:hint="eastAsia" w:ascii="黑体" w:eastAsia="黑体"/>
          <w:bCs/>
          <w:color w:val="auto"/>
          <w:sz w:val="28"/>
          <w:szCs w:val="28"/>
          <w:highlight w:val="none"/>
          <w:lang w:eastAsia="zh-CN"/>
        </w:rPr>
      </w:pPr>
    </w:p>
    <w:p w14:paraId="2FD2EF28">
      <w:pPr>
        <w:spacing w:line="400" w:lineRule="exact"/>
        <w:jc w:val="center"/>
        <w:outlineLvl w:val="0"/>
        <w:rPr>
          <w:rFonts w:hint="eastAsia" w:ascii="黑体" w:eastAsia="黑体"/>
          <w:bCs/>
          <w:color w:val="auto"/>
          <w:sz w:val="28"/>
          <w:szCs w:val="28"/>
          <w:highlight w:val="none"/>
          <w:lang w:eastAsia="zh-CN"/>
        </w:rPr>
      </w:pPr>
    </w:p>
    <w:p w14:paraId="1CDEC544">
      <w:pPr>
        <w:spacing w:line="400" w:lineRule="exact"/>
        <w:jc w:val="center"/>
        <w:outlineLvl w:val="0"/>
        <w:rPr>
          <w:rFonts w:hint="eastAsia" w:ascii="黑体" w:eastAsia="黑体"/>
          <w:bCs/>
          <w:color w:val="auto"/>
          <w:sz w:val="28"/>
          <w:szCs w:val="28"/>
          <w:highlight w:val="none"/>
          <w:lang w:eastAsia="zh-CN"/>
        </w:rPr>
      </w:pPr>
    </w:p>
    <w:p w14:paraId="725482DC">
      <w:pPr>
        <w:spacing w:line="400" w:lineRule="exact"/>
        <w:jc w:val="center"/>
        <w:outlineLvl w:val="0"/>
        <w:rPr>
          <w:rFonts w:hint="eastAsia" w:ascii="黑体" w:eastAsia="黑体"/>
          <w:bCs/>
          <w:color w:val="auto"/>
          <w:sz w:val="28"/>
          <w:szCs w:val="28"/>
          <w:highlight w:val="none"/>
          <w:lang w:eastAsia="zh-CN"/>
        </w:rPr>
      </w:pPr>
    </w:p>
    <w:p w14:paraId="3EB18C54">
      <w:pPr>
        <w:spacing w:line="400" w:lineRule="exact"/>
        <w:jc w:val="center"/>
        <w:outlineLvl w:val="0"/>
        <w:rPr>
          <w:rFonts w:hint="eastAsia" w:ascii="黑体" w:eastAsia="黑体"/>
          <w:bCs/>
          <w:color w:val="auto"/>
          <w:sz w:val="28"/>
          <w:szCs w:val="28"/>
          <w:highlight w:val="none"/>
          <w:lang w:eastAsia="zh-CN"/>
        </w:rPr>
      </w:pPr>
    </w:p>
    <w:p w14:paraId="64E9BB80">
      <w:pPr>
        <w:spacing w:line="400" w:lineRule="exact"/>
        <w:jc w:val="center"/>
        <w:outlineLvl w:val="0"/>
        <w:rPr>
          <w:rFonts w:hint="eastAsia" w:ascii="黑体" w:eastAsia="黑体"/>
          <w:bCs/>
          <w:color w:val="auto"/>
          <w:sz w:val="28"/>
          <w:szCs w:val="28"/>
          <w:highlight w:val="none"/>
          <w:lang w:eastAsia="zh-CN"/>
        </w:rPr>
      </w:pPr>
    </w:p>
    <w:p w14:paraId="0B5D8A6D">
      <w:pPr>
        <w:spacing w:line="400" w:lineRule="exact"/>
        <w:jc w:val="center"/>
        <w:outlineLvl w:val="0"/>
        <w:rPr>
          <w:rFonts w:hint="eastAsia" w:ascii="黑体" w:eastAsia="黑体"/>
          <w:bCs/>
          <w:color w:val="auto"/>
          <w:sz w:val="28"/>
          <w:szCs w:val="28"/>
          <w:highlight w:val="none"/>
          <w:lang w:eastAsia="zh-CN"/>
        </w:rPr>
      </w:pPr>
    </w:p>
    <w:p w14:paraId="073B4221">
      <w:pPr>
        <w:spacing w:line="400" w:lineRule="exact"/>
        <w:jc w:val="center"/>
        <w:outlineLvl w:val="0"/>
        <w:rPr>
          <w:rFonts w:hint="eastAsia" w:ascii="黑体" w:eastAsia="黑体"/>
          <w:bCs/>
          <w:color w:val="auto"/>
          <w:sz w:val="28"/>
          <w:szCs w:val="28"/>
          <w:highlight w:val="none"/>
          <w:lang w:eastAsia="zh-CN"/>
        </w:rPr>
      </w:pPr>
    </w:p>
    <w:p w14:paraId="718902E4">
      <w:pPr>
        <w:spacing w:line="400" w:lineRule="exact"/>
        <w:jc w:val="center"/>
        <w:outlineLvl w:val="0"/>
        <w:rPr>
          <w:rFonts w:hint="eastAsia" w:ascii="黑体" w:eastAsia="黑体"/>
          <w:bCs/>
          <w:color w:val="auto"/>
          <w:sz w:val="28"/>
          <w:szCs w:val="28"/>
          <w:highlight w:val="none"/>
          <w:lang w:eastAsia="zh-CN"/>
        </w:rPr>
      </w:pPr>
    </w:p>
    <w:p w14:paraId="2EAF40E1">
      <w:pPr>
        <w:spacing w:line="400" w:lineRule="exact"/>
        <w:jc w:val="center"/>
        <w:outlineLvl w:val="0"/>
        <w:rPr>
          <w:rFonts w:hint="eastAsia" w:ascii="黑体" w:eastAsia="黑体"/>
          <w:bCs/>
          <w:color w:val="auto"/>
          <w:sz w:val="28"/>
          <w:szCs w:val="28"/>
          <w:highlight w:val="none"/>
          <w:lang w:eastAsia="zh-CN"/>
        </w:rPr>
      </w:pPr>
    </w:p>
    <w:p w14:paraId="4B4B547F">
      <w:pPr>
        <w:spacing w:line="400" w:lineRule="exact"/>
        <w:jc w:val="center"/>
        <w:outlineLvl w:val="0"/>
        <w:rPr>
          <w:rFonts w:hint="eastAsia" w:ascii="黑体" w:eastAsia="黑体"/>
          <w:bCs/>
          <w:color w:val="auto"/>
          <w:sz w:val="28"/>
          <w:szCs w:val="28"/>
          <w:highlight w:val="none"/>
          <w:lang w:eastAsia="zh-CN"/>
        </w:rPr>
      </w:pPr>
    </w:p>
    <w:p w14:paraId="614B9C7B">
      <w:pPr>
        <w:spacing w:line="400" w:lineRule="exact"/>
        <w:jc w:val="center"/>
        <w:outlineLvl w:val="0"/>
        <w:rPr>
          <w:rFonts w:hint="eastAsia" w:ascii="黑体" w:eastAsia="黑体"/>
          <w:bCs/>
          <w:color w:val="auto"/>
          <w:sz w:val="28"/>
          <w:szCs w:val="28"/>
          <w:highlight w:val="none"/>
          <w:lang w:eastAsia="zh-CN"/>
        </w:rPr>
      </w:pPr>
    </w:p>
    <w:p w14:paraId="7162352E">
      <w:pPr>
        <w:spacing w:line="400" w:lineRule="exact"/>
        <w:jc w:val="center"/>
        <w:outlineLvl w:val="0"/>
        <w:rPr>
          <w:rFonts w:hint="eastAsia" w:ascii="黑体" w:eastAsia="黑体"/>
          <w:bCs/>
          <w:color w:val="auto"/>
          <w:sz w:val="28"/>
          <w:szCs w:val="28"/>
          <w:highlight w:val="none"/>
          <w:lang w:eastAsia="zh-CN"/>
        </w:rPr>
      </w:pPr>
    </w:p>
    <w:p w14:paraId="3B949411">
      <w:pPr>
        <w:spacing w:line="400" w:lineRule="exact"/>
        <w:jc w:val="center"/>
        <w:outlineLvl w:val="0"/>
        <w:rPr>
          <w:rFonts w:hint="eastAsia" w:ascii="黑体" w:eastAsia="黑体"/>
          <w:bCs/>
          <w:color w:val="auto"/>
          <w:sz w:val="28"/>
          <w:szCs w:val="28"/>
          <w:highlight w:val="none"/>
          <w:lang w:eastAsia="zh-CN"/>
        </w:rPr>
      </w:pPr>
    </w:p>
    <w:p w14:paraId="63DDE864">
      <w:pPr>
        <w:spacing w:line="400" w:lineRule="exact"/>
        <w:jc w:val="center"/>
        <w:outlineLvl w:val="0"/>
        <w:rPr>
          <w:rFonts w:hint="eastAsia" w:ascii="黑体" w:eastAsia="黑体"/>
          <w:bCs/>
          <w:color w:val="auto"/>
          <w:sz w:val="28"/>
          <w:szCs w:val="28"/>
          <w:highlight w:val="none"/>
          <w:lang w:eastAsia="zh-CN"/>
        </w:rPr>
      </w:pPr>
    </w:p>
    <w:p w14:paraId="4E13E074">
      <w:pPr>
        <w:spacing w:line="400" w:lineRule="exact"/>
        <w:jc w:val="center"/>
        <w:outlineLvl w:val="0"/>
        <w:rPr>
          <w:rFonts w:hint="eastAsia" w:ascii="黑体" w:eastAsia="黑体"/>
          <w:bCs/>
          <w:color w:val="auto"/>
          <w:sz w:val="28"/>
          <w:szCs w:val="28"/>
          <w:highlight w:val="none"/>
          <w:lang w:eastAsia="zh-CN"/>
        </w:rPr>
      </w:pPr>
    </w:p>
    <w:p w14:paraId="78B1D0C2">
      <w:pPr>
        <w:spacing w:line="400" w:lineRule="exact"/>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eastAsia="zh-CN"/>
        </w:rPr>
        <w:t>十、</w:t>
      </w:r>
      <w:r>
        <w:rPr>
          <w:rFonts w:hint="eastAsia" w:ascii="黑体" w:eastAsia="黑体"/>
          <w:bCs/>
          <w:color w:val="auto"/>
          <w:sz w:val="28"/>
          <w:szCs w:val="28"/>
          <w:highlight w:val="none"/>
        </w:rPr>
        <w:t>服务人员配备表</w:t>
      </w:r>
    </w:p>
    <w:p w14:paraId="40759B1B">
      <w:pPr>
        <w:pStyle w:val="13"/>
        <w:rPr>
          <w:b/>
          <w:color w:val="auto"/>
          <w:sz w:val="24"/>
          <w:szCs w:val="24"/>
          <w:highlight w:val="none"/>
        </w:rPr>
      </w:pPr>
      <w:r>
        <w:rPr>
          <w:rFonts w:hint="eastAsia"/>
          <w:color w:val="auto"/>
          <w:sz w:val="24"/>
          <w:szCs w:val="24"/>
          <w:highlight w:val="none"/>
        </w:rPr>
        <w:t>参与项目</w:t>
      </w:r>
      <w:r>
        <w:rPr>
          <w:color w:val="auto"/>
          <w:sz w:val="24"/>
          <w:szCs w:val="24"/>
          <w:highlight w:val="none"/>
        </w:rPr>
        <w:t>人员情况表</w:t>
      </w:r>
    </w:p>
    <w:p w14:paraId="39D241FA">
      <w:pPr>
        <w:jc w:val="right"/>
        <w:rPr>
          <w:color w:val="auto"/>
          <w:highlight w:val="none"/>
        </w:rPr>
      </w:pPr>
    </w:p>
    <w:tbl>
      <w:tblPr>
        <w:tblStyle w:val="32"/>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1293"/>
        <w:gridCol w:w="1293"/>
        <w:gridCol w:w="1295"/>
        <w:gridCol w:w="1244"/>
        <w:gridCol w:w="1685"/>
        <w:gridCol w:w="1293"/>
      </w:tblGrid>
      <w:tr w14:paraId="2BB0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vAlign w:val="center"/>
          </w:tcPr>
          <w:p w14:paraId="33D697D4">
            <w:pPr>
              <w:spacing w:beforeLines="20" w:line="400" w:lineRule="exact"/>
              <w:jc w:val="center"/>
              <w:rPr>
                <w:b/>
                <w:color w:val="auto"/>
                <w:szCs w:val="21"/>
                <w:highlight w:val="none"/>
              </w:rPr>
            </w:pPr>
            <w:r>
              <w:rPr>
                <w:b/>
                <w:color w:val="auto"/>
                <w:szCs w:val="21"/>
                <w:highlight w:val="none"/>
              </w:rPr>
              <w:t>序号</w:t>
            </w:r>
          </w:p>
        </w:tc>
        <w:tc>
          <w:tcPr>
            <w:tcW w:w="1293" w:type="dxa"/>
            <w:vAlign w:val="center"/>
          </w:tcPr>
          <w:p w14:paraId="07B01AF1">
            <w:pPr>
              <w:spacing w:beforeLines="20" w:line="400" w:lineRule="exact"/>
              <w:jc w:val="center"/>
              <w:rPr>
                <w:b/>
                <w:color w:val="auto"/>
                <w:szCs w:val="21"/>
                <w:highlight w:val="none"/>
              </w:rPr>
            </w:pPr>
            <w:r>
              <w:rPr>
                <w:b/>
                <w:color w:val="auto"/>
                <w:szCs w:val="21"/>
                <w:highlight w:val="none"/>
              </w:rPr>
              <w:t>姓名</w:t>
            </w:r>
          </w:p>
        </w:tc>
        <w:tc>
          <w:tcPr>
            <w:tcW w:w="1293" w:type="dxa"/>
            <w:vAlign w:val="center"/>
          </w:tcPr>
          <w:p w14:paraId="6315E617">
            <w:pPr>
              <w:spacing w:beforeLines="20" w:line="400" w:lineRule="exact"/>
              <w:jc w:val="center"/>
              <w:rPr>
                <w:b/>
                <w:color w:val="auto"/>
                <w:szCs w:val="21"/>
                <w:highlight w:val="none"/>
              </w:rPr>
            </w:pPr>
            <w:r>
              <w:rPr>
                <w:b/>
                <w:color w:val="auto"/>
                <w:szCs w:val="21"/>
                <w:highlight w:val="none"/>
              </w:rPr>
              <w:t>年龄</w:t>
            </w:r>
          </w:p>
        </w:tc>
        <w:tc>
          <w:tcPr>
            <w:tcW w:w="1295" w:type="dxa"/>
            <w:vAlign w:val="center"/>
          </w:tcPr>
          <w:p w14:paraId="3536D13C">
            <w:pPr>
              <w:spacing w:beforeLines="20" w:line="400" w:lineRule="exact"/>
              <w:jc w:val="center"/>
              <w:rPr>
                <w:b/>
                <w:color w:val="auto"/>
                <w:szCs w:val="21"/>
                <w:highlight w:val="none"/>
              </w:rPr>
            </w:pPr>
            <w:r>
              <w:rPr>
                <w:b/>
                <w:color w:val="auto"/>
                <w:szCs w:val="21"/>
                <w:highlight w:val="none"/>
              </w:rPr>
              <w:t>专业</w:t>
            </w:r>
          </w:p>
        </w:tc>
        <w:tc>
          <w:tcPr>
            <w:tcW w:w="1244" w:type="dxa"/>
            <w:vAlign w:val="center"/>
          </w:tcPr>
          <w:p w14:paraId="2D454681">
            <w:pPr>
              <w:spacing w:beforeLines="20" w:line="400" w:lineRule="exact"/>
              <w:jc w:val="center"/>
              <w:rPr>
                <w:b/>
                <w:color w:val="auto"/>
                <w:szCs w:val="21"/>
                <w:highlight w:val="none"/>
              </w:rPr>
            </w:pPr>
            <w:r>
              <w:rPr>
                <w:b/>
                <w:color w:val="auto"/>
                <w:szCs w:val="21"/>
                <w:highlight w:val="none"/>
              </w:rPr>
              <w:t>岗位</w:t>
            </w:r>
          </w:p>
        </w:tc>
        <w:tc>
          <w:tcPr>
            <w:tcW w:w="1685" w:type="dxa"/>
            <w:vAlign w:val="center"/>
          </w:tcPr>
          <w:p w14:paraId="2836809B">
            <w:pPr>
              <w:spacing w:beforeLines="20" w:line="400" w:lineRule="exact"/>
              <w:jc w:val="center"/>
              <w:rPr>
                <w:b/>
                <w:color w:val="auto"/>
                <w:szCs w:val="21"/>
                <w:highlight w:val="none"/>
              </w:rPr>
            </w:pPr>
            <w:r>
              <w:rPr>
                <w:b/>
                <w:color w:val="auto"/>
                <w:szCs w:val="21"/>
                <w:highlight w:val="none"/>
              </w:rPr>
              <w:t>职称/证书</w:t>
            </w:r>
          </w:p>
        </w:tc>
        <w:tc>
          <w:tcPr>
            <w:tcW w:w="1293" w:type="dxa"/>
            <w:vAlign w:val="center"/>
          </w:tcPr>
          <w:p w14:paraId="0E280035">
            <w:pPr>
              <w:spacing w:beforeLines="20" w:line="400" w:lineRule="exact"/>
              <w:jc w:val="center"/>
              <w:rPr>
                <w:b/>
                <w:color w:val="auto"/>
                <w:szCs w:val="21"/>
                <w:highlight w:val="none"/>
              </w:rPr>
            </w:pPr>
            <w:r>
              <w:rPr>
                <w:b/>
                <w:color w:val="auto"/>
                <w:szCs w:val="21"/>
                <w:highlight w:val="none"/>
              </w:rPr>
              <w:t>工作经验</w:t>
            </w:r>
          </w:p>
        </w:tc>
      </w:tr>
      <w:tr w14:paraId="266B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176B4A8A">
            <w:pPr>
              <w:spacing w:beforeLines="20" w:line="400" w:lineRule="exact"/>
              <w:jc w:val="center"/>
              <w:rPr>
                <w:color w:val="auto"/>
                <w:szCs w:val="21"/>
                <w:highlight w:val="none"/>
              </w:rPr>
            </w:pPr>
            <w:r>
              <w:rPr>
                <w:color w:val="auto"/>
                <w:szCs w:val="21"/>
                <w:highlight w:val="none"/>
              </w:rPr>
              <w:t>1</w:t>
            </w:r>
          </w:p>
        </w:tc>
        <w:tc>
          <w:tcPr>
            <w:tcW w:w="1293" w:type="dxa"/>
          </w:tcPr>
          <w:p w14:paraId="154E47BF">
            <w:pPr>
              <w:spacing w:beforeLines="20" w:line="400" w:lineRule="exact"/>
              <w:jc w:val="center"/>
              <w:rPr>
                <w:color w:val="auto"/>
                <w:szCs w:val="21"/>
                <w:highlight w:val="none"/>
              </w:rPr>
            </w:pPr>
          </w:p>
        </w:tc>
        <w:tc>
          <w:tcPr>
            <w:tcW w:w="1293" w:type="dxa"/>
          </w:tcPr>
          <w:p w14:paraId="6CC3DAD3">
            <w:pPr>
              <w:spacing w:beforeLines="20" w:line="400" w:lineRule="exact"/>
              <w:jc w:val="center"/>
              <w:rPr>
                <w:color w:val="auto"/>
                <w:szCs w:val="21"/>
                <w:highlight w:val="none"/>
              </w:rPr>
            </w:pPr>
          </w:p>
        </w:tc>
        <w:tc>
          <w:tcPr>
            <w:tcW w:w="1295" w:type="dxa"/>
          </w:tcPr>
          <w:p w14:paraId="596EDBC8">
            <w:pPr>
              <w:spacing w:beforeLines="20" w:line="400" w:lineRule="exact"/>
              <w:jc w:val="center"/>
              <w:rPr>
                <w:color w:val="auto"/>
                <w:szCs w:val="21"/>
                <w:highlight w:val="none"/>
              </w:rPr>
            </w:pPr>
          </w:p>
        </w:tc>
        <w:tc>
          <w:tcPr>
            <w:tcW w:w="1244" w:type="dxa"/>
          </w:tcPr>
          <w:p w14:paraId="6EDD1E49">
            <w:pPr>
              <w:spacing w:beforeLines="20" w:line="400" w:lineRule="exact"/>
              <w:jc w:val="center"/>
              <w:rPr>
                <w:color w:val="auto"/>
                <w:szCs w:val="21"/>
                <w:highlight w:val="none"/>
              </w:rPr>
            </w:pPr>
          </w:p>
        </w:tc>
        <w:tc>
          <w:tcPr>
            <w:tcW w:w="1685" w:type="dxa"/>
          </w:tcPr>
          <w:p w14:paraId="2F43EF9F">
            <w:pPr>
              <w:spacing w:beforeLines="20" w:line="400" w:lineRule="exact"/>
              <w:jc w:val="center"/>
              <w:rPr>
                <w:color w:val="auto"/>
                <w:szCs w:val="21"/>
                <w:highlight w:val="none"/>
              </w:rPr>
            </w:pPr>
          </w:p>
        </w:tc>
        <w:tc>
          <w:tcPr>
            <w:tcW w:w="1293" w:type="dxa"/>
          </w:tcPr>
          <w:p w14:paraId="7F2BD777">
            <w:pPr>
              <w:spacing w:beforeLines="20" w:line="400" w:lineRule="exact"/>
              <w:jc w:val="center"/>
              <w:rPr>
                <w:color w:val="auto"/>
                <w:szCs w:val="21"/>
                <w:highlight w:val="none"/>
              </w:rPr>
            </w:pPr>
          </w:p>
        </w:tc>
      </w:tr>
      <w:tr w14:paraId="0E6F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1631C31E">
            <w:pPr>
              <w:spacing w:beforeLines="20" w:line="400" w:lineRule="exact"/>
              <w:jc w:val="center"/>
              <w:rPr>
                <w:color w:val="auto"/>
                <w:szCs w:val="21"/>
                <w:highlight w:val="none"/>
              </w:rPr>
            </w:pPr>
            <w:r>
              <w:rPr>
                <w:color w:val="auto"/>
                <w:szCs w:val="21"/>
                <w:highlight w:val="none"/>
              </w:rPr>
              <w:t>2</w:t>
            </w:r>
          </w:p>
        </w:tc>
        <w:tc>
          <w:tcPr>
            <w:tcW w:w="1293" w:type="dxa"/>
          </w:tcPr>
          <w:p w14:paraId="3C4E7D1E">
            <w:pPr>
              <w:spacing w:beforeLines="20" w:line="400" w:lineRule="exact"/>
              <w:jc w:val="center"/>
              <w:rPr>
                <w:color w:val="auto"/>
                <w:szCs w:val="21"/>
                <w:highlight w:val="none"/>
              </w:rPr>
            </w:pPr>
          </w:p>
        </w:tc>
        <w:tc>
          <w:tcPr>
            <w:tcW w:w="1293" w:type="dxa"/>
          </w:tcPr>
          <w:p w14:paraId="607B5D91">
            <w:pPr>
              <w:spacing w:beforeLines="20" w:line="400" w:lineRule="exact"/>
              <w:jc w:val="center"/>
              <w:rPr>
                <w:color w:val="auto"/>
                <w:szCs w:val="21"/>
                <w:highlight w:val="none"/>
              </w:rPr>
            </w:pPr>
          </w:p>
        </w:tc>
        <w:tc>
          <w:tcPr>
            <w:tcW w:w="1295" w:type="dxa"/>
          </w:tcPr>
          <w:p w14:paraId="4F5D70E2">
            <w:pPr>
              <w:spacing w:beforeLines="20" w:line="400" w:lineRule="exact"/>
              <w:jc w:val="center"/>
              <w:rPr>
                <w:color w:val="auto"/>
                <w:szCs w:val="21"/>
                <w:highlight w:val="none"/>
              </w:rPr>
            </w:pPr>
          </w:p>
        </w:tc>
        <w:tc>
          <w:tcPr>
            <w:tcW w:w="1244" w:type="dxa"/>
          </w:tcPr>
          <w:p w14:paraId="7B0FEC60">
            <w:pPr>
              <w:spacing w:beforeLines="20" w:line="400" w:lineRule="exact"/>
              <w:jc w:val="center"/>
              <w:rPr>
                <w:color w:val="auto"/>
                <w:szCs w:val="21"/>
                <w:highlight w:val="none"/>
              </w:rPr>
            </w:pPr>
          </w:p>
        </w:tc>
        <w:tc>
          <w:tcPr>
            <w:tcW w:w="1685" w:type="dxa"/>
          </w:tcPr>
          <w:p w14:paraId="6113183F">
            <w:pPr>
              <w:spacing w:beforeLines="20" w:line="400" w:lineRule="exact"/>
              <w:jc w:val="center"/>
              <w:rPr>
                <w:color w:val="auto"/>
                <w:szCs w:val="21"/>
                <w:highlight w:val="none"/>
              </w:rPr>
            </w:pPr>
          </w:p>
        </w:tc>
        <w:tc>
          <w:tcPr>
            <w:tcW w:w="1293" w:type="dxa"/>
          </w:tcPr>
          <w:p w14:paraId="5D712C18">
            <w:pPr>
              <w:spacing w:beforeLines="20" w:line="400" w:lineRule="exact"/>
              <w:jc w:val="center"/>
              <w:rPr>
                <w:color w:val="auto"/>
                <w:szCs w:val="21"/>
                <w:highlight w:val="none"/>
              </w:rPr>
            </w:pPr>
          </w:p>
        </w:tc>
      </w:tr>
      <w:tr w14:paraId="41D8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70FACFB5">
            <w:pPr>
              <w:spacing w:beforeLines="20" w:line="400" w:lineRule="exact"/>
              <w:jc w:val="center"/>
              <w:rPr>
                <w:color w:val="auto"/>
                <w:szCs w:val="21"/>
                <w:highlight w:val="none"/>
              </w:rPr>
            </w:pPr>
            <w:r>
              <w:rPr>
                <w:color w:val="auto"/>
                <w:szCs w:val="21"/>
                <w:highlight w:val="none"/>
              </w:rPr>
              <w:t>3</w:t>
            </w:r>
          </w:p>
        </w:tc>
        <w:tc>
          <w:tcPr>
            <w:tcW w:w="1293" w:type="dxa"/>
          </w:tcPr>
          <w:p w14:paraId="08A6E4F7">
            <w:pPr>
              <w:spacing w:beforeLines="20" w:line="400" w:lineRule="exact"/>
              <w:jc w:val="center"/>
              <w:rPr>
                <w:color w:val="auto"/>
                <w:szCs w:val="21"/>
                <w:highlight w:val="none"/>
              </w:rPr>
            </w:pPr>
          </w:p>
        </w:tc>
        <w:tc>
          <w:tcPr>
            <w:tcW w:w="1293" w:type="dxa"/>
          </w:tcPr>
          <w:p w14:paraId="6B94A954">
            <w:pPr>
              <w:spacing w:beforeLines="20" w:line="400" w:lineRule="exact"/>
              <w:jc w:val="center"/>
              <w:rPr>
                <w:color w:val="auto"/>
                <w:szCs w:val="21"/>
                <w:highlight w:val="none"/>
              </w:rPr>
            </w:pPr>
          </w:p>
        </w:tc>
        <w:tc>
          <w:tcPr>
            <w:tcW w:w="1295" w:type="dxa"/>
          </w:tcPr>
          <w:p w14:paraId="494FEF85">
            <w:pPr>
              <w:spacing w:beforeLines="20" w:line="400" w:lineRule="exact"/>
              <w:jc w:val="center"/>
              <w:rPr>
                <w:color w:val="auto"/>
                <w:szCs w:val="21"/>
                <w:highlight w:val="none"/>
              </w:rPr>
            </w:pPr>
          </w:p>
        </w:tc>
        <w:tc>
          <w:tcPr>
            <w:tcW w:w="1244" w:type="dxa"/>
          </w:tcPr>
          <w:p w14:paraId="18792ECA">
            <w:pPr>
              <w:spacing w:beforeLines="20" w:line="400" w:lineRule="exact"/>
              <w:jc w:val="center"/>
              <w:rPr>
                <w:color w:val="auto"/>
                <w:szCs w:val="21"/>
                <w:highlight w:val="none"/>
              </w:rPr>
            </w:pPr>
          </w:p>
        </w:tc>
        <w:tc>
          <w:tcPr>
            <w:tcW w:w="1685" w:type="dxa"/>
          </w:tcPr>
          <w:p w14:paraId="4B3A5F67">
            <w:pPr>
              <w:spacing w:beforeLines="20" w:line="400" w:lineRule="exact"/>
              <w:jc w:val="center"/>
              <w:rPr>
                <w:color w:val="auto"/>
                <w:szCs w:val="21"/>
                <w:highlight w:val="none"/>
              </w:rPr>
            </w:pPr>
          </w:p>
        </w:tc>
        <w:tc>
          <w:tcPr>
            <w:tcW w:w="1293" w:type="dxa"/>
          </w:tcPr>
          <w:p w14:paraId="12522E28">
            <w:pPr>
              <w:spacing w:beforeLines="20" w:line="400" w:lineRule="exact"/>
              <w:jc w:val="center"/>
              <w:rPr>
                <w:color w:val="auto"/>
                <w:szCs w:val="21"/>
                <w:highlight w:val="none"/>
              </w:rPr>
            </w:pPr>
          </w:p>
        </w:tc>
      </w:tr>
      <w:tr w14:paraId="1F51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0976A4A3">
            <w:pPr>
              <w:spacing w:beforeLines="20" w:line="400" w:lineRule="exact"/>
              <w:jc w:val="center"/>
              <w:rPr>
                <w:color w:val="auto"/>
                <w:szCs w:val="21"/>
                <w:highlight w:val="none"/>
              </w:rPr>
            </w:pPr>
            <w:r>
              <w:rPr>
                <w:color w:val="auto"/>
                <w:szCs w:val="21"/>
                <w:highlight w:val="none"/>
              </w:rPr>
              <w:t>4</w:t>
            </w:r>
          </w:p>
        </w:tc>
        <w:tc>
          <w:tcPr>
            <w:tcW w:w="1293" w:type="dxa"/>
          </w:tcPr>
          <w:p w14:paraId="5E46044A">
            <w:pPr>
              <w:spacing w:beforeLines="20" w:line="400" w:lineRule="exact"/>
              <w:jc w:val="center"/>
              <w:rPr>
                <w:color w:val="auto"/>
                <w:szCs w:val="21"/>
                <w:highlight w:val="none"/>
              </w:rPr>
            </w:pPr>
          </w:p>
        </w:tc>
        <w:tc>
          <w:tcPr>
            <w:tcW w:w="1293" w:type="dxa"/>
          </w:tcPr>
          <w:p w14:paraId="01217FBA">
            <w:pPr>
              <w:spacing w:beforeLines="20" w:line="400" w:lineRule="exact"/>
              <w:jc w:val="center"/>
              <w:rPr>
                <w:color w:val="auto"/>
                <w:szCs w:val="21"/>
                <w:highlight w:val="none"/>
              </w:rPr>
            </w:pPr>
          </w:p>
        </w:tc>
        <w:tc>
          <w:tcPr>
            <w:tcW w:w="1295" w:type="dxa"/>
          </w:tcPr>
          <w:p w14:paraId="052CF71C">
            <w:pPr>
              <w:spacing w:beforeLines="20" w:line="400" w:lineRule="exact"/>
              <w:jc w:val="center"/>
              <w:rPr>
                <w:color w:val="auto"/>
                <w:szCs w:val="21"/>
                <w:highlight w:val="none"/>
              </w:rPr>
            </w:pPr>
          </w:p>
        </w:tc>
        <w:tc>
          <w:tcPr>
            <w:tcW w:w="1244" w:type="dxa"/>
          </w:tcPr>
          <w:p w14:paraId="4FB781A4">
            <w:pPr>
              <w:spacing w:beforeLines="20" w:line="400" w:lineRule="exact"/>
              <w:jc w:val="center"/>
              <w:rPr>
                <w:color w:val="auto"/>
                <w:szCs w:val="21"/>
                <w:highlight w:val="none"/>
              </w:rPr>
            </w:pPr>
          </w:p>
        </w:tc>
        <w:tc>
          <w:tcPr>
            <w:tcW w:w="1685" w:type="dxa"/>
          </w:tcPr>
          <w:p w14:paraId="59FB35AE">
            <w:pPr>
              <w:spacing w:beforeLines="20" w:line="400" w:lineRule="exact"/>
              <w:jc w:val="center"/>
              <w:rPr>
                <w:color w:val="auto"/>
                <w:szCs w:val="21"/>
                <w:highlight w:val="none"/>
              </w:rPr>
            </w:pPr>
          </w:p>
        </w:tc>
        <w:tc>
          <w:tcPr>
            <w:tcW w:w="1293" w:type="dxa"/>
          </w:tcPr>
          <w:p w14:paraId="10B86E44">
            <w:pPr>
              <w:spacing w:beforeLines="20" w:line="400" w:lineRule="exact"/>
              <w:jc w:val="center"/>
              <w:rPr>
                <w:color w:val="auto"/>
                <w:szCs w:val="21"/>
                <w:highlight w:val="none"/>
              </w:rPr>
            </w:pPr>
          </w:p>
        </w:tc>
      </w:tr>
      <w:tr w14:paraId="10EF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01215862">
            <w:pPr>
              <w:spacing w:beforeLines="20" w:line="400" w:lineRule="exact"/>
              <w:jc w:val="center"/>
              <w:rPr>
                <w:color w:val="auto"/>
                <w:szCs w:val="21"/>
                <w:highlight w:val="none"/>
              </w:rPr>
            </w:pPr>
            <w:r>
              <w:rPr>
                <w:color w:val="auto"/>
                <w:szCs w:val="21"/>
                <w:highlight w:val="none"/>
              </w:rPr>
              <w:t>5</w:t>
            </w:r>
          </w:p>
        </w:tc>
        <w:tc>
          <w:tcPr>
            <w:tcW w:w="1293" w:type="dxa"/>
          </w:tcPr>
          <w:p w14:paraId="0028C381">
            <w:pPr>
              <w:spacing w:beforeLines="20" w:line="400" w:lineRule="exact"/>
              <w:jc w:val="center"/>
              <w:rPr>
                <w:color w:val="auto"/>
                <w:szCs w:val="21"/>
                <w:highlight w:val="none"/>
              </w:rPr>
            </w:pPr>
          </w:p>
        </w:tc>
        <w:tc>
          <w:tcPr>
            <w:tcW w:w="1293" w:type="dxa"/>
          </w:tcPr>
          <w:p w14:paraId="456B809A">
            <w:pPr>
              <w:spacing w:beforeLines="20" w:line="400" w:lineRule="exact"/>
              <w:jc w:val="center"/>
              <w:rPr>
                <w:color w:val="auto"/>
                <w:szCs w:val="21"/>
                <w:highlight w:val="none"/>
              </w:rPr>
            </w:pPr>
          </w:p>
        </w:tc>
        <w:tc>
          <w:tcPr>
            <w:tcW w:w="1295" w:type="dxa"/>
          </w:tcPr>
          <w:p w14:paraId="21920EDE">
            <w:pPr>
              <w:spacing w:beforeLines="20" w:line="400" w:lineRule="exact"/>
              <w:jc w:val="center"/>
              <w:rPr>
                <w:color w:val="auto"/>
                <w:szCs w:val="21"/>
                <w:highlight w:val="none"/>
              </w:rPr>
            </w:pPr>
          </w:p>
        </w:tc>
        <w:tc>
          <w:tcPr>
            <w:tcW w:w="1244" w:type="dxa"/>
          </w:tcPr>
          <w:p w14:paraId="6A1D9AD0">
            <w:pPr>
              <w:spacing w:beforeLines="20" w:line="400" w:lineRule="exact"/>
              <w:jc w:val="center"/>
              <w:rPr>
                <w:color w:val="auto"/>
                <w:szCs w:val="21"/>
                <w:highlight w:val="none"/>
              </w:rPr>
            </w:pPr>
          </w:p>
        </w:tc>
        <w:tc>
          <w:tcPr>
            <w:tcW w:w="1685" w:type="dxa"/>
          </w:tcPr>
          <w:p w14:paraId="610F0D42">
            <w:pPr>
              <w:spacing w:beforeLines="20" w:line="400" w:lineRule="exact"/>
              <w:jc w:val="center"/>
              <w:rPr>
                <w:color w:val="auto"/>
                <w:szCs w:val="21"/>
                <w:highlight w:val="none"/>
              </w:rPr>
            </w:pPr>
          </w:p>
        </w:tc>
        <w:tc>
          <w:tcPr>
            <w:tcW w:w="1293" w:type="dxa"/>
          </w:tcPr>
          <w:p w14:paraId="46F3D98B">
            <w:pPr>
              <w:spacing w:beforeLines="20" w:line="400" w:lineRule="exact"/>
              <w:jc w:val="center"/>
              <w:rPr>
                <w:color w:val="auto"/>
                <w:szCs w:val="21"/>
                <w:highlight w:val="none"/>
              </w:rPr>
            </w:pPr>
          </w:p>
        </w:tc>
      </w:tr>
      <w:tr w14:paraId="3151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11E1A0B4">
            <w:pPr>
              <w:spacing w:beforeLines="20" w:line="400" w:lineRule="exact"/>
              <w:jc w:val="center"/>
              <w:rPr>
                <w:color w:val="auto"/>
                <w:szCs w:val="21"/>
                <w:highlight w:val="none"/>
              </w:rPr>
            </w:pPr>
            <w:r>
              <w:rPr>
                <w:color w:val="auto"/>
                <w:szCs w:val="21"/>
                <w:highlight w:val="none"/>
              </w:rPr>
              <w:t>6</w:t>
            </w:r>
          </w:p>
        </w:tc>
        <w:tc>
          <w:tcPr>
            <w:tcW w:w="1293" w:type="dxa"/>
          </w:tcPr>
          <w:p w14:paraId="78E3FF11">
            <w:pPr>
              <w:spacing w:beforeLines="20" w:line="400" w:lineRule="exact"/>
              <w:jc w:val="center"/>
              <w:rPr>
                <w:color w:val="auto"/>
                <w:szCs w:val="21"/>
                <w:highlight w:val="none"/>
              </w:rPr>
            </w:pPr>
          </w:p>
        </w:tc>
        <w:tc>
          <w:tcPr>
            <w:tcW w:w="1293" w:type="dxa"/>
          </w:tcPr>
          <w:p w14:paraId="5FC10732">
            <w:pPr>
              <w:spacing w:beforeLines="20" w:line="400" w:lineRule="exact"/>
              <w:jc w:val="center"/>
              <w:rPr>
                <w:color w:val="auto"/>
                <w:szCs w:val="21"/>
                <w:highlight w:val="none"/>
              </w:rPr>
            </w:pPr>
          </w:p>
        </w:tc>
        <w:tc>
          <w:tcPr>
            <w:tcW w:w="1295" w:type="dxa"/>
          </w:tcPr>
          <w:p w14:paraId="08BF4E69">
            <w:pPr>
              <w:spacing w:beforeLines="20" w:line="400" w:lineRule="exact"/>
              <w:jc w:val="center"/>
              <w:rPr>
                <w:color w:val="auto"/>
                <w:szCs w:val="21"/>
                <w:highlight w:val="none"/>
              </w:rPr>
            </w:pPr>
          </w:p>
        </w:tc>
        <w:tc>
          <w:tcPr>
            <w:tcW w:w="1244" w:type="dxa"/>
          </w:tcPr>
          <w:p w14:paraId="050CA760">
            <w:pPr>
              <w:spacing w:beforeLines="20" w:line="400" w:lineRule="exact"/>
              <w:jc w:val="center"/>
              <w:rPr>
                <w:color w:val="auto"/>
                <w:szCs w:val="21"/>
                <w:highlight w:val="none"/>
              </w:rPr>
            </w:pPr>
          </w:p>
        </w:tc>
        <w:tc>
          <w:tcPr>
            <w:tcW w:w="1685" w:type="dxa"/>
          </w:tcPr>
          <w:p w14:paraId="4F37B503">
            <w:pPr>
              <w:spacing w:beforeLines="20" w:line="400" w:lineRule="exact"/>
              <w:jc w:val="center"/>
              <w:rPr>
                <w:color w:val="auto"/>
                <w:szCs w:val="21"/>
                <w:highlight w:val="none"/>
              </w:rPr>
            </w:pPr>
          </w:p>
        </w:tc>
        <w:tc>
          <w:tcPr>
            <w:tcW w:w="1293" w:type="dxa"/>
          </w:tcPr>
          <w:p w14:paraId="3A503614">
            <w:pPr>
              <w:spacing w:beforeLines="20" w:line="400" w:lineRule="exact"/>
              <w:jc w:val="center"/>
              <w:rPr>
                <w:color w:val="auto"/>
                <w:szCs w:val="21"/>
                <w:highlight w:val="none"/>
              </w:rPr>
            </w:pPr>
          </w:p>
        </w:tc>
      </w:tr>
      <w:tr w14:paraId="4B45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2DE41770">
            <w:pPr>
              <w:spacing w:beforeLines="20" w:line="400" w:lineRule="exact"/>
              <w:jc w:val="center"/>
              <w:rPr>
                <w:color w:val="auto"/>
                <w:szCs w:val="21"/>
                <w:highlight w:val="none"/>
              </w:rPr>
            </w:pPr>
            <w:r>
              <w:rPr>
                <w:rFonts w:hint="eastAsia"/>
                <w:color w:val="auto"/>
                <w:szCs w:val="21"/>
                <w:highlight w:val="none"/>
              </w:rPr>
              <w:t>7</w:t>
            </w:r>
          </w:p>
        </w:tc>
        <w:tc>
          <w:tcPr>
            <w:tcW w:w="1293" w:type="dxa"/>
          </w:tcPr>
          <w:p w14:paraId="1E0A3248">
            <w:pPr>
              <w:spacing w:beforeLines="20" w:line="400" w:lineRule="exact"/>
              <w:jc w:val="center"/>
              <w:rPr>
                <w:color w:val="auto"/>
                <w:szCs w:val="21"/>
                <w:highlight w:val="none"/>
              </w:rPr>
            </w:pPr>
          </w:p>
        </w:tc>
        <w:tc>
          <w:tcPr>
            <w:tcW w:w="1293" w:type="dxa"/>
          </w:tcPr>
          <w:p w14:paraId="49EB59A8">
            <w:pPr>
              <w:spacing w:beforeLines="20" w:line="400" w:lineRule="exact"/>
              <w:jc w:val="center"/>
              <w:rPr>
                <w:color w:val="auto"/>
                <w:szCs w:val="21"/>
                <w:highlight w:val="none"/>
              </w:rPr>
            </w:pPr>
          </w:p>
        </w:tc>
        <w:tc>
          <w:tcPr>
            <w:tcW w:w="1295" w:type="dxa"/>
          </w:tcPr>
          <w:p w14:paraId="5829F6B8">
            <w:pPr>
              <w:spacing w:beforeLines="20" w:line="400" w:lineRule="exact"/>
              <w:jc w:val="center"/>
              <w:rPr>
                <w:color w:val="auto"/>
                <w:szCs w:val="21"/>
                <w:highlight w:val="none"/>
              </w:rPr>
            </w:pPr>
          </w:p>
        </w:tc>
        <w:tc>
          <w:tcPr>
            <w:tcW w:w="1244" w:type="dxa"/>
          </w:tcPr>
          <w:p w14:paraId="0A131C04">
            <w:pPr>
              <w:spacing w:beforeLines="20" w:line="400" w:lineRule="exact"/>
              <w:jc w:val="center"/>
              <w:rPr>
                <w:color w:val="auto"/>
                <w:szCs w:val="21"/>
                <w:highlight w:val="none"/>
              </w:rPr>
            </w:pPr>
          </w:p>
        </w:tc>
        <w:tc>
          <w:tcPr>
            <w:tcW w:w="1685" w:type="dxa"/>
          </w:tcPr>
          <w:p w14:paraId="773EF318">
            <w:pPr>
              <w:spacing w:beforeLines="20" w:line="400" w:lineRule="exact"/>
              <w:jc w:val="center"/>
              <w:rPr>
                <w:color w:val="auto"/>
                <w:szCs w:val="21"/>
                <w:highlight w:val="none"/>
              </w:rPr>
            </w:pPr>
          </w:p>
        </w:tc>
        <w:tc>
          <w:tcPr>
            <w:tcW w:w="1293" w:type="dxa"/>
          </w:tcPr>
          <w:p w14:paraId="76C8FCA5">
            <w:pPr>
              <w:spacing w:beforeLines="20" w:line="400" w:lineRule="exact"/>
              <w:jc w:val="center"/>
              <w:rPr>
                <w:color w:val="auto"/>
                <w:szCs w:val="21"/>
                <w:highlight w:val="none"/>
              </w:rPr>
            </w:pPr>
          </w:p>
        </w:tc>
      </w:tr>
      <w:tr w14:paraId="5AD5E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0D36CA0D">
            <w:pPr>
              <w:spacing w:beforeLines="20" w:line="400" w:lineRule="exact"/>
              <w:jc w:val="center"/>
              <w:rPr>
                <w:color w:val="auto"/>
                <w:szCs w:val="21"/>
                <w:highlight w:val="none"/>
              </w:rPr>
            </w:pPr>
            <w:r>
              <w:rPr>
                <w:rFonts w:hint="eastAsia"/>
                <w:color w:val="auto"/>
                <w:szCs w:val="21"/>
                <w:highlight w:val="none"/>
              </w:rPr>
              <w:t>8</w:t>
            </w:r>
          </w:p>
        </w:tc>
        <w:tc>
          <w:tcPr>
            <w:tcW w:w="1293" w:type="dxa"/>
          </w:tcPr>
          <w:p w14:paraId="7EE8B3CC">
            <w:pPr>
              <w:spacing w:beforeLines="20" w:line="400" w:lineRule="exact"/>
              <w:jc w:val="center"/>
              <w:rPr>
                <w:color w:val="auto"/>
                <w:szCs w:val="21"/>
                <w:highlight w:val="none"/>
              </w:rPr>
            </w:pPr>
          </w:p>
        </w:tc>
        <w:tc>
          <w:tcPr>
            <w:tcW w:w="1293" w:type="dxa"/>
          </w:tcPr>
          <w:p w14:paraId="1F5CF22A">
            <w:pPr>
              <w:spacing w:beforeLines="20" w:line="400" w:lineRule="exact"/>
              <w:jc w:val="center"/>
              <w:rPr>
                <w:color w:val="auto"/>
                <w:szCs w:val="21"/>
                <w:highlight w:val="none"/>
              </w:rPr>
            </w:pPr>
          </w:p>
        </w:tc>
        <w:tc>
          <w:tcPr>
            <w:tcW w:w="1295" w:type="dxa"/>
          </w:tcPr>
          <w:p w14:paraId="2EB6B724">
            <w:pPr>
              <w:spacing w:beforeLines="20" w:line="400" w:lineRule="exact"/>
              <w:jc w:val="center"/>
              <w:rPr>
                <w:color w:val="auto"/>
                <w:szCs w:val="21"/>
                <w:highlight w:val="none"/>
              </w:rPr>
            </w:pPr>
          </w:p>
        </w:tc>
        <w:tc>
          <w:tcPr>
            <w:tcW w:w="1244" w:type="dxa"/>
          </w:tcPr>
          <w:p w14:paraId="65228C7F">
            <w:pPr>
              <w:spacing w:beforeLines="20" w:line="400" w:lineRule="exact"/>
              <w:jc w:val="center"/>
              <w:rPr>
                <w:color w:val="auto"/>
                <w:szCs w:val="21"/>
                <w:highlight w:val="none"/>
              </w:rPr>
            </w:pPr>
          </w:p>
        </w:tc>
        <w:tc>
          <w:tcPr>
            <w:tcW w:w="1685" w:type="dxa"/>
          </w:tcPr>
          <w:p w14:paraId="67626588">
            <w:pPr>
              <w:spacing w:beforeLines="20" w:line="400" w:lineRule="exact"/>
              <w:jc w:val="center"/>
              <w:rPr>
                <w:color w:val="auto"/>
                <w:szCs w:val="21"/>
                <w:highlight w:val="none"/>
              </w:rPr>
            </w:pPr>
          </w:p>
        </w:tc>
        <w:tc>
          <w:tcPr>
            <w:tcW w:w="1293" w:type="dxa"/>
          </w:tcPr>
          <w:p w14:paraId="1C94667B">
            <w:pPr>
              <w:spacing w:beforeLines="20" w:line="400" w:lineRule="exact"/>
              <w:jc w:val="center"/>
              <w:rPr>
                <w:color w:val="auto"/>
                <w:szCs w:val="21"/>
                <w:highlight w:val="none"/>
              </w:rPr>
            </w:pPr>
          </w:p>
        </w:tc>
      </w:tr>
      <w:tr w14:paraId="3E657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0D63C77F">
            <w:pPr>
              <w:spacing w:beforeLines="20" w:line="400" w:lineRule="exact"/>
              <w:jc w:val="center"/>
              <w:rPr>
                <w:color w:val="auto"/>
                <w:szCs w:val="21"/>
                <w:highlight w:val="none"/>
              </w:rPr>
            </w:pPr>
            <w:r>
              <w:rPr>
                <w:rFonts w:hint="eastAsia"/>
                <w:color w:val="auto"/>
                <w:szCs w:val="21"/>
                <w:highlight w:val="none"/>
              </w:rPr>
              <w:t>9</w:t>
            </w:r>
          </w:p>
        </w:tc>
        <w:tc>
          <w:tcPr>
            <w:tcW w:w="1293" w:type="dxa"/>
          </w:tcPr>
          <w:p w14:paraId="5994E412">
            <w:pPr>
              <w:spacing w:beforeLines="20" w:line="400" w:lineRule="exact"/>
              <w:jc w:val="center"/>
              <w:rPr>
                <w:color w:val="auto"/>
                <w:szCs w:val="21"/>
                <w:highlight w:val="none"/>
              </w:rPr>
            </w:pPr>
          </w:p>
        </w:tc>
        <w:tc>
          <w:tcPr>
            <w:tcW w:w="1293" w:type="dxa"/>
          </w:tcPr>
          <w:p w14:paraId="54F92E3D">
            <w:pPr>
              <w:spacing w:beforeLines="20" w:line="400" w:lineRule="exact"/>
              <w:jc w:val="center"/>
              <w:rPr>
                <w:color w:val="auto"/>
                <w:szCs w:val="21"/>
                <w:highlight w:val="none"/>
              </w:rPr>
            </w:pPr>
          </w:p>
        </w:tc>
        <w:tc>
          <w:tcPr>
            <w:tcW w:w="1295" w:type="dxa"/>
          </w:tcPr>
          <w:p w14:paraId="308B08BD">
            <w:pPr>
              <w:spacing w:beforeLines="20" w:line="400" w:lineRule="exact"/>
              <w:jc w:val="center"/>
              <w:rPr>
                <w:color w:val="auto"/>
                <w:szCs w:val="21"/>
                <w:highlight w:val="none"/>
              </w:rPr>
            </w:pPr>
          </w:p>
        </w:tc>
        <w:tc>
          <w:tcPr>
            <w:tcW w:w="1244" w:type="dxa"/>
          </w:tcPr>
          <w:p w14:paraId="2C6ED53E">
            <w:pPr>
              <w:spacing w:beforeLines="20" w:line="400" w:lineRule="exact"/>
              <w:jc w:val="center"/>
              <w:rPr>
                <w:color w:val="auto"/>
                <w:szCs w:val="21"/>
                <w:highlight w:val="none"/>
              </w:rPr>
            </w:pPr>
          </w:p>
        </w:tc>
        <w:tc>
          <w:tcPr>
            <w:tcW w:w="1685" w:type="dxa"/>
          </w:tcPr>
          <w:p w14:paraId="7CD459B3">
            <w:pPr>
              <w:spacing w:beforeLines="20" w:line="400" w:lineRule="exact"/>
              <w:jc w:val="center"/>
              <w:rPr>
                <w:color w:val="auto"/>
                <w:szCs w:val="21"/>
                <w:highlight w:val="none"/>
              </w:rPr>
            </w:pPr>
          </w:p>
        </w:tc>
        <w:tc>
          <w:tcPr>
            <w:tcW w:w="1293" w:type="dxa"/>
          </w:tcPr>
          <w:p w14:paraId="048F5FBA">
            <w:pPr>
              <w:spacing w:beforeLines="20" w:line="400" w:lineRule="exact"/>
              <w:jc w:val="center"/>
              <w:rPr>
                <w:color w:val="auto"/>
                <w:szCs w:val="21"/>
                <w:highlight w:val="none"/>
              </w:rPr>
            </w:pPr>
          </w:p>
        </w:tc>
      </w:tr>
      <w:tr w14:paraId="393B3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Pr>
          <w:p w14:paraId="0791B351">
            <w:pPr>
              <w:spacing w:beforeLines="20" w:line="400" w:lineRule="exact"/>
              <w:jc w:val="center"/>
              <w:rPr>
                <w:color w:val="auto"/>
                <w:szCs w:val="21"/>
                <w:highlight w:val="none"/>
              </w:rPr>
            </w:pPr>
            <w:r>
              <w:rPr>
                <w:rFonts w:hint="eastAsia"/>
                <w:color w:val="auto"/>
                <w:szCs w:val="21"/>
                <w:highlight w:val="none"/>
              </w:rPr>
              <w:t>…</w:t>
            </w:r>
          </w:p>
        </w:tc>
        <w:tc>
          <w:tcPr>
            <w:tcW w:w="1293" w:type="dxa"/>
          </w:tcPr>
          <w:p w14:paraId="5DBA63CC">
            <w:pPr>
              <w:spacing w:beforeLines="20" w:line="400" w:lineRule="exact"/>
              <w:jc w:val="center"/>
              <w:rPr>
                <w:color w:val="auto"/>
                <w:szCs w:val="21"/>
                <w:highlight w:val="none"/>
              </w:rPr>
            </w:pPr>
          </w:p>
        </w:tc>
        <w:tc>
          <w:tcPr>
            <w:tcW w:w="1293" w:type="dxa"/>
          </w:tcPr>
          <w:p w14:paraId="7FF17A42">
            <w:pPr>
              <w:spacing w:beforeLines="20" w:line="400" w:lineRule="exact"/>
              <w:jc w:val="center"/>
              <w:rPr>
                <w:color w:val="auto"/>
                <w:szCs w:val="21"/>
                <w:highlight w:val="none"/>
              </w:rPr>
            </w:pPr>
          </w:p>
        </w:tc>
        <w:tc>
          <w:tcPr>
            <w:tcW w:w="1295" w:type="dxa"/>
          </w:tcPr>
          <w:p w14:paraId="3326916D">
            <w:pPr>
              <w:spacing w:beforeLines="20" w:line="400" w:lineRule="exact"/>
              <w:jc w:val="center"/>
              <w:rPr>
                <w:color w:val="auto"/>
                <w:szCs w:val="21"/>
                <w:highlight w:val="none"/>
              </w:rPr>
            </w:pPr>
          </w:p>
        </w:tc>
        <w:tc>
          <w:tcPr>
            <w:tcW w:w="1244" w:type="dxa"/>
          </w:tcPr>
          <w:p w14:paraId="28D7F6BF">
            <w:pPr>
              <w:spacing w:beforeLines="20" w:line="400" w:lineRule="exact"/>
              <w:jc w:val="center"/>
              <w:rPr>
                <w:color w:val="auto"/>
                <w:szCs w:val="21"/>
                <w:highlight w:val="none"/>
              </w:rPr>
            </w:pPr>
          </w:p>
        </w:tc>
        <w:tc>
          <w:tcPr>
            <w:tcW w:w="1685" w:type="dxa"/>
          </w:tcPr>
          <w:p w14:paraId="1F8677C0">
            <w:pPr>
              <w:spacing w:beforeLines="20" w:line="400" w:lineRule="exact"/>
              <w:jc w:val="center"/>
              <w:rPr>
                <w:color w:val="auto"/>
                <w:szCs w:val="21"/>
                <w:highlight w:val="none"/>
              </w:rPr>
            </w:pPr>
          </w:p>
        </w:tc>
        <w:tc>
          <w:tcPr>
            <w:tcW w:w="1293" w:type="dxa"/>
          </w:tcPr>
          <w:p w14:paraId="4B8CDAF1">
            <w:pPr>
              <w:spacing w:beforeLines="20" w:line="400" w:lineRule="exact"/>
              <w:jc w:val="center"/>
              <w:rPr>
                <w:color w:val="auto"/>
                <w:szCs w:val="21"/>
                <w:highlight w:val="none"/>
              </w:rPr>
            </w:pPr>
          </w:p>
        </w:tc>
      </w:tr>
    </w:tbl>
    <w:p w14:paraId="7233651F">
      <w:pPr>
        <w:spacing w:line="400" w:lineRule="exact"/>
        <w:rPr>
          <w:rFonts w:ascii="宋体" w:hAnsi="宋体"/>
          <w:color w:val="auto"/>
          <w:szCs w:val="21"/>
          <w:highlight w:val="none"/>
        </w:rPr>
      </w:pPr>
    </w:p>
    <w:p w14:paraId="3CC3A96C">
      <w:pPr>
        <w:spacing w:line="400" w:lineRule="exact"/>
        <w:rPr>
          <w:rFonts w:ascii="宋体" w:hAnsi="宋体"/>
          <w:color w:val="auto"/>
          <w:szCs w:val="21"/>
          <w:highlight w:val="none"/>
        </w:rPr>
      </w:pPr>
      <w:r>
        <w:rPr>
          <w:rFonts w:hint="eastAsia" w:ascii="宋体" w:hAnsi="宋体"/>
          <w:color w:val="auto"/>
          <w:szCs w:val="21"/>
          <w:highlight w:val="none"/>
        </w:rPr>
        <w:t>注：投标时采购需求中所需人员未配备齐全的需提供承诺书（格式见附件——承诺书二），承诺中标后2周内将所有人员配备齐全（此表可以不填写）。</w:t>
      </w:r>
    </w:p>
    <w:p w14:paraId="5E0739D3">
      <w:pPr>
        <w:spacing w:line="400" w:lineRule="exact"/>
        <w:rPr>
          <w:rFonts w:ascii="宋体" w:hAnsi="宋体"/>
          <w:color w:val="auto"/>
          <w:szCs w:val="21"/>
          <w:highlight w:val="none"/>
        </w:rPr>
      </w:pPr>
      <w:r>
        <w:rPr>
          <w:rFonts w:hint="eastAsia" w:ascii="宋体" w:hAnsi="宋体"/>
          <w:color w:val="auto"/>
          <w:szCs w:val="21"/>
          <w:highlight w:val="none"/>
        </w:rPr>
        <w:t>投标供应商：（单位盖章）</w:t>
      </w:r>
    </w:p>
    <w:p w14:paraId="00BBC396">
      <w:pPr>
        <w:spacing w:line="400" w:lineRule="exact"/>
        <w:rPr>
          <w:rFonts w:ascii="宋体" w:hAnsi="宋体"/>
          <w:color w:val="auto"/>
          <w:szCs w:val="21"/>
          <w:highlight w:val="none"/>
        </w:rPr>
      </w:pPr>
      <w:r>
        <w:rPr>
          <w:rFonts w:hint="eastAsia" w:ascii="宋体" w:hAnsi="宋体"/>
          <w:color w:val="auto"/>
          <w:szCs w:val="21"/>
          <w:highlight w:val="none"/>
        </w:rPr>
        <w:t>法定代表人或代理人：（签字或盖章）</w:t>
      </w:r>
    </w:p>
    <w:p w14:paraId="0500901B">
      <w:pPr>
        <w:spacing w:line="400" w:lineRule="exact"/>
        <w:rPr>
          <w:rFonts w:ascii="宋体" w:hAnsi="宋体"/>
          <w:color w:val="auto"/>
          <w:szCs w:val="21"/>
          <w:highlight w:val="none"/>
        </w:rPr>
      </w:pPr>
      <w:r>
        <w:rPr>
          <w:rFonts w:hint="eastAsia" w:ascii="宋体" w:hAnsi="宋体"/>
          <w:color w:val="auto"/>
          <w:szCs w:val="21"/>
          <w:highlight w:val="none"/>
        </w:rPr>
        <w:t>日期：          年  月  日</w:t>
      </w:r>
    </w:p>
    <w:p w14:paraId="672058A1">
      <w:pPr>
        <w:spacing w:line="360" w:lineRule="auto"/>
        <w:rPr>
          <w:rFonts w:hAnsi="宋体"/>
          <w:color w:val="auto"/>
          <w:sz w:val="24"/>
          <w:highlight w:val="none"/>
        </w:rPr>
      </w:pPr>
    </w:p>
    <w:p w14:paraId="3EE1DBE6">
      <w:pPr>
        <w:rPr>
          <w:color w:val="auto"/>
          <w:highlight w:val="none"/>
        </w:rPr>
      </w:pPr>
    </w:p>
    <w:p w14:paraId="307421A5">
      <w:pPr>
        <w:rPr>
          <w:color w:val="auto"/>
          <w:highlight w:val="none"/>
        </w:rPr>
      </w:pPr>
    </w:p>
    <w:p w14:paraId="720BA0CF">
      <w:pPr>
        <w:rPr>
          <w:color w:val="auto"/>
          <w:highlight w:val="none"/>
        </w:rPr>
      </w:pPr>
    </w:p>
    <w:p w14:paraId="5FEDB093">
      <w:pPr>
        <w:rPr>
          <w:color w:val="auto"/>
          <w:highlight w:val="none"/>
        </w:rPr>
      </w:pPr>
    </w:p>
    <w:p w14:paraId="2C953AF2">
      <w:pPr>
        <w:rPr>
          <w:color w:val="auto"/>
          <w:highlight w:val="none"/>
        </w:rPr>
      </w:pPr>
    </w:p>
    <w:p w14:paraId="45F74304">
      <w:pPr>
        <w:rPr>
          <w:color w:val="auto"/>
          <w:highlight w:val="none"/>
        </w:rPr>
      </w:pPr>
    </w:p>
    <w:p w14:paraId="3E29AD16">
      <w:pPr>
        <w:rPr>
          <w:color w:val="auto"/>
          <w:highlight w:val="none"/>
        </w:rPr>
      </w:pPr>
    </w:p>
    <w:p w14:paraId="1322B90C">
      <w:pPr>
        <w:rPr>
          <w:color w:val="auto"/>
          <w:highlight w:val="none"/>
        </w:rPr>
      </w:pPr>
    </w:p>
    <w:p w14:paraId="47C2FD80">
      <w:pPr>
        <w:rPr>
          <w:color w:val="auto"/>
          <w:highlight w:val="none"/>
        </w:rPr>
      </w:pPr>
      <w:bookmarkStart w:id="212" w:name="_GoBack"/>
      <w:bookmarkEnd w:id="212"/>
    </w:p>
    <w:p w14:paraId="45359375">
      <w:pPr>
        <w:rPr>
          <w:color w:val="auto"/>
          <w:highlight w:val="none"/>
        </w:rPr>
      </w:pPr>
    </w:p>
    <w:p w14:paraId="19F5BBAD">
      <w:pPr>
        <w:rPr>
          <w:color w:val="auto"/>
          <w:highlight w:val="none"/>
        </w:rPr>
      </w:pPr>
    </w:p>
    <w:p w14:paraId="18070C54">
      <w:pPr>
        <w:rPr>
          <w:color w:val="auto"/>
          <w:highlight w:val="none"/>
        </w:rPr>
      </w:pPr>
    </w:p>
    <w:p w14:paraId="02A63468">
      <w:pPr>
        <w:rPr>
          <w:color w:val="auto"/>
          <w:highlight w:val="none"/>
        </w:rPr>
      </w:pPr>
    </w:p>
    <w:p w14:paraId="2693472F">
      <w:pPr>
        <w:rPr>
          <w:color w:val="auto"/>
          <w:highlight w:val="none"/>
        </w:rPr>
      </w:pPr>
    </w:p>
    <w:p w14:paraId="083A7918">
      <w:pPr>
        <w:rPr>
          <w:color w:val="auto"/>
          <w:highlight w:val="none"/>
        </w:rPr>
      </w:pPr>
    </w:p>
    <w:p w14:paraId="4807BD5A">
      <w:pPr>
        <w:rPr>
          <w:color w:val="auto"/>
          <w:highlight w:val="none"/>
        </w:rPr>
      </w:pPr>
    </w:p>
    <w:p w14:paraId="4B69E60E">
      <w:pPr>
        <w:rPr>
          <w:color w:val="auto"/>
          <w:highlight w:val="none"/>
        </w:rPr>
      </w:pPr>
    </w:p>
    <w:p w14:paraId="76004F25">
      <w:pPr>
        <w:rPr>
          <w:color w:val="auto"/>
          <w:highlight w:val="none"/>
        </w:rPr>
      </w:pPr>
    </w:p>
    <w:sectPr>
      <w:footerReference r:id="rId9" w:type="first"/>
      <w:headerReference r:id="rId6" w:type="default"/>
      <w:footerReference r:id="rId7" w:type="default"/>
      <w:footerReference r:id="rId8" w:type="even"/>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386A8">
    <w:pPr>
      <w:spacing w:line="176" w:lineRule="auto"/>
      <w:ind w:left="4010"/>
      <w:rPr>
        <w:rFonts w:ascii="宋体" w:hAnsi="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6332E">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DD1EF">
    <w:pPr>
      <w:spacing w:line="176" w:lineRule="auto"/>
      <w:ind w:left="4010"/>
      <w:rPr>
        <w:rFonts w:ascii="宋体" w:hAnsi="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22EA7B">
                          <w:pPr>
                            <w:pStyle w:val="20"/>
                          </w:pP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ibKxHUAQAAqgMAAA4AAAAAAAAAAQAgAAAAHgEA&#10;AGRycy9lMm9Eb2MueG1sUEsFBgAAAAAGAAYAWQEAAGQFAAAAAA==&#10;">
              <v:fill on="f" focussize="0,0"/>
              <v:stroke on="f"/>
              <v:imagedata o:title=""/>
              <o:lock v:ext="edit" aspectratio="f"/>
              <v:textbox inset="0mm,0mm,0mm,0mm" style="mso-fit-shape-to-text:t;">
                <w:txbxContent>
                  <w:p w14:paraId="4722EA7B">
                    <w:pPr>
                      <w:pStyle w:val="2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94F6E">
    <w:pPr>
      <w:pStyle w:val="234"/>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B710B91">
                          <w:pPr>
                            <w:pStyle w:val="234"/>
                            <w:tabs>
                              <w:tab w:val="clear" w:pos="4153"/>
                              <w:tab w:val="clear" w:pos="8306"/>
                            </w:tabs>
                          </w:pPr>
                          <w:r>
                            <w:fldChar w:fldCharType="begin"/>
                          </w:r>
                          <w:r>
                            <w:instrText xml:space="preserve"> PAGE  \* MERGEFORMAT </w:instrText>
                          </w:r>
                          <w:r>
                            <w:fldChar w:fldCharType="separate"/>
                          </w:r>
                          <w:r>
                            <w:t>1</w:t>
                          </w:r>
                          <w:r>
                            <w:fldChar w:fldCharType="end"/>
                          </w:r>
                        </w:p>
                        <w:p w14:paraId="72AA6A64"/>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OftdI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mTxFYpI6HjnFoR4mejU0FyLS0xpU&#10;3NHWc2beOlI5bcxshNmoZ+Pkgz521Noq94X+FSlw0Lm3VGuEnQrT/DK7adfSgvx5z1kP/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hs5+10gEAAKcDAAAOAAAAAAAAAAEAIAAAAB4BAABk&#10;cnMvZTJvRG9jLnhtbFBLBQYAAAAABgAGAFkBAABiBQAAAAA=&#10;">
              <v:fill on="f" focussize="0,0"/>
              <v:stroke on="f"/>
              <v:imagedata o:title=""/>
              <o:lock v:ext="edit" aspectratio="f"/>
              <v:textbox inset="0mm,0mm,0mm,0mm" style="mso-fit-shape-to-text:t;">
                <w:txbxContent>
                  <w:p w14:paraId="7B710B91">
                    <w:pPr>
                      <w:pStyle w:val="234"/>
                      <w:tabs>
                        <w:tab w:val="clear" w:pos="4153"/>
                        <w:tab w:val="clear" w:pos="8306"/>
                      </w:tabs>
                    </w:pPr>
                    <w:r>
                      <w:fldChar w:fldCharType="begin"/>
                    </w:r>
                    <w:r>
                      <w:instrText xml:space="preserve"> PAGE  \* MERGEFORMAT </w:instrText>
                    </w:r>
                    <w:r>
                      <w:fldChar w:fldCharType="separate"/>
                    </w:r>
                    <w:r>
                      <w:t>1</w:t>
                    </w:r>
                    <w:r>
                      <w:fldChar w:fldCharType="end"/>
                    </w:r>
                  </w:p>
                  <w:p w14:paraId="72AA6A64"/>
                </w:txbxContent>
              </v:textbox>
            </v:shape>
          </w:pict>
        </mc:Fallback>
      </mc:AlternateContent>
    </w:r>
    <w:r>
      <w:rPr>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940EE">
    <w:pPr>
      <w:pStyle w:val="234"/>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14:paraId="5D526F9A">
    <w:pPr>
      <w:pStyle w:val="23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27E1E">
    <w:pPr>
      <w:pStyle w:val="2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D9268C">
                          <w:pPr>
                            <w:pStyle w:val="2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PWBytUBAACqAwAADgAAAGRycy9lMm9Eb2MueG1srVNLjtswDN0X6B0E&#10;7Rs7KTA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qaEssMDvzy/dvlx6/Lz69k&#10;Wa5ukkK9CxUm3jtMjcMbGHBvZn9Izqb/AC0+ZccIWYZBepPkQIIEs1Ht81VtMUTCE8R6tV6XGOIY&#10;my9YrWDV/Nz5EN8KMCQZNfU4zgzPTu9DHFPnlFTNwl5pnUeq7T8OxEyeIjFJHY+c4tAME70G2jMS&#10;6XETampx8SnR7ywKnZZmNvxsNLNxdF4durxVqV5wd6jAXuXeUq0RdiqMI8zspnVLO/L3PWf9+WLb&#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Bs9YHK1QEAAKoDAAAOAAAAAAAAAAEAIAAAAB4B&#10;AABkcnMvZTJvRG9jLnhtbFBLBQYAAAAABgAGAFkBAABlBQAAAAA=&#10;">
              <v:fill on="f" focussize="0,0"/>
              <v:stroke on="f"/>
              <v:imagedata o:title=""/>
              <o:lock v:ext="edit" aspectratio="f"/>
              <v:textbox inset="0mm,0mm,0mm,0mm" style="mso-fit-shape-to-text:t;">
                <w:txbxContent>
                  <w:p w14:paraId="28D9268C">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E03CE">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7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000013"/>
    <w:multiLevelType w:val="singleLevel"/>
    <w:tmpl w:val="00000013"/>
    <w:lvl w:ilvl="0" w:tentative="0">
      <w:start w:val="1"/>
      <w:numFmt w:val="decimal"/>
      <w:lvlText w:val="%1."/>
      <w:lvlJc w:val="left"/>
      <w:pPr>
        <w:tabs>
          <w:tab w:val="left" w:pos="210"/>
        </w:tabs>
        <w:ind w:left="210" w:hanging="210"/>
      </w:pPr>
      <w:rPr>
        <w:rFonts w:hint="default" w:ascii="Times New Roman"/>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6">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14C50EFC"/>
    <w:multiLevelType w:val="singleLevel"/>
    <w:tmpl w:val="14C50EFC"/>
    <w:lvl w:ilvl="0" w:tentative="0">
      <w:start w:val="1"/>
      <w:numFmt w:val="decimal"/>
      <w:suff w:val="nothing"/>
      <w:lvlText w:val="%1、"/>
      <w:lvlJc w:val="left"/>
    </w:lvl>
  </w:abstractNum>
  <w:abstractNum w:abstractNumId="8">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7"/>
  </w:num>
  <w:num w:numId="8">
    <w:abstractNumId w:val="0"/>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C5214"/>
    <w:rsid w:val="04801DA2"/>
    <w:rsid w:val="07C17B6D"/>
    <w:rsid w:val="0F621C35"/>
    <w:rsid w:val="0F670766"/>
    <w:rsid w:val="1272218F"/>
    <w:rsid w:val="13613CF5"/>
    <w:rsid w:val="15DA2525"/>
    <w:rsid w:val="171657DF"/>
    <w:rsid w:val="189F5B39"/>
    <w:rsid w:val="18A230A3"/>
    <w:rsid w:val="191C6089"/>
    <w:rsid w:val="1B7F1479"/>
    <w:rsid w:val="1DC835AB"/>
    <w:rsid w:val="1E205195"/>
    <w:rsid w:val="25072C0B"/>
    <w:rsid w:val="25535E50"/>
    <w:rsid w:val="25A20B86"/>
    <w:rsid w:val="28C87E31"/>
    <w:rsid w:val="28D61D77"/>
    <w:rsid w:val="2C275941"/>
    <w:rsid w:val="2D663230"/>
    <w:rsid w:val="358503D1"/>
    <w:rsid w:val="38E86458"/>
    <w:rsid w:val="39C9570E"/>
    <w:rsid w:val="3C340332"/>
    <w:rsid w:val="3DA4156D"/>
    <w:rsid w:val="409C0C01"/>
    <w:rsid w:val="42B45D29"/>
    <w:rsid w:val="430E6EEE"/>
    <w:rsid w:val="43672D9B"/>
    <w:rsid w:val="47F15FD3"/>
    <w:rsid w:val="49F17862"/>
    <w:rsid w:val="4B6258F0"/>
    <w:rsid w:val="51644DBE"/>
    <w:rsid w:val="52C91507"/>
    <w:rsid w:val="55B03002"/>
    <w:rsid w:val="5932754F"/>
    <w:rsid w:val="59595C0B"/>
    <w:rsid w:val="5CF35248"/>
    <w:rsid w:val="620852F1"/>
    <w:rsid w:val="623205C0"/>
    <w:rsid w:val="64A45B71"/>
    <w:rsid w:val="66173D55"/>
    <w:rsid w:val="721B4BCD"/>
    <w:rsid w:val="728E1843"/>
    <w:rsid w:val="731C6E4F"/>
    <w:rsid w:val="7C996D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7"/>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spacing w:after="120"/>
    </w:pPr>
  </w:style>
  <w:style w:type="paragraph" w:styleId="15">
    <w:name w:val="Body Text Indent"/>
    <w:basedOn w:val="1"/>
    <w:unhideWhenUsed/>
    <w:qFormat/>
    <w:uiPriority w:val="0"/>
    <w:pPr>
      <w:ind w:firstLine="576"/>
    </w:pPr>
    <w:rPr>
      <w:rFonts w:eastAsia="宋体"/>
      <w:b/>
      <w:color w:val="auto"/>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page number"/>
    <w:basedOn w:val="34"/>
    <w:qFormat/>
    <w:uiPriority w:val="0"/>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缩进1"/>
    <w:basedOn w:val="1"/>
    <w:link w:val="221"/>
    <w:qFormat/>
    <w:uiPriority w:val="0"/>
    <w:pPr>
      <w:ind w:firstLine="645"/>
    </w:pPr>
    <w:rPr>
      <w:rFonts w:ascii="楷体_GB2312" w:eastAsia="楷体_GB2312"/>
      <w:sz w:val="32"/>
      <w:szCs w:val="32"/>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1"/>
    <w:qFormat/>
    <w:uiPriority w:val="99"/>
  </w:style>
  <w:style w:type="character" w:customStyle="1" w:styleId="58">
    <w:name w:val="Footer Char"/>
    <w:link w:val="20"/>
    <w:qFormat/>
    <w:uiPriority w:val="99"/>
  </w:style>
  <w:style w:type="character" w:customStyle="1" w:styleId="59">
    <w:name w:val="Caption Char"/>
    <w:link w:val="20"/>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3"/>
    <w:qFormat/>
    <w:uiPriority w:val="0"/>
    <w:pPr>
      <w:keepNext/>
      <w:jc w:val="center"/>
      <w:outlineLvl w:val="0"/>
    </w:pPr>
    <w:rPr>
      <w:rFonts w:ascii="楷体_GB2312" w:eastAsia="楷体_GB2312"/>
      <w:sz w:val="28"/>
      <w:szCs w:val="28"/>
    </w:rPr>
  </w:style>
  <w:style w:type="paragraph" w:customStyle="1" w:styleId="189">
    <w:name w:val="标题 21"/>
    <w:basedOn w:val="1"/>
    <w:next w:val="190"/>
    <w:link w:val="204"/>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0">
    <w:name w:val="正文缩进1"/>
    <w:basedOn w:val="1"/>
    <w:link w:val="205"/>
    <w:qFormat/>
    <w:uiPriority w:val="0"/>
    <w:pPr>
      <w:ind w:firstLine="420"/>
    </w:pPr>
    <w:rPr>
      <w:sz w:val="20"/>
    </w:rPr>
  </w:style>
  <w:style w:type="paragraph" w:customStyle="1" w:styleId="191">
    <w:name w:val="标题 31"/>
    <w:basedOn w:val="1"/>
    <w:next w:val="190"/>
    <w:link w:val="206"/>
    <w:qFormat/>
    <w:uiPriority w:val="0"/>
    <w:pPr>
      <w:keepNext/>
      <w:keepLines/>
      <w:spacing w:before="260" w:after="260" w:line="416" w:lineRule="auto"/>
      <w:outlineLvl w:val="2"/>
    </w:pPr>
    <w:rPr>
      <w:b/>
      <w:bCs/>
      <w:sz w:val="32"/>
      <w:szCs w:val="32"/>
    </w:rPr>
  </w:style>
  <w:style w:type="paragraph" w:customStyle="1" w:styleId="192">
    <w:name w:val="标题 41"/>
    <w:basedOn w:val="1"/>
    <w:next w:val="190"/>
    <w:link w:val="207"/>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标题 51"/>
    <w:basedOn w:val="1"/>
    <w:next w:val="190"/>
    <w:link w:val="208"/>
    <w:qFormat/>
    <w:uiPriority w:val="0"/>
    <w:pPr>
      <w:keepNext/>
      <w:outlineLvl w:val="4"/>
    </w:pPr>
    <w:rPr>
      <w:rFonts w:ascii="宋体"/>
      <w:color w:val="000000"/>
      <w:sz w:val="28"/>
      <w:szCs w:val="28"/>
    </w:rPr>
  </w:style>
  <w:style w:type="paragraph" w:customStyle="1" w:styleId="194">
    <w:name w:val="标题 61"/>
    <w:basedOn w:val="1"/>
    <w:next w:val="1"/>
    <w:link w:val="20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10"/>
    <w:qFormat/>
    <w:uiPriority w:val="0"/>
    <w:pPr>
      <w:keepNext/>
      <w:keepLines/>
      <w:numPr>
        <w:ilvl w:val="6"/>
        <w:numId w:val="1"/>
      </w:numPr>
      <w:spacing w:before="240" w:after="64" w:line="320" w:lineRule="auto"/>
      <w:outlineLvl w:val="6"/>
    </w:pPr>
    <w:rPr>
      <w:b/>
      <w:bCs/>
      <w:sz w:val="24"/>
      <w:szCs w:val="24"/>
    </w:rPr>
  </w:style>
  <w:style w:type="paragraph" w:customStyle="1" w:styleId="196">
    <w:name w:val="标题 81"/>
    <w:basedOn w:val="1"/>
    <w:next w:val="1"/>
    <w:link w:val="21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12"/>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paragraph" w:customStyle="1" w:styleId="200">
    <w:name w:val="正文文本1"/>
    <w:basedOn w:val="1"/>
    <w:next w:val="201"/>
    <w:link w:val="202"/>
    <w:qFormat/>
    <w:uiPriority w:val="0"/>
    <w:rPr>
      <w:rFonts w:ascii="楷体_GB2312" w:hAnsi="Arial" w:eastAsia="楷体_GB2312"/>
      <w:sz w:val="28"/>
      <w:szCs w:val="28"/>
    </w:rPr>
  </w:style>
  <w:style w:type="paragraph" w:customStyle="1" w:styleId="201">
    <w:name w:val="正文首行缩进1"/>
    <w:basedOn w:val="200"/>
    <w:link w:val="253"/>
    <w:qFormat/>
    <w:uiPriority w:val="0"/>
    <w:pPr>
      <w:spacing w:line="360" w:lineRule="auto"/>
      <w:ind w:firstLine="200"/>
    </w:pPr>
    <w:rPr>
      <w:rFonts w:ascii="仿宋_GB2312" w:eastAsia="仿宋_GB2312"/>
      <w:sz w:val="30"/>
      <w:szCs w:val="30"/>
    </w:rPr>
  </w:style>
  <w:style w:type="character" w:customStyle="1" w:styleId="202">
    <w:name w:val="正文文本 字符"/>
    <w:link w:val="200"/>
    <w:qFormat/>
    <w:uiPriority w:val="0"/>
    <w:rPr>
      <w:rFonts w:ascii="楷体_GB2312" w:hAnsi="Arial" w:eastAsia="楷体_GB2312" w:cs="Times New Roman"/>
      <w:sz w:val="28"/>
      <w:szCs w:val="28"/>
    </w:rPr>
  </w:style>
  <w:style w:type="character" w:customStyle="1" w:styleId="203">
    <w:name w:val="标题 1 字符"/>
    <w:link w:val="188"/>
    <w:qFormat/>
    <w:uiPriority w:val="0"/>
    <w:rPr>
      <w:rFonts w:ascii="楷体_GB2312" w:hAnsi="Times New Roman" w:eastAsia="楷体_GB2312" w:cs="Times New Roman"/>
      <w:sz w:val="28"/>
      <w:szCs w:val="28"/>
    </w:rPr>
  </w:style>
  <w:style w:type="character" w:customStyle="1" w:styleId="204">
    <w:name w:val="标题 2 字符"/>
    <w:link w:val="189"/>
    <w:qFormat/>
    <w:uiPriority w:val="0"/>
    <w:rPr>
      <w:rFonts w:ascii="Arial" w:hAnsi="Arial" w:eastAsia="幼圆" w:cs="Arial"/>
      <w:b/>
      <w:bCs/>
      <w:sz w:val="44"/>
      <w:szCs w:val="44"/>
    </w:rPr>
  </w:style>
  <w:style w:type="character" w:customStyle="1" w:styleId="205">
    <w:name w:val="正文缩进 字符"/>
    <w:link w:val="190"/>
    <w:qFormat/>
    <w:uiPriority w:val="0"/>
    <w:rPr>
      <w:rFonts w:ascii="Times New Roman" w:hAnsi="Times New Roman" w:eastAsia="宋体" w:cs="Times New Roman"/>
      <w:szCs w:val="21"/>
    </w:rPr>
  </w:style>
  <w:style w:type="character" w:customStyle="1" w:styleId="206">
    <w:name w:val="标题 3 字符"/>
    <w:link w:val="191"/>
    <w:qFormat/>
    <w:uiPriority w:val="0"/>
    <w:rPr>
      <w:rFonts w:ascii="Times New Roman" w:hAnsi="Times New Roman" w:eastAsia="宋体" w:cs="Times New Roman"/>
      <w:b/>
      <w:bCs/>
      <w:sz w:val="32"/>
      <w:szCs w:val="32"/>
    </w:rPr>
  </w:style>
  <w:style w:type="character" w:customStyle="1" w:styleId="207">
    <w:name w:val="标题 4 字符"/>
    <w:link w:val="192"/>
    <w:qFormat/>
    <w:uiPriority w:val="0"/>
    <w:rPr>
      <w:rFonts w:ascii="Arial" w:hAnsi="Arial" w:eastAsia="黑体" w:cs="Arial"/>
      <w:b/>
      <w:bCs/>
      <w:sz w:val="28"/>
      <w:szCs w:val="28"/>
    </w:rPr>
  </w:style>
  <w:style w:type="character" w:customStyle="1" w:styleId="208">
    <w:name w:val="标题 5 字符"/>
    <w:link w:val="193"/>
    <w:qFormat/>
    <w:uiPriority w:val="0"/>
    <w:rPr>
      <w:rFonts w:ascii="宋体" w:hAnsi="Times New Roman" w:eastAsia="宋体" w:cs="Times New Roman"/>
      <w:color w:val="000000"/>
      <w:sz w:val="28"/>
      <w:szCs w:val="28"/>
    </w:rPr>
  </w:style>
  <w:style w:type="character" w:customStyle="1" w:styleId="209">
    <w:name w:val="标题 6 字符"/>
    <w:link w:val="194"/>
    <w:qFormat/>
    <w:uiPriority w:val="0"/>
    <w:rPr>
      <w:rFonts w:ascii="Arial" w:hAnsi="Arial" w:eastAsia="黑体" w:cs="Times New Roman"/>
      <w:b/>
      <w:bCs/>
      <w:sz w:val="24"/>
      <w:szCs w:val="24"/>
    </w:rPr>
  </w:style>
  <w:style w:type="character" w:customStyle="1" w:styleId="210">
    <w:name w:val="标题 7 字符"/>
    <w:link w:val="195"/>
    <w:qFormat/>
    <w:uiPriority w:val="0"/>
    <w:rPr>
      <w:rFonts w:ascii="Times New Roman" w:hAnsi="Times New Roman" w:eastAsia="宋体" w:cs="Times New Roman"/>
      <w:b/>
      <w:bCs/>
      <w:sz w:val="24"/>
      <w:szCs w:val="24"/>
    </w:rPr>
  </w:style>
  <w:style w:type="character" w:customStyle="1" w:styleId="211">
    <w:name w:val="标题 8 字符"/>
    <w:link w:val="196"/>
    <w:qFormat/>
    <w:uiPriority w:val="0"/>
    <w:rPr>
      <w:rFonts w:ascii="Arial" w:hAnsi="Arial" w:eastAsia="黑体" w:cs="Times New Roman"/>
      <w:sz w:val="24"/>
      <w:szCs w:val="24"/>
    </w:rPr>
  </w:style>
  <w:style w:type="character" w:customStyle="1" w:styleId="212">
    <w:name w:val="标题 9 字符"/>
    <w:link w:val="197"/>
    <w:qFormat/>
    <w:uiPriority w:val="0"/>
    <w:rPr>
      <w:rFonts w:ascii="Arial" w:hAnsi="Arial" w:eastAsia="黑体" w:cs="Times New Roman"/>
      <w:szCs w:val="21"/>
    </w:rPr>
  </w:style>
  <w:style w:type="paragraph" w:customStyle="1" w:styleId="213">
    <w:name w:val="列表 31"/>
    <w:basedOn w:val="1"/>
    <w:qFormat/>
    <w:uiPriority w:val="0"/>
    <w:pPr>
      <w:ind w:left="100" w:hanging="200"/>
    </w:pPr>
  </w:style>
  <w:style w:type="paragraph" w:customStyle="1" w:styleId="214">
    <w:name w:val="目录 71"/>
    <w:basedOn w:val="1"/>
    <w:next w:val="1"/>
    <w:semiHidden/>
    <w:qFormat/>
    <w:uiPriority w:val="0"/>
    <w:pPr>
      <w:ind w:left="1260"/>
      <w:jc w:val="left"/>
    </w:pPr>
  </w:style>
  <w:style w:type="paragraph" w:customStyle="1" w:styleId="215">
    <w:name w:val="文档结构图1"/>
    <w:basedOn w:val="1"/>
    <w:link w:val="216"/>
    <w:semiHidden/>
    <w:qFormat/>
    <w:uiPriority w:val="0"/>
    <w:pPr>
      <w:shd w:val="clear" w:color="auto" w:fill="000080"/>
    </w:pPr>
    <w:rPr>
      <w:sz w:val="20"/>
    </w:rPr>
  </w:style>
  <w:style w:type="character" w:customStyle="1" w:styleId="216">
    <w:name w:val="文档结构图 字符"/>
    <w:link w:val="215"/>
    <w:semiHidden/>
    <w:qFormat/>
    <w:uiPriority w:val="0"/>
    <w:rPr>
      <w:rFonts w:ascii="Times New Roman" w:hAnsi="Times New Roman" w:eastAsia="宋体" w:cs="Times New Roman"/>
      <w:szCs w:val="21"/>
      <w:shd w:val="clear" w:color="auto" w:fill="000080"/>
    </w:rPr>
  </w:style>
  <w:style w:type="paragraph" w:customStyle="1" w:styleId="217">
    <w:name w:val="批注文字1"/>
    <w:basedOn w:val="1"/>
    <w:link w:val="218"/>
    <w:semiHidden/>
    <w:qFormat/>
    <w:uiPriority w:val="0"/>
    <w:pPr>
      <w:jc w:val="left"/>
    </w:pPr>
    <w:rPr>
      <w:sz w:val="20"/>
    </w:rPr>
  </w:style>
  <w:style w:type="character" w:customStyle="1" w:styleId="218">
    <w:name w:val="批注文字 字符"/>
    <w:link w:val="217"/>
    <w:semiHidden/>
    <w:qFormat/>
    <w:uiPriority w:val="0"/>
    <w:rPr>
      <w:rFonts w:ascii="Times New Roman" w:hAnsi="Times New Roman" w:eastAsia="宋体" w:cs="Times New Roman"/>
      <w:szCs w:val="21"/>
    </w:rPr>
  </w:style>
  <w:style w:type="paragraph" w:customStyle="1" w:styleId="219">
    <w:name w:val="正文文本 31"/>
    <w:basedOn w:val="1"/>
    <w:link w:val="220"/>
    <w:qFormat/>
    <w:uiPriority w:val="0"/>
    <w:rPr>
      <w:rFonts w:ascii="仿宋_GB2312" w:hAnsi="Arial" w:eastAsia="仿宋_GB2312"/>
      <w:sz w:val="32"/>
      <w:szCs w:val="32"/>
    </w:rPr>
  </w:style>
  <w:style w:type="character" w:customStyle="1" w:styleId="220">
    <w:name w:val="正文文本 3 字符"/>
    <w:link w:val="219"/>
    <w:qFormat/>
    <w:uiPriority w:val="0"/>
    <w:rPr>
      <w:rFonts w:ascii="仿宋_GB2312" w:hAnsi="Arial" w:eastAsia="仿宋_GB2312" w:cs="Times New Roman"/>
      <w:sz w:val="32"/>
      <w:szCs w:val="32"/>
    </w:rPr>
  </w:style>
  <w:style w:type="character" w:customStyle="1" w:styleId="221">
    <w:name w:val="正文文本缩进 字符"/>
    <w:link w:val="39"/>
    <w:qFormat/>
    <w:uiPriority w:val="0"/>
    <w:rPr>
      <w:rFonts w:ascii="楷体_GB2312" w:hAnsi="Times New Roman" w:eastAsia="楷体_GB2312" w:cs="Times New Roman"/>
      <w:sz w:val="32"/>
      <w:szCs w:val="32"/>
    </w:rPr>
  </w:style>
  <w:style w:type="paragraph" w:customStyle="1" w:styleId="222">
    <w:name w:val="列表 21"/>
    <w:basedOn w:val="1"/>
    <w:qFormat/>
    <w:uiPriority w:val="0"/>
    <w:pPr>
      <w:ind w:left="100" w:hanging="200"/>
    </w:p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paragraph" w:customStyle="1" w:styleId="225">
    <w:name w:val="纯文本1"/>
    <w:basedOn w:val="1"/>
    <w:link w:val="226"/>
    <w:qFormat/>
    <w:uiPriority w:val="0"/>
    <w:rPr>
      <w:rFonts w:ascii="宋体" w:hAnsi="Courier New"/>
      <w:sz w:val="20"/>
    </w:rPr>
  </w:style>
  <w:style w:type="character" w:customStyle="1" w:styleId="226">
    <w:name w:val="纯文本 字符"/>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style>
  <w:style w:type="paragraph" w:customStyle="1" w:styleId="228">
    <w:name w:val="日期1"/>
    <w:basedOn w:val="1"/>
    <w:next w:val="1"/>
    <w:link w:val="229"/>
    <w:qFormat/>
    <w:uiPriority w:val="0"/>
    <w:rPr>
      <w:sz w:val="24"/>
      <w:szCs w:val="24"/>
    </w:rPr>
  </w:style>
  <w:style w:type="character" w:customStyle="1" w:styleId="229">
    <w:name w:val="日期 字符"/>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字符"/>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sz w:val="18"/>
      <w:szCs w:val="18"/>
    </w:rPr>
  </w:style>
  <w:style w:type="character" w:customStyle="1" w:styleId="233">
    <w:name w:val="批注框文本 字符"/>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sz w:val="18"/>
      <w:szCs w:val="18"/>
    </w:rPr>
  </w:style>
  <w:style w:type="character" w:customStyle="1" w:styleId="235">
    <w:name w:val="页脚 字符"/>
    <w:link w:val="234"/>
    <w:qFormat/>
    <w:uiPriority w:val="0"/>
    <w:rPr>
      <w:rFonts w:ascii="Times New Roman" w:hAnsi="Times New Roman" w:eastAsia="宋体" w:cs="Times New Roman"/>
      <w:sz w:val="18"/>
      <w:szCs w:val="18"/>
    </w:rPr>
  </w:style>
  <w:style w:type="paragraph" w:customStyle="1" w:styleId="236">
    <w:name w:val="页眉1"/>
    <w:basedOn w:val="1"/>
    <w:link w:val="237"/>
    <w:qFormat/>
    <w:uiPriority w:val="99"/>
    <w:pPr>
      <w:pBdr>
        <w:bottom w:val="single" w:color="000000" w:sz="6" w:space="1"/>
      </w:pBdr>
      <w:tabs>
        <w:tab w:val="center" w:pos="4153"/>
        <w:tab w:val="right" w:pos="8306"/>
      </w:tabs>
      <w:jc w:val="center"/>
    </w:pPr>
    <w:rPr>
      <w:sz w:val="18"/>
      <w:szCs w:val="18"/>
    </w:rPr>
  </w:style>
  <w:style w:type="character" w:customStyle="1" w:styleId="237">
    <w:name w:val="页眉 字符"/>
    <w:link w:val="236"/>
    <w:qFormat/>
    <w:uiPriority w:val="99"/>
    <w:rPr>
      <w:rFonts w:ascii="Times New Roman" w:hAnsi="Times New Roman" w:eastAsia="宋体" w:cs="Times New Roman"/>
      <w:sz w:val="18"/>
      <w:szCs w:val="18"/>
    </w:rPr>
  </w:style>
  <w:style w:type="paragraph" w:customStyle="1" w:styleId="23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9">
    <w:name w:val="目录 41"/>
    <w:basedOn w:val="1"/>
    <w:next w:val="1"/>
    <w:semiHidden/>
    <w:qFormat/>
    <w:uiPriority w:val="0"/>
    <w:pPr>
      <w:ind w:left="630"/>
      <w:jc w:val="left"/>
    </w:pPr>
  </w:style>
  <w:style w:type="paragraph" w:customStyle="1" w:styleId="240">
    <w:name w:val="列表1"/>
    <w:basedOn w:val="1"/>
    <w:qFormat/>
    <w:uiPriority w:val="0"/>
    <w:pPr>
      <w:ind w:left="200" w:hanging="200"/>
    </w:pPr>
  </w:style>
  <w:style w:type="paragraph" w:customStyle="1" w:styleId="241">
    <w:name w:val="目录 61"/>
    <w:basedOn w:val="1"/>
    <w:next w:val="1"/>
    <w:semiHidden/>
    <w:qFormat/>
    <w:uiPriority w:val="0"/>
    <w:pPr>
      <w:ind w:left="1050"/>
      <w:jc w:val="left"/>
    </w:pPr>
  </w:style>
  <w:style w:type="paragraph" w:customStyle="1" w:styleId="242">
    <w:name w:val="正文文本缩进 31"/>
    <w:basedOn w:val="1"/>
    <w:link w:val="243"/>
    <w:qFormat/>
    <w:uiPriority w:val="0"/>
    <w:pPr>
      <w:ind w:left="645" w:firstLine="645"/>
    </w:pPr>
    <w:rPr>
      <w:rFonts w:ascii="Arial" w:hAnsi="Arial" w:eastAsia="仿宋_GB2312"/>
      <w:color w:val="FFFF00"/>
      <w:sz w:val="32"/>
      <w:szCs w:val="32"/>
    </w:rPr>
  </w:style>
  <w:style w:type="character" w:customStyle="1" w:styleId="243">
    <w:name w:val="正文文本缩进 3 字符"/>
    <w:link w:val="242"/>
    <w:qFormat/>
    <w:uiPriority w:val="0"/>
    <w:rPr>
      <w:rFonts w:ascii="Arial" w:hAnsi="Arial" w:eastAsia="仿宋_GB2312" w:cs="Arial"/>
      <w:color w:val="FFFF00"/>
      <w:sz w:val="32"/>
      <w:szCs w:val="32"/>
    </w:rPr>
  </w:style>
  <w:style w:type="paragraph" w:customStyle="1" w:styleId="244">
    <w:name w:val="图表目录1"/>
    <w:basedOn w:val="1"/>
    <w:next w:val="1"/>
    <w:semiHidden/>
    <w:qFormat/>
    <w:uiPriority w:val="0"/>
    <w:pPr>
      <w:ind w:left="840" w:hanging="420"/>
    </w:pPr>
  </w:style>
  <w:style w:type="paragraph" w:customStyle="1" w:styleId="245">
    <w:name w:val="目录 21"/>
    <w:basedOn w:val="1"/>
    <w:next w:val="1"/>
    <w:semiHidden/>
    <w:qFormat/>
    <w:uiPriority w:val="0"/>
    <w:pPr>
      <w:ind w:left="210"/>
      <w:jc w:val="left"/>
    </w:pPr>
    <w:rPr>
      <w:smallCaps/>
      <w:szCs w:val="24"/>
    </w:rPr>
  </w:style>
  <w:style w:type="paragraph" w:customStyle="1" w:styleId="246">
    <w:name w:val="目录 91"/>
    <w:basedOn w:val="1"/>
    <w:next w:val="1"/>
    <w:semiHidden/>
    <w:qFormat/>
    <w:uiPriority w:val="0"/>
    <w:pPr>
      <w:ind w:left="1680"/>
      <w:jc w:val="left"/>
    </w:pPr>
  </w:style>
  <w:style w:type="paragraph" w:customStyle="1" w:styleId="247">
    <w:name w:val="正文文本 21"/>
    <w:basedOn w:val="1"/>
    <w:link w:val="248"/>
    <w:qFormat/>
    <w:uiPriority w:val="0"/>
    <w:pPr>
      <w:widowControl/>
      <w:jc w:val="center"/>
    </w:pPr>
    <w:rPr>
      <w:rFonts w:ascii="楷体_GB2312" w:eastAsia="楷体_GB2312"/>
      <w:sz w:val="28"/>
      <w:szCs w:val="28"/>
    </w:rPr>
  </w:style>
  <w:style w:type="character" w:customStyle="1" w:styleId="248">
    <w:name w:val="正文文本 2 字符"/>
    <w:link w:val="247"/>
    <w:qFormat/>
    <w:uiPriority w:val="0"/>
    <w:rPr>
      <w:rFonts w:ascii="楷体_GB2312" w:hAnsi="Times New Roman" w:eastAsia="楷体_GB2312" w:cs="Times New Roman"/>
      <w:sz w:val="28"/>
      <w:szCs w:val="28"/>
    </w:rPr>
  </w:style>
  <w:style w:type="paragraph" w:customStyle="1" w:styleId="24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0">
    <w:name w:val="索引 11"/>
    <w:basedOn w:val="1"/>
    <w:next w:val="1"/>
    <w:semiHidden/>
    <w:qFormat/>
    <w:uiPriority w:val="0"/>
    <w:pPr>
      <w:spacing w:line="240" w:lineRule="atLeast"/>
    </w:pPr>
    <w:rPr>
      <w:b/>
      <w:bCs/>
    </w:rPr>
  </w:style>
  <w:style w:type="paragraph" w:customStyle="1" w:styleId="251">
    <w:name w:val="批注主题1"/>
    <w:basedOn w:val="217"/>
    <w:next w:val="217"/>
    <w:link w:val="252"/>
    <w:semiHidden/>
    <w:qFormat/>
    <w:uiPriority w:val="0"/>
    <w:rPr>
      <w:b/>
      <w:bCs/>
    </w:rPr>
  </w:style>
  <w:style w:type="character" w:customStyle="1" w:styleId="252">
    <w:name w:val="批注主题 字符"/>
    <w:link w:val="251"/>
    <w:semiHidden/>
    <w:qFormat/>
    <w:uiPriority w:val="0"/>
    <w:rPr>
      <w:rFonts w:ascii="Times New Roman" w:hAnsi="Times New Roman" w:eastAsia="宋体" w:cs="Times New Roman"/>
      <w:b/>
      <w:bCs/>
      <w:szCs w:val="21"/>
    </w:rPr>
  </w:style>
  <w:style w:type="character" w:customStyle="1" w:styleId="253">
    <w:name w:val="正文文本首行缩进 字符"/>
    <w:link w:val="201"/>
    <w:qFormat/>
    <w:uiPriority w:val="0"/>
    <w:rPr>
      <w:rFonts w:ascii="仿宋_GB2312" w:hAnsi="Times New Roman" w:eastAsia="仿宋_GB2312" w:cs="Times New Roman"/>
      <w:sz w:val="30"/>
      <w:szCs w:val="30"/>
    </w:rPr>
  </w:style>
  <w:style w:type="paragraph" w:customStyle="1" w:styleId="254">
    <w:name w:val="正文首行缩进 21"/>
    <w:basedOn w:val="39"/>
    <w:next w:val="201"/>
    <w:link w:val="255"/>
    <w:qFormat/>
    <w:uiPriority w:val="0"/>
    <w:pPr>
      <w:spacing w:line="360" w:lineRule="auto"/>
      <w:ind w:firstLine="420"/>
    </w:pPr>
    <w:rPr>
      <w:rFonts w:ascii="宋体" w:hAnsi="宋体" w:eastAsia="宋体"/>
      <w:szCs w:val="20"/>
    </w:rPr>
  </w:style>
  <w:style w:type="character" w:customStyle="1" w:styleId="255">
    <w:name w:val="正文文本首行缩进 2 字符"/>
    <w:link w:val="254"/>
    <w:qFormat/>
    <w:uiPriority w:val="0"/>
    <w:rPr>
      <w:rFonts w:ascii="宋体" w:hAnsi="宋体" w:eastAsia="宋体" w:cs="Times New Roman"/>
      <w:sz w:val="32"/>
      <w:szCs w:val="20"/>
    </w:rPr>
  </w:style>
  <w:style w:type="table" w:customStyle="1" w:styleId="256">
    <w:name w:val="网格型1"/>
    <w:basedOn w:val="199"/>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qFormat/>
    <w:uiPriority w:val="0"/>
  </w:style>
  <w:style w:type="character" w:customStyle="1" w:styleId="259">
    <w:name w:val="已访问的超链接1"/>
    <w:link w:val="1"/>
    <w:qFormat/>
    <w:uiPriority w:val="0"/>
    <w:rPr>
      <w:color w:val="800080"/>
      <w:u w:val="single"/>
    </w:rPr>
  </w:style>
  <w:style w:type="character" w:customStyle="1" w:styleId="260">
    <w:name w:val="HTML 打字机11"/>
    <w:link w:val="1"/>
    <w:qFormat/>
    <w:uiPriority w:val="99"/>
    <w:rPr>
      <w:rFonts w:ascii="宋体" w:hAnsi="宋体" w:eastAsia="宋体" w:cs="宋体"/>
      <w:sz w:val="24"/>
      <w:szCs w:val="24"/>
    </w:rPr>
  </w:style>
  <w:style w:type="character" w:customStyle="1" w:styleId="261">
    <w:name w:val="超链接1"/>
    <w:link w:val="1"/>
    <w:qFormat/>
    <w:uiPriority w:val="0"/>
    <w:rPr>
      <w:color w:val="0000FF"/>
      <w:u w:val="single"/>
    </w:rPr>
  </w:style>
  <w:style w:type="character" w:customStyle="1" w:styleId="262">
    <w:name w:val="批注引用1"/>
    <w:link w:val="1"/>
    <w:semiHidden/>
    <w:qFormat/>
    <w:uiPriority w:val="0"/>
    <w:rPr>
      <w:sz w:val="21"/>
      <w:szCs w:val="21"/>
    </w:rPr>
  </w:style>
  <w:style w:type="character" w:customStyle="1" w:styleId="263">
    <w:name w:val="HTML 打字机1"/>
    <w:link w:val="1"/>
    <w:qFormat/>
    <w:uiPriority w:val="99"/>
    <w:rPr>
      <w:rFonts w:ascii="Times New Roman" w:hAnsi="Times New Roman"/>
      <w:sz w:val="21"/>
      <w:szCs w:val="21"/>
      <w:lang w:val="en-US" w:eastAsia="zh-CN" w:bidi="ar-SA"/>
    </w:rPr>
  </w:style>
  <w:style w:type="paragraph" w:customStyle="1" w:styleId="264">
    <w:name w:val="索引 41"/>
    <w:basedOn w:val="1"/>
    <w:next w:val="1"/>
    <w:qFormat/>
    <w:uiPriority w:val="99"/>
    <w:pPr>
      <w:ind w:left="600"/>
    </w:pPr>
    <w:rPr>
      <w:szCs w:val="24"/>
    </w:rPr>
  </w:style>
  <w:style w:type="character" w:customStyle="1" w:styleId="265">
    <w:name w:val="font5 Char"/>
    <w:link w:val="1"/>
    <w:qFormat/>
    <w:uiPriority w:val="0"/>
    <w:rPr>
      <w:rFonts w:ascii="宋体" w:hAnsi="宋体" w:eastAsia="宋体"/>
      <w:sz w:val="28"/>
      <w:szCs w:val="28"/>
      <w:lang w:val="en-US" w:eastAsia="zh-CN" w:bidi="ar-SA"/>
    </w:rPr>
  </w:style>
  <w:style w:type="character" w:customStyle="1" w:styleId="266">
    <w:name w:val="二级目录 Char"/>
    <w:link w:val="267"/>
    <w:qFormat/>
    <w:uiPriority w:val="0"/>
    <w:rPr>
      <w:b/>
      <w:sz w:val="30"/>
      <w:szCs w:val="28"/>
      <w:lang w:val="en-US" w:eastAsia="zh-CN" w:bidi="ar-SA"/>
    </w:rPr>
  </w:style>
  <w:style w:type="paragraph" w:customStyle="1" w:styleId="267">
    <w:name w:val="二级目录"/>
    <w:next w:val="1"/>
    <w:link w:val="26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rFonts w:ascii="Calibri" w:hAnsi="Calibri"/>
      <w:sz w:val="24"/>
      <w:szCs w:val="24"/>
      <w:lang w:eastAsia="en-US" w:bidi="en-US"/>
    </w:rPr>
  </w:style>
  <w:style w:type="paragraph" w:customStyle="1" w:styleId="270">
    <w:name w:val="Body Text(ch)"/>
    <w:basedOn w:val="1"/>
    <w:next w:val="200"/>
    <w:qFormat/>
    <w:uiPriority w:val="0"/>
    <w:pPr>
      <w:spacing w:after="120"/>
    </w:pPr>
    <w:rPr>
      <w:rFonts w:ascii="宋体" w:hAnsi="Arial"/>
      <w:bCs/>
      <w:iCs/>
      <w:szCs w:val="24"/>
    </w:rPr>
  </w:style>
  <w:style w:type="paragraph" w:customStyle="1" w:styleId="27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3">
    <w:name w:val="Char"/>
    <w:basedOn w:val="1"/>
    <w:qFormat/>
    <w:uiPriority w:val="0"/>
    <w:pPr>
      <w:tabs>
        <w:tab w:val="left" w:pos="360"/>
      </w:tabs>
      <w:ind w:firstLine="200"/>
    </w:pPr>
    <w:rPr>
      <w:sz w:val="28"/>
      <w:szCs w:val="30"/>
    </w:rPr>
  </w:style>
  <w:style w:type="paragraph" w:customStyle="1" w:styleId="274">
    <w:name w:val=" Char"/>
    <w:basedOn w:val="215"/>
    <w:qFormat/>
    <w:uiPriority w:val="0"/>
    <w:rPr>
      <w:rFonts w:ascii="Tahoma" w:hAnsi="Tahoma"/>
      <w:sz w:val="24"/>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table_lines"/>
    <w:basedOn w:val="1"/>
    <w:qFormat/>
    <w:uiPriority w:val="0"/>
    <w:pPr>
      <w:widowControl/>
      <w:jc w:val="left"/>
    </w:pPr>
    <w:rPr>
      <w:sz w:val="20"/>
      <w:szCs w:val="20"/>
      <w:lang w:val="de-DE" w:eastAsia="de-DE"/>
    </w:rPr>
  </w:style>
  <w:style w:type="paragraph" w:customStyle="1" w:styleId="27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9">
    <w:name w:val=" Char Char Char Char"/>
    <w:basedOn w:val="215"/>
    <w:qFormat/>
    <w:uiPriority w:val="0"/>
    <w:pPr>
      <w:spacing w:line="360" w:lineRule="auto"/>
    </w:pPr>
    <w:rPr>
      <w:rFonts w:ascii="Tahoma" w:hAnsi="Tahoma"/>
      <w:sz w:val="24"/>
      <w:szCs w:val="24"/>
    </w:rPr>
  </w:style>
  <w:style w:type="paragraph" w:customStyle="1" w:styleId="280">
    <w:name w:val="列表段落"/>
    <w:basedOn w:val="1"/>
    <w:qFormat/>
    <w:uiPriority w:val="99"/>
    <w:pPr>
      <w:widowControl/>
      <w:ind w:left="720"/>
      <w:contextualSpacing/>
      <w:jc w:val="left"/>
    </w:pPr>
    <w:rPr>
      <w:rFonts w:ascii="Calibri" w:hAnsi="Calibri"/>
      <w:sz w:val="24"/>
      <w:szCs w:val="24"/>
      <w:lang w:eastAsia="en-US" w:bidi="en-US"/>
    </w:rPr>
  </w:style>
  <w:style w:type="paragraph" w:customStyle="1" w:styleId="281">
    <w:name w:val="4"/>
    <w:basedOn w:val="1"/>
    <w:next w:val="242"/>
    <w:qFormat/>
    <w:uiPriority w:val="0"/>
    <w:pPr>
      <w:spacing w:line="360" w:lineRule="auto"/>
      <w:ind w:firstLine="420"/>
    </w:pPr>
    <w:rPr>
      <w:color w:val="FF0000"/>
      <w:sz w:val="24"/>
      <w:szCs w:val="24"/>
    </w:rPr>
  </w:style>
  <w:style w:type="paragraph" w:customStyle="1" w:styleId="28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3">
    <w:name w:val=" Char Char Char Char Char Char Char Char Char Char"/>
    <w:basedOn w:val="1"/>
    <w:qFormat/>
    <w:uiPriority w:val="0"/>
    <w:pPr>
      <w:spacing w:line="360" w:lineRule="auto"/>
    </w:pPr>
    <w:rPr>
      <w:sz w:val="24"/>
      <w:szCs w:val="20"/>
    </w:rPr>
  </w:style>
  <w:style w:type="paragraph" w:customStyle="1" w:styleId="284">
    <w:name w:val="样式1"/>
    <w:basedOn w:val="1"/>
    <w:qFormat/>
    <w:uiPriority w:val="0"/>
    <w:pPr>
      <w:numPr>
        <w:ilvl w:val="0"/>
        <w:numId w:val="3"/>
      </w:numPr>
    </w:pPr>
    <w:rPr>
      <w:rFonts w:ascii="宋体" w:hAnsi="宋体"/>
    </w:rPr>
  </w:style>
  <w:style w:type="paragraph" w:customStyle="1" w:styleId="2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5">
    <w:name w:val="Char Char Char Char"/>
    <w:basedOn w:val="215"/>
    <w:qFormat/>
    <w:uiPriority w:val="0"/>
    <w:pPr>
      <w:spacing w:line="360" w:lineRule="auto"/>
    </w:pPr>
    <w:rPr>
      <w:rFonts w:ascii="Tahoma" w:hAnsi="Tahoma"/>
      <w:sz w:val="24"/>
      <w:szCs w:val="24"/>
    </w:rPr>
  </w:style>
  <w:style w:type="paragraph" w:customStyle="1" w:styleId="296">
    <w:name w:val="table_1stline"/>
    <w:basedOn w:val="1"/>
    <w:qFormat/>
    <w:uiPriority w:val="0"/>
    <w:pPr>
      <w:widowControl/>
      <w:spacing w:before="120"/>
      <w:jc w:val="left"/>
    </w:pPr>
    <w:rPr>
      <w:bCs/>
      <w:sz w:val="20"/>
      <w:szCs w:val="20"/>
      <w:lang w:val="de-DE" w:eastAsia="de-DE"/>
    </w:rPr>
  </w:style>
  <w:style w:type="paragraph" w:customStyle="1" w:styleId="29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9">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1">
    <w:name w:val="普通文字"/>
    <w:basedOn w:val="1"/>
    <w:next w:val="1"/>
    <w:qFormat/>
    <w:uiPriority w:val="99"/>
    <w:rPr>
      <w:rFonts w:ascii="宋体" w:hAnsi="Times New Roman" w:eastAsia="宋体" w:cs="Times New Roman"/>
      <w:sz w:val="24"/>
      <w:szCs w:val="20"/>
      <w:u w:val="none"/>
    </w:rPr>
  </w:style>
  <w:style w:type="paragraph" w:customStyle="1" w:styleId="302">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03">
    <w:name w:val="段"/>
    <w:next w:val="1"/>
    <w:qFormat/>
    <w:uiPriority w:val="0"/>
    <w:pPr>
      <w:tabs>
        <w:tab w:val="center" w:pos="4201"/>
        <w:tab w:val="right" w:leader="dot" w:pos="9298"/>
      </w:tabs>
      <w:ind w:firstLine="420"/>
      <w:jc w:val="both"/>
    </w:pPr>
    <w:rPr>
      <w:rFonts w:hint="default" w:ascii="宋体" w:hAnsi="Times New Roman" w:eastAsia="Times New Roman" w:cs="Times New Roman"/>
      <w:lang w:val="en-US" w:eastAsia="zh-CN" w:bidi="ar-SA"/>
    </w:rPr>
  </w:style>
  <w:style w:type="table" w:customStyle="1" w:styleId="304">
    <w:name w:val="Table Normal"/>
    <w:unhideWhenUsed/>
    <w:qFormat/>
    <w:uiPriority w:val="0"/>
    <w:rPr>
      <w:lang w:val="en-US" w:eastAsia="zh-CN" w:bidi="ar-SA"/>
    </w:rPr>
  </w:style>
  <w:style w:type="character" w:customStyle="1" w:styleId="305">
    <w:name w:val="font81"/>
    <w:link w:val="1"/>
    <w:qFormat/>
    <w:uiPriority w:val="0"/>
    <w:rPr>
      <w:rFonts w:ascii="Calibri" w:hAnsi="Calibri" w:cs="Calibri"/>
      <w:color w:val="000000"/>
      <w:sz w:val="18"/>
      <w:szCs w:val="18"/>
      <w:u w:val="none"/>
    </w:rPr>
  </w:style>
  <w:style w:type="character" w:customStyle="1" w:styleId="306">
    <w:name w:val="font31"/>
    <w:link w:val="1"/>
    <w:qFormat/>
    <w:uiPriority w:val="0"/>
    <w:rPr>
      <w:rFonts w:hint="eastAsia" w:ascii="宋体" w:hAnsi="宋体" w:eastAsia="宋体" w:cs="宋体"/>
      <w:color w:val="000000"/>
      <w:sz w:val="18"/>
      <w:szCs w:val="18"/>
      <w:u w:val="none"/>
    </w:rPr>
  </w:style>
  <w:style w:type="character" w:customStyle="1" w:styleId="307">
    <w:name w:val="font41"/>
    <w:link w:val="1"/>
    <w:qFormat/>
    <w:uiPriority w:val="0"/>
    <w:rPr>
      <w:rFonts w:hint="eastAsia" w:ascii="宋体" w:hAnsi="宋体" w:eastAsia="宋体" w:cs="宋体"/>
      <w:color w:val="000000"/>
      <w:sz w:val="20"/>
      <w:szCs w:val="20"/>
      <w:u w:val="none"/>
    </w:rPr>
  </w:style>
  <w:style w:type="paragraph" w:customStyle="1" w:styleId="308">
    <w:name w:val="标题二、"/>
    <w:basedOn w:val="1"/>
    <w:qFormat/>
    <w:uiPriority w:val="99"/>
    <w:pPr>
      <w:spacing w:line="360" w:lineRule="auto"/>
      <w:ind w:firstLine="200"/>
      <w:outlineLvl w:val="2"/>
    </w:pPr>
    <w:rPr>
      <w:rFonts w:ascii="宋体" w:hAnsi="宋体"/>
      <w:b/>
      <w:szCs w:val="21"/>
    </w:rPr>
  </w:style>
  <w:style w:type="paragraph" w:customStyle="1" w:styleId="309">
    <w:name w:val="正文文本缩进 211"/>
    <w:basedOn w:val="1"/>
    <w:qFormat/>
    <w:uiPriority w:val="99"/>
    <w:pPr>
      <w:ind w:left="900"/>
    </w:pPr>
    <w:rPr>
      <w:rFonts w:ascii="楷体_GB2312" w:hAnsi="Times New Roman" w:eastAsia="楷体_GB2312"/>
      <w:b/>
      <w:sz w:val="28"/>
      <w:szCs w:val="20"/>
    </w:rPr>
  </w:style>
  <w:style w:type="paragraph" w:customStyle="1" w:styleId="310">
    <w:name w:val="页脚12"/>
    <w:basedOn w:val="1"/>
    <w:qFormat/>
    <w:uiPriority w:val="0"/>
    <w:pPr>
      <w:tabs>
        <w:tab w:val="center" w:pos="4153"/>
        <w:tab w:val="right" w:pos="8306"/>
      </w:tabs>
      <w:jc w:val="left"/>
    </w:pPr>
    <w:rPr>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49</Pages>
  <Words>19634</Words>
  <Characters>20810</Characters>
  <TotalTime>18</TotalTime>
  <ScaleCrop>false</ScaleCrop>
  <LinksUpToDate>false</LinksUpToDate>
  <CharactersWithSpaces>21098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普</dc:creator>
  <cp:lastModifiedBy>king</cp:lastModifiedBy>
  <dcterms:modified xsi:type="dcterms:W3CDTF">2026-06-25T08:01:21Z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eyJoZGlkIjoiMWFmNDRhNzgzMmZmMzU4M2YzZjk4ZWU1ZjViMDlkOTQiLCJ1c2VySWQiOiIxMjY4OTQ1NzM3In0=</vt:lpwstr>
  </property>
  <property fmtid="{D5CDD505-2E9C-101B-9397-08002B2CF9AE}" pid="3" name="KSOProductBuildVer">
    <vt:lpwstr>2052-12.1.0.26895</vt:lpwstr>
  </property>
  <property fmtid="{D5CDD505-2E9C-101B-9397-08002B2CF9AE}" pid="4" name="ICV">
    <vt:lpwstr>8FB6E5A5744B45F1A5B1B75D25C318A0_13</vt:lpwstr>
  </property>
</Properties>
</file>