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rPr>
          <w:color w:val="000000"/>
          <w:highlight w:val="none"/>
        </w:rPr>
      </w:pPr>
      <w:r>
        <w:rPr>
          <w:color w:val="000000"/>
          <w:highlight w:val="none"/>
        </w:rPr>
      </w:r>
      <w:r/>
    </w:p>
    <w:p>
      <w:pPr>
        <w:pStyle w:val="1043"/>
        <w:jc w:val="left"/>
        <w:spacing w:line="360" w:lineRule="auto"/>
        <w:shd w:val="clear" w:color="auto" w:fill="ffffff"/>
        <w:rPr>
          <w:rStyle w:val="1168"/>
          <w:rFonts w:ascii="宋体"/>
          <w:b/>
          <w:color w:val="000000"/>
          <w:sz w:val="24"/>
          <w:highlight w:val="none"/>
        </w:rPr>
      </w:pPr>
      <w:r>
        <w:rPr>
          <w:rStyle w:val="1168"/>
          <w:rFonts w:ascii="宋体"/>
          <w:b/>
          <w:color w:val="000000"/>
          <w:sz w:val="24"/>
          <w:highlight w:val="none"/>
        </w:rPr>
      </w:r>
      <w:r/>
    </w:p>
    <w:p>
      <w:pPr>
        <w:pStyle w:val="1043"/>
        <w:rPr>
          <w:rStyle w:val="1168"/>
          <w:color w:val="000000"/>
          <w:highlight w:val="none"/>
        </w:rPr>
      </w:pPr>
      <w:r>
        <w:rPr>
          <w:rStyle w:val="1168"/>
          <w:color w:val="000000"/>
          <w:highlight w:val="none"/>
        </w:rPr>
      </w:r>
      <w:r/>
    </w:p>
    <w:p>
      <w:pPr>
        <w:pStyle w:val="1043"/>
        <w:jc w:val="center"/>
        <w:spacing w:line="360" w:lineRule="auto"/>
        <w:shd w:val="clear" w:color="auto" w:fill="ffffff"/>
        <w:rPr>
          <w:rStyle w:val="1168"/>
          <w:rFonts w:ascii="宋体"/>
          <w:b/>
          <w:color w:val="000000"/>
          <w:sz w:val="48"/>
          <w:szCs w:val="48"/>
          <w:highlight w:val="none"/>
        </w:rPr>
      </w:pPr>
      <w:r>
        <w:rPr>
          <w:rStyle w:val="1168"/>
          <w:rFonts w:ascii="宋体"/>
          <w:b/>
          <w:color w:val="000000"/>
          <w:sz w:val="48"/>
          <w:szCs w:val="48"/>
          <w:highlight w:val="none"/>
        </w:rPr>
      </w:r>
      <w:r/>
    </w:p>
    <w:p>
      <w:pPr>
        <w:pStyle w:val="1043"/>
        <w:spacing w:line="360" w:lineRule="auto"/>
        <w:shd w:val="clear" w:color="auto" w:fill="ffffff"/>
        <w:rPr>
          <w:rStyle w:val="1168"/>
          <w:rFonts w:ascii="宋体"/>
          <w:b/>
          <w:color w:val="000000"/>
          <w:sz w:val="32"/>
          <w:szCs w:val="32"/>
          <w:highlight w:val="none"/>
        </w:rPr>
      </w:pPr>
      <w:r>
        <w:rPr>
          <w:rStyle w:val="1168"/>
          <w:rFonts w:ascii="宋体"/>
          <w:b/>
          <w:color w:val="000000"/>
          <w:sz w:val="32"/>
          <w:szCs w:val="32"/>
          <w:highlight w:val="none"/>
        </w:rPr>
      </w:r>
      <w:r/>
    </w:p>
    <w:p>
      <w:pPr>
        <w:pStyle w:val="1043"/>
        <w:jc w:val="center"/>
        <w:spacing w:line="360" w:lineRule="auto"/>
        <w:rPr>
          <w:rStyle w:val="1168"/>
          <w:rFonts w:ascii="宋体"/>
          <w:b/>
          <w:color w:val="000000"/>
          <w:sz w:val="72"/>
          <w:szCs w:val="72"/>
          <w:highlight w:val="none"/>
        </w:rPr>
      </w:pPr>
      <w:r>
        <w:rPr>
          <w:rStyle w:val="1168"/>
          <w:rFonts w:hint="eastAsia" w:ascii="宋体" w:hAnsi="宋体"/>
          <w:b/>
          <w:color w:val="000000"/>
          <w:sz w:val="72"/>
          <w:szCs w:val="72"/>
          <w:highlight w:val="none"/>
        </w:rPr>
        <w:t xml:space="preserve">公开招标文件</w:t>
      </w:r>
      <w:r>
        <w:rPr>
          <w:rStyle w:val="1168"/>
          <w:rFonts w:ascii="宋体"/>
          <w:b/>
          <w:color w:val="000000"/>
          <w:sz w:val="72"/>
          <w:szCs w:val="72"/>
          <w:highlight w:val="none"/>
        </w:rPr>
      </w:r>
      <w:r/>
    </w:p>
    <w:p>
      <w:pPr>
        <w:pStyle w:val="1043"/>
        <w:ind w:firstLine="1446"/>
        <w:spacing w:line="360" w:lineRule="auto"/>
        <w:shd w:val="clear" w:color="auto" w:fill="ffffff"/>
        <w:rPr>
          <w:rStyle w:val="1168"/>
          <w:rFonts w:ascii="宋体"/>
          <w:b/>
          <w:color w:val="000000"/>
          <w:sz w:val="36"/>
          <w:szCs w:val="36"/>
          <w:highlight w:val="none"/>
        </w:rPr>
      </w:pPr>
      <w:r>
        <w:rPr>
          <w:rStyle w:val="1168"/>
          <w:rFonts w:ascii="宋体"/>
          <w:b/>
          <w:color w:val="000000"/>
          <w:sz w:val="36"/>
          <w:szCs w:val="36"/>
          <w:highlight w:val="none"/>
        </w:rPr>
      </w:r>
      <w:r/>
    </w:p>
    <w:p>
      <w:pPr>
        <w:pStyle w:val="1043"/>
        <w:ind w:firstLine="1446"/>
        <w:spacing w:line="360" w:lineRule="auto"/>
        <w:shd w:val="clear" w:color="auto" w:fill="ffffff"/>
        <w:rPr>
          <w:rStyle w:val="1168"/>
          <w:rFonts w:ascii="宋体"/>
          <w:b/>
          <w:color w:val="000000"/>
          <w:sz w:val="36"/>
          <w:szCs w:val="36"/>
          <w:highlight w:val="none"/>
        </w:rPr>
      </w:pPr>
      <w:r>
        <w:rPr>
          <w:rStyle w:val="1168"/>
          <w:rFonts w:ascii="宋体"/>
          <w:b/>
          <w:color w:val="000000"/>
          <w:sz w:val="36"/>
          <w:szCs w:val="36"/>
          <w:highlight w:val="none"/>
        </w:rPr>
      </w:r>
      <w:r/>
    </w:p>
    <w:p>
      <w:pPr>
        <w:pStyle w:val="1043"/>
        <w:ind w:firstLine="1446"/>
        <w:spacing w:line="360" w:lineRule="auto"/>
        <w:shd w:val="clear" w:color="auto" w:fill="ffffff"/>
        <w:rPr>
          <w:rStyle w:val="1168"/>
          <w:rFonts w:ascii="宋体"/>
          <w:b/>
          <w:color w:val="000000"/>
          <w:sz w:val="36"/>
          <w:szCs w:val="36"/>
          <w:highlight w:val="none"/>
        </w:rPr>
      </w:pPr>
      <w:r>
        <w:rPr>
          <w:rStyle w:val="1168"/>
          <w:rFonts w:ascii="宋体"/>
          <w:b/>
          <w:color w:val="000000"/>
          <w:sz w:val="36"/>
          <w:szCs w:val="36"/>
          <w:highlight w:val="none"/>
        </w:rPr>
      </w:r>
      <w:r/>
    </w:p>
    <w:p>
      <w:pPr>
        <w:pStyle w:val="1043"/>
        <w:ind w:firstLine="1446"/>
        <w:spacing w:line="360" w:lineRule="auto"/>
        <w:shd w:val="clear" w:color="auto" w:fill="ffffff"/>
        <w:rPr>
          <w:rStyle w:val="1168"/>
          <w:rFonts w:ascii="宋体"/>
          <w:b/>
          <w:color w:val="000000"/>
          <w:sz w:val="36"/>
          <w:szCs w:val="36"/>
          <w:highlight w:val="none"/>
        </w:rPr>
      </w:pPr>
      <w:r>
        <w:rPr>
          <w:rStyle w:val="1168"/>
          <w:rFonts w:ascii="宋体"/>
          <w:b/>
          <w:color w:val="000000"/>
          <w:sz w:val="36"/>
          <w:szCs w:val="36"/>
          <w:highlight w:val="none"/>
        </w:rPr>
      </w:r>
      <w:r/>
    </w:p>
    <w:p>
      <w:pPr>
        <w:pStyle w:val="1043"/>
        <w:ind w:firstLine="1084"/>
        <w:jc w:val="left"/>
        <w:spacing w:line="360" w:lineRule="auto"/>
        <w:rPr>
          <w:rStyle w:val="1168"/>
          <w:rFonts w:hint="eastAsia" w:ascii="宋体" w:hAnsi="宋体" w:eastAsia="宋体"/>
          <w:b/>
          <w:color w:val="000000"/>
          <w:sz w:val="36"/>
          <w:szCs w:val="36"/>
          <w:highlight w:val="none"/>
          <w:lang w:eastAsia="zh-CN"/>
        </w:rPr>
      </w:pPr>
      <w:r/>
      <w:bookmarkStart w:id="0" w:name="_Toc12644"/>
      <w:r>
        <w:rPr>
          <w:rStyle w:val="1168"/>
          <w:rFonts w:hint="eastAsia" w:ascii="宋体" w:hAnsi="宋体"/>
          <w:b/>
          <w:color w:val="000000"/>
          <w:sz w:val="36"/>
          <w:szCs w:val="36"/>
          <w:highlight w:val="none"/>
        </w:rPr>
        <w:t xml:space="preserve">项目编号：</w:t>
      </w:r>
      <w:bookmarkEnd w:id="0"/>
      <w:r/>
      <w:bookmarkStart w:id="1" w:name="_Toc9547"/>
      <w:r>
        <w:rPr>
          <w:rStyle w:val="1168"/>
          <w:rFonts w:hint="eastAsia" w:ascii="宋体" w:hAnsi="宋体"/>
          <w:b/>
          <w:color w:val="000000"/>
          <w:sz w:val="36"/>
          <w:szCs w:val="36"/>
          <w:highlight w:val="none"/>
          <w:lang w:eastAsia="zh-CN"/>
        </w:rPr>
        <w:t xml:space="preserve">JSZC-320106-NJJC-G2026-0091</w:t>
      </w:r>
      <w:r>
        <w:rPr>
          <w:rStyle w:val="1168"/>
          <w:rFonts w:hint="eastAsia" w:ascii="宋体" w:hAnsi="宋体" w:eastAsia="宋体"/>
          <w:b/>
          <w:color w:val="000000"/>
          <w:sz w:val="36"/>
          <w:szCs w:val="36"/>
          <w:highlight w:val="none"/>
          <w:lang w:eastAsia="zh-CN"/>
        </w:rPr>
      </w:r>
      <w:r/>
    </w:p>
    <w:p>
      <w:pPr>
        <w:pStyle w:val="1043"/>
        <w:ind w:firstLine="1084"/>
        <w:jc w:val="left"/>
        <w:spacing w:line="360" w:lineRule="auto"/>
        <w:rPr>
          <w:rStyle w:val="1168"/>
          <w:rFonts w:hint="eastAsia" w:ascii="宋体" w:hAnsi="宋体"/>
          <w:b/>
          <w:color w:val="000000"/>
          <w:sz w:val="36"/>
          <w:szCs w:val="36"/>
          <w:highlight w:val="none"/>
        </w:rPr>
      </w:pPr>
      <w:r>
        <w:rPr>
          <w:rStyle w:val="1168"/>
          <w:rFonts w:hint="eastAsia" w:ascii="宋体" w:hAnsi="宋体"/>
          <w:b/>
          <w:color w:val="000000"/>
          <w:sz w:val="36"/>
          <w:szCs w:val="36"/>
          <w:highlight w:val="none"/>
        </w:rPr>
      </w:r>
      <w:r/>
    </w:p>
    <w:p>
      <w:pPr>
        <w:pStyle w:val="1043"/>
        <w:ind w:left="2884" w:hanging="1807"/>
        <w:jc w:val="left"/>
        <w:spacing w:line="360" w:lineRule="auto"/>
        <w:rPr>
          <w:rStyle w:val="1168"/>
          <w:rFonts w:hint="eastAsia" w:ascii="宋体" w:eastAsia="宋体"/>
          <w:b/>
          <w:color w:val="000000"/>
          <w:sz w:val="36"/>
          <w:szCs w:val="36"/>
          <w:highlight w:val="none"/>
          <w:lang w:eastAsia="zh-CN"/>
        </w:rPr>
      </w:pPr>
      <w:r>
        <w:rPr>
          <w:rStyle w:val="1168"/>
          <w:rFonts w:hint="eastAsia" w:ascii="宋体" w:hAnsi="宋体"/>
          <w:b/>
          <w:color w:val="000000"/>
          <w:sz w:val="36"/>
          <w:szCs w:val="36"/>
          <w:highlight w:val="none"/>
        </w:rPr>
        <w:t xml:space="preserve">项目名称：</w:t>
      </w:r>
      <w:bookmarkEnd w:id="1"/>
      <w:r>
        <w:rPr>
          <w:rStyle w:val="1168"/>
          <w:rFonts w:hint="eastAsia" w:ascii="宋体" w:hAnsi="宋体"/>
          <w:b/>
          <w:color w:val="000000"/>
          <w:sz w:val="36"/>
          <w:szCs w:val="36"/>
          <w:highlight w:val="none"/>
          <w:lang w:eastAsia="zh-CN"/>
        </w:rPr>
        <w:t xml:space="preserve">2026年鼓楼区智慧水务大数据管控平台运维服务项目</w:t>
      </w:r>
      <w:r>
        <w:rPr>
          <w:rStyle w:val="1168"/>
          <w:rFonts w:hint="eastAsia" w:ascii="宋体" w:eastAsia="宋体"/>
          <w:b/>
          <w:color w:val="000000"/>
          <w:sz w:val="36"/>
          <w:szCs w:val="36"/>
          <w:highlight w:val="none"/>
          <w:lang w:eastAsia="zh-CN"/>
        </w:rPr>
      </w:r>
      <w:r/>
    </w:p>
    <w:p>
      <w:pPr>
        <w:pStyle w:val="1165"/>
        <w:ind w:firstLine="1084"/>
        <w:rPr>
          <w:rStyle w:val="1168"/>
          <w:rFonts w:ascii="宋体" w:hAnsi="宋体"/>
          <w:b/>
          <w:color w:val="000000"/>
          <w:sz w:val="36"/>
          <w:szCs w:val="36"/>
          <w:highlight w:val="none"/>
        </w:rPr>
      </w:pPr>
      <w:r>
        <w:rPr>
          <w:rStyle w:val="1168"/>
          <w:rFonts w:ascii="宋体" w:hAnsi="宋体"/>
          <w:b/>
          <w:color w:val="000000"/>
          <w:sz w:val="36"/>
          <w:szCs w:val="36"/>
          <w:highlight w:val="none"/>
        </w:rPr>
      </w:r>
      <w:r/>
    </w:p>
    <w:p>
      <w:pPr>
        <w:pStyle w:val="1165"/>
        <w:ind w:firstLine="1084"/>
        <w:rPr>
          <w:color w:val="000000"/>
          <w:highlight w:val="none"/>
        </w:rPr>
      </w:pPr>
      <w:r>
        <w:rPr>
          <w:rStyle w:val="1168"/>
          <w:rFonts w:ascii="宋体" w:hAnsi="宋体"/>
          <w:b/>
          <w:color w:val="000000"/>
          <w:sz w:val="36"/>
          <w:szCs w:val="36"/>
          <w:highlight w:val="none"/>
        </w:rPr>
        <w:t xml:space="preserve">项目类型</w:t>
      </w:r>
      <w:r>
        <w:rPr>
          <w:rStyle w:val="1168"/>
          <w:rFonts w:hint="eastAsia" w:ascii="宋体" w:hAnsi="宋体"/>
          <w:b/>
          <w:color w:val="000000"/>
          <w:sz w:val="36"/>
          <w:szCs w:val="36"/>
          <w:highlight w:val="none"/>
        </w:rPr>
        <w:t xml:space="preserve">：服务类</w:t>
      </w:r>
      <w:r>
        <w:rPr>
          <w:color w:val="000000"/>
          <w:highlight w:val="none"/>
        </w:rPr>
      </w:r>
      <w:r/>
    </w:p>
    <w:p>
      <w:pPr>
        <w:pStyle w:val="1043"/>
        <w:jc w:val="center"/>
        <w:spacing w:line="360" w:lineRule="auto"/>
        <w:rPr>
          <w:rStyle w:val="1168"/>
          <w:rFonts w:ascii="宋体"/>
          <w:b/>
          <w:color w:val="000000"/>
          <w:sz w:val="36"/>
          <w:szCs w:val="36"/>
          <w:highlight w:val="none"/>
        </w:rPr>
      </w:pPr>
      <w:r>
        <w:rPr>
          <w:rStyle w:val="1168"/>
          <w:rFonts w:ascii="宋体"/>
          <w:b/>
          <w:color w:val="000000"/>
          <w:sz w:val="36"/>
          <w:szCs w:val="36"/>
          <w:highlight w:val="none"/>
        </w:rPr>
      </w:r>
      <w:r/>
    </w:p>
    <w:p>
      <w:pPr>
        <w:pStyle w:val="1043"/>
        <w:jc w:val="center"/>
        <w:spacing w:line="360" w:lineRule="auto"/>
        <w:rPr>
          <w:rStyle w:val="1168"/>
          <w:rFonts w:ascii="宋体"/>
          <w:b/>
          <w:color w:val="000000"/>
          <w:sz w:val="36"/>
          <w:szCs w:val="36"/>
          <w:highlight w:val="none"/>
        </w:rPr>
      </w:pPr>
      <w:r>
        <w:rPr>
          <w:rStyle w:val="1168"/>
          <w:rFonts w:ascii="宋体"/>
          <w:b/>
          <w:color w:val="000000"/>
          <w:sz w:val="36"/>
          <w:szCs w:val="36"/>
          <w:highlight w:val="none"/>
        </w:rPr>
      </w:r>
      <w:r/>
    </w:p>
    <w:p>
      <w:pPr>
        <w:pStyle w:val="1043"/>
        <w:spacing w:line="360" w:lineRule="auto"/>
        <w:rPr>
          <w:rStyle w:val="1168"/>
          <w:rFonts w:ascii="宋体"/>
          <w:b/>
          <w:color w:val="000000"/>
          <w:sz w:val="36"/>
          <w:szCs w:val="36"/>
          <w:highlight w:val="none"/>
        </w:rPr>
      </w:pPr>
      <w:r>
        <w:rPr>
          <w:rStyle w:val="1168"/>
          <w:rFonts w:ascii="宋体"/>
          <w:b/>
          <w:color w:val="000000"/>
          <w:sz w:val="36"/>
          <w:szCs w:val="36"/>
          <w:highlight w:val="none"/>
        </w:rPr>
      </w:r>
      <w:r/>
    </w:p>
    <w:p>
      <w:pPr>
        <w:pStyle w:val="1165"/>
        <w:rPr>
          <w:color w:val="000000"/>
          <w:highlight w:val="none"/>
        </w:rPr>
      </w:pPr>
      <w:r>
        <w:rPr>
          <w:color w:val="000000"/>
          <w:highlight w:val="none"/>
        </w:rPr>
      </w:r>
      <w:r/>
    </w:p>
    <w:p>
      <w:pPr>
        <w:pStyle w:val="1165"/>
        <w:rPr>
          <w:color w:val="000000"/>
          <w:highlight w:val="none"/>
        </w:rPr>
      </w:pPr>
      <w:r>
        <w:rPr>
          <w:color w:val="000000"/>
          <w:highlight w:val="none"/>
        </w:rPr>
      </w:r>
      <w:r/>
    </w:p>
    <w:p>
      <w:pPr>
        <w:pStyle w:val="1043"/>
        <w:ind w:left="698"/>
        <w:jc w:val="left"/>
        <w:spacing w:line="360" w:lineRule="auto"/>
        <w:widowControl w:val="off"/>
        <w:rPr>
          <w:rStyle w:val="1168"/>
          <w:rFonts w:hint="eastAsia" w:eastAsia="宋体"/>
          <w:b/>
          <w:color w:val="000000"/>
          <w:sz w:val="36"/>
          <w:szCs w:val="36"/>
          <w:highlight w:val="none"/>
          <w:lang w:eastAsia="zh-CN"/>
        </w:rPr>
      </w:pPr>
      <w:r/>
      <w:bookmarkStart w:id="2" w:name="_Toc29198"/>
      <w:r>
        <w:rPr>
          <w:rStyle w:val="1168"/>
          <w:rFonts w:hint="eastAsia"/>
          <w:b/>
          <w:color w:val="000000"/>
          <w:sz w:val="36"/>
          <w:szCs w:val="36"/>
          <w:highlight w:val="none"/>
        </w:rPr>
        <w:t xml:space="preserve">采购人：</w:t>
      </w:r>
      <w:bookmarkEnd w:id="2"/>
      <w:r>
        <w:rPr>
          <w:rStyle w:val="1168"/>
          <w:rFonts w:hint="eastAsia"/>
          <w:b/>
          <w:color w:val="000000"/>
          <w:sz w:val="36"/>
          <w:szCs w:val="36"/>
          <w:highlight w:val="none"/>
          <w:lang w:eastAsia="zh-CN"/>
        </w:rPr>
        <w:t xml:space="preserve">南京市鼓楼区水务设施综合养护中心</w:t>
      </w:r>
      <w:r>
        <w:rPr>
          <w:rStyle w:val="1168"/>
          <w:rFonts w:hint="eastAsia" w:eastAsia="宋体"/>
          <w:b/>
          <w:color w:val="000000"/>
          <w:sz w:val="36"/>
          <w:szCs w:val="36"/>
          <w:highlight w:val="none"/>
          <w:lang w:eastAsia="zh-CN"/>
        </w:rPr>
      </w:r>
      <w:r/>
    </w:p>
    <w:p>
      <w:pPr>
        <w:pStyle w:val="1043"/>
        <w:ind w:left="698"/>
        <w:jc w:val="left"/>
        <w:spacing w:line="360" w:lineRule="auto"/>
        <w:widowControl w:val="off"/>
        <w:rPr>
          <w:rStyle w:val="1168"/>
          <w:b/>
          <w:color w:val="000000"/>
          <w:sz w:val="36"/>
          <w:szCs w:val="36"/>
          <w:highlight w:val="none"/>
        </w:rPr>
      </w:pPr>
      <w:r/>
      <w:bookmarkStart w:id="3" w:name="_Toc32592"/>
      <w:r>
        <w:rPr>
          <w:rStyle w:val="1168"/>
          <w:rFonts w:hint="eastAsia"/>
          <w:b/>
          <w:color w:val="000000"/>
          <w:sz w:val="36"/>
          <w:szCs w:val="36"/>
          <w:highlight w:val="none"/>
        </w:rPr>
        <w:t xml:space="preserve">采购代理机构：南京江城工程项目管理有限公司</w:t>
      </w:r>
      <w:bookmarkEnd w:id="3"/>
      <w:r>
        <w:rPr>
          <w:rStyle w:val="1168"/>
          <w:b/>
          <w:color w:val="000000"/>
          <w:sz w:val="36"/>
          <w:szCs w:val="36"/>
          <w:highlight w:val="none"/>
        </w:rPr>
      </w:r>
      <w:r/>
    </w:p>
    <w:p>
      <w:pPr>
        <w:pStyle w:val="1043"/>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七</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1043"/>
        <w:ind w:left="1572" w:right="1933"/>
        <w:jc w:val="center"/>
        <w:spacing w:line="360" w:lineRule="auto"/>
        <w:widowControl w:val="off"/>
        <w:rPr>
          <w:color w:val="000000"/>
          <w:sz w:val="32"/>
          <w:szCs w:val="32"/>
          <w:highlight w:val="none"/>
        </w:rPr>
      </w:pPr>
      <w:r>
        <w:rPr>
          <w:rFonts w:ascii="黑体" w:hAnsi="黑体" w:eastAsia="黑体" w:cs="黑体"/>
          <w:color w:val="000000"/>
          <w:sz w:val="36"/>
          <w:szCs w:val="44"/>
          <w:highlight w:val="none"/>
        </w:rPr>
        <w:br w:type="page" w:clear="all"/>
      </w:r>
      <w:bookmarkStart w:id="4" w:name="_Toc31712"/>
      <w:r/>
      <w:bookmarkStart w:id="5" w:name="_Toc3988"/>
      <w:r>
        <w:rPr>
          <w:rStyle w:val="1055"/>
          <w:rFonts w:hint="eastAsia"/>
          <w:color w:val="000000"/>
          <w:highlight w:val="none"/>
        </w:rPr>
        <w:t xml:space="preserve">第一章 投标邀请书（招标公告）</w:t>
      </w:r>
      <w:bookmarkEnd w:id="4"/>
      <w:r/>
      <w:bookmarkEnd w:id="5"/>
      <w:r>
        <w:rPr>
          <w:color w:val="000000"/>
          <w:sz w:val="32"/>
          <w:szCs w:val="32"/>
          <w:highlight w:val="none"/>
        </w:rPr>
      </w:r>
      <w:r/>
    </w:p>
    <w:p>
      <w:pPr>
        <w:pStyle w:val="1043"/>
        <w:ind w:firstLine="632"/>
        <w:jc w:val="left"/>
        <w:spacing w:line="360" w:lineRule="auto"/>
        <w:widowControl w:val="off"/>
        <w:rPr>
          <w:rStyle w:val="1168"/>
          <w:rFonts w:ascii="宋体"/>
          <w:bCs/>
          <w:color w:val="000000"/>
          <w:szCs w:val="21"/>
          <w:highlight w:val="none"/>
        </w:rPr>
      </w:pPr>
      <w:r>
        <w:rPr>
          <w:rStyle w:val="1168"/>
          <w:rFonts w:hint="eastAsia" w:ascii="宋体" w:hAnsi="宋体"/>
          <w:b/>
          <w:color w:val="000000"/>
          <w:szCs w:val="21"/>
          <w:highlight w:val="none"/>
          <w:lang w:eastAsia="zh-CN"/>
        </w:rPr>
        <w:t xml:space="preserve">2026年鼓楼区智慧水务大数据管控平台运维服务项目</w:t>
      </w:r>
      <w:r>
        <w:rPr>
          <w:rStyle w:val="1168"/>
          <w:rFonts w:hint="eastAsia" w:ascii="宋体" w:hAnsi="宋体"/>
          <w:bCs/>
          <w:color w:val="000000"/>
          <w:szCs w:val="21"/>
          <w:highlight w:val="none"/>
        </w:rPr>
        <w:t xml:space="preserve">的潜在供应商应</w:t>
      </w:r>
      <w:r>
        <w:rPr>
          <w:rStyle w:val="1168"/>
          <w:rFonts w:hint="eastAsia" w:ascii="宋体" w:hAnsi="宋体"/>
          <w:bCs/>
          <w:color w:val="000000"/>
          <w:szCs w:val="21"/>
          <w:highlight w:val="none"/>
          <w:u w:val="single"/>
        </w:rPr>
        <w:t xml:space="preserve">江苏政府采购网</w:t>
      </w:r>
      <w:r>
        <w:rPr>
          <w:rStyle w:val="1168"/>
          <w:rFonts w:hint="eastAsia" w:ascii="宋体" w:hAnsi="宋体"/>
          <w:bCs/>
          <w:color w:val="000000"/>
          <w:szCs w:val="21"/>
          <w:highlight w:val="none"/>
        </w:rPr>
        <w:t xml:space="preserve"> 获取招标文件，并于</w:t>
      </w:r>
      <w:r>
        <w:rPr>
          <w:rStyle w:val="1168"/>
          <w:rFonts w:hint="eastAsia" w:ascii="宋体" w:hAnsi="宋体"/>
          <w:bCs/>
          <w:color w:val="000000"/>
          <w:szCs w:val="21"/>
          <w:highlight w:val="none"/>
          <w:lang w:eastAsia="zh-CN"/>
        </w:rPr>
        <w:t xml:space="preserve">2026年0</w:t>
      </w:r>
      <w:r>
        <w:rPr>
          <w:rStyle w:val="1168"/>
          <w:rFonts w:hint="eastAsia" w:ascii="宋体" w:hAnsi="宋体"/>
          <w:bCs/>
          <w:color w:val="000000"/>
          <w:szCs w:val="21"/>
          <w:highlight w:val="none"/>
          <w:lang w:val="en-US" w:eastAsia="zh-CN"/>
        </w:rPr>
        <w:t xml:space="preserve">8</w:t>
      </w:r>
      <w:r>
        <w:rPr>
          <w:rStyle w:val="1168"/>
          <w:rFonts w:hint="eastAsia" w:ascii="宋体" w:hAnsi="宋体"/>
          <w:bCs/>
          <w:color w:val="000000"/>
          <w:szCs w:val="21"/>
          <w:highlight w:val="none"/>
          <w:lang w:eastAsia="zh-CN"/>
        </w:rPr>
        <w:t xml:space="preserve">月</w:t>
      </w:r>
      <w:r>
        <w:rPr>
          <w:rStyle w:val="1168"/>
          <w:rFonts w:hint="eastAsia" w:ascii="宋体" w:hAnsi="宋体"/>
          <w:bCs/>
          <w:color w:val="000000"/>
          <w:szCs w:val="21"/>
          <w:highlight w:val="none"/>
          <w:lang w:val="en-US" w:eastAsia="zh-CN"/>
        </w:rPr>
        <w:t xml:space="preserve">0</w:t>
      </w:r>
      <w:r>
        <w:rPr>
          <w:rStyle w:val="1168"/>
          <w:rFonts w:hint="eastAsia" w:ascii="宋体" w:hAnsi="宋体"/>
          <w:bCs/>
          <w:color w:val="000000"/>
          <w:szCs w:val="21"/>
          <w:highlight w:val="none"/>
          <w:lang w:val="en-US" w:eastAsia="zh-CN"/>
        </w:rPr>
        <w:t xml:space="preserve">7</w:t>
      </w:r>
      <w:r>
        <w:rPr>
          <w:rStyle w:val="1168"/>
          <w:rFonts w:hint="eastAsia" w:ascii="宋体" w:hAnsi="宋体"/>
          <w:bCs/>
          <w:color w:val="000000"/>
          <w:szCs w:val="21"/>
          <w:highlight w:val="none"/>
          <w:lang w:eastAsia="zh-CN"/>
        </w:rPr>
        <w:t xml:space="preserve">日</w:t>
      </w:r>
      <w:r>
        <w:rPr>
          <w:rStyle w:val="1168"/>
          <w:rFonts w:hint="eastAsia" w:ascii="宋体" w:hAnsi="宋体"/>
          <w:bCs/>
          <w:color w:val="000000"/>
          <w:szCs w:val="21"/>
          <w:highlight w:val="none"/>
        </w:rPr>
        <w:t xml:space="preserve">09时30分（北京时间）前递交投标文件。</w:t>
      </w:r>
      <w:r>
        <w:rPr>
          <w:rStyle w:val="1168"/>
          <w:rFonts w:ascii="宋体"/>
          <w:bCs/>
          <w:color w:val="000000"/>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6" w:name="_Toc35393790"/>
      <w:r/>
      <w:bookmarkStart w:id="7" w:name="_Toc35393621"/>
      <w:r/>
      <w:bookmarkStart w:id="8" w:name="_Toc21988"/>
      <w:r/>
      <w:bookmarkStart w:id="9" w:name="_Toc28359002"/>
      <w:r/>
      <w:bookmarkStart w:id="10" w:name="_Toc28359079"/>
      <w:r/>
      <w:bookmarkStart w:id="11"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6"/>
      <w:r/>
      <w:bookmarkEnd w:id="7"/>
      <w:r/>
      <w:bookmarkEnd w:id="8"/>
      <w:r/>
      <w:bookmarkEnd w:id="9"/>
      <w:r/>
      <w:bookmarkEnd w:id="10"/>
      <w:r>
        <w:rPr>
          <w:rFonts w:ascii="宋体" w:hAnsi="宋体" w:eastAsia="宋体" w:cs="宋体"/>
          <w:b w:val="0"/>
          <w:color w:val="000000"/>
          <w:sz w:val="21"/>
          <w:szCs w:val="21"/>
          <w:highlight w:val="none"/>
        </w:rPr>
      </w:r>
      <w:r/>
    </w:p>
    <w:p>
      <w:pPr>
        <w:pStyle w:val="1043"/>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b/>
          <w:color w:val="000000"/>
          <w:szCs w:val="21"/>
          <w:highlight w:val="none"/>
          <w:lang w:eastAsia="zh-CN"/>
        </w:rPr>
        <w:t xml:space="preserve">JSZC-320106-NJJC-G2026-0091</w:t>
      </w:r>
      <w:r>
        <w:rPr>
          <w:rFonts w:hint="eastAsia" w:ascii="宋体" w:hAnsi="宋体" w:eastAsia="宋体"/>
          <w:b/>
          <w:color w:val="000000"/>
          <w:szCs w:val="21"/>
          <w:highlight w:val="none"/>
          <w:lang w:eastAsia="zh-CN"/>
        </w:rPr>
      </w:r>
      <w:r/>
    </w:p>
    <w:p>
      <w:pPr>
        <w:pStyle w:val="1043"/>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b/>
          <w:color w:val="000000"/>
          <w:szCs w:val="21"/>
          <w:highlight w:val="none"/>
          <w:lang w:eastAsia="zh-CN"/>
        </w:rPr>
        <w:t xml:space="preserve">2026年鼓楼区智慧水务大数据管控平台运维服务项目</w:t>
      </w:r>
      <w:r>
        <w:rPr>
          <w:rFonts w:hint="eastAsia" w:ascii="宋体" w:hAnsi="宋体" w:eastAsia="宋体"/>
          <w:b/>
          <w:color w:val="000000"/>
          <w:szCs w:val="21"/>
          <w:highlight w:val="none"/>
          <w:lang w:eastAsia="zh-CN"/>
        </w:rPr>
      </w:r>
      <w:r/>
    </w:p>
    <w:p>
      <w:pPr>
        <w:pStyle w:val="1043"/>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预算金额：190万元</w:t>
      </w:r>
      <w:r>
        <w:rPr>
          <w:rFonts w:hint="eastAsia" w:ascii="宋体" w:hAnsi="宋体"/>
          <w:bCs/>
          <w:color w:val="000000"/>
          <w:szCs w:val="21"/>
          <w:highlight w:val="none"/>
        </w:rPr>
      </w:r>
      <w:r/>
    </w:p>
    <w:p>
      <w:pPr>
        <w:pStyle w:val="1043"/>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w:t>
      </w:r>
      <w:r>
        <w:rPr>
          <w:rFonts w:hint="eastAsia" w:ascii="宋体" w:hAnsi="宋体"/>
          <w:bCs/>
          <w:color w:val="000000"/>
          <w:szCs w:val="21"/>
          <w:highlight w:val="none"/>
          <w:lang w:val="en-US" w:eastAsia="zh-CN"/>
        </w:rPr>
        <w:t xml:space="preserve">190</w:t>
      </w:r>
      <w:r>
        <w:rPr>
          <w:rFonts w:hint="eastAsia" w:ascii="宋体" w:hAnsi="宋体"/>
          <w:bCs/>
          <w:color w:val="000000"/>
          <w:szCs w:val="21"/>
          <w:highlight w:val="none"/>
        </w:rPr>
        <w:t xml:space="preserve">万元，各投标人不得超出最高限价的报价，超过将作无效投标处理。</w:t>
      </w:r>
      <w:r>
        <w:rPr>
          <w:rFonts w:hint="eastAsia" w:ascii="宋体" w:hAnsi="宋体"/>
          <w:bCs/>
          <w:color w:val="000000"/>
          <w:szCs w:val="21"/>
          <w:highlight w:val="none"/>
        </w:rPr>
      </w:r>
      <w:r/>
    </w:p>
    <w:p>
      <w:pPr>
        <w:pStyle w:val="1043"/>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1、开展硬件设备线下巡查维护，保证接入物联感知、控制箱等设备设施完好运行；2、完成系统内排水管线、河道等水务设施数据库的的更新、核查、测绘、入库、分类整理等服务，确保数据库及时更新；3、提供软件动态维护服务，包含新增设备数据接入、对接共享、优化更新等服务；4、网络及安全服务，包含网络宽带费、流量费、视频平台租赁费等及平台网络安全管理等，确保网络通畅并处于安全环境；5、应急性任务保障及设备维修更换等；6、其他未尽事宜根据采购人制定的运维考核办法执行，每月开展月度考核并进行费用奖惩，具体内容详见采购需求。</w:t>
      </w:r>
      <w:r>
        <w:rPr>
          <w:rFonts w:hint="eastAsia" w:ascii="宋体" w:hAnsi="宋体"/>
          <w:bCs/>
          <w:color w:val="000000"/>
          <w:szCs w:val="21"/>
          <w:highlight w:val="none"/>
        </w:rPr>
      </w:r>
      <w:r/>
    </w:p>
    <w:p>
      <w:pPr>
        <w:pStyle w:val="1043"/>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bCs/>
          <w:color w:val="000000"/>
          <w:szCs w:val="21"/>
          <w:highlight w:val="none"/>
        </w:rPr>
        <w:t xml:space="preserve">运维期一年，自合同签订之日起至服务期结束，具体以采购人通知为准。 </w:t>
      </w:r>
      <w:r>
        <w:rPr>
          <w:rFonts w:hint="eastAsia" w:ascii="宋体" w:hAnsi="宋体"/>
          <w:bCs/>
          <w:color w:val="000000"/>
          <w:szCs w:val="21"/>
          <w:highlight w:val="none"/>
        </w:rPr>
      </w:r>
      <w:r/>
    </w:p>
    <w:p>
      <w:pPr>
        <w:pStyle w:val="1043"/>
        <w:ind w:firstLine="420"/>
        <w:spacing w:line="360" w:lineRule="auto"/>
        <w:widowControl w:val="off"/>
        <w:rPr>
          <w:rFonts w:hint="eastAsia" w:ascii="宋体" w:hAnsi="宋体"/>
          <w:color w:val="000000"/>
          <w:szCs w:val="21"/>
          <w:highlight w:val="none"/>
        </w:rPr>
      </w:pPr>
      <w:r/>
      <w:bookmarkEnd w:id="11"/>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12" w:name="_Toc35393791"/>
      <w:r/>
      <w:bookmarkStart w:id="13" w:name="_Toc28359003"/>
      <w:r/>
      <w:bookmarkStart w:id="14" w:name="_Toc28359080"/>
      <w:r/>
      <w:bookmarkStart w:id="15" w:name="_Toc35393622"/>
      <w:r/>
      <w:bookmarkStart w:id="16" w:name="_Toc11201"/>
      <w:r>
        <w:rPr>
          <w:rFonts w:hint="eastAsia" w:ascii="宋体" w:hAnsi="宋体" w:eastAsia="宋体" w:cs="宋体"/>
          <w:b w:val="0"/>
          <w:color w:val="000000"/>
          <w:sz w:val="21"/>
          <w:szCs w:val="21"/>
          <w:highlight w:val="none"/>
        </w:rPr>
        <w:t xml:space="preserve">二、申请人的资格要求：</w:t>
      </w:r>
      <w:bookmarkEnd w:id="12"/>
      <w:r/>
      <w:bookmarkEnd w:id="13"/>
      <w:r/>
      <w:bookmarkEnd w:id="14"/>
      <w:r/>
      <w:bookmarkEnd w:id="15"/>
      <w:r/>
      <w:bookmarkEnd w:id="16"/>
      <w:r>
        <w:rPr>
          <w:rFonts w:ascii="宋体" w:hAnsi="宋体" w:eastAsia="宋体" w:cs="宋体"/>
          <w:b w:val="0"/>
          <w:color w:val="000000"/>
          <w:sz w:val="21"/>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7" w:name="_Toc35393792"/>
      <w:r/>
      <w:bookmarkStart w:id="18" w:name="_Toc28359081"/>
      <w:r/>
      <w:bookmarkStart w:id="19" w:name="_Toc35393623"/>
      <w:r/>
      <w:bookmarkStart w:id="20" w:name="_Toc28359004"/>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1043"/>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1043"/>
        <w:ind w:firstLine="422"/>
        <w:jc w:val="left"/>
        <w:spacing w:line="360" w:lineRule="auto"/>
        <w:widowControl w:val="off"/>
        <w:tabs>
          <w:tab w:val="left" w:pos="562" w:leader="none"/>
          <w:tab w:val="left" w:pos="3372" w:leader="none"/>
          <w:tab w:val="left" w:pos="3653" w:leader="none"/>
        </w:tabs>
        <w:rPr>
          <w:rFonts w:hint="eastAsia" w:ascii="宋体" w:hAnsi="宋体" w:eastAsia="宋体"/>
          <w:b/>
          <w:bCs/>
          <w:color w:val="000000"/>
          <w:szCs w:val="21"/>
          <w:highlight w:val="none"/>
          <w:lang w:eastAsia="zh-CN"/>
        </w:rPr>
      </w:pPr>
      <w:r>
        <w:rPr>
          <w:rFonts w:hint="eastAsia" w:ascii="宋体" w:hAnsi="宋体"/>
          <w:b/>
          <w:bCs/>
          <w:color w:val="000000"/>
          <w:szCs w:val="21"/>
          <w:highlight w:val="none"/>
        </w:rPr>
        <w:t xml:space="preserve">2.2落实政府采购政策需要满足的资格条件：</w:t>
      </w:r>
      <w:r>
        <w:rPr>
          <w:rFonts w:hint="eastAsia" w:ascii="宋体" w:hAnsi="宋体"/>
          <w:b/>
          <w:bCs/>
          <w:szCs w:val="21"/>
          <w:highlight w:val="none"/>
          <w:lang w:val="en-US" w:eastAsia="zh-CN"/>
        </w:rPr>
        <w:t xml:space="preserve">/</w:t>
      </w:r>
      <w:r>
        <w:rPr>
          <w:rFonts w:hint="eastAsia" w:ascii="宋体" w:hAnsi="宋体" w:eastAsia="宋体"/>
          <w:b/>
          <w:bCs/>
          <w:color w:val="000000"/>
          <w:szCs w:val="21"/>
          <w:highlight w:val="none"/>
          <w:lang w:eastAsia="zh-CN"/>
        </w:rPr>
      </w:r>
      <w:r/>
    </w:p>
    <w:p>
      <w:pPr>
        <w:pStyle w:val="1043"/>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1043"/>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1043"/>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1043"/>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1043"/>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highlight w:val="none"/>
        </w:rPr>
        <w:t xml:space="preserve">[2018]10</w:t>
      </w:r>
      <w:r>
        <w:rPr>
          <w:rFonts w:hint="eastAsia" w:ascii="宋体" w:hAnsi="宋体" w:cs="宋体"/>
          <w:color w:val="000000"/>
          <w:szCs w:val="21"/>
          <w:highlight w:val="none"/>
        </w:rPr>
        <w:t xml:space="preserve">号第十一条、十二条所列严重失信行为情形的供应商参加本项目的采购活动。</w:t>
      </w:r>
      <w:r>
        <w:rPr>
          <w:rFonts w:hint="eastAsia" w:ascii="宋体" w:hAnsi="宋体" w:cs="宋体"/>
          <w:color w:val="000000"/>
          <w:szCs w:val="21"/>
          <w:highlight w:val="none"/>
        </w:rPr>
      </w:r>
      <w:r/>
    </w:p>
    <w:p>
      <w:pPr>
        <w:pStyle w:val="1066"/>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21" w:name="_Toc10484"/>
      <w:r>
        <w:rPr>
          <w:rFonts w:hint="eastAsia" w:ascii="宋体" w:hAnsi="宋体" w:eastAsia="宋体" w:cs="宋体"/>
          <w:b w:val="0"/>
          <w:color w:val="000000"/>
          <w:sz w:val="21"/>
          <w:szCs w:val="21"/>
          <w:highlight w:val="none"/>
        </w:rPr>
        <w:t xml:space="preserve">三、获取招标文件</w:t>
      </w:r>
      <w:bookmarkEnd w:id="17"/>
      <w:r/>
      <w:bookmarkEnd w:id="18"/>
      <w:r/>
      <w:bookmarkEnd w:id="19"/>
      <w:r/>
      <w:bookmarkEnd w:id="20"/>
      <w:r/>
      <w:bookmarkEnd w:id="21"/>
      <w:r>
        <w:rPr>
          <w:rFonts w:ascii="宋体" w:hAnsi="宋体" w:eastAsia="宋体" w:cs="宋体"/>
          <w:b w:val="0"/>
          <w:color w:val="000000"/>
          <w:sz w:val="21"/>
          <w:szCs w:val="21"/>
          <w:highlight w:val="none"/>
        </w:rPr>
      </w:r>
      <w:r/>
    </w:p>
    <w:p>
      <w:pPr>
        <w:pStyle w:val="1043"/>
        <w:ind w:firstLine="54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1043"/>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22" w:name="_Toc28359005"/>
      <w:r/>
      <w:bookmarkStart w:id="23" w:name="_Toc28359082"/>
      <w:r/>
      <w:bookmarkStart w:id="24" w:name="_Toc35393793"/>
      <w:r/>
      <w:bookmarkStart w:id="25" w:name="_Toc2411"/>
      <w:r/>
      <w:bookmarkStart w:id="26" w:name="_Toc35393624"/>
      <w:r>
        <w:rPr>
          <w:rFonts w:hint="eastAsia" w:ascii="宋体" w:hAnsi="宋体" w:eastAsia="宋体" w:cs="宋体"/>
          <w:b w:val="0"/>
          <w:color w:val="000000"/>
          <w:sz w:val="21"/>
          <w:szCs w:val="21"/>
          <w:highlight w:val="none"/>
        </w:rPr>
        <w:t xml:space="preserve">四、提交投标文件</w:t>
      </w:r>
      <w:bookmarkEnd w:id="22"/>
      <w:r/>
      <w:bookmarkEnd w:id="23"/>
      <w:r>
        <w:rPr>
          <w:rFonts w:hint="eastAsia" w:ascii="宋体" w:hAnsi="宋体" w:eastAsia="宋体" w:cs="宋体"/>
          <w:b w:val="0"/>
          <w:color w:val="000000"/>
          <w:sz w:val="21"/>
          <w:szCs w:val="21"/>
          <w:highlight w:val="none"/>
        </w:rPr>
        <w:t xml:space="preserve">截止时间、开标时间和地点</w:t>
      </w:r>
      <w:bookmarkEnd w:id="24"/>
      <w:r/>
      <w:bookmarkEnd w:id="25"/>
      <w:r/>
      <w:bookmarkEnd w:id="26"/>
      <w:r>
        <w:rPr>
          <w:rFonts w:ascii="宋体" w:hAnsi="宋体" w:eastAsia="宋体" w:cs="宋体"/>
          <w:b w:val="0"/>
          <w:color w:val="000000"/>
          <w:sz w:val="21"/>
          <w:szCs w:val="21"/>
          <w:highlight w:val="none"/>
        </w:rPr>
      </w:r>
      <w:r/>
    </w:p>
    <w:p>
      <w:pPr>
        <w:pStyle w:val="1043"/>
        <w:ind w:firstLine="420"/>
        <w:spacing w:line="360" w:lineRule="auto"/>
        <w:widowControl w:val="off"/>
        <w:rPr>
          <w:rFonts w:ascii="宋体"/>
          <w:bCs/>
          <w:color w:val="000000"/>
          <w:szCs w:val="21"/>
          <w:highlight w:val="none"/>
        </w:rPr>
      </w:pPr>
      <w:r>
        <w:rPr>
          <w:rStyle w:val="1168"/>
          <w:rFonts w:hint="eastAsia" w:ascii="宋体" w:hAnsi="宋体"/>
          <w:bCs/>
          <w:color w:val="000000"/>
          <w:szCs w:val="21"/>
          <w:highlight w:val="none"/>
          <w:lang w:eastAsia="zh-CN"/>
        </w:rPr>
        <w:t xml:space="preserve">2026年0</w:t>
      </w:r>
      <w:r>
        <w:rPr>
          <w:rStyle w:val="1168"/>
          <w:rFonts w:hint="eastAsia" w:ascii="宋体" w:hAnsi="宋体"/>
          <w:bCs/>
          <w:color w:val="000000"/>
          <w:szCs w:val="21"/>
          <w:highlight w:val="none"/>
          <w:lang w:val="en-US" w:eastAsia="zh-CN"/>
        </w:rPr>
        <w:t xml:space="preserve">8</w:t>
      </w:r>
      <w:r>
        <w:rPr>
          <w:rStyle w:val="1168"/>
          <w:rFonts w:hint="eastAsia" w:ascii="宋体" w:hAnsi="宋体"/>
          <w:bCs/>
          <w:color w:val="000000"/>
          <w:szCs w:val="21"/>
          <w:highlight w:val="none"/>
          <w:lang w:eastAsia="zh-CN"/>
        </w:rPr>
        <w:t xml:space="preserve">月</w:t>
      </w:r>
      <w:r>
        <w:rPr>
          <w:rStyle w:val="1168"/>
          <w:rFonts w:hint="eastAsia" w:ascii="宋体" w:hAnsi="宋体"/>
          <w:bCs/>
          <w:color w:val="000000"/>
          <w:szCs w:val="21"/>
          <w:highlight w:val="none"/>
          <w:lang w:val="en-US" w:eastAsia="zh-CN"/>
        </w:rPr>
        <w:t xml:space="preserve">07</w:t>
      </w:r>
      <w:r>
        <w:rPr>
          <w:rStyle w:val="1168"/>
          <w:rFonts w:hint="eastAsia" w:ascii="宋体" w:hAnsi="宋体"/>
          <w:bCs/>
          <w:color w:val="000000"/>
          <w:szCs w:val="21"/>
          <w:highlight w:val="none"/>
          <w:lang w:eastAsia="zh-CN"/>
        </w:rPr>
        <w:t xml:space="preserve">日</w:t>
      </w:r>
      <w:r>
        <w:rPr>
          <w:rStyle w:val="1168"/>
          <w:rFonts w:hint="eastAsia" w:ascii="宋体" w:hAnsi="宋体"/>
          <w:bCs/>
          <w:color w:val="000000"/>
          <w:szCs w:val="21"/>
          <w:highlight w:val="none"/>
        </w:rPr>
        <w:t xml:space="preserve">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1043"/>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168"/>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27" w:name="_Toc28359084"/>
      <w:r/>
      <w:bookmarkStart w:id="28" w:name="_Toc35393794"/>
      <w:r/>
      <w:bookmarkStart w:id="29" w:name="_Toc8834"/>
      <w:r/>
      <w:bookmarkStart w:id="30" w:name="_Toc28359007"/>
      <w:r/>
      <w:bookmarkStart w:id="31" w:name="_Toc35393625"/>
      <w:r>
        <w:rPr>
          <w:rFonts w:hint="eastAsia" w:ascii="宋体" w:hAnsi="宋体" w:eastAsia="宋体" w:cs="宋体"/>
          <w:b w:val="0"/>
          <w:color w:val="000000"/>
          <w:sz w:val="21"/>
          <w:szCs w:val="21"/>
          <w:highlight w:val="none"/>
        </w:rPr>
        <w:t xml:space="preserve">五、公告期限</w:t>
      </w:r>
      <w:bookmarkEnd w:id="27"/>
      <w:r/>
      <w:bookmarkEnd w:id="28"/>
      <w:r/>
      <w:bookmarkEnd w:id="29"/>
      <w:r/>
      <w:bookmarkEnd w:id="30"/>
      <w:r/>
      <w:bookmarkEnd w:id="31"/>
      <w:r>
        <w:rPr>
          <w:rFonts w:ascii="宋体" w:hAnsi="宋体" w:eastAsia="宋体" w:cs="宋体"/>
          <w:b w:val="0"/>
          <w:color w:val="000000"/>
          <w:sz w:val="21"/>
          <w:szCs w:val="21"/>
          <w:highlight w:val="none"/>
        </w:rPr>
      </w:r>
      <w:r/>
    </w:p>
    <w:p>
      <w:pPr>
        <w:pStyle w:val="1043"/>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32" w:name="_Toc35393795"/>
      <w:r/>
      <w:bookmarkStart w:id="33" w:name="_Toc8119"/>
      <w:r/>
      <w:bookmarkStart w:id="34" w:name="_Toc35393626"/>
      <w:r>
        <w:rPr>
          <w:rFonts w:hint="eastAsia" w:ascii="宋体" w:hAnsi="宋体" w:eastAsia="宋体" w:cs="宋体"/>
          <w:b w:val="0"/>
          <w:color w:val="000000"/>
          <w:sz w:val="21"/>
          <w:szCs w:val="21"/>
          <w:highlight w:val="none"/>
        </w:rPr>
        <w:t xml:space="preserve">六、其他补充事宜</w:t>
      </w:r>
      <w:bookmarkEnd w:id="32"/>
      <w:r/>
      <w:bookmarkEnd w:id="33"/>
      <w:r/>
      <w:bookmarkEnd w:id="34"/>
      <w:r>
        <w:rPr>
          <w:rFonts w:ascii="宋体" w:hAnsi="宋体" w:eastAsia="宋体" w:cs="宋体"/>
          <w:b w:val="0"/>
          <w:color w:val="000000"/>
          <w:sz w:val="21"/>
          <w:szCs w:val="21"/>
          <w:highlight w:val="none"/>
        </w:rPr>
      </w:r>
      <w:r/>
    </w:p>
    <w:p>
      <w:pPr>
        <w:pStyle w:val="1043"/>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104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1066"/>
        <w:spacing w:line="360" w:lineRule="auto"/>
        <w:widowControl w:val="off"/>
        <w:rPr>
          <w:rFonts w:hint="eastAsia"/>
          <w:b w:val="0"/>
          <w:bCs/>
          <w:color w:val="000000"/>
          <w:sz w:val="21"/>
          <w:szCs w:val="21"/>
          <w:highlight w:val="none"/>
        </w:rPr>
      </w:pPr>
      <w:r>
        <w:rPr>
          <w:rFonts w:hint="eastAsia"/>
          <w:color w:val="000000"/>
          <w:sz w:val="21"/>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w:t>
      </w:r>
      <w:r>
        <w:rPr>
          <w:rFonts w:hint="eastAsia"/>
          <w:color w:val="000000"/>
          <w:sz w:val="21"/>
          <w:szCs w:val="21"/>
          <w:highlight w:val="none"/>
        </w:rPr>
        <w:t xml:space="preserve">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w:t>
      </w:r>
      <w:r>
        <w:rPr>
          <w:rFonts w:hint="eastAsia" w:ascii="宋体" w:hAnsi="宋体" w:cs="宋体"/>
          <w:b/>
          <w:bCs/>
          <w:color w:val="000000"/>
          <w:sz w:val="21"/>
          <w:szCs w:val="21"/>
          <w:highlight w:val="none"/>
          <w:lang w:bidi="ar"/>
        </w:rPr>
        <w:t xml:space="preserve">下载本单位信用记录表，由法人签字并盖单位公章，上传至电子文件中</w:t>
      </w:r>
      <w:r>
        <w:rPr>
          <w:rFonts w:hint="eastAsia" w:ascii="宋体" w:hAnsi="宋体" w:cs="宋体"/>
          <w:b/>
          <w:bCs/>
          <w:color w:val="000000"/>
          <w:sz w:val="21"/>
          <w:szCs w:val="21"/>
          <w:highlight w:val="none"/>
          <w:lang w:eastAsia="zh-CN" w:bidi="ar"/>
        </w:rPr>
        <w:t xml:space="preserve">，</w:t>
      </w:r>
      <w:r>
        <w:rPr>
          <w:rFonts w:hint="eastAsia" w:ascii="宋体" w:hAnsi="宋体" w:cs="宋体"/>
          <w:b/>
          <w:bCs/>
          <w:color w:val="000000"/>
          <w:sz w:val="21"/>
          <w:szCs w:val="21"/>
          <w:highlight w:val="none"/>
          <w:lang w:val="en-US" w:eastAsia="zh-CN" w:bidi="ar"/>
        </w:rPr>
        <w:t xml:space="preserve">未提供或者未按要求签字改造将作为无效投标</w:t>
      </w:r>
      <w:r>
        <w:rPr>
          <w:rFonts w:hint="eastAsia"/>
          <w:b w:val="0"/>
          <w:bCs/>
          <w:color w:val="000000"/>
          <w:sz w:val="21"/>
          <w:szCs w:val="21"/>
          <w:highlight w:val="none"/>
          <w:lang w:eastAsia="zh-CN"/>
        </w:rPr>
        <w:t xml:space="preserve">。</w:t>
      </w:r>
      <w:r>
        <w:rPr>
          <w:rFonts w:hint="eastAsia"/>
          <w:b w:val="0"/>
          <w:bCs/>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1066"/>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1066"/>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5"/>
        <w:keepLines w:val="0"/>
        <w:keepNext w:val="0"/>
        <w:spacing w:before="0" w:after="0" w:line="360" w:lineRule="auto"/>
        <w:rPr>
          <w:rFonts w:ascii="宋体" w:hAnsi="宋体" w:eastAsia="宋体" w:cs="宋体"/>
          <w:b w:val="0"/>
          <w:color w:val="000000"/>
          <w:sz w:val="21"/>
          <w:szCs w:val="21"/>
          <w:highlight w:val="none"/>
        </w:rPr>
      </w:pPr>
      <w:r/>
      <w:bookmarkStart w:id="35" w:name="_Toc35393627"/>
      <w:r/>
      <w:bookmarkStart w:id="36" w:name="_Toc28359008"/>
      <w:r/>
      <w:bookmarkStart w:id="37" w:name="_Toc28359085"/>
      <w:r/>
      <w:bookmarkStart w:id="38" w:name="_Toc9950"/>
      <w:r/>
      <w:bookmarkStart w:id="39" w:name="_Toc35393796"/>
      <w:r>
        <w:rPr>
          <w:rFonts w:hint="eastAsia" w:ascii="宋体" w:hAnsi="宋体" w:eastAsia="宋体" w:cs="宋体"/>
          <w:b w:val="0"/>
          <w:color w:val="000000"/>
          <w:sz w:val="21"/>
          <w:szCs w:val="21"/>
          <w:highlight w:val="none"/>
        </w:rPr>
        <w:t xml:space="preserve">七、对本次招标提出询问，请按以下方式联系。</w:t>
      </w:r>
      <w:bookmarkEnd w:id="35"/>
      <w:r/>
      <w:bookmarkEnd w:id="36"/>
      <w:r/>
      <w:bookmarkEnd w:id="37"/>
      <w:r/>
      <w:bookmarkEnd w:id="38"/>
      <w:r/>
      <w:bookmarkEnd w:id="39"/>
      <w:r>
        <w:rPr>
          <w:rFonts w:ascii="宋体" w:hAnsi="宋体" w:eastAsia="宋体" w:cs="宋体"/>
          <w:b w:val="0"/>
          <w:color w:val="000000"/>
          <w:sz w:val="21"/>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1043"/>
        <w:ind w:firstLine="422"/>
        <w:jc w:val="left"/>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南京市鼓楼区水务设施综合养护中心</w:t>
      </w:r>
      <w:r>
        <w:rPr>
          <w:rFonts w:hint="eastAsia" w:ascii="宋体" w:hAnsi="宋体" w:eastAsia="宋体" w:cs="宋体"/>
          <w:color w:val="000000"/>
          <w:szCs w:val="21"/>
          <w:highlight w:val="none"/>
          <w:lang w:eastAsia="zh-CN"/>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地址：南京市鼓楼区山西路8</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号</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 郁科</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联系方式：025-</w:t>
      </w:r>
      <w:r>
        <w:rPr>
          <w:color w:val="000000"/>
          <w:highlight w:val="none"/>
        </w:rPr>
        <w:t xml:space="preserve"> </w:t>
      </w:r>
      <w:r>
        <w:rPr>
          <w:rFonts w:ascii="宋体" w:hAnsi="宋体" w:cs="宋体"/>
          <w:color w:val="000000"/>
          <w:szCs w:val="21"/>
          <w:highlight w:val="none"/>
        </w:rPr>
        <w:t xml:space="preserve">83235612</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104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r>
      <w:r/>
    </w:p>
    <w:p>
      <w:pPr>
        <w:pStyle w:val="1043"/>
        <w:ind w:firstLine="422"/>
        <w:jc w:val="center"/>
        <w:spacing w:line="360" w:lineRule="auto"/>
        <w:widowControl w:val="off"/>
        <w:rPr>
          <w:rStyle w:val="1104"/>
          <w:rFonts w:hint="eastAsia"/>
          <w:color w:val="000000"/>
          <w:sz w:val="36"/>
          <w:szCs w:val="36"/>
          <w:highlight w:val="none"/>
        </w:rPr>
        <w:outlineLvl w:val="0"/>
      </w:pPr>
      <w:r>
        <w:rPr>
          <w:rStyle w:val="1104"/>
          <w:rFonts w:hint="eastAsia"/>
          <w:color w:val="000000"/>
          <w:sz w:val="36"/>
          <w:szCs w:val="36"/>
          <w:highlight w:val="none"/>
        </w:rPr>
        <w:br w:type="page" w:clear="all"/>
      </w:r>
      <w:bookmarkStart w:id="40" w:name="_Toc19588"/>
      <w:r/>
      <w:bookmarkStart w:id="41" w:name="_Toc5164"/>
      <w:r>
        <w:rPr>
          <w:rStyle w:val="1104"/>
          <w:rFonts w:hint="eastAsia"/>
          <w:color w:val="000000"/>
          <w:sz w:val="36"/>
          <w:szCs w:val="36"/>
          <w:highlight w:val="none"/>
        </w:rPr>
        <w:t xml:space="preserve">第二章 供应商须知</w:t>
      </w:r>
      <w:bookmarkEnd w:id="40"/>
      <w:r>
        <w:rPr>
          <w:rStyle w:val="1104"/>
          <w:rFonts w:hint="eastAsia"/>
          <w:color w:val="000000"/>
          <w:sz w:val="36"/>
          <w:szCs w:val="36"/>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End w:id="41"/>
      <w:r/>
      <w:bookmarkStart w:id="42" w:name="_Toc17393"/>
      <w:r>
        <w:rPr>
          <w:rFonts w:hint="eastAsia" w:ascii="宋体" w:hAnsi="宋体" w:cs="宋体"/>
          <w:b/>
          <w:bCs/>
          <w:color w:val="000000"/>
          <w:szCs w:val="21"/>
          <w:highlight w:val="none"/>
        </w:rPr>
        <w:t xml:space="preserve">一、总 则</w:t>
      </w:r>
      <w:bookmarkEnd w:id="42"/>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3" w:name="_Toc6010"/>
      <w:r>
        <w:rPr>
          <w:rFonts w:hint="eastAsia" w:ascii="宋体" w:hAnsi="宋体" w:cs="宋体"/>
          <w:b/>
          <w:bCs/>
          <w:color w:val="000000"/>
          <w:szCs w:val="21"/>
          <w:highlight w:val="none"/>
        </w:rPr>
        <w:t xml:space="preserve">二、招标文件构成</w:t>
      </w:r>
      <w:bookmarkEnd w:id="43"/>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供应商须知；</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1043"/>
        <w:numPr>
          <w:ilvl w:val="0"/>
          <w:numId w:val="4"/>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ascii="宋体" w:hAnsi="宋体" w:eastAsia="宋体" w:cs="宋体"/>
          <w:color w:val="000000"/>
          <w:szCs w:val="21"/>
          <w:lang w:val="en-US" w:eastAsia="zh-CN"/>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lang w:val="en-US" w:eastAsia="zh-CN"/>
        </w:rPr>
        <w:t xml:space="preserve">如选择之外，供应商所投产品，技术参数、性能指标、质量标准等同档次、同规格的兼容替代产品，替代产品技术性能不得低于现有品牌对应型号标准。</w:t>
      </w:r>
      <w:r>
        <w:rPr>
          <w:rFonts w:ascii="宋体" w:hAnsi="宋体" w:eastAsia="宋体" w:cs="宋体"/>
          <w:color w:val="000000"/>
          <w:szCs w:val="21"/>
          <w:lang w:val="en-US" w:eastAsia="zh-CN"/>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4" w:name="_Toc22177"/>
      <w:r>
        <w:rPr>
          <w:rFonts w:hint="eastAsia" w:ascii="宋体" w:hAnsi="宋体" w:cs="宋体"/>
          <w:b/>
          <w:bCs/>
          <w:color w:val="000000"/>
          <w:szCs w:val="21"/>
          <w:highlight w:val="none"/>
        </w:rPr>
        <w:t xml:space="preserve">三、投标文件的编制</w:t>
      </w:r>
      <w:bookmarkEnd w:id="44"/>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1043"/>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1043"/>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1043"/>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（6）《商务条款偏离表》；</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104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104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104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（2）服务承诺；</w:t>
      </w:r>
      <w:r>
        <w:rPr>
          <w:rFonts w:hint="eastAsia" w:ascii="宋体" w:hAnsi="宋体" w:cs="宋体"/>
          <w:color w:val="000000"/>
          <w:szCs w:val="21"/>
          <w:highlight w:val="none"/>
          <w:lang w:val="zh-CN"/>
        </w:rPr>
      </w:r>
      <w:r/>
    </w:p>
    <w:p>
      <w:pPr>
        <w:pStyle w:val="104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16.2 </w:t>
      </w:r>
      <w:r>
        <w:rPr>
          <w:rFonts w:hint="eastAsia" w:ascii="宋体" w:hAnsi="宋体" w:cs="宋体"/>
          <w:b/>
          <w:bCs/>
          <w:color w:val="000000"/>
          <w:szCs w:val="21"/>
          <w:highlight w:val="none"/>
        </w:rPr>
        <w:t xml:space="preserve">招标代理服务费：</w:t>
      </w:r>
      <w:r>
        <w:rPr>
          <w:rFonts w:hint="eastAsia" w:ascii="宋体" w:hAnsi="宋体" w:cs="宋体"/>
          <w:b/>
          <w:bCs/>
          <w:color w:val="000000"/>
          <w:szCs w:val="21"/>
          <w:highlight w:val="none"/>
        </w:rPr>
        <w:t xml:space="preserve">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5" w:name="_Toc30300"/>
      <w:r>
        <w:rPr>
          <w:rFonts w:hint="eastAsia" w:ascii="宋体" w:hAnsi="宋体" w:cs="宋体"/>
          <w:b/>
          <w:bCs/>
          <w:color w:val="000000"/>
          <w:szCs w:val="21"/>
          <w:highlight w:val="none"/>
        </w:rPr>
        <w:t xml:space="preserve">四、投标文件的递交</w:t>
      </w:r>
      <w:bookmarkEnd w:id="45"/>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6" w:name="_Toc8264"/>
      <w:r>
        <w:rPr>
          <w:rFonts w:hint="eastAsia" w:ascii="宋体" w:hAnsi="宋体" w:cs="宋体"/>
          <w:b/>
          <w:bCs/>
          <w:color w:val="000000"/>
          <w:szCs w:val="21"/>
          <w:highlight w:val="none"/>
        </w:rPr>
        <w:t xml:space="preserve">五、开标、评标与定标</w:t>
      </w:r>
      <w:bookmarkEnd w:id="46"/>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104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1043"/>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（9）不同投标人的投标文件以及投标文件制作过程出现了评标委员会认为不应当雷同的情况的。</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如</w:t>
      </w:r>
      <w:r>
        <w:rPr>
          <w:rFonts w:hint="eastAsia" w:ascii="宋体" w:hAnsi="宋体" w:cs="宋体"/>
          <w:b/>
          <w:bCs/>
          <w:color w:val="000000"/>
          <w:szCs w:val="21"/>
          <w:highlight w:val="none"/>
        </w:rPr>
        <w:t xml:space="preserve">标书IP一致、MAC码等其他雷同性问题</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现行法律、法规、规章和招标文件规定的其他无效情形。</w:t>
      </w:r>
      <w:r>
        <w:rPr>
          <w:rFonts w:hint="eastAsia" w:ascii="宋体" w:hAnsi="宋体" w:cs="宋体"/>
          <w:b/>
          <w:bCs/>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1043"/>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1043"/>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104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1043"/>
        <w:spacing w:line="360" w:lineRule="auto"/>
        <w:rPr>
          <w:rFonts w:hint="eastAsia" w:ascii="宋体" w:hAnsi="宋体" w:cs="宋体"/>
          <w:b/>
          <w:bCs/>
          <w:color w:val="000000"/>
          <w:highlight w:val="none"/>
          <w:lang w:val="en-US" w:eastAsia="zh-CN"/>
        </w:rPr>
      </w:pPr>
      <w:r>
        <w:rPr>
          <w:rFonts w:hint="eastAsia" w:ascii="宋体" w:hAnsi="宋体" w:cs="宋体"/>
          <w:color w:val="000000"/>
          <w:szCs w:val="21"/>
          <w:highlight w:val="none"/>
          <w:lang w:val="en-US" w:eastAsia="zh-CN"/>
        </w:rPr>
        <w:t xml:space="preserve">22.2.5</w:t>
      </w:r>
      <w:r>
        <w:rPr>
          <w:rFonts w:hint="eastAsia" w:ascii="宋体" w:hAnsi="宋体" w:cs="宋体"/>
          <w:b/>
          <w:bCs/>
          <w:color w:val="000000"/>
          <w:highlight w:val="none"/>
          <w:lang w:val="en-US" w:eastAsia="zh-CN"/>
        </w:rPr>
        <w:t xml:space="preserve">政府采购异常低价</w:t>
      </w:r>
      <w:r>
        <w:rPr>
          <w:rFonts w:hint="eastAsia" w:ascii="宋体" w:hAnsi="宋体" w:cs="宋体"/>
          <w:b/>
          <w:bCs/>
          <w:color w:val="000000"/>
          <w:highlight w:val="none"/>
          <w:lang w:val="en-US"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s="宋体"/>
          <w:bCs/>
          <w:color w:val="000000"/>
          <w:sz w:val="21"/>
          <w:szCs w:val="21"/>
          <w:highlight w:val="none"/>
          <w:lang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s="宋体"/>
          <w:bCs/>
          <w:color w:val="000000"/>
          <w:sz w:val="21"/>
          <w:szCs w:val="21"/>
          <w:highlight w:val="none"/>
          <w:lang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（3）投标(响应)报价低于采购项目最高限价45%的，即投标(响 应)报价&lt;采购项目最高限价×45%；</w:t>
      </w:r>
      <w:r>
        <w:rPr>
          <w:rFonts w:hint="eastAsia" w:ascii="宋体" w:hAnsi="宋体" w:eastAsia="宋体" w:cs="宋体"/>
          <w:bCs/>
          <w:color w:val="000000"/>
          <w:sz w:val="21"/>
          <w:szCs w:val="21"/>
          <w:highlight w:val="none"/>
          <w:lang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（4）评标委员会认定的供应商响应报价过低、有可能影响产品质量或者不能诚信履约的其他情形。</w:t>
      </w:r>
      <w:r>
        <w:rPr>
          <w:rFonts w:hint="eastAsia" w:ascii="宋体" w:hAnsi="宋体" w:eastAsia="宋体" w:cs="宋体"/>
          <w:bCs/>
          <w:color w:val="000000"/>
          <w:sz w:val="21"/>
          <w:szCs w:val="21"/>
          <w:highlight w:val="none"/>
          <w:lang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s="宋体"/>
          <w:bCs/>
          <w:color w:val="000000"/>
          <w:sz w:val="21"/>
          <w:szCs w:val="21"/>
          <w:highlight w:val="none"/>
          <w:lang w:eastAsia="zh-CN"/>
        </w:rPr>
      </w:r>
      <w:r/>
    </w:p>
    <w:p>
      <w:pPr>
        <w:pStyle w:val="1043"/>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bCs/>
          <w:color w:val="000000"/>
          <w:sz w:val="21"/>
          <w:szCs w:val="21"/>
          <w:highlight w:val="none"/>
          <w:lang w:eastAsia="zh-CN"/>
        </w:rPr>
      </w:r>
      <w:r/>
    </w:p>
    <w:p>
      <w:pPr>
        <w:pStyle w:val="104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23.3本项目采用综合评分法。</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7" w:name="_Toc25882"/>
      <w:r>
        <w:rPr>
          <w:rFonts w:hint="eastAsia" w:ascii="宋体" w:hAnsi="宋体" w:cs="宋体"/>
          <w:b/>
          <w:bCs/>
          <w:color w:val="000000"/>
          <w:szCs w:val="21"/>
          <w:highlight w:val="none"/>
        </w:rPr>
        <w:t xml:space="preserve">六、签订合同</w:t>
      </w:r>
      <w:bookmarkEnd w:id="47"/>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outlineLvl w:val="1"/>
      </w:pPr>
      <w:r/>
      <w:bookmarkStart w:id="48" w:name="_Toc29975"/>
      <w:r>
        <w:rPr>
          <w:rFonts w:hint="eastAsia" w:ascii="宋体" w:hAnsi="宋体" w:cs="宋体"/>
          <w:b/>
          <w:bCs/>
          <w:color w:val="000000"/>
          <w:szCs w:val="21"/>
          <w:highlight w:val="none"/>
        </w:rPr>
        <w:t xml:space="preserve">七、质疑和投诉</w:t>
      </w:r>
      <w:bookmarkEnd w:id="48"/>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104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104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104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104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1043"/>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1043"/>
        <w:spacing w:line="360" w:lineRule="auto"/>
        <w:widowControl w:val="off"/>
        <w:rPr>
          <w:rStyle w:val="1168"/>
          <w:rFonts w:ascii="宋体" w:hAnsi="宋体"/>
          <w:b/>
          <w:bCs/>
          <w:color w:val="000000"/>
          <w:sz w:val="32"/>
          <w:szCs w:val="32"/>
          <w:highlight w:val="none"/>
        </w:rPr>
      </w:pPr>
      <w:r>
        <w:rPr>
          <w:rStyle w:val="1168"/>
          <w:rFonts w:ascii="宋体" w:hAnsi="宋体"/>
          <w:b/>
          <w:bCs/>
          <w:color w:val="000000"/>
          <w:sz w:val="32"/>
          <w:szCs w:val="32"/>
          <w:highlight w:val="none"/>
        </w:rPr>
      </w:r>
      <w:r/>
    </w:p>
    <w:p>
      <w:pPr>
        <w:pStyle w:val="1046"/>
        <w:jc w:val="center"/>
        <w:rPr>
          <w:color w:val="000000"/>
          <w:sz w:val="36"/>
          <w:szCs w:val="36"/>
          <w:highlight w:val="none"/>
        </w:rPr>
      </w:pPr>
      <w:r>
        <w:rPr>
          <w:rFonts w:hint="eastAsia"/>
          <w:color w:val="000000"/>
          <w:sz w:val="36"/>
          <w:szCs w:val="36"/>
          <w:highlight w:val="none"/>
        </w:rPr>
        <w:br w:type="page" w:clear="all"/>
      </w:r>
      <w:bookmarkStart w:id="49" w:name="_Toc30514"/>
      <w:r/>
      <w:bookmarkStart w:id="50" w:name="_Toc10030"/>
      <w:r>
        <w:rPr>
          <w:rFonts w:hint="eastAsia"/>
          <w:color w:val="000000"/>
          <w:sz w:val="36"/>
          <w:szCs w:val="36"/>
          <w:highlight w:val="none"/>
        </w:rPr>
        <w:t xml:space="preserve">第三章 评标标准</w:t>
      </w:r>
      <w:bookmarkEnd w:id="49"/>
      <w:r/>
      <w:bookmarkEnd w:id="50"/>
      <w:r>
        <w:rPr>
          <w:color w:val="000000"/>
          <w:sz w:val="36"/>
          <w:szCs w:val="36"/>
          <w:highlight w:val="none"/>
        </w:rPr>
      </w:r>
      <w:r/>
    </w:p>
    <w:p>
      <w:pPr>
        <w:pStyle w:val="1043"/>
        <w:ind w:firstLine="420"/>
        <w:spacing w:line="360" w:lineRule="auto"/>
        <w:shd w:val="clear" w:color="auto" w:fill="ffffff"/>
        <w:widowControl w:val="off"/>
        <w:rPr>
          <w:rStyle w:val="1168"/>
          <w:rFonts w:hint="eastAsia" w:ascii="宋体" w:hAnsi="宋体" w:cs="宋体"/>
          <w:b/>
          <w:color w:val="000000"/>
          <w:szCs w:val="21"/>
          <w:highlight w:val="none"/>
        </w:rPr>
      </w:pPr>
      <w:r>
        <w:rPr>
          <w:rStyle w:val="1168"/>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rPr>
          <w:rStyle w:val="1168"/>
          <w:rFonts w:hint="eastAsia" w:ascii="宋体" w:hAnsi="宋体" w:cs="宋体"/>
          <w:b/>
          <w:color w:val="000000"/>
          <w:szCs w:val="21"/>
          <w:highlight w:val="none"/>
        </w:rPr>
      </w:r>
      <w:r/>
    </w:p>
    <w:p>
      <w:pPr>
        <w:pStyle w:val="1043"/>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W w:w="9879" w:type="dxa"/>
        <w:jc w:val="center"/>
        <w:tblInd w:w="-5" w:type="dxa"/>
        <w:tblLayout w:type="fixed"/>
        <w:tblCellMar>
          <w:left w:w="108" w:type="dxa"/>
          <w:top w:w="0" w:type="dxa"/>
          <w:right w:w="108" w:type="dxa"/>
          <w:bottom w:w="0" w:type="dxa"/>
        </w:tblCellMar>
        <w:tblLook w:val="04A0" w:firstRow="1" w:lastRow="0" w:firstColumn="1" w:lastColumn="0" w:noHBand="0" w:noVBand="1"/>
      </w:tblPr>
      <w:tblGrid>
        <w:gridCol w:w="602"/>
        <w:gridCol w:w="986"/>
        <w:gridCol w:w="7530"/>
        <w:gridCol w:w="761"/>
      </w:tblGrid>
      <w:tr>
        <w:trPr>
          <w:cantSplit/>
          <w:trHeight w:val="61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center"/>
              <w:rPr>
                <w:rFonts w:hint="eastAsia" w:ascii="宋体" w:hAnsi="宋体" w:cs="宋体"/>
                <w:b/>
                <w:bCs/>
                <w:color w:val="000000"/>
                <w:szCs w:val="21"/>
                <w:highlight w:val="none"/>
                <w:lang w:eastAsia="en-US"/>
              </w:rPr>
            </w:pPr>
            <w:r>
              <w:rPr>
                <w:rFonts w:hint="eastAsia" w:ascii="宋体" w:hAnsi="宋体" w:cs="宋体"/>
                <w:b/>
                <w:bCs/>
                <w:color w:val="000000"/>
                <w:szCs w:val="21"/>
                <w:highlight w:val="none"/>
                <w:lang w:eastAsia="en-US"/>
              </w:rPr>
              <w:t xml:space="preserve">序号</w:t>
            </w:r>
            <w:r>
              <w:rPr>
                <w:rFonts w:hint="eastAsia" w:ascii="宋体" w:hAnsi="宋体" w:cs="宋体"/>
                <w:b/>
                <w:bCs/>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43"/>
              <w:jc w:val="center"/>
              <w:rPr>
                <w:rFonts w:hint="eastAsia" w:ascii="宋体" w:hAnsi="宋体" w:cs="宋体"/>
                <w:b/>
                <w:color w:val="000000"/>
                <w:szCs w:val="21"/>
                <w:highlight w:val="none"/>
                <w:lang w:eastAsia="en-US"/>
              </w:rPr>
            </w:pPr>
            <w:r>
              <w:rPr>
                <w:rFonts w:hint="eastAsia" w:ascii="宋体" w:hAnsi="宋体" w:cs="宋体"/>
                <w:b/>
                <w:color w:val="000000"/>
                <w:szCs w:val="21"/>
                <w:highlight w:val="none"/>
                <w:lang w:eastAsia="en-US"/>
              </w:rPr>
              <w:t xml:space="preserve">评分因素</w:t>
            </w:r>
            <w:r>
              <w:rPr>
                <w:rFonts w:hint="eastAsia" w:ascii="宋体" w:hAnsi="宋体" w:cs="宋体"/>
                <w:b/>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center"/>
              <w:rPr>
                <w:rFonts w:hint="eastAsia" w:ascii="宋体" w:hAnsi="宋体" w:cs="宋体"/>
                <w:b/>
                <w:color w:val="000000"/>
                <w:szCs w:val="21"/>
                <w:highlight w:val="none"/>
                <w:lang w:eastAsia="en-US"/>
              </w:rPr>
            </w:pPr>
            <w:r>
              <w:rPr>
                <w:rFonts w:hint="eastAsia" w:ascii="宋体" w:hAnsi="宋体" w:cs="宋体"/>
                <w:b/>
                <w:color w:val="000000"/>
                <w:szCs w:val="21"/>
                <w:highlight w:val="none"/>
                <w:lang w:eastAsia="en-US"/>
              </w:rPr>
              <w:t xml:space="preserve">评审标准</w:t>
            </w:r>
            <w:r>
              <w:rPr>
                <w:rFonts w:hint="eastAsia" w:ascii="宋体" w:hAnsi="宋体" w:cs="宋体"/>
                <w:b/>
                <w:color w:val="000000"/>
                <w:szCs w:val="21"/>
                <w:highlight w:val="none"/>
                <w:lang w:eastAsia="en-US"/>
              </w:rPr>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center"/>
              <w:rPr>
                <w:rFonts w:hint="eastAsia" w:ascii="宋体" w:hAnsi="宋体" w:cs="宋体"/>
                <w:b/>
                <w:color w:val="000000"/>
                <w:szCs w:val="21"/>
                <w:highlight w:val="none"/>
                <w:lang w:eastAsia="en-US"/>
              </w:rPr>
            </w:pPr>
            <w:r>
              <w:rPr>
                <w:rFonts w:hint="eastAsia" w:ascii="宋体" w:hAnsi="宋体" w:cs="宋体"/>
                <w:b/>
                <w:color w:val="000000"/>
                <w:szCs w:val="21"/>
                <w:highlight w:val="none"/>
                <w:lang w:eastAsia="en-US"/>
              </w:rPr>
              <w:t xml:space="preserve">分值</w:t>
            </w:r>
            <w:r>
              <w:rPr>
                <w:rFonts w:hint="eastAsia" w:ascii="宋体" w:hAnsi="宋体" w:cs="宋体"/>
                <w:b/>
                <w:color w:val="000000"/>
                <w:szCs w:val="21"/>
                <w:highlight w:val="none"/>
                <w:lang w:eastAsia="en-US"/>
              </w:rPr>
            </w:r>
            <w:r/>
          </w:p>
        </w:tc>
      </w:tr>
      <w:tr>
        <w:trPr>
          <w:cantSplit/>
          <w:trHeight w:val="61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4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价格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招标文件要求且投标价格最低的投标报价为评标基准价，其价格分为满分。其他供应商的价格分统一按照下列公式计算：投标报价得分=(评标基准价/投标报价)×20。（保留到小数点后两位，第三位四舍五入）。</w:t>
            </w:r>
            <w:r>
              <w:rPr>
                <w:rFonts w:hint="eastAsia" w:ascii="宋体" w:hAnsi="宋体" w:cs="宋体"/>
                <w:color w:val="000000"/>
                <w:szCs w:val="21"/>
                <w:highlight w:val="none"/>
              </w:rPr>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r>
      <w:tr>
        <w:trPr>
          <w:cantSplit/>
          <w:trHeight w:val="138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工作方案：</w:t>
            </w:r>
            <w:r>
              <w:rPr>
                <w:rFonts w:hint="eastAsia" w:ascii="宋体" w:hAnsi="宋体" w:cs="宋体"/>
                <w:color w:val="000000"/>
                <w:szCs w:val="21"/>
                <w:highlight w:val="none"/>
                <w:lang w:val="en-US" w:eastAsia="zh-CN"/>
              </w:rPr>
              <w:t xml:space="preserve">包括不限于</w:t>
            </w:r>
            <w:r>
              <w:rPr>
                <w:rFonts w:hint="eastAsia" w:ascii="宋体" w:hAnsi="宋体" w:cs="宋体"/>
                <w:color w:val="000000"/>
                <w:szCs w:val="21"/>
                <w:highlight w:val="none"/>
              </w:rPr>
              <w:t xml:space="preserve">项目总体认识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理解、问题梳理等进行综合评审。</w:t>
            </w:r>
            <w:r>
              <w:rPr>
                <w:rFonts w:ascii="宋体" w:hAnsi="宋体" w:eastAsia="宋体" w:cs="宋体"/>
                <w:color w:val="000000"/>
                <w:szCs w:val="21"/>
                <w:highlight w:val="none"/>
                <w:lang w:val="en-US" w:eastAsia="zh-CN"/>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对项目总体认识清晰、理解把握准确，对主要问题梳理全面得当，阐述到位，思路清晰的得9分；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对项目总体认识较清晰、理解把握较准确，对主要问题梳理全面较得当，阐述较到位，思路较清晰的得7分；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对项目总体认识基本清晰、理解把握基本准确，对主要问题梳理全面基本得当，阐述基本到位，思路基本清晰的得5分；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对项目总体认识不够清晰、理解把握不够准确，对主要问题梳理全面不够得当，阐述不够到位，思路不够清晰的得3分；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无此项内容的不得分。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实施计划：</w:t>
            </w:r>
            <w:r>
              <w:rPr>
                <w:rFonts w:hint="eastAsia" w:ascii="宋体" w:hAnsi="宋体" w:cs="宋体"/>
                <w:color w:val="000000"/>
                <w:szCs w:val="21"/>
                <w:highlight w:val="none"/>
              </w:rPr>
              <w:t xml:space="preserve">项目总体工作</w:t>
            </w:r>
            <w:r>
              <w:rPr>
                <w:rFonts w:hint="eastAsia" w:ascii="宋体" w:hAnsi="宋体" w:cs="宋体"/>
                <w:color w:val="000000"/>
                <w:szCs w:val="21"/>
                <w:highlight w:val="none"/>
                <w:lang w:val="en-US" w:eastAsia="zh-CN"/>
              </w:rPr>
              <w:t xml:space="preserve">实施、计划、管理措施、人员安排等进行综合评审。</w:t>
            </w:r>
            <w:r>
              <w:rPr>
                <w:rFonts w:ascii="宋体" w:hAnsi="宋体" w:eastAsia="宋体" w:cs="宋体"/>
                <w:color w:val="000000"/>
                <w:szCs w:val="21"/>
                <w:highlight w:val="none"/>
                <w:lang w:val="en-US" w:eastAsia="zh-CN"/>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项目总体工作实施方案全面，各阶段服务计划详细、周到，管理措施得当，人员安排合理的得9分；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项目总体工作实施方案全面，各阶段服务计划较为详细周到，管理措施较得当，人员安排合理的得7分；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项目总体工作实施方案较全面，各阶段服务计划一般，管理措施可行性一般、人员安排合理性一般的得5分；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项目总体工作实施方案全面性一般，各阶段服务计划有所欠缺，管理措施可行性较弱、人员安排合理性较弱的得3分；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无此项内容的不得分。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重点难点分析：</w:t>
            </w:r>
            <w:r>
              <w:rPr>
                <w:rFonts w:hint="eastAsia" w:ascii="宋体" w:hAnsi="宋体" w:cs="宋体"/>
                <w:color w:val="000000"/>
                <w:szCs w:val="21"/>
                <w:highlight w:val="none"/>
                <w:lang w:val="en-US" w:eastAsia="zh-CN"/>
              </w:rPr>
              <w:t xml:space="preserve">项目实施过程的重点难点分析、梳理等进行综合评审。</w:t>
            </w:r>
            <w:r>
              <w:rPr>
                <w:rFonts w:ascii="宋体" w:hAnsi="宋体" w:eastAsia="宋体" w:cs="宋体"/>
                <w:color w:val="000000"/>
                <w:szCs w:val="21"/>
                <w:highlight w:val="none"/>
                <w:lang w:val="en-US" w:eastAsia="zh-CN"/>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分析全面，重点难点把握准确的的9分；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重点难点分析较为全面，重点难点把握较为准确的得7分；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重点难点分析一般，重点难点把握较弱的得5分；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重点难点分析不够全面，重点难点把握不够准确的得3分；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无此项内容的不得分。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质量保障方案：包括服务质量保障措施、服务质量保证承诺目标等</w:t>
            </w:r>
            <w:r>
              <w:rPr>
                <w:rFonts w:hint="eastAsia" w:ascii="宋体" w:hAnsi="宋体" w:cs="宋体"/>
                <w:color w:val="000000"/>
                <w:szCs w:val="21"/>
                <w:highlight w:val="none"/>
                <w:lang w:val="en-US" w:eastAsia="zh-CN"/>
              </w:rPr>
              <w:t xml:space="preserve">进行综合评审</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方案内容具体全面，针对性、可行性强的得9分；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方案内容较为合理全面且有一定针对性可行性的得7分；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方案合理全面性一般，且针对性可行性一般的得5分；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方案内容不合理全面，且无针对性可行性的得3分；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无此项内容不得分。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ascii="宋体" w:hAnsi="宋体" w:cs="宋体"/>
                <w:color w:val="000000"/>
                <w:szCs w:val="21"/>
                <w:highlight w:val="none"/>
              </w:rPr>
            </w:pPr>
            <w:r>
              <w:rPr>
                <w:rFonts w:ascii="宋体" w:hAnsi="宋体" w:cs="宋体"/>
                <w:color w:val="000000"/>
                <w:szCs w:val="21"/>
                <w:highlight w:val="none"/>
              </w:rPr>
              <w:t xml:space="preserve">重要设施损坏更换</w:t>
            </w:r>
            <w:r>
              <w:rPr>
                <w:rFonts w:hint="eastAsia" w:ascii="宋体" w:hAnsi="宋体" w:cs="宋体"/>
                <w:color w:val="000000"/>
                <w:szCs w:val="21"/>
                <w:highlight w:val="none"/>
              </w:rPr>
              <w:t xml:space="preserve">折扣率：根据各供应商自行填报的投标折扣率进行综合对比，折扣率第一高得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分，第二高得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分，第三高得3分，第四高得2分，第五及之后得1分，未提供不得分。（以投标折扣率为准）</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7530" w:type="dxa"/>
            <w:vAlign w:val="center"/>
            <w:textDirection w:val="lrTb"/>
            <w:noWrap w:val="false"/>
          </w:tcPr>
          <w:p>
            <w:pPr>
              <w:pStyle w:val="1043"/>
              <w:jc w:val="lef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后续服务方案及服务承诺：</w:t>
            </w:r>
            <w:r>
              <w:rPr>
                <w:rFonts w:hint="eastAsia" w:ascii="宋体" w:hAnsi="宋体" w:cs="宋体"/>
                <w:color w:val="000000"/>
                <w:szCs w:val="21"/>
                <w:highlight w:val="none"/>
                <w:lang w:val="en-US" w:eastAsia="zh-CN"/>
              </w:rPr>
              <w:t xml:space="preserve">包括不限于提供有利于项目实施的额外服务、后续实施的其他配合等进行综合评审。</w:t>
            </w:r>
            <w:r>
              <w:rPr>
                <w:rFonts w:ascii="宋体" w:hAnsi="宋体" w:eastAsia="宋体" w:cs="宋体"/>
                <w:color w:val="000000"/>
                <w:szCs w:val="21"/>
                <w:highlight w:val="none"/>
                <w:lang w:val="en-US" w:eastAsia="zh-CN"/>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内容全面且与本项目切实相关，有利于采购人针对本项目的实施，方案科学合理性强的得4分；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各项内容全面性、科学合理性较强的得3分；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各项内容全面性、科学合理性一般的得2分；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各项内容不够全面性、科学合理性较差的得1分；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无此项内容的不得分。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lang w:eastAsia="en-US"/>
              </w:rPr>
              <w:t xml:space="preserve">3</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Borders>
              <w:top w:val="single" w:color="000000" w:sz="4" w:space="0"/>
              <w:left w:val="single" w:color="000000" w:sz="4" w:space="0"/>
              <w:bottom w:val="none" w:color="000000" w:sz="0" w:space="0"/>
              <w:right w:val="single" w:color="000000" w:sz="4" w:space="0"/>
            </w:tcBorders>
            <w:tcW w:w="986" w:type="dxa"/>
            <w:vAlign w:val="center"/>
            <w:vMerge w:val="restart"/>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拟投入人员情况</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项目负责人具有注册测绘师证书的得3分，同时具有高级工程师及以上职称的加2分，同时具有工程师职称的加1分；满分5分。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（提供相关证书扫描件加盖公章，并提供供应商为其缴纳的近半年（</w:t>
            </w:r>
            <w:r>
              <w:rPr>
                <w:rFonts w:hint="eastAsia" w:ascii="宋体" w:hAnsi="宋体" w:cs="宋体"/>
                <w:color w:val="000000"/>
                <w:szCs w:val="21"/>
                <w:highlight w:val="none"/>
                <w:lang w:eastAsia="zh-CN"/>
              </w:rPr>
              <w:t xml:space="preserve">2026年1月-2026年6月</w:t>
            </w:r>
            <w:r>
              <w:rPr>
                <w:rFonts w:hint="eastAsia" w:ascii="宋体" w:hAnsi="宋体" w:cs="宋体"/>
                <w:color w:val="000000"/>
                <w:szCs w:val="21"/>
                <w:highlight w:val="none"/>
              </w:rPr>
              <w:t xml:space="preserve">）任意一个月的社保缴纳证明，否则不得分。）</w:t>
            </w: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3.2</w:t>
            </w:r>
            <w:r>
              <w:rPr>
                <w:rFonts w:hint="eastAsia" w:ascii="宋体" w:hAnsi="宋体" w:cs="宋体"/>
                <w:bCs/>
                <w:color w:val="000000"/>
                <w:szCs w:val="21"/>
                <w:highlight w:val="none"/>
              </w:rPr>
            </w:r>
            <w:r/>
          </w:p>
        </w:tc>
        <w:tc>
          <w:tcPr>
            <w:tcBorders>
              <w:top w:val="none" w:color="000000" w:sz="0" w:space="0"/>
              <w:left w:val="single" w:color="000000" w:sz="4" w:space="0"/>
              <w:bottom w:val="none" w:color="000000" w:sz="0" w:space="0"/>
              <w:right w:val="single" w:color="000000" w:sz="4" w:space="0"/>
            </w:tcBorders>
            <w:tcW w:w="986" w:type="dxa"/>
            <w:vAlign w:val="center"/>
            <w:vMerge w:val="continue"/>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技术负责人具有注册测绘师证书的得3分，同时具有高级工程师及以上职称的加2分；同时具有工程师职称的加1分，满分5分。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（提供相关证书扫描件加盖公章，并提供供应商为其缴纳的近半年（</w:t>
            </w:r>
            <w:r>
              <w:rPr>
                <w:rFonts w:hint="eastAsia" w:ascii="宋体" w:hAnsi="宋体" w:cs="宋体"/>
                <w:color w:val="000000"/>
                <w:szCs w:val="21"/>
                <w:highlight w:val="none"/>
                <w:lang w:eastAsia="zh-CN"/>
              </w:rPr>
              <w:t xml:space="preserve">2026年1月-2026年6月</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任意一个月的社保缴纳证明</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项目负责人、技术负责人不可兼任。</w:t>
            </w: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3.3</w:t>
            </w:r>
            <w:r>
              <w:rPr>
                <w:rFonts w:hint="eastAsia" w:ascii="宋体" w:hAnsi="宋体" w:cs="宋体"/>
                <w:bCs/>
                <w:color w:val="000000"/>
                <w:szCs w:val="21"/>
                <w:highlight w:val="none"/>
              </w:rPr>
            </w:r>
            <w:r/>
          </w:p>
        </w:tc>
        <w:tc>
          <w:tcPr>
            <w:tcBorders>
              <w:top w:val="none" w:color="000000" w:sz="0" w:space="0"/>
              <w:left w:val="single" w:color="000000" w:sz="4" w:space="0"/>
              <w:bottom w:val="none" w:color="000000" w:sz="0" w:space="0"/>
              <w:right w:val="single" w:color="000000" w:sz="4" w:space="0"/>
            </w:tcBorders>
            <w:tcW w:w="986" w:type="dxa"/>
            <w:vAlign w:val="center"/>
            <w:vMerge w:val="continue"/>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项目组成</w:t>
            </w:r>
            <w:r>
              <w:rPr>
                <w:rFonts w:hint="eastAsia" w:ascii="宋体" w:hAnsi="宋体" w:cs="宋体"/>
                <w:color w:val="000000"/>
                <w:szCs w:val="21"/>
                <w:highlight w:val="none"/>
              </w:rPr>
              <w:t xml:space="preserve">员（除项目负责人、技术负责人除外）具有注</w:t>
            </w:r>
            <w:r>
              <w:rPr>
                <w:rFonts w:hint="eastAsia" w:ascii="宋体" w:hAnsi="宋体" w:cs="宋体"/>
                <w:color w:val="000000"/>
                <w:szCs w:val="21"/>
                <w:highlight w:val="none"/>
              </w:rPr>
              <w:t xml:space="preserve">册测绘师</w:t>
            </w:r>
            <w:r>
              <w:rPr>
                <w:rFonts w:hint="eastAsia" w:ascii="宋体" w:hAnsi="宋体" w:cs="宋体"/>
                <w:color w:val="000000"/>
                <w:szCs w:val="21"/>
                <w:highlight w:val="none"/>
              </w:rPr>
              <w:t xml:space="preserve">证书的，每有1</w:t>
            </w:r>
            <w:r>
              <w:rPr>
                <w:rFonts w:hint="eastAsia" w:ascii="宋体" w:hAnsi="宋体" w:cs="宋体"/>
                <w:color w:val="000000"/>
                <w:szCs w:val="21"/>
                <w:highlight w:val="none"/>
              </w:rPr>
              <w:t xml:space="preserve">人得2分，最多得8分。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（提供相关证书扫描件加盖公章，并提供供应商为其缴纳的近半年（</w:t>
            </w:r>
            <w:r>
              <w:rPr>
                <w:rFonts w:hint="eastAsia" w:ascii="宋体" w:hAnsi="宋体" w:cs="宋体"/>
                <w:color w:val="000000"/>
                <w:szCs w:val="21"/>
                <w:highlight w:val="none"/>
                <w:lang w:eastAsia="zh-CN"/>
              </w:rPr>
              <w:t xml:space="preserve">2026年1月-2026年6月</w:t>
            </w:r>
            <w:r>
              <w:rPr>
                <w:rFonts w:hint="eastAsia" w:ascii="宋体" w:hAnsi="宋体" w:cs="宋体"/>
                <w:color w:val="000000"/>
                <w:szCs w:val="21"/>
                <w:highlight w:val="none"/>
              </w:rPr>
              <w:t xml:space="preserve">）任意一个月的社保缴纳证明，否则不得分。）</w:t>
            </w:r>
            <w:r>
              <w:rPr>
                <w:rFonts w:hint="eastAsia" w:ascii="宋体" w:hAnsi="宋体" w:cs="宋体"/>
                <w:color w:val="000000"/>
                <w:szCs w:val="21"/>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r>
      <w:tr>
        <w:trPr>
          <w:cantSplit/>
          <w:trHeight w:val="11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投入本项目的仪器设备情况</w:t>
            </w:r>
            <w:r>
              <w:rPr>
                <w:rFonts w:hint="eastAsia" w:ascii="宋体" w:hAnsi="宋体" w:cs="宋体"/>
                <w:color w:val="000000"/>
                <w:szCs w:val="21"/>
                <w:highlight w:val="none"/>
              </w:rPr>
            </w:r>
            <w:r/>
          </w:p>
          <w:p>
            <w:pPr>
              <w:pStyle w:val="1043"/>
              <w:jc w:val="lef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供应商提供以下设备：（1）GPS接收机（含RTK）不少于2台；（2）全站仪不少于2台；（3）管道CCTV检测设备不少于2台。全部满足以上要求的得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分，每缺一项扣</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分，扣完为止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43"/>
              <w:jc w:val="lef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（备注：以上设备若供应商自有，提供设备购买发票或校准证书扫描件加盖公章；若为划拨设备，则提供相关证明文件扫描件加盖公章；若为设备租赁，则提供租赁合同扫描件加盖公章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租赁有效期需覆盖本项目服务期</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lang w:eastAsia="zh-CN"/>
              </w:rPr>
            </w:r>
            <w:r/>
          </w:p>
        </w:tc>
      </w:tr>
      <w:tr>
        <w:trPr>
          <w:cantSplit/>
          <w:trHeight w:val="105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5.1</w:t>
            </w:r>
            <w:r>
              <w:rPr>
                <w:rFonts w:hint="eastAsia" w:ascii="宋体" w:hAnsi="宋体" w:cs="宋体"/>
                <w:bCs/>
                <w:color w:val="000000"/>
                <w:szCs w:val="21"/>
                <w:highlight w:val="none"/>
              </w:rPr>
            </w:r>
            <w:r/>
          </w:p>
        </w:tc>
        <w:tc>
          <w:tcPr>
            <w:tcBorders>
              <w:top w:val="single" w:color="000000" w:sz="4" w:space="0"/>
              <w:left w:val="single" w:color="000000" w:sz="4" w:space="0"/>
              <w:bottom w:val="none" w:color="000000" w:sz="0" w:space="0"/>
              <w:right w:val="single" w:color="000000" w:sz="4" w:space="0"/>
            </w:tcBorders>
            <w:tcW w:w="986" w:type="dxa"/>
            <w:vAlign w:val="center"/>
            <w:vMerge w:val="restart"/>
            <w:textDirection w:val="lrTb"/>
            <w:noWrap w:val="false"/>
          </w:tcPr>
          <w:p>
            <w:pPr>
              <w:pStyle w:val="1043"/>
              <w:jc w:val="lef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业绩</w:t>
            </w:r>
            <w:r>
              <w:rPr>
                <w:rFonts w:hint="eastAsia" w:ascii="宋体" w:hAnsi="宋体" w:cs="宋体"/>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年1月1日（含）以来承担过类似项目的，每有一项得3分，满分6分。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（提供合同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中标通知书扫描件加盖公章，</w:t>
            </w:r>
            <w:r>
              <w:rPr>
                <w:rFonts w:hint="eastAsia" w:ascii="宋体" w:hAnsi="宋体" w:cs="宋体"/>
                <w:color w:val="000000"/>
                <w:szCs w:val="21"/>
                <w:highlight w:val="none"/>
                <w:lang w:val="en-US" w:eastAsia="zh-CN"/>
              </w:rPr>
              <w:t xml:space="preserve">缺一不可，</w:t>
            </w:r>
            <w:r>
              <w:rPr>
                <w:rFonts w:hint="eastAsia" w:ascii="宋体" w:hAnsi="宋体" w:cs="宋体"/>
                <w:color w:val="000000"/>
                <w:szCs w:val="21"/>
                <w:highlight w:val="none"/>
              </w:rPr>
              <w:t xml:space="preserve">时间以合同</w:t>
            </w:r>
            <w:r>
              <w:rPr>
                <w:rFonts w:hint="eastAsia" w:ascii="宋体" w:hAnsi="宋体" w:cs="宋体"/>
                <w:color w:val="000000"/>
                <w:szCs w:val="21"/>
                <w:highlight w:val="none"/>
                <w:lang w:val="en-US" w:eastAsia="zh-CN"/>
              </w:rPr>
              <w:t xml:space="preserve">签订</w:t>
            </w:r>
            <w:r>
              <w:rPr>
                <w:rFonts w:hint="eastAsia" w:ascii="宋体" w:hAnsi="宋体" w:cs="宋体"/>
                <w:color w:val="000000"/>
                <w:szCs w:val="21"/>
                <w:highlight w:val="none"/>
              </w:rPr>
              <w:t xml:space="preserve">时间为准，资料须反映出相关内容，否则不得分，企业业绩与项目负责人业绩不可兼得。</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r>
      <w:tr>
        <w:trPr>
          <w:cantSplit/>
          <w:trHeight w:val="117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5.2</w:t>
            </w:r>
            <w:r>
              <w:rPr>
                <w:rFonts w:hint="eastAsia" w:ascii="宋体" w:hAnsi="宋体" w:cs="宋体"/>
                <w:bCs/>
                <w:color w:val="000000"/>
                <w:szCs w:val="21"/>
                <w:highlight w:val="none"/>
              </w:rPr>
            </w:r>
            <w:r/>
          </w:p>
        </w:tc>
        <w:tc>
          <w:tcPr>
            <w:tcBorders>
              <w:top w:val="none" w:color="000000" w:sz="0"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43"/>
              <w:jc w:val="lef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0" w:type="dxa"/>
            <w:vAlign w:val="center"/>
            <w:textDirection w:val="lrTb"/>
            <w:noWrap w:val="false"/>
          </w:tcPr>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年1月1日（含）以来承担过类似项目的，每有一项得3分，满分3分。</w:t>
            </w:r>
            <w:r>
              <w:rPr>
                <w:rFonts w:hint="eastAsia" w:ascii="宋体" w:hAnsi="宋体" w:cs="宋体"/>
                <w:color w:val="000000"/>
                <w:szCs w:val="21"/>
                <w:highlight w:val="none"/>
              </w:rPr>
            </w:r>
            <w:r/>
          </w:p>
          <w:p>
            <w:pPr>
              <w:pStyle w:val="1043"/>
              <w:jc w:val="lef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（提供合同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中标通知书扫描件加盖公章，</w:t>
            </w:r>
            <w:r>
              <w:rPr>
                <w:rFonts w:hint="eastAsia" w:ascii="宋体" w:hAnsi="宋体" w:cs="宋体"/>
                <w:color w:val="000000"/>
                <w:szCs w:val="21"/>
                <w:highlight w:val="none"/>
                <w:lang w:val="en-US" w:eastAsia="zh-CN"/>
              </w:rPr>
              <w:t xml:space="preserve">缺一不可，</w:t>
            </w:r>
            <w:r>
              <w:rPr>
                <w:rFonts w:hint="eastAsia" w:ascii="宋体" w:hAnsi="宋体" w:cs="宋体"/>
                <w:color w:val="000000"/>
                <w:szCs w:val="21"/>
                <w:highlight w:val="none"/>
              </w:rPr>
              <w:t xml:space="preserve">时间以合同</w:t>
            </w:r>
            <w:r>
              <w:rPr>
                <w:rFonts w:hint="eastAsia" w:ascii="宋体" w:hAnsi="宋体" w:cs="宋体"/>
                <w:color w:val="000000"/>
                <w:szCs w:val="21"/>
                <w:highlight w:val="none"/>
                <w:lang w:val="en-US" w:eastAsia="zh-CN"/>
              </w:rPr>
              <w:t xml:space="preserve">签订</w:t>
            </w:r>
            <w:r>
              <w:rPr>
                <w:rFonts w:hint="eastAsia" w:ascii="宋体" w:hAnsi="宋体" w:cs="宋体"/>
                <w:color w:val="000000"/>
                <w:szCs w:val="21"/>
                <w:highlight w:val="none"/>
              </w:rPr>
              <w:t xml:space="preserve">时间为准</w:t>
            </w:r>
            <w:r>
              <w:rPr>
                <w:rFonts w:hint="eastAsia" w:ascii="宋体" w:hAnsi="宋体" w:cs="宋体"/>
                <w:color w:val="000000"/>
                <w:szCs w:val="21"/>
                <w:highlight w:val="none"/>
              </w:rPr>
              <w:t xml:space="preserve">，资料须反映出相关内容，否则不得分，企业业绩与项目负责人业绩不可兼得。</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r>
      <w:tr>
        <w:trPr>
          <w:cantSplit/>
          <w:trHeight w:val="472"/>
        </w:trPr>
        <w:tc>
          <w:tcPr>
            <w:gridSpan w:val="3"/>
            <w:tcBorders>
              <w:top w:val="single" w:color="000000" w:sz="4" w:space="0"/>
              <w:left w:val="single" w:color="000000" w:sz="8" w:space="0"/>
              <w:bottom w:val="single" w:color="000000" w:sz="4" w:space="0"/>
              <w:right w:val="single" w:color="000000" w:sz="8" w:space="0"/>
            </w:tcBorders>
            <w:tcW w:w="9118" w:type="dxa"/>
            <w:vAlign w:val="center"/>
            <w:textDirection w:val="lrTb"/>
            <w:noWrap w:val="false"/>
          </w:tcPr>
          <w:p>
            <w:pPr>
              <w:pStyle w:val="1043"/>
              <w:jc w:val="lef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合计</w:t>
            </w:r>
            <w:r>
              <w:rPr>
                <w:rFonts w:hint="eastAsia" w:ascii="宋体" w:hAnsi="宋体" w:cs="宋体"/>
                <w:color w:val="000000"/>
                <w:szCs w:val="21"/>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pStyle w:val="1043"/>
              <w:jc w:val="left"/>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100</w:t>
            </w:r>
            <w:r>
              <w:rPr>
                <w:rFonts w:hint="eastAsia" w:ascii="宋体" w:hAnsi="宋体" w:cs="宋体"/>
                <w:color w:val="000000"/>
                <w:szCs w:val="21"/>
                <w:highlight w:val="none"/>
                <w:lang w:eastAsia="en-US"/>
              </w:rPr>
            </w:r>
            <w:r/>
          </w:p>
        </w:tc>
      </w:tr>
    </w:tbl>
    <w:p>
      <w:pPr>
        <w:pStyle w:val="106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106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106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1066"/>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b/>
          <w:bCs/>
          <w:color w:val="000000"/>
          <w:sz w:val="21"/>
          <w:szCs w:val="21"/>
          <w:highlight w:val="none"/>
        </w:rPr>
        <w:t xml:space="preserve">本项目所属行业：“软件和信息技术服务业”</w:t>
      </w:r>
      <w:r>
        <w:rPr>
          <w:rFonts w:hint="eastAsia" w:ascii="宋体" w:hAnsi="宋体" w:cs="宋体"/>
          <w:b/>
          <w:bCs/>
          <w:color w:val="000000"/>
          <w:sz w:val="21"/>
          <w:szCs w:val="21"/>
          <w:highlight w:val="none"/>
        </w:rPr>
      </w:r>
      <w:r/>
    </w:p>
    <w:p>
      <w:pPr>
        <w:pStyle w:val="1066"/>
        <w:spacing w:line="360" w:lineRule="auto"/>
        <w:widowControl w:val="off"/>
        <w:rPr>
          <w:rFonts w:hint="eastAsia" w:ascii="宋体" w:hAnsi="宋体" w:cs="宋体"/>
          <w:bCs/>
          <w:sz w:val="21"/>
          <w:szCs w:val="21"/>
        </w:rPr>
      </w:pPr>
      <w:r>
        <w:rPr>
          <w:rFonts w:hint="eastAsia" w:ascii="宋体" w:hAnsi="宋体" w:cs="宋体"/>
          <w:b/>
          <w:bCs/>
          <w:color w:val="000000"/>
          <w:sz w:val="21"/>
          <w:szCs w:val="21"/>
          <w:highlight w:val="none"/>
          <w:lang w:val="en-US" w:eastAsia="zh-CN"/>
        </w:rPr>
        <w:t xml:space="preserve">4、</w:t>
      </w:r>
      <w:r>
        <w:rPr>
          <w:rFonts w:hint="eastAsia" w:ascii="宋体" w:hAnsi="宋体" w:cs="宋体"/>
          <w:bCs/>
          <w:sz w:val="21"/>
          <w:szCs w:val="21"/>
        </w:rPr>
        <w:t xml:space="preserve">小微企业的价格扣除</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4</w:t>
      </w:r>
      <w:r>
        <w:rPr>
          <w:rFonts w:hint="eastAsia" w:ascii="宋体" w:hAnsi="宋体" w:cs="宋体"/>
          <w:bCs/>
          <w:sz w:val="21"/>
          <w:szCs w:val="21"/>
        </w:rPr>
        <w:t xml:space="preserve">.1本项目对小微企业投标报价给予报价的10%价格扣除，用扣除后的价格参与评审。</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4</w:t>
      </w:r>
      <w:r>
        <w:rPr>
          <w:rFonts w:hint="eastAsia" w:ascii="宋体" w:hAnsi="宋体" w:cs="宋体"/>
          <w:bCs/>
          <w:sz w:val="21"/>
          <w:szCs w:val="21"/>
        </w:rPr>
        <w:t xml:space="preserve">.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4</w:t>
      </w:r>
      <w:r>
        <w:rPr>
          <w:rFonts w:hint="eastAsia" w:ascii="宋体" w:hAnsi="宋体" w:cs="宋体"/>
          <w:bCs/>
          <w:sz w:val="21"/>
          <w:szCs w:val="21"/>
        </w:rPr>
        <w:t xml:space="preserve">.3小企业（含小型、微型企业）应当同时符合以下条件：</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rPr>
        <w:t xml:space="preserve">（1）供应商为小企业，且符合中小企业划分标准；</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5</w:t>
      </w:r>
      <w:r>
        <w:rPr>
          <w:rFonts w:hint="eastAsia" w:ascii="宋体" w:hAnsi="宋体" w:cs="宋体"/>
          <w:bCs/>
          <w:sz w:val="21"/>
          <w:szCs w:val="21"/>
        </w:rPr>
        <w:t xml:space="preserve">、监狱和戒毒企业的价格扣除</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5</w:t>
      </w:r>
      <w:r>
        <w:rPr>
          <w:rFonts w:hint="eastAsia" w:ascii="宋体" w:hAnsi="宋体" w:cs="宋体"/>
          <w:bCs/>
          <w:sz w:val="21"/>
          <w:szCs w:val="21"/>
        </w:rPr>
        <w:t xml:space="preserve">.1 本项目对监狱和戒毒企业（简称监狱企业），给予10%的价格扣除，用扣除后的价格参与评审。</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5</w:t>
      </w:r>
      <w:r>
        <w:rPr>
          <w:rFonts w:hint="eastAsia" w:ascii="宋体" w:hAnsi="宋体" w:cs="宋体"/>
          <w:bCs/>
          <w:sz w:val="21"/>
          <w:szCs w:val="21"/>
        </w:rPr>
        <w:t xml:space="preserve">.2 监狱企业需提供由省级以上监狱管理局、戒毒管理局（含新疆生产建设兵团）出具的属于监狱企业的证明文件。</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5</w:t>
      </w:r>
      <w:r>
        <w:rPr>
          <w:rFonts w:hint="eastAsia" w:ascii="宋体" w:hAnsi="宋体" w:cs="宋体"/>
          <w:bCs/>
          <w:sz w:val="21"/>
          <w:szCs w:val="21"/>
        </w:rPr>
        <w:t xml:space="preserve">.3 监狱企业标准请参照《关于政府采购支持监狱企业发展有关问题的通知》（财库[2014]68号）。</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6</w:t>
      </w:r>
      <w:r>
        <w:rPr>
          <w:rFonts w:hint="eastAsia" w:ascii="宋体" w:hAnsi="宋体" w:cs="宋体"/>
          <w:bCs/>
          <w:sz w:val="21"/>
          <w:szCs w:val="21"/>
        </w:rPr>
        <w:t xml:space="preserve">、残疾人福利性单位的价格扣除</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6</w:t>
      </w:r>
      <w:r>
        <w:rPr>
          <w:rFonts w:hint="eastAsia" w:ascii="宋体" w:hAnsi="宋体" w:cs="宋体"/>
          <w:bCs/>
          <w:sz w:val="21"/>
          <w:szCs w:val="21"/>
        </w:rPr>
        <w:t xml:space="preserve">.1. 本项目对残疾人福利性单位，给予10%的价格扣除，用扣除后的价格参与评审。</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6</w:t>
      </w:r>
      <w:r>
        <w:rPr>
          <w:rFonts w:hint="eastAsia" w:ascii="宋体" w:hAnsi="宋体" w:cs="宋体"/>
          <w:bCs/>
          <w:sz w:val="21"/>
          <w:szCs w:val="21"/>
        </w:rPr>
        <w:t xml:space="preserve">.2. 残疾人福利单位需按照采购文件的要求提供《残疾人福利性单位声明函》。</w:t>
      </w:r>
      <w:r>
        <w:rPr>
          <w:rFonts w:hint="eastAsia" w:ascii="宋体" w:hAnsi="宋体" w:cs="宋体"/>
          <w:bCs/>
          <w:sz w:val="21"/>
          <w:szCs w:val="21"/>
        </w:rPr>
      </w:r>
      <w:r/>
    </w:p>
    <w:p>
      <w:pPr>
        <w:pStyle w:val="1066"/>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6</w:t>
      </w:r>
      <w:r>
        <w:rPr>
          <w:rFonts w:hint="eastAsia" w:ascii="宋体" w:hAnsi="宋体" w:cs="宋体"/>
          <w:bCs/>
          <w:sz w:val="21"/>
          <w:szCs w:val="21"/>
        </w:rPr>
        <w:t xml:space="preserve">.3. 残疾人福利单位标准请参照《关于促进残疾人就业政府采购政策的通知》（财库〔2017〕141号）。</w:t>
      </w:r>
      <w:r>
        <w:rPr>
          <w:rFonts w:hint="eastAsia" w:ascii="宋体" w:hAnsi="宋体" w:cs="宋体"/>
          <w:bCs/>
          <w:sz w:val="21"/>
          <w:szCs w:val="21"/>
        </w:rPr>
      </w:r>
      <w:r/>
    </w:p>
    <w:p>
      <w:pPr>
        <w:pStyle w:val="1066"/>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Cs/>
          <w:sz w:val="21"/>
          <w:szCs w:val="21"/>
          <w:lang w:val="en-US" w:eastAsia="zh-CN"/>
        </w:rPr>
        <w:t xml:space="preserve">7</w:t>
      </w:r>
      <w:r>
        <w:rPr>
          <w:rFonts w:hint="eastAsia" w:ascii="宋体" w:hAnsi="宋体" w:cs="宋体"/>
          <w:bCs/>
          <w:sz w:val="21"/>
          <w:szCs w:val="21"/>
        </w:rPr>
        <w:t xml:space="preserve">、监狱企业、残疾人福利单位属于小型、微型企业的，不重复享受政策。</w:t>
      </w:r>
      <w:r>
        <w:rPr>
          <w:rFonts w:hint="eastAsia" w:ascii="宋体" w:hAnsi="宋体" w:eastAsia="宋体" w:cs="宋体"/>
          <w:b/>
          <w:bCs/>
          <w:color w:val="000000"/>
          <w:sz w:val="21"/>
          <w:szCs w:val="21"/>
          <w:highlight w:val="none"/>
          <w:lang w:val="en-US" w:eastAsia="zh-CN"/>
        </w:rPr>
      </w:r>
      <w:r/>
    </w:p>
    <w:p>
      <w:pPr>
        <w:pStyle w:val="1193"/>
        <w:numPr>
          <w:ilvl w:val="0"/>
          <w:numId w:val="0"/>
        </w:numPr>
        <w:spacing w:before="0" w:after="0" w:line="480" w:lineRule="auto"/>
        <w:rPr>
          <w:color w:val="000000"/>
          <w:sz w:val="36"/>
          <w:highlight w:val="none"/>
        </w:rPr>
        <w:outlineLvl w:val="0"/>
      </w:pPr>
      <w:r>
        <w:rPr>
          <w:rStyle w:val="1168"/>
          <w:rFonts w:ascii="宋体" w:hAnsi="宋体"/>
          <w:color w:val="000000"/>
          <w:szCs w:val="32"/>
          <w:highlight w:val="none"/>
        </w:rPr>
        <w:br w:type="page" w:clear="all"/>
      </w:r>
      <w:bookmarkStart w:id="51" w:name="_Toc5223"/>
      <w:r/>
      <w:bookmarkStart w:id="52" w:name="_Toc12891"/>
      <w:r/>
      <w:bookmarkStart w:id="53" w:name="_Toc30051"/>
      <w:r/>
      <w:bookmarkStart w:id="54" w:name="_Toc27696"/>
      <w:r>
        <w:rPr>
          <w:rFonts w:hint="eastAsia"/>
          <w:color w:val="000000"/>
          <w:sz w:val="36"/>
          <w:highlight w:val="none"/>
        </w:rPr>
        <w:t xml:space="preserve">第四章 招标项目的技术规格、要求和数量等</w:t>
      </w:r>
      <w:bookmarkEnd w:id="51"/>
      <w:r/>
      <w:bookmarkEnd w:id="52"/>
      <w:r>
        <w:rPr>
          <w:color w:val="000000"/>
          <w:sz w:val="36"/>
          <w:highlight w:val="none"/>
        </w:rPr>
      </w:r>
      <w:r/>
    </w:p>
    <w:p>
      <w:pPr>
        <w:pStyle w:val="1043"/>
        <w:ind w:firstLine="420"/>
        <w:spacing w:line="360" w:lineRule="auto"/>
        <w:widowControl w:val="off"/>
        <w:rPr>
          <w:rFonts w:ascii="宋体" w:hAnsi="宋体" w:cs="宋体"/>
          <w:szCs w:val="21"/>
          <w:highlight w:val="none"/>
        </w:rPr>
      </w:pPr>
      <w:r>
        <w:rPr>
          <w:rFonts w:hint="eastAsia" w:ascii="宋体" w:hAnsi="宋体" w:cs="宋体"/>
          <w:szCs w:val="21"/>
          <w:highlight w:val="none"/>
        </w:rPr>
        <w:t xml:space="preserve">1.1项目名称：</w:t>
      </w:r>
      <w:r>
        <w:rPr>
          <w:rFonts w:hint="eastAsia" w:ascii="宋体" w:hAnsi="宋体" w:cs="宋体"/>
          <w:szCs w:val="21"/>
          <w:highlight w:val="none"/>
          <w:lang w:eastAsia="zh-CN"/>
        </w:rPr>
        <w:t xml:space="preserve">2026年鼓楼区智慧水务大数据管控平台运维服务项目</w:t>
      </w:r>
      <w:r>
        <w:rPr>
          <w:rFonts w:hint="eastAsia" w:ascii="宋体" w:hAnsi="宋体" w:cs="宋体"/>
          <w:szCs w:val="21"/>
          <w:highlight w:val="none"/>
        </w:rPr>
        <w:t xml:space="preserve">项目</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lang w:bidi="en-US"/>
        </w:rPr>
        <w:t xml:space="preserve">1.2.</w:t>
      </w:r>
      <w:r>
        <w:rPr>
          <w:rFonts w:hint="eastAsia" w:ascii="宋体" w:hAnsi="宋体" w:cs="宋体"/>
          <w:szCs w:val="21"/>
          <w:highlight w:val="none"/>
        </w:rPr>
        <w:t xml:space="preserve">项目概述</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鼓楼区智慧水务大数据管控平台于2021年开始上线运行，系统主要功能包括综合管控、防汛指挥、排水监管、水质检测、管网监测、巡查养护等。通过设施数据调查维护和功能开发，建立全区管网、河道、泵站、截流等排水设施电子档案。依托移动端APP，规范全区水务设施巡查养护工作，提升了区水务部门的管理精细化水平。利用物联智能感知设备，建立监测预警体系，为区防汛调度、水环境保障等工作提供重要支撑。</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鼓楼区智慧水务大数据管控平台运维工作主要包括基础数据更新入库、软件动态维护、硬件设施巡查维护、平台网络及安全维护、重大任务应急维护保障及其他必要工作。</w:t>
      </w:r>
      <w:r>
        <w:rPr>
          <w:rFonts w:ascii="宋体" w:hAnsi="宋体" w:cs="宋体"/>
          <w:szCs w:val="21"/>
          <w:highlight w:val="none"/>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1.3.</w:t>
      </w:r>
      <w:r>
        <w:rPr>
          <w:rFonts w:hint="eastAsia" w:ascii="宋体" w:hAnsi="宋体" w:cs="宋体"/>
          <w:szCs w:val="21"/>
          <w:highlight w:val="none"/>
        </w:rPr>
        <w:t xml:space="preserve">项目范围</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ascii="宋体" w:hAnsi="宋体" w:cs="宋体"/>
          <w:szCs w:val="21"/>
          <w:highlight w:val="none"/>
        </w:rPr>
        <mc:AlternateContent>
          <mc:Choice Requires="wpg">
            <w:drawing>
              <wp:inline xmlns:wp="http://schemas.openxmlformats.org/drawingml/2006/wordprocessingDrawing" distT="0" distB="0" distL="0" distR="0">
                <wp:extent cx="5620385" cy="45720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20385" cy="457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2.5pt;height:360.0pt;mso-wrap-distance-left:0.0pt;mso-wrap-distance-top:0.0pt;mso-wrap-distance-right:0.0pt;mso-wrap-distance-bottom:0.0pt;" stroked="f">
                <v:path textboxrect="0,0,0,0"/>
                <v:imagedata r:id="rId15" o:title=""/>
              </v:shape>
            </w:pict>
          </mc:Fallback>
        </mc:AlternateConten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ascii="宋体" w:hAnsi="宋体" w:cs="宋体"/>
          <w:szCs w:val="21"/>
          <w:highlight w:val="none"/>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1.4.</w:t>
      </w:r>
      <w:r>
        <w:rPr>
          <w:rFonts w:hint="eastAsia" w:ascii="宋体" w:hAnsi="宋体" w:cs="宋体"/>
          <w:szCs w:val="21"/>
          <w:highlight w:val="none"/>
        </w:rPr>
        <w:t xml:space="preserve">工作内容</w:t>
      </w:r>
      <w:r>
        <w:rPr>
          <w:rFonts w:ascii="宋体" w:hAnsi="宋体" w:cs="宋体"/>
          <w:szCs w:val="21"/>
          <w:highlight w:val="none"/>
        </w:rPr>
      </w:r>
      <w:r/>
    </w:p>
    <w:p>
      <w:pPr>
        <w:pStyle w:val="1043"/>
        <w:ind w:firstLine="422"/>
        <w:jc w:val="left"/>
        <w:spacing w:line="360" w:lineRule="auto"/>
        <w:rPr>
          <w:rFonts w:ascii="宋体" w:hAnsi="宋体" w:cs="宋体"/>
          <w:b/>
          <w:bCs/>
          <w:szCs w:val="21"/>
          <w:highlight w:val="none"/>
        </w:rPr>
      </w:pPr>
      <w:r>
        <w:rPr>
          <w:rFonts w:hint="eastAsia" w:ascii="宋体" w:hAnsi="宋体" w:cs="宋体"/>
          <w:b/>
          <w:bCs/>
          <w:szCs w:val="21"/>
          <w:highlight w:val="none"/>
          <w:lang w:bidi="en-US"/>
        </w:rPr>
        <w:t xml:space="preserve">1.4.1.</w:t>
      </w:r>
      <w:r>
        <w:rPr>
          <w:rFonts w:hint="eastAsia" w:ascii="宋体" w:hAnsi="宋体" w:cs="宋体"/>
          <w:b/>
          <w:bCs/>
          <w:szCs w:val="21"/>
          <w:highlight w:val="none"/>
        </w:rPr>
        <w:t xml:space="preserve">基础数据更新入库</w:t>
      </w:r>
      <w:r>
        <w:rPr>
          <w:rFonts w:ascii="宋体" w:hAnsi="宋体" w:cs="宋体"/>
          <w:b/>
          <w:bCs/>
          <w:szCs w:val="21"/>
          <w:highlight w:val="none"/>
        </w:rPr>
      </w:r>
      <w:r/>
    </w:p>
    <w:p>
      <w:pPr>
        <w:pStyle w:val="1043"/>
        <w:ind w:firstLine="420"/>
        <w:jc w:val="left"/>
        <w:spacing w:line="360" w:lineRule="auto"/>
        <w:rPr>
          <w:rFonts w:ascii="宋体" w:hAnsi="宋体" w:cs="宋体"/>
          <w:szCs w:val="21"/>
          <w:highlight w:val="none"/>
          <w:lang w:bidi="en-US"/>
        </w:rPr>
      </w:pPr>
      <w:r>
        <w:rPr>
          <w:rFonts w:hint="eastAsia" w:ascii="宋体" w:hAnsi="宋体" w:cs="宋体"/>
          <w:szCs w:val="21"/>
          <w:highlight w:val="none"/>
        </w:rPr>
        <w:t xml:space="preserve">数据服务主要是对</w:t>
      </w:r>
      <w:r>
        <w:rPr>
          <w:rFonts w:hint="eastAsia" w:ascii="宋体" w:hAnsi="宋体" w:cs="宋体"/>
          <w:szCs w:val="21"/>
          <w:highlight w:val="none"/>
          <w:lang w:bidi="zh-CN"/>
        </w:rPr>
        <w:t xml:space="preserve">鼓</w:t>
      </w:r>
      <w:r>
        <w:rPr>
          <w:rFonts w:hint="eastAsia" w:ascii="宋体" w:hAnsi="宋体" w:cs="宋体"/>
          <w:szCs w:val="21"/>
          <w:highlight w:val="none"/>
        </w:rPr>
        <w:t xml:space="preserve">楼区水务设施数据库的更新维护，包括排水管网、泵站、河道及其附属设施和监测设备设施等数据，</w:t>
      </w:r>
      <w:r>
        <w:rPr>
          <w:rFonts w:hint="eastAsia" w:ascii="宋体" w:hAnsi="宋体" w:cs="宋体"/>
          <w:szCs w:val="21"/>
          <w:highlight w:val="none"/>
          <w:lang w:bidi="en-US"/>
        </w:rPr>
        <w:t xml:space="preserve">以采购人出具的工作联系单为准。</w:t>
      </w:r>
      <w:r>
        <w:rPr>
          <w:rFonts w:ascii="宋体" w:hAnsi="宋体" w:cs="宋体"/>
          <w:szCs w:val="21"/>
          <w:highlight w:val="none"/>
          <w:lang w:bidi="en-US"/>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1069"/>
        <w:gridCol w:w="958"/>
        <w:gridCol w:w="860"/>
        <w:gridCol w:w="5844"/>
      </w:tblGrid>
      <w:tr>
        <w:trPr>
          <w:trHeight w:val="270"/>
        </w:trPr>
        <w:tc>
          <w:tcPr>
            <w:gridSpan w:val="2"/>
            <w:tcW w:w="2192" w:type="dxa"/>
            <w:vAlign w:val="center"/>
            <w:textDirection w:val="lrTb"/>
            <w:noWrap/>
          </w:tcPr>
          <w:p>
            <w:pPr>
              <w:pStyle w:val="1043"/>
              <w:jc w:val="center"/>
              <w:rPr>
                <w:rFonts w:ascii="宋体" w:hAnsi="宋体" w:cs="宋体"/>
                <w:b/>
                <w:bCs/>
                <w:szCs w:val="21"/>
                <w:highlight w:val="none"/>
              </w:rPr>
            </w:pPr>
            <w:r>
              <w:rPr>
                <w:rFonts w:hint="eastAsia" w:ascii="宋体" w:hAnsi="宋体" w:cs="宋体"/>
                <w:b/>
                <w:bCs/>
                <w:szCs w:val="21"/>
                <w:highlight w:val="none"/>
              </w:rPr>
              <w:t xml:space="preserve">工作内容</w:t>
            </w:r>
            <w:r>
              <w:rPr>
                <w:rFonts w:ascii="宋体" w:hAnsi="宋体" w:cs="宋体"/>
                <w:b/>
                <w:bCs/>
                <w:szCs w:val="21"/>
                <w:highlight w:val="none"/>
              </w:rPr>
            </w:r>
            <w:r/>
          </w:p>
        </w:tc>
        <w:tc>
          <w:tcPr>
            <w:tcW w:w="486" w:type="dxa"/>
            <w:vAlign w:val="center"/>
            <w:textDirection w:val="lrTb"/>
            <w:noWrap/>
          </w:tcPr>
          <w:p>
            <w:pPr>
              <w:pStyle w:val="1043"/>
              <w:jc w:val="center"/>
              <w:rPr>
                <w:rFonts w:hint="eastAsia" w:ascii="宋体" w:hAnsi="宋体" w:cs="宋体"/>
                <w:b/>
                <w:bCs/>
                <w:szCs w:val="21"/>
                <w:highlight w:val="none"/>
              </w:rPr>
            </w:pPr>
            <w:r>
              <w:rPr>
                <w:rFonts w:hint="eastAsia" w:ascii="宋体" w:hAnsi="宋体" w:cs="宋体"/>
                <w:b/>
                <w:bCs/>
                <w:szCs w:val="21"/>
                <w:highlight w:val="none"/>
              </w:rPr>
              <w:t xml:space="preserve">数量</w:t>
            </w:r>
            <w:r>
              <w:rPr>
                <w:rFonts w:hint="eastAsia" w:ascii="宋体" w:hAnsi="宋体" w:cs="宋体"/>
                <w:b/>
                <w:bCs/>
                <w:szCs w:val="21"/>
                <w:highlight w:val="none"/>
              </w:rPr>
            </w:r>
            <w:r/>
          </w:p>
        </w:tc>
        <w:tc>
          <w:tcPr>
            <w:tcW w:w="436" w:type="dxa"/>
            <w:vAlign w:val="center"/>
            <w:textDirection w:val="lrTb"/>
            <w:noWrap/>
          </w:tcPr>
          <w:p>
            <w:pPr>
              <w:pStyle w:val="1043"/>
              <w:jc w:val="center"/>
              <w:rPr>
                <w:rFonts w:hint="eastAsia" w:ascii="宋体" w:hAnsi="宋体" w:cs="宋体"/>
                <w:b/>
                <w:bCs/>
                <w:szCs w:val="21"/>
                <w:highlight w:val="none"/>
              </w:rPr>
            </w:pPr>
            <w:r>
              <w:rPr>
                <w:rFonts w:hint="eastAsia" w:ascii="宋体" w:hAnsi="宋体" w:cs="宋体"/>
                <w:b/>
                <w:bCs/>
                <w:szCs w:val="21"/>
                <w:highlight w:val="none"/>
              </w:rPr>
              <w:t xml:space="preserve">单位</w:t>
            </w:r>
            <w:r>
              <w:rPr>
                <w:rFonts w:hint="eastAsia" w:ascii="宋体" w:hAnsi="宋体" w:cs="宋体"/>
                <w:b/>
                <w:bCs/>
                <w:szCs w:val="21"/>
                <w:highlight w:val="none"/>
              </w:rPr>
            </w:r>
            <w:r/>
          </w:p>
        </w:tc>
        <w:tc>
          <w:tcPr>
            <w:tcW w:w="2964" w:type="dxa"/>
            <w:vAlign w:val="center"/>
            <w:textDirection w:val="lrTb"/>
            <w:noWrap w:val="false"/>
          </w:tcPr>
          <w:p>
            <w:pPr>
              <w:pStyle w:val="1043"/>
              <w:jc w:val="center"/>
              <w:rPr>
                <w:rFonts w:hint="eastAsia" w:ascii="宋体" w:hAnsi="宋体" w:cs="宋体"/>
                <w:b/>
                <w:bCs/>
                <w:szCs w:val="21"/>
                <w:highlight w:val="none"/>
              </w:rPr>
            </w:pPr>
            <w:r>
              <w:rPr>
                <w:rFonts w:hint="eastAsia" w:ascii="宋体" w:hAnsi="宋体" w:cs="宋体"/>
                <w:b/>
                <w:bCs/>
                <w:szCs w:val="21"/>
                <w:highlight w:val="none"/>
              </w:rPr>
              <w:t xml:space="preserve">备注</w:t>
            </w:r>
            <w:r>
              <w:rPr>
                <w:rFonts w:hint="eastAsia" w:ascii="宋体" w:hAnsi="宋体" w:cs="宋体"/>
                <w:b/>
                <w:bCs/>
                <w:szCs w:val="21"/>
                <w:highlight w:val="none"/>
              </w:rPr>
            </w:r>
            <w:r/>
          </w:p>
        </w:tc>
      </w:tr>
      <w:tr>
        <w:trPr>
          <w:trHeight w:val="638"/>
        </w:trPr>
        <w:tc>
          <w:tcPr>
            <w:tcW w:w="570" w:type="dxa"/>
            <w:vAlign w:val="center"/>
            <w:vMerge w:val="restart"/>
            <w:textDirection w:val="lrTb"/>
            <w:noWrap w:val="false"/>
          </w:tcPr>
          <w:p>
            <w:pPr>
              <w:pStyle w:val="1043"/>
              <w:jc w:val="center"/>
              <w:rPr>
                <w:rFonts w:hint="eastAsia" w:ascii="宋体" w:hAnsi="宋体" w:cs="宋体"/>
                <w:szCs w:val="21"/>
                <w:highlight w:val="none"/>
              </w:rPr>
            </w:pPr>
            <w:r>
              <w:rPr>
                <w:rFonts w:hint="eastAsia" w:ascii="宋体" w:hAnsi="宋体" w:cs="宋体"/>
                <w:szCs w:val="21"/>
                <w:highlight w:val="none"/>
              </w:rPr>
              <w:t xml:space="preserve">数据服务</w:t>
            </w:r>
            <w:r>
              <w:rPr>
                <w:rFonts w:hint="eastAsia" w:ascii="宋体" w:hAnsi="宋体" w:cs="宋体"/>
                <w:szCs w:val="21"/>
                <w:highlight w:val="none"/>
              </w:rPr>
            </w:r>
            <w:r/>
          </w:p>
        </w:tc>
        <w:tc>
          <w:tcPr>
            <w:tcW w:w="541" w:type="dxa"/>
            <w:vAlign w:val="center"/>
            <w:textDirection w:val="lrTb"/>
            <w:noWrap w:val="false"/>
          </w:tcPr>
          <w:p>
            <w:pPr>
              <w:pStyle w:val="1043"/>
              <w:jc w:val="center"/>
              <w:rPr>
                <w:rFonts w:hint="eastAsia" w:ascii="宋体" w:hAnsi="宋体" w:cs="宋体"/>
                <w:szCs w:val="21"/>
                <w:highlight w:val="none"/>
              </w:rPr>
            </w:pPr>
            <w:r>
              <w:rPr>
                <w:rFonts w:hint="eastAsia" w:ascii="宋体" w:hAnsi="宋体" w:cs="宋体"/>
                <w:szCs w:val="21"/>
                <w:highlight w:val="none"/>
              </w:rPr>
              <w:t xml:space="preserve">设备设施</w:t>
            </w:r>
            <w:r>
              <w:rPr>
                <w:rFonts w:hint="eastAsia" w:ascii="宋体" w:hAnsi="宋体" w:cs="宋体"/>
                <w:szCs w:val="21"/>
                <w:highlight w:val="none"/>
              </w:rPr>
            </w:r>
            <w:r/>
          </w:p>
        </w:tc>
        <w:tc>
          <w:tcPr>
            <w:tcW w:w="486" w:type="dxa"/>
            <w:vAlign w:val="center"/>
            <w:textDirection w:val="lrTb"/>
            <w:noWrap/>
          </w:tcPr>
          <w:p>
            <w:pPr>
              <w:pStyle w:val="1043"/>
              <w:jc w:val="center"/>
              <w:rPr>
                <w:rFonts w:hint="eastAsia" w:ascii="宋体" w:hAnsi="宋体" w:cs="宋体"/>
                <w:szCs w:val="21"/>
                <w:highlight w:val="none"/>
              </w:rPr>
            </w:pPr>
            <w:r>
              <w:rPr>
                <w:rFonts w:hint="eastAsia" w:ascii="宋体" w:hAnsi="宋体" w:cs="宋体"/>
                <w:szCs w:val="21"/>
                <w:highlight w:val="none"/>
              </w:rPr>
              <w:t xml:space="preserve">50</w:t>
            </w:r>
            <w:r>
              <w:rPr>
                <w:rFonts w:hint="eastAsia" w:ascii="宋体" w:hAnsi="宋体" w:cs="宋体"/>
                <w:szCs w:val="21"/>
                <w:highlight w:val="none"/>
              </w:rPr>
            </w:r>
            <w:r/>
          </w:p>
        </w:tc>
        <w:tc>
          <w:tcPr>
            <w:tcW w:w="436" w:type="dxa"/>
            <w:vAlign w:val="center"/>
            <w:textDirection w:val="lrTb"/>
            <w:noWrap/>
          </w:tcPr>
          <w:p>
            <w:pPr>
              <w:pStyle w:val="1043"/>
              <w:jc w:val="center"/>
              <w:rPr>
                <w:rFonts w:hint="eastAsia" w:ascii="宋体" w:hAnsi="宋体" w:cs="宋体"/>
                <w:szCs w:val="21"/>
                <w:highlight w:val="none"/>
              </w:rPr>
            </w:pPr>
            <w:r>
              <w:rPr>
                <w:rFonts w:hint="eastAsia" w:ascii="宋体" w:hAnsi="宋体" w:cs="宋体"/>
                <w:szCs w:val="21"/>
                <w:highlight w:val="none"/>
              </w:rPr>
              <w:t xml:space="preserve">处</w:t>
            </w:r>
            <w:r>
              <w:rPr>
                <w:rFonts w:hint="eastAsia" w:ascii="宋体" w:hAnsi="宋体" w:cs="宋体"/>
                <w:szCs w:val="21"/>
                <w:highlight w:val="none"/>
              </w:rPr>
            </w:r>
            <w:r/>
          </w:p>
        </w:tc>
        <w:tc>
          <w:tcPr>
            <w:tcW w:w="2964" w:type="dxa"/>
            <w:vAlign w:val="center"/>
            <w:textDirection w:val="lrTb"/>
            <w:noWrap w:val="false"/>
          </w:tcPr>
          <w:p>
            <w:pPr>
              <w:pStyle w:val="1043"/>
              <w:jc w:val="left"/>
              <w:rPr>
                <w:rFonts w:hint="eastAsia" w:ascii="宋体" w:hAnsi="宋体" w:cs="宋体"/>
                <w:szCs w:val="21"/>
                <w:highlight w:val="none"/>
              </w:rPr>
            </w:pPr>
            <w:r>
              <w:rPr>
                <w:rFonts w:hint="eastAsia" w:ascii="宋体" w:hAnsi="宋体" w:cs="宋体"/>
                <w:szCs w:val="21"/>
                <w:highlight w:val="none"/>
              </w:rPr>
              <w:t xml:space="preserve">设施设施高程测绘、核实及出图等服务 </w:t>
            </w:r>
            <w:r>
              <w:rPr>
                <w:rFonts w:hint="eastAsia" w:ascii="宋体" w:hAnsi="宋体" w:cs="宋体"/>
                <w:szCs w:val="21"/>
                <w:highlight w:val="none"/>
              </w:rPr>
            </w:r>
            <w:r/>
          </w:p>
        </w:tc>
      </w:tr>
      <w:tr>
        <w:trPr>
          <w:trHeight w:val="1350"/>
        </w:trPr>
        <w:tc>
          <w:tcPr>
            <w:tcW w:w="570" w:type="dxa"/>
            <w:vAlign w:val="center"/>
            <w:vMerge w:val="continue"/>
            <w:textDirection w:val="lrTb"/>
            <w:noWrap w:val="false"/>
          </w:tcPr>
          <w:p>
            <w:pPr>
              <w:pStyle w:val="1043"/>
              <w:jc w:val="left"/>
              <w:rPr>
                <w:rFonts w:ascii="宋体" w:hAnsi="宋体" w:cs="宋体"/>
                <w:szCs w:val="21"/>
                <w:highlight w:val="none"/>
              </w:rPr>
            </w:pPr>
            <w:r>
              <w:rPr>
                <w:rFonts w:ascii="宋体" w:hAnsi="宋体" w:cs="宋体"/>
                <w:szCs w:val="21"/>
                <w:highlight w:val="none"/>
              </w:rPr>
            </w:r>
            <w:r/>
          </w:p>
        </w:tc>
        <w:tc>
          <w:tcPr>
            <w:tcW w:w="541" w:type="dxa"/>
            <w:vAlign w:val="center"/>
            <w:textDirection w:val="lrTb"/>
            <w:noWrap/>
          </w:tcPr>
          <w:p>
            <w:pPr>
              <w:pStyle w:val="1043"/>
              <w:jc w:val="center"/>
              <w:rPr>
                <w:rFonts w:hint="eastAsia" w:ascii="宋体" w:hAnsi="宋体" w:cs="宋体"/>
                <w:szCs w:val="21"/>
                <w:highlight w:val="none"/>
              </w:rPr>
            </w:pPr>
            <w:r>
              <w:rPr>
                <w:rFonts w:hint="eastAsia" w:ascii="宋体" w:hAnsi="宋体" w:cs="宋体"/>
                <w:szCs w:val="21"/>
                <w:highlight w:val="none"/>
              </w:rPr>
              <w:t xml:space="preserve">数据更新</w:t>
            </w:r>
            <w:r>
              <w:rPr>
                <w:rFonts w:hint="eastAsia" w:ascii="宋体" w:hAnsi="宋体" w:cs="宋体"/>
                <w:szCs w:val="21"/>
                <w:highlight w:val="none"/>
              </w:rPr>
            </w:r>
            <w:r/>
          </w:p>
        </w:tc>
        <w:tc>
          <w:tcPr>
            <w:tcW w:w="486" w:type="dxa"/>
            <w:vAlign w:val="center"/>
            <w:textDirection w:val="lrTb"/>
            <w:noWrap/>
          </w:tcPr>
          <w:p>
            <w:pPr>
              <w:pStyle w:val="1043"/>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436" w:type="dxa"/>
            <w:vAlign w:val="center"/>
            <w:textDirection w:val="lrTb"/>
            <w:noWrap/>
          </w:tcPr>
          <w:p>
            <w:pPr>
              <w:pStyle w:val="1043"/>
              <w:jc w:val="center"/>
              <w:rPr>
                <w:rFonts w:hint="eastAsia" w:ascii="宋体" w:hAnsi="宋体" w:cs="宋体"/>
                <w:szCs w:val="21"/>
                <w:highlight w:val="none"/>
              </w:rPr>
            </w:pPr>
            <w:r>
              <w:rPr>
                <w:rFonts w:hint="eastAsia" w:ascii="宋体" w:hAnsi="宋体" w:cs="宋体"/>
                <w:szCs w:val="21"/>
                <w:highlight w:val="none"/>
              </w:rPr>
              <w:t xml:space="preserve">项</w:t>
            </w:r>
            <w:r>
              <w:rPr>
                <w:rFonts w:hint="eastAsia" w:ascii="宋体" w:hAnsi="宋体" w:cs="宋体"/>
                <w:szCs w:val="21"/>
                <w:highlight w:val="none"/>
              </w:rPr>
            </w:r>
            <w:r/>
          </w:p>
        </w:tc>
        <w:tc>
          <w:tcPr>
            <w:tcW w:w="2964" w:type="dxa"/>
            <w:vAlign w:val="center"/>
            <w:textDirection w:val="lrTb"/>
            <w:noWrap w:val="false"/>
          </w:tcPr>
          <w:p>
            <w:pPr>
              <w:pStyle w:val="1043"/>
              <w:jc w:val="left"/>
              <w:rPr>
                <w:rFonts w:hint="eastAsia" w:ascii="宋体" w:hAnsi="宋体" w:cs="宋体"/>
                <w:szCs w:val="21"/>
                <w:highlight w:val="none"/>
              </w:rPr>
            </w:pPr>
            <w:r>
              <w:rPr>
                <w:rFonts w:hint="eastAsia" w:ascii="宋体" w:hAnsi="宋体" w:cs="宋体"/>
                <w:szCs w:val="21"/>
                <w:highlight w:val="none"/>
              </w:rPr>
              <w:t xml:space="preserve">1、对指定区域内图上雨污水管线与实地存在不符的情况进行现场核实及修补测工作；</w:t>
            </w:r>
            <w:r>
              <w:rPr>
                <w:rFonts w:hint="eastAsia" w:ascii="宋体" w:hAnsi="宋体" w:cs="宋体"/>
                <w:szCs w:val="21"/>
                <w:highlight w:val="none"/>
              </w:rPr>
              <w:br w:type="textWrapping" w:clear="all"/>
            </w:r>
            <w:r>
              <w:rPr>
                <w:rFonts w:hint="eastAsia" w:ascii="宋体" w:hAnsi="宋体" w:cs="宋体"/>
                <w:szCs w:val="21"/>
                <w:highlight w:val="none"/>
              </w:rPr>
              <w:t xml:space="preserve">2、对新移交的雨污水管线及河道设施数据进行融合及入库；</w:t>
            </w:r>
            <w:r>
              <w:rPr>
                <w:rFonts w:hint="eastAsia" w:ascii="宋体" w:hAnsi="宋体" w:cs="宋体"/>
                <w:szCs w:val="21"/>
                <w:highlight w:val="none"/>
              </w:rPr>
              <w:br w:type="textWrapping" w:clear="all"/>
            </w:r>
            <w:r>
              <w:rPr>
                <w:rFonts w:hint="eastAsia" w:ascii="宋体" w:hAnsi="宋体" w:cs="宋体"/>
                <w:szCs w:val="21"/>
                <w:highlight w:val="none"/>
              </w:rPr>
              <w:t xml:space="preserve">3、雨污水管线及河道及附属设施数据相关设施量统计、出图等相关服务。</w:t>
            </w:r>
            <w:r>
              <w:rPr>
                <w:rFonts w:hint="eastAsia" w:ascii="宋体" w:hAnsi="宋体" w:cs="宋体"/>
                <w:szCs w:val="21"/>
                <w:highlight w:val="none"/>
              </w:rPr>
            </w:r>
            <w:r/>
          </w:p>
        </w:tc>
      </w:tr>
    </w:tbl>
    <w:p>
      <w:pPr>
        <w:pStyle w:val="1043"/>
        <w:ind w:firstLine="422"/>
        <w:jc w:val="left"/>
        <w:spacing w:line="360" w:lineRule="auto"/>
        <w:rPr>
          <w:rFonts w:ascii="宋体" w:hAnsi="宋体" w:cs="宋体"/>
          <w:b/>
          <w:bCs/>
          <w:szCs w:val="21"/>
          <w:highlight w:val="none"/>
        </w:rPr>
      </w:pPr>
      <w:r>
        <w:rPr>
          <w:rFonts w:hint="eastAsia" w:ascii="宋体" w:hAnsi="宋体" w:cs="宋体"/>
          <w:b/>
          <w:bCs/>
          <w:szCs w:val="21"/>
          <w:highlight w:val="none"/>
          <w:lang w:bidi="en-US"/>
        </w:rPr>
        <w:t xml:space="preserve">1.4.2.</w:t>
      </w:r>
      <w:r>
        <w:rPr>
          <w:rFonts w:hint="eastAsia" w:ascii="宋体" w:hAnsi="宋体" w:cs="宋体"/>
          <w:b/>
          <w:bCs/>
          <w:szCs w:val="21"/>
          <w:highlight w:val="none"/>
        </w:rPr>
        <w:t xml:space="preserve">软件动态维护</w:t>
      </w:r>
      <w:r>
        <w:rPr>
          <w:rFonts w:ascii="宋体" w:hAnsi="宋体" w:cs="宋体"/>
          <w:b/>
          <w:bCs/>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en-US"/>
        </w:rPr>
        <w:t xml:space="preserve">1.</w:t>
      </w:r>
      <w:r>
        <w:rPr>
          <w:rFonts w:hint="eastAsia" w:ascii="宋体" w:hAnsi="宋体" w:cs="宋体"/>
          <w:szCs w:val="21"/>
          <w:highlight w:val="none"/>
          <w:lang w:bidi="zh-TW"/>
        </w:rPr>
        <w:t xml:space="preserve">基本运行保障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负责平台的日常维护工作，确保操作系统、数据库等基础软件稳定、安全、可靠运行，配合上级部门排查系统安全风险，及时安装补丁，修复系统漏洞。负责平台日常监控及巡检，及时发现并解决系统异常和故障。对平台进行性能分析和优化，提升系统运行效率，发布最新程序，满足平台基本日常运行。</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根据采购人实际工作需要，对现有鼓楼区智慧水务大数据管控平台部分功能优化调整，满足使用需求。对于采购人提出的功能调整需求应予以响应，如新增项目移交后需系统配套开发改造等情况（以采购人出具的联系单为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2.物联感知数据运维</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对平台各类物联感知设备数据进行定期巡检，检查数据传输是否正常、数据是否失真，对于异常数据，及时发现并排查原因后，第一时间反馈至采购人。涉及平台自身问题的，需要运维单位限时完成整改，涉及其他权属单位设备故障、接口变更等情况的，做好与权属单位及设备厂家的沟通协调。全程跟踪进展，做好异常数据及时隐藏，整改后及时恢复。</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（2）新增物联设备接入</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a.按照数据接入规范对需要移交入库的物联感知设备进行评估，确认是否具备接入条件，并提出整改建议。</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b.采购人出具工作联系单，明确设备接入类型、数量、完成时间等具体要求，运维单位需在规定时间内完成数据接入。并根据工作联系单具体要求</w:t>
      </w:r>
      <w:r>
        <w:rPr>
          <w:rFonts w:hint="eastAsia" w:ascii="宋体" w:hAnsi="宋体" w:cs="宋体"/>
          <w:szCs w:val="21"/>
          <w:highlight w:val="none"/>
          <w:lang w:bidi="zh-TW"/>
        </w:rPr>
        <w:t xml:space="preserve">做好设备巡检维护、维修更换等工作。</w:t>
      </w:r>
      <w:r>
        <w:rPr>
          <w:rFonts w:hint="eastAsia" w:ascii="宋体" w:hAnsi="宋体" w:cs="宋体"/>
          <w:szCs w:val="21"/>
          <w:highlight w:val="none"/>
        </w:rPr>
        <w:t xml:space="preserve">平台支持查看设备定位、属性、监测数据等基础信息并可视化展示。</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3</w:t>
      </w:r>
      <w:r>
        <w:rPr>
          <w:rFonts w:ascii="宋体" w:hAnsi="宋体" w:cs="宋体"/>
          <w:szCs w:val="21"/>
          <w:highlight w:val="none"/>
          <w:lang w:bidi="zh-TW"/>
        </w:rPr>
        <w:t xml:space="preserve">.</w:t>
      </w:r>
      <w:r>
        <w:rPr>
          <w:rFonts w:hint="eastAsia" w:ascii="宋体" w:hAnsi="宋体" w:cs="宋体"/>
          <w:szCs w:val="21"/>
          <w:highlight w:val="none"/>
          <w:lang w:bidi="zh-TW"/>
        </w:rPr>
        <w:t xml:space="preserve">功能优化更新</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根据采购人业务需求对现有系统进行功能优化，明确变更影响范围及风险点，做好优化设计、开发、测试，并经采购人审批后，部署在正式环境，上线后确保系统稳定运行。具体优化内容以采购人出具的联系单为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ascii="宋体" w:hAnsi="宋体" w:cs="宋体"/>
          <w:szCs w:val="21"/>
          <w:highlight w:val="none"/>
          <w:lang w:bidi="zh-TW"/>
        </w:rPr>
        <w:t xml:space="preserve">4</w:t>
      </w:r>
      <w:r>
        <w:rPr>
          <w:rFonts w:hint="eastAsia" w:ascii="宋体" w:hAnsi="宋体" w:cs="宋体"/>
          <w:szCs w:val="21"/>
          <w:highlight w:val="none"/>
          <w:lang w:bidi="zh-TW"/>
        </w:rPr>
        <w:t xml:space="preserve">.数据交换共享</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包括与市级智慧水务和区级一网统管等平台对接，提供接口对接和维护服务，并根据对接方具体工作需求，配合做好数据共享等工作。如接口内容出现变更，及时与相关人员进行沟通，保证接入数据正常传输。</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en-US"/>
        </w:rPr>
      </w:pPr>
      <w:r>
        <w:rPr>
          <w:rFonts w:ascii="宋体" w:hAnsi="宋体" w:cs="宋体"/>
          <w:szCs w:val="21"/>
          <w:highlight w:val="none"/>
          <w:lang w:bidi="en-US"/>
        </w:rPr>
        <w:t xml:space="preserve">5</w:t>
      </w:r>
      <w:r>
        <w:rPr>
          <w:rFonts w:hint="eastAsia" w:ascii="宋体" w:hAnsi="宋体" w:cs="宋体"/>
          <w:szCs w:val="21"/>
          <w:highlight w:val="none"/>
          <w:lang w:bidi="en-US"/>
        </w:rPr>
        <w:t xml:space="preserve">.账号管理</w:t>
      </w:r>
      <w:r>
        <w:rPr>
          <w:rFonts w:ascii="宋体" w:hAnsi="宋体" w:cs="宋体"/>
          <w:szCs w:val="21"/>
          <w:highlight w:val="none"/>
          <w:lang w:bidi="en-US"/>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负责平台账号权限分配，管理不同层级、业务科室和临时账号分配权限，包括账号新增、修改和删除等；负责账号密码安全管理，提醒用户更换密码，提高密码复杂度。负责系统日常活跃度跟踪记录，统计用户登录情况。</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ascii="宋体" w:hAnsi="宋体" w:cs="宋体"/>
          <w:szCs w:val="21"/>
          <w:highlight w:val="none"/>
          <w:lang w:bidi="zh-TW"/>
        </w:rPr>
        <w:t xml:space="preserve">6</w:t>
      </w:r>
      <w:r>
        <w:rPr>
          <w:rFonts w:hint="eastAsia" w:ascii="宋体" w:hAnsi="宋体" w:cs="宋体"/>
          <w:szCs w:val="21"/>
          <w:highlight w:val="none"/>
          <w:lang w:bidi="zh-TW"/>
        </w:rPr>
        <w:t xml:space="preserve">.系统使用培训</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根据实际需求，对使用的相关管理人员、巡查人员、养护人员进行系统使用培训。</w:t>
      </w:r>
      <w:r>
        <w:rPr>
          <w:rFonts w:ascii="宋体" w:hAnsi="宋体" w:cs="宋体"/>
          <w:szCs w:val="21"/>
          <w:highlight w:val="none"/>
          <w:lang w:bidi="zh-TW"/>
        </w:rPr>
      </w:r>
      <w:r/>
    </w:p>
    <w:p>
      <w:pPr>
        <w:pStyle w:val="1043"/>
        <w:ind w:firstLine="422"/>
        <w:jc w:val="left"/>
        <w:spacing w:line="360" w:lineRule="auto"/>
        <w:rPr>
          <w:rFonts w:ascii="宋体" w:hAnsi="宋体" w:cs="宋体"/>
          <w:b/>
          <w:bCs/>
          <w:szCs w:val="21"/>
          <w:highlight w:val="none"/>
        </w:rPr>
      </w:pPr>
      <w:r>
        <w:rPr>
          <w:rFonts w:hint="eastAsia" w:ascii="宋体" w:hAnsi="宋体" w:cs="宋体"/>
          <w:b/>
          <w:bCs/>
          <w:szCs w:val="21"/>
          <w:highlight w:val="none"/>
          <w:lang w:bidi="en-US"/>
        </w:rPr>
        <w:t xml:space="preserve">1.4.3.</w:t>
      </w:r>
      <w:r>
        <w:rPr>
          <w:rFonts w:hint="eastAsia" w:ascii="宋体" w:hAnsi="宋体" w:cs="宋体"/>
          <w:b/>
          <w:bCs/>
          <w:szCs w:val="21"/>
          <w:highlight w:val="none"/>
        </w:rPr>
        <w:t xml:space="preserve">硬件设施巡查维护</w:t>
      </w:r>
      <w:r>
        <w:rPr>
          <w:rFonts w:ascii="宋体" w:hAnsi="宋体" w:cs="宋体"/>
          <w:b/>
          <w:bCs/>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lang w:bidi="zh-TW"/>
        </w:rPr>
        <w:t xml:space="preserve">维护内容为鼓楼水务大数据管控平台中接入的所有自建及移交后纳入运维管理的各类设备，包含一期二期项目建设中购买的液位计、视频监控、雨量传感器、水浸传感器、监控设备箱、中心控制设备、线路、船载执法仪、自动化控制设备、车载视频设备等，以及移交接入的水质监测设备、视频监控设备、自动化控制设备等。</w:t>
      </w:r>
      <w:r>
        <w:rPr>
          <w:rFonts w:hint="eastAsia" w:ascii="宋体" w:hAnsi="宋体" w:cs="宋体"/>
          <w:szCs w:val="21"/>
          <w:highlight w:val="none"/>
        </w:rPr>
        <w:t xml:space="preserve">相关设备明细以硬件设施巡查运维清单为准。</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1、日常巡查运维要求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硬件设施巡查运维要求主要包括巡查、清洗、校准、维修、更换和报废，详见运维清单。</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a.巡查：检查设备外观是否有损坏或异常情况；检查设备各连接部件的完好性，确保没有松动或脱落；检查设备电路和网络是否正常运行。</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b.清洗：对视频设备镜头、各类感知设备传感器进行定期、有效的清洗，以除去污垢、腐蚀产物及其衍生物等，提高设备监测准确度并延长其使用寿命。</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c.校准：为保证设备采集的数据准确无误，需对设备进行校准。不同设备的校准方法应充分考虑其工作环境、测量范围和测量精度等因素。</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d.维修：设备发生故障时，在规定时间内安排维修人员排查故障点并进行维修，记录故障维修过程。</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e.更换:</w:t>
      </w:r>
      <w:r>
        <w:rPr>
          <w:rFonts w:hint="eastAsia" w:ascii="宋体" w:hAnsi="宋体" w:cs="宋体"/>
          <w:szCs w:val="21"/>
          <w:highlight w:val="none"/>
          <w:lang w:bidi="zh-TW"/>
        </w:rPr>
        <w:t xml:space="preserve"> </w:t>
      </w:r>
      <w:r>
        <w:rPr>
          <w:rFonts w:hint="eastAsia" w:ascii="宋体" w:hAnsi="宋体" w:cs="宋体"/>
          <w:szCs w:val="21"/>
          <w:highlight w:val="none"/>
        </w:rPr>
        <w:t xml:space="preserve">设备达到使用年限或损坏严重时，经采购人、监理评估后，根据采购人具体业务需求和指令，按照规范流程进行设备更换（以采购人出具的工作联系单为准，设备更换费用在维修经费中列支）。</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f.报废：设备达到使用年限或损坏严重时，经采购人、监理评估后，根据采购人具体业务需求和指令，按照规范流程进行设备报废（以采购人出具的工作联系单为准）。</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2、专项巡查运维要求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在运维期间，对采购人下发的专项保障任务应予以响应（以采购人出具的工作联系单为准）。</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3、硬件设施巡查运维清单</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在项目运维进程期间，若遭遇费用过高之情形（维修或者更换单品费用超该设备采购建设费用时），应由采购人另行裁定解决方案，且此情形不被纳入运维经费范畴之中。</w:t>
      </w:r>
      <w:r>
        <w:rPr>
          <w:rFonts w:ascii="宋体" w:hAnsi="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85"/>
        <w:gridCol w:w="1531"/>
        <w:gridCol w:w="1046"/>
        <w:gridCol w:w="6692"/>
      </w:tblGrid>
      <w:tr>
        <w:trPr>
          <w:trHeight w:val="630"/>
        </w:trPr>
        <w:tc>
          <w:tcPr>
            <w:shd w:val="clear" w:color="000000" w:fill="ffffff"/>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序 号</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设备名称</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运维数量</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202</w:t>
            </w:r>
            <w:r>
              <w:rPr>
                <w:rFonts w:ascii="宋体" w:hAnsi="宋体" w:cs="宋体"/>
                <w:b/>
                <w:bCs/>
                <w:szCs w:val="21"/>
                <w:highlight w:val="none"/>
              </w:rPr>
              <w:t xml:space="preserve">6</w:t>
            </w:r>
            <w:r>
              <w:rPr>
                <w:rFonts w:hint="eastAsia" w:ascii="宋体" w:hAnsi="宋体" w:cs="宋体"/>
                <w:b/>
                <w:bCs/>
                <w:szCs w:val="21"/>
                <w:highlight w:val="none"/>
              </w:rPr>
              <w:t xml:space="preserve">年运维要求</w:t>
            </w:r>
            <w:r>
              <w:rPr>
                <w:rFonts w:ascii="宋体" w:hAnsi="宋体" w:cs="宋体"/>
                <w:b/>
                <w:bCs/>
                <w:szCs w:val="21"/>
                <w:highlight w:val="none"/>
              </w:rPr>
            </w:r>
            <w:r/>
          </w:p>
        </w:tc>
      </w:tr>
      <w:tr>
        <w:trPr>
          <w:trHeight w:val="306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液位计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ascii="宋体" w:hAnsi="宋体" w:cs="宋体"/>
                <w:szCs w:val="21"/>
                <w:highlight w:val="none"/>
              </w:rPr>
              <w:t xml:space="preserve">63</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5、校准</w:t>
            </w:r>
            <w:r>
              <w:rPr>
                <w:rFonts w:hint="eastAsia" w:ascii="宋体" w:hAnsi="宋体" w:cs="宋体"/>
                <w:szCs w:val="21"/>
                <w:highlight w:val="none"/>
              </w:rPr>
              <w:t xml:space="preserve">：分为定期校准和临时校准，定期校准半年1次，临时校准根据设备异常情况或采购人要求进行。</w:t>
            </w:r>
            <w:r>
              <w:rPr>
                <w:rFonts w:ascii="宋体" w:hAnsi="宋体" w:cs="宋体"/>
                <w:szCs w:val="21"/>
                <w:highlight w:val="none"/>
              </w:rPr>
            </w:r>
            <w:r/>
          </w:p>
        </w:tc>
      </w:tr>
      <w:tr>
        <w:trPr>
          <w:trHeight w:val="306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水质监测设备（含流量）</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3</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5.校准：</w:t>
            </w:r>
            <w:r>
              <w:rPr>
                <w:rFonts w:hint="eastAsia" w:ascii="宋体" w:hAnsi="宋体" w:cs="宋体"/>
                <w:szCs w:val="21"/>
                <w:highlight w:val="none"/>
              </w:rPr>
              <w:t xml:space="preserve">分为定期校准和临时校准，定期校准半年1次，临时校准根据设备异常情况或采购人要求进行。</w:t>
            </w:r>
            <w:r>
              <w:rPr>
                <w:rFonts w:ascii="宋体" w:hAnsi="宋体" w:cs="宋体"/>
                <w:szCs w:val="21"/>
                <w:highlight w:val="none"/>
              </w:rPr>
            </w:r>
            <w:r/>
          </w:p>
        </w:tc>
      </w:tr>
      <w:tr>
        <w:trPr>
          <w:trHeight w:val="255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视频监控（户外）</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t xml:space="preserve">2</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ascii="宋体" w:hAnsi="宋体" w:cs="宋体"/>
                <w:szCs w:val="21"/>
                <w:highlight w:val="none"/>
              </w:rPr>
            </w:r>
            <w:r/>
          </w:p>
        </w:tc>
      </w:tr>
      <w:tr>
        <w:trPr>
          <w:trHeight w:val="2376"/>
        </w:trPr>
        <w:tc>
          <w:tcPr>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视频监控（暗涵）</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分为常规巡查和临时巡查，常规巡查按甲方要求巡检，临时巡查根据设备异常情况或采购人要求进行。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szCs w:val="21"/>
                <w:highlight w:val="none"/>
              </w:rPr>
              <w:t xml:space="preserve">（注：对于暗涵设备的巡检、维修、清洗等工作需业主协调保障暗涵水位低于60cm才可以进行。）</w:t>
            </w:r>
            <w:r>
              <w:rPr>
                <w:rFonts w:ascii="宋体" w:hAnsi="宋体" w:cs="宋体"/>
                <w:szCs w:val="21"/>
                <w:highlight w:val="none"/>
              </w:rPr>
            </w:r>
            <w:r/>
          </w:p>
        </w:tc>
      </w:tr>
      <w:tr>
        <w:trPr>
          <w:trHeight w:val="306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雨量传感器</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5.校准</w:t>
            </w:r>
            <w:r>
              <w:rPr>
                <w:rFonts w:hint="eastAsia" w:ascii="宋体" w:hAnsi="宋体" w:cs="宋体"/>
                <w:szCs w:val="21"/>
                <w:highlight w:val="none"/>
              </w:rPr>
              <w:t xml:space="preserve">：分为定期校准和临时校准，定期校准半年1次，临时校准根据设备异常情况或采购人要求进行。</w:t>
            </w:r>
            <w:r>
              <w:rPr>
                <w:rFonts w:ascii="宋体" w:hAnsi="宋体" w:cs="宋体"/>
                <w:szCs w:val="21"/>
                <w:highlight w:val="none"/>
              </w:rPr>
            </w:r>
            <w:r/>
          </w:p>
        </w:tc>
      </w:tr>
      <w:tr>
        <w:trPr>
          <w:trHeight w:val="1031"/>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水浸传感器</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ascii="宋体" w:hAnsi="宋体" w:cs="宋体"/>
                <w:szCs w:val="21"/>
                <w:highlight w:val="none"/>
              </w:rPr>
              <w:t xml:space="preserve">64</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5.校准：</w:t>
            </w:r>
            <w:r>
              <w:rPr>
                <w:rFonts w:hint="eastAsia" w:ascii="宋体" w:hAnsi="宋体" w:cs="宋体"/>
                <w:szCs w:val="21"/>
                <w:highlight w:val="none"/>
              </w:rPr>
              <w:t xml:space="preserve">分为定期校准和临时校准，定期校准半年1次，临时校准根据设备异常情况或采购人要求进行。</w:t>
            </w:r>
            <w:r>
              <w:rPr>
                <w:rFonts w:ascii="宋体" w:hAnsi="宋体" w:cs="宋体"/>
                <w:szCs w:val="21"/>
                <w:highlight w:val="none"/>
              </w:rPr>
            </w:r>
            <w:r/>
          </w:p>
        </w:tc>
      </w:tr>
      <w:tr>
        <w:trPr>
          <w:trHeight w:val="306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监控设备箱</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33</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szCs w:val="21"/>
                <w:highlight w:val="none"/>
              </w:rPr>
              <w:t xml:space="preserve">（注：对于暗涵设备的巡检、维修、清洗等工作需业主协调保障暗涵水位低于60cm才可以进行。）</w:t>
            </w:r>
            <w:r>
              <w:rPr>
                <w:rFonts w:ascii="宋体" w:hAnsi="宋体" w:cs="宋体"/>
                <w:szCs w:val="21"/>
                <w:highlight w:val="none"/>
              </w:rPr>
            </w:r>
            <w:r/>
          </w:p>
        </w:tc>
      </w:tr>
      <w:tr>
        <w:trPr>
          <w:trHeight w:val="464"/>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中心控制设备（光纤收发器机架，光纤收发器，pdu电源，路由器，网络交换机等）</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处</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w:t>
            </w:r>
            <w:r>
              <w:rPr>
                <w:rFonts w:hint="eastAsia" w:ascii="宋体" w:hAnsi="宋体" w:cs="宋体"/>
                <w:b w:val="0"/>
                <w:bCs w:val="0"/>
                <w:szCs w:val="21"/>
                <w:highlight w:val="none"/>
              </w:rPr>
              <w:t xml:space="preserve">半年1次</w:t>
            </w:r>
            <w:r>
              <w:rPr>
                <w:rFonts w:hint="eastAsia" w:ascii="宋体" w:hAnsi="宋体" w:cs="宋体"/>
                <w:szCs w:val="21"/>
                <w:highlight w:val="none"/>
              </w:rPr>
              <w:t xml:space="preserve">，临时清洗根据设备异常情况或采购人要求进行。</w:t>
            </w:r>
            <w:r>
              <w:rPr>
                <w:rFonts w:ascii="宋体" w:hAnsi="宋体" w:cs="宋体"/>
                <w:szCs w:val="21"/>
                <w:highlight w:val="none"/>
              </w:rPr>
            </w:r>
            <w:r/>
          </w:p>
        </w:tc>
      </w:tr>
      <w:tr>
        <w:trPr>
          <w:trHeight w:val="817"/>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电缆光纤线路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ascii="宋体" w:hAnsi="宋体" w:cs="宋体"/>
                <w:szCs w:val="21"/>
                <w:highlight w:val="none"/>
              </w:rPr>
              <w:t xml:space="preserve">15.554</w:t>
            </w:r>
            <w:r>
              <w:rPr>
                <w:rFonts w:hint="eastAsia" w:ascii="宋体" w:hAnsi="宋体" w:cs="宋体"/>
                <w:szCs w:val="21"/>
                <w:highlight w:val="none"/>
              </w:rPr>
              <w:t xml:space="preserve">千米</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szCs w:val="21"/>
                <w:highlight w:val="none"/>
              </w:rPr>
              <w:t xml:space="preserve">（注：电缆、光纤）</w:t>
            </w:r>
            <w:r>
              <w:rPr>
                <w:rFonts w:ascii="宋体" w:hAnsi="宋体" w:cs="宋体"/>
                <w:szCs w:val="21"/>
                <w:highlight w:val="none"/>
              </w:rPr>
            </w:r>
            <w:r/>
          </w:p>
        </w:tc>
      </w:tr>
      <w:tr>
        <w:trPr>
          <w:trHeight w:val="2683"/>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截流井、蝶阀、闸门、引补水自动化控制设备</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9</w:t>
            </w:r>
            <w:r>
              <w:rPr>
                <w:rFonts w:hint="eastAsia" w:ascii="宋体" w:hAnsi="宋体" w:cs="宋体"/>
                <w:szCs w:val="21"/>
                <w:highlight w:val="none"/>
              </w:rPr>
              <w:t xml:space="preserve">处</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szCs w:val="21"/>
                <w:highlight w:val="none"/>
              </w:rPr>
              <w:t xml:space="preserve">（注：非鼓楼一二期项目建设的电路、网络线路，需采购人协调截流井养护单位恢复。）</w:t>
            </w:r>
            <w:r>
              <w:rPr>
                <w:rFonts w:ascii="宋体" w:hAnsi="宋体" w:cs="宋体"/>
                <w:szCs w:val="21"/>
                <w:highlight w:val="none"/>
              </w:rPr>
            </w:r>
            <w:r/>
          </w:p>
        </w:tc>
      </w:tr>
      <w:tr>
        <w:trPr>
          <w:trHeight w:val="264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曝气自动化控制设备</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6处</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szCs w:val="21"/>
                <w:highlight w:val="none"/>
              </w:rPr>
              <w:t xml:space="preserve">（注：非鼓楼一二期项目建设的电路、网络线路，需采购人协调截流井养护单位恢复）。</w:t>
            </w:r>
            <w:r>
              <w:rPr>
                <w:rFonts w:ascii="宋体" w:hAnsi="宋体" w:cs="宋体"/>
                <w:szCs w:val="21"/>
                <w:highlight w:val="none"/>
              </w:rPr>
            </w:r>
            <w:r/>
          </w:p>
        </w:tc>
      </w:tr>
      <w:tr>
        <w:trPr>
          <w:trHeight w:val="1530"/>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GPS定位胸牌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0</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2.维修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ascii="宋体" w:hAnsi="宋体" w:cs="宋体"/>
                <w:szCs w:val="21"/>
                <w:highlight w:val="none"/>
              </w:rPr>
            </w:r>
            <w:r/>
          </w:p>
        </w:tc>
      </w:tr>
      <w:tr>
        <w:trPr>
          <w:trHeight w:val="1597"/>
        </w:trPr>
        <w:tc>
          <w:tcPr>
            <w:shd w:val="clear" w:color="000000" w:fill="ffffff"/>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中心中控室</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1项</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中控室主要运维对象包括大屏、电脑、机柜、电缆等。</w:t>
            </w:r>
            <w:r>
              <w:rPr>
                <w:rFonts w:hint="eastAsia" w:ascii="宋体" w:hAnsi="宋体" w:cs="宋体"/>
                <w:szCs w:val="21"/>
                <w:highlight w:val="none"/>
              </w:rPr>
              <w:br w:type="textWrapping" w:clear="all"/>
            </w: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ascii="宋体" w:hAnsi="宋体" w:cs="宋体"/>
                <w:szCs w:val="21"/>
                <w:highlight w:val="none"/>
              </w:rPr>
            </w:r>
            <w:r/>
          </w:p>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4.保障</w:t>
            </w:r>
            <w:r>
              <w:rPr>
                <w:rFonts w:hint="eastAsia" w:ascii="宋体" w:hAnsi="宋体" w:cs="宋体"/>
                <w:szCs w:val="21"/>
                <w:highlight w:val="none"/>
              </w:rPr>
              <w:t xml:space="preserve">：保障市水务局</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街道</w:t>
            </w:r>
            <w:r>
              <w:rPr>
                <w:rFonts w:hint="eastAsia" w:ascii="宋体" w:hAnsi="宋体" w:cs="宋体"/>
                <w:szCs w:val="21"/>
                <w:highlight w:val="none"/>
              </w:rPr>
              <w:t xml:space="preserve">视频会商系统对接，并根据市防办要求进行部分线路改造（以采购人出具的工作联系单为准）。</w:t>
            </w:r>
            <w:r>
              <w:rPr>
                <w:rFonts w:ascii="宋体" w:hAnsi="宋体" w:cs="宋体"/>
                <w:szCs w:val="21"/>
                <w:highlight w:val="none"/>
              </w:rPr>
            </w:r>
            <w:r/>
          </w:p>
        </w:tc>
      </w:tr>
      <w:tr>
        <w:trPr>
          <w:trHeight w:val="959"/>
        </w:trPr>
        <w:tc>
          <w:tcPr>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w:t>
            </w:r>
            <w:r>
              <w:rPr>
                <w:rFonts w:hint="eastAsia"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hint="eastAsia" w:ascii="宋体" w:hAnsi="宋体" w:cs="宋体"/>
                <w:szCs w:val="21"/>
                <w:highlight w:val="none"/>
              </w:rPr>
            </w:pPr>
            <w:r>
              <w:rPr>
                <w:rFonts w:hint="eastAsia" w:ascii="宋体" w:hAnsi="宋体" w:cs="宋体"/>
                <w:szCs w:val="21"/>
                <w:highlight w:val="none"/>
              </w:rPr>
              <w:t xml:space="preserve">养护车载视频设备</w:t>
            </w: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6台</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b/>
                <w:bCs/>
                <w:szCs w:val="21"/>
                <w:highlight w:val="none"/>
              </w:rPr>
            </w:r>
            <w:r/>
          </w:p>
        </w:tc>
      </w:tr>
      <w:tr>
        <w:trPr>
          <w:trHeight w:val="959"/>
        </w:trPr>
        <w:tc>
          <w:tcPr>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电子水尺</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szCs w:val="21"/>
                <w:highlight w:val="none"/>
              </w:rPr>
              <w:br w:type="textWrapping" w:clear="all"/>
            </w:r>
            <w:r>
              <w:rPr>
                <w:rFonts w:hint="eastAsia" w:ascii="宋体" w:hAnsi="宋体" w:cs="宋体"/>
                <w:b/>
                <w:bCs/>
                <w:szCs w:val="21"/>
                <w:highlight w:val="none"/>
              </w:rPr>
              <w:t xml:space="preserve">4、清洗：</w:t>
            </w:r>
            <w:r>
              <w:rPr>
                <w:rFonts w:hint="eastAsia" w:ascii="宋体" w:hAnsi="宋体" w:cs="宋体"/>
                <w:szCs w:val="21"/>
                <w:highlight w:val="none"/>
              </w:rPr>
              <w:t xml:space="preserve">分为定期清洗和临时清洗，定期清洗半年1次，临时清洗根据设备异常情况或采购人要求进行。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5、校准</w:t>
            </w:r>
            <w:r>
              <w:rPr>
                <w:rFonts w:hint="eastAsia" w:ascii="宋体" w:hAnsi="宋体" w:cs="宋体"/>
                <w:szCs w:val="21"/>
                <w:highlight w:val="none"/>
              </w:rPr>
              <w:t xml:space="preserve">：分为定期校准和临时校准，定期校准半年1次，临时校准根据设备异常情况或采购人要求进行。</w:t>
            </w:r>
            <w:r>
              <w:rPr>
                <w:rFonts w:ascii="宋体" w:hAnsi="宋体" w:cs="宋体"/>
                <w:szCs w:val="21"/>
                <w:highlight w:val="none"/>
              </w:rPr>
            </w:r>
            <w:r/>
          </w:p>
        </w:tc>
      </w:tr>
      <w:tr>
        <w:trPr>
          <w:trHeight w:val="841"/>
        </w:trPr>
        <w:tc>
          <w:tcPr>
            <w:tcBorders>
              <w:top w:val="non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6</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防汛车载设备</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szCs w:val="21"/>
                <w:highlight w:val="none"/>
              </w:rPr>
              <w:t xml:space="preserve">9个</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ascii="宋体" w:hAnsi="宋体" w:cs="宋体"/>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ascii="宋体" w:hAnsi="宋体" w:cs="宋体"/>
                <w:szCs w:val="21"/>
                <w:highlight w:val="none"/>
              </w:rPr>
            </w:r>
            <w:r/>
          </w:p>
        </w:tc>
      </w:tr>
      <w:tr>
        <w:trPr>
          <w:trHeight w:val="2135"/>
        </w:trPr>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1043"/>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7</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43"/>
              <w:jc w:val="left"/>
              <w:spacing w:line="360" w:lineRule="auto"/>
              <w:rPr>
                <w:rFonts w:hint="eastAsia" w:ascii="宋体" w:hAnsi="宋体" w:cs="宋体"/>
                <w:szCs w:val="21"/>
                <w:highlight w:val="none"/>
              </w:rPr>
            </w:pPr>
            <w:r>
              <w:rPr>
                <w:rFonts w:hint="eastAsia" w:ascii="宋体" w:hAnsi="宋体" w:cs="宋体"/>
                <w:szCs w:val="21"/>
                <w:highlight w:val="none"/>
              </w:rPr>
              <w:t xml:space="preserve">电子大屏</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43"/>
              <w:jc w:val="left"/>
              <w:spacing w:line="360" w:lineRule="auto"/>
              <w:rPr>
                <w:rFonts w:hint="eastAsia" w:ascii="宋体" w:hAnsi="宋体" w:cs="宋体"/>
                <w:szCs w:val="21"/>
                <w:highlight w:val="none"/>
              </w:rPr>
            </w:pPr>
            <w:r>
              <w:rPr>
                <w:rFonts w:hint="eastAsia" w:ascii="宋体" w:hAnsi="宋体" w:cs="宋体"/>
                <w:szCs w:val="21"/>
                <w:highlight w:val="none"/>
              </w:rPr>
              <w:t xml:space="preserve">2块</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43"/>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1.巡查</w:t>
            </w:r>
            <w:r>
              <w:rPr>
                <w:rFonts w:hint="eastAsia" w:ascii="宋体" w:hAnsi="宋体" w:cs="宋体"/>
                <w:szCs w:val="21"/>
                <w:highlight w:val="none"/>
              </w:rPr>
              <w:t xml:space="preserve">：分为常规巡查和临时巡查，常规巡查每季度1次，临时巡查根据设备异常情况或采购人要求进行。</w:t>
            </w:r>
            <w:r>
              <w:rPr>
                <w:rFonts w:hint="eastAsia" w:ascii="宋体" w:hAnsi="宋体" w:cs="宋体"/>
                <w:szCs w:val="21"/>
                <w:highlight w:val="none"/>
              </w:rPr>
              <w:br w:type="textWrapping" w:clear="all"/>
            </w:r>
            <w:r>
              <w:rPr>
                <w:rFonts w:hint="eastAsia" w:ascii="宋体" w:hAnsi="宋体" w:cs="宋体"/>
                <w:b/>
                <w:bCs/>
                <w:szCs w:val="21"/>
                <w:highlight w:val="none"/>
              </w:rPr>
              <w:t xml:space="preserve">2.响应</w:t>
            </w:r>
            <w:r>
              <w:rPr>
                <w:rFonts w:hint="eastAsia" w:ascii="宋体" w:hAnsi="宋体" w:cs="宋体"/>
                <w:szCs w:val="21"/>
                <w:highlight w:val="none"/>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r>
            <w:r>
              <w:rPr>
                <w:rFonts w:hint="eastAsia" w:ascii="宋体" w:hAnsi="宋体" w:cs="宋体"/>
                <w:szCs w:val="21"/>
                <w:highlight w:val="none"/>
              </w:rPr>
              <w:br w:type="textWrapping" w:clear="all"/>
            </w:r>
            <w:r>
              <w:rPr>
                <w:rFonts w:hint="eastAsia" w:ascii="宋体" w:hAnsi="宋体" w:cs="宋体"/>
                <w:b/>
                <w:bCs/>
                <w:szCs w:val="21"/>
                <w:highlight w:val="none"/>
              </w:rPr>
              <w:t xml:space="preserve">3.维修</w:t>
            </w:r>
            <w:r>
              <w:rPr>
                <w:rFonts w:hint="eastAsia" w:ascii="宋体" w:hAnsi="宋体" w:cs="宋体"/>
                <w:szCs w:val="21"/>
                <w:highlight w:val="none"/>
              </w:rPr>
              <w:t xml:space="preserve">：判断设备问题后需维修解决的，在采购人要求时间内完成设备维修（设备更换费用在维修经费中列支）。</w:t>
            </w:r>
            <w:r>
              <w:rPr>
                <w:rFonts w:hint="eastAsia" w:ascii="宋体" w:hAnsi="宋体" w:cs="宋体"/>
                <w:b/>
                <w:bCs/>
                <w:szCs w:val="21"/>
                <w:highlight w:val="none"/>
              </w:rPr>
            </w:r>
            <w:r/>
          </w:p>
        </w:tc>
      </w:tr>
    </w:tbl>
    <w:p>
      <w:pPr>
        <w:pStyle w:val="1043"/>
        <w:ind w:firstLine="422"/>
        <w:jc w:val="left"/>
        <w:spacing w:line="360" w:lineRule="auto"/>
        <w:rPr>
          <w:rFonts w:ascii="宋体" w:hAnsi="宋体" w:cs="宋体"/>
          <w:b/>
          <w:bCs/>
          <w:szCs w:val="21"/>
          <w:highlight w:val="none"/>
        </w:rPr>
      </w:pPr>
      <w:r>
        <w:rPr>
          <w:rFonts w:hint="eastAsia" w:ascii="宋体" w:hAnsi="宋体" w:cs="宋体"/>
          <w:b/>
          <w:bCs/>
          <w:szCs w:val="21"/>
          <w:highlight w:val="none"/>
          <w:lang w:bidi="en-US"/>
        </w:rPr>
        <w:t xml:space="preserve">1.4.4.</w:t>
      </w:r>
      <w:r>
        <w:rPr>
          <w:rFonts w:hint="eastAsia" w:ascii="宋体" w:hAnsi="宋体" w:cs="宋体"/>
          <w:b/>
          <w:bCs/>
          <w:szCs w:val="21"/>
          <w:highlight w:val="none"/>
        </w:rPr>
        <w:t xml:space="preserve">平台网络及安全维护</w:t>
      </w:r>
      <w:r>
        <w:rPr>
          <w:rFonts w:ascii="宋体" w:hAnsi="宋体" w:cs="宋体"/>
          <w:b/>
          <w:bCs/>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1.网络及流量运维</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网络及流量运维包括主机宽带、视频平台、物联网流量卡、液位仪数据卡流量等。需要及时充值以保障鼓楼平台各监测设备的正常运行。</w:t>
      </w:r>
      <w:r>
        <w:rPr>
          <w:rFonts w:ascii="宋体" w:hAnsi="宋体" w:cs="宋体"/>
          <w:szCs w:val="21"/>
          <w:highlight w:val="none"/>
          <w:lang w:bidi="zh-TW"/>
        </w:rPr>
      </w:r>
      <w:r/>
    </w:p>
    <w:tbl>
      <w:tblPr>
        <w:tblW w:w="49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409"/>
        <w:gridCol w:w="1096"/>
        <w:gridCol w:w="5577"/>
      </w:tblGrid>
      <w:tr>
        <w:trPr>
          <w:trHeight w:val="288"/>
        </w:trPr>
        <w:tc>
          <w:tcPr>
            <w:shd w:val="clear" w:color="auto" w:fill="ffffff"/>
            <w:tcW w:w="383" w:type="dxa"/>
            <w:vAlign w:val="center"/>
            <w:textDirection w:val="lrTb"/>
            <w:noWrap w:val="false"/>
          </w:tcPr>
          <w:p>
            <w:pPr>
              <w:pStyle w:val="1043"/>
              <w:jc w:val="center"/>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序号</w:t>
            </w:r>
            <w:r>
              <w:rPr>
                <w:rFonts w:ascii="宋体" w:hAnsi="宋体" w:cs="宋体"/>
                <w:b w:val="0"/>
                <w:bCs w:val="0"/>
                <w:szCs w:val="21"/>
                <w:highlight w:val="none"/>
              </w:rPr>
            </w:r>
            <w:r/>
          </w:p>
        </w:tc>
        <w:tc>
          <w:tcPr>
            <w:shd w:val="clear" w:color="auto" w:fill="ffffff"/>
            <w:tcW w:w="1224" w:type="dxa"/>
            <w:vAlign w:val="center"/>
            <w:textDirection w:val="lrTb"/>
            <w:noWrap w:val="false"/>
          </w:tcPr>
          <w:p>
            <w:pPr>
              <w:pStyle w:val="1043"/>
              <w:ind w:firstLine="422"/>
              <w:jc w:val="center"/>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项目名称</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数量</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ind w:firstLine="422"/>
              <w:jc w:val="center"/>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备注</w:t>
            </w:r>
            <w:r>
              <w:rPr>
                <w:rFonts w:ascii="宋体" w:hAnsi="宋体" w:cs="宋体"/>
                <w:b w:val="0"/>
                <w:bCs w:val="0"/>
                <w:szCs w:val="21"/>
                <w:highlight w:val="none"/>
              </w:rPr>
            </w:r>
            <w:r/>
          </w:p>
        </w:tc>
      </w:tr>
      <w:tr>
        <w:trPr>
          <w:cantSplit/>
          <w:trHeight w:val="288"/>
        </w:trPr>
        <w:tc>
          <w:tcPr>
            <w:shd w:val="clear" w:color="auto" w:fill="ffffff"/>
            <w:tcW w:w="383" w:type="dxa"/>
            <w:vAlign w:val="center"/>
            <w:vMerge w:val="restart"/>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w:t>
            </w:r>
            <w:r>
              <w:rPr>
                <w:rFonts w:ascii="宋体" w:hAnsi="宋体" w:cs="宋体"/>
                <w:b w:val="0"/>
                <w:bCs w:val="0"/>
                <w:szCs w:val="21"/>
                <w:highlight w:val="none"/>
              </w:rPr>
            </w:r>
            <w:r/>
          </w:p>
        </w:tc>
        <w:tc>
          <w:tcPr>
            <w:shd w:val="clear" w:color="auto" w:fill="ffffff"/>
            <w:tcW w:w="1224" w:type="dxa"/>
            <w:vAlign w:val="center"/>
            <w:vMerge w:val="restart"/>
            <w:textDirection w:val="lrTb"/>
            <w:noWrap w:val="false"/>
          </w:tcPr>
          <w:p>
            <w:pPr>
              <w:pStyle w:val="1043"/>
              <w:ind w:firstLine="420"/>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监控视频网络宽带</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中保河、龙江河、中支、二仙沟、大庙沟、东瓜圃桥桥下、安乐村桥下、铁路北街166号、和会街、南十里长沟主流、龙源中路宽带。</w:t>
            </w:r>
            <w:r>
              <w:rPr>
                <w:rFonts w:ascii="宋体" w:hAnsi="宋体" w:cs="宋体"/>
                <w:b w:val="0"/>
                <w:bCs w:val="0"/>
                <w:szCs w:val="21"/>
                <w:highlight w:val="none"/>
              </w:rPr>
            </w:r>
            <w:r/>
          </w:p>
        </w:tc>
      </w:tr>
      <w:tr>
        <w:trPr>
          <w:cantSplit/>
          <w:trHeight w:val="288"/>
        </w:trPr>
        <w:tc>
          <w:tcPr>
            <w:shd w:val="clear" w:color="auto" w:fill="ffffff"/>
            <w:tcW w:w="383" w:type="dxa"/>
            <w:vAlign w:val="center"/>
            <w:vMerge w:val="continue"/>
            <w:textDirection w:val="lrTb"/>
            <w:noWrap w:val="false"/>
          </w:tcPr>
          <w:p>
            <w:pPr>
              <w:pStyle w:val="1043"/>
              <w:ind w:firstLine="420"/>
              <w:jc w:val="left"/>
              <w:spacing w:line="360" w:lineRule="auto"/>
              <w:rPr>
                <w:rFonts w:ascii="宋体" w:hAnsi="宋体" w:cs="宋体"/>
                <w:b w:val="0"/>
                <w:bCs w:val="0"/>
                <w:szCs w:val="21"/>
                <w:highlight w:val="none"/>
              </w:rPr>
            </w:pPr>
            <w:r>
              <w:rPr>
                <w:rFonts w:ascii="宋体" w:hAnsi="宋体" w:cs="宋体"/>
                <w:b w:val="0"/>
                <w:bCs w:val="0"/>
                <w:szCs w:val="21"/>
                <w:highlight w:val="none"/>
              </w:rPr>
            </w:r>
            <w:r/>
          </w:p>
        </w:tc>
        <w:tc>
          <w:tcPr>
            <w:shd w:val="clear" w:color="auto" w:fill="ffffff"/>
            <w:tcW w:w="1224" w:type="dxa"/>
            <w:vAlign w:val="center"/>
            <w:vMerge w:val="continue"/>
            <w:textDirection w:val="lrTb"/>
            <w:noWrap w:val="false"/>
          </w:tcPr>
          <w:p>
            <w:pPr>
              <w:pStyle w:val="1043"/>
              <w:ind w:firstLine="420"/>
              <w:jc w:val="left"/>
              <w:spacing w:line="360" w:lineRule="auto"/>
              <w:rPr>
                <w:rFonts w:ascii="宋体" w:hAnsi="宋体" w:cs="宋体"/>
                <w:b w:val="0"/>
                <w:bCs w:val="0"/>
                <w:szCs w:val="21"/>
                <w:highlight w:val="none"/>
              </w:rPr>
            </w:pP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专线网络：5处，零星摄像头：5处</w:t>
            </w:r>
            <w:r>
              <w:rPr>
                <w:rFonts w:ascii="宋体" w:hAnsi="宋体" w:cs="宋体"/>
                <w:b w:val="0"/>
                <w:bCs w:val="0"/>
                <w:szCs w:val="21"/>
                <w:highlight w:val="none"/>
              </w:rPr>
            </w:r>
            <w:r/>
          </w:p>
        </w:tc>
      </w:tr>
      <w:tr>
        <w:trPr>
          <w:trHeight w:val="288"/>
        </w:trPr>
        <w:tc>
          <w:tcPr>
            <w:shd w:val="clear" w:color="auto" w:fill="ffffff"/>
            <w:tcW w:w="383"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2</w:t>
            </w:r>
            <w:r>
              <w:rPr>
                <w:rFonts w:ascii="宋体" w:hAnsi="宋体" w:cs="宋体"/>
                <w:b w:val="0"/>
                <w:bCs w:val="0"/>
                <w:szCs w:val="21"/>
                <w:highlight w:val="none"/>
              </w:rPr>
            </w:r>
            <w:r/>
          </w:p>
        </w:tc>
        <w:tc>
          <w:tcPr>
            <w:shd w:val="clear" w:color="auto" w:fill="ffffff"/>
            <w:tcW w:w="1224" w:type="dxa"/>
            <w:vAlign w:val="center"/>
            <w:textDirection w:val="lrTb"/>
            <w:noWrap w:val="false"/>
          </w:tcPr>
          <w:p>
            <w:pPr>
              <w:pStyle w:val="1043"/>
              <w:ind w:firstLine="420"/>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海康视频平台</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及时进行充值，保证海康平台正常使用</w:t>
            </w:r>
            <w:r>
              <w:rPr>
                <w:rFonts w:ascii="宋体" w:hAnsi="宋体" w:cs="宋体"/>
                <w:b w:val="0"/>
                <w:bCs w:val="0"/>
                <w:szCs w:val="21"/>
                <w:highlight w:val="none"/>
              </w:rPr>
            </w:r>
            <w:r/>
          </w:p>
        </w:tc>
      </w:tr>
      <w:tr>
        <w:trPr>
          <w:trHeight w:val="288"/>
        </w:trPr>
        <w:tc>
          <w:tcPr>
            <w:shd w:val="clear" w:color="auto" w:fill="ffffff"/>
            <w:tcW w:w="383"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3</w:t>
            </w:r>
            <w:r>
              <w:rPr>
                <w:rFonts w:ascii="宋体" w:hAnsi="宋体" w:cs="宋体"/>
                <w:b w:val="0"/>
                <w:bCs w:val="0"/>
                <w:szCs w:val="21"/>
                <w:highlight w:val="none"/>
              </w:rPr>
            </w:r>
            <w:r/>
          </w:p>
        </w:tc>
        <w:tc>
          <w:tcPr>
            <w:shd w:val="clear" w:color="auto" w:fill="ffffff"/>
            <w:tcW w:w="122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车载视频物联网流量卡</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及时进行充值，保证防汛车载视频正常使用</w:t>
            </w:r>
            <w:r>
              <w:rPr>
                <w:rFonts w:ascii="宋体" w:hAnsi="宋体" w:cs="宋体"/>
                <w:b w:val="0"/>
                <w:bCs w:val="0"/>
                <w:szCs w:val="21"/>
                <w:highlight w:val="none"/>
              </w:rPr>
            </w:r>
            <w:r/>
          </w:p>
        </w:tc>
      </w:tr>
      <w:tr>
        <w:trPr>
          <w:trHeight w:val="288"/>
        </w:trPr>
        <w:tc>
          <w:tcPr>
            <w:shd w:val="clear" w:color="auto" w:fill="ffffff"/>
            <w:tcW w:w="383"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4</w:t>
            </w:r>
            <w:r>
              <w:rPr>
                <w:rFonts w:ascii="宋体" w:hAnsi="宋体" w:cs="宋体"/>
                <w:b w:val="0"/>
                <w:bCs w:val="0"/>
                <w:szCs w:val="21"/>
                <w:highlight w:val="none"/>
              </w:rPr>
            </w:r>
            <w:r/>
          </w:p>
        </w:tc>
        <w:tc>
          <w:tcPr>
            <w:shd w:val="clear" w:color="auto" w:fill="ffffff"/>
            <w:tcW w:w="1224" w:type="dxa"/>
            <w:vAlign w:val="center"/>
            <w:textDirection w:val="lrTb"/>
            <w:noWrap w:val="false"/>
          </w:tcPr>
          <w:p>
            <w:pPr>
              <w:pStyle w:val="1043"/>
              <w:ind w:firstLine="420"/>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萤石云平台</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及时进行充值，保证萤石云平台正常使用</w:t>
            </w:r>
            <w:r>
              <w:rPr>
                <w:rFonts w:ascii="宋体" w:hAnsi="宋体" w:cs="宋体"/>
                <w:b w:val="0"/>
                <w:bCs w:val="0"/>
                <w:szCs w:val="21"/>
                <w:highlight w:val="none"/>
              </w:rPr>
            </w:r>
            <w:r/>
          </w:p>
        </w:tc>
      </w:tr>
      <w:tr>
        <w:trPr>
          <w:trHeight w:val="288"/>
        </w:trPr>
        <w:tc>
          <w:tcPr>
            <w:shd w:val="clear" w:color="auto" w:fill="ffffff"/>
            <w:tcW w:w="383"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5</w:t>
            </w:r>
            <w:r>
              <w:rPr>
                <w:rFonts w:ascii="宋体" w:hAnsi="宋体" w:cs="宋体"/>
                <w:b w:val="0"/>
                <w:bCs w:val="0"/>
                <w:szCs w:val="21"/>
                <w:highlight w:val="none"/>
              </w:rPr>
            </w:r>
            <w:r/>
          </w:p>
        </w:tc>
        <w:tc>
          <w:tcPr>
            <w:shd w:val="clear" w:color="auto" w:fill="ffffff"/>
            <w:tcW w:w="1224" w:type="dxa"/>
            <w:vAlign w:val="center"/>
            <w:textDirection w:val="lrTb"/>
            <w:noWrap w:val="false"/>
          </w:tcPr>
          <w:p>
            <w:pPr>
              <w:pStyle w:val="1043"/>
              <w:ind w:firstLine="420"/>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设备物联网流量卡</w:t>
            </w:r>
            <w:r>
              <w:rPr>
                <w:rFonts w:ascii="宋体" w:hAnsi="宋体" w:cs="宋体"/>
                <w:b w:val="0"/>
                <w:bCs w:val="0"/>
                <w:szCs w:val="21"/>
                <w:highlight w:val="none"/>
              </w:rPr>
            </w:r>
            <w:r/>
          </w:p>
        </w:tc>
        <w:tc>
          <w:tcPr>
            <w:shd w:val="clear" w:color="auto" w:fill="ffffff"/>
            <w:tcW w:w="557"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1年</w:t>
            </w:r>
            <w:r>
              <w:rPr>
                <w:rFonts w:ascii="宋体" w:hAnsi="宋体" w:cs="宋体"/>
                <w:b w:val="0"/>
                <w:bCs w:val="0"/>
                <w:szCs w:val="21"/>
                <w:highlight w:val="none"/>
              </w:rPr>
            </w:r>
            <w:r/>
          </w:p>
        </w:tc>
        <w:tc>
          <w:tcPr>
            <w:shd w:val="clear" w:color="auto" w:fill="ffffff"/>
            <w:tcW w:w="2834" w:type="dxa"/>
            <w:vAlign w:val="center"/>
            <w:textDirection w:val="lrTb"/>
            <w:noWrap w:val="false"/>
          </w:tcPr>
          <w:p>
            <w:pPr>
              <w:pStyle w:val="1043"/>
              <w:jc w:val="left"/>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及时进行充值，保证智能设备正常使用</w:t>
            </w:r>
            <w:r>
              <w:rPr>
                <w:rFonts w:ascii="宋体" w:hAnsi="宋体" w:cs="宋体"/>
                <w:b w:val="0"/>
                <w:bCs w:val="0"/>
                <w:szCs w:val="21"/>
                <w:highlight w:val="none"/>
              </w:rPr>
            </w:r>
            <w:r/>
          </w:p>
        </w:tc>
      </w:tr>
    </w:tbl>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2、平台安全管理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平台安全管理主要分以运维单位自身为主和配合第三方单位工作两部分。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（1）以运维单位自身为主的工作：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A.安全扫描和修复</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使用专业的漏洞扫描工具对网络系统、服务器、应用程序等进行全面扫描，检测潜在的安全漏洞，生成详细的漏洞扫描报告并及时修复漏洞。</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B.安全演练</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明确演练目标，设计详细的演练方案，安排专人模拟网络攻击，运维团队应急响应，监测到攻击行为，采取相应的防护措施。对演练过程进行监测和评估，记录攻击与防御的过程和结果。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C.涉密数据安全</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就涉密数据如管线数据的使用，通过设置ip+账号白名单的方式来保障数据安全不泄密，配合采购人做好数据保密协议签订、人员安全培训、设备使用培训等工作。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D.弱口令扫描</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定期进行弱口令扫描，并向采购人提供弱口令名单，跟踪用户设置强密码。</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E.响应上级部门要求</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对上级部门及区网信办等部门通报的安全检查、漏洞修复及其他平台安全性要求应予以响应，涉及服务器、网络、防火墙等基础环境安全问题的，由采购人负责协调解决，运维单位予以配合（采购人出具的工作联系单为准）；涉及软件平台自身漏洞缺陷问题的，由运维单位无偿予以解决。</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（2）配合第三方单位工作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A.配合第三方检测及修复</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按照采购人要求，配合第三方检测单位开展检测活动并及时修复检测漏洞（采购人出具的工作联系单为准）。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B.配合等保测评及修复</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按照采购人要求，配合第三方等保单位开展检测活动并及时修复检测漏洞（采购人出具的工作联系单为准）。</w:t>
      </w:r>
      <w:r>
        <w:rPr>
          <w:rFonts w:ascii="宋体" w:hAnsi="宋体" w:cs="宋体"/>
          <w:szCs w:val="21"/>
          <w:highlight w:val="none"/>
          <w:lang w:bidi="zh-TW"/>
        </w:rPr>
      </w:r>
      <w:r/>
    </w:p>
    <w:p>
      <w:pPr>
        <w:pStyle w:val="1043"/>
        <w:ind w:firstLine="422"/>
        <w:jc w:val="left"/>
        <w:spacing w:line="360" w:lineRule="auto"/>
        <w:rPr>
          <w:rFonts w:ascii="宋体" w:hAnsi="宋体" w:cs="宋体"/>
          <w:b/>
          <w:bCs/>
          <w:szCs w:val="21"/>
          <w:highlight w:val="none"/>
        </w:rPr>
      </w:pPr>
      <w:r>
        <w:rPr>
          <w:rFonts w:hint="eastAsia" w:ascii="宋体" w:hAnsi="宋体" w:cs="宋体"/>
          <w:b/>
          <w:bCs/>
          <w:szCs w:val="21"/>
          <w:highlight w:val="none"/>
          <w:lang w:bidi="en-US"/>
        </w:rPr>
        <w:t xml:space="preserve">1.4.5.</w:t>
      </w:r>
      <w:r>
        <w:rPr>
          <w:rFonts w:hint="eastAsia" w:ascii="宋体" w:hAnsi="宋体" w:cs="宋体"/>
          <w:b/>
          <w:bCs/>
          <w:szCs w:val="21"/>
          <w:highlight w:val="none"/>
        </w:rPr>
        <w:t xml:space="preserve">防汛等重大任务应急维护保障 </w:t>
      </w:r>
      <w:r>
        <w:rPr>
          <w:rFonts w:ascii="宋体" w:hAnsi="宋体" w:cs="宋体"/>
          <w:b/>
          <w:bCs/>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1.中控室运维保障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根据采购人要求，安排相关人员在中控室保障设备正常运行，要求该人员必须熟知系统功能并能熟练操作中控室相关设施，如大屏、电脑、话筒等。当发生突发事件或故障时，保障人员需及时处置。</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2.重大活动系统保障</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在重大活动期间，安排专人保障系统安全、稳定、高效地运行，包括但不限于系统汇报、演示等。</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3</w:t>
      </w:r>
      <w:r>
        <w:rPr>
          <w:rFonts w:ascii="宋体" w:hAnsi="宋体" w:cs="宋体"/>
          <w:szCs w:val="21"/>
          <w:highlight w:val="none"/>
          <w:lang w:bidi="zh-TW"/>
        </w:rPr>
        <w:t xml:space="preserve">.</w:t>
      </w:r>
      <w:r>
        <w:rPr>
          <w:rFonts w:hint="eastAsia" w:ascii="宋体" w:hAnsi="宋体" w:cs="宋体"/>
          <w:szCs w:val="21"/>
          <w:highlight w:val="none"/>
          <w:lang w:bidi="zh-TW"/>
        </w:rPr>
        <w:t xml:space="preserve">防汛技术保障（按指令驻场）</w:t>
      </w:r>
      <w:r>
        <w:rPr>
          <w:rFonts w:ascii="宋体" w:hAnsi="宋体" w:cs="宋体"/>
          <w:szCs w:val="21"/>
          <w:highlight w:val="none"/>
          <w:lang w:bidi="zh-TW"/>
        </w:rPr>
      </w:r>
      <w:r/>
    </w:p>
    <w:p>
      <w:pPr>
        <w:pStyle w:val="1043"/>
        <w:ind w:firstLine="420"/>
        <w:jc w:val="left"/>
        <w:spacing w:line="360" w:lineRule="auto"/>
        <w:rPr>
          <w:rFonts w:hint="eastAsia" w:ascii="宋体" w:hAnsi="宋体" w:cs="宋体"/>
          <w:szCs w:val="21"/>
          <w:highlight w:val="none"/>
          <w:lang w:bidi="zh-TW"/>
        </w:rPr>
      </w:pPr>
      <w:r>
        <w:rPr>
          <w:rFonts w:hint="eastAsia" w:ascii="宋体" w:hAnsi="宋体" w:cs="宋体"/>
          <w:szCs w:val="21"/>
          <w:highlight w:val="none"/>
          <w:lang w:bidi="zh-TW"/>
        </w:rPr>
        <w:t xml:space="preserve">根据采购人防汛指令，安排专业技术人员进驻指定现场，提供全过程响应级别的技术保障服务，主要工作包括系统巡检、实时预警和故障处置。</w:t>
      </w:r>
      <w:r>
        <w:rPr>
          <w:rFonts w:hint="eastAsia" w:ascii="宋体" w:hAnsi="宋体" w:cs="宋体"/>
          <w:szCs w:val="21"/>
          <w:highlight w:val="none"/>
          <w:lang w:bidi="zh-TW"/>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1.5.</w:t>
      </w:r>
      <w:r>
        <w:rPr>
          <w:rFonts w:hint="eastAsia" w:ascii="宋体" w:hAnsi="宋体" w:cs="宋体"/>
          <w:szCs w:val="21"/>
          <w:highlight w:val="none"/>
        </w:rPr>
        <w:t xml:space="preserve">技术标准</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bookmarkStart w:id="55" w:name="bookmark56"/>
      <w:r/>
      <w:bookmarkEnd w:id="55"/>
      <w:r>
        <w:rPr>
          <w:rFonts w:hint="eastAsia" w:ascii="宋体" w:hAnsi="宋体" w:cs="宋体"/>
          <w:szCs w:val="21"/>
          <w:highlight w:val="none"/>
          <w:lang w:bidi="zh-TW"/>
        </w:rPr>
        <w:t xml:space="preserve">(1)</w:t>
      </w:r>
      <w:r>
        <w:rPr>
          <w:rFonts w:hint="eastAsia" w:ascii="宋体" w:hAnsi="宋体" w:cs="宋体"/>
          <w:szCs w:val="21"/>
          <w:highlight w:val="none"/>
          <w:lang w:bidi="en-US"/>
        </w:rPr>
        <w:t xml:space="preserve">GB/T51187-2016</w:t>
      </w:r>
      <w:r>
        <w:rPr>
          <w:rFonts w:hint="eastAsia" w:ascii="宋体" w:hAnsi="宋体" w:cs="宋体"/>
          <w:szCs w:val="21"/>
          <w:highlight w:val="none"/>
          <w:lang w:bidi="zh-TW"/>
        </w:rPr>
        <w:t xml:space="preserve">《城市排水防涝设施数据釆集与维护技术规范》；</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56" w:name="bookmark57"/>
      <w:r/>
      <w:bookmarkEnd w:id="56"/>
      <w:r>
        <w:rPr>
          <w:rFonts w:hint="eastAsia" w:ascii="宋体" w:hAnsi="宋体" w:cs="宋体"/>
          <w:szCs w:val="21"/>
          <w:highlight w:val="none"/>
          <w:lang w:bidi="zh-TW"/>
        </w:rPr>
        <w:t xml:space="preserve">(2)</w:t>
      </w:r>
      <w:r>
        <w:rPr>
          <w:rFonts w:hint="eastAsia" w:ascii="宋体" w:hAnsi="宋体" w:cs="宋体"/>
          <w:szCs w:val="21"/>
          <w:highlight w:val="none"/>
          <w:lang w:bidi="en-US"/>
        </w:rPr>
        <w:t xml:space="preserve">CJJ/T8</w:t>
      </w:r>
      <w:r>
        <w:rPr>
          <w:rFonts w:hint="eastAsia" w:ascii="宋体" w:hAnsi="宋体" w:cs="宋体"/>
          <w:szCs w:val="21"/>
          <w:highlight w:val="none"/>
          <w:lang w:bidi="zh-TW"/>
        </w:rPr>
        <w:t xml:space="preserve">《城市测量规范》；</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57" w:name="bookmark58"/>
      <w:r/>
      <w:bookmarkEnd w:id="57"/>
      <w:r>
        <w:rPr>
          <w:rFonts w:hint="eastAsia" w:ascii="宋体" w:hAnsi="宋体" w:cs="宋体"/>
          <w:szCs w:val="21"/>
          <w:highlight w:val="none"/>
          <w:lang w:bidi="zh-TW"/>
        </w:rPr>
        <w:t xml:space="preserve">(3)</w:t>
      </w:r>
      <w:r>
        <w:rPr>
          <w:rFonts w:hint="eastAsia" w:ascii="宋体" w:hAnsi="宋体" w:cs="宋体"/>
          <w:szCs w:val="21"/>
          <w:highlight w:val="none"/>
          <w:lang w:bidi="en-US"/>
        </w:rPr>
        <w:t xml:space="preserve">CJJ61</w:t>
      </w:r>
      <w:r>
        <w:rPr>
          <w:rFonts w:hint="eastAsia" w:ascii="宋体" w:hAnsi="宋体" w:cs="宋体"/>
          <w:szCs w:val="21"/>
          <w:highlight w:val="none"/>
          <w:lang w:bidi="zh-TW"/>
        </w:rPr>
        <w:t xml:space="preserve">《城市地下管线探测技术规程》；</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58" w:name="bookmark59"/>
      <w:r/>
      <w:bookmarkEnd w:id="58"/>
      <w:r>
        <w:rPr>
          <w:rFonts w:hint="eastAsia" w:ascii="宋体" w:hAnsi="宋体" w:cs="宋体"/>
          <w:szCs w:val="21"/>
          <w:highlight w:val="none"/>
          <w:lang w:bidi="zh-TW"/>
        </w:rPr>
        <w:t xml:space="preserve">(4)</w:t>
      </w:r>
      <w:r>
        <w:rPr>
          <w:rFonts w:hint="eastAsia" w:ascii="宋体" w:hAnsi="宋体" w:cs="宋体"/>
          <w:szCs w:val="21"/>
          <w:highlight w:val="none"/>
          <w:lang w:bidi="en-US"/>
        </w:rPr>
        <w:t xml:space="preserve">DB3201/T</w:t>
      </w:r>
      <w:r>
        <w:rPr>
          <w:rFonts w:hint="eastAsia" w:ascii="宋体" w:hAnsi="宋体" w:cs="宋体"/>
          <w:szCs w:val="21"/>
          <w:highlight w:val="none"/>
          <w:lang w:bidi="zh-TW"/>
        </w:rPr>
        <w:t xml:space="preserve">258《南京市管线探测技术规程》；</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59" w:name="bookmark60"/>
      <w:r/>
      <w:bookmarkEnd w:id="59"/>
      <w:r>
        <w:rPr>
          <w:rFonts w:hint="eastAsia" w:ascii="宋体" w:hAnsi="宋体" w:cs="宋体"/>
          <w:szCs w:val="21"/>
          <w:highlight w:val="none"/>
          <w:lang w:bidi="zh-TW"/>
        </w:rPr>
        <w:t xml:space="preserve">(5)</w:t>
      </w:r>
      <w:r>
        <w:rPr>
          <w:rFonts w:hint="eastAsia" w:ascii="宋体" w:hAnsi="宋体" w:cs="宋体"/>
          <w:szCs w:val="21"/>
          <w:highlight w:val="none"/>
          <w:lang w:bidi="en-US"/>
        </w:rPr>
        <w:t xml:space="preserve">DB3201/T</w:t>
      </w:r>
      <w:r>
        <w:rPr>
          <w:rFonts w:hint="eastAsia" w:ascii="宋体" w:hAnsi="宋体" w:cs="宋体"/>
          <w:szCs w:val="21"/>
          <w:highlight w:val="none"/>
          <w:lang w:bidi="zh-TW"/>
        </w:rPr>
        <w:t xml:space="preserve">257《南京市管线数据标准》；</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60" w:name="bookmark61"/>
      <w:r/>
      <w:bookmarkEnd w:id="60"/>
      <w:r>
        <w:rPr>
          <w:rFonts w:hint="eastAsia" w:ascii="宋体" w:hAnsi="宋体" w:cs="宋体"/>
          <w:szCs w:val="21"/>
          <w:highlight w:val="none"/>
          <w:lang w:bidi="zh-TW"/>
        </w:rPr>
        <w:t xml:space="preserve">(6)</w:t>
      </w:r>
      <w:r>
        <w:rPr>
          <w:rFonts w:hint="eastAsia" w:ascii="宋体" w:hAnsi="宋体" w:cs="宋体"/>
          <w:szCs w:val="21"/>
          <w:highlight w:val="none"/>
          <w:lang w:bidi="en-US"/>
        </w:rPr>
        <w:t xml:space="preserve">GB/T</w:t>
      </w:r>
      <w:r>
        <w:rPr>
          <w:rFonts w:hint="eastAsia" w:ascii="宋体" w:hAnsi="宋体" w:cs="宋体"/>
          <w:szCs w:val="21"/>
          <w:highlight w:val="none"/>
          <w:lang w:bidi="zh-TW"/>
        </w:rPr>
        <w:t xml:space="preserve">24356《测绘成果质量检查与验收》；</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以上标准如有修改以最新执行的标准为准。</w:t>
      </w:r>
      <w:bookmarkStart w:id="61" w:name="bookmark62"/>
      <w:r/>
      <w:bookmarkEnd w:id="61"/>
      <w:r>
        <w:rPr>
          <w:rFonts w:ascii="宋体" w:hAnsi="宋体" w:cs="宋体"/>
          <w:szCs w:val="21"/>
          <w:highlight w:val="none"/>
          <w:lang w:bidi="zh-TW"/>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1.6.</w:t>
      </w:r>
      <w:r>
        <w:rPr>
          <w:rFonts w:hint="eastAsia" w:ascii="宋体" w:hAnsi="宋体" w:cs="宋体"/>
          <w:szCs w:val="21"/>
          <w:highlight w:val="none"/>
        </w:rPr>
        <w:t xml:space="preserve">坐标系统</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bookmarkStart w:id="62" w:name="bookmark63"/>
      <w:r/>
      <w:bookmarkEnd w:id="62"/>
      <w:r>
        <w:rPr>
          <w:rFonts w:hint="eastAsia" w:ascii="宋体" w:hAnsi="宋体" w:cs="宋体"/>
          <w:szCs w:val="21"/>
          <w:highlight w:val="none"/>
          <w:lang w:bidi="zh-TW"/>
        </w:rPr>
        <w:t xml:space="preserve">(1)平面坐标系：2008南京地方坐标系；</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63" w:name="bookmark64"/>
      <w:r/>
      <w:bookmarkEnd w:id="63"/>
      <w:r>
        <w:rPr>
          <w:rFonts w:hint="eastAsia" w:ascii="宋体" w:hAnsi="宋体" w:cs="宋体"/>
          <w:szCs w:val="21"/>
          <w:highlight w:val="none"/>
          <w:lang w:bidi="zh-TW"/>
        </w:rPr>
        <w:t xml:space="preserve">(2)高程系：1985国家高程基准。</w:t>
      </w:r>
      <w:bookmarkStart w:id="64" w:name="bookmark65"/>
      <w:r/>
      <w:bookmarkEnd w:id="64"/>
      <w:r>
        <w:rPr>
          <w:rFonts w:ascii="宋体" w:hAnsi="宋体" w:cs="宋体"/>
          <w:szCs w:val="21"/>
          <w:highlight w:val="none"/>
          <w:lang w:bidi="zh-TW"/>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1.7.</w:t>
      </w:r>
      <w:r>
        <w:rPr>
          <w:rFonts w:hint="eastAsia" w:ascii="宋体" w:hAnsi="宋体" w:cs="宋体"/>
          <w:szCs w:val="21"/>
          <w:highlight w:val="none"/>
        </w:rPr>
        <w:t xml:space="preserve">成果要求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1、维修记录、申请表；</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2、周期报告；</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3、设备更换表；</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4、日常运维、巡查记录；</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5、网络安全台账。</w:t>
      </w:r>
      <w:r>
        <w:rPr>
          <w:rFonts w:ascii="宋体" w:hAnsi="宋体" w:cs="宋体"/>
          <w:szCs w:val="21"/>
          <w:highlight w:val="none"/>
          <w:lang w:bidi="zh-TW"/>
        </w:rPr>
      </w:r>
      <w:r/>
    </w:p>
    <w:p>
      <w:pPr>
        <w:pStyle w:val="1043"/>
        <w:ind w:firstLine="422"/>
        <w:jc w:val="left"/>
        <w:spacing w:line="360" w:lineRule="auto"/>
        <w:rPr>
          <w:rFonts w:ascii="宋体" w:hAnsi="宋体" w:cs="宋体"/>
          <w:szCs w:val="21"/>
          <w:highlight w:val="none"/>
        </w:rPr>
      </w:pPr>
      <w:r>
        <w:rPr>
          <w:rFonts w:hint="eastAsia" w:ascii="宋体" w:hAnsi="宋体" w:cs="宋体"/>
          <w:b/>
          <w:szCs w:val="21"/>
          <w:highlight w:val="none"/>
          <w:lang w:bidi="en-US"/>
        </w:rPr>
        <w:t xml:space="preserve">1.8.</w:t>
      </w:r>
      <w:r>
        <w:rPr>
          <w:rFonts w:hint="eastAsia" w:ascii="宋体" w:hAnsi="宋体" w:cs="宋体"/>
          <w:szCs w:val="21"/>
          <w:highlight w:val="none"/>
        </w:rPr>
        <w:t xml:space="preserve">文档资料</w:t>
      </w:r>
      <w:r>
        <w:rPr>
          <w:rFonts w:ascii="宋体" w:hAnsi="宋体" w:cs="宋体"/>
          <w:szCs w:val="21"/>
          <w:highlight w:val="none"/>
        </w:rPr>
      </w:r>
      <w:r/>
    </w:p>
    <w:p>
      <w:pPr>
        <w:pStyle w:val="1043"/>
        <w:ind w:firstLine="420"/>
        <w:jc w:val="left"/>
        <w:spacing w:line="360" w:lineRule="auto"/>
        <w:rPr>
          <w:rFonts w:ascii="宋体" w:hAnsi="宋体" w:cs="宋体"/>
          <w:szCs w:val="21"/>
          <w:highlight w:val="none"/>
          <w:lang w:bidi="zh-TW"/>
        </w:rPr>
      </w:pPr>
      <w:r/>
      <w:bookmarkStart w:id="65" w:name="bookmark70"/>
      <w:r/>
      <w:bookmarkEnd w:id="65"/>
      <w:r>
        <w:rPr>
          <w:rFonts w:hint="eastAsia" w:ascii="宋体" w:hAnsi="宋体" w:cs="宋体"/>
          <w:szCs w:val="21"/>
          <w:highlight w:val="none"/>
          <w:lang w:bidi="zh-TW"/>
        </w:rPr>
        <w:t xml:space="preserve">1、项目建设相关管理文件；</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66" w:name="bookmark71"/>
      <w:r/>
      <w:bookmarkEnd w:id="66"/>
      <w:r>
        <w:rPr>
          <w:rFonts w:hint="eastAsia" w:ascii="宋体" w:hAnsi="宋体" w:cs="宋体"/>
          <w:szCs w:val="21"/>
          <w:highlight w:val="none"/>
          <w:lang w:bidi="zh-TW"/>
        </w:rPr>
        <w:t xml:space="preserve">2、运维项目验收报告；</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67" w:name="bookmark72"/>
      <w:r/>
      <w:bookmarkEnd w:id="67"/>
      <w:r>
        <w:rPr>
          <w:rFonts w:hint="eastAsia" w:ascii="宋体" w:hAnsi="宋体" w:cs="宋体"/>
          <w:szCs w:val="21"/>
          <w:highlight w:val="none"/>
          <w:lang w:bidi="zh-TW"/>
        </w:rPr>
        <w:t xml:space="preserve">3、运维总结报告；</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bookmarkStart w:id="68" w:name="bookmark73"/>
      <w:r/>
      <w:bookmarkEnd w:id="68"/>
      <w:r>
        <w:rPr>
          <w:rFonts w:hint="eastAsia" w:ascii="宋体" w:hAnsi="宋体" w:cs="宋体"/>
          <w:szCs w:val="21"/>
          <w:highlight w:val="none"/>
          <w:lang w:bidi="zh-TW"/>
        </w:rPr>
        <w:t xml:space="preserve">4、运维实施方案等。</w:t>
      </w:r>
      <w:r>
        <w:rPr>
          <w:rFonts w:ascii="宋体" w:hAnsi="宋体" w:cs="宋体"/>
          <w:szCs w:val="21"/>
          <w:highlight w:val="none"/>
          <w:lang w:bidi="zh-TW"/>
        </w:rPr>
      </w:r>
      <w:r/>
    </w:p>
    <w:p>
      <w:pPr>
        <w:pStyle w:val="1043"/>
        <w:ind w:firstLine="420"/>
        <w:jc w:val="left"/>
        <w:spacing w:line="360" w:lineRule="auto"/>
        <w:rPr>
          <w:rFonts w:ascii="宋体" w:hAnsi="宋体" w:cs="宋体"/>
          <w:szCs w:val="21"/>
          <w:highlight w:val="none"/>
          <w:lang w:bidi="zh-TW"/>
        </w:rPr>
      </w:pPr>
      <w:r>
        <w:rPr>
          <w:rFonts w:hint="eastAsia" w:ascii="宋体" w:hAnsi="宋体" w:cs="宋体"/>
          <w:szCs w:val="21"/>
          <w:highlight w:val="none"/>
          <w:lang w:bidi="zh-TW"/>
        </w:rPr>
        <w:t xml:space="preserve">1.9巡查设备配备</w:t>
      </w:r>
      <w:r>
        <w:rPr>
          <w:rFonts w:ascii="宋体" w:hAnsi="宋体" w:cs="宋体"/>
          <w:szCs w:val="21"/>
          <w:highlight w:val="none"/>
          <w:lang w:bidi="zh-TW"/>
        </w:rPr>
      </w:r>
      <w:r/>
    </w:p>
    <w:p>
      <w:pPr>
        <w:pStyle w:val="1043"/>
        <w:ind w:firstLine="420"/>
        <w:jc w:val="left"/>
        <w:spacing w:line="480" w:lineRule="exact"/>
        <w:widowControl w:val="off"/>
        <w:rPr>
          <w:rFonts w:ascii="宋体" w:hAnsi="宋体" w:cs="宋体"/>
          <w:szCs w:val="21"/>
          <w:highlight w:val="none"/>
        </w:rPr>
        <w:outlineLvl w:val="1"/>
      </w:pPr>
      <w:r>
        <w:rPr>
          <w:rFonts w:hint="eastAsia" w:ascii="宋体" w:hAnsi="宋体" w:cs="宋体"/>
          <w:szCs w:val="21"/>
          <w:highlight w:val="none"/>
        </w:rPr>
        <w:t xml:space="preserve">供应商应配备相关排水巡查的设备、材料，包括不限于GPS接收机（含RTK）不少于2台；（2）全站仪不少于2台；（3）地质雷达不少于2台等以用于项目实施。</w:t>
      </w:r>
      <w:r>
        <w:rPr>
          <w:rFonts w:ascii="宋体" w:hAnsi="宋体" w:cs="宋体"/>
          <w:szCs w:val="21"/>
          <w:highlight w:val="none"/>
        </w:rPr>
      </w:r>
      <w:r/>
    </w:p>
    <w:p>
      <w:pPr>
        <w:pStyle w:val="1043"/>
        <w:spacing w:before="171" w:line="221"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b/>
          <w:bCs/>
          <w:spacing w:val="-3"/>
          <w:szCs w:val="21"/>
          <w:highlight w:val="none"/>
        </w:rPr>
        <w:t xml:space="preserve">重要设施损坏更换</w:t>
      </w:r>
      <w:r>
        <w:rPr>
          <w:rFonts w:ascii="宋体" w:hAnsi="宋体" w:cs="宋体"/>
          <w:szCs w:val="21"/>
          <w:highlight w:val="none"/>
        </w:rPr>
      </w:r>
      <w:r/>
    </w:p>
    <w:p>
      <w:pPr>
        <w:pStyle w:val="1043"/>
        <w:ind w:right="305"/>
        <w:jc w:val="left"/>
        <w:spacing w:before="145" w:line="355" w:lineRule="auto"/>
        <w:rPr>
          <w:rFonts w:hint="eastAsia" w:ascii="宋体" w:hAnsi="宋体" w:cs="宋体"/>
          <w:spacing w:val="-10"/>
          <w:szCs w:val="21"/>
          <w:highlight w:val="none"/>
        </w:rPr>
      </w:pPr>
      <w:r>
        <w:rPr>
          <w:rFonts w:hint="eastAsia" w:ascii="宋体" w:hAnsi="宋体" w:cs="宋体"/>
          <w:spacing w:val="-3"/>
          <w:szCs w:val="21"/>
          <w:highlight w:val="none"/>
        </w:rPr>
        <w:t xml:space="preserve">如果排查过程中发现重要设施损坏，需要对损坏设施进行维修与更换，重要设施项目如</w:t>
      </w:r>
      <w:r>
        <w:rPr>
          <w:rFonts w:hint="eastAsia" w:ascii="宋体" w:hAnsi="宋体" w:cs="宋体"/>
          <w:spacing w:val="-10"/>
          <w:szCs w:val="21"/>
          <w:highlight w:val="none"/>
        </w:rPr>
        <w:t xml:space="preserve">下表，由供应商自行测算填报，投标时各供应商应按统一折扣率报价，最终结算价为：对应最高限价*（1-投标折扣率）。</w:t>
      </w:r>
      <w:r>
        <w:rPr>
          <w:rFonts w:hint="eastAsia" w:ascii="宋体" w:hAnsi="宋体" w:cs="宋体"/>
          <w:spacing w:val="-10"/>
          <w:szCs w:val="21"/>
          <w:highlight w:val="none"/>
        </w:rPr>
      </w:r>
      <w:r/>
    </w:p>
    <w:tbl>
      <w:tblPr>
        <w:tblW w:w="948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905"/>
        <w:gridCol w:w="4355"/>
        <w:gridCol w:w="1012"/>
        <w:gridCol w:w="1433"/>
      </w:tblGrid>
      <w:tr>
        <w:trPr>
          <w:trHeight w:val="597"/>
        </w:trPr>
        <w:tc>
          <w:tcPr>
            <w:tcW w:w="779"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905"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tcW w:w="4355"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重要参数</w:t>
            </w:r>
            <w:r>
              <w:rPr>
                <w:rFonts w:hint="eastAsia" w:ascii="宋体" w:hAnsi="宋体" w:eastAsia="宋体" w:cs="宋体"/>
                <w:b/>
                <w:bCs/>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433"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单价最高限价（元）</w:t>
            </w:r>
            <w:r>
              <w:rPr>
                <w:rFonts w:hint="eastAsia" w:ascii="宋体" w:hAnsi="宋体" w:eastAsia="宋体" w:cs="宋体"/>
                <w:b/>
                <w:bCs/>
                <w:i w:val="0"/>
                <w:iCs w:val="0"/>
                <w:color w:val="000000"/>
                <w:sz w:val="21"/>
                <w:szCs w:val="21"/>
                <w:highlight w:val="none"/>
                <w:u w:val="none"/>
                <w:lang w:val="en-US" w:eastAsia="zh-CN" w:bidi="ar"/>
              </w:rPr>
            </w:r>
            <w:r/>
          </w:p>
        </w:tc>
      </w:tr>
      <w:tr>
        <w:trPr>
          <w:trHeight w:val="68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监控设备箱</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不锈钢,厚度1.2,防水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通风，预留进线孔。</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686</w:t>
            </w:r>
            <w:r>
              <w:rPr>
                <w:rFonts w:hint="eastAsia" w:ascii="宋体" w:hAnsi="宋体" w:eastAsia="宋体" w:cs="宋体"/>
                <w:i w:val="0"/>
                <w:iCs w:val="0"/>
                <w:color w:val="000000"/>
                <w:sz w:val="21"/>
                <w:szCs w:val="21"/>
                <w:highlight w:val="none"/>
                <w:u w:val="none"/>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NVR及硬盘</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支持1个HDMI4K输出+1个VGA异源高清1080P输岀最大支持8路1080P解码；支持H.265、H.264混合解码，最大支持接入8MP高清IPC2个千兆网口</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3886</w:t>
            </w:r>
            <w:r>
              <w:rPr>
                <w:rFonts w:hint="eastAsia" w:ascii="宋体" w:hAnsi="宋体" w:eastAsia="宋体" w:cs="宋体"/>
                <w:i w:val="0"/>
                <w:iCs w:val="0"/>
                <w:color w:val="000000"/>
                <w:sz w:val="21"/>
                <w:szCs w:val="21"/>
                <w:highlight w:val="none"/>
                <w:u w:val="none"/>
              </w:rPr>
            </w:r>
            <w:r/>
          </w:p>
        </w:tc>
      </w:tr>
      <w:tr>
        <w:trPr>
          <w:trHeight w:val="66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Wi-Fi6协议,4个千兆网口。</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控制机柜（室内）</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通体厚度1.2mm，立柱厚度2.0mm，超强称重600kg以上。</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1480</w:t>
            </w:r>
            <w:r>
              <w:rPr>
                <w:rFonts w:hint="eastAsia" w:ascii="宋体" w:hAnsi="宋体" w:eastAsia="宋体" w:cs="宋体"/>
                <w:i w:val="0"/>
                <w:iCs w:val="0"/>
                <w:color w:val="000000"/>
                <w:sz w:val="21"/>
                <w:szCs w:val="21"/>
                <w:highlight w:val="none"/>
                <w:u w:val="none"/>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控制机柜（室外）</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屋檐式防水帽，高强度铰链，防水密封条，侧面开排风散热孔，精良防盗锁，厚度0.8mm。</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w:t>
            </w:r>
            <w:r>
              <w:rPr>
                <w:rFonts w:hint="eastAsia" w:ascii="宋体" w:hAnsi="宋体" w:eastAsia="宋体" w:cs="宋体"/>
                <w:i w:val="0"/>
                <w:iCs w:val="0"/>
                <w:color w:val="000000"/>
                <w:sz w:val="21"/>
                <w:szCs w:val="21"/>
                <w:highlight w:val="none"/>
                <w:u w:val="none"/>
              </w:rPr>
            </w:r>
            <w:r/>
          </w:p>
        </w:tc>
      </w:tr>
      <w:tr>
        <w:trPr>
          <w:trHeight w:val="180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全双工釆用IEEE802.3x标准，半双工釆用Backpressure标准；支持MAC地址自学习；釆用存储-转发体系结构；支持SNMP/RMON/TELNET及Web管理;支持IEEE802.IQVLAN功能；支持IEEE802.Ip优先级队列控制；支持1.5K条ACL配置；</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3950</w:t>
            </w:r>
            <w:r>
              <w:rPr>
                <w:rFonts w:hint="eastAsia" w:ascii="宋体" w:hAnsi="宋体" w:eastAsia="宋体" w:cs="宋体"/>
                <w:i w:val="0"/>
                <w:iCs w:val="0"/>
                <w:color w:val="000000"/>
                <w:sz w:val="21"/>
                <w:szCs w:val="21"/>
                <w:highlight w:val="none"/>
                <w:u w:val="none"/>
              </w:rPr>
            </w:r>
            <w:r/>
          </w:p>
        </w:tc>
      </w:tr>
      <w:tr>
        <w:trPr>
          <w:trHeight w:val="184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网络标准协议：IEEE 802.3、IEEE 802.3u、IEEE 802.3ab、IEEE 802.3x，过滤和转发速率：10Mbps：14880pps、100Mbps：148800pps、1000Mbps：1488000pps。工作温度：0℃到40℃，存储温度：-40℃到70℃。</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w:t>
            </w:r>
            <w:r>
              <w:rPr>
                <w:rFonts w:hint="eastAsia" w:ascii="宋体" w:hAnsi="宋体" w:eastAsia="宋体" w:cs="宋体"/>
                <w:i w:val="0"/>
                <w:iCs w:val="0"/>
                <w:color w:val="000000"/>
                <w:sz w:val="21"/>
                <w:szCs w:val="21"/>
                <w:highlight w:val="none"/>
                <w:u w:val="none"/>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光纤接收机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传输距离系列齐全，介质传输距离2-20km；,传输速率10Mbps和100Mbps自适应</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光纤发射机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工作温度：-30℃~70℃，工作电压220V，2U机架</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光纤收发器机架</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工作温度：-30℃~70℃，工作电压220V，2U机架</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826</w:t>
            </w:r>
            <w:r>
              <w:rPr>
                <w:rFonts w:hint="eastAsia" w:ascii="宋体" w:hAnsi="宋体" w:eastAsia="宋体" w:cs="宋体"/>
                <w:i w:val="0"/>
                <w:iCs w:val="0"/>
                <w:color w:val="000000"/>
                <w:sz w:val="21"/>
                <w:szCs w:val="21"/>
                <w:highlight w:val="none"/>
                <w:u w:val="none"/>
              </w:rPr>
            </w:r>
            <w:r/>
          </w:p>
        </w:tc>
      </w:tr>
      <w:tr>
        <w:trPr>
          <w:trHeight w:val="340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河道液位设备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采集频率：200ms/可配置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电压范围：9-24V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测量精度：±2mm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分辨率：1mm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波束角度：2.75°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通讯协议：modbus/文本协议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量程范围：0.06~3/5/10m； 0.1~15/20m；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工作湿度：0-95%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工作温度：-40℃-70℃</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15600</w:t>
            </w:r>
            <w:r>
              <w:rPr>
                <w:rFonts w:hint="eastAsia" w:ascii="宋体" w:hAnsi="宋体" w:eastAsia="宋体" w:cs="宋体"/>
                <w:i w:val="0"/>
                <w:iCs w:val="0"/>
                <w:color w:val="000000"/>
                <w:sz w:val="21"/>
                <w:szCs w:val="21"/>
                <w:highlight w:val="none"/>
                <w:u w:val="none"/>
              </w:rPr>
            </w:r>
            <w:r/>
          </w:p>
        </w:tc>
      </w:tr>
      <w:tr>
        <w:trPr>
          <w:trHeight w:val="186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液位计 （压力）</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量程0-15m，工作温度-20-70摄氏度；零点温漂±1.5%FS；灵敏度温漂±1.5%FS；内置监测模块，可设置上报周期及报警阈值，传感器部分IP68防水；表头IP66/67</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压力液位计电池更换费用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电池3.6V 38AH</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457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液位仪（超声波）</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供电方式：内置一次性防爆锂电池组3.6V/57Ah,正常使用时间大于15个月；支持外置太阳能电池+内置充电电池方式：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通信方式：GPRS/NB-IoT/4G(全网通)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量程：雷达液位量程:0-10m,投入式液位量程:0-10m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盲区：0.5m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测量精度：±0.5%(最大量程)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外壳材料：PVDF/ABS(传感器)、PC(外壳)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防爆等级：NR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工作温度：-20°C~60°C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存储温度：-20~C~70℃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相对湿度：95%(无凝结)</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超声波液位计电池更换费用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3.6V/57Ah</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w:t>
            </w:r>
            <w:r>
              <w:rPr>
                <w:rFonts w:hint="eastAsia" w:ascii="宋体" w:hAnsi="宋体" w:eastAsia="宋体" w:cs="宋体"/>
                <w:i w:val="0"/>
                <w:iCs w:val="0"/>
                <w:color w:val="000000"/>
                <w:sz w:val="21"/>
                <w:szCs w:val="21"/>
                <w:highlight w:val="none"/>
                <w:u w:val="none"/>
              </w:rPr>
            </w:r>
            <w:r/>
          </w:p>
        </w:tc>
      </w:tr>
      <w:tr>
        <w:trPr>
          <w:trHeight w:val="487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流量计 整体</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测流范围：0m/s~+5m/s、0ms~+10ms、0m/s~+15m/s(可定制量程，支持双向测流)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测流准确度：1.%±0.01m/s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分辨率：0. 001m/s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水温测量范围：0~60℃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供电范围：DC 7.2~12V建议DC 12V供电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水位范围：0~10m(可定制量程)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水位精度：0.2%士1mm 低水位可测20mm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流量范围：1升/秒~999999立方米/每小时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供电电源：8-16VDC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内置电池：3.6V锂亚电池，130AH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输出信号：4G(全网通）</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28500</w:t>
            </w:r>
            <w:r>
              <w:rPr>
                <w:rFonts w:hint="eastAsia" w:ascii="宋体" w:hAnsi="宋体" w:eastAsia="宋体" w:cs="宋体"/>
                <w:i w:val="0"/>
                <w:iCs w:val="0"/>
                <w:color w:val="000000"/>
                <w:sz w:val="21"/>
                <w:szCs w:val="21"/>
                <w:highlight w:val="none"/>
                <w:u w:val="none"/>
              </w:rPr>
            </w:r>
            <w:r/>
          </w:p>
        </w:tc>
      </w:tr>
      <w:tr>
        <w:trPr>
          <w:trHeight w:val="296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流量计 探头</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测流范围：0m/s~+5m/s、0ms~+10ms、0m/s~+15m/s(可定制量程，支持双向测流)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测流准确度：1.%±0.01m/s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分辨率：0. 001m/s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水温测量范围：0~60℃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水位范围：0~10m(可定制量程)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水位精度：0.2%士1mm 低水位可测20mm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流量范围：1升/秒~999999立方米/每小时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工作温度：-10℃~60℃</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15500</w:t>
            </w:r>
            <w:r>
              <w:rPr>
                <w:rFonts w:hint="eastAsia" w:ascii="宋体" w:hAnsi="宋体" w:eastAsia="宋体" w:cs="宋体"/>
                <w:i w:val="0"/>
                <w:iCs w:val="0"/>
                <w:color w:val="000000"/>
                <w:sz w:val="21"/>
                <w:szCs w:val="21"/>
                <w:highlight w:val="none"/>
                <w:u w:val="none"/>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流量计 主机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供电电源：8-16VDC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内置电池：3.6V锂亚电池，130AH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输出信号：4G(全网通）</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流量计电池更换费用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3.6V，130AH</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r>
      <w:tr>
        <w:trPr>
          <w:trHeight w:val="124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传感器灵敏度：液体电导率W10us/cm，外壳材料：ABS防老化、防腐蚀，防撞击材料防护等级：IP67</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水浸传感器电池</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锂电池供电ER26500（3.6V）</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雨量计整体</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承雨口径：200mm,测量范围：W30mm/min,分辨率：0.2mm,误差：土1%</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rPr>
                <w:rFonts w:hint="eastAsia" w:ascii="宋体" w:hAnsi="宋体" w:eastAsia="宋体" w:cs="宋体"/>
                <w:i w:val="0"/>
                <w:iCs w:val="0"/>
                <w:color w:val="000000"/>
                <w:sz w:val="21"/>
                <w:szCs w:val="21"/>
                <w:highlight w:val="none"/>
                <w:u w:val="none"/>
              </w:rPr>
            </w:r>
            <w:r/>
          </w:p>
        </w:tc>
      </w:tr>
      <w:tr>
        <w:trPr>
          <w:trHeight w:val="123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电子水尺（整套）</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4G/NB-LOT通信；量程160cm；精度1cm；内部工作温度主动监控3路RS485，1路RS232接口；市电转12V或太阳能供电；工作温度-20-70℃；工作湿度95%；IP67防水</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27000</w:t>
            </w:r>
            <w:r>
              <w:rPr>
                <w:rFonts w:hint="eastAsia" w:ascii="宋体" w:hAnsi="宋体" w:eastAsia="宋体" w:cs="宋体"/>
                <w:i w:val="0"/>
                <w:iCs w:val="0"/>
                <w:color w:val="000000"/>
                <w:sz w:val="21"/>
                <w:szCs w:val="21"/>
                <w:highlight w:val="none"/>
                <w:u w:val="none"/>
              </w:rPr>
            </w:r>
            <w:r/>
          </w:p>
        </w:tc>
      </w:tr>
      <w:tr>
        <w:trPr>
          <w:trHeight w:val="1253"/>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电子水尺 设备机头</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4G/NB-LOT通信；内部工作温度主动监控3路RS485，1路RS232接口；市电转12V或太阳能供电；工作温度-20-70℃；工作湿度95%；IP67防水</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电子水尺 水尺</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量程160cm；精度1cm；</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电子水尺 太阳能供电系统</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 20ah</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视频监控（400万）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信噪比：＞52dB,3D数字降噪：支持，背光补偿：支持，宽动态：支持，强光抑制：支持，电子快门：1/1T/30,000s,日夜模式：自动ICR彩转黑</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视频监控（800万）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信噪比：＞52dB,3D数字降噪：支持，背光补偿：支持，宽动态：支持，强光抑制：支持，电子快门：1/1-1/30,000s,日夜模式：自动ICR彩转黑</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蝶阀自动化控制设备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配套满足使用要求</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闸坝自动化控制设备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配套满足使用要求</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截流并自动化控制设备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配套满足使用要求</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曝气自动化控制设备</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配套满足使用要求</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4700</w:t>
            </w:r>
            <w:r>
              <w:rPr>
                <w:rFonts w:hint="eastAsia" w:ascii="宋体" w:hAnsi="宋体" w:eastAsia="宋体" w:cs="宋体"/>
                <w:i w:val="0"/>
                <w:iCs w:val="0"/>
                <w:color w:val="000000"/>
                <w:sz w:val="21"/>
                <w:szCs w:val="21"/>
                <w:highlight w:val="none"/>
                <w:u w:val="none"/>
              </w:rPr>
            </w:r>
            <w:r/>
          </w:p>
        </w:tc>
      </w:tr>
      <w:tr>
        <w:trPr>
          <w:trHeight w:val="90"/>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自动化控制设备PLC</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以太网接口：支持S7协议、TCP/IP协议等，便于联网和远程监控。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串行通信接口：RS485接口支持多种工业通信协议如Modbus RTU、USS等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完成现场控制任务；</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r>
      <w:tr>
        <w:trPr>
          <w:trHeight w:val="48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自动化控制繁易盒子4g盒子</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现场设备的远程数据采集、远程下载和远程维护。</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w:t>
            </w:r>
            <w:r>
              <w:rPr>
                <w:rFonts w:hint="eastAsia" w:ascii="宋体" w:hAnsi="宋体" w:eastAsia="宋体" w:cs="宋体"/>
                <w:i w:val="0"/>
                <w:iCs w:val="0"/>
                <w:color w:val="000000"/>
                <w:sz w:val="21"/>
                <w:szCs w:val="21"/>
                <w:highlight w:val="none"/>
                <w:u w:val="none"/>
              </w:rPr>
            </w:r>
            <w:r/>
          </w:p>
        </w:tc>
      </w:tr>
      <w:tr>
        <w:trPr>
          <w:trHeight w:val="90"/>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水质设备传感器-氨氮</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包涵PH，具有pH和温度自动补偿功能，适用于多种应用条件；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每支电极可独立更换，操作简单，维护量少；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测量准确、检出限低，长期漂移小；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响应时间快，及时反映水样变化；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防水等级IP68，可在恶劣环境下正常运行；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RS485通讯接口，标准Modbus协议，便于集成；</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25580</w:t>
            </w:r>
            <w:r>
              <w:rPr>
                <w:rFonts w:hint="eastAsia" w:ascii="宋体" w:hAnsi="宋体" w:eastAsia="宋体" w:cs="宋体"/>
                <w:i w:val="0"/>
                <w:iCs w:val="0"/>
                <w:color w:val="000000"/>
                <w:sz w:val="21"/>
                <w:szCs w:val="21"/>
                <w:highlight w:val="none"/>
                <w:u w:val="none"/>
              </w:rPr>
            </w:r>
            <w:r/>
          </w:p>
        </w:tc>
      </w:tr>
      <w:tr>
        <w:trPr>
          <w:trHeight w:val="234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水质设备传感器-溶解氧</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传感器可独立更换膜片，操作简单；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测量准确、长期漂移小、维护量少；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内置温度传感器，自动温度补偿；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响应时间快，及时反映水样变化；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防水等级IP68，可在恶劣环境下正常运行；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RS485通讯接口，标准Modbus协议，便于集成；</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23800</w:t>
            </w:r>
            <w:r>
              <w:rPr>
                <w:rFonts w:hint="eastAsia" w:ascii="宋体" w:hAnsi="宋体" w:eastAsia="宋体" w:cs="宋体"/>
                <w:i w:val="0"/>
                <w:iCs w:val="0"/>
                <w:color w:val="000000"/>
                <w:sz w:val="21"/>
                <w:szCs w:val="21"/>
                <w:highlight w:val="none"/>
                <w:u w:val="none"/>
              </w:rPr>
            </w:r>
            <w:r/>
          </w:p>
        </w:tc>
      </w:tr>
      <w:tr>
        <w:trPr>
          <w:trHeight w:val="160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水质设备传感器-COD</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支持RS-485， Modbus 协议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无试剂，不会对环境造成污染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通过内外光路切换，消除光源自身衰减造成的误差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自动对浊度进行补偿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免于维护，适用周期较长，使用成本低</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r>
      <w:tr>
        <w:trPr>
          <w:trHeight w:val="2482"/>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便携式多参数水质水文监测仪</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电源：直流10V-24V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输出信号：RS485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存储容量：16M（可扩展）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内置电池：12V 45AH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存储温度：-20℃~65℃</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GPS定位胸卡</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4G通信；五重智能定位；1500mAh锂电池；API接口</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穿线管</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外径25x2.5壁厚6分PE管</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视频流量卡</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40GB/年</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普通物联网卡</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300MB/月</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电信网络宽带</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200M/年</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设备箱锁</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设备箱锁</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直流开关电源</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A-200-5（5V40A 200w）</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漏电保护器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2P，20A</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插座</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三位插座</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摄像头电源适配器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12v</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摄像头电源适配器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24v</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光纤收发器电源适配器</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5v</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便携式主机电池</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7.2v,30400mAh</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2480</w:t>
            </w:r>
            <w:r>
              <w:rPr>
                <w:rFonts w:hint="eastAsia" w:ascii="宋体" w:hAnsi="宋体" w:eastAsia="宋体" w:cs="宋体"/>
                <w:i w:val="0"/>
                <w:iCs w:val="0"/>
                <w:color w:val="000000"/>
                <w:sz w:val="21"/>
                <w:szCs w:val="21"/>
                <w:highlight w:val="none"/>
                <w:u w:val="none"/>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办公终端</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i5 13400TEF+ RTX5060ti</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6800</w:t>
            </w:r>
            <w:r>
              <w:rPr>
                <w:rFonts w:hint="eastAsia" w:ascii="宋体" w:hAnsi="宋体" w:eastAsia="宋体" w:cs="宋体"/>
                <w:i w:val="0"/>
                <w:iCs w:val="0"/>
                <w:color w:val="000000"/>
                <w:sz w:val="21"/>
                <w:szCs w:val="21"/>
                <w:highlight w:val="none"/>
                <w:u w:val="none"/>
              </w:rPr>
            </w:r>
            <w:r/>
          </w:p>
        </w:tc>
      </w:tr>
      <w:tr>
        <w:trPr>
          <w:trHeight w:val="2991"/>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车载摄像头</w:t>
            </w:r>
            <w:r>
              <w:rPr>
                <w:rFonts w:hint="eastAsia" w:ascii="宋体" w:hAnsi="宋体" w:eastAsia="宋体" w:cs="宋体"/>
                <w:i w:val="0"/>
                <w:iCs w:val="0"/>
                <w:color w:val="000000"/>
                <w:sz w:val="21"/>
                <w:szCs w:val="21"/>
                <w:highlight w:val="none"/>
                <w:u w:val="none"/>
              </w:rPr>
            </w:r>
            <w:r/>
          </w:p>
        </w:tc>
        <w:tc>
          <w:tcPr>
            <w:tcW w:w="435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辨率高，1080P，图像清晰、细腻，信噪比高，图像画面干净、悦目；低照度，彩色0.001lux@F1.6；支持自动彩转黑功能，实现昼夜监控；支持图像宽动态、背光补偿、强光抑制、降噪、透雾、防抖；支持双TF卡存储，单卡最大支持512G；标配支持单4G模块；配置可拆卸电池，单电池可支持9-10小时连续工作</w:t>
            </w:r>
            <w:r>
              <w:rPr>
                <w:rFonts w:hint="eastAsia" w:ascii="宋体" w:hAnsi="宋体" w:eastAsia="宋体" w:cs="宋体"/>
                <w:i w:val="0"/>
                <w:iCs w:val="0"/>
                <w:color w:val="000000"/>
                <w:sz w:val="21"/>
                <w:szCs w:val="21"/>
                <w:highlight w:val="none"/>
                <w:u w:val="none"/>
              </w:rPr>
            </w:r>
            <w:r/>
          </w:p>
        </w:tc>
        <w:tc>
          <w:tcPr>
            <w:tcW w:w="1012"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433"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17200</w:t>
            </w:r>
            <w:r>
              <w:rPr>
                <w:rFonts w:hint="eastAsia" w:ascii="宋体" w:hAnsi="宋体" w:eastAsia="宋体" w:cs="宋体"/>
                <w:i w:val="0"/>
                <w:iCs w:val="0"/>
                <w:color w:val="000000"/>
                <w:sz w:val="21"/>
                <w:szCs w:val="21"/>
                <w:highlight w:val="none"/>
                <w:u w:val="none"/>
              </w:rPr>
            </w:r>
            <w:r/>
          </w:p>
        </w:tc>
      </w:tr>
    </w:tbl>
    <w:p>
      <w:pPr>
        <w:pStyle w:val="1043"/>
        <w:ind w:firstLine="420"/>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备注：以上列表中所有设备设施</w:t>
      </w:r>
      <w:bookmarkStart w:id="69" w:name="OLE_LINK1"/>
      <w:r>
        <w:rPr>
          <w:rFonts w:hint="eastAsia" w:ascii="宋体" w:hAnsi="宋体" w:eastAsia="宋体" w:cs="宋体"/>
          <w:b/>
          <w:bCs/>
          <w:szCs w:val="21"/>
          <w:highlight w:val="none"/>
        </w:rPr>
        <w:t xml:space="preserve">更换价格为综合单价，包含材料价格及人工费、管理费、利润、税金等所有费用，</w:t>
      </w:r>
      <w:bookmarkEnd w:id="69"/>
      <w:r>
        <w:rPr>
          <w:rFonts w:hint="eastAsia" w:ascii="宋体" w:hAnsi="宋体" w:eastAsia="宋体" w:cs="宋体"/>
          <w:b/>
          <w:bCs/>
          <w:szCs w:val="21"/>
          <w:highlight w:val="none"/>
        </w:rPr>
        <w:t xml:space="preserve">且免费质保期不得低于一年。对于更换配件不在以上列表中或特殊情况（如暗涵等恶劣环境维修摄像头，超出设备本身维修工日的，以及部分问题点位排查）等工作，实施过程中上报监理、跟踪审计、采购人确认后进行认价。</w:t>
      </w:r>
      <w:r>
        <w:rPr>
          <w:rFonts w:hint="eastAsia" w:ascii="宋体" w:hAnsi="宋体" w:eastAsia="宋体" w:cs="宋体"/>
          <w:b/>
          <w:bCs/>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2.服务要求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2.1整体要求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运维单位提供服务保障体系和完整合理的服务方案，内容包含但不限于服务组织、服务制度、人员力量、支撑保障等内容。运维单位要投入充足的人力物力保证项目顺利进行，高质量按期完成项目工作任务。</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（1）纪律要求。项目实施期间，驻场人员遵守采购人各项管理制度和工作要求，工作态度认真负责，7*24小时即时响应采购人的需求。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量要求。项目服务方案合理、先进、创新、实用，实施方案和计划详实、清晰、可操作；提供的服务高效、高质、实用、安全；运营报告详实、客观、及时；提供的培训教材、操作说明书等材料要详实、明了、易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（3）业务稳定性要求。做好业务连续性、稳定性保障，常态化开展监控和巡检，做好日常值班保障、节假日和重大事件期间的保障。</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（4）内控管理要求。做好日常工作考勤记录、工作量记录，及时反馈工作进展，及时整理相关工作资料，做好验收准备，项目移交材料真实、完整。</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2.2人员要求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运维单位须组建架构合理、高效协同的专职项目团队服务于本项目，本项目对项目团队人员的基本要求为：</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项目负责人1名，统筹负责本项目管理，提供7*24小时的手机在线服务。项目经理具有测绘等相关专业的证书、网络安全工程师证书等</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技术负责人1名，技术负责人需要辅助项目负责人完成项目的整体管理，提供7*24小时的手机在线服务，具备相关服务方面的专业技术能力证书等。</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项目技术服务人员不少于4人（其中配备自动化设备维修人员、光纤熔纤人员等专业检修人员），负责本项目技术工作。提供5*8小时为基础的设备现场监控和7*24小时的手机在线值班，以配合用户的日常安全运维。项目服务人员具备相关服务方面的专业技术能力证书等。</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2.3人员稳定性要求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2.3人员稳定性要求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项目负责人、技术负责人非必要不得更换，如需要更换，需提前两个月报采购人同意。项目技术服务人员如需更换，需提前1个月报采购人同意；更换人员应确保工作衔接交接不断档，所更换的服务人员资质要求不能低于原服务人员。</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2.4服务响应要求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（1）服务团队应即时响应现场服务需求，业务运行故障问题，应在4小时内解决，紧急突发工作任务，应即时响应处理。</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（2）如果服务团队无法在规定时间内到达现场，采购人有权另请第三方服务，所发生费用由成交供应商承担。</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（3）提供节假日、重大活动、上级检查等重要时期安全保障服务，须根据要求组织专业保障团队，做好保障工作。</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2.5技术专家现场指导</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（1）服务期内，运维单位应按需派遣技术专家对服务中出现的问题进行现场分析并解决。</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（2）服务期内，运维单位应按需安排专家，对服务情况进行自查评估，提出服务优化建议，提升服务质量。</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2.6质量保障要求</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运维单位需制定项目服务质量保障方案，包括但不限于：</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（1）运维单位需有标准的质量保障体系，并保障该体系有效正常运作。</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（2）需要建立本项目质量保障体系并获得公司的资源支持。</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（3）不得缩小项目团队人员组成或其他资源。</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3商务要求</w:t>
      </w:r>
      <w:r>
        <w:rPr>
          <w:rFonts w:ascii="宋体" w:hAnsi="宋体" w:cs="宋体"/>
          <w:szCs w:val="21"/>
          <w:highlight w:val="none"/>
        </w:rPr>
      </w:r>
      <w:r/>
    </w:p>
    <w:p>
      <w:pPr>
        <w:pStyle w:val="1043"/>
        <w:ind w:firstLine="420"/>
        <w:jc w:val="left"/>
        <w:spacing w:line="360" w:lineRule="auto"/>
        <w:rPr>
          <w:rFonts w:ascii="宋体" w:hAnsi="宋体" w:cs="宋体"/>
          <w:b/>
          <w:szCs w:val="21"/>
          <w:highlight w:val="none"/>
        </w:rPr>
      </w:pPr>
      <w:r>
        <w:rPr>
          <w:rFonts w:hint="eastAsia" w:ascii="宋体" w:hAnsi="宋体" w:cs="宋体"/>
          <w:szCs w:val="21"/>
          <w:highlight w:val="none"/>
        </w:rPr>
        <w:t xml:space="preserve">★3.1（1）运维单位必须保证采购人在拥有或使用系统（包括系统所使用第三方的中间件或数据库等）所有权的过程中不产生任何侵权行为，否则运维单位须承担由此产生的所有相关法律责任。</w:t>
      </w:r>
      <w:r>
        <w:rPr>
          <w:rFonts w:hint="eastAsia" w:ascii="宋体" w:hAnsi="宋体" w:cs="宋体"/>
          <w:b/>
          <w:szCs w:val="21"/>
          <w:highlight w:val="none"/>
        </w:rPr>
        <w:t xml:space="preserve">（投标文件中提供承诺书原件，未提供视为无效投标）</w:t>
      </w:r>
      <w:r>
        <w:rPr>
          <w:rFonts w:ascii="宋体" w:hAnsi="宋体" w:cs="宋体"/>
          <w:b/>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（2）供应商投标时应提供以下方案</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①总体工作方案。供应商根据对本项目需要完成的目标任务理解，形成本项目的整体工作思路和相应的系统支撑框架方案, 方案应细致全面、合理、技术可行性强、针对性强。</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②项目总体工作实施方案全面。供应商根据本项目对项目总体工作实施方案，各阶段流程的安排、人员安排的合理性。</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③安全规范优化方案。供应商根据应用系统实际情况，有针对性的提出对运维工作规范、应急预案等文件的修订意见，并指导应用运维团队按照规范开展日常运维工作。</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④服务质量保障（含重保）方案。制定服务质量保障方案，具备对服务全过程的质量控制措施，包括且不限于对各类日常技术服务工作流程的内部管控制度，重大节假日期间的重点保障工作，提交的各类技术资料、文档内容真实性完整性的管理，与采购人管理制度衔接措施等，提交方案应科学合理，可操作性强。</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⑤重点难点方案，制定项目实施过程出现的难点、突然应急事件，为采购人提供专业的方案。</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⑥后续培训方案。供应商根据项目特点编制培训方案，培训方案包括：培训体系、项目实施培训方式、人员培训计划、培训质量控制计划等。</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★（3）付款方式：</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①合同签订后，采购人向供应商支付合同总价的10%作为预付款；</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②运维期满6个月，供应商出具半年度维护报告，经监理计量签证并报跟踪审计单位审核后，根据跟踪审计审核价支付进度款（扣除预付款）；</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③项目全部服务内容完成并验收合格，余款待审计结束并出具审计报告后按审计价一次性支付。</w:t>
      </w:r>
      <w:r>
        <w:rPr>
          <w:rFonts w:ascii="宋体" w:hAnsi="宋体" w:cs="宋体"/>
          <w:szCs w:val="21"/>
          <w:highlight w:val="none"/>
        </w:rPr>
      </w:r>
      <w:r/>
    </w:p>
    <w:p>
      <w:pPr>
        <w:pStyle w:val="1043"/>
        <w:ind w:firstLine="420"/>
        <w:spacing w:line="360" w:lineRule="auto"/>
        <w:widowControl w:val="off"/>
        <w:rPr>
          <w:rFonts w:ascii="宋体" w:hAnsi="宋体" w:cs="宋体"/>
          <w:b w:val="0"/>
          <w:bCs/>
          <w:color w:val="000000"/>
          <w:szCs w:val="21"/>
          <w:highlight w:val="none"/>
        </w:rPr>
      </w:pPr>
      <w:r>
        <w:rPr>
          <w:rFonts w:hint="eastAsia" w:ascii="宋体" w:hAnsi="宋体" w:cs="宋体"/>
          <w:b w:val="0"/>
          <w:bCs/>
          <w:color w:val="000000"/>
          <w:szCs w:val="21"/>
          <w:highlight w:val="none"/>
        </w:rPr>
        <w:t xml:space="preserve">本章加</w:t>
      </w:r>
      <w:r>
        <w:rPr>
          <w:rFonts w:hint="eastAsia" w:ascii="宋体" w:hAnsi="宋体" w:cs="宋体"/>
          <w:b w:val="0"/>
          <w:bCs/>
          <w:color w:val="000000"/>
          <w:sz w:val="24"/>
          <w:szCs w:val="21"/>
          <w:highlight w:val="none"/>
        </w:rPr>
        <w:t xml:space="preserve">★</w:t>
      </w:r>
      <w:r>
        <w:rPr>
          <w:rFonts w:hint="eastAsia" w:ascii="宋体" w:hAnsi="宋体" w:cs="宋体"/>
          <w:b w:val="0"/>
          <w:bCs/>
          <w:color w:val="000000"/>
          <w:szCs w:val="21"/>
          <w:highlight w:val="none"/>
        </w:rPr>
        <w:t xml:space="preserve">内容为实质性要求，不允许负偏离，负偏离为无效投标。</w:t>
      </w:r>
      <w:r>
        <w:rPr>
          <w:rFonts w:ascii="宋体" w:hAnsi="宋体" w:cs="宋体"/>
          <w:b w:val="0"/>
          <w:bCs/>
          <w:color w:val="000000"/>
          <w:szCs w:val="21"/>
          <w:highlight w:val="none"/>
        </w:rPr>
      </w:r>
      <w:r/>
    </w:p>
    <w:p>
      <w:pPr>
        <w:pStyle w:val="1043"/>
        <w:ind w:firstLine="420"/>
        <w:spacing w:line="360" w:lineRule="auto"/>
        <w:widowControl w:val="off"/>
        <w:rPr>
          <w:rFonts w:ascii="宋体" w:hAnsi="宋体" w:cs="宋体"/>
          <w:b w:val="0"/>
          <w:bCs/>
          <w:color w:val="000000"/>
          <w:szCs w:val="21"/>
          <w:highlight w:val="none"/>
        </w:rPr>
      </w:pPr>
      <w:r>
        <w:rPr>
          <w:rFonts w:hint="eastAsia" w:ascii="宋体" w:hAnsi="宋体" w:cs="宋体"/>
          <w:b w:val="0"/>
          <w:bCs/>
          <w:color w:val="000000"/>
          <w:szCs w:val="21"/>
          <w:highlight w:val="none"/>
        </w:rPr>
        <w:t xml:space="preserve">其他要求需在商务、技术条款偏离表里逐条响应并注明偏离情况，如在实施方案中响应的内容，同时需同时在偏离表里注明实施方案中具体响应章节及页码。</w:t>
      </w:r>
      <w:r>
        <w:rPr>
          <w:rFonts w:ascii="宋体" w:hAnsi="宋体" w:cs="宋体"/>
          <w:b w:val="0"/>
          <w:bCs/>
          <w:color w:val="000000"/>
          <w:szCs w:val="21"/>
          <w:highlight w:val="none"/>
        </w:rPr>
      </w:r>
      <w:r/>
    </w:p>
    <w:p>
      <w:pPr>
        <w:pStyle w:val="1193"/>
        <w:numPr>
          <w:ilvl w:val="0"/>
          <w:numId w:val="0"/>
        </w:numPr>
        <w:spacing w:before="0" w:after="0" w:line="480" w:lineRule="auto"/>
        <w:rPr>
          <w:rStyle w:val="1104"/>
          <w:rFonts w:hint="eastAsia"/>
          <w:color w:val="000000"/>
          <w:sz w:val="36"/>
          <w:szCs w:val="36"/>
          <w:highlight w:val="none"/>
        </w:rPr>
        <w:outlineLvl w:val="0"/>
      </w:pPr>
      <w:r>
        <w:rPr>
          <w:rStyle w:val="1104"/>
          <w:color w:val="000000"/>
          <w:sz w:val="36"/>
          <w:szCs w:val="36"/>
          <w:highlight w:val="none"/>
        </w:rPr>
        <w:br w:type="page" w:clear="all"/>
      </w:r>
      <w:r>
        <w:rPr>
          <w:rStyle w:val="1104"/>
          <w:rFonts w:hint="eastAsia"/>
          <w:color w:val="000000"/>
          <w:sz w:val="36"/>
          <w:szCs w:val="36"/>
          <w:highlight w:val="none"/>
        </w:rPr>
        <w:t xml:space="preserve">第五章 合同主要条款及格式</w:t>
      </w:r>
      <w:bookmarkEnd w:id="53"/>
      <w:r/>
      <w:bookmarkEnd w:id="54"/>
      <w:r>
        <w:rPr>
          <w:rStyle w:val="1104"/>
          <w:rFonts w:hint="eastAsia"/>
          <w:color w:val="000000"/>
          <w:sz w:val="36"/>
          <w:szCs w:val="36"/>
          <w:highlight w:val="none"/>
        </w:rPr>
      </w:r>
      <w:r/>
    </w:p>
    <w:p>
      <w:pPr>
        <w:pStyle w:val="1043"/>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43"/>
        <w:jc w:val="left"/>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 w:val="28"/>
          <w:szCs w:val="28"/>
          <w:highlight w:val="none"/>
        </w:rPr>
        <w:t xml:space="preserve"> </w:t>
      </w: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采购单位：                    （以下简称甲方）</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中标单位：                    （以下简称乙方）</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合同由买卖双方签订，并依据招标文件规定，按下列合同条款甲方同意购入，乙方同意提供服务，若乙方在规定的时间内拒签合同，作自动放弃处理，甲方有权对其进行处罚。</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1、服务内容、数量及要求：</w:t>
      </w:r>
      <w:r>
        <w:rPr>
          <w:rFonts w:hint="eastAsia" w:ascii="宋体" w:hAnsi="宋体" w:cs="宋体"/>
          <w:b/>
          <w:color w:val="000000"/>
          <w:szCs w:val="21"/>
          <w:highlight w:val="none"/>
          <w:u w:val="single"/>
        </w:rPr>
        <w:t xml:space="preserve">见本文件技术要求</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2、合同金额（大写）：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）。具体按实际工作量进行结算。</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价中，包括交付使用前的所有费用：即设计、设备、安装、调试、培训、技术服务及验收合格之前及保修期内备品备件发生的所有含税费用及合同包含的所有风险、责任等各项应有费用的报价。如发现有非全新产品的，乙方应无条件、无偿补齐，所发生的一切费用，视为已包含在乙方的投标报价之中，且并不因此而影响交付甲方使用的时间。</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3、要求交付使用时间：</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乙方应保证货物是全新、未使用过的原装合格正品，必须以正规合法途径得到制造商使用权，今后不得有知识产权的纠纷，否则，一切责任由乙方承担，与甲方无关。所提供的产品完全符合合同规定的质量、规格和性能的要求。乙方应保证其提供的货物在正确安装、正常使用条件下，具有良好的使用性能。 </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（2）按采购人时间节点要求，乙方必须确保项目全部完成并通过甲方组织的验收。</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4、收货人：</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5、包装要求：全部货物的外包装必须符合国家相关规定和考虑到可能会发生的装卸损坏等之需要。</w:t>
      </w:r>
      <w:r>
        <w:rPr>
          <w:rFonts w:hint="eastAsia" w:ascii="宋体" w:hAnsi="宋体" w:cs="宋体"/>
          <w:color w:val="000000"/>
          <w:szCs w:val="21"/>
          <w:highlight w:val="none"/>
        </w:rPr>
      </w:r>
      <w:r/>
    </w:p>
    <w:p>
      <w:pPr>
        <w:pStyle w:val="1043"/>
        <w:ind w:left="-15"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6、运杂费及保险等：由乙方负责。</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7、付款方式：</w:t>
      </w:r>
      <w:r>
        <w:rPr>
          <w:rFonts w:hint="eastAsia" w:ascii="宋体" w:hAnsi="宋体" w:cs="宋体"/>
          <w:color w:val="000000"/>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向</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支付合同总价的10%作为预付款；</w:t>
      </w:r>
      <w:r>
        <w:rPr>
          <w:rFonts w:ascii="宋体" w:hAnsi="宋体" w:cs="宋体"/>
          <w:szCs w:val="21"/>
          <w:highlight w:val="none"/>
        </w:rPr>
      </w:r>
      <w:r/>
    </w:p>
    <w:p>
      <w:pPr>
        <w:pStyle w:val="1043"/>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运维期满6个月，</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出具半年度维护报告，经监理计量签证并报跟踪审计单位审核后，根据跟踪审计审核价支付进度款（扣除预付款）；</w:t>
      </w:r>
      <w:r>
        <w:rPr>
          <w:rFonts w:ascii="宋体" w:hAnsi="宋体" w:cs="宋体"/>
          <w:szCs w:val="21"/>
          <w:highlight w:val="none"/>
        </w:rPr>
      </w:r>
      <w:r/>
    </w:p>
    <w:p>
      <w:pPr>
        <w:pStyle w:val="1043"/>
        <w:ind w:firstLine="420"/>
        <w:jc w:val="left"/>
        <w:spacing w:line="360" w:lineRule="auto"/>
        <w:rPr>
          <w:rFonts w:hint="eastAsia" w:ascii="宋体" w:hAnsi="宋体" w:cs="宋体"/>
          <w:color w:val="000000"/>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项目全部服务内容完成并验收合格，余款待审计结束并出具审计报告后按审计价一次性支付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以上付款为应支付款项，实际支付款项还需结合《鼓楼区智慧水务大数据管控平台运维考核管理办法》进行考核经费奖惩，并以区财政资金实际到位情况进行拨付。如决算审计核减额超过报审价的10%以上，审计费用由乙方支付。以上付款，乙方须提供符合甲方财务要求的正规发票。</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8、权利保证</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乙方应保证为甲方提供货物和服务任何一部分时不受第三方提出侵犯其专利权、版权、商标权或其他权利的起诉。一旦出现侵权，乙方应承担全部责任。</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9、质量保证</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（1）乙方提供的服务必须全部达到采购文件各项要求，国家或行业有规定的，还要符合相应规定。</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（2）如果因乙方原因，影响或造成甲方网络信息系统运行不稳或中断等，而产生的不良后果，概由乙方承担全部责任并整改到位，整改费用由乙方承担。</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10、交付使用和验收</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（1）乙方应当在规定时间内完成采购文件规定的项目并交付甲方使用。采购文件有约定的，从其约定。</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（2）甲方自行组织或视情邀请相关专家或国家认可的质量检测机构参加验收，乙方提供的服务不符合采购文件和合同规定的，甲方有权拒收，并承担验收费用等。</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（3）甲方组织验收，验收的费用由乙方自行考虑并计入报价，结算时不做调整。</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（4）如果甲方组织的验收无法通过，乙方须承担整改费用，还应向甲方支付不少于合同总价30%赔偿金。</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11、合同款支付</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（1）本合同项下所有款项均以人民币支付。</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（2）本合同项下的采购资金由甲方自行支付，乙方向甲方开具发票。</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（3）付款条件：按照采购文件约定。</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12、违约责任 </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（1）如乙方不能按期交付服务的，乙方应向甲方支付合同总价5%的违约金。</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如果乙方逾期不能够完成项目的，每逾期1天，乙方承担合同价款的10%左右补偿给甲方，逾期3天后双方合同自动解除，并且甲方不承担乙方已发生的所有费用，并且乙方必须赔偿合同价款的30%作为补偿。乙方逾期交付的，今后参加政府采购信誉将受到影响。</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（4）乙方虚假承诺，或经</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rPr>
        <w:t xml:space="preserve">部门检测提供的货物和服务不能满足采购文件要求，或是由于乙方的过错造成合同无法继续履行的，乙方向甲方支付不少于合同总价10%违约金。</w:t>
      </w:r>
      <w:r>
        <w:rPr>
          <w:rFonts w:hint="eastAsia" w:ascii="宋体" w:hAnsi="宋体" w:cs="宋体"/>
          <w:color w:val="000000"/>
          <w:szCs w:val="21"/>
          <w:highlight w:val="none"/>
        </w:rPr>
      </w:r>
      <w:r/>
    </w:p>
    <w:p>
      <w:pPr>
        <w:pStyle w:val="1043"/>
        <w:ind w:left="420" w:firstLine="20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13、合同的变更和终止</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（1）除《政府采购法》第50条第二款规定的情形外，本合同一经签订，甲乙双方不得擅自变更、中止或终止合同。</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除发生法律规定的不能预见、不能避免并不能克服的客观情况外，甲乙双方不得放弃或拒绝履行合同。乙方放弃或拒绝履行合同，保证金不予退还，在三年内不得参加南京市政府采购中心组织的政府采购活动。</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14、合同的转让</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乙方不得擅自全部转让其应履行的合同义务。</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15、争议的解决</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1）向甲方所在地有管辖权的人民法院提起诉讼；</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2）向南京仲裁委员会按其仲裁规则申请仲裁。</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 诚实信用 </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乙方应诚实信用，严格按照采购文件要求和承诺履行合同，不向甲方进行商业贿赂或者提供不正当利益。</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17、合同生效及其他</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（1）运维期一年，自合同签订之日起至服务期结束，具体以甲方通知为准。</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（2）本合同一式六份，甲乙双方各执三份。</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（3）本合同应按照中华人民共和国的现行法律进行解释。</w:t>
      </w:r>
      <w:r>
        <w:rPr>
          <w:rFonts w:hint="eastAsia" w:ascii="宋体" w:hAnsi="宋体" w:cs="宋体"/>
          <w:color w:val="000000"/>
          <w:szCs w:val="21"/>
          <w:highlight w:val="none"/>
        </w:rPr>
      </w:r>
      <w:r/>
    </w:p>
    <w:p>
      <w:pPr>
        <w:pStyle w:val="104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18、未尽事宜，双方协商解决，并按《中华人民共和国民法典》调整。</w:t>
      </w:r>
      <w:r>
        <w:rPr>
          <w:rFonts w:hint="eastAsia" w:ascii="宋体" w:hAnsi="宋体" w:cs="宋体"/>
          <w:color w:val="000000"/>
          <w:szCs w:val="21"/>
          <w:highlight w:val="none"/>
        </w:rPr>
      </w:r>
      <w:r/>
    </w:p>
    <w:p>
      <w:pPr>
        <w:pStyle w:val="1043"/>
        <w:ind w:firstLine="20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甲方(签章)：                     乙方（签章）：</w:t>
      </w:r>
      <w:r>
        <w:rPr>
          <w:rFonts w:hint="eastAsia" w:ascii="宋体" w:hAnsi="宋体" w:cs="宋体"/>
          <w:color w:val="000000"/>
          <w:szCs w:val="21"/>
          <w:highlight w:val="none"/>
        </w:rPr>
      </w:r>
      <w:r/>
    </w:p>
    <w:p>
      <w:pPr>
        <w:pStyle w:val="1043"/>
        <w:ind w:firstLine="20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1043"/>
        <w:ind w:firstLine="20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或其授权代理人或其授权代理人</w:t>
      </w:r>
      <w:r>
        <w:rPr>
          <w:rFonts w:hint="eastAsia" w:ascii="宋体" w:hAnsi="宋体" w:cs="宋体"/>
          <w:color w:val="000000"/>
          <w:szCs w:val="21"/>
          <w:highlight w:val="none"/>
        </w:rPr>
      </w:r>
      <w:r/>
    </w:p>
    <w:p>
      <w:pPr>
        <w:pStyle w:val="1043"/>
        <w:ind w:firstLine="20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年月日年月日</w:t>
      </w:r>
      <w:r>
        <w:rPr>
          <w:rFonts w:hint="eastAsia" w:ascii="宋体" w:hAnsi="宋体" w:cs="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rPr>
          <w:rFonts w:hint="eastAsia" w:ascii="宋体" w:hAnsi="宋体"/>
          <w:color w:val="000000"/>
          <w:szCs w:val="21"/>
          <w:highlight w:val="none"/>
        </w:rPr>
      </w:pPr>
      <w:r>
        <w:rPr>
          <w:rFonts w:hint="eastAsia" w:ascii="宋体" w:hAnsi="宋体"/>
          <w:color w:val="000000"/>
          <w:szCs w:val="21"/>
          <w:highlight w:val="none"/>
        </w:rPr>
      </w:r>
      <w:r/>
    </w:p>
    <w:p>
      <w:pPr>
        <w:pStyle w:val="1043"/>
        <w:jc w:val="left"/>
        <w:widowControl w:val="off"/>
        <w:tabs>
          <w:tab w:val="left" w:pos="3177" w:leader="none"/>
        </w:tabs>
        <w:rPr>
          <w:rFonts w:hint="eastAsia" w:ascii="宋体" w:hAnsi="宋体"/>
          <w:color w:val="000000"/>
          <w:szCs w:val="21"/>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olor w:val="000000"/>
          <w:szCs w:val="21"/>
          <w:highlight w:val="none"/>
        </w:rPr>
      </w:r>
      <w:r/>
    </w:p>
    <w:p>
      <w:pPr>
        <w:pStyle w:val="1043"/>
        <w:ind w:firstLine="420"/>
        <w:jc w:val="center"/>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鼓楼区智慧水务大数据管控平台运维考核管理办法（试行）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为适应我区水务一体化发展和加快完善城市治理新格局的需求，进一步提升城市排水设施智慧化管理水平，规范鼓楼智慧水务大数据管控平台的运维管理，以考核促实效，实现全区排水智能感知、运营、监管及决策的全过程智能管控。现根据国家及省、市有关法律、法规和规范性文件，结合鼓楼智慧水务平台运维管理实际，制定本办法。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一、考核依据</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 1、GB/T 51187-2016 《城市排水防涝设施数据采集与维护技术规范》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2、CJJ/T8 《城市测量规范》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3、CJJ61《城市地下管线探测技术规程》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4、DB 3201/T 258《南京市管线探测技术规程》</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5、DB 3201/T 257《南京市管线数据标准》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6、GB/T 24356《测绘成果质量检查与验收》</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二、考核对象及范围</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1、考核对象：鼓楼区智慧水务大数据管控平台运维单位</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2、考核范围：鼓楼区智慧水务大数据管控平台（含接入的所有硬件、软件设施）。</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考核范围还包含对有关指令性任务的响应执行情况、网络安全维护等一系列工作。</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三、考核原则</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1、考核工作坚持“提高系统效能、控制运维成本、注重管理实效”的原则。</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2、考核实行月度考核制，月度考核结果与运维经费直接挂钩，并直接影响运维单位服务评价及后续合同签订；</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3、区水务设施综合养护中心相关业务科室负责考核工作的落实、评定与汇总等工作。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四、考核内容</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考核内容根据制度执行、平台维护、管理性任务等情况进行综合评分。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（一）制度执行（20分）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组织健全完善。运维单位应按要求制定详细的年度、月度计划，即年初必须制定全年工作计划及按月（或按季度，但必须要分解到月度的）工作计划，月度计划应根据实际运维进程适时进行调整或补充；建立月例会制度，即每月必须召开运维项目例会，对当月工作进行小结，对次月工作进行具体安排，并做好会议记录及台账，形成月度通报；运维单位成立运维小组，做到职责明确、责任到人。</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2、工作联系单制度。运维单位要及时准确向考核管理单位上报系统实时运维情况，并建立工作联系单制度，部分专项任务以工作联系单的形式下发后，要及时签收处置，并按照规定时间节点完成。</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3、巡查值班制度。根据巡查计划有序开展巡查工作，发现问题及时处理到位。按要求定期开展系统隐患排查，检查记录要求完整有效；建立值班值守制度，运维负责人保持24小时通讯畅通。</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4、岗位与业务培训。对新员工及时开展到岗培训，内容包括岗位职责、考勤制度等。考核单位也将根据本单位人员调整安排组织相关人员培训，届时运维单位须委派业务技术人员现场指导。</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5、制度执行得分值=20-累计扣分值。</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（二）平台维护（50分）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平台维护分为3项内容进行考核，分别为数据测绘核查、数据库维护、设备现场维护。评分标准见附件。</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1、数据测绘核查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（1）管线测绘。对明确指定需要现场核实的管线进行补充测绘，测绘要求需满足《DB3201T 258-2020 管线探测技术规程》、《T/NEEPA 001-2022水务设施数据采集与管理规范》。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（2）管线检测。通过QV检测手段对项目范围内满足检测条件的疑难管线进行溯源、流向、倒坡分析，确保管线数据的准确性，需满足《城镇排水管道检测与评估技术规程 CJJ_181-2012》、《T/NEEPA 001-2022水务设施数据采集与管理规范》。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（3）测绘标高。对截流井、泵站、监测设备等水务设施进行高程属性测绘，测绘要求需满足《DB3201T 258-2020 管线探测技术规程》、《T/NEEPA 001-2022水务设施数据采集与管理规范》。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2、数据库维护</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（1）提供系统维护服务，优化程序，提高平台处理速度，提升平台使用效率，保证大数据管控平台能够高效有序运行；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（2）优化系统界面，保证大数据平台界面风格简洁友好，符合用户要求；根据用户需求增加扩展系统功能模块，保证系统能够满足全区智慧水务行业发展需求；</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（3）对平台运行过程中产生的故障问题，能够7*24响应，原则上24小时内处理完毕，如因特殊原因导致一时无法恢复的，需向考核单位说明原因，并每日汇报整改进展；</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（4）对平台数据进行定期备份，保证数据安全及完整性。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（5）提供新的在线监测设备接入服务，设备信息与在线监测信息录入系统，并在已有功能模块中进行接入展示；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（6）对设备接入数据进行定期查看，对于数据传输异常或者传输错误的设备进行反馈，保证在线监测设备数据能够正常汇入平台。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与其他平台接口对接。提供与南京市智慧水务、鼓楼区“一网统管”、南京市鼓楼区入河排污口规范化管理平台及其他需要对接平台的接口对接与维护服务，如接口内容出现变更，及时对接沟通，保证外部接入数据正常传输。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3、设备现场维护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包括对各类物联感知、光纤线路等设备的现场巡检、管理维护等工作，保证设备良好稳定准确运行。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（1）巡检内容及频次</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巡检内容：包含设备日常巡查、设备清洗、设备校准。含液位计、水质监测设备、在线流量监测设备、视频监控、雨量传感器、水浸传感器、自动化控制设备、GPS定位胸牌、监控设备箱和光纤发射机、线路、中控室及接入平台的所有设施。</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巡检方式：分为常规巡检和专项巡检。</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①常规巡检：针对上述巡检内容，按照巡查计划，在规定时间内完成全部一轮现场巡查。包括设备巡查、清洗、校准等工作。</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②专项巡检：根据考核单位具体工作安排，对部分设施进行现场核查处理。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巡检频次：分为常规巡查和临时巡查，常规巡查每季度1次，临时巡查根据设备异常情况或采购人要求进行。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（2）巡检要求</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1、日常巡查：对巡查过程中发现的问题设备及时上报，并按照考核单位要求落实整改，整改进度同步向考核单位报备；</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2、设备清洗：对设备定期进行清洗，确保传感数据准确无误。在规定巡查频次要求以外，若发现设备脏乱，须立即安排清理，保证设备运行正常；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3、设备校核：对液位、水质等监测设备进行定期仪器检验，校准测量误差；在规定巡查频次要求以外，若发现数据失真问题，须立即安排现场校准，保证数据准确。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4、设备在线率、完好率：除人为因素导致的损坏外，各类设备在线率、完好率须保证在90%以上（/年）。</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（3）突发任务响应</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突发故障响应时间为24小时。如有突发故障，故障响应时间内检查并判断故障原因，并第一时间进行故障排除； </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4、平台维护得分值=50分-累计扣分值。</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（三）管理性任务（30分）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管理任务分为4项内容进行考核，分别为：任务响应、台账管理、应急保障管理、网络安全维护等。评分标准见附件。</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1、任务响应</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（1）考核单位在运维过程中发现的各类系统问题，运维单位须在1小时内给予回复，明确整改完成时限，并在规定时间节点内完成整改；</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（2）考核单位下发的专项任务（如台账资料上报、安全自查等），运维单位须在1小时内给予回复，并严格遵照执行，在规定时间内完成上报反馈。</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2、台账管理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（1）各类台账资料（电子稿、纸质稿）齐全、完备，数据真实、有效、无缺失；</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（2）落实日常巡查、设备维修、网络安全等台账资料（电子稿、纸质稿）的填报、整理、存档工作，并随时做好上报迎查的准备。</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3、应急保障管理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（1）在上级部门开展调研、观摩、交流学习等工作时，运维单位要全程做好系统应急保障管理，确保系统平稳运行；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（2）在水务主管部门开展重大活动（如防汛演练等）时，涉及智慧水务系统运用的，运维单位须全程参与，做好系统的现场保障工作；</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（3）上级部门下达重大防汛指令时，运维单位需要及时响应驻场，做好系统的现场应急保障及值班值守。</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4、网络安全维护</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（1）根据上级部门下发的关于网络安全检查、维护的相关要求，切实做好系统的数据安全管理工作，不得发生网络安全事故。</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（2）每季度定期开展网络安全隐患排查、网络安全自检活动，发现问题立即整改到位。并做好台账资料留存。</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五、考核时间与程序</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1、考核时间以运维项目合同约定的运维期为准。</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2、每月底运维单位上报月度运维小结，考核单位出具月度考核评分表，作为运维经费拨付依据。年度须开展汇总分析考评。</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3、按照合同约定，出具半年度维护报告后，结合上半年度考核奖惩情况拨付费用。本年度项目全部服务内容完成并验收合格后，结合下半年度考核奖惩情况拨付费用。</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六、考核方式</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检查考核主要分为系统线上检查、现场随机抽查、专项检查三种方式进行。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（一）系统线上检查</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采用线上检查的方式进行，由中控室工作人员每日对平台数据、系统稳定性进行日常检查。发现问题纳入当月月度考核范畴中。</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（二）现场随机抽查</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考核单位每月不定期对现场传感设备、摄像头、电表电箱等设备进行现场抽查，发现问题纳入当月考核结果中。</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（三）专项检查</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1、台账资料检查：台账资料检查采用线下检查方式进行，定期对日常运维巡检、设备维修维护、网络安全等台账进行检查。</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2、根据省、市相关部门的任务要求（如网络、数据安全检查等）开展专项检查，检查发现的问题纳入考核结果中。</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七、考核等次</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1、考核采取百分制，并实行评级制度。评级由高到低依次为：优秀（100-95分）、良好（94-90分）、合格（89-85分）、不合格（84分以下）。</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2、连续三个月以上考核评级定为“不合格”的，考核单位有权决定下一年度不再续签合同。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八、考核奖惩</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（一）考核结果作为经费拨付依据</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1、考核周期为每月一次，月度考核≥90分的，全额拨付当月运维经费；</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2、85分≤月度考核＜90分的，按扣分值扣减当月运维经费，相较于90分每低1分扣减1500元；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3、80≤月度考核＜85分的，相较于85分每低1分扣减3000元；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4、月度考核＜80分的，相较于80分每低1分扣减5000元。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5、受主流媒体报道、上级部门奖励、获得专项奖项等情况，进行奖励加分制度，每项加5分，纳入当月考核计算，最终得分不得超过105分。105≤月度考核＜100分，相较于100分每高1分奖励1500元。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（二）专项任务执行强制性指标</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1、因数据库维护不当、网络安全管理等工作执行不到位，被市、区领导或上级主管部门发现并点名批评，造成不良影响的，视情扣减运维经费0.3-1万元。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2、纳入市、局目标考核的重点指令性任务未完成的，每项扣0.5万元。</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未及时发现安全隐患、数据维护不到位等原因造成网络安全事故被上级部门通报批评的，视情一次性扣0.5-2万元；因设备巡检不到位造成人身安全事故的，一次性扣1-3万元，情节严重造成人员伤亡的，加倍扣除。</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4、存在擅自将鼓楼智慧水务大数据管控平台内自建设备出租、抵押、担保或利用其从事其他经营性行为的，发现一次视情扣3-10万元，并收缴其违规所得。</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九、办法执行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1、本办法自2026年   月  日起执行。</w:t>
      </w:r>
      <w:r>
        <w:rPr>
          <w:rFonts w:hint="eastAsia" w:ascii="宋体" w:hAnsi="宋体" w:cs="宋体"/>
          <w:color w:val="000000"/>
          <w:szCs w:val="21"/>
          <w:highlight w:val="none"/>
          <w:lang w:bidi="ar"/>
        </w:rPr>
      </w:r>
      <w:r/>
    </w:p>
    <w:p>
      <w:pPr>
        <w:pStyle w:val="1043"/>
        <w:ind w:firstLine="420"/>
        <w:jc w:val="left"/>
        <w:spacing w:line="360"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2、本办法由鼓楼区水务设施综合养护中心负责解释，并有权根据试行情况进行后续完善修订。</w:t>
      </w:r>
      <w:r>
        <w:rPr>
          <w:rFonts w:hint="eastAsia" w:ascii="宋体" w:hAnsi="宋体" w:cs="宋体"/>
          <w:color w:val="000000"/>
          <w:szCs w:val="21"/>
          <w:highlight w:val="none"/>
          <w:lang w:bidi="ar"/>
        </w:rPr>
      </w:r>
      <w:r/>
    </w:p>
    <w:p>
      <w:pPr>
        <w:pStyle w:val="1043"/>
        <w:jc w:val="lef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43"/>
        <w:jc w:val="left"/>
        <w:spacing w:line="56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t xml:space="preserve">附件：鼓楼区智慧水务大数据管控平台运维考核评分细则</w:t>
      </w:r>
      <w:r>
        <w:rPr>
          <w:rFonts w:hint="eastAsia" w:ascii="宋体" w:hAnsi="宋体" w:cs="宋体"/>
          <w:bCs/>
          <w:color w:val="000000"/>
          <w:szCs w:val="21"/>
          <w:highlight w:val="none"/>
        </w:rPr>
      </w:r>
      <w:r/>
    </w:p>
    <w:p>
      <w:pPr>
        <w:pStyle w:val="1043"/>
        <w:jc w:val="left"/>
        <w:spacing w:line="5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一、制度执行（20分）</w:t>
      </w:r>
      <w:r>
        <w:rPr>
          <w:rFonts w:hint="eastAsia" w:ascii="宋体" w:hAnsi="宋体" w:cs="宋体"/>
          <w:b/>
          <w:color w:val="000000"/>
          <w:szCs w:val="21"/>
          <w:highlight w:val="none"/>
        </w:rPr>
      </w:r>
      <w:r/>
    </w:p>
    <w:tbl>
      <w:tblPr>
        <w:tblW w:w="50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406"/>
        <w:gridCol w:w="3997"/>
        <w:gridCol w:w="4011"/>
      </w:tblGrid>
      <w:tr>
        <w:trPr>
          <w:trHeight w:val="579"/>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序号</w:t>
            </w:r>
            <w:r>
              <w:rPr>
                <w:rFonts w:hint="eastAsia" w:ascii="宋体" w:hAnsi="宋体" w:cs="宋体"/>
                <w:color w:val="000000"/>
                <w:szCs w:val="21"/>
                <w:highlight w:val="none"/>
                <w:lang w:eastAsia="en-US"/>
              </w:rPr>
            </w:r>
            <w:r/>
          </w:p>
        </w:tc>
        <w:tc>
          <w:tcPr>
            <w:tcW w:w="69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检查项目</w:t>
            </w: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检查标准</w:t>
            </w:r>
            <w:r>
              <w:rPr>
                <w:rFonts w:hint="eastAsia" w:ascii="宋体" w:hAnsi="宋体" w:cs="宋体"/>
                <w:color w:val="000000"/>
                <w:szCs w:val="21"/>
                <w:highlight w:val="none"/>
                <w:lang w:eastAsia="en-US"/>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扣分办法</w:t>
            </w:r>
            <w:r>
              <w:rPr>
                <w:rFonts w:hint="eastAsia" w:ascii="宋体" w:hAnsi="宋体" w:cs="宋体"/>
                <w:color w:val="000000"/>
                <w:szCs w:val="21"/>
                <w:highlight w:val="none"/>
                <w:lang w:eastAsia="en-US"/>
              </w:rPr>
            </w:r>
            <w:r/>
          </w:p>
        </w:tc>
      </w:tr>
      <w:tr>
        <w:trPr>
          <w:trHeight w:val="581"/>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组织健全完善</w:t>
            </w:r>
            <w:r>
              <w:rPr>
                <w:rFonts w:hint="eastAsia" w:ascii="宋体" w:hAnsi="宋体" w:cs="宋体"/>
                <w:color w:val="000000"/>
                <w:szCs w:val="21"/>
                <w:highlight w:val="none"/>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成立智慧水务运维小组，职责明确、责任到人</w:t>
            </w:r>
            <w:r>
              <w:rPr>
                <w:rFonts w:hint="eastAsia" w:ascii="宋体" w:hAnsi="宋体" w:cs="宋体"/>
                <w:color w:val="000000"/>
                <w:szCs w:val="21"/>
                <w:highlight w:val="none"/>
              </w:rPr>
            </w:r>
            <w:r/>
          </w:p>
        </w:tc>
        <w:tc>
          <w:tcPr>
            <w:tcW w:w="1991" w:type="dxa"/>
            <w:vAlign w:val="center"/>
            <w:textDirection w:val="lrTb"/>
            <w:noWrap w:val="false"/>
          </w:tcPr>
          <w:p>
            <w:pPr>
              <w:pStyle w:val="1043"/>
              <w:ind w:firstLine="420"/>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未成立小组，扣2分；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小组成员责任划分不明确，扣2分</w:t>
            </w:r>
            <w:r>
              <w:rPr>
                <w:rFonts w:hint="eastAsia" w:ascii="宋体" w:hAnsi="宋体" w:cs="宋体"/>
                <w:color w:val="000000"/>
                <w:szCs w:val="21"/>
                <w:highlight w:val="none"/>
              </w:rPr>
            </w:r>
            <w:r/>
          </w:p>
        </w:tc>
      </w:tr>
      <w:tr>
        <w:trPr>
          <w:trHeight w:val="691"/>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制定详细年度、月度计划</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未制定，扣2分；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制定未上报，扣1分</w:t>
            </w:r>
            <w:r>
              <w:rPr>
                <w:rFonts w:hint="eastAsia" w:ascii="宋体" w:hAnsi="宋体" w:cs="宋体"/>
                <w:color w:val="000000"/>
                <w:szCs w:val="21"/>
                <w:highlight w:val="none"/>
              </w:rPr>
            </w:r>
            <w:r/>
          </w:p>
        </w:tc>
      </w:tr>
      <w:tr>
        <w:trPr>
          <w:trHeight w:val="966"/>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3</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建立周例会制度，每周召开运维项目周例会，对上周工作进行小结，对本周工作进行具体安排，形成会议记录及台账</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未召开周例会，一次扣1分；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未形成会议记录，一次扣1分</w:t>
            </w:r>
            <w:r>
              <w:rPr>
                <w:rFonts w:hint="eastAsia" w:ascii="宋体" w:hAnsi="宋体" w:cs="宋体"/>
                <w:color w:val="000000"/>
                <w:szCs w:val="21"/>
                <w:highlight w:val="none"/>
              </w:rPr>
            </w:r>
            <w:r/>
          </w:p>
        </w:tc>
      </w:tr>
      <w:tr>
        <w:trPr>
          <w:trHeight w:val="666"/>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4</w:t>
            </w:r>
            <w:r>
              <w:rPr>
                <w:rFonts w:hint="eastAsia" w:ascii="宋体" w:hAnsi="宋体" w:cs="宋体"/>
                <w:color w:val="000000"/>
                <w:szCs w:val="21"/>
                <w:highlight w:val="none"/>
                <w:lang w:eastAsia="en-US"/>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工作联系单制度</w:t>
            </w:r>
            <w:r>
              <w:rPr>
                <w:rFonts w:hint="eastAsia" w:ascii="宋体" w:hAnsi="宋体" w:cs="宋体"/>
                <w:color w:val="000000"/>
                <w:szCs w:val="21"/>
                <w:highlight w:val="none"/>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及时准确向运维单位汇报运维进展情况</w:t>
            </w:r>
            <w:r>
              <w:rPr>
                <w:rFonts w:hint="eastAsia" w:ascii="宋体" w:hAnsi="宋体" w:cs="宋体"/>
                <w:color w:val="000000"/>
                <w:szCs w:val="21"/>
                <w:highlight w:val="none"/>
              </w:rPr>
            </w:r>
            <w:r/>
          </w:p>
        </w:tc>
        <w:tc>
          <w:tcPr>
            <w:tcW w:w="1991" w:type="dxa"/>
            <w:vAlign w:val="center"/>
            <w:textDirection w:val="lrTb"/>
            <w:noWrap w:val="false"/>
          </w:tcPr>
          <w:p>
            <w:pPr>
              <w:pStyle w:val="1043"/>
              <w:ind w:firstLine="210"/>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超过一周未汇报，扣2分</w:t>
            </w:r>
            <w:r>
              <w:rPr>
                <w:rFonts w:hint="eastAsia" w:ascii="宋体" w:hAnsi="宋体" w:cs="宋体"/>
                <w:color w:val="000000"/>
                <w:szCs w:val="21"/>
                <w:highlight w:val="none"/>
              </w:rPr>
            </w:r>
            <w:r/>
          </w:p>
        </w:tc>
      </w:tr>
      <w:tr>
        <w:trPr>
          <w:trHeight w:val="796"/>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5</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工作联系单在规定时间内签收</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未签收，扣1分</w:t>
            </w:r>
            <w:r>
              <w:rPr>
                <w:rFonts w:hint="eastAsia" w:ascii="宋体" w:hAnsi="宋体" w:cs="宋体"/>
                <w:color w:val="000000"/>
                <w:szCs w:val="21"/>
                <w:highlight w:val="none"/>
              </w:rPr>
            </w:r>
            <w:r/>
          </w:p>
        </w:tc>
      </w:tr>
      <w:tr>
        <w:trPr>
          <w:trHeight w:val="847"/>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6</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下发工作联系单要及时进行反馈，落实整改</w:t>
            </w:r>
            <w:r>
              <w:rPr>
                <w:rFonts w:hint="eastAsia" w:ascii="宋体" w:hAnsi="宋体" w:cs="宋体"/>
                <w:color w:val="000000"/>
                <w:szCs w:val="21"/>
                <w:highlight w:val="none"/>
              </w:rPr>
            </w:r>
            <w:r/>
          </w:p>
        </w:tc>
        <w:tc>
          <w:tcPr>
            <w:tcW w:w="1991" w:type="dxa"/>
            <w:vAlign w:val="center"/>
            <w:textDirection w:val="lrTb"/>
            <w:noWrap w:val="false"/>
          </w:tcPr>
          <w:p>
            <w:pPr>
              <w:pStyle w:val="1043"/>
              <w:ind w:firstLine="420"/>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未反馈，一次扣1分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未在规定时间内完成整改，扣1分</w:t>
            </w:r>
            <w:r>
              <w:rPr>
                <w:rFonts w:hint="eastAsia" w:ascii="宋体" w:hAnsi="宋体" w:cs="宋体"/>
                <w:color w:val="000000"/>
                <w:szCs w:val="21"/>
                <w:highlight w:val="none"/>
              </w:rPr>
            </w:r>
            <w:r/>
          </w:p>
        </w:tc>
      </w:tr>
      <w:tr>
        <w:trPr>
          <w:trHeight w:val="1140"/>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巡查值班制度</w:t>
            </w:r>
            <w:r>
              <w:rPr>
                <w:rFonts w:hint="eastAsia" w:ascii="宋体" w:hAnsi="宋体" w:cs="宋体"/>
                <w:color w:val="000000"/>
                <w:szCs w:val="21"/>
                <w:highlight w:val="none"/>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根据上报巡查计划有序开展巡查工作</w:t>
            </w:r>
            <w:r>
              <w:rPr>
                <w:rFonts w:hint="eastAsia" w:ascii="宋体" w:hAnsi="宋体" w:cs="宋体"/>
                <w:color w:val="000000"/>
                <w:szCs w:val="21"/>
                <w:highlight w:val="none"/>
              </w:rPr>
            </w:r>
            <w:r/>
          </w:p>
        </w:tc>
        <w:tc>
          <w:tcPr>
            <w:tcW w:w="1991" w:type="dxa"/>
            <w:vAlign w:val="center"/>
            <w:textDirection w:val="lrTb"/>
            <w:noWrap w:val="false"/>
          </w:tcPr>
          <w:p>
            <w:pPr>
              <w:pStyle w:val="1043"/>
              <w:ind w:firstLine="210"/>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未制定巡查计划，扣2分；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未按照计划开展巡查工作，一次扣2分</w:t>
            </w:r>
            <w:r>
              <w:rPr>
                <w:rFonts w:hint="eastAsia" w:ascii="宋体" w:hAnsi="宋体" w:cs="宋体"/>
                <w:color w:val="000000"/>
                <w:szCs w:val="21"/>
                <w:highlight w:val="none"/>
              </w:rPr>
            </w:r>
            <w:r/>
          </w:p>
        </w:tc>
      </w:tr>
      <w:tr>
        <w:trPr>
          <w:trHeight w:val="676"/>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检查记录完整有效</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未记录，一次扣2分</w:t>
            </w:r>
            <w:r>
              <w:rPr>
                <w:rFonts w:hint="eastAsia" w:ascii="宋体" w:hAnsi="宋体" w:cs="宋体"/>
                <w:color w:val="000000"/>
                <w:szCs w:val="21"/>
                <w:highlight w:val="none"/>
              </w:rPr>
            </w:r>
            <w:r/>
          </w:p>
        </w:tc>
      </w:tr>
      <w:tr>
        <w:trPr>
          <w:trHeight w:val="982"/>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建立值班值守制度，运维负责人24小时通讯畅通</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未建立值班值守制度，扣1分；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运维人员联络不上，扣1分；造成严重影响的，加倍扣分</w:t>
            </w:r>
            <w:r>
              <w:rPr>
                <w:rFonts w:hint="eastAsia" w:ascii="宋体" w:hAnsi="宋体" w:cs="宋体"/>
                <w:color w:val="000000"/>
                <w:szCs w:val="21"/>
                <w:highlight w:val="none"/>
              </w:rPr>
            </w:r>
            <w:r/>
          </w:p>
        </w:tc>
      </w:tr>
      <w:tr>
        <w:trPr>
          <w:trHeight w:val="1009"/>
        </w:trPr>
        <w:tc>
          <w:tcPr>
            <w:tcW w:w="325"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rPr>
              <w:t xml:space="preserve">0</w:t>
            </w:r>
            <w:r>
              <w:rPr>
                <w:rFonts w:hint="eastAsia" w:ascii="宋体" w:hAnsi="宋体" w:cs="宋体"/>
                <w:color w:val="000000"/>
                <w:szCs w:val="21"/>
                <w:highlight w:val="none"/>
              </w:rPr>
            </w:r>
            <w:r/>
          </w:p>
        </w:tc>
        <w:tc>
          <w:tcPr>
            <w:tcW w:w="69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岗位与业务培训</w:t>
            </w:r>
            <w:r>
              <w:rPr>
                <w:rFonts w:hint="eastAsia" w:ascii="宋体" w:hAnsi="宋体" w:cs="宋体"/>
                <w:color w:val="000000"/>
                <w:szCs w:val="21"/>
                <w:highlight w:val="none"/>
              </w:rPr>
            </w:r>
            <w:r/>
          </w:p>
        </w:tc>
        <w:tc>
          <w:tcPr>
            <w:tcW w:w="198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对新进运维人员及时开展到岗培训；对考核单位运维管理人员进行技术指导</w:t>
            </w:r>
            <w:r>
              <w:rPr>
                <w:rFonts w:hint="eastAsia" w:ascii="宋体" w:hAnsi="宋体" w:cs="宋体"/>
                <w:color w:val="000000"/>
                <w:szCs w:val="21"/>
                <w:highlight w:val="none"/>
              </w:rPr>
            </w:r>
            <w:r/>
          </w:p>
        </w:tc>
        <w:tc>
          <w:tcPr>
            <w:tcW w:w="199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未对运维人员进行到岗培训，扣2分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不配合考核单位进行技术指导，扣2分</w:t>
            </w:r>
            <w:r>
              <w:rPr>
                <w:rFonts w:hint="eastAsia" w:ascii="宋体" w:hAnsi="宋体" w:cs="宋体"/>
                <w:color w:val="000000"/>
                <w:szCs w:val="21"/>
                <w:highlight w:val="none"/>
              </w:rPr>
            </w:r>
            <w:r/>
          </w:p>
        </w:tc>
      </w:tr>
    </w:tbl>
    <w:p>
      <w:pPr>
        <w:pStyle w:val="1043"/>
        <w:jc w:val="left"/>
        <w:spacing w:line="5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二、平台维护（50分）</w:t>
      </w:r>
      <w:r>
        <w:rPr>
          <w:rFonts w:hint="eastAsia" w:ascii="宋体" w:hAnsi="宋体" w:cs="宋体"/>
          <w:b/>
          <w:color w:val="000000"/>
          <w:szCs w:val="21"/>
          <w:highlight w:val="none"/>
        </w:rPr>
      </w:r>
      <w:r/>
    </w:p>
    <w:tbl>
      <w:tblPr>
        <w:tblW w:w="51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44"/>
        <w:gridCol w:w="3985"/>
        <w:gridCol w:w="4399"/>
      </w:tblGrid>
      <w:tr>
        <w:trPr>
          <w:trHeight w:val="579"/>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序号</w:t>
            </w:r>
            <w:r>
              <w:rPr>
                <w:rFonts w:hint="eastAsia" w:ascii="宋体" w:hAnsi="宋体" w:cs="宋体"/>
                <w:color w:val="000000"/>
                <w:szCs w:val="21"/>
                <w:highlight w:val="none"/>
                <w:lang w:eastAsia="en-US"/>
              </w:rPr>
            </w:r>
            <w:r/>
          </w:p>
        </w:tc>
        <w:tc>
          <w:tcPr>
            <w:tcW w:w="562"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检查项目</w:t>
            </w: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检查标准</w:t>
            </w:r>
            <w:r>
              <w:rPr>
                <w:rFonts w:hint="eastAsia" w:ascii="宋体" w:hAnsi="宋体" w:cs="宋体"/>
                <w:color w:val="000000"/>
                <w:szCs w:val="21"/>
                <w:highlight w:val="none"/>
                <w:lang w:eastAsia="en-US"/>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扣分办法</w:t>
            </w:r>
            <w:r>
              <w:rPr>
                <w:rFonts w:hint="eastAsia" w:ascii="宋体" w:hAnsi="宋体" w:cs="宋体"/>
                <w:color w:val="000000"/>
                <w:szCs w:val="21"/>
                <w:highlight w:val="none"/>
                <w:lang w:eastAsia="en-US"/>
              </w:rPr>
            </w:r>
            <w:r/>
          </w:p>
        </w:tc>
      </w:tr>
      <w:tr>
        <w:trPr>
          <w:trHeight w:val="675"/>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562"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数据测绘核查</w:t>
            </w: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对明确制定需要现场核实的管线进行补测，测绘要求满足规范要求</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未及时安排现场补测，扣1分；测绘成果不满足要求，扣2分</w:t>
            </w:r>
            <w:r>
              <w:rPr>
                <w:rFonts w:hint="eastAsia" w:ascii="宋体" w:hAnsi="宋体" w:cs="宋体"/>
                <w:color w:val="000000"/>
                <w:szCs w:val="21"/>
                <w:highlight w:val="none"/>
              </w:rPr>
            </w:r>
            <w:r/>
          </w:p>
        </w:tc>
      </w:tr>
      <w:tr>
        <w:trPr>
          <w:trHeight w:val="935"/>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通过QV检测手段对项目范围内满足检测条件的疑难管线进行溯源、流向、倒坡分析，并满足规范要求</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未及时安排管线检测，扣1分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检测成果不满足要求，扣2分</w:t>
            </w:r>
            <w:r>
              <w:rPr>
                <w:rFonts w:hint="eastAsia" w:ascii="宋体" w:hAnsi="宋体" w:cs="宋体"/>
                <w:color w:val="000000"/>
                <w:szCs w:val="21"/>
                <w:highlight w:val="none"/>
              </w:rPr>
            </w:r>
            <w:r/>
          </w:p>
        </w:tc>
      </w:tr>
      <w:tr>
        <w:trPr>
          <w:trHeight w:val="701"/>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3</w:t>
            </w:r>
            <w:r>
              <w:rPr>
                <w:rFonts w:hint="eastAsia" w:ascii="宋体" w:hAnsi="宋体" w:cs="宋体"/>
                <w:color w:val="000000"/>
                <w:szCs w:val="21"/>
                <w:highlight w:val="none"/>
                <w:lang w:eastAsia="en-US"/>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对截流井、泵站、监测设备等水务设施进行高程属性测绘，并满足规范要求</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未及时安排标高测绘，扣1分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检测成果不满足要求，扣2分</w:t>
            </w:r>
            <w:r>
              <w:rPr>
                <w:rFonts w:hint="eastAsia" w:ascii="宋体" w:hAnsi="宋体" w:cs="宋体"/>
                <w:color w:val="000000"/>
                <w:szCs w:val="21"/>
                <w:highlight w:val="none"/>
              </w:rPr>
            </w:r>
            <w:r/>
          </w:p>
        </w:tc>
      </w:tr>
      <w:tr>
        <w:trPr>
          <w:trHeight w:val="651"/>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4</w:t>
            </w:r>
            <w:r>
              <w:rPr>
                <w:rFonts w:hint="eastAsia" w:ascii="宋体" w:hAnsi="宋体" w:cs="宋体"/>
                <w:color w:val="000000"/>
                <w:szCs w:val="21"/>
                <w:highlight w:val="none"/>
                <w:lang w:eastAsia="en-US"/>
              </w:rPr>
            </w:r>
            <w:r/>
          </w:p>
        </w:tc>
        <w:tc>
          <w:tcPr>
            <w:tcW w:w="562"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数据库维护</w:t>
            </w: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优化程序，提高平台处理速度、平台使用效率，保证系统高效稳定运行</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系统运行迟缓导致正常使用受阻的，扣1分，市区行业部门领导反映的，加倍扣分</w:t>
            </w:r>
            <w:r>
              <w:rPr>
                <w:rFonts w:hint="eastAsia" w:ascii="宋体" w:hAnsi="宋体" w:cs="宋体"/>
                <w:color w:val="000000"/>
                <w:szCs w:val="21"/>
                <w:highlight w:val="none"/>
              </w:rPr>
            </w:r>
            <w:r/>
          </w:p>
        </w:tc>
      </w:tr>
      <w:tr>
        <w:trPr>
          <w:trHeight w:val="666"/>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5</w:t>
            </w:r>
            <w:r>
              <w:rPr>
                <w:rFonts w:hint="eastAsia" w:ascii="宋体" w:hAnsi="宋体" w:cs="宋体"/>
                <w:color w:val="000000"/>
                <w:szCs w:val="21"/>
                <w:highlight w:val="none"/>
                <w:lang w:eastAsia="en-US"/>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优化系统界面，风格简洁友好；根据用户需求增加扩展功能模块，满足发展需求</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系统界面设置不合理，扣1分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未按照要求增加功能模块的，扣2分</w:t>
            </w:r>
            <w:r>
              <w:rPr>
                <w:rFonts w:hint="eastAsia" w:ascii="宋体" w:hAnsi="宋体" w:cs="宋体"/>
                <w:color w:val="000000"/>
                <w:szCs w:val="21"/>
                <w:highlight w:val="none"/>
              </w:rPr>
            </w:r>
            <w:r/>
          </w:p>
        </w:tc>
      </w:tr>
      <w:tr>
        <w:trPr>
          <w:trHeight w:val="847"/>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6</w:t>
            </w:r>
            <w:r>
              <w:rPr>
                <w:rFonts w:hint="eastAsia" w:ascii="宋体" w:hAnsi="宋体" w:cs="宋体"/>
                <w:color w:val="000000"/>
                <w:szCs w:val="21"/>
                <w:highlight w:val="none"/>
                <w:lang w:eastAsia="en-US"/>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针对系统数据库问题，7*24小时响应，原则上24小时内处理完成，如特殊原因导致短时间无法恢复，需说明原因，汇报进展</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问题未响应或响应不及时，一次扣1分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24小时内未处置完成且未说明原因的，一次扣3分；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未汇报整改进展，一次扣1分</w:t>
            </w:r>
            <w:r>
              <w:rPr>
                <w:rFonts w:hint="eastAsia" w:ascii="宋体" w:hAnsi="宋体" w:cs="宋体"/>
                <w:color w:val="000000"/>
                <w:szCs w:val="21"/>
                <w:highlight w:val="none"/>
              </w:rPr>
            </w:r>
            <w:r/>
          </w:p>
        </w:tc>
      </w:tr>
      <w:tr>
        <w:trPr>
          <w:trHeight w:val="670"/>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对平台数据进行定期备份，保证数据安全完整</w:t>
            </w:r>
            <w:r>
              <w:rPr>
                <w:rFonts w:hint="eastAsia" w:ascii="宋体" w:hAnsi="宋体" w:cs="宋体"/>
                <w:color w:val="000000"/>
                <w:szCs w:val="21"/>
                <w:highlight w:val="none"/>
              </w:rPr>
            </w:r>
            <w:r/>
          </w:p>
        </w:tc>
        <w:tc>
          <w:tcPr>
            <w:tcW w:w="2161" w:type="dxa"/>
            <w:vAlign w:val="center"/>
            <w:textDirection w:val="lrTb"/>
            <w:noWrap w:val="false"/>
          </w:tcPr>
          <w:p>
            <w:pPr>
              <w:pStyle w:val="1043"/>
              <w:ind w:firstLine="210"/>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未进行数据备份，扣2分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因此造成严重影响的，加倍扣分</w:t>
            </w:r>
            <w:r>
              <w:rPr>
                <w:rFonts w:hint="eastAsia" w:ascii="宋体" w:hAnsi="宋体" w:cs="宋体"/>
                <w:color w:val="000000"/>
                <w:szCs w:val="21"/>
                <w:highlight w:val="none"/>
              </w:rPr>
            </w:r>
            <w:r/>
          </w:p>
        </w:tc>
      </w:tr>
      <w:tr>
        <w:trPr>
          <w:trHeight w:val="676"/>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提供新的在线监测设备接入服务，设备信息与在线监测信息录入系统，并在已有功能模块中进行接入展示</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未提供接入服务，一次扣2分；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未接入系统并进行有效展示，一次扣2分</w:t>
            </w:r>
            <w:r>
              <w:rPr>
                <w:rFonts w:hint="eastAsia" w:ascii="宋体" w:hAnsi="宋体" w:cs="宋体"/>
                <w:color w:val="000000"/>
                <w:szCs w:val="21"/>
                <w:highlight w:val="none"/>
              </w:rPr>
            </w:r>
            <w:r/>
          </w:p>
        </w:tc>
      </w:tr>
      <w:tr>
        <w:trPr>
          <w:trHeight w:val="905"/>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对设备接入数据进行定期查看，对数据传输异常或传输错误的设备进行反馈，保证正常汇入平台</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未对接入设备进行定期查看，扣1分；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数据异常或错误未及时反馈处置，一次扣2分</w:t>
            </w:r>
            <w:r>
              <w:rPr>
                <w:rFonts w:hint="eastAsia" w:ascii="宋体" w:hAnsi="宋体" w:cs="宋体"/>
                <w:color w:val="000000"/>
                <w:szCs w:val="21"/>
                <w:highlight w:val="none"/>
              </w:rPr>
            </w:r>
            <w:r/>
          </w:p>
        </w:tc>
      </w:tr>
      <w:tr>
        <w:trPr>
          <w:trHeight w:val="952"/>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与其他平台接口对接</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未按照考核单位要求进行平台接口对接，扣2分；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若接口内容变更，未及时沟通处理，扣2分</w:t>
            </w:r>
            <w:r>
              <w:rPr>
                <w:rFonts w:hint="eastAsia" w:ascii="宋体" w:hAnsi="宋体" w:cs="宋体"/>
                <w:color w:val="000000"/>
                <w:szCs w:val="21"/>
                <w:highlight w:val="none"/>
              </w:rPr>
            </w:r>
            <w:r/>
          </w:p>
        </w:tc>
      </w:tr>
      <w:tr>
        <w:trPr>
          <w:trHeight w:val="1109"/>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rPr>
              <w:t xml:space="preserve">0</w:t>
            </w:r>
            <w:r>
              <w:rPr>
                <w:rFonts w:hint="eastAsia" w:ascii="宋体" w:hAnsi="宋体" w:cs="宋体"/>
                <w:color w:val="000000"/>
                <w:szCs w:val="21"/>
                <w:highlight w:val="none"/>
              </w:rPr>
            </w:r>
            <w:r/>
          </w:p>
        </w:tc>
        <w:tc>
          <w:tcPr>
            <w:tcW w:w="562"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设备现场维护</w:t>
            </w: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对巡查发现的问题设备及时上报后安排整改，整改过程同步报备</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未及时发现设备问题，一次扣2分；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未及时上报，一次扣2分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整改不及时，一次扣1分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整改进展未及时报备，一次扣1分</w:t>
            </w:r>
            <w:r>
              <w:rPr>
                <w:rFonts w:hint="eastAsia" w:ascii="宋体" w:hAnsi="宋体" w:cs="宋体"/>
                <w:color w:val="000000"/>
                <w:szCs w:val="21"/>
                <w:highlight w:val="none"/>
              </w:rPr>
            </w:r>
            <w:r/>
          </w:p>
        </w:tc>
      </w:tr>
      <w:tr>
        <w:trPr>
          <w:trHeight w:val="1104"/>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对设备进行定期清洗，确保传感数据准确无误</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未按照巡检频次进行设备清洗，一次扣2分；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巡查过程中发现设备脏乱未主动进行清洗的，一次扣2分</w:t>
            </w:r>
            <w:r>
              <w:rPr>
                <w:rFonts w:hint="eastAsia" w:ascii="宋体" w:hAnsi="宋体" w:cs="宋体"/>
                <w:color w:val="000000"/>
                <w:szCs w:val="21"/>
                <w:highlight w:val="none"/>
              </w:rPr>
            </w:r>
            <w:r/>
          </w:p>
        </w:tc>
      </w:tr>
      <w:tr>
        <w:trPr>
          <w:trHeight w:val="914"/>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对液位、水质等监测设备进行定期校核，测量误差</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未按照巡检频次进行设备校准，一次扣2分；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巡查过程中发现数据失真，未主动进行清洗的，一次扣2分</w:t>
            </w:r>
            <w:r>
              <w:rPr>
                <w:rFonts w:hint="eastAsia" w:ascii="宋体" w:hAnsi="宋体" w:cs="宋体"/>
                <w:color w:val="000000"/>
                <w:szCs w:val="21"/>
                <w:highlight w:val="none"/>
              </w:rPr>
            </w:r>
            <w:r/>
          </w:p>
        </w:tc>
      </w:tr>
      <w:tr>
        <w:trPr>
          <w:trHeight w:val="934"/>
        </w:trPr>
        <w:tc>
          <w:tcPr>
            <w:tcW w:w="317"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562"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除人为因素导致的损坏外，各类设备在线率、完好率须保证在90%以上（/年）</w:t>
            </w:r>
            <w:r>
              <w:rPr>
                <w:rFonts w:hint="eastAsia" w:ascii="宋体" w:hAnsi="宋体" w:cs="宋体"/>
                <w:color w:val="000000"/>
                <w:szCs w:val="21"/>
                <w:highlight w:val="none"/>
              </w:rPr>
            </w:r>
            <w:r/>
          </w:p>
        </w:tc>
        <w:tc>
          <w:tcPr>
            <w:tcW w:w="2161"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根据运维单位统计数据情况分析，未达到在线率、完好率要求的，扣5分</w:t>
            </w:r>
            <w:r>
              <w:rPr>
                <w:rFonts w:hint="eastAsia" w:ascii="宋体" w:hAnsi="宋体" w:cs="宋体"/>
                <w:color w:val="000000"/>
                <w:szCs w:val="21"/>
                <w:highlight w:val="none"/>
              </w:rPr>
            </w:r>
            <w:r/>
          </w:p>
        </w:tc>
      </w:tr>
    </w:tbl>
    <w:p>
      <w:pPr>
        <w:pStyle w:val="1043"/>
        <w:jc w:val="left"/>
        <w:spacing w:line="5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三、管理性任务（30分）</w:t>
      </w:r>
      <w:r>
        <w:rPr>
          <w:rFonts w:hint="eastAsia" w:ascii="宋体" w:hAnsi="宋体" w:cs="宋体"/>
          <w:b/>
          <w:color w:val="000000"/>
          <w:szCs w:val="21"/>
          <w:highlight w:val="none"/>
        </w:rPr>
      </w:r>
      <w:r/>
    </w:p>
    <w:tbl>
      <w:tblPr>
        <w:tblW w:w="50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407"/>
        <w:gridCol w:w="3962"/>
        <w:gridCol w:w="4051"/>
      </w:tblGrid>
      <w:tr>
        <w:trPr>
          <w:trHeight w:val="579"/>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序号</w:t>
            </w:r>
            <w:r>
              <w:rPr>
                <w:rFonts w:hint="eastAsia" w:ascii="宋体" w:hAnsi="宋体" w:cs="宋体"/>
                <w:color w:val="000000"/>
                <w:szCs w:val="21"/>
                <w:highlight w:val="none"/>
                <w:lang w:eastAsia="en-US"/>
              </w:rPr>
            </w:r>
            <w:r/>
          </w:p>
        </w:tc>
        <w:tc>
          <w:tcPr>
            <w:tcW w:w="698"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检查项目</w:t>
            </w:r>
            <w:r>
              <w:rPr>
                <w:rFonts w:hint="eastAsia" w:ascii="宋体" w:hAnsi="宋体" w:cs="宋体"/>
                <w:color w:val="000000"/>
                <w:szCs w:val="21"/>
                <w:highlight w:val="none"/>
                <w:lang w:eastAsia="en-US"/>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检查标准</w:t>
            </w:r>
            <w:r>
              <w:rPr>
                <w:rFonts w:hint="eastAsia" w:ascii="宋体" w:hAnsi="宋体" w:cs="宋体"/>
                <w:color w:val="000000"/>
                <w:szCs w:val="21"/>
                <w:highlight w:val="none"/>
                <w:lang w:eastAsia="en-US"/>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扣分办法</w:t>
            </w:r>
            <w:r>
              <w:rPr>
                <w:rFonts w:hint="eastAsia" w:ascii="宋体" w:hAnsi="宋体" w:cs="宋体"/>
                <w:color w:val="000000"/>
                <w:szCs w:val="21"/>
                <w:highlight w:val="none"/>
                <w:lang w:eastAsia="en-US"/>
              </w:rPr>
            </w:r>
            <w:r/>
          </w:p>
        </w:tc>
      </w:tr>
      <w:tr>
        <w:trPr>
          <w:trHeight w:val="581"/>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任务响应</w:t>
            </w:r>
            <w:r>
              <w:rPr>
                <w:rFonts w:hint="eastAsia" w:ascii="宋体" w:hAnsi="宋体" w:cs="宋体"/>
                <w:color w:val="000000"/>
                <w:szCs w:val="21"/>
                <w:highlight w:val="none"/>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考核单位发现问题，运维单位需1小时内给予回复，明确整改完成时限，并在规定时间完成整改</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未及时回复，一次扣1分；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未明确整改完成时限，一次扣1分；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未在规定时间完成整改，一次扣2分</w:t>
            </w:r>
            <w:r>
              <w:rPr>
                <w:rFonts w:hint="eastAsia" w:ascii="宋体" w:hAnsi="宋体" w:cs="宋体"/>
                <w:color w:val="000000"/>
                <w:szCs w:val="21"/>
                <w:highlight w:val="none"/>
              </w:rPr>
            </w:r>
            <w:r/>
          </w:p>
        </w:tc>
      </w:tr>
      <w:tr>
        <w:trPr>
          <w:trHeight w:val="691"/>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考核单位下发的专项任务，运维单位需1小时内给予回复，严格遵照执行，并在规定时间完成上报反馈</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未及时回复，一次扣1分；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未遵照执行，一次扣2分；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未在规定时间完成上报反馈，一次扣2分</w:t>
            </w:r>
            <w:r>
              <w:rPr>
                <w:rFonts w:hint="eastAsia" w:ascii="宋体" w:hAnsi="宋体" w:cs="宋体"/>
                <w:color w:val="000000"/>
                <w:szCs w:val="21"/>
                <w:highlight w:val="none"/>
              </w:rPr>
            </w:r>
            <w:r/>
          </w:p>
        </w:tc>
      </w:tr>
      <w:tr>
        <w:trPr>
          <w:trHeight w:val="1261"/>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3</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建立周例会制度，每周召开运维项目周例会，对上周工作进行小结，对本周工作进行具体安排，形成会议记录及台账</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未召开周例会，一次扣1分；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未形成会议记录，一次扣1分</w:t>
            </w:r>
            <w:r>
              <w:rPr>
                <w:rFonts w:hint="eastAsia" w:ascii="宋体" w:hAnsi="宋体" w:cs="宋体"/>
                <w:color w:val="000000"/>
                <w:szCs w:val="21"/>
                <w:highlight w:val="none"/>
              </w:rPr>
            </w:r>
            <w:r/>
          </w:p>
        </w:tc>
      </w:tr>
      <w:tr>
        <w:trPr>
          <w:trHeight w:val="711"/>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4</w:t>
            </w:r>
            <w:r>
              <w:rPr>
                <w:rFonts w:hint="eastAsia" w:ascii="宋体" w:hAnsi="宋体" w:cs="宋体"/>
                <w:color w:val="000000"/>
                <w:szCs w:val="21"/>
                <w:highlight w:val="none"/>
                <w:lang w:eastAsia="en-US"/>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台账管理</w:t>
            </w:r>
            <w:r>
              <w:rPr>
                <w:rFonts w:hint="eastAsia" w:ascii="宋体" w:hAnsi="宋体" w:cs="宋体"/>
                <w:color w:val="000000"/>
                <w:szCs w:val="21"/>
                <w:highlight w:val="none"/>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各类台账齐全完备，数据真实有效无缺失</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台账不完备，一处扣1分；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数据缺失遗漏、虚假伪造，一处扣2分</w:t>
            </w:r>
            <w:r>
              <w:rPr>
                <w:rFonts w:hint="eastAsia" w:ascii="宋体" w:hAnsi="宋体" w:cs="宋体"/>
                <w:color w:val="000000"/>
                <w:szCs w:val="21"/>
                <w:highlight w:val="none"/>
              </w:rPr>
            </w:r>
            <w:r/>
          </w:p>
        </w:tc>
      </w:tr>
      <w:tr>
        <w:trPr>
          <w:trHeight w:val="796"/>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5</w:t>
            </w:r>
            <w:r>
              <w:rPr>
                <w:rFonts w:hint="eastAsia" w:ascii="宋体" w:hAnsi="宋体" w:cs="宋体"/>
                <w:color w:val="000000"/>
                <w:szCs w:val="21"/>
                <w:highlight w:val="none"/>
                <w:lang w:eastAsia="en-US"/>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落实日常巡查、设备维修、网络安全等台账资料的填报、整理、存档工作，并随时做好上报迎查的准备</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未及时填报、整理、存档台账资料，一处扣1分；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上报超出规定时间节点的，一处扣2分</w:t>
            </w:r>
            <w:r>
              <w:rPr>
                <w:rFonts w:hint="eastAsia" w:ascii="宋体" w:hAnsi="宋体" w:cs="宋体"/>
                <w:color w:val="000000"/>
                <w:szCs w:val="21"/>
                <w:highlight w:val="none"/>
              </w:rPr>
            </w:r>
            <w:r/>
          </w:p>
        </w:tc>
      </w:tr>
      <w:tr>
        <w:trPr>
          <w:trHeight w:val="950"/>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应急保障管理</w:t>
            </w:r>
            <w:r>
              <w:rPr>
                <w:rFonts w:hint="eastAsia" w:ascii="宋体" w:hAnsi="宋体" w:cs="宋体"/>
                <w:color w:val="000000"/>
                <w:szCs w:val="21"/>
                <w:highlight w:val="none"/>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在上级部门开展调研、观摩、交流学习等工作时，运维单位要全程做好系统应急保障管理，确保系统平稳运行；</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未及时安排应急保障，扣2分；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因应急保障不力造成不良影响的，一次扣4分</w:t>
            </w:r>
            <w:r>
              <w:rPr>
                <w:rFonts w:hint="eastAsia" w:ascii="宋体" w:hAnsi="宋体" w:cs="宋体"/>
                <w:color w:val="000000"/>
                <w:szCs w:val="21"/>
                <w:highlight w:val="none"/>
              </w:rPr>
            </w:r>
            <w:r/>
          </w:p>
        </w:tc>
      </w:tr>
      <w:tr>
        <w:trPr>
          <w:trHeight w:val="676"/>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在水务主管部门开展重大活动（如防汛演练等）时，涉及智慧水务系统运用的，运维单位须全程参与，做好系统的现场保障工作</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未及时安排应急保障，扣2分；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因现场保障不力造成活动进程受阻的，一次扣4分</w:t>
            </w:r>
            <w:r>
              <w:rPr>
                <w:rFonts w:hint="eastAsia" w:ascii="宋体" w:hAnsi="宋体" w:cs="宋体"/>
                <w:color w:val="000000"/>
                <w:szCs w:val="21"/>
                <w:highlight w:val="none"/>
              </w:rPr>
            </w:r>
            <w:r/>
          </w:p>
        </w:tc>
      </w:tr>
      <w:tr>
        <w:trPr>
          <w:trHeight w:val="1464"/>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698" w:type="dxa"/>
            <w:vAlign w:val="center"/>
            <w:vMerge w:val="restart"/>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网络安全维护</w:t>
            </w:r>
            <w:r>
              <w:rPr>
                <w:rFonts w:hint="eastAsia" w:ascii="宋体" w:hAnsi="宋体" w:cs="宋体"/>
                <w:color w:val="000000"/>
                <w:szCs w:val="21"/>
                <w:highlight w:val="none"/>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根据上级部门下发的关于网络安全检查、维护的相关要求，切实做好系统的数据安全管理工作，不得发生网络安全事故</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未按照要求做好网络安全工作，扣2分；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因运维不力导致发生安全网络事故的，一次扣2分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情节严重被上级部门通报批评的，加倍扣分</w:t>
            </w:r>
            <w:r>
              <w:rPr>
                <w:rFonts w:hint="eastAsia" w:ascii="宋体" w:hAnsi="宋体" w:cs="宋体"/>
                <w:color w:val="000000"/>
                <w:szCs w:val="21"/>
                <w:highlight w:val="none"/>
              </w:rPr>
            </w:r>
            <w:r/>
          </w:p>
        </w:tc>
      </w:tr>
      <w:tr>
        <w:trPr>
          <w:trHeight w:val="1054"/>
        </w:trPr>
        <w:tc>
          <w:tcPr>
            <w:tcW w:w="324"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98" w:type="dxa"/>
            <w:vAlign w:val="center"/>
            <w:vMerge w:val="continue"/>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1966"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每季度定期开展网络安全隐患排查、网络安全自检活动，发现问题立即整改到位。并做好台账资料留存</w:t>
            </w:r>
            <w:r>
              <w:rPr>
                <w:rFonts w:hint="eastAsia" w:ascii="宋体" w:hAnsi="宋体" w:cs="宋体"/>
                <w:color w:val="000000"/>
                <w:szCs w:val="21"/>
                <w:highlight w:val="none"/>
              </w:rPr>
            </w:r>
            <w:r/>
          </w:p>
        </w:tc>
        <w:tc>
          <w:tcPr>
            <w:tcW w:w="2010" w:type="dxa"/>
            <w:vAlign w:val="center"/>
            <w:textDirection w:val="lrTb"/>
            <w:noWrap w:val="false"/>
          </w:tcPr>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未定期开展的，一次扣2分；</w:t>
            </w:r>
            <w:r>
              <w:rPr>
                <w:rFonts w:hint="eastAsia" w:ascii="宋体" w:hAnsi="宋体" w:cs="宋体"/>
                <w:color w:val="000000"/>
                <w:szCs w:val="21"/>
                <w:highlight w:val="none"/>
              </w:rPr>
            </w:r>
            <w:r/>
          </w:p>
          <w:p>
            <w:pPr>
              <w:pStyle w:val="1043"/>
              <w:jc w:val="left"/>
              <w:spacing w:line="28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未做好记录留存的，扣2分</w:t>
            </w:r>
            <w:r>
              <w:rPr>
                <w:rFonts w:hint="eastAsia" w:ascii="宋体" w:hAnsi="宋体" w:cs="宋体"/>
                <w:color w:val="000000"/>
                <w:szCs w:val="21"/>
                <w:highlight w:val="none"/>
              </w:rPr>
            </w:r>
            <w:r/>
          </w:p>
        </w:tc>
      </w:tr>
    </w:tbl>
    <w:p>
      <w:pPr>
        <w:pStyle w:val="1043"/>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3"/>
        <w:widowControl w:val="off"/>
        <w:rPr>
          <w:rFonts w:ascii="宋体" w:hAnsi="宋体"/>
          <w:color w:val="000000"/>
          <w:szCs w:val="21"/>
          <w:highlight w:val="none"/>
        </w:rPr>
      </w:pPr>
      <w:r>
        <w:rPr>
          <w:rFonts w:ascii="宋体" w:hAnsi="宋体"/>
          <w:color w:val="000000"/>
          <w:szCs w:val="21"/>
          <w:highlight w:val="none"/>
        </w:rPr>
      </w:r>
      <w:r/>
    </w:p>
    <w:p>
      <w:pPr>
        <w:pStyle w:val="1043"/>
        <w:ind w:firstLine="420"/>
        <w:jc w:val="left"/>
        <w:spacing w:line="360" w:lineRule="auto"/>
        <w:rPr>
          <w:bCs/>
          <w:color w:val="000000"/>
          <w:szCs w:val="21"/>
          <w:highlight w:val="none"/>
        </w:rPr>
      </w:pPr>
      <w:r>
        <w:rPr>
          <w:bCs/>
          <w:color w:val="000000"/>
          <w:szCs w:val="21"/>
          <w:highlight w:val="none"/>
        </w:rPr>
      </w:r>
      <w:r/>
    </w:p>
    <w:p>
      <w:pPr>
        <w:pStyle w:val="1043"/>
        <w:jc w:val="center"/>
        <w:rPr>
          <w:rStyle w:val="1104"/>
          <w:rFonts w:hint="eastAsia"/>
          <w:color w:val="000000"/>
          <w:sz w:val="36"/>
          <w:szCs w:val="36"/>
          <w:highlight w:val="none"/>
        </w:rPr>
        <w:outlineLvl w:val="0"/>
      </w:pPr>
      <w:r>
        <w:rPr>
          <w:rStyle w:val="1104"/>
          <w:rFonts w:hint="eastAsia"/>
          <w:color w:val="000000"/>
          <w:sz w:val="36"/>
          <w:szCs w:val="36"/>
          <w:highlight w:val="none"/>
        </w:rPr>
        <w:br w:type="page" w:clear="all"/>
      </w:r>
      <w:bookmarkStart w:id="70" w:name="_Toc25585"/>
      <w:r/>
      <w:bookmarkStart w:id="71" w:name="_Toc4073"/>
      <w:r>
        <w:rPr>
          <w:rStyle w:val="1104"/>
          <w:rFonts w:hint="eastAsia"/>
          <w:color w:val="000000"/>
          <w:sz w:val="36"/>
          <w:szCs w:val="36"/>
          <w:highlight w:val="none"/>
        </w:rPr>
        <w:t xml:space="preserve">第六章 附    件</w:t>
      </w:r>
      <w:bookmarkEnd w:id="70"/>
      <w:r/>
      <w:bookmarkEnd w:id="71"/>
      <w:r>
        <w:rPr>
          <w:rStyle w:val="1104"/>
          <w:rFonts w:hint="eastAsia"/>
          <w:color w:val="000000"/>
          <w:sz w:val="36"/>
          <w:szCs w:val="36"/>
          <w:highlight w:val="none"/>
        </w:rPr>
      </w:r>
      <w:r/>
    </w:p>
    <w:p>
      <w:pPr>
        <w:pStyle w:val="1043"/>
        <w:spacing w:line="440" w:lineRule="exact"/>
        <w:rPr>
          <w:rStyle w:val="1168"/>
          <w:rFonts w:ascii="宋体"/>
          <w:color w:val="000000"/>
          <w:sz w:val="20"/>
          <w:szCs w:val="20"/>
          <w:highlight w:val="none"/>
        </w:rPr>
      </w:pPr>
      <w:r>
        <w:rPr>
          <w:rStyle w:val="1168"/>
          <w:rFonts w:ascii="宋体"/>
          <w:color w:val="000000"/>
          <w:sz w:val="20"/>
          <w:szCs w:val="20"/>
          <w:highlight w:val="none"/>
        </w:rPr>
      </w:r>
      <w:r/>
    </w:p>
    <w:p>
      <w:pPr>
        <w:pStyle w:val="1043"/>
        <w:spacing w:line="440" w:lineRule="exact"/>
        <w:rPr>
          <w:rStyle w:val="1168"/>
          <w:rFonts w:ascii="宋体"/>
          <w:color w:val="000000"/>
          <w:sz w:val="20"/>
          <w:szCs w:val="20"/>
          <w:highlight w:val="none"/>
        </w:rPr>
      </w:pPr>
      <w:r>
        <w:rPr>
          <w:rStyle w:val="1168"/>
          <w:rFonts w:ascii="宋体"/>
          <w:color w:val="000000"/>
          <w:sz w:val="20"/>
          <w:szCs w:val="20"/>
          <w:highlight w:val="none"/>
        </w:rPr>
      </w:r>
      <w:r/>
    </w:p>
    <w:p>
      <w:pPr>
        <w:pStyle w:val="1043"/>
        <w:spacing w:line="440" w:lineRule="exact"/>
        <w:rPr>
          <w:rStyle w:val="1168"/>
          <w:rFonts w:ascii="宋体"/>
          <w:color w:val="000000"/>
          <w:sz w:val="20"/>
          <w:szCs w:val="20"/>
          <w:highlight w:val="none"/>
        </w:rPr>
      </w:pPr>
      <w:r>
        <w:rPr>
          <w:rStyle w:val="1168"/>
          <w:rFonts w:ascii="宋体"/>
          <w:color w:val="000000"/>
          <w:sz w:val="20"/>
          <w:szCs w:val="20"/>
          <w:highlight w:val="none"/>
        </w:rPr>
      </w:r>
      <w:r/>
    </w:p>
    <w:p>
      <w:pPr>
        <w:pStyle w:val="1043"/>
        <w:spacing w:line="440" w:lineRule="exact"/>
        <w:rPr>
          <w:rStyle w:val="1168"/>
          <w:rFonts w:ascii="宋体"/>
          <w:color w:val="000000"/>
          <w:sz w:val="20"/>
          <w:szCs w:val="20"/>
          <w:highlight w:val="none"/>
        </w:rPr>
      </w:pPr>
      <w:r>
        <w:rPr>
          <w:rStyle w:val="1168"/>
          <w:rFonts w:ascii="宋体"/>
          <w:color w:val="000000"/>
          <w:sz w:val="20"/>
          <w:szCs w:val="20"/>
          <w:highlight w:val="none"/>
        </w:rPr>
      </w:r>
      <w:r/>
    </w:p>
    <w:p>
      <w:pPr>
        <w:pStyle w:val="1043"/>
        <w:jc w:val="center"/>
        <w:rPr>
          <w:rStyle w:val="1168"/>
          <w:rFonts w:ascii="宋体"/>
          <w:color w:val="000000"/>
          <w:sz w:val="20"/>
          <w:szCs w:val="20"/>
          <w:highlight w:val="none"/>
        </w:rPr>
      </w:pPr>
      <w:r>
        <w:rPr>
          <w:rStyle w:val="1168"/>
          <w:rFonts w:hint="eastAsia" w:ascii="宋体" w:hAnsi="宋体"/>
          <w:color w:val="000000"/>
          <w:sz w:val="28"/>
          <w:szCs w:val="28"/>
          <w:highlight w:val="none"/>
        </w:rPr>
        <w:t xml:space="preserve">（项目名称、项目编号 ）</w:t>
      </w:r>
      <w:r>
        <w:rPr>
          <w:rStyle w:val="1168"/>
          <w:rFonts w:ascii="宋体"/>
          <w:color w:val="000000"/>
          <w:sz w:val="20"/>
          <w:szCs w:val="20"/>
          <w:highlight w:val="none"/>
        </w:rPr>
      </w:r>
      <w:r/>
    </w:p>
    <w:p>
      <w:pPr>
        <w:pStyle w:val="1043"/>
        <w:rPr>
          <w:rStyle w:val="1168"/>
          <w:rFonts w:ascii="宋体"/>
          <w:color w:val="000000"/>
          <w:sz w:val="20"/>
          <w:szCs w:val="20"/>
          <w:highlight w:val="none"/>
        </w:rPr>
      </w:pPr>
      <w:r>
        <w:rPr>
          <w:rStyle w:val="1168"/>
          <w:rFonts w:ascii="宋体"/>
          <w:color w:val="000000"/>
          <w:sz w:val="20"/>
          <w:szCs w:val="20"/>
          <w:highlight w:val="none"/>
        </w:rPr>
      </w:r>
      <w:r/>
    </w:p>
    <w:p>
      <w:pPr>
        <w:pStyle w:val="1043"/>
        <w:jc w:val="center"/>
        <w:rPr>
          <w:rStyle w:val="1168"/>
          <w:rFonts w:ascii="宋体"/>
          <w:color w:val="000000"/>
          <w:sz w:val="44"/>
          <w:szCs w:val="44"/>
          <w:highlight w:val="none"/>
        </w:rPr>
        <w:outlineLvl w:val="1"/>
      </w:pPr>
      <w:r/>
      <w:bookmarkStart w:id="72" w:name="_Toc29125"/>
      <w:r>
        <w:rPr>
          <w:rStyle w:val="1168"/>
          <w:rFonts w:hint="eastAsia" w:ascii="宋体" w:hAnsi="宋体"/>
          <w:color w:val="000000"/>
          <w:sz w:val="44"/>
          <w:szCs w:val="44"/>
          <w:highlight w:val="none"/>
        </w:rPr>
        <w:t xml:space="preserve">投标文件</w:t>
      </w:r>
      <w:bookmarkEnd w:id="72"/>
      <w:r>
        <w:rPr>
          <w:rStyle w:val="1168"/>
          <w:rFonts w:ascii="宋体"/>
          <w:color w:val="000000"/>
          <w:sz w:val="44"/>
          <w:szCs w:val="44"/>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rPr>
          <w:rStyle w:val="1168"/>
          <w:rFonts w:ascii="宋体"/>
          <w:color w:val="000000"/>
          <w:sz w:val="28"/>
          <w:szCs w:val="28"/>
          <w:highlight w:val="none"/>
        </w:rPr>
      </w:pPr>
      <w:r>
        <w:rPr>
          <w:rStyle w:val="1168"/>
          <w:rFonts w:ascii="宋体"/>
          <w:color w:val="000000"/>
          <w:sz w:val="28"/>
          <w:szCs w:val="28"/>
          <w:highlight w:val="none"/>
        </w:rPr>
      </w:r>
      <w:r/>
    </w:p>
    <w:p>
      <w:pPr>
        <w:pStyle w:val="1043"/>
        <w:jc w:val="center"/>
        <w:rPr>
          <w:rStyle w:val="1168"/>
          <w:rFonts w:ascii="宋体"/>
          <w:color w:val="000000"/>
          <w:sz w:val="28"/>
          <w:szCs w:val="28"/>
          <w:highlight w:val="none"/>
          <w:u w:val="single"/>
        </w:rPr>
      </w:pPr>
      <w:r>
        <w:rPr>
          <w:rStyle w:val="1168"/>
          <w:rFonts w:hint="eastAsia" w:ascii="宋体" w:hAnsi="宋体"/>
          <w:color w:val="000000"/>
          <w:sz w:val="28"/>
          <w:szCs w:val="28"/>
          <w:highlight w:val="none"/>
        </w:rPr>
        <w:t xml:space="preserve">投标人：（加盖电子公章）</w:t>
      </w:r>
      <w:r>
        <w:rPr>
          <w:rStyle w:val="1168"/>
          <w:rFonts w:ascii="宋体"/>
          <w:color w:val="000000"/>
          <w:sz w:val="28"/>
          <w:szCs w:val="28"/>
          <w:highlight w:val="none"/>
          <w:u w:val="single"/>
        </w:rPr>
      </w:r>
      <w:r/>
    </w:p>
    <w:p>
      <w:pPr>
        <w:pStyle w:val="1043"/>
        <w:jc w:val="center"/>
        <w:rPr>
          <w:rStyle w:val="1168"/>
          <w:rFonts w:ascii="宋体"/>
          <w:color w:val="000000"/>
          <w:sz w:val="28"/>
          <w:szCs w:val="28"/>
          <w:highlight w:val="none"/>
        </w:rPr>
      </w:pPr>
      <w:r>
        <w:rPr>
          <w:rStyle w:val="1168"/>
          <w:rFonts w:hint="eastAsia" w:ascii="宋体" w:hAnsi="宋体"/>
          <w:color w:val="000000"/>
          <w:sz w:val="28"/>
          <w:szCs w:val="28"/>
          <w:highlight w:val="none"/>
        </w:rPr>
        <w:t xml:space="preserve">法定代表人或其委托代理人：（签字）</w:t>
      </w:r>
      <w:r>
        <w:rPr>
          <w:rStyle w:val="1168"/>
          <w:rFonts w:ascii="宋体"/>
          <w:color w:val="000000"/>
          <w:sz w:val="28"/>
          <w:szCs w:val="28"/>
          <w:highlight w:val="none"/>
        </w:rPr>
      </w:r>
      <w:r/>
    </w:p>
    <w:p>
      <w:pPr>
        <w:pStyle w:val="1043"/>
        <w:jc w:val="center"/>
        <w:rPr>
          <w:rStyle w:val="1168"/>
          <w:rFonts w:ascii="宋体"/>
          <w:color w:val="000000"/>
          <w:sz w:val="20"/>
          <w:szCs w:val="20"/>
          <w:highlight w:val="none"/>
        </w:rPr>
      </w:pPr>
      <w:r>
        <w:rPr>
          <w:rStyle w:val="1168"/>
          <w:rFonts w:hint="eastAsia" w:ascii="宋体" w:hAnsi="宋体"/>
          <w:color w:val="000000"/>
          <w:sz w:val="28"/>
          <w:szCs w:val="28"/>
          <w:highlight w:val="none"/>
        </w:rPr>
        <w:t xml:space="preserve">年月日</w:t>
      </w:r>
      <w:r>
        <w:rPr>
          <w:rStyle w:val="1168"/>
          <w:rFonts w:ascii="宋体"/>
          <w:color w:val="000000"/>
          <w:sz w:val="20"/>
          <w:szCs w:val="20"/>
          <w:highlight w:val="none"/>
        </w:rPr>
      </w:r>
      <w:r/>
    </w:p>
    <w:p>
      <w:pPr>
        <w:pStyle w:val="1043"/>
        <w:jc w:val="left"/>
        <w:rPr>
          <w:rStyle w:val="1168"/>
          <w:rFonts w:ascii="宋体"/>
          <w:color w:val="000000"/>
          <w:highlight w:val="none"/>
        </w:rPr>
      </w:pPr>
      <w:r>
        <w:rPr>
          <w:rStyle w:val="1168"/>
          <w:rFonts w:ascii="宋体"/>
          <w:color w:val="000000"/>
          <w:highlight w:val="none"/>
        </w:rPr>
        <w:br w:type="page" w:clear="all"/>
      </w:r>
      <w:r>
        <w:rPr>
          <w:rStyle w:val="1168"/>
          <w:rFonts w:ascii="宋体"/>
          <w:color w:val="000000"/>
          <w:highlight w:val="none"/>
        </w:rPr>
      </w:r>
      <w:r/>
    </w:p>
    <w:p>
      <w:pPr>
        <w:pStyle w:val="1043"/>
        <w:ind w:left="535" w:right="187" w:firstLine="2239"/>
        <w:jc w:val="left"/>
        <w:keepLines/>
        <w:keepNext/>
        <w:spacing w:before="26" w:after="64" w:line="400" w:lineRule="exact"/>
        <w:rPr>
          <w:rFonts w:ascii="宋体" w:hAnsi="宋体"/>
          <w:b/>
          <w:color w:val="000000"/>
          <w:sz w:val="24"/>
          <w:highlight w:val="none"/>
          <w:lang w:val="zh-CN"/>
        </w:rPr>
      </w:pPr>
      <w:r>
        <w:rPr>
          <w:rFonts w:hint="eastAsia" w:ascii="宋体" w:hAnsi="宋体"/>
          <w:b/>
          <w:color w:val="000000"/>
          <w:sz w:val="28"/>
          <w:szCs w:val="28"/>
          <w:highlight w:val="none"/>
        </w:rPr>
        <w:t xml:space="preserve">资格性和符合性检查响应对照表</w:t>
      </w:r>
      <w:r>
        <w:rPr>
          <w:rFonts w:ascii="宋体" w:hAnsi="宋体"/>
          <w:b/>
          <w:color w:val="000000"/>
          <w:sz w:val="24"/>
          <w:highlight w:val="none"/>
          <w:lang w:val="zh-CN"/>
        </w:rPr>
      </w:r>
      <w:r/>
    </w:p>
    <w:p>
      <w:pPr>
        <w:pStyle w:val="1043"/>
        <w:ind w:left="535" w:right="187"/>
        <w:spacing w:before="162" w:line="400" w:lineRule="exact"/>
        <w:rPr>
          <w:rFonts w:ascii="宋体" w:hAnsi="宋体"/>
          <w:color w:val="000000"/>
          <w:spacing w:val="-10"/>
          <w:szCs w:val="21"/>
          <w:highlight w:val="none"/>
        </w:rPr>
      </w:pPr>
      <w:r>
        <w:rPr>
          <w:rFonts w:ascii="宋体" w:hAnsi="宋体"/>
          <w:color w:val="000000"/>
          <w:spacing w:val="-10"/>
          <w:szCs w:val="21"/>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933"/>
        <w:gridCol w:w="4035"/>
        <w:gridCol w:w="2590"/>
        <w:gridCol w:w="1884"/>
      </w:tblGrid>
      <w:tr>
        <w:trPr>
          <w:trHeight w:val="1148"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12" w:line="360" w:lineRule="auto"/>
              <w:rPr>
                <w:rFonts w:ascii="宋体" w:hAnsi="宋体"/>
                <w:color w:val="000000"/>
                <w:szCs w:val="21"/>
                <w:highlight w:val="none"/>
              </w:rPr>
            </w:pPr>
            <w:r>
              <w:rPr>
                <w:rFonts w:ascii="宋体" w:hAnsi="宋体"/>
                <w:b/>
                <w:bCs/>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before="12" w:line="360" w:lineRule="auto"/>
              <w:rPr>
                <w:rFonts w:ascii="宋体" w:hAnsi="宋体"/>
                <w:color w:val="000000"/>
                <w:szCs w:val="21"/>
                <w:highlight w:val="none"/>
              </w:rPr>
            </w:pPr>
            <w:r>
              <w:rPr>
                <w:rFonts w:ascii="宋体" w:hAnsi="宋体"/>
                <w:b/>
                <w:bCs/>
                <w:color w:val="000000"/>
                <w:szCs w:val="21"/>
                <w:highlight w:val="none"/>
              </w:rPr>
              <w:t xml:space="preserve">资格性和符合性检查响应内容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jc w:val="center"/>
              <w:spacing w:before="91" w:line="360" w:lineRule="auto"/>
              <w:rPr>
                <w:rFonts w:ascii="宋体" w:hAnsi="宋体"/>
                <w:b/>
                <w:bCs/>
                <w:color w:val="000000"/>
                <w:szCs w:val="21"/>
                <w:highlight w:val="none"/>
              </w:rPr>
            </w:pPr>
            <w:r>
              <w:rPr>
                <w:rFonts w:ascii="宋体" w:hAnsi="宋体"/>
                <w:b/>
                <w:bCs/>
                <w:color w:val="000000"/>
                <w:szCs w:val="21"/>
                <w:highlight w:val="none"/>
              </w:rPr>
              <w:t xml:space="preserve">是否响应</w:t>
            </w:r>
            <w:r>
              <w:rPr>
                <w:rFonts w:ascii="宋体" w:hAnsi="宋体"/>
                <w:b/>
                <w:bCs/>
                <w:color w:val="000000"/>
                <w:szCs w:val="21"/>
                <w:highlight w:val="none"/>
              </w:rPr>
            </w:r>
            <w:r/>
          </w:p>
          <w:p>
            <w:pPr>
              <w:pStyle w:val="1043"/>
              <w:jc w:val="center"/>
              <w:spacing w:before="91" w:line="360" w:lineRule="auto"/>
              <w:rPr>
                <w:rFonts w:ascii="宋体" w:hAnsi="宋体"/>
                <w:color w:val="000000"/>
                <w:szCs w:val="21"/>
                <w:highlight w:val="none"/>
              </w:rPr>
            </w:pPr>
            <w:r>
              <w:rPr>
                <w:rFonts w:ascii="宋体" w:hAnsi="宋体"/>
                <w:b/>
                <w:bCs/>
                <w:color w:val="000000"/>
                <w:szCs w:val="21"/>
                <w:highlight w:val="none"/>
              </w:rPr>
              <w:t xml:space="preserve">（填是或者否）</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36"/>
              <w:jc w:val="center"/>
              <w:spacing w:before="124" w:line="360" w:lineRule="auto"/>
              <w:rPr>
                <w:rFonts w:ascii="宋体" w:hAnsi="宋体"/>
                <w:color w:val="000000"/>
                <w:szCs w:val="21"/>
                <w:highlight w:val="none"/>
              </w:rPr>
            </w:pPr>
            <w:r>
              <w:rPr>
                <w:rFonts w:ascii="宋体" w:hAnsi="宋体"/>
                <w:b/>
                <w:bCs/>
                <w:color w:val="000000"/>
                <w:szCs w:val="21"/>
                <w:highlight w:val="none"/>
              </w:rPr>
              <w:t xml:space="preserve">投标文件中的页码位置</w:t>
            </w: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20"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7</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8</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9</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43"/>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10</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43"/>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43"/>
        <w:rPr>
          <w:color w:val="000000"/>
          <w:highlight w:val="none"/>
        </w:rPr>
      </w:pPr>
      <w:r>
        <w:rPr>
          <w:color w:val="000000"/>
          <w:highlight w:val="none"/>
        </w:rPr>
      </w:r>
      <w:r/>
    </w:p>
    <w:p>
      <w:pPr>
        <w:pStyle w:val="1043"/>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43"/>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43"/>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43"/>
        <w:rPr>
          <w:color w:val="000000"/>
          <w:highlight w:val="none"/>
        </w:rPr>
      </w:pPr>
      <w:r>
        <w:rPr>
          <w:color w:val="000000"/>
          <w:highlight w:val="none"/>
        </w:rPr>
      </w:r>
      <w:r/>
    </w:p>
    <w:p>
      <w:pPr>
        <w:pStyle w:val="1043"/>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目录</w:t>
      </w:r>
      <w:r>
        <w:rPr>
          <w:rFonts w:ascii="宋体" w:hAnsi="宋体" w:cs="宋体"/>
          <w:b/>
          <w:bCs/>
          <w:color w:val="000000"/>
          <w:sz w:val="32"/>
          <w:szCs w:val="32"/>
          <w:highlight w:val="none"/>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ind w:left="722"/>
              <w:jc w:val="center"/>
              <w:rPr>
                <w:color w:val="000000"/>
                <w:sz w:val="24"/>
                <w:highlight w:val="none"/>
              </w:rPr>
              <w:framePr w:vAnchor="text" w:hAnchor="page" w:x="1627" w:y="414"/>
            </w:pPr>
            <w:r>
              <w:rPr>
                <w:rFonts w:hint="eastAsia" w:ascii="宋体" w:hAnsi="宋体"/>
                <w:b/>
                <w:color w:val="000000"/>
                <w:highlight w:val="none"/>
              </w:rPr>
              <w:t xml:space="preserve">内   容</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ind w:left="625"/>
              <w:rPr>
                <w:color w:val="000000"/>
                <w:sz w:val="24"/>
                <w:highlight w:val="none"/>
              </w:rPr>
              <w:framePr w:vAnchor="text" w:hAnchor="page" w:x="1627" w:y="414"/>
            </w:pPr>
            <w:r>
              <w:rPr>
                <w:rFonts w:hint="eastAsia" w:ascii="宋体" w:hAnsi="宋体"/>
                <w:b/>
                <w:color w:val="000000"/>
                <w:highlight w:val="none"/>
              </w:rPr>
              <w:t xml:space="preserve">在投标文件中的页码位置</w:t>
            </w: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3"/>
              <w:rPr>
                <w:color w:val="000000"/>
                <w:sz w:val="24"/>
                <w:highlight w:val="none"/>
              </w:rPr>
              <w:framePr w:vAnchor="text" w:hAnchor="page" w:x="1627" w:y="414"/>
            </w:pPr>
            <w:r>
              <w:rPr>
                <w:color w:val="000000"/>
                <w:sz w:val="24"/>
                <w:highlight w:val="none"/>
              </w:rPr>
            </w:r>
            <w:r/>
          </w:p>
        </w:tc>
      </w:tr>
    </w:tbl>
    <w:p>
      <w:pPr>
        <w:pStyle w:val="1043"/>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43"/>
        <w:spacing w:line="440" w:lineRule="exact"/>
        <w:rPr>
          <w:b/>
          <w:color w:val="000000"/>
          <w:highlight w:val="none"/>
        </w:rPr>
      </w:pPr>
      <w:r>
        <w:rPr>
          <w:b/>
          <w:color w:val="000000"/>
          <w:highlight w:val="none"/>
        </w:rPr>
      </w:r>
      <w:r/>
    </w:p>
    <w:p>
      <w:pPr>
        <w:pStyle w:val="1043"/>
        <w:spacing w:line="440" w:lineRule="exact"/>
        <w:rPr>
          <w:rStyle w:val="1168"/>
          <w:rFonts w:ascii="宋体"/>
          <w:color w:val="000000"/>
          <w:szCs w:val="21"/>
          <w:highlight w:val="none"/>
        </w:rPr>
      </w:pPr>
      <w:r>
        <w:rPr>
          <w:rStyle w:val="1168"/>
          <w:rFonts w:hint="eastAsia" w:ascii="宋体" w:hAnsi="宋体"/>
          <w:b/>
          <w:bCs/>
          <w:color w:val="000000"/>
          <w:szCs w:val="21"/>
          <w:highlight w:val="none"/>
        </w:rPr>
        <w:t xml:space="preserve">附件一、投标申请及声明格式</w:t>
      </w:r>
      <w:r>
        <w:rPr>
          <w:rStyle w:val="1168"/>
          <w:rFonts w:ascii="宋体"/>
          <w:color w:val="000000"/>
          <w:szCs w:val="21"/>
          <w:highlight w:val="none"/>
        </w:rPr>
      </w:r>
      <w:r/>
    </w:p>
    <w:p>
      <w:pPr>
        <w:pStyle w:val="1043"/>
        <w:jc w:val="center"/>
        <w:spacing w:line="360" w:lineRule="auto"/>
        <w:shd w:val="clear" w:color="auto" w:fill="ffffff"/>
        <w:rPr>
          <w:rStyle w:val="1168"/>
          <w:rFonts w:ascii="宋体"/>
          <w:color w:val="000000"/>
          <w:szCs w:val="21"/>
          <w:highlight w:val="none"/>
        </w:rPr>
      </w:pPr>
      <w:r>
        <w:rPr>
          <w:rStyle w:val="1168"/>
          <w:rFonts w:hint="eastAsia" w:ascii="宋体" w:hAnsi="宋体"/>
          <w:color w:val="000000"/>
          <w:sz w:val="36"/>
          <w:szCs w:val="36"/>
          <w:highlight w:val="none"/>
        </w:rPr>
        <w:t xml:space="preserve">投标申请及声明</w:t>
      </w:r>
      <w:r>
        <w:rPr>
          <w:rStyle w:val="1168"/>
          <w:rFonts w:ascii="宋体"/>
          <w:color w:val="000000"/>
          <w:szCs w:val="21"/>
          <w:highlight w:val="none"/>
        </w:rPr>
      </w:r>
      <w:r/>
    </w:p>
    <w:p>
      <w:pPr>
        <w:pStyle w:val="1043"/>
        <w:spacing w:line="360" w:lineRule="auto"/>
        <w:shd w:val="clear" w:color="auto" w:fill="ffffff"/>
        <w:rPr>
          <w:rStyle w:val="1168"/>
          <w:rFonts w:hint="eastAsia" w:ascii="宋体" w:eastAsia="宋体"/>
          <w:color w:val="000000"/>
          <w:szCs w:val="21"/>
          <w:highlight w:val="none"/>
          <w:lang w:eastAsia="zh-CN"/>
        </w:rPr>
      </w:pPr>
      <w:r>
        <w:rPr>
          <w:rStyle w:val="1168"/>
          <w:rFonts w:ascii="宋体"/>
          <w:color w:val="000000"/>
          <w:szCs w:val="21"/>
          <w:highlight w:val="none"/>
        </w:rPr>
        <w:t xml:space="preserve"> </w:t>
      </w:r>
      <w:r>
        <w:rPr>
          <w:rStyle w:val="1168"/>
          <w:rFonts w:hint="eastAsia" w:ascii="宋体" w:hAnsi="宋体"/>
          <w:color w:val="000000"/>
          <w:szCs w:val="21"/>
          <w:highlight w:val="none"/>
        </w:rPr>
        <w:t xml:space="preserve">致：</w:t>
      </w:r>
      <w:r>
        <w:rPr>
          <w:rStyle w:val="1168"/>
          <w:rFonts w:hint="eastAsia" w:ascii="宋体" w:hAnsi="宋体"/>
          <w:color w:val="000000"/>
          <w:szCs w:val="21"/>
          <w:highlight w:val="none"/>
          <w:lang w:eastAsia="zh-CN"/>
        </w:rPr>
        <w:t xml:space="preserve">南京市鼓楼区水务设施综合养护中心</w:t>
      </w:r>
      <w:r>
        <w:rPr>
          <w:rStyle w:val="1168"/>
          <w:rFonts w:hint="eastAsia" w:ascii="宋体" w:eastAsia="宋体"/>
          <w:color w:val="000000"/>
          <w:szCs w:val="21"/>
          <w:highlight w:val="none"/>
          <w:lang w:eastAsia="zh-CN"/>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根据贵方</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b/>
          <w:bCs/>
          <w:color w:val="000000"/>
          <w:szCs w:val="21"/>
          <w:highlight w:val="none"/>
          <w:u w:val="single"/>
        </w:rPr>
        <w:t xml:space="preserve">（</w:t>
      </w:r>
      <w:r>
        <w:rPr>
          <w:rStyle w:val="1168"/>
          <w:rFonts w:hint="eastAsia" w:ascii="宋体" w:hAnsi="宋体"/>
          <w:b/>
          <w:bCs/>
          <w:color w:val="000000"/>
          <w:szCs w:val="21"/>
          <w:highlight w:val="none"/>
        </w:rPr>
        <w:t xml:space="preserve">项目名称</w:t>
      </w:r>
      <w:r>
        <w:rPr>
          <w:rStyle w:val="1168"/>
          <w:rFonts w:hint="eastAsia" w:ascii="宋体" w:hAnsi="宋体"/>
          <w:color w:val="000000"/>
          <w:szCs w:val="21"/>
          <w:highlight w:val="none"/>
        </w:rPr>
        <w:t xml:space="preserve">）</w:t>
      </w:r>
      <w:r>
        <w:rPr>
          <w:rStyle w:val="1168"/>
          <w:rFonts w:ascii="宋体"/>
          <w:color w:val="000000"/>
          <w:highlight w:val="none"/>
        </w:rPr>
        <w:t xml:space="preserve"> </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（项目编号）投标邀请，正式授权下述签字人</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ascii="宋体" w:hAnsi="宋体"/>
          <w:color w:val="000000"/>
          <w:szCs w:val="21"/>
          <w:highlight w:val="none"/>
        </w:rPr>
        <w:t xml:space="preserve">(</w:t>
      </w:r>
      <w:r>
        <w:rPr>
          <w:rStyle w:val="1168"/>
          <w:rFonts w:hint="eastAsia" w:ascii="宋体" w:hAnsi="宋体"/>
          <w:color w:val="000000"/>
          <w:szCs w:val="21"/>
          <w:highlight w:val="none"/>
        </w:rPr>
        <w:t xml:space="preserve">姓名和职务</w:t>
      </w:r>
      <w:r>
        <w:rPr>
          <w:rStyle w:val="1168"/>
          <w:rFonts w:ascii="宋体" w:hAnsi="宋体"/>
          <w:color w:val="000000"/>
          <w:szCs w:val="21"/>
          <w:highlight w:val="none"/>
        </w:rPr>
        <w:t xml:space="preserve">)</w:t>
      </w:r>
      <w:r>
        <w:rPr>
          <w:rStyle w:val="1168"/>
          <w:rFonts w:hint="eastAsia" w:ascii="宋体" w:hAnsi="宋体"/>
          <w:color w:val="000000"/>
          <w:szCs w:val="21"/>
          <w:highlight w:val="none"/>
        </w:rPr>
        <w:t xml:space="preserve">代表投标人</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（投标人名称），提交投标文件。</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据此函，签字人兹宣布声明和承诺如下：</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hAnsi="宋体"/>
          <w:color w:val="000000"/>
          <w:szCs w:val="21"/>
          <w:highlight w:val="none"/>
        </w:rPr>
        <w:t xml:space="preserve">1</w:t>
      </w:r>
      <w:r>
        <w:rPr>
          <w:rStyle w:val="1168"/>
          <w:rFonts w:hint="eastAsia" w:ascii="宋体" w:hAnsi="宋体"/>
          <w:color w:val="000000"/>
          <w:szCs w:val="21"/>
          <w:highlight w:val="none"/>
        </w:rPr>
        <w:t xml:space="preserve">、</w:t>
      </w:r>
      <w:r>
        <w:rPr>
          <w:rStyle w:val="1168"/>
          <w:rFonts w:hint="eastAsia" w:ascii="宋体" w:hAnsi="宋体"/>
          <w:b/>
          <w:bCs/>
          <w:color w:val="000000"/>
          <w:szCs w:val="21"/>
          <w:highlight w:val="none"/>
        </w:rPr>
        <w:t xml:space="preserve">我们的资格条件完全符合政府采购法和本次招标要求</w:t>
      </w:r>
      <w:r>
        <w:rPr>
          <w:rStyle w:val="1168"/>
          <w:rFonts w:hint="eastAsia" w:ascii="宋体" w:hAnsi="宋体"/>
          <w:color w:val="000000"/>
          <w:szCs w:val="21"/>
          <w:highlight w:val="none"/>
        </w:rPr>
        <w:t xml:space="preserve">，我们同意并向贵方提供了与投标有关的所有证据和资料。</w:t>
      </w:r>
      <w:r>
        <w:rPr>
          <w:rStyle w:val="1168"/>
          <w:rFonts w:ascii="宋体"/>
          <w:color w:val="000000"/>
          <w:szCs w:val="21"/>
          <w:highlight w:val="none"/>
        </w:rPr>
      </w:r>
      <w:r/>
    </w:p>
    <w:p>
      <w:pPr>
        <w:pStyle w:val="1043"/>
        <w:ind w:left="420"/>
        <w:spacing w:line="360" w:lineRule="auto"/>
        <w:shd w:val="clear" w:color="auto" w:fill="ffffff"/>
        <w:rPr>
          <w:rStyle w:val="1168"/>
          <w:rFonts w:ascii="宋体"/>
          <w:color w:val="000000"/>
          <w:szCs w:val="21"/>
          <w:highlight w:val="none"/>
        </w:rPr>
      </w:pPr>
      <w:r>
        <w:rPr>
          <w:rStyle w:val="1168"/>
          <w:rFonts w:ascii="宋体" w:hAnsi="宋体"/>
          <w:color w:val="000000"/>
          <w:szCs w:val="21"/>
          <w:highlight w:val="none"/>
        </w:rPr>
        <w:t xml:space="preserve">2</w:t>
      </w:r>
      <w:r>
        <w:rPr>
          <w:rStyle w:val="1168"/>
          <w:rFonts w:hint="eastAsia" w:ascii="宋体" w:hAnsi="宋体"/>
          <w:color w:val="000000"/>
          <w:szCs w:val="21"/>
          <w:highlight w:val="none"/>
        </w:rPr>
        <w:t xml:space="preserve">、按招标要求，我们的投标报价为 </w:t>
      </w:r>
      <w:r>
        <w:rPr>
          <w:rStyle w:val="1168"/>
          <w:rFonts w:hint="eastAsia" w:ascii="宋体" w:hAnsi="宋体"/>
          <w:color w:val="000000"/>
          <w:szCs w:val="21"/>
          <w:highlight w:val="none"/>
          <w:u w:val="single"/>
        </w:rPr>
        <w:t xml:space="preserve">         </w:t>
      </w:r>
      <w:r>
        <w:rPr>
          <w:rStyle w:val="1168"/>
          <w:rFonts w:hint="eastAsia" w:ascii="宋体" w:hAnsi="宋体"/>
          <w:color w:val="000000"/>
          <w:szCs w:val="21"/>
          <w:highlight w:val="none"/>
        </w:rPr>
        <w:t xml:space="preserve">元，大写</w:t>
      </w:r>
      <w:r>
        <w:rPr>
          <w:rStyle w:val="1168"/>
          <w:rFonts w:hint="eastAsia" w:ascii="宋体" w:hAnsi="宋体"/>
          <w:color w:val="000000"/>
          <w:szCs w:val="21"/>
          <w:highlight w:val="none"/>
          <w:u w:val="single"/>
        </w:rPr>
        <w:t xml:space="preserve">           </w:t>
      </w:r>
      <w:r>
        <w:rPr>
          <w:rStyle w:val="1168"/>
          <w:rFonts w:hint="eastAsia" w:ascii="宋体" w:hAnsi="宋体"/>
          <w:color w:val="000000"/>
          <w:szCs w:val="21"/>
          <w:highlight w:val="none"/>
        </w:rPr>
        <w:t xml:space="preserve">元，其中重要设施损坏更换投标折扣率为</w:t>
      </w:r>
      <w:r>
        <w:rPr>
          <w:rStyle w:val="1168"/>
          <w:rFonts w:hint="eastAsia" w:ascii="宋体" w:hAnsi="宋体"/>
          <w:color w:val="000000"/>
          <w:szCs w:val="21"/>
          <w:highlight w:val="none"/>
          <w:u w:val="single"/>
        </w:rPr>
        <w:t xml:space="preserve">     %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u w:val="single"/>
        </w:rPr>
      </w:pPr>
      <w:r>
        <w:rPr>
          <w:rStyle w:val="1168"/>
          <w:rFonts w:ascii="宋体" w:hAnsi="宋体"/>
          <w:color w:val="000000"/>
          <w:szCs w:val="21"/>
          <w:highlight w:val="none"/>
        </w:rPr>
        <w:t xml:space="preserve">3</w:t>
      </w:r>
      <w:r>
        <w:rPr>
          <w:rStyle w:val="1168"/>
          <w:rFonts w:hint="eastAsia" w:ascii="宋体" w:hAnsi="宋体"/>
          <w:color w:val="000000"/>
          <w:szCs w:val="21"/>
          <w:highlight w:val="none"/>
        </w:rPr>
        <w:t xml:space="preserve">、合同履行期为</w:t>
      </w:r>
      <w:r>
        <w:rPr>
          <w:rStyle w:val="1168"/>
          <w:rFonts w:hint="eastAsia" w:ascii="宋体" w:hAnsi="宋体"/>
          <w:color w:val="000000"/>
          <w:szCs w:val="21"/>
          <w:highlight w:val="none"/>
          <w:u w:val="single"/>
        </w:rPr>
        <w:t xml:space="preserve">：（按招标文件要求）                </w:t>
      </w:r>
      <w:r>
        <w:rPr>
          <w:rStyle w:val="1168"/>
          <w:rFonts w:ascii="宋体"/>
          <w:color w:val="000000"/>
          <w:szCs w:val="21"/>
          <w:highlight w:val="none"/>
          <w:u w:val="singl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hAnsi="宋体"/>
          <w:color w:val="000000"/>
          <w:szCs w:val="21"/>
          <w:highlight w:val="none"/>
        </w:rPr>
        <w:t xml:space="preserve">4</w:t>
      </w:r>
      <w:r>
        <w:rPr>
          <w:rStyle w:val="1168"/>
          <w:rFonts w:hint="eastAsia" w:ascii="宋体" w:hAnsi="宋体"/>
          <w:color w:val="000000"/>
          <w:szCs w:val="21"/>
          <w:highlight w:val="none"/>
        </w:rPr>
        <w:t xml:space="preserve">、我们已详细审核全部招标文件及其有效补充文件，我们放弃对招标文件任何误解的权利，提交投标文件后，</w:t>
      </w:r>
      <w:r>
        <w:rPr>
          <w:rStyle w:val="1168"/>
          <w:rFonts w:hint="eastAsia" w:ascii="宋体" w:hAnsi="宋体"/>
          <w:b/>
          <w:bCs/>
          <w:color w:val="000000"/>
          <w:szCs w:val="21"/>
          <w:highlight w:val="none"/>
        </w:rPr>
        <w:t xml:space="preserve">不对招标文件本身提出质疑</w:t>
      </w:r>
      <w:r>
        <w:rPr>
          <w:rStyle w:val="1168"/>
          <w:rFonts w:hint="eastAsia" w:ascii="宋体" w:hAnsi="宋体"/>
          <w:color w:val="000000"/>
          <w:szCs w:val="21"/>
          <w:highlight w:val="none"/>
        </w:rPr>
        <w:t xml:space="preserve">。</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5、我们同意从规定的开标日期起遵循本投标文件，并在规定的投标有效期期满之前均具有约束力。</w:t>
      </w:r>
      <w:r>
        <w:rPr>
          <w:rStyle w:val="1168"/>
          <w:rFonts w:ascii="宋体"/>
          <w:color w:val="000000"/>
          <w:szCs w:val="21"/>
          <w:highlight w:val="none"/>
        </w:rPr>
      </w:r>
      <w:r/>
    </w:p>
    <w:p>
      <w:pPr>
        <w:pStyle w:val="1043"/>
        <w:ind w:firstLine="420"/>
        <w:spacing w:line="360" w:lineRule="auto"/>
        <w:rPr>
          <w:rFonts w:ascii="宋体" w:hAnsi="宋体"/>
          <w:color w:val="000000"/>
          <w:szCs w:val="21"/>
          <w:highlight w:val="none"/>
        </w:rPr>
      </w:pPr>
      <w:r>
        <w:rPr>
          <w:rStyle w:val="1168"/>
          <w:rFonts w:hint="eastAsia" w:ascii="宋体" w:hAnsi="宋体"/>
          <w:color w:val="000000"/>
          <w:szCs w:val="21"/>
          <w:highlight w:val="none"/>
        </w:rPr>
        <w:t xml:space="preserve">6、</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7、一旦我方中标，我方将根据招标文件的规定严格履行合同，并保证于承诺的时间完成货物的启动</w:t>
      </w:r>
      <w:r>
        <w:rPr>
          <w:rStyle w:val="1168"/>
          <w:rFonts w:ascii="宋体" w:hAnsi="宋体"/>
          <w:color w:val="000000"/>
          <w:szCs w:val="21"/>
          <w:highlight w:val="none"/>
        </w:rPr>
        <w:t xml:space="preserve">/</w:t>
      </w:r>
      <w:r>
        <w:rPr>
          <w:rStyle w:val="1168"/>
          <w:rFonts w:hint="eastAsia" w:ascii="宋体" w:hAnsi="宋体"/>
          <w:color w:val="000000"/>
          <w:szCs w:val="21"/>
          <w:highlight w:val="none"/>
        </w:rPr>
        <w:t xml:space="preserve">集成、调试等服务，交付采购人验收、使用。</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9、与本投标有关的正式联系方式为：</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地</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址：</w:t>
      </w:r>
      <w:r>
        <w:rPr>
          <w:rStyle w:val="1168"/>
          <w:rFonts w:ascii="宋体"/>
          <w:color w:val="000000"/>
          <w:szCs w:val="21"/>
          <w:highlight w:val="none"/>
          <w:u w:val="singl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电</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话：</w:t>
      </w:r>
      <w:r>
        <w:rPr>
          <w:rStyle w:val="1168"/>
          <w:rFonts w:ascii="宋体"/>
          <w:color w:val="000000"/>
          <w:szCs w:val="21"/>
          <w:highlight w:val="none"/>
          <w:u w:val="singl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传</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真：</w:t>
      </w:r>
      <w:r>
        <w:rPr>
          <w:rStyle w:val="1168"/>
          <w:rFonts w:ascii="宋体"/>
          <w:color w:val="000000"/>
          <w:szCs w:val="21"/>
          <w:highlight w:val="none"/>
          <w:u w:val="singl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u w:val="single"/>
        </w:rPr>
      </w:pPr>
      <w:r>
        <w:rPr>
          <w:rStyle w:val="1168"/>
          <w:rFonts w:hint="eastAsia" w:ascii="宋体" w:hAnsi="宋体"/>
          <w:color w:val="000000"/>
          <w:szCs w:val="21"/>
          <w:highlight w:val="none"/>
        </w:rPr>
        <w:t xml:space="preserve">开户银行： </w:t>
      </w:r>
      <w:r>
        <w:rPr>
          <w:rStyle w:val="1168"/>
          <w:rFonts w:hint="eastAsia" w:ascii="宋体" w:hAnsi="宋体"/>
          <w:color w:val="000000"/>
          <w:szCs w:val="21"/>
          <w:highlight w:val="none"/>
          <w:u w:val="single"/>
        </w:rPr>
        <w:t xml:space="preserve">      </w:t>
      </w:r>
      <w:r>
        <w:rPr>
          <w:rStyle w:val="1168"/>
          <w:rFonts w:ascii="宋体"/>
          <w:color w:val="000000"/>
          <w:szCs w:val="21"/>
          <w:highlight w:val="none"/>
          <w:u w:val="single"/>
        </w:rPr>
      </w:r>
      <w:r/>
    </w:p>
    <w:p>
      <w:pPr>
        <w:pStyle w:val="1043"/>
        <w:ind w:firstLine="420"/>
        <w:spacing w:line="360" w:lineRule="auto"/>
        <w:shd w:val="clear" w:color="auto" w:fill="ffffff"/>
        <w:rPr>
          <w:rStyle w:val="1168"/>
          <w:rFonts w:ascii="宋体"/>
          <w:color w:val="000000"/>
          <w:szCs w:val="21"/>
          <w:highlight w:val="none"/>
          <w:u w:val="single"/>
        </w:rPr>
      </w:pPr>
      <w:r>
        <w:rPr>
          <w:rStyle w:val="1168"/>
          <w:rFonts w:hint="eastAsia" w:ascii="宋体" w:hAnsi="宋体"/>
          <w:color w:val="000000"/>
          <w:szCs w:val="21"/>
          <w:highlight w:val="none"/>
        </w:rPr>
        <w:t xml:space="preserve">银行账号：</w:t>
      </w:r>
      <w:r>
        <w:rPr>
          <w:rStyle w:val="1168"/>
          <w:rFonts w:ascii="宋体"/>
          <w:color w:val="000000"/>
          <w:szCs w:val="21"/>
          <w:highlight w:val="none"/>
          <w:u w:val="singl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投标人授权代表姓名（签字）：</w:t>
      </w:r>
      <w:r>
        <w:rPr>
          <w:rStyle w:val="1168"/>
          <w:rFonts w:ascii="宋体"/>
          <w:color w:val="000000"/>
          <w:szCs w:val="21"/>
          <w:highlight w:val="none"/>
          <w:u w:val="singl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投标人名称：</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（电子公章）</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日</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期：</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年</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月</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日</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p>
      <w:pPr>
        <w:pStyle w:val="1043"/>
        <w:ind w:firstLine="420"/>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p>
      <w:pPr>
        <w:pStyle w:val="1043"/>
        <w:spacing w:line="360" w:lineRule="auto"/>
        <w:shd w:val="clear" w:color="auto" w:fill="ffffff"/>
        <w:rPr>
          <w:rStyle w:val="1168"/>
          <w:rFonts w:ascii="宋体"/>
          <w:b/>
          <w:bCs/>
          <w:color w:val="000000"/>
          <w:szCs w:val="21"/>
          <w:highlight w:val="none"/>
        </w:rPr>
      </w:pPr>
      <w:r>
        <w:rPr>
          <w:rStyle w:val="1168"/>
          <w:rFonts w:ascii="宋体"/>
          <w:b/>
          <w:bCs/>
          <w:color w:val="000000"/>
          <w:szCs w:val="21"/>
          <w:highlight w:val="none"/>
        </w:rPr>
        <w:br w:type="page" w:clear="all"/>
      </w:r>
      <w:r>
        <w:rPr>
          <w:rStyle w:val="1168"/>
          <w:rFonts w:ascii="宋体"/>
          <w:b/>
          <w:bCs/>
          <w:color w:val="000000"/>
          <w:szCs w:val="21"/>
          <w:highlight w:val="none"/>
        </w:rPr>
      </w:r>
      <w:r/>
    </w:p>
    <w:p>
      <w:pPr>
        <w:pStyle w:val="1043"/>
        <w:spacing w:line="360" w:lineRule="auto"/>
        <w:shd w:val="clear" w:color="auto" w:fill="ffffff"/>
        <w:rPr>
          <w:rStyle w:val="1168"/>
          <w:rFonts w:ascii="宋体"/>
          <w:color w:val="000000"/>
          <w:szCs w:val="21"/>
          <w:highlight w:val="none"/>
        </w:rPr>
      </w:pPr>
      <w:r>
        <w:rPr>
          <w:rStyle w:val="1168"/>
          <w:rFonts w:hint="eastAsia" w:ascii="宋体" w:hAnsi="宋体"/>
          <w:b/>
          <w:bCs/>
          <w:color w:val="000000"/>
          <w:szCs w:val="21"/>
          <w:highlight w:val="none"/>
        </w:rPr>
        <w:t xml:space="preserve">附件二、法定代表人授权委托书格式</w:t>
      </w:r>
      <w:r>
        <w:rPr>
          <w:rStyle w:val="1168"/>
          <w:rFonts w:ascii="宋体"/>
          <w:color w:val="000000"/>
          <w:szCs w:val="21"/>
          <w:highlight w:val="none"/>
        </w:rPr>
      </w:r>
      <w:r/>
    </w:p>
    <w:p>
      <w:pPr>
        <w:pStyle w:val="1043"/>
        <w:ind w:firstLine="720"/>
        <w:jc w:val="center"/>
        <w:spacing w:line="360" w:lineRule="auto"/>
        <w:shd w:val="clear" w:color="auto" w:fill="ffffff"/>
        <w:rPr>
          <w:rStyle w:val="1168"/>
          <w:rFonts w:ascii="宋体"/>
          <w:color w:val="000000"/>
          <w:sz w:val="36"/>
          <w:szCs w:val="36"/>
          <w:highlight w:val="none"/>
        </w:rPr>
      </w:pPr>
      <w:r>
        <w:rPr>
          <w:rStyle w:val="1168"/>
          <w:rFonts w:ascii="宋体"/>
          <w:color w:val="000000"/>
          <w:sz w:val="36"/>
          <w:szCs w:val="36"/>
          <w:highlight w:val="none"/>
        </w:rPr>
      </w:r>
      <w:r/>
    </w:p>
    <w:p>
      <w:pPr>
        <w:pStyle w:val="1043"/>
        <w:ind w:firstLine="720"/>
        <w:jc w:val="center"/>
        <w:spacing w:line="360" w:lineRule="auto"/>
        <w:shd w:val="clear" w:color="auto" w:fill="ffffff"/>
        <w:rPr>
          <w:rStyle w:val="1168"/>
          <w:rFonts w:ascii="宋体"/>
          <w:color w:val="000000"/>
          <w:szCs w:val="21"/>
          <w:highlight w:val="none"/>
        </w:rPr>
      </w:pPr>
      <w:r>
        <w:rPr>
          <w:rStyle w:val="1168"/>
          <w:rFonts w:hint="eastAsia" w:ascii="宋体" w:hAnsi="宋体"/>
          <w:color w:val="000000"/>
          <w:sz w:val="36"/>
          <w:szCs w:val="36"/>
          <w:highlight w:val="none"/>
        </w:rPr>
        <w:t xml:space="preserve">法定代表人授权委托书</w:t>
      </w:r>
      <w:r>
        <w:rPr>
          <w:rStyle w:val="1168"/>
          <w:rFonts w:ascii="宋体"/>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致：</w:t>
      </w:r>
      <w:r>
        <w:rPr>
          <w:rStyle w:val="1168"/>
          <w:rFonts w:ascii="宋体"/>
          <w:color w:val="000000"/>
          <w:szCs w:val="21"/>
          <w:highlight w:val="none"/>
        </w:rPr>
      </w:r>
      <w:r/>
    </w:p>
    <w:p>
      <w:pPr>
        <w:pStyle w:val="1043"/>
        <w:ind w:firstLine="420"/>
        <w:jc w:val="left"/>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本授权书声明：注册于</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（投标人住址）的</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（投标人名称）法定代表人</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（法定代表人姓名、职务）代表本公司授权在下面签字的</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（投标人代表姓名、职务）为本公司的合法代理人，就贵方组织的</w:t>
      </w:r>
      <w:r>
        <w:rPr>
          <w:rStyle w:val="1168"/>
          <w:rFonts w:ascii="宋体"/>
          <w:b/>
          <w:bCs/>
          <w:color w:val="000000"/>
          <w:szCs w:val="21"/>
          <w:highlight w:val="none"/>
          <w:u w:val="single"/>
        </w:rPr>
        <w:t xml:space="preserve">                </w:t>
      </w:r>
      <w:r>
        <w:rPr>
          <w:rStyle w:val="1168"/>
          <w:rFonts w:ascii="宋体"/>
          <w:b/>
          <w:bCs/>
          <w:color w:val="000000"/>
          <w:highlight w:val="none"/>
          <w:u w:val="single"/>
        </w:rPr>
        <w:t xml:space="preserve"> </w:t>
      </w:r>
      <w:r>
        <w:rPr>
          <w:rStyle w:val="1168"/>
          <w:rFonts w:hint="eastAsia" w:ascii="宋体" w:hAnsi="宋体"/>
          <w:color w:val="000000"/>
          <w:szCs w:val="21"/>
          <w:highlight w:val="none"/>
        </w:rPr>
        <w:t xml:space="preserve">（</w:t>
      </w:r>
      <w:r>
        <w:rPr>
          <w:rStyle w:val="1168"/>
          <w:rFonts w:hint="eastAsia" w:ascii="宋体" w:hAnsi="宋体"/>
          <w:b/>
          <w:bCs/>
          <w:color w:val="000000"/>
          <w:szCs w:val="21"/>
          <w:highlight w:val="none"/>
        </w:rPr>
        <w:t xml:space="preserve">项目名称</w:t>
      </w:r>
      <w:r>
        <w:rPr>
          <w:rStyle w:val="1168"/>
          <w:rFonts w:hint="eastAsia" w:ascii="宋体" w:hAnsi="宋体"/>
          <w:color w:val="000000"/>
          <w:szCs w:val="21"/>
          <w:highlight w:val="none"/>
        </w:rPr>
        <w:t xml:space="preserve">），</w:t>
      </w:r>
      <w:r>
        <w:rPr>
          <w:rStyle w:val="1168"/>
          <w:rFonts w:ascii="宋体"/>
          <w:color w:val="000000"/>
          <w:szCs w:val="21"/>
          <w:highlight w:val="none"/>
          <w:u w:val="single"/>
        </w:rPr>
        <w:t xml:space="preserve">              </w:t>
      </w:r>
      <w:r>
        <w:rPr>
          <w:rStyle w:val="1168"/>
          <w:rFonts w:ascii="宋体"/>
          <w:color w:val="000000"/>
          <w:highlight w:val="none"/>
          <w:u w:val="single"/>
        </w:rPr>
        <w:t xml:space="preserve"> </w:t>
      </w:r>
      <w:r>
        <w:rPr>
          <w:rStyle w:val="1168"/>
          <w:rFonts w:hint="eastAsia" w:ascii="宋体" w:hAnsi="宋体"/>
          <w:color w:val="000000"/>
          <w:szCs w:val="21"/>
          <w:highlight w:val="none"/>
        </w:rPr>
        <w:t xml:space="preserve">（项目编号 ）投标，以本公司名义处理一切与之有关的事务。</w:t>
      </w:r>
      <w:r>
        <w:rPr>
          <w:rStyle w:val="1168"/>
          <w:rFonts w:ascii="宋体"/>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本授权书于</w:t>
      </w:r>
      <w:r>
        <w:rPr>
          <w:rStyle w:val="1168"/>
          <w:rFonts w:hint="eastAsia" w:ascii="宋体"/>
          <w:color w:val="000000"/>
          <w:szCs w:val="21"/>
          <w:highlight w:val="none"/>
          <w:u w:val="single"/>
        </w:rPr>
        <w:t xml:space="preserve">  </w:t>
      </w:r>
      <w:r>
        <w:rPr>
          <w:rStyle w:val="1168"/>
          <w:rFonts w:hint="eastAsia" w:ascii="宋体" w:hAnsi="宋体"/>
          <w:color w:val="000000"/>
          <w:szCs w:val="21"/>
          <w:highlight w:val="none"/>
        </w:rPr>
        <w:t xml:space="preserve">年</w:t>
      </w:r>
      <w:r>
        <w:rPr>
          <w:rStyle w:val="1168"/>
          <w:rFonts w:ascii="宋体"/>
          <w:color w:val="000000"/>
          <w:szCs w:val="21"/>
          <w:highlight w:val="none"/>
        </w:rPr>
        <w:t xml:space="preserve"> </w:t>
      </w:r>
      <w:r>
        <w:rPr>
          <w:rStyle w:val="1168"/>
          <w:rFonts w:hint="eastAsia" w:ascii="宋体"/>
          <w:color w:val="000000"/>
          <w:szCs w:val="21"/>
          <w:highlight w:val="none"/>
          <w:u w:val="singl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月</w:t>
      </w:r>
      <w:r>
        <w:rPr>
          <w:rStyle w:val="1168"/>
          <w:rFonts w:ascii="宋体"/>
          <w:color w:val="000000"/>
          <w:szCs w:val="21"/>
          <w:highlight w:val="none"/>
        </w:rPr>
        <w:t xml:space="preserve"> </w:t>
      </w:r>
      <w:r>
        <w:rPr>
          <w:rStyle w:val="1168"/>
          <w:rFonts w:hint="eastAsia" w:ascii="宋体"/>
          <w:color w:val="000000"/>
          <w:szCs w:val="21"/>
          <w:highlight w:val="none"/>
          <w:u w:val="singl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日签字生效，特此声明。</w:t>
      </w:r>
      <w:r>
        <w:rPr>
          <w:rStyle w:val="1168"/>
          <w:rFonts w:ascii="宋体"/>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法定代表人签字：</w:t>
      </w:r>
      <w:r>
        <w:rPr>
          <w:rStyle w:val="1168"/>
          <w:rFonts w:ascii="宋体"/>
          <w:color w:val="000000"/>
          <w:szCs w:val="21"/>
          <w:highlight w:val="none"/>
        </w:rPr>
      </w:r>
      <w:r/>
    </w:p>
    <w:p>
      <w:pPr>
        <w:pStyle w:val="1043"/>
        <w:ind w:firstLine="825"/>
        <w:jc w:val="left"/>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授权委托人签字：</w:t>
      </w:r>
      <w:r>
        <w:rPr>
          <w:rStyle w:val="1168"/>
          <w:rFonts w:ascii="宋体"/>
          <w:color w:val="000000"/>
          <w:szCs w:val="21"/>
          <w:highlight w:val="none"/>
        </w:rPr>
        <w:t xml:space="preserve">                   </w:t>
      </w:r>
      <w:r>
        <w:rPr>
          <w:rStyle w:val="1168"/>
          <w:rFonts w:ascii="宋体"/>
          <w:color w:val="000000"/>
          <w:szCs w:val="21"/>
          <w:highlight w:val="none"/>
        </w:rPr>
      </w:r>
      <w:r/>
    </w:p>
    <w:p>
      <w:pPr>
        <w:pStyle w:val="1043"/>
        <w:ind w:firstLine="840"/>
        <w:jc w:val="left"/>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日</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期：</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年</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月</w:t>
      </w:r>
      <w:r>
        <w:rPr>
          <w:rStyle w:val="1168"/>
          <w:rFonts w:ascii="宋体"/>
          <w:color w:val="000000"/>
          <w:szCs w:val="21"/>
          <w:highlight w:val="none"/>
        </w:rPr>
        <w:t xml:space="preserve">   </w:t>
      </w:r>
      <w:r>
        <w:rPr>
          <w:rStyle w:val="1168"/>
          <w:rFonts w:ascii="宋体"/>
          <w:color w:val="000000"/>
          <w:highlight w:val="none"/>
        </w:rPr>
        <w:t xml:space="preserve"> </w:t>
      </w:r>
      <w:r>
        <w:rPr>
          <w:rStyle w:val="1168"/>
          <w:rFonts w:hint="eastAsia" w:ascii="宋体" w:hAnsi="宋体"/>
          <w:color w:val="000000"/>
          <w:szCs w:val="21"/>
          <w:highlight w:val="none"/>
        </w:rPr>
        <w:t xml:space="preserve">日</w:t>
      </w:r>
      <w:r>
        <w:rPr>
          <w:rStyle w:val="1168"/>
          <w:rFonts w:ascii="宋体"/>
          <w:color w:val="000000"/>
          <w:szCs w:val="21"/>
          <w:highlight w:val="none"/>
        </w:rPr>
      </w:r>
      <w:r/>
    </w:p>
    <w:p>
      <w:pPr>
        <w:pStyle w:val="1043"/>
        <w:ind w:firstLine="840"/>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p>
      <w:pPr>
        <w:pStyle w:val="1043"/>
        <w:jc w:val="left"/>
        <w:spacing w:line="360" w:lineRule="auto"/>
        <w:shd w:val="clear" w:color="auto" w:fill="ffffff"/>
        <w:rPr>
          <w:rStyle w:val="1168"/>
          <w:rFonts w:hint="eastAsia" w:ascii="宋体" w:hAnsi="宋体"/>
          <w:color w:val="000000"/>
          <w:szCs w:val="21"/>
          <w:highlight w:val="none"/>
        </w:rPr>
      </w:pPr>
      <w:r>
        <w:rPr>
          <w:rStyle w:val="1168"/>
          <w:rFonts w:ascii="宋体"/>
          <w:color w:val="000000"/>
          <w:szCs w:val="21"/>
          <w:highlight w:val="none"/>
        </w:rPr>
        <w:t xml:space="preserve">法定代表</w:t>
      </w:r>
      <w:r>
        <w:rPr>
          <w:rStyle w:val="1168"/>
          <w:rFonts w:hint="eastAsia" w:ascii="宋体" w:hAnsi="宋体" w:cs="宋体"/>
          <w:color w:val="000000"/>
          <w:szCs w:val="21"/>
          <w:highlight w:val="none"/>
        </w:rPr>
        <w:t xml:space="preserve">人、</w:t>
      </w:r>
      <w:r>
        <w:rPr>
          <w:rStyle w:val="1168"/>
          <w:rFonts w:hint="eastAsia" w:ascii="宋体" w:hAnsi="宋体"/>
          <w:color w:val="000000"/>
          <w:szCs w:val="21"/>
          <w:highlight w:val="none"/>
        </w:rPr>
        <w:t xml:space="preserve">委托代理人的身份证明文件：</w:t>
      </w:r>
      <w:r>
        <w:rPr>
          <w:rStyle w:val="1168"/>
          <w:rFonts w:hint="eastAsia" w:ascii="宋体" w:hAnsi="宋体"/>
          <w:color w:val="000000"/>
          <w:szCs w:val="21"/>
          <w:highlight w:val="none"/>
        </w:rPr>
      </w:r>
      <w:r/>
    </w:p>
    <w:p>
      <w:pPr>
        <w:pStyle w:val="1043"/>
        <w:ind w:firstLine="420"/>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043"/>
        <w:ind w:firstLine="420"/>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043"/>
        <w:jc w:val="left"/>
        <w:spacing w:line="360" w:lineRule="auto"/>
        <w:shd w:val="clear" w:color="auto" w:fill="ffffff"/>
        <w:rPr>
          <w:rStyle w:val="1168"/>
          <w:rFonts w:ascii="宋体"/>
          <w:b/>
          <w:bCs/>
          <w:color w:val="000000"/>
          <w:szCs w:val="21"/>
          <w:highlight w:val="none"/>
          <w:lang w:val="zh-CN"/>
        </w:rPr>
      </w:pPr>
      <w:r>
        <w:rPr>
          <w:rStyle w:val="1168"/>
          <w:rFonts w:ascii="宋体"/>
          <w:b/>
          <w:bCs/>
          <w:color w:val="000000"/>
          <w:szCs w:val="21"/>
          <w:highlight w:val="none"/>
        </w:rPr>
        <w:br w:type="page" w:clear="all"/>
      </w:r>
      <w:r>
        <w:rPr>
          <w:rStyle w:val="1168"/>
          <w:rFonts w:hint="eastAsia" w:ascii="宋体" w:hAnsi="宋体"/>
          <w:b/>
          <w:bCs/>
          <w:color w:val="000000"/>
          <w:szCs w:val="21"/>
          <w:highlight w:val="none"/>
          <w:lang w:val="zh-CN"/>
        </w:rPr>
        <w:t xml:space="preserve">附件三、开标一览表格式</w:t>
      </w:r>
      <w:r>
        <w:rPr>
          <w:rStyle w:val="1168"/>
          <w:rFonts w:ascii="宋体"/>
          <w:b/>
          <w:bCs/>
          <w:color w:val="000000"/>
          <w:szCs w:val="21"/>
          <w:highlight w:val="none"/>
          <w:lang w:val="zh-CN"/>
        </w:rPr>
      </w:r>
      <w:r/>
    </w:p>
    <w:p>
      <w:pPr>
        <w:pStyle w:val="1043"/>
        <w:jc w:val="left"/>
        <w:spacing w:line="360" w:lineRule="auto"/>
        <w:shd w:val="clear" w:color="auto" w:fill="ffffff"/>
        <w:rPr>
          <w:rStyle w:val="1168"/>
          <w:rFonts w:ascii="宋体"/>
          <w:b/>
          <w:bCs/>
          <w:color w:val="000000"/>
          <w:szCs w:val="21"/>
          <w:highlight w:val="none"/>
          <w:lang w:val="zh-CN"/>
        </w:rPr>
      </w:pPr>
      <w:r>
        <w:rPr>
          <w:rStyle w:val="1168"/>
          <w:rFonts w:ascii="宋体"/>
          <w:b/>
          <w:bCs/>
          <w:color w:val="000000"/>
          <w:szCs w:val="21"/>
          <w:highlight w:val="none"/>
          <w:lang w:val="zh-CN"/>
        </w:rPr>
      </w:r>
      <w:r/>
    </w:p>
    <w:p>
      <w:pPr>
        <w:pStyle w:val="1043"/>
        <w:jc w:val="center"/>
        <w:spacing w:line="360" w:lineRule="auto"/>
        <w:shd w:val="clear" w:color="auto" w:fill="ffffff"/>
        <w:rPr>
          <w:rStyle w:val="1168"/>
          <w:rFonts w:ascii="宋体"/>
          <w:b/>
          <w:bCs/>
          <w:color w:val="000000"/>
          <w:sz w:val="28"/>
          <w:szCs w:val="28"/>
          <w:highlight w:val="none"/>
          <w:lang w:val="zh-CN"/>
        </w:rPr>
      </w:pPr>
      <w:r>
        <w:rPr>
          <w:rStyle w:val="1168"/>
          <w:rFonts w:hint="eastAsia" w:ascii="宋体" w:hAnsi="宋体"/>
          <w:b/>
          <w:bCs/>
          <w:color w:val="000000"/>
          <w:sz w:val="28"/>
          <w:szCs w:val="28"/>
          <w:highlight w:val="none"/>
          <w:lang w:val="zh-CN"/>
        </w:rPr>
        <w:t xml:space="preserve">开标一览表</w:t>
      </w:r>
      <w:r>
        <w:rPr>
          <w:rStyle w:val="1168"/>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hint="eastAsia" w:ascii="宋体" w:hAnsi="宋体"/>
                <w:b/>
                <w:bCs/>
                <w:color w:val="000000"/>
                <w:szCs w:val="21"/>
                <w:highlight w:val="none"/>
              </w:rPr>
              <w:t xml:space="preserve">项目名称</w:t>
            </w:r>
            <w:r>
              <w:rPr>
                <w:rStyle w:val="1168"/>
                <w:rFonts w:hint="eastAsia" w:ascii="宋体" w:hAnsi="宋体"/>
                <w:color w:val="000000"/>
                <w:szCs w:val="21"/>
                <w:highlight w:val="none"/>
              </w:rPr>
              <w:t xml:space="preserve">：</w:t>
            </w:r>
            <w:r>
              <w:rPr>
                <w:rStyle w:val="1168"/>
                <w:rFonts w:ascii="宋体"/>
                <w:color w:val="000000"/>
                <w:szCs w:val="21"/>
                <w:highlight w:val="none"/>
                <w:lang w:val="zh-CN"/>
              </w:rPr>
            </w:r>
            <w:r/>
          </w:p>
        </w:tc>
        <w:tc>
          <w:tcPr>
            <w:tcW w:w="3347"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hint="eastAsia" w:ascii="宋体" w:hAnsi="宋体"/>
                <w:color w:val="000000"/>
                <w:szCs w:val="21"/>
                <w:highlight w:val="none"/>
                <w:lang w:val="zh-CN"/>
              </w:rPr>
              <w:t xml:space="preserve">项目编号：</w:t>
            </w: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hint="eastAsia" w:ascii="宋体" w:hAnsi="宋体"/>
                <w:color w:val="000000"/>
                <w:szCs w:val="21"/>
                <w:highlight w:val="none"/>
                <w:lang w:val="zh-CN"/>
              </w:rPr>
              <w:t xml:space="preserve">序号</w:t>
            </w:r>
            <w:r>
              <w:rPr>
                <w:rStyle w:val="1168"/>
                <w:rFonts w:ascii="宋体"/>
                <w:color w:val="000000"/>
                <w:szCs w:val="21"/>
                <w:highlight w:val="none"/>
                <w:lang w:val="zh-CN"/>
              </w:rPr>
            </w:r>
            <w:r/>
          </w:p>
        </w:tc>
        <w:tc>
          <w:tcPr>
            <w:gridSpan w:val="2"/>
            <w:tcW w:w="4500" w:type="dxa"/>
            <w:vAlign w:val="center"/>
            <w:textDirection w:val="lrTb"/>
            <w:noWrap w:val="false"/>
          </w:tcPr>
          <w:p>
            <w:pPr>
              <w:pStyle w:val="1043"/>
              <w:jc w:val="center"/>
              <w:spacing w:line="360" w:lineRule="auto"/>
              <w:shd w:val="clear" w:color="auto" w:fill="ffffff"/>
              <w:rPr>
                <w:rStyle w:val="1168"/>
                <w:rFonts w:ascii="宋体"/>
                <w:color w:val="000000"/>
                <w:szCs w:val="21"/>
                <w:highlight w:val="none"/>
                <w:lang w:val="zh-CN"/>
              </w:rPr>
            </w:pPr>
            <w:r>
              <w:rPr>
                <w:rStyle w:val="1168"/>
                <w:rFonts w:hint="eastAsia" w:ascii="宋体" w:hAnsi="宋体"/>
                <w:color w:val="000000"/>
                <w:szCs w:val="21"/>
                <w:highlight w:val="none"/>
                <w:lang w:val="zh-CN"/>
              </w:rPr>
              <w:t xml:space="preserve">名称</w:t>
            </w:r>
            <w:r>
              <w:rPr>
                <w:rStyle w:val="1168"/>
                <w:rFonts w:ascii="宋体"/>
                <w:color w:val="000000"/>
                <w:szCs w:val="21"/>
                <w:highlight w:val="none"/>
                <w:lang w:val="zh-CN"/>
              </w:rPr>
            </w:r>
            <w:r/>
          </w:p>
        </w:tc>
        <w:tc>
          <w:tcPr>
            <w:gridSpan w:val="2"/>
            <w:tcW w:w="3780" w:type="dxa"/>
            <w:vAlign w:val="center"/>
            <w:textDirection w:val="lrTb"/>
            <w:noWrap w:val="false"/>
          </w:tcPr>
          <w:p>
            <w:pPr>
              <w:pStyle w:val="1043"/>
              <w:jc w:val="center"/>
              <w:spacing w:line="360" w:lineRule="auto"/>
              <w:shd w:val="clear" w:color="auto" w:fill="ffffff"/>
              <w:rPr>
                <w:rStyle w:val="1168"/>
                <w:rFonts w:ascii="宋体"/>
                <w:color w:val="000000"/>
                <w:szCs w:val="21"/>
                <w:highlight w:val="none"/>
                <w:lang w:val="zh-CN"/>
              </w:rPr>
            </w:pPr>
            <w:r>
              <w:rPr>
                <w:rStyle w:val="1168"/>
                <w:rFonts w:hint="eastAsia" w:ascii="宋体" w:hAnsi="宋体"/>
                <w:color w:val="000000"/>
                <w:szCs w:val="21"/>
                <w:highlight w:val="none"/>
                <w:lang w:val="zh-CN"/>
              </w:rPr>
              <w:t xml:space="preserve">报价（</w:t>
            </w:r>
            <w:r>
              <w:rPr>
                <w:rStyle w:val="1168"/>
                <w:rFonts w:hint="eastAsia" w:ascii="宋体" w:hAnsi="宋体"/>
                <w:color w:val="000000"/>
                <w:szCs w:val="21"/>
                <w:highlight w:val="none"/>
              </w:rPr>
              <w:t xml:space="preserve">元</w:t>
            </w:r>
            <w:r>
              <w:rPr>
                <w:rStyle w:val="1168"/>
                <w:rFonts w:hint="eastAsia" w:ascii="宋体" w:hAnsi="宋体"/>
                <w:color w:val="000000"/>
                <w:szCs w:val="21"/>
                <w:highlight w:val="none"/>
                <w:lang w:val="zh-CN"/>
              </w:rPr>
              <w:t xml:space="preserve">）</w:t>
            </w: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tcW w:w="110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450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tc>
        <w:tc>
          <w:tcPr>
            <w:gridSpan w:val="2"/>
            <w:tcW w:w="378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gridSpan w:val="2"/>
            <w:tcW w:w="3265"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hint="eastAsia" w:ascii="宋体" w:hAnsi="宋体"/>
                <w:color w:val="000000"/>
                <w:szCs w:val="21"/>
                <w:highlight w:val="none"/>
                <w:lang w:val="zh-CN"/>
              </w:rPr>
              <w:t xml:space="preserve">是否中小微企业</w:t>
            </w:r>
            <w:r>
              <w:rPr>
                <w:rStyle w:val="1168"/>
                <w:rFonts w:ascii="宋体"/>
                <w:color w:val="000000"/>
                <w:szCs w:val="21"/>
                <w:highlight w:val="none"/>
                <w:lang w:val="zh-CN"/>
              </w:rPr>
            </w:r>
            <w:r/>
          </w:p>
        </w:tc>
        <w:tc>
          <w:tcPr>
            <w:gridSpan w:val="3"/>
            <w:tcW w:w="612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r>
        <w:trPr>
          <w:trHeight w:val="284"/>
        </w:trPr>
        <w:tc>
          <w:tcPr>
            <w:gridSpan w:val="2"/>
            <w:tcW w:w="3265" w:type="dxa"/>
            <w:vAlign w:val="center"/>
            <w:textDirection w:val="lrTb"/>
            <w:noWrap w:val="false"/>
          </w:tcPr>
          <w:p>
            <w:pPr>
              <w:pStyle w:val="1043"/>
              <w:jc w:val="left"/>
              <w:spacing w:line="360" w:lineRule="auto"/>
              <w:shd w:val="clear" w:color="auto" w:fill="ffffff"/>
              <w:rPr>
                <w:rStyle w:val="1168"/>
                <w:rFonts w:hint="eastAsia" w:ascii="宋体" w:hAnsi="宋体"/>
                <w:color w:val="000000"/>
                <w:szCs w:val="21"/>
                <w:highlight w:val="none"/>
              </w:rPr>
            </w:pPr>
            <w:r>
              <w:rPr>
                <w:rStyle w:val="1168"/>
                <w:rFonts w:hint="eastAsia" w:ascii="宋体" w:hAnsi="宋体"/>
                <w:color w:val="000000"/>
                <w:szCs w:val="21"/>
                <w:highlight w:val="none"/>
              </w:rPr>
              <w:t xml:space="preserve">总价</w:t>
            </w:r>
            <w:r>
              <w:rPr>
                <w:rStyle w:val="1168"/>
                <w:rFonts w:hint="eastAsia" w:ascii="宋体" w:hAnsi="宋体"/>
                <w:color w:val="000000"/>
                <w:szCs w:val="21"/>
                <w:highlight w:val="none"/>
              </w:rPr>
            </w:r>
            <w:r/>
          </w:p>
        </w:tc>
        <w:tc>
          <w:tcPr>
            <w:gridSpan w:val="3"/>
            <w:tcW w:w="6120" w:type="dxa"/>
            <w:vAlign w:val="center"/>
            <w:textDirection w:val="lrTb"/>
            <w:noWrap w:val="false"/>
          </w:tcPr>
          <w:p>
            <w:pPr>
              <w:pStyle w:val="1043"/>
              <w:jc w:val="left"/>
              <w:spacing w:line="360" w:lineRule="auto"/>
              <w:shd w:val="clear" w:color="auto" w:fill="ffffff"/>
              <w:rPr>
                <w:rStyle w:val="1168"/>
                <w:rFonts w:ascii="宋体"/>
                <w:color w:val="000000"/>
                <w:szCs w:val="21"/>
                <w:highlight w:val="none"/>
                <w:lang w:val="zh-CN"/>
              </w:rPr>
            </w:pPr>
            <w:r>
              <w:rPr>
                <w:rStyle w:val="1168"/>
                <w:rFonts w:ascii="宋体"/>
                <w:color w:val="000000"/>
                <w:szCs w:val="21"/>
                <w:highlight w:val="none"/>
                <w:lang w:val="zh-CN"/>
              </w:rPr>
            </w:r>
            <w:r/>
          </w:p>
        </w:tc>
      </w:tr>
    </w:tbl>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jc w:val="left"/>
        <w:spacing w:line="360" w:lineRule="auto"/>
        <w:shd w:val="clear" w:color="auto" w:fill="ffffff"/>
        <w:rPr>
          <w:rStyle w:val="1168"/>
          <w:rFonts w:ascii="宋体"/>
          <w:bCs/>
          <w:color w:val="000000"/>
          <w:szCs w:val="21"/>
          <w:highlight w:val="none"/>
          <w:lang w:val="zh-CN"/>
        </w:rPr>
      </w:pPr>
      <w:r>
        <w:rPr>
          <w:rStyle w:val="1168"/>
          <w:rFonts w:hint="eastAsia" w:ascii="宋体" w:hAnsi="宋体"/>
          <w:bCs/>
          <w:color w:val="000000"/>
          <w:szCs w:val="21"/>
          <w:highlight w:val="none"/>
          <w:lang w:val="zh-CN"/>
        </w:rPr>
        <w:t xml:space="preserve">说明：</w:t>
      </w:r>
      <w:r>
        <w:rPr>
          <w:rStyle w:val="1168"/>
          <w:rFonts w:ascii="宋体"/>
          <w:bCs/>
          <w:color w:val="000000"/>
          <w:szCs w:val="21"/>
          <w:highlight w:val="none"/>
          <w:lang w:val="zh-CN"/>
        </w:rPr>
      </w:r>
      <w:r/>
    </w:p>
    <w:p>
      <w:pPr>
        <w:pStyle w:val="1043"/>
        <w:numPr>
          <w:ilvl w:val="0"/>
          <w:numId w:val="6"/>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1043"/>
        <w:numPr>
          <w:ilvl w:val="0"/>
          <w:numId w:val="6"/>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jc w:val="left"/>
        <w:spacing w:line="360" w:lineRule="auto"/>
        <w:shd w:val="clear" w:color="auto" w:fill="ffffff"/>
        <w:rPr>
          <w:rStyle w:val="1168"/>
          <w:rFonts w:ascii="宋体"/>
          <w:b/>
          <w:bCs/>
          <w:color w:val="000000"/>
          <w:szCs w:val="21"/>
          <w:highlight w:val="none"/>
        </w:rPr>
      </w:pPr>
      <w:r>
        <w:rPr>
          <w:rStyle w:val="1168"/>
          <w:rFonts w:ascii="宋体"/>
          <w:b/>
          <w:bCs/>
          <w:color w:val="000000"/>
          <w:szCs w:val="21"/>
          <w:highlight w:val="none"/>
        </w:rPr>
        <w:t xml:space="preserve"> </w:t>
      </w:r>
      <w:r>
        <w:rPr>
          <w:rStyle w:val="1168"/>
          <w:rFonts w:ascii="宋体"/>
          <w:b/>
          <w:bCs/>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r>
      <w:r/>
    </w:p>
    <w:p>
      <w:pPr>
        <w:pStyle w:val="1043"/>
        <w:spacing w:line="360" w:lineRule="auto"/>
        <w:shd w:val="clear" w:color="auto" w:fill="ffffff"/>
        <w:rPr>
          <w:rStyle w:val="1168"/>
          <w:rFonts w:ascii="宋体"/>
          <w:b/>
          <w:bCs/>
          <w:color w:val="000000"/>
          <w:szCs w:val="21"/>
          <w:highlight w:val="none"/>
        </w:rPr>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737" w:footer="992" w:gutter="0"/>
          <w:cols w:num="1" w:sep="0" w:space="1701" w:equalWidth="1"/>
          <w:docGrid w:linePitch="360"/>
        </w:sectPr>
      </w:pPr>
      <w:r>
        <w:rPr>
          <w:rStyle w:val="1168"/>
          <w:rFonts w:ascii="宋体"/>
          <w:b/>
          <w:bCs/>
          <w:color w:val="000000"/>
          <w:szCs w:val="21"/>
          <w:highlight w:val="none"/>
        </w:rPr>
      </w:r>
      <w:r/>
    </w:p>
    <w:p>
      <w:pPr>
        <w:pStyle w:val="1043"/>
        <w:spacing w:line="360" w:lineRule="auto"/>
        <w:shd w:val="clear" w:color="auto" w:fill="ffffff"/>
        <w:rPr>
          <w:rFonts w:ascii="宋体" w:hAnsi="宋体"/>
          <w:b/>
          <w:bCs/>
          <w:color w:val="000000"/>
          <w:szCs w:val="21"/>
          <w:highlight w:val="none"/>
        </w:rPr>
      </w:pPr>
      <w:r>
        <w:rPr>
          <w:rStyle w:val="1168"/>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1043"/>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1043"/>
        <w:jc w:val="center"/>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p>
      <w:pPr>
        <w:pStyle w:val="1043"/>
        <w:numPr>
          <w:ilvl w:val="0"/>
          <w:numId w:val="7"/>
        </w:numPr>
        <w:rPr>
          <w:rFonts w:hint="eastAsia"/>
          <w:highlight w:val="none"/>
          <w:lang w:val="en-US" w:eastAsia="zh-CN"/>
        </w:rPr>
      </w:pPr>
      <w:r>
        <w:rPr>
          <w:rFonts w:hint="eastAsia"/>
          <w:highlight w:val="none"/>
          <w:lang w:val="en-US" w:eastAsia="zh-CN"/>
        </w:rPr>
        <w:t xml:space="preserve">基础数据更新服务</w:t>
      </w:r>
      <w:r>
        <w:rPr>
          <w:rFonts w:hint="eastAsia"/>
          <w:highlight w:val="none"/>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464"/>
        <w:gridCol w:w="1095"/>
        <w:gridCol w:w="976"/>
        <w:gridCol w:w="1957"/>
        <w:gridCol w:w="1366"/>
        <w:gridCol w:w="1810"/>
      </w:tblGrid>
      <w:tr>
        <w:trPr>
          <w:trHeight w:val="933"/>
        </w:trPr>
        <w:tc>
          <w:tcPr>
            <w:gridSpan w:val="2"/>
            <w:tcW w:w="2752" w:type="dxa"/>
            <w:vAlign w:val="center"/>
            <w:textDirection w:val="lrTb"/>
            <w:noWrap/>
          </w:tcPr>
          <w:p>
            <w:pPr>
              <w:pStyle w:val="1043"/>
              <w:jc w:val="center"/>
              <w:rPr>
                <w:rFonts w:ascii="宋体" w:hAnsi="宋体" w:cs="宋体"/>
                <w:b/>
                <w:bCs/>
                <w:sz w:val="18"/>
                <w:szCs w:val="18"/>
                <w:highlight w:val="none"/>
              </w:rPr>
            </w:pPr>
            <w:r>
              <w:rPr>
                <w:rFonts w:hint="eastAsia" w:ascii="宋体" w:hAnsi="宋体" w:cs="宋体"/>
                <w:b/>
                <w:bCs/>
                <w:sz w:val="18"/>
                <w:szCs w:val="18"/>
                <w:highlight w:val="none"/>
              </w:rPr>
              <w:t xml:space="preserve">工作内容</w:t>
            </w:r>
            <w:r>
              <w:rPr>
                <w:rFonts w:ascii="宋体" w:hAnsi="宋体" w:cs="宋体"/>
                <w:b/>
                <w:bCs/>
                <w:sz w:val="18"/>
                <w:szCs w:val="18"/>
                <w:highlight w:val="none"/>
              </w:rPr>
            </w:r>
            <w:r/>
          </w:p>
        </w:tc>
        <w:tc>
          <w:tcPr>
            <w:tcW w:w="550" w:type="dxa"/>
            <w:vAlign w:val="center"/>
            <w:textDirection w:val="lrTb"/>
            <w:noWrap/>
          </w:tcPr>
          <w:p>
            <w:pPr>
              <w:pStyle w:val="1043"/>
              <w:jc w:val="center"/>
              <w:rPr>
                <w:rFonts w:hint="eastAsia" w:ascii="宋体" w:hAnsi="宋体" w:cs="宋体"/>
                <w:b/>
                <w:bCs/>
                <w:sz w:val="18"/>
                <w:szCs w:val="18"/>
                <w:highlight w:val="none"/>
              </w:rPr>
            </w:pPr>
            <w:r>
              <w:rPr>
                <w:rFonts w:hint="eastAsia" w:ascii="宋体" w:hAnsi="宋体" w:cs="宋体"/>
                <w:b/>
                <w:bCs/>
                <w:sz w:val="18"/>
                <w:szCs w:val="18"/>
                <w:highlight w:val="none"/>
              </w:rPr>
              <w:t xml:space="preserve">数量</w:t>
            </w:r>
            <w:r>
              <w:rPr>
                <w:rFonts w:hint="eastAsia" w:ascii="宋体" w:hAnsi="宋体" w:cs="宋体"/>
                <w:b/>
                <w:bCs/>
                <w:sz w:val="18"/>
                <w:szCs w:val="18"/>
                <w:highlight w:val="none"/>
              </w:rPr>
            </w:r>
            <w:r/>
          </w:p>
        </w:tc>
        <w:tc>
          <w:tcPr>
            <w:tcW w:w="490" w:type="dxa"/>
            <w:vAlign w:val="center"/>
            <w:textDirection w:val="lrTb"/>
            <w:noWrap/>
          </w:tcPr>
          <w:p>
            <w:pPr>
              <w:pStyle w:val="1043"/>
              <w:jc w:val="center"/>
              <w:rPr>
                <w:rFonts w:hint="eastAsia" w:ascii="宋体" w:hAnsi="宋体" w:cs="宋体"/>
                <w:b/>
                <w:bCs/>
                <w:sz w:val="18"/>
                <w:szCs w:val="18"/>
                <w:highlight w:val="none"/>
              </w:rPr>
            </w:pPr>
            <w:r>
              <w:rPr>
                <w:rFonts w:hint="eastAsia" w:ascii="宋体" w:hAnsi="宋体" w:cs="宋体"/>
                <w:b/>
                <w:bCs/>
                <w:sz w:val="18"/>
                <w:szCs w:val="18"/>
                <w:highlight w:val="none"/>
              </w:rPr>
              <w:t xml:space="preserve">单位</w:t>
            </w:r>
            <w:r>
              <w:rPr>
                <w:rFonts w:hint="eastAsia" w:ascii="宋体" w:hAnsi="宋体" w:cs="宋体"/>
                <w:b/>
                <w:bCs/>
                <w:sz w:val="18"/>
                <w:szCs w:val="18"/>
                <w:highlight w:val="none"/>
              </w:rPr>
            </w:r>
            <w:r/>
          </w:p>
        </w:tc>
        <w:tc>
          <w:tcPr>
            <w:tcW w:w="983"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en-US" w:bidi="en-US"/>
              </w:rPr>
            </w:pPr>
            <w:r>
              <w:rPr>
                <w:rFonts w:hint="eastAsia" w:ascii="宋体" w:hAnsi="宋体" w:cs="宋体"/>
                <w:b/>
                <w:bCs/>
                <w:color w:val="000000"/>
                <w:sz w:val="18"/>
                <w:szCs w:val="18"/>
                <w:highlight w:val="none"/>
                <w:lang w:eastAsia="en-US" w:bidi="en-US"/>
              </w:rPr>
              <w:t xml:space="preserve">单价（元）</w:t>
            </w:r>
            <w:r>
              <w:rPr>
                <w:rFonts w:hint="eastAsia" w:ascii="宋体" w:hAnsi="宋体" w:eastAsia="宋体" w:cs="宋体"/>
                <w:b/>
                <w:bCs/>
                <w:color w:val="000000"/>
                <w:sz w:val="18"/>
                <w:szCs w:val="18"/>
                <w:highlight w:val="none"/>
                <w:lang w:val="en-US" w:eastAsia="en-US" w:bidi="en-US"/>
              </w:rPr>
            </w:r>
            <w:r/>
          </w:p>
        </w:tc>
        <w:tc>
          <w:tcPr>
            <w:tcW w:w="686"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en-US" w:bidi="en-US"/>
              </w:rPr>
            </w:pPr>
            <w:r>
              <w:rPr>
                <w:rFonts w:hint="eastAsia" w:ascii="宋体" w:hAnsi="宋体" w:cs="宋体"/>
                <w:b/>
                <w:bCs/>
                <w:color w:val="000000"/>
                <w:sz w:val="18"/>
                <w:szCs w:val="18"/>
                <w:highlight w:val="none"/>
                <w:lang w:eastAsia="en-US" w:bidi="en-US"/>
              </w:rPr>
              <w:t xml:space="preserve">小计（元）</w:t>
            </w:r>
            <w:r>
              <w:rPr>
                <w:rFonts w:hint="eastAsia" w:ascii="宋体" w:hAnsi="宋体" w:eastAsia="宋体" w:cs="宋体"/>
                <w:b/>
                <w:bCs/>
                <w:color w:val="000000"/>
                <w:sz w:val="18"/>
                <w:szCs w:val="18"/>
                <w:highlight w:val="none"/>
                <w:lang w:val="en-US" w:eastAsia="en-US" w:bidi="en-US"/>
              </w:rPr>
            </w:r>
            <w:r/>
          </w:p>
        </w:tc>
        <w:tc>
          <w:tcPr>
            <w:tcW w:w="905"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zh-CN" w:bidi="en-US"/>
              </w:rPr>
            </w:pPr>
            <w:r>
              <w:rPr>
                <w:rFonts w:hint="eastAsia" w:ascii="宋体" w:hAnsi="宋体" w:cs="宋体"/>
                <w:b/>
                <w:bCs/>
                <w:color w:val="000000"/>
                <w:sz w:val="18"/>
                <w:szCs w:val="18"/>
                <w:highlight w:val="none"/>
                <w:lang w:bidi="en-US"/>
              </w:rPr>
              <w:t xml:space="preserve">备注（详见采购需求）</w:t>
            </w:r>
            <w:r>
              <w:rPr>
                <w:rFonts w:hint="eastAsia" w:ascii="宋体" w:hAnsi="宋体" w:eastAsia="宋体" w:cs="宋体"/>
                <w:b/>
                <w:bCs/>
                <w:color w:val="000000"/>
                <w:sz w:val="18"/>
                <w:szCs w:val="18"/>
                <w:highlight w:val="none"/>
                <w:lang w:val="en-US" w:eastAsia="zh-CN" w:bidi="en-US"/>
              </w:rPr>
            </w:r>
            <w:r/>
          </w:p>
        </w:tc>
      </w:tr>
      <w:tr>
        <w:trPr>
          <w:trHeight w:val="630"/>
        </w:trPr>
        <w:tc>
          <w:tcPr>
            <w:tcW w:w="647" w:type="dxa"/>
            <w:vAlign w:val="center"/>
            <w:vMerge w:val="restart"/>
            <w:textDirection w:val="lrTb"/>
            <w:noWrap w:val="false"/>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数据服务</w:t>
            </w:r>
            <w:r>
              <w:rPr>
                <w:rFonts w:hint="eastAsia" w:ascii="宋体" w:hAnsi="宋体" w:cs="宋体"/>
                <w:sz w:val="18"/>
                <w:szCs w:val="18"/>
                <w:highlight w:val="none"/>
              </w:rPr>
            </w:r>
            <w:r/>
          </w:p>
        </w:tc>
        <w:tc>
          <w:tcPr>
            <w:tcW w:w="735" w:type="dxa"/>
            <w:vAlign w:val="center"/>
            <w:textDirection w:val="lrTb"/>
            <w:noWrap w:val="false"/>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设备设施</w:t>
            </w:r>
            <w:r>
              <w:rPr>
                <w:rFonts w:hint="eastAsia" w:ascii="宋体" w:hAnsi="宋体" w:cs="宋体"/>
                <w:sz w:val="18"/>
                <w:szCs w:val="18"/>
                <w:highlight w:val="none"/>
              </w:rPr>
            </w:r>
            <w:r/>
          </w:p>
        </w:tc>
        <w:tc>
          <w:tcPr>
            <w:tcW w:w="550" w:type="dxa"/>
            <w:vAlign w:val="center"/>
            <w:textDirection w:val="lrTb"/>
            <w:noWrap/>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50</w:t>
            </w:r>
            <w:r>
              <w:rPr>
                <w:rFonts w:hint="eastAsia" w:ascii="宋体" w:hAnsi="宋体" w:cs="宋体"/>
                <w:sz w:val="18"/>
                <w:szCs w:val="18"/>
                <w:highlight w:val="none"/>
              </w:rPr>
            </w:r>
            <w:r/>
          </w:p>
        </w:tc>
        <w:tc>
          <w:tcPr>
            <w:tcW w:w="490" w:type="dxa"/>
            <w:vAlign w:val="center"/>
            <w:textDirection w:val="lrTb"/>
            <w:noWrap/>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处</w:t>
            </w:r>
            <w:r>
              <w:rPr>
                <w:rFonts w:hint="eastAsia" w:ascii="宋体" w:hAnsi="宋体" w:cs="宋体"/>
                <w:sz w:val="18"/>
                <w:szCs w:val="18"/>
                <w:highlight w:val="none"/>
              </w:rPr>
            </w:r>
            <w:r/>
          </w:p>
        </w:tc>
        <w:tc>
          <w:tcPr>
            <w:tcW w:w="983"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c>
          <w:tcPr>
            <w:tcW w:w="686"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c>
          <w:tcPr>
            <w:tcW w:w="905"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r>
      <w:tr>
        <w:trPr>
          <w:trHeight w:val="1312"/>
        </w:trPr>
        <w:tc>
          <w:tcPr>
            <w:tcW w:w="647" w:type="dxa"/>
            <w:vAlign w:val="center"/>
            <w:vMerge w:val="continue"/>
            <w:textDirection w:val="lrTb"/>
            <w:noWrap w:val="false"/>
          </w:tcPr>
          <w:p>
            <w:pPr>
              <w:pStyle w:val="1043"/>
              <w:jc w:val="left"/>
              <w:rPr>
                <w:rFonts w:ascii="宋体" w:hAnsi="宋体" w:cs="宋体"/>
                <w:sz w:val="18"/>
                <w:szCs w:val="18"/>
                <w:highlight w:val="none"/>
              </w:rPr>
            </w:pPr>
            <w:r>
              <w:rPr>
                <w:rFonts w:ascii="宋体" w:hAnsi="宋体" w:cs="宋体"/>
                <w:sz w:val="18"/>
                <w:szCs w:val="18"/>
                <w:highlight w:val="none"/>
              </w:rPr>
            </w:r>
            <w:r/>
          </w:p>
        </w:tc>
        <w:tc>
          <w:tcPr>
            <w:tcW w:w="735" w:type="dxa"/>
            <w:vAlign w:val="center"/>
            <w:textDirection w:val="lrTb"/>
            <w:noWrap/>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数据更新</w:t>
            </w:r>
            <w:r>
              <w:rPr>
                <w:rFonts w:hint="eastAsia" w:ascii="宋体" w:hAnsi="宋体" w:cs="宋体"/>
                <w:sz w:val="18"/>
                <w:szCs w:val="18"/>
                <w:highlight w:val="none"/>
              </w:rPr>
            </w:r>
            <w:r/>
          </w:p>
        </w:tc>
        <w:tc>
          <w:tcPr>
            <w:tcW w:w="550" w:type="dxa"/>
            <w:vAlign w:val="center"/>
            <w:textDirection w:val="lrTb"/>
            <w:noWrap/>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490" w:type="dxa"/>
            <w:vAlign w:val="center"/>
            <w:textDirection w:val="lrTb"/>
            <w:noWrap/>
          </w:tcPr>
          <w:p>
            <w:pPr>
              <w:pStyle w:val="1043"/>
              <w:jc w:val="center"/>
              <w:rPr>
                <w:rFonts w:hint="eastAsia" w:ascii="宋体" w:hAnsi="宋体" w:cs="宋体"/>
                <w:sz w:val="18"/>
                <w:szCs w:val="18"/>
                <w:highlight w:val="none"/>
              </w:rPr>
            </w:pPr>
            <w:r>
              <w:rPr>
                <w:rFonts w:hint="eastAsia" w:ascii="宋体" w:hAnsi="宋体" w:cs="宋体"/>
                <w:sz w:val="18"/>
                <w:szCs w:val="18"/>
                <w:highlight w:val="none"/>
              </w:rPr>
              <w:t xml:space="preserve">项</w:t>
            </w:r>
            <w:r>
              <w:rPr>
                <w:rFonts w:hint="eastAsia" w:ascii="宋体" w:hAnsi="宋体" w:cs="宋体"/>
                <w:sz w:val="18"/>
                <w:szCs w:val="18"/>
                <w:highlight w:val="none"/>
              </w:rPr>
            </w:r>
            <w:r/>
          </w:p>
        </w:tc>
        <w:tc>
          <w:tcPr>
            <w:tcW w:w="983"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c>
          <w:tcPr>
            <w:tcW w:w="686"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c>
          <w:tcPr>
            <w:tcW w:w="905" w:type="dxa"/>
            <w:vAlign w:val="center"/>
            <w:textDirection w:val="lrTb"/>
            <w:noWrap w:val="false"/>
          </w:tcPr>
          <w:p>
            <w:pPr>
              <w:pStyle w:val="1043"/>
              <w:jc w:val="left"/>
              <w:rPr>
                <w:rFonts w:hint="eastAsia" w:ascii="宋体" w:hAnsi="宋体" w:cs="宋体"/>
                <w:sz w:val="18"/>
                <w:szCs w:val="18"/>
                <w:highlight w:val="none"/>
              </w:rPr>
            </w:pPr>
            <w:r>
              <w:rPr>
                <w:rFonts w:hint="eastAsia" w:ascii="宋体" w:hAnsi="宋体" w:cs="宋体"/>
                <w:sz w:val="18"/>
                <w:szCs w:val="18"/>
                <w:highlight w:val="none"/>
              </w:rPr>
            </w:r>
            <w:r/>
          </w:p>
        </w:tc>
      </w:tr>
      <w:tr>
        <w:trPr>
          <w:trHeight w:val="742"/>
        </w:trPr>
        <w:tc>
          <w:tcPr>
            <w:gridSpan w:val="7"/>
            <w:tcW w:w="9956" w:type="dxa"/>
            <w:vAlign w:val="center"/>
            <w:textDirection w:val="lrTb"/>
            <w:noWrap w:val="false"/>
          </w:tcPr>
          <w:p>
            <w:pPr>
              <w:pStyle w:val="1043"/>
              <w:jc w:val="left"/>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合计：</w:t>
            </w:r>
            <w:r>
              <w:rPr>
                <w:rFonts w:hint="eastAsia" w:ascii="宋体" w:hAnsi="宋体" w:eastAsia="宋体" w:cs="宋体"/>
                <w:sz w:val="18"/>
                <w:szCs w:val="18"/>
                <w:highlight w:val="none"/>
                <w:lang w:val="en-US" w:eastAsia="zh-CN"/>
              </w:rPr>
            </w:r>
            <w:r/>
          </w:p>
        </w:tc>
      </w:tr>
    </w:tbl>
    <w:p>
      <w:pPr>
        <w:pStyle w:val="1043"/>
        <w:numPr>
          <w:ilvl w:val="0"/>
          <w:numId w:val="7"/>
        </w:numPr>
        <w:ind w:left="0" w:firstLine="0"/>
        <w:rPr>
          <w:rFonts w:hint="eastAsia" w:ascii="宋体" w:hAnsi="宋体" w:cs="宋体"/>
          <w:szCs w:val="21"/>
          <w:highlight w:val="none"/>
        </w:rPr>
      </w:pPr>
      <w:r>
        <w:rPr>
          <w:rFonts w:hint="eastAsia" w:ascii="宋体" w:hAnsi="宋体" w:cs="宋体"/>
          <w:szCs w:val="21"/>
          <w:highlight w:val="none"/>
        </w:rPr>
        <w:t xml:space="preserve">巡查运维清单</w:t>
      </w:r>
      <w:r>
        <w:rPr>
          <w:rFonts w:hint="eastAsia" w:ascii="宋体" w:hAnsi="宋体" w:cs="宋体"/>
          <w:szCs w:val="21"/>
          <w:highlight w:val="none"/>
        </w:rPr>
      </w:r>
      <w:r/>
    </w:p>
    <w:tbl>
      <w:tblPr>
        <w:tblW w:w="5015"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325"/>
        <w:gridCol w:w="1401"/>
        <w:gridCol w:w="1825"/>
        <w:gridCol w:w="1897"/>
        <w:gridCol w:w="1717"/>
      </w:tblGrid>
      <w:tr>
        <w:trPr>
          <w:trHeight w:val="630"/>
        </w:trPr>
        <w:tc>
          <w:tcPr>
            <w:shd w:val="clear" w:color="000000" w:fill="ffffff"/>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序 号</w:t>
            </w:r>
            <w:r>
              <w:rPr>
                <w:rFonts w:ascii="宋体" w:hAnsi="宋体" w:cs="宋体"/>
                <w:b/>
                <w:bCs/>
                <w:sz w:val="18"/>
                <w:szCs w:val="1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设备名称</w:t>
            </w:r>
            <w:r>
              <w:rPr>
                <w:rFonts w:ascii="宋体" w:hAnsi="宋体" w:cs="宋体"/>
                <w:b/>
                <w:bCs/>
                <w:sz w:val="18"/>
                <w:szCs w:val="1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运维数量</w:t>
            </w:r>
            <w:r>
              <w:rPr>
                <w:rFonts w:ascii="宋体" w:hAnsi="宋体" w:cs="宋体"/>
                <w:b/>
                <w:bCs/>
                <w:sz w:val="18"/>
                <w:szCs w:val="18"/>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ind w:left="175" w:right="116" w:hanging="53"/>
              <w:jc w:val="center"/>
              <w:spacing w:before="52" w:line="257" w:lineRule="auto"/>
              <w:rPr>
                <w:rFonts w:hint="eastAsia" w:ascii="宋体" w:hAnsi="宋体" w:cs="宋体"/>
                <w:color w:val="000000"/>
                <w:spacing w:val="1"/>
                <w:sz w:val="18"/>
                <w:szCs w:val="18"/>
                <w:highlight w:val="none"/>
              </w:rPr>
            </w:pPr>
            <w:r>
              <w:rPr>
                <w:rFonts w:ascii="宋体" w:hAnsi="宋体" w:cs="宋体"/>
                <w:b/>
                <w:bCs/>
                <w:color w:val="000000"/>
                <w:spacing w:val="-4"/>
                <w:sz w:val="18"/>
                <w:szCs w:val="18"/>
                <w:highlight w:val="none"/>
              </w:rPr>
              <w:t xml:space="preserve">维保费</w:t>
            </w:r>
            <w:r>
              <w:rPr>
                <w:rFonts w:hint="eastAsia" w:ascii="宋体" w:hAnsi="宋体" w:cs="宋体"/>
                <w:color w:val="000000"/>
                <w:spacing w:val="1"/>
                <w:sz w:val="18"/>
                <w:szCs w:val="18"/>
                <w:highlight w:val="none"/>
              </w:rPr>
            </w:r>
            <w:r/>
          </w:p>
          <w:p>
            <w:pPr>
              <w:pStyle w:val="1043"/>
              <w:ind w:left="175" w:right="116" w:hanging="53"/>
              <w:jc w:val="center"/>
              <w:spacing w:before="52" w:line="257" w:lineRule="auto"/>
              <w:rPr>
                <w:rFonts w:hint="eastAsia" w:ascii="宋体" w:hAnsi="宋体" w:eastAsia="宋体" w:cs="宋体"/>
                <w:color w:val="000000"/>
                <w:sz w:val="18"/>
                <w:szCs w:val="18"/>
                <w:highlight w:val="none"/>
                <w:lang w:val="en-US" w:eastAsia="zh-CN" w:bidi="ar-SA"/>
              </w:rPr>
            </w:pPr>
            <w:r>
              <w:rPr>
                <w:rFonts w:ascii="宋体" w:hAnsi="宋体" w:cs="宋体"/>
                <w:b/>
                <w:bCs/>
                <w:color w:val="000000"/>
                <w:spacing w:val="-4"/>
                <w:sz w:val="18"/>
                <w:szCs w:val="18"/>
                <w:highlight w:val="none"/>
              </w:rPr>
              <w:t xml:space="preserve">（</w:t>
            </w:r>
            <w:r>
              <w:rPr>
                <w:rFonts w:ascii="宋体" w:hAnsi="宋体" w:cs="宋体"/>
                <w:color w:val="000000"/>
                <w:sz w:val="18"/>
                <w:szCs w:val="18"/>
                <w:highlight w:val="none"/>
              </w:rPr>
              <w:t xml:space="preserve"> </w:t>
            </w:r>
            <w:r>
              <w:rPr>
                <w:rFonts w:ascii="宋体" w:hAnsi="宋体" w:cs="宋体"/>
                <w:b/>
                <w:bCs/>
                <w:color w:val="000000"/>
                <w:spacing w:val="-5"/>
                <w:sz w:val="18"/>
                <w:szCs w:val="18"/>
                <w:highlight w:val="none"/>
              </w:rPr>
              <w:t xml:space="preserve">元）</w:t>
            </w:r>
            <w:r>
              <w:rPr>
                <w:rFonts w:hint="eastAsia" w:ascii="宋体" w:hAnsi="宋体" w:eastAsia="宋体" w:cs="宋体"/>
                <w:color w:val="000000"/>
                <w:sz w:val="18"/>
                <w:szCs w:val="18"/>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both"/>
              <w:spacing w:before="68" w:line="221" w:lineRule="auto"/>
              <w:rPr>
                <w:rFonts w:hint="eastAsia" w:ascii="宋体" w:hAnsi="宋体" w:eastAsia="宋体" w:cs="宋体"/>
                <w:color w:val="000000"/>
                <w:sz w:val="18"/>
                <w:szCs w:val="18"/>
                <w:highlight w:val="none"/>
                <w:lang w:val="en-US" w:eastAsia="en-US" w:bidi="ar-SA"/>
              </w:rPr>
            </w:pPr>
            <w:r>
              <w:rPr>
                <w:rFonts w:hint="eastAsia" w:ascii="宋体" w:hAnsi="宋体" w:cs="宋体"/>
                <w:b/>
                <w:bCs/>
                <w:color w:val="000000"/>
                <w:spacing w:val="-6"/>
                <w:sz w:val="18"/>
                <w:szCs w:val="18"/>
                <w:highlight w:val="none"/>
                <w:lang w:eastAsia="en-US"/>
              </w:rPr>
              <w:t xml:space="preserve">小计（元）</w:t>
            </w:r>
            <w:r>
              <w:rPr>
                <w:rFonts w:hint="eastAsia" w:ascii="宋体" w:hAnsi="宋体" w:eastAsia="宋体" w:cs="宋体"/>
                <w:color w:val="000000"/>
                <w:sz w:val="18"/>
                <w:szCs w:val="18"/>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859" w:type="dxa"/>
            <w:vAlign w:val="top"/>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en-US" w:bidi="en-US"/>
              </w:rPr>
            </w:pPr>
            <w:r>
              <w:rPr>
                <w:rFonts w:hint="eastAsia" w:ascii="宋体" w:hAnsi="宋体" w:cs="宋体"/>
                <w:b/>
                <w:bCs/>
                <w:color w:val="000000"/>
                <w:sz w:val="18"/>
                <w:szCs w:val="18"/>
                <w:highlight w:val="none"/>
                <w:lang w:bidi="en-US"/>
              </w:rPr>
              <w:t xml:space="preserve">备注（详见采购需求）</w:t>
            </w:r>
            <w:r>
              <w:rPr>
                <w:rFonts w:hint="eastAsia" w:ascii="宋体" w:hAnsi="宋体" w:eastAsia="宋体" w:cs="宋体"/>
                <w:b/>
                <w:bCs/>
                <w:color w:val="000000"/>
                <w:sz w:val="18"/>
                <w:szCs w:val="18"/>
                <w:highlight w:val="none"/>
                <w:lang w:val="en-US" w:eastAsia="en-US" w:bidi="en-US"/>
              </w:rPr>
            </w:r>
            <w:r/>
          </w:p>
        </w:tc>
      </w:tr>
      <w:tr>
        <w:trPr>
          <w:trHeight w:val="668"/>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液位计</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t xml:space="preserve">63</w:t>
            </w:r>
            <w:r>
              <w:rPr>
                <w:rFonts w:hint="eastAsia" w:ascii="宋体" w:hAnsi="宋体" w:cs="宋体"/>
                <w:sz w:val="18"/>
                <w:szCs w:val="18"/>
                <w:highlight w:val="none"/>
              </w:rPr>
              <w:t xml:space="preserve">个</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770"/>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水质监测设备（含流量）</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3</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742"/>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视频监控（户外）</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6</w:t>
            </w:r>
            <w:r>
              <w:rPr>
                <w:rFonts w:ascii="宋体" w:hAnsi="宋体" w:cs="宋体"/>
                <w:sz w:val="18"/>
                <w:szCs w:val="18"/>
                <w:highlight w:val="none"/>
              </w:rPr>
              <w:t xml:space="preserve">2</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视频监控（暗涵）</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5</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雨量传感器</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1031"/>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6</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水浸传感器</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t xml:space="preserve">64</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95"/>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7</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监控设备箱</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33</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464"/>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8</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中心控制设备（光纤收发器机架，光纤收发器，pdu电源，路由器，网络交换机等）</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1</w:t>
            </w:r>
            <w:r>
              <w:rPr>
                <w:rFonts w:hint="eastAsia" w:ascii="宋体" w:hAnsi="宋体" w:cs="宋体"/>
                <w:sz w:val="18"/>
                <w:szCs w:val="18"/>
                <w:highlight w:val="none"/>
              </w:rPr>
              <w:t xml:space="preserve">处</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463"/>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9</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电缆光纤线路</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t xml:space="preserve">15.554</w:t>
            </w:r>
            <w:r>
              <w:rPr>
                <w:rFonts w:hint="eastAsia" w:ascii="宋体" w:hAnsi="宋体" w:cs="宋体"/>
                <w:sz w:val="18"/>
                <w:szCs w:val="18"/>
                <w:highlight w:val="none"/>
              </w:rPr>
              <w:t xml:space="preserve">千米</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1498"/>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10</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截流井、蝶阀、闸门、引补水自动化控制设备</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9</w:t>
            </w:r>
            <w:r>
              <w:rPr>
                <w:rFonts w:hint="eastAsia" w:ascii="宋体" w:hAnsi="宋体" w:cs="宋体"/>
                <w:sz w:val="18"/>
                <w:szCs w:val="18"/>
                <w:highlight w:val="none"/>
              </w:rPr>
              <w:t xml:space="preserve">处</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1093"/>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11</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曝气自动化控制设备</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6处</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859"/>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12</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GPS定位胸牌</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0</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570"/>
        </w:trPr>
        <w:tc>
          <w:tcPr>
            <w:shd w:val="clear" w:color="000000" w:fill="ffffff"/>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13</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中心中控室</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1项</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959"/>
        </w:trPr>
        <w:tc>
          <w:tcPr>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4</w:t>
            </w:r>
            <w:r>
              <w:rPr>
                <w:rFonts w:hint="eastAsia"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养护车载视频设备</w:t>
            </w: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6台</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651"/>
        </w:trPr>
        <w:tc>
          <w:tcPr>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5</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电子水尺</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841"/>
        </w:trPr>
        <w:tc>
          <w:tcPr>
            <w:tcBorders>
              <w:top w:val="non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6</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防汛车载设备</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9个</w:t>
            </w:r>
            <w:r>
              <w:rPr>
                <w:rFonts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7</w:t>
            </w:r>
            <w:r>
              <w:rPr>
                <w:rFonts w:hint="eastAsia" w:ascii="宋体" w:hAnsi="宋体" w:cs="宋体"/>
                <w:sz w:val="18"/>
                <w:szCs w:val="1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电子大屏</w:t>
            </w: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2块</w:t>
            </w: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cs="宋体"/>
                <w:sz w:val="18"/>
                <w:szCs w:val="18"/>
                <w:highlight w:val="none"/>
              </w:rPr>
            </w:pPr>
            <w:r>
              <w:rPr>
                <w:rFonts w:hint="eastAsia" w:ascii="宋体" w:hAnsi="宋体" w:cs="宋体"/>
                <w:sz w:val="18"/>
                <w:szCs w:val="18"/>
                <w:highlight w:val="none"/>
              </w:rPr>
            </w:r>
            <w:r/>
          </w:p>
        </w:tc>
      </w:tr>
      <w:tr>
        <w:trPr>
          <w:trHeight w:val="683"/>
        </w:trPr>
        <w:tc>
          <w:tcPr>
            <w:gridSpan w:val="5"/>
            <w:tcBorders>
              <w:top w:val="single" w:color="000000" w:sz="4" w:space="0"/>
              <w:left w:val="single" w:color="000000" w:sz="4" w:space="0"/>
              <w:bottom w:val="single" w:color="000000" w:sz="4" w:space="0"/>
              <w:right w:val="single" w:color="000000" w:sz="4" w:space="0"/>
            </w:tcBorders>
            <w:tcW w:w="8275" w:type="dxa"/>
            <w:vAlign w:val="center"/>
            <w:textDirection w:val="lrTb"/>
            <w:noWrap w:val="false"/>
          </w:tcPr>
          <w:p>
            <w:pPr>
              <w:pStyle w:val="1043"/>
              <w:jc w:val="left"/>
              <w:spacing w:line="360" w:lineRule="auto"/>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合计</w:t>
            </w:r>
            <w:r>
              <w:rPr>
                <w:rFonts w:hint="eastAsia" w:ascii="宋体" w:hAnsi="宋体" w:eastAsia="宋体" w:cs="宋体"/>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043"/>
              <w:jc w:val="left"/>
              <w:spacing w:line="360" w:lineRule="auto"/>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元</w:t>
            </w:r>
            <w:r>
              <w:rPr>
                <w:rFonts w:hint="eastAsia" w:ascii="宋体" w:hAnsi="宋体" w:eastAsia="宋体" w:cs="宋体"/>
                <w:sz w:val="18"/>
                <w:szCs w:val="18"/>
                <w:highlight w:val="none"/>
                <w:lang w:val="en-US" w:eastAsia="zh-CN"/>
              </w:rPr>
            </w:r>
            <w:r/>
          </w:p>
        </w:tc>
      </w:tr>
    </w:tbl>
    <w:p>
      <w:pPr>
        <w:pStyle w:val="1043"/>
        <w:numPr>
          <w:ilvl w:val="0"/>
          <w:numId w:val="0"/>
        </w:numPr>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pStyle w:val="1043"/>
        <w:jc w:val="left"/>
        <w:spacing w:line="360" w:lineRule="auto"/>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3、平台网络及安全维护费用</w:t>
      </w:r>
      <w:r>
        <w:rPr>
          <w:rFonts w:hint="eastAsia" w:ascii="宋体" w:hAnsi="宋体" w:eastAsia="宋体" w:cs="宋体"/>
          <w:sz w:val="18"/>
          <w:szCs w:val="18"/>
          <w:highlight w:val="none"/>
          <w:lang w:val="en-US" w:eastAsia="zh-CN"/>
        </w:rPr>
      </w:r>
      <w:r/>
    </w:p>
    <w:tbl>
      <w:tblPr>
        <w:tblW w:w="49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646"/>
        <w:gridCol w:w="1202"/>
        <w:gridCol w:w="1914"/>
        <w:gridCol w:w="1432"/>
        <w:gridCol w:w="1904"/>
      </w:tblGrid>
      <w:tr>
        <w:trPr>
          <w:trHeight w:val="942"/>
        </w:trPr>
        <w:tc>
          <w:tcPr>
            <w:shd w:val="clear" w:color="auto" w:fill="ffffff"/>
            <w:tcW w:w="413" w:type="dxa"/>
            <w:vAlign w:val="center"/>
            <w:textDirection w:val="lrTb"/>
            <w:noWrap w:val="false"/>
          </w:tcPr>
          <w:p>
            <w:pPr>
              <w:pStyle w:val="1043"/>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序号</w:t>
            </w:r>
            <w:r>
              <w:rPr>
                <w:rFonts w:ascii="宋体" w:hAnsi="宋体" w:cs="宋体"/>
                <w:b/>
                <w:bCs/>
                <w:sz w:val="18"/>
                <w:szCs w:val="18"/>
                <w:highlight w:val="none"/>
              </w:rPr>
            </w:r>
            <w:r/>
          </w:p>
        </w:tc>
        <w:tc>
          <w:tcPr>
            <w:shd w:val="clear" w:color="auto" w:fill="ffffff"/>
            <w:tcW w:w="1334" w:type="dxa"/>
            <w:vAlign w:val="center"/>
            <w:textDirection w:val="lrTb"/>
            <w:noWrap w:val="false"/>
          </w:tcPr>
          <w:p>
            <w:pPr>
              <w:pStyle w:val="1043"/>
              <w:ind w:firstLine="422"/>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项目名称</w:t>
            </w:r>
            <w:r>
              <w:rPr>
                <w:rFonts w:ascii="宋体" w:hAnsi="宋体" w:cs="宋体"/>
                <w:b/>
                <w:bCs/>
                <w:sz w:val="18"/>
                <w:szCs w:val="18"/>
                <w:highlight w:val="none"/>
              </w:rPr>
            </w:r>
            <w:r/>
          </w:p>
        </w:tc>
        <w:tc>
          <w:tcPr>
            <w:shd w:val="clear" w:color="auto" w:fill="ffffff"/>
            <w:tcW w:w="606" w:type="dxa"/>
            <w:vAlign w:val="center"/>
            <w:textDirection w:val="lrTb"/>
            <w:noWrap w:val="false"/>
          </w:tcPr>
          <w:p>
            <w:pPr>
              <w:pStyle w:val="1043"/>
              <w:jc w:val="center"/>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数量</w:t>
            </w:r>
            <w:r>
              <w:rPr>
                <w:rFonts w:ascii="宋体" w:hAnsi="宋体" w:cs="宋体"/>
                <w:b/>
                <w:bCs/>
                <w:sz w:val="18"/>
                <w:szCs w:val="18"/>
                <w:highlight w:val="none"/>
              </w:rPr>
            </w:r>
            <w:r/>
          </w:p>
        </w:tc>
        <w:tc>
          <w:tcPr>
            <w:shd w:val="clear" w:color="auto" w:fill="ffffff"/>
            <w:tcW w:w="965"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rPr>
              <w:t xml:space="preserve">单价（元）</w:t>
            </w:r>
            <w:r>
              <w:rPr>
                <w:rFonts w:hint="eastAsia" w:ascii="宋体" w:hAnsi="宋体" w:eastAsia="宋体" w:cs="宋体"/>
                <w:b/>
                <w:bCs/>
                <w:color w:val="000000"/>
                <w:sz w:val="18"/>
                <w:szCs w:val="18"/>
                <w:highlight w:val="none"/>
                <w:lang w:val="en-US" w:eastAsia="zh-CN" w:bidi="ar-SA"/>
              </w:rPr>
            </w:r>
            <w:r/>
          </w:p>
        </w:tc>
        <w:tc>
          <w:tcPr>
            <w:shd w:val="clear" w:color="auto" w:fill="ffffff"/>
            <w:tcW w:w="722"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rPr>
              <w:t xml:space="preserve">小计</w:t>
            </w:r>
            <w:r>
              <w:rPr>
                <w:rFonts w:hint="eastAsia" w:ascii="宋体" w:hAnsi="宋体" w:cs="宋体"/>
                <w:b/>
                <w:bCs/>
                <w:color w:val="000000"/>
                <w:spacing w:val="-6"/>
                <w:sz w:val="18"/>
                <w:szCs w:val="18"/>
                <w:highlight w:val="none"/>
                <w:lang w:eastAsia="en-US"/>
              </w:rPr>
              <w:t xml:space="preserve">（元）</w:t>
            </w:r>
            <w:r>
              <w:rPr>
                <w:rFonts w:hint="eastAsia" w:ascii="宋体" w:hAnsi="宋体" w:eastAsia="宋体" w:cs="宋体"/>
                <w:b/>
                <w:bCs/>
                <w:color w:val="000000"/>
                <w:sz w:val="18"/>
                <w:szCs w:val="18"/>
                <w:highlight w:val="none"/>
                <w:lang w:val="en-US" w:eastAsia="zh-CN" w:bidi="ar-SA"/>
              </w:rPr>
            </w:r>
            <w:r/>
          </w:p>
        </w:tc>
        <w:tc>
          <w:tcPr>
            <w:shd w:val="clear" w:color="auto" w:fill="ffffff"/>
            <w:tcW w:w="955" w:type="dxa"/>
            <w:vAlign w:val="center"/>
            <w:textDirection w:val="lrTb"/>
            <w:noWrap w:val="false"/>
          </w:tcPr>
          <w:p>
            <w:pPr>
              <w:pStyle w:val="1043"/>
              <w:jc w:val="center"/>
              <w:spacing w:line="360" w:lineRule="auto"/>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rPr>
              <w:t xml:space="preserve">备注（详见采购需求）</w:t>
            </w:r>
            <w:r>
              <w:rPr>
                <w:rFonts w:hint="eastAsia" w:ascii="宋体" w:hAnsi="宋体" w:eastAsia="宋体" w:cs="宋体"/>
                <w:b/>
                <w:bCs/>
                <w:color w:val="000000"/>
                <w:sz w:val="18"/>
                <w:szCs w:val="18"/>
                <w:highlight w:val="none"/>
                <w:lang w:val="en-US" w:eastAsia="zh-CN" w:bidi="ar-SA"/>
              </w:rPr>
            </w:r>
            <w:r/>
          </w:p>
        </w:tc>
      </w:tr>
      <w:tr>
        <w:trPr>
          <w:cantSplit/>
          <w:trHeight w:val="476"/>
        </w:trPr>
        <w:tc>
          <w:tcPr>
            <w:shd w:val="clear" w:color="auto" w:fill="ffffff"/>
            <w:tcW w:w="413" w:type="dxa"/>
            <w:vAlign w:val="center"/>
            <w:vMerge w:val="restart"/>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r>
            <w:r/>
          </w:p>
        </w:tc>
        <w:tc>
          <w:tcPr>
            <w:shd w:val="clear" w:color="auto" w:fill="ffffff"/>
            <w:tcW w:w="1334" w:type="dxa"/>
            <w:vAlign w:val="center"/>
            <w:vMerge w:val="restart"/>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监控视频网络宽带</w:t>
            </w: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cantSplit/>
          <w:trHeight w:val="476"/>
        </w:trPr>
        <w:tc>
          <w:tcPr>
            <w:shd w:val="clear" w:color="auto" w:fill="ffffff"/>
            <w:tcW w:w="413" w:type="dxa"/>
            <w:vAlign w:val="center"/>
            <w:vMerge w:val="continue"/>
            <w:textDirection w:val="lrTb"/>
            <w:noWrap w:val="false"/>
          </w:tcPr>
          <w:p>
            <w:pPr>
              <w:pStyle w:val="1043"/>
              <w:ind w:firstLine="420"/>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1334" w:type="dxa"/>
            <w:vAlign w:val="center"/>
            <w:vMerge w:val="continue"/>
            <w:textDirection w:val="lrTb"/>
            <w:noWrap w:val="false"/>
          </w:tcPr>
          <w:p>
            <w:pPr>
              <w:pStyle w:val="1043"/>
              <w:ind w:firstLine="420"/>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76"/>
        </w:trPr>
        <w:tc>
          <w:tcPr>
            <w:shd w:val="clear" w:color="auto" w:fill="ffffff"/>
            <w:tcW w:w="41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r>
            <w:r/>
          </w:p>
        </w:tc>
        <w:tc>
          <w:tcPr>
            <w:shd w:val="clear" w:color="auto" w:fill="ffffff"/>
            <w:tcW w:w="133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海康视频平台</w:t>
            </w: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76"/>
        </w:trPr>
        <w:tc>
          <w:tcPr>
            <w:shd w:val="clear" w:color="auto" w:fill="ffffff"/>
            <w:tcW w:w="41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shd w:val="clear" w:color="auto" w:fill="ffffff"/>
            <w:tcW w:w="133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车载视频物联网流量卡</w:t>
            </w: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76"/>
        </w:trPr>
        <w:tc>
          <w:tcPr>
            <w:shd w:val="clear" w:color="auto" w:fill="ffffff"/>
            <w:tcW w:w="41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r>
            <w:r/>
          </w:p>
        </w:tc>
        <w:tc>
          <w:tcPr>
            <w:shd w:val="clear" w:color="auto" w:fill="ffffff"/>
            <w:tcW w:w="133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萤石云平台</w:t>
            </w: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76"/>
        </w:trPr>
        <w:tc>
          <w:tcPr>
            <w:shd w:val="clear" w:color="auto" w:fill="ffffff"/>
            <w:tcW w:w="413"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shd w:val="clear" w:color="auto" w:fill="ffffff"/>
            <w:tcW w:w="1334"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设备物联网流量卡</w:t>
            </w:r>
            <w:r>
              <w:rPr>
                <w:rFonts w:ascii="宋体" w:hAnsi="宋体" w:cs="宋体"/>
                <w:sz w:val="18"/>
                <w:szCs w:val="18"/>
                <w:highlight w:val="none"/>
              </w:rPr>
            </w:r>
            <w:r/>
          </w:p>
        </w:tc>
        <w:tc>
          <w:tcPr>
            <w:shd w:val="clear" w:color="auto" w:fill="ffffff"/>
            <w:tcW w:w="606" w:type="dxa"/>
            <w:vAlign w:val="center"/>
            <w:textDirection w:val="lrTb"/>
            <w:noWrap w:val="false"/>
          </w:tcPr>
          <w:p>
            <w:pPr>
              <w:pStyle w:val="1043"/>
              <w:jc w:val="left"/>
              <w:spacing w:line="360" w:lineRule="auto"/>
              <w:rPr>
                <w:rFonts w:ascii="宋体" w:hAnsi="宋体" w:cs="宋体"/>
                <w:sz w:val="18"/>
                <w:szCs w:val="18"/>
                <w:highlight w:val="none"/>
              </w:rPr>
            </w:pPr>
            <w:r>
              <w:rPr>
                <w:rFonts w:hint="eastAsia" w:ascii="宋体" w:hAnsi="宋体" w:cs="宋体"/>
                <w:sz w:val="18"/>
                <w:szCs w:val="18"/>
                <w:highlight w:val="none"/>
              </w:rPr>
              <w:t xml:space="preserve">1年</w:t>
            </w:r>
            <w:r>
              <w:rPr>
                <w:rFonts w:ascii="宋体" w:hAnsi="宋体" w:cs="宋体"/>
                <w:sz w:val="18"/>
                <w:szCs w:val="18"/>
                <w:highlight w:val="none"/>
              </w:rPr>
            </w:r>
            <w:r/>
          </w:p>
        </w:tc>
        <w:tc>
          <w:tcPr>
            <w:shd w:val="clear" w:color="auto" w:fill="ffffff"/>
            <w:tcW w:w="96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722"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c>
          <w:tcPr>
            <w:shd w:val="clear" w:color="auto" w:fill="ffffff"/>
            <w:tcW w:w="955" w:type="dxa"/>
            <w:vAlign w:val="center"/>
            <w:textDirection w:val="lrTb"/>
            <w:noWrap w:val="false"/>
          </w:tcPr>
          <w:p>
            <w:pPr>
              <w:pStyle w:val="1043"/>
              <w:jc w:val="left"/>
              <w:spacing w:line="360" w:lineRule="auto"/>
              <w:rPr>
                <w:rFonts w:ascii="宋体" w:hAnsi="宋体" w:cs="宋体"/>
                <w:sz w:val="18"/>
                <w:szCs w:val="18"/>
                <w:highlight w:val="none"/>
              </w:rPr>
            </w:pPr>
            <w:r>
              <w:rPr>
                <w:rFonts w:ascii="宋体" w:hAnsi="宋体" w:cs="宋体"/>
                <w:sz w:val="18"/>
                <w:szCs w:val="18"/>
                <w:highlight w:val="none"/>
              </w:rPr>
            </w:r>
            <w:r/>
          </w:p>
        </w:tc>
      </w:tr>
      <w:tr>
        <w:trPr>
          <w:trHeight w:val="486"/>
        </w:trPr>
        <w:tc>
          <w:tcPr>
            <w:gridSpan w:val="6"/>
            <w:shd w:val="clear" w:color="auto" w:fill="ffffff"/>
            <w:tcW w:w="9916" w:type="dxa"/>
            <w:vAlign w:val="center"/>
            <w:textDirection w:val="lrTb"/>
            <w:noWrap w:val="false"/>
          </w:tcPr>
          <w:p>
            <w:pPr>
              <w:pStyle w:val="1043"/>
              <w:jc w:val="left"/>
              <w:spacing w:line="360" w:lineRule="auto"/>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合计：</w:t>
            </w:r>
            <w:r>
              <w:rPr>
                <w:rFonts w:hint="eastAsia" w:ascii="宋体" w:hAnsi="宋体" w:eastAsia="宋体" w:cs="宋体"/>
                <w:sz w:val="18"/>
                <w:szCs w:val="18"/>
                <w:highlight w:val="none"/>
                <w:lang w:val="en-US" w:eastAsia="zh-CN"/>
              </w:rPr>
            </w:r>
            <w:r/>
          </w:p>
        </w:tc>
      </w:tr>
    </w:tbl>
    <w:p>
      <w:pPr>
        <w:pStyle w:val="1043"/>
        <w:jc w:val="left"/>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4、重要设施损坏更换</w:t>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rFonts w:hint="eastAsia" w:ascii="宋体" w:hAnsi="宋体" w:eastAsia="宋体" w:cs="宋体"/>
          <w:b/>
          <w:bCs/>
          <w:i w:val="0"/>
          <w:iCs w:val="0"/>
          <w:color w:val="000000" w:themeColor="text1"/>
          <w:sz w:val="18"/>
          <w:szCs w:val="18"/>
          <w:highlight w:val="none"/>
          <w:u w:val="none"/>
          <w:lang w:val="en-US" w:eastAsia="zh-CN" w:bidi="ar"/>
        </w:rPr>
        <w:t xml:space="preserve">如果排查过程中发现重要设施损坏，需要对损坏设施进行维修与更换，重要设施项目如下表，本单项预算为25万元，为不可竞争费用，按实结算，各供应商投标时自行考虑投标折扣率</w:t>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rFonts w:hint="eastAsia" w:ascii="宋体" w:hAnsi="宋体" w:eastAsia="宋体" w:cs="宋体"/>
          <w:b/>
          <w:bCs/>
          <w:i w:val="0"/>
          <w:iCs w:val="0"/>
          <w:color w:val="000000" w:themeColor="text1"/>
          <w:sz w:val="18"/>
          <w:szCs w:val="18"/>
          <w:highlight w:val="none"/>
          <w:u w:val="none"/>
          <w:lang w:val="en-US" w:eastAsia="zh-CN" w:bidi="ar"/>
        </w:rPr>
      </w:r>
      <w:r>
        <w:rPr>
          <w:color w:val="000000" w:themeColor="text1"/>
        </w:rPr>
      </w:r>
    </w:p>
    <w:p>
      <w:pPr>
        <w:pStyle w:val="1043"/>
        <w:numPr>
          <w:ilvl w:val="0"/>
          <w:numId w:val="0"/>
        </w:numPr>
        <w:jc w:val="both"/>
        <w:rPr>
          <w:rFonts w:hint="eastAsia" w:ascii="宋体" w:hAnsi="宋体" w:cs="宋体"/>
          <w:b/>
          <w:bCs/>
          <w:color w:val="000000" w:themeColor="text1"/>
          <w:spacing w:val="-3"/>
          <w:szCs w:val="21"/>
          <w:highlight w:val="none"/>
        </w:rPr>
      </w:pPr>
      <w:r>
        <w:rPr>
          <w:rFonts w:hint="eastAsia" w:ascii="宋体" w:hAnsi="宋体" w:cs="宋体"/>
          <w:b/>
          <w:bCs/>
          <w:color w:val="000000" w:themeColor="text1"/>
          <w:spacing w:val="-3"/>
          <w:szCs w:val="21"/>
          <w:highlight w:val="none"/>
          <w:lang w:eastAsia="zh-CN"/>
        </w:rPr>
      </w:r>
      <w:r>
        <w:rPr>
          <w:color w:val="000000" w:themeColor="text1"/>
        </w:rPr>
      </w:r>
    </w:p>
    <w:tbl>
      <w:tblPr>
        <w:tblW w:w="957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905"/>
        <w:gridCol w:w="3615"/>
        <w:gridCol w:w="986"/>
        <w:gridCol w:w="1146"/>
        <w:gridCol w:w="1146"/>
      </w:tblGrid>
      <w:tr>
        <w:trPr>
          <w:trHeight w:val="597"/>
        </w:trPr>
        <w:tc>
          <w:tcPr>
            <w:tcW w:w="779"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905"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3615"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重要参数</w:t>
            </w:r>
            <w:r>
              <w:rPr>
                <w:rFonts w:hint="eastAsia" w:ascii="宋体" w:hAnsi="宋体" w:eastAsia="宋体" w:cs="宋体"/>
                <w:b/>
                <w:bCs/>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1146"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单价最高限价（元）</w:t>
            </w:r>
            <w:r>
              <w:rPr>
                <w:rFonts w:hint="eastAsia" w:ascii="宋体" w:hAnsi="宋体" w:eastAsia="宋体" w:cs="宋体"/>
                <w:b/>
                <w:bCs/>
                <w:i w:val="0"/>
                <w:iCs w:val="0"/>
                <w:color w:val="000000"/>
                <w:sz w:val="18"/>
                <w:szCs w:val="18"/>
                <w:highlight w:val="none"/>
                <w:u w:val="none"/>
                <w:lang w:val="en-US" w:eastAsia="zh-CN" w:bidi="ar"/>
              </w:rPr>
            </w:r>
            <w:r/>
          </w:p>
        </w:tc>
        <w:tc>
          <w:tcPr>
            <w:tcW w:w="1146" w:type="dxa"/>
            <w:vAlign w:val="center"/>
            <w:textDirection w:val="lrTb"/>
            <w:noWrap w:val="false"/>
          </w:tcPr>
          <w:p>
            <w:pPr>
              <w:pStyle w:val="104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折扣率（%）</w:t>
            </w:r>
            <w:r>
              <w:rPr>
                <w:rFonts w:hint="eastAsia" w:ascii="宋体" w:hAnsi="宋体" w:eastAsia="宋体" w:cs="宋体"/>
                <w:b/>
                <w:bCs/>
                <w:i w:val="0"/>
                <w:iCs w:val="0"/>
                <w:color w:val="000000"/>
                <w:sz w:val="18"/>
                <w:szCs w:val="18"/>
                <w:highlight w:val="none"/>
                <w:u w:val="none"/>
                <w:lang w:val="en-US" w:eastAsia="zh-CN" w:bidi="ar"/>
              </w:rPr>
            </w:r>
            <w:r/>
          </w:p>
        </w:tc>
      </w:tr>
      <w:tr>
        <w:trPr>
          <w:trHeight w:val="68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监控设备箱</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不锈钢,厚度1.2,防水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通风，预留进线孔。</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686</w:t>
            </w:r>
            <w:r>
              <w:rPr>
                <w:rFonts w:hint="eastAsia" w:ascii="宋体" w:hAnsi="宋体" w:eastAsia="宋体" w:cs="宋体"/>
                <w:i w:val="0"/>
                <w:iCs w:val="0"/>
                <w:color w:val="000000"/>
                <w:sz w:val="18"/>
                <w:szCs w:val="18"/>
                <w:highlight w:val="none"/>
                <w:u w:val="none"/>
              </w:rPr>
            </w:r>
            <w:r/>
          </w:p>
        </w:tc>
        <w:tc>
          <w:tcPr>
            <w:tcW w:w="1146" w:type="dxa"/>
            <w:vAlign w:val="center"/>
            <w:vMerge w:val="restart"/>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NVR及硬盘</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支持1个HDMI4K输出+1个VGA异源高清1080P输岀最大支持8路1080P解码；支持H.265、H.264混合解码，最大支持接入8MP高清IPC2个千兆网口</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3886</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6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路由器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Wi-Fi6协议,4个千兆网口。</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控制机柜（室内）</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通体厚度1.2mm，立柱厚度2.0mm，超强称重600kg以上。</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控制机柜（室外）</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屋檐式防水帽，高强度铰链，防水密封条，侧面开排风散热孔，精良防盗锁，厚度0.8mm。</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482"/>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核心交换机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全双工釆用IEEE802.3x标准，半双工釆用Backpressure标准；支持MAC地址自学习；釆用存储-转发体系结构；支持SNMP/RMON/TELNET及Web管理;支持IEEE802.IQVLAN功能；支持IEEE802.Ip优先级队列控制；支持1.5K条ACL配置；</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3950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173"/>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核心交换机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网络标准协议：IEEE 802.3、IEEE 802.3u、IEEE 802.3ab、IEEE 802.3x，过滤和转发速率：10Mbps：14880pps、100Mbps：148800pps、1000Mbps：1488000pps。工作温度：0℃到40℃，存储温度：-40℃到70℃。</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光纤接收机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传输距离系列齐全，介质传输距离2-20km；,传输速率10Mbps和100Mbps自适应</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光纤发射机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工作温度：-30℃~70℃，工作电压220V，2U机架</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525</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光纤收发器机架</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工作温度：-30℃~70℃，工作电压220V，2U机架</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826</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40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河道液位设备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采集频率：200ms/可配置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电压范围：9-24V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测量精度：±2mm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分辨率：1mm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波束角度：2.75°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通讯协议：modbus/文本协议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量程范围：0.06~3/5/10m； 0.1~15/20m；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工作湿度：0-95%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工作温度：-40℃-70℃</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86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液位计 （压力）</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量程0-15m，工作温度-20-70摄氏度；零点温漂±1.5%FS；灵敏度温漂±1.5%FS；内置监测模块，可设置上报周期及报警阈值，传感器部分IP68防水；表头IP66/67</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压力液位计电池更换费用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电池3.6V 38AH</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57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液位仪（超声波）</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供电方式：内置一次性防爆锂电池组3.6V/57Ah,正常使用时间大于15个月；支持外置太阳能电池+内置充电电池方式：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通信方式：GPRS/NB-IoT/4G(全网通)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量程：雷达液位量程:0-10m,投入式液位量程:0-10m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盲区：0.5m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测量精度：±0.5%(最大量程)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外壳材料：PVDF/ABS(传感器)、PC(外壳)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防爆等级：NR</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工作温度：-20°C~60°C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存储温度：-20~C~70℃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相对湿度：95%(无凝结)</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超声波液位计电池更换费用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3.6V/57Ah</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87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流量计 整体</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测流范围：0m/s~+5m/s、0ms~+10ms、0m/s~+15m/s(可定制量程，支持双向测流)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测流准确度：1.%±0.01m/s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分辨率：0. 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水温测量范围：0~60℃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供电范围：DC 7.2~12V建议DC 12V供电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水位范围：0~10m(可定制量程)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水位精度：0.2%士1mm 低水位可测20mm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流量范围：1升/秒~999999立方米/每小时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防水等级：IP68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供电电源：8-16VDC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内置电池：3.6V锂亚电池，130AH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输出信号：4G(全网通）</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96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流量计 探头</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测流范围：0m/s~+5m/s、0ms~+10ms、0m/s~+15m/s(可定制量程，支持双向测流)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测流准确度：1.%±0.01m/s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分辨率：0. 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水温测量范围：0~60℃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水位范围：0~10m(可定制量程)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水位精度：0.2%士1mm 低水位可测20mm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流量范围：1升/秒~999999立方米/每小时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工作温度：-10℃~60℃</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流量计 主机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主机参数：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防水等级：IP68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供电电源：8-16VDC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内置电池：3.6V锂亚电池，130AH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输出信号：4G(全网通）</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流量计电池更换费用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3.6V，130AH</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4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水浸传感器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传感器灵敏度：液体电导率W10us/cm，外壳材料：ABS防老化、防腐蚀，防撞击材料防护等级：IP67</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水浸传感器电池</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锂电池供电ER26500（3.6V）</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雨量计整体</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承雨口径：200mm,测量范围：W30mm/min,分辨率：0.2mm,误差：土1%</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864"/>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电子水尺（整套）</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4G/NB-LOT通信；量程160cm；精度1cm；内部工作温度主动监控3路RS485，1路RS232接口；市电转12V或太阳能供电；工作温度-20-70℃；工作湿度95%；IP67防水</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电子水尺 设备机头</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4G/NB-LOT通信；内部工作温度主动监控3路RS485，1路RS232接口；市电转12V或太阳能供电；工作温度-20-70℃；工作湿度95%；IP67防水</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电子水尺 水尺</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量程160cm；精度1cm；</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电子水尺 太阳能供电系统</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20ah</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视频监控（400万）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信噪比：＞52dB,3D数字降噪：支持，背光补偿：支持，宽动态：支持，强光抑制：支持，电子快门：1/1T/30,000s,日夜模式：自动ICR彩转黑</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55"/>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视频监控（800万）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信噪比：＞52dB,3D数字降噪：支持，背光补偿：支持，宽动态：支持，强光抑制：支持，电子快门：1/1-1/30,000s,日夜模式：自动ICR彩转黑</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蝶阀自动化控制设备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配套满足使用要求</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闸坝自动化控制设备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配套满足使用要求</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截流并自动化控制设备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配套满足使用要求</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曝气自动化控制设备</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配套满足使用要求</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173"/>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自动化控制设备PLC</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以太网接口：支持S7协议、TCP/IP协议等，便于联网和远程监控。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串行通信接口：RS485接口支持多种工业通信协议如Modbus RTU、USS等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完成现场控制任务；</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86"/>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自动化控制繁易盒子4g盒子</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现场设备的远程数据采集、远程下载和远程维护。</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87"/>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水质设备传感器-氨氮</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包涵PH，具有pH和温度自动补偿功能，适用于多种应用条件；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每支电极可独立更换，操作简单，维护量少；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测量准确、检出限低，长期漂移小；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响应时间快，及时反映水样变化；</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防水等级IP68，可在恶劣环境下正常运行；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RS485通讯接口，标准Modbus协议，便于集成；</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932"/>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水质设备传感器-溶解氧</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传感器可独立更换膜片，操作简单；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测量准确、长期漂移小、维护量少；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内置温度传感器，自动温度补偿；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响应时间快，及时反映水样变化；</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防水等级IP68，可在恶劣环境下正常运行；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RS485通讯接口，标准Modbus协议，便于集成；</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173"/>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水质设备传感器-COD</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支持RS-485， Modbus 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无试剂，不会对环境造成污染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通过内外光路切换，消除光源自身衰减造成的误差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自动对浊度进行补偿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免于维护，适用周期较长，使用成本低</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482"/>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便携式多参数水质水文监测仪</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电源：直流10V-24V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输出信号：RS485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存储容量：16M（可扩展）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材质：铝合金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内置电池：12V 45AH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存储温度：-20℃~65℃</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GPS定位胸卡</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4G通信；五重智能定位；1500mAh锂电池；API接口</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穿线管</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外径25x2.5壁厚6分PE管</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视频流量卡</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40GB/年</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普通物联网卡</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300MB/月</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电信网络宽带</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200M/年</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设备箱锁</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设备箱锁</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直流开关电源</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A-200-5（5V40A 200w）</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漏电保护器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2P，20A</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插座</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三位插座</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摄像头电源适配器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12v</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摄像头电源适配器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24v</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光纤收发器电源适配器</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5v</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便携式主机电池</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7.2v,30400mAh</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19"/>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办公终端</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i5 13400TEF+ RTX5060ti</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418"/>
        </w:trPr>
        <w:tc>
          <w:tcPr>
            <w:tcW w:w="779"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190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车载摄像头</w:t>
            </w:r>
            <w:r>
              <w:rPr>
                <w:rFonts w:hint="eastAsia" w:ascii="宋体" w:hAnsi="宋体" w:eastAsia="宋体" w:cs="宋体"/>
                <w:i w:val="0"/>
                <w:iCs w:val="0"/>
                <w:color w:val="000000"/>
                <w:sz w:val="18"/>
                <w:szCs w:val="18"/>
                <w:highlight w:val="none"/>
                <w:u w:val="none"/>
              </w:rPr>
            </w:r>
            <w:r/>
          </w:p>
        </w:tc>
        <w:tc>
          <w:tcPr>
            <w:tcW w:w="3615" w:type="dxa"/>
            <w:vAlign w:val="center"/>
            <w:textDirection w:val="lrTb"/>
            <w:noWrap w:val="false"/>
          </w:tcPr>
          <w:p>
            <w:pPr>
              <w:pStyle w:val="104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辨率高，1080P，图像清晰、细腻，信噪比高，图像画面干净、悦目；低照度，彩色0.001lux@F1.6；支持自动彩转黑功能，实现昼夜监控；支持图像宽动态、背光补偿、强光抑制、降噪、透雾、防抖；支持双TF卡存储，单卡最大支持512G；标配支持单4G模块；配置可拆卸电池，单电池可支持9-10小时连续工作</w:t>
            </w:r>
            <w:r>
              <w:rPr>
                <w:rFonts w:hint="eastAsia" w:ascii="宋体" w:hAnsi="宋体" w:eastAsia="宋体" w:cs="宋体"/>
                <w:i w:val="0"/>
                <w:iCs w:val="0"/>
                <w:color w:val="000000"/>
                <w:sz w:val="18"/>
                <w:szCs w:val="18"/>
                <w:highlight w:val="none"/>
                <w:u w:val="none"/>
              </w:rPr>
            </w:r>
            <w:r/>
          </w:p>
        </w:tc>
        <w:tc>
          <w:tcPr>
            <w:tcW w:w="986" w:type="dxa"/>
            <w:vAlign w:val="center"/>
            <w:textDirection w:val="lrTb"/>
            <w:noWrap w:val="false"/>
          </w:tcPr>
          <w:p>
            <w:pPr>
              <w:pStyle w:val="104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146" w:type="dxa"/>
            <w:vAlign w:val="center"/>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17200</w:t>
            </w:r>
            <w:r>
              <w:rPr>
                <w:rFonts w:hint="eastAsia" w:ascii="宋体" w:hAnsi="宋体" w:eastAsia="宋体" w:cs="宋体"/>
                <w:i w:val="0"/>
                <w:iCs w:val="0"/>
                <w:color w:val="000000"/>
                <w:sz w:val="18"/>
                <w:szCs w:val="18"/>
                <w:highlight w:val="none"/>
                <w:u w:val="none"/>
              </w:rPr>
            </w:r>
            <w:r/>
          </w:p>
        </w:tc>
        <w:tc>
          <w:tcPr>
            <w:tcW w:w="1146" w:type="dxa"/>
            <w:vAlign w:val="center"/>
            <w:vMerge w:val="continue"/>
            <w:textDirection w:val="lrTb"/>
            <w:noWrap w:val="false"/>
          </w:tcPr>
          <w:p>
            <w:pPr>
              <w:pStyle w:val="1043"/>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1043"/>
        <w:numPr>
          <w:ilvl w:val="0"/>
          <w:numId w:val="0"/>
        </w:numPr>
        <w:jc w:val="both"/>
        <w:rPr>
          <w:rFonts w:hint="eastAsia" w:ascii="宋体" w:hAnsi="宋体" w:cs="宋体"/>
          <w:b/>
          <w:bCs/>
          <w:spacing w:val="-3"/>
          <w:szCs w:val="21"/>
          <w:highlight w:val="none"/>
          <w:lang w:eastAsia="zh-CN"/>
        </w:rPr>
      </w:pPr>
      <w:r>
        <w:rPr>
          <w:rFonts w:hint="eastAsia" w:ascii="宋体" w:hAnsi="宋体" w:cs="宋体"/>
          <w:b/>
          <w:bCs/>
          <w:spacing w:val="-3"/>
          <w:szCs w:val="21"/>
          <w:highlight w:val="none"/>
          <w:lang w:eastAsia="zh-CN"/>
        </w:rPr>
      </w:r>
      <w:r/>
    </w:p>
    <w:p>
      <w:pPr>
        <w:pStyle w:val="1043"/>
        <w:numPr>
          <w:ilvl w:val="0"/>
          <w:numId w:val="0"/>
        </w:numPr>
        <w:jc w:val="both"/>
        <w:rPr>
          <w:rFonts w:hint="eastAsia" w:ascii="宋体" w:hAnsi="宋体" w:cs="宋体"/>
          <w:b/>
          <w:bCs/>
          <w:spacing w:val="-3"/>
          <w:szCs w:val="21"/>
          <w:highlight w:val="none"/>
          <w:lang w:eastAsia="zh-CN"/>
        </w:rPr>
      </w:pPr>
      <w:r>
        <w:rPr>
          <w:rFonts w:hint="eastAsia" w:ascii="宋体" w:hAnsi="宋体" w:cs="宋体"/>
          <w:b/>
          <w:bCs/>
          <w:spacing w:val="-3"/>
          <w:szCs w:val="21"/>
          <w:highlight w:val="none"/>
          <w:lang w:eastAsia="zh-CN"/>
        </w:rPr>
      </w:r>
      <w:r/>
    </w:p>
    <w:p>
      <w:pPr>
        <w:pStyle w:val="1043"/>
        <w:rPr>
          <w:rFonts w:hint="eastAsia" w:eastAsia="宋体"/>
          <w:color w:val="000000"/>
          <w:highlight w:val="none"/>
          <w:lang w:eastAsia="zh-CN"/>
        </w:rPr>
      </w:pPr>
      <w:r>
        <w:rPr>
          <w:rFonts w:hint="eastAsia" w:ascii="宋体" w:hAnsi="宋体" w:cs="宋体"/>
          <w:b/>
          <w:bCs/>
          <w:spacing w:val="-3"/>
          <w:szCs w:val="21"/>
          <w:highlight w:val="none"/>
          <w:lang w:val="en-US" w:eastAsia="zh-CN"/>
        </w:rPr>
        <w:t xml:space="preserve">5、</w:t>
      </w:r>
      <w:r>
        <w:rPr>
          <w:color w:val="000000"/>
          <w:highlight w:val="none"/>
        </w:rPr>
        <w:t xml:space="preserve">完成本项目其他服务清单</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eastAsia="宋体"/>
          <w:color w:val="000000"/>
          <w:highlight w:val="none"/>
          <w:lang w:eastAsia="zh-CN"/>
        </w:rPr>
      </w:r>
      <w:r/>
    </w:p>
    <w:p>
      <w:pPr>
        <w:pStyle w:val="1043"/>
        <w:rPr>
          <w:rFonts w:hint="eastAsia"/>
          <w:color w:val="000000"/>
          <w:highlight w:val="none"/>
        </w:rPr>
      </w:pPr>
      <w:r>
        <w:rPr>
          <w:rFonts w:hint="eastAsia"/>
          <w:color w:val="000000"/>
          <w:highlight w:val="none"/>
        </w:rPr>
      </w:r>
      <w:r/>
    </w:p>
    <w:tbl>
      <w:tblPr>
        <w:tblW w:w="906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1"/>
        <w:gridCol w:w="1515"/>
        <w:gridCol w:w="1043"/>
        <w:gridCol w:w="947"/>
        <w:gridCol w:w="1239"/>
        <w:gridCol w:w="2323"/>
        <w:gridCol w:w="1168"/>
      </w:tblGrid>
      <w:tr>
        <w:trPr>
          <w:trHeight w:val="659"/>
        </w:trPr>
        <w:tc>
          <w:tcPr>
            <w:tcW w:w="831" w:type="dxa"/>
            <w:vAlign w:val="center"/>
            <w:textDirection w:val="tbRlV"/>
            <w:noWrap w:val="false"/>
          </w:tcPr>
          <w:p>
            <w:pPr>
              <w:pStyle w:val="1043"/>
              <w:ind w:left="58"/>
              <w:jc w:val="center"/>
              <w:spacing w:before="112" w:line="211" w:lineRule="auto"/>
              <w:rPr>
                <w:rFonts w:ascii="宋体" w:hAnsi="宋体" w:cs="宋体"/>
                <w:color w:val="000000"/>
                <w:szCs w:val="21"/>
                <w:highlight w:val="none"/>
                <w:lang w:eastAsia="en-US"/>
              </w:rPr>
            </w:pPr>
            <w:r>
              <w:rPr>
                <w:rFonts w:ascii="宋体" w:hAnsi="宋体" w:cs="宋体"/>
                <w:b/>
                <w:bCs/>
                <w:color w:val="000000"/>
                <w:spacing w:val="-2"/>
                <w:szCs w:val="21"/>
                <w:highlight w:val="none"/>
                <w:lang w:eastAsia="en-US"/>
              </w:rPr>
              <w:t xml:space="preserve">序</w:t>
            </w:r>
            <w:r>
              <w:rPr>
                <w:rFonts w:ascii="宋体" w:hAnsi="宋体" w:cs="宋体"/>
                <w:color w:val="000000"/>
                <w:spacing w:val="-4"/>
                <w:szCs w:val="21"/>
                <w:highlight w:val="none"/>
                <w:lang w:eastAsia="en-US"/>
              </w:rPr>
              <w:t xml:space="preserve"> </w:t>
            </w:r>
            <w:r>
              <w:rPr>
                <w:rFonts w:ascii="宋体" w:hAnsi="宋体" w:cs="宋体"/>
                <w:b/>
                <w:bCs/>
                <w:color w:val="000000"/>
                <w:spacing w:val="-2"/>
                <w:szCs w:val="21"/>
                <w:highlight w:val="none"/>
                <w:lang w:eastAsia="en-US"/>
              </w:rPr>
              <w:t xml:space="preserve">号</w:t>
            </w:r>
            <w:r>
              <w:rPr>
                <w:rFonts w:ascii="宋体" w:hAnsi="宋体" w:cs="宋体"/>
                <w:color w:val="000000"/>
                <w:szCs w:val="21"/>
                <w:highlight w:val="none"/>
                <w:lang w:eastAsia="en-US"/>
              </w:rPr>
            </w:r>
            <w:r/>
          </w:p>
        </w:tc>
        <w:tc>
          <w:tcPr>
            <w:tcW w:w="1515" w:type="dxa"/>
            <w:vAlign w:val="center"/>
            <w:textDirection w:val="lrTb"/>
            <w:noWrap w:val="false"/>
          </w:tcPr>
          <w:p>
            <w:pPr>
              <w:pStyle w:val="1043"/>
              <w:ind w:left="0"/>
              <w:jc w:val="center"/>
              <w:keepLines w:val="0"/>
              <w:keepNext w:val="0"/>
              <w:pageBreakBefore w:val="0"/>
              <w:spacing w:line="360" w:lineRule="auto"/>
              <w:widowControl w:val="off"/>
              <w:rPr>
                <w:rFonts w:hint="eastAsia" w:ascii="宋体" w:hAnsi="宋体" w:cs="宋体"/>
                <w:b/>
                <w:bCs/>
                <w:color w:val="000000"/>
                <w:spacing w:val="-4"/>
                <w:szCs w:val="21"/>
                <w:highlight w:val="none"/>
              </w:rPr>
            </w:pPr>
            <w:r>
              <w:rPr>
                <w:rFonts w:hint="eastAsia" w:ascii="宋体" w:hAnsi="宋体" w:cs="宋体"/>
                <w:b/>
                <w:bCs/>
                <w:color w:val="000000"/>
                <w:spacing w:val="-4"/>
                <w:szCs w:val="21"/>
                <w:highlight w:val="none"/>
              </w:rPr>
            </w:r>
            <w:r/>
          </w:p>
          <w:p>
            <w:pPr>
              <w:pStyle w:val="1043"/>
              <w:ind w:left="0"/>
              <w:jc w:val="center"/>
              <w:keepLines w:val="0"/>
              <w:keepNext w:val="0"/>
              <w:pageBreakBefore w:val="0"/>
              <w:spacing w:line="360" w:lineRule="auto"/>
              <w:widowControl w:val="off"/>
              <w:rPr>
                <w:rFonts w:ascii="宋体" w:hAnsi="宋体" w:cs="宋体"/>
                <w:color w:val="000000"/>
                <w:szCs w:val="21"/>
                <w:highlight w:val="none"/>
                <w:lang w:eastAsia="en-US"/>
              </w:rPr>
            </w:pPr>
            <w:r>
              <w:rPr>
                <w:rFonts w:hint="eastAsia" w:ascii="宋体" w:hAnsi="宋体" w:cs="宋体"/>
                <w:b/>
                <w:bCs/>
                <w:color w:val="000000"/>
                <w:spacing w:val="-4"/>
                <w:szCs w:val="21"/>
                <w:highlight w:val="none"/>
              </w:rPr>
              <w:t xml:space="preserve">服务</w:t>
            </w:r>
            <w:r>
              <w:rPr>
                <w:rFonts w:ascii="宋体" w:hAnsi="宋体" w:cs="宋体"/>
                <w:b/>
                <w:bCs/>
                <w:color w:val="000000"/>
                <w:spacing w:val="-4"/>
                <w:szCs w:val="21"/>
                <w:highlight w:val="none"/>
                <w:lang w:eastAsia="en-US"/>
              </w:rPr>
              <w:t xml:space="preserve">项目</w:t>
            </w:r>
            <w:r>
              <w:rPr>
                <w:rFonts w:ascii="宋体" w:hAnsi="宋体" w:cs="宋体"/>
                <w:color w:val="000000"/>
                <w:szCs w:val="21"/>
                <w:highlight w:val="none"/>
                <w:lang w:eastAsia="en-US"/>
              </w:rPr>
            </w:r>
            <w:r/>
          </w:p>
        </w:tc>
        <w:tc>
          <w:tcPr>
            <w:tcW w:w="1043" w:type="dxa"/>
            <w:vAlign w:val="center"/>
            <w:textDirection w:val="lrTb"/>
            <w:noWrap w:val="false"/>
          </w:tcPr>
          <w:p>
            <w:pPr>
              <w:pStyle w:val="1043"/>
              <w:ind w:left="211"/>
              <w:jc w:val="center"/>
              <w:spacing w:before="213" w:line="221" w:lineRule="auto"/>
              <w:rPr>
                <w:rFonts w:ascii="宋体" w:hAnsi="宋体" w:cs="宋体"/>
                <w:color w:val="000000"/>
                <w:szCs w:val="21"/>
                <w:highlight w:val="none"/>
                <w:lang w:eastAsia="en-US"/>
              </w:rPr>
            </w:pPr>
            <w:r>
              <w:rPr>
                <w:rFonts w:ascii="宋体" w:hAnsi="宋体" w:cs="宋体"/>
                <w:b/>
                <w:bCs/>
                <w:color w:val="000000"/>
                <w:spacing w:val="-5"/>
                <w:szCs w:val="21"/>
                <w:highlight w:val="none"/>
                <w:lang w:eastAsia="en-US"/>
              </w:rPr>
              <w:t xml:space="preserve">数量</w:t>
            </w:r>
            <w:r>
              <w:rPr>
                <w:rFonts w:ascii="宋体" w:hAnsi="宋体" w:cs="宋体"/>
                <w:color w:val="000000"/>
                <w:szCs w:val="21"/>
                <w:highlight w:val="none"/>
                <w:lang w:eastAsia="en-US"/>
              </w:rPr>
            </w:r>
            <w:r/>
          </w:p>
        </w:tc>
        <w:tc>
          <w:tcPr>
            <w:tcW w:w="947" w:type="dxa"/>
            <w:vAlign w:val="center"/>
            <w:textDirection w:val="lrTb"/>
            <w:noWrap w:val="false"/>
          </w:tcPr>
          <w:p>
            <w:pPr>
              <w:pStyle w:val="1043"/>
              <w:ind w:left="144"/>
              <w:jc w:val="center"/>
              <w:spacing w:before="214" w:line="221" w:lineRule="auto"/>
              <w:rPr>
                <w:rFonts w:ascii="宋体" w:hAnsi="宋体" w:cs="宋体"/>
                <w:color w:val="000000"/>
                <w:szCs w:val="21"/>
                <w:highlight w:val="none"/>
                <w:lang w:eastAsia="en-US"/>
              </w:rPr>
            </w:pPr>
            <w:r>
              <w:rPr>
                <w:rFonts w:ascii="宋体" w:hAnsi="宋体" w:cs="宋体"/>
                <w:b/>
                <w:bCs/>
                <w:color w:val="000000"/>
                <w:spacing w:val="-5"/>
                <w:szCs w:val="21"/>
                <w:highlight w:val="none"/>
                <w:lang w:eastAsia="en-US"/>
              </w:rPr>
              <w:t xml:space="preserve">单位</w:t>
            </w:r>
            <w:r>
              <w:rPr>
                <w:rFonts w:ascii="宋体" w:hAnsi="宋体" w:cs="宋体"/>
                <w:color w:val="000000"/>
                <w:szCs w:val="21"/>
                <w:highlight w:val="none"/>
                <w:lang w:eastAsia="en-US"/>
              </w:rPr>
            </w:r>
            <w:r/>
          </w:p>
        </w:tc>
        <w:tc>
          <w:tcPr>
            <w:tcW w:w="1239" w:type="dxa"/>
            <w:vAlign w:val="center"/>
            <w:textDirection w:val="lrTb"/>
            <w:noWrap w:val="false"/>
          </w:tcPr>
          <w:p>
            <w:pPr>
              <w:pStyle w:val="1043"/>
              <w:jc w:val="center"/>
              <w:spacing w:before="214" w:line="219" w:lineRule="auto"/>
              <w:rPr>
                <w:rFonts w:ascii="宋体" w:hAnsi="宋体" w:cs="宋体"/>
                <w:color w:val="000000"/>
                <w:szCs w:val="21"/>
                <w:highlight w:val="none"/>
                <w:lang w:eastAsia="en-US"/>
              </w:rPr>
            </w:pPr>
            <w:r>
              <w:rPr>
                <w:rFonts w:ascii="宋体" w:hAnsi="宋体" w:cs="宋体"/>
                <w:b/>
                <w:bCs/>
                <w:color w:val="000000"/>
                <w:spacing w:val="-23"/>
                <w:szCs w:val="21"/>
                <w:highlight w:val="none"/>
                <w:lang w:eastAsia="en-US"/>
              </w:rPr>
              <w:t xml:space="preserve">单价（元）</w:t>
            </w:r>
            <w:r>
              <w:rPr>
                <w:rFonts w:ascii="宋体" w:hAnsi="宋体" w:cs="宋体"/>
                <w:color w:val="000000"/>
                <w:szCs w:val="21"/>
                <w:highlight w:val="none"/>
                <w:lang w:eastAsia="en-US"/>
              </w:rPr>
            </w:r>
            <w:r/>
          </w:p>
        </w:tc>
        <w:tc>
          <w:tcPr>
            <w:tcW w:w="2323" w:type="dxa"/>
            <w:vAlign w:val="center"/>
            <w:textDirection w:val="lrTb"/>
            <w:noWrap w:val="false"/>
          </w:tcPr>
          <w:p>
            <w:pPr>
              <w:pStyle w:val="1043"/>
              <w:ind w:left="118"/>
              <w:jc w:val="center"/>
              <w:spacing w:before="214" w:line="221" w:lineRule="auto"/>
              <w:rPr>
                <w:rFonts w:ascii="宋体" w:hAnsi="宋体" w:cs="宋体"/>
                <w:color w:val="000000"/>
                <w:szCs w:val="21"/>
                <w:highlight w:val="none"/>
                <w:lang w:eastAsia="en-US"/>
              </w:rPr>
            </w:pPr>
            <w:r>
              <w:rPr>
                <w:rFonts w:hint="eastAsia" w:ascii="宋体" w:hAnsi="宋体" w:cs="宋体"/>
                <w:b/>
                <w:bCs/>
                <w:color w:val="000000"/>
                <w:spacing w:val="-6"/>
                <w:szCs w:val="21"/>
                <w:highlight w:val="none"/>
                <w:lang w:eastAsia="en-US"/>
              </w:rPr>
              <w:t xml:space="preserve">小计（</w:t>
            </w:r>
            <w:r>
              <w:rPr>
                <w:rFonts w:ascii="宋体" w:hAnsi="宋体" w:cs="宋体"/>
                <w:b/>
                <w:bCs/>
                <w:color w:val="000000"/>
                <w:spacing w:val="-6"/>
                <w:szCs w:val="21"/>
                <w:highlight w:val="none"/>
                <w:lang w:eastAsia="en-US"/>
              </w:rPr>
              <w:t xml:space="preserve">元）</w:t>
            </w:r>
            <w:r>
              <w:rPr>
                <w:rFonts w:ascii="宋体" w:hAnsi="宋体" w:cs="宋体"/>
                <w:color w:val="000000"/>
                <w:szCs w:val="21"/>
                <w:highlight w:val="none"/>
                <w:lang w:eastAsia="en-US"/>
              </w:rPr>
            </w:r>
            <w:r/>
          </w:p>
        </w:tc>
        <w:tc>
          <w:tcPr>
            <w:tcW w:w="1168" w:type="dxa"/>
            <w:vAlign w:val="center"/>
            <w:textDirection w:val="lrTb"/>
            <w:noWrap w:val="false"/>
          </w:tcPr>
          <w:p>
            <w:pPr>
              <w:pStyle w:val="1043"/>
              <w:ind w:left="118"/>
              <w:jc w:val="center"/>
              <w:spacing w:before="214" w:line="221" w:lineRule="auto"/>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备注</w:t>
            </w:r>
            <w:r>
              <w:rPr>
                <w:rFonts w:hint="eastAsia" w:ascii="宋体" w:hAnsi="宋体" w:cs="宋体"/>
                <w:b/>
                <w:bCs/>
                <w:color w:val="000000"/>
                <w:spacing w:val="-6"/>
                <w:szCs w:val="21"/>
                <w:highlight w:val="none"/>
              </w:rPr>
            </w:r>
            <w:r/>
          </w:p>
        </w:tc>
      </w:tr>
      <w:tr>
        <w:trPr>
          <w:trHeight w:val="329"/>
        </w:trPr>
        <w:tc>
          <w:tcPr>
            <w:tcW w:w="831" w:type="dxa"/>
            <w:vAlign w:val="top"/>
            <w:textDirection w:val="lrTb"/>
            <w:noWrap w:val="false"/>
          </w:tcPr>
          <w:p>
            <w:pPr>
              <w:pStyle w:val="1043"/>
              <w:ind w:left="189"/>
              <w:jc w:val="left"/>
              <w:spacing w:before="87" w:line="183" w:lineRule="auto"/>
              <w:rPr>
                <w:rFonts w:ascii="宋体" w:hAnsi="宋体" w:cs="宋体"/>
                <w:color w:val="000000"/>
                <w:szCs w:val="21"/>
                <w:highlight w:val="none"/>
                <w:lang w:eastAsia="en-US"/>
              </w:rPr>
            </w:pPr>
            <w:r>
              <w:rPr>
                <w:rFonts w:ascii="宋体" w:hAnsi="宋体" w:cs="宋体"/>
                <w:color w:val="000000"/>
                <w:szCs w:val="21"/>
                <w:highlight w:val="none"/>
                <w:lang w:eastAsia="en-US"/>
              </w:rPr>
              <w:t xml:space="preserve">1</w:t>
            </w:r>
            <w:r>
              <w:rPr>
                <w:rFonts w:ascii="宋体" w:hAnsi="宋体" w:cs="宋体"/>
                <w:color w:val="000000"/>
                <w:szCs w:val="21"/>
                <w:highlight w:val="none"/>
                <w:lang w:eastAsia="en-US"/>
              </w:rPr>
            </w:r>
            <w:r/>
          </w:p>
        </w:tc>
        <w:tc>
          <w:tcPr>
            <w:tcW w:w="1515" w:type="dxa"/>
            <w:vAlign w:val="top"/>
            <w:textDirection w:val="lrTb"/>
            <w:noWrap w:val="false"/>
          </w:tcPr>
          <w:p>
            <w:pPr>
              <w:pStyle w:val="1043"/>
              <w:ind w:left="940"/>
              <w:jc w:val="left"/>
              <w:spacing w:before="52" w:line="221"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043" w:type="dxa"/>
            <w:vAlign w:val="top"/>
            <w:textDirection w:val="lrTb"/>
            <w:noWrap w:val="false"/>
          </w:tcPr>
          <w:p>
            <w:pPr>
              <w:pStyle w:val="1043"/>
              <w:ind w:left="317"/>
              <w:jc w:val="left"/>
              <w:spacing w:before="88" w:line="18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947" w:type="dxa"/>
            <w:vAlign w:val="top"/>
            <w:textDirection w:val="lrTb"/>
            <w:noWrap w:val="false"/>
          </w:tcPr>
          <w:p>
            <w:pPr>
              <w:pStyle w:val="1043"/>
              <w:ind w:left="151"/>
              <w:jc w:val="left"/>
              <w:spacing w:before="53" w:line="22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239"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2323"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1168"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r>
      <w:tr>
        <w:trPr>
          <w:trHeight w:val="329"/>
        </w:trPr>
        <w:tc>
          <w:tcPr>
            <w:tcW w:w="831" w:type="dxa"/>
            <w:vAlign w:val="top"/>
            <w:textDirection w:val="lrTb"/>
            <w:noWrap w:val="false"/>
          </w:tcPr>
          <w:p>
            <w:pPr>
              <w:pStyle w:val="1043"/>
              <w:ind w:left="176"/>
              <w:jc w:val="left"/>
              <w:spacing w:before="88" w:line="18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515" w:type="dxa"/>
            <w:vAlign w:val="top"/>
            <w:textDirection w:val="lrTb"/>
            <w:noWrap w:val="false"/>
          </w:tcPr>
          <w:p>
            <w:pPr>
              <w:pStyle w:val="1043"/>
              <w:ind w:left="992"/>
              <w:jc w:val="left"/>
              <w:spacing w:before="53" w:line="221"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043" w:type="dxa"/>
            <w:vAlign w:val="top"/>
            <w:textDirection w:val="lrTb"/>
            <w:noWrap w:val="false"/>
          </w:tcPr>
          <w:p>
            <w:pPr>
              <w:pStyle w:val="1043"/>
              <w:ind w:left="371"/>
              <w:jc w:val="left"/>
              <w:spacing w:before="90" w:line="181"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947" w:type="dxa"/>
            <w:vAlign w:val="top"/>
            <w:textDirection w:val="lrTb"/>
            <w:noWrap w:val="false"/>
          </w:tcPr>
          <w:p>
            <w:pPr>
              <w:pStyle w:val="1043"/>
              <w:ind w:left="151"/>
              <w:jc w:val="left"/>
              <w:spacing w:before="53" w:line="22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239"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2323"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1168"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r>
      <w:tr>
        <w:trPr>
          <w:trHeight w:val="329"/>
        </w:trPr>
        <w:tc>
          <w:tcPr>
            <w:tcW w:w="831" w:type="dxa"/>
            <w:vAlign w:val="top"/>
            <w:textDirection w:val="lrTb"/>
            <w:noWrap w:val="false"/>
          </w:tcPr>
          <w:p>
            <w:pPr>
              <w:pStyle w:val="1043"/>
              <w:ind w:left="177"/>
              <w:jc w:val="left"/>
              <w:spacing w:before="89" w:line="18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515" w:type="dxa"/>
            <w:vAlign w:val="top"/>
            <w:textDirection w:val="lrTb"/>
            <w:noWrap w:val="false"/>
          </w:tcPr>
          <w:p>
            <w:pPr>
              <w:pStyle w:val="1043"/>
              <w:ind w:left="1041"/>
              <w:jc w:val="left"/>
              <w:spacing w:before="53" w:line="221"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043" w:type="dxa"/>
            <w:vAlign w:val="top"/>
            <w:textDirection w:val="lrTb"/>
            <w:noWrap w:val="false"/>
          </w:tcPr>
          <w:p>
            <w:pPr>
              <w:pStyle w:val="1043"/>
              <w:ind w:left="316"/>
              <w:jc w:val="left"/>
              <w:spacing w:before="89" w:line="182"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947" w:type="dxa"/>
            <w:vAlign w:val="top"/>
            <w:textDirection w:val="lrTb"/>
            <w:noWrap w:val="false"/>
          </w:tcPr>
          <w:p>
            <w:pPr>
              <w:pStyle w:val="1043"/>
              <w:ind w:left="252"/>
              <w:jc w:val="left"/>
              <w:spacing w:before="54" w:line="221" w:lineRule="auto"/>
              <w:rPr>
                <w:rFonts w:ascii="宋体" w:hAnsi="宋体" w:cs="宋体"/>
                <w:color w:val="000000"/>
                <w:szCs w:val="21"/>
                <w:highlight w:val="none"/>
                <w:lang w:eastAsia="en-US"/>
              </w:rPr>
            </w:pPr>
            <w:r>
              <w:rPr>
                <w:rFonts w:ascii="宋体" w:hAnsi="宋体" w:cs="宋体"/>
                <w:color w:val="000000"/>
                <w:szCs w:val="21"/>
                <w:highlight w:val="none"/>
                <w:lang w:eastAsia="en-US"/>
              </w:rPr>
            </w:r>
            <w:r/>
          </w:p>
        </w:tc>
        <w:tc>
          <w:tcPr>
            <w:tcW w:w="1239"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2323"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c>
          <w:tcPr>
            <w:tcW w:w="1168" w:type="dxa"/>
            <w:vAlign w:val="top"/>
            <w:textDirection w:val="lrTb"/>
            <w:noWrap w:val="false"/>
          </w:tcPr>
          <w:p>
            <w:pPr>
              <w:pStyle w:val="1043"/>
              <w:jc w:val="left"/>
              <w:rPr>
                <w:rFonts w:ascii="Arial" w:hAnsi="Arial" w:cs="Arial"/>
                <w:color w:val="000000"/>
                <w:szCs w:val="21"/>
                <w:highlight w:val="none"/>
                <w:lang w:eastAsia="en-US"/>
              </w:rPr>
            </w:pPr>
            <w:r>
              <w:rPr>
                <w:rFonts w:ascii="Arial" w:hAnsi="Arial" w:cs="Arial"/>
                <w:color w:val="000000"/>
                <w:szCs w:val="21"/>
                <w:highlight w:val="none"/>
                <w:lang w:eastAsia="en-US"/>
              </w:rPr>
            </w:r>
            <w:r/>
          </w:p>
        </w:tc>
      </w:tr>
      <w:tr>
        <w:trPr>
          <w:trHeight w:val="333"/>
        </w:trPr>
        <w:tc>
          <w:tcPr>
            <w:gridSpan w:val="6"/>
            <w:tcW w:w="7898" w:type="dxa"/>
            <w:vAlign w:val="top"/>
            <w:textDirection w:val="lrTb"/>
            <w:noWrap w:val="false"/>
          </w:tcPr>
          <w:p>
            <w:pPr>
              <w:pStyle w:val="1043"/>
              <w:jc w:val="left"/>
              <w:rPr>
                <w:rFonts w:hint="eastAsia" w:ascii="Arial" w:hAnsi="Arial" w:eastAsia="宋体" w:cs="Arial"/>
                <w:color w:val="000000"/>
                <w:szCs w:val="21"/>
                <w:highlight w:val="none"/>
                <w:lang w:eastAsia="zh-CN"/>
              </w:rPr>
            </w:pPr>
            <w:r>
              <w:rPr>
                <w:rFonts w:ascii="宋体" w:hAnsi="宋体" w:cs="宋体"/>
                <w:color w:val="000000"/>
                <w:spacing w:val="-2"/>
                <w:szCs w:val="21"/>
                <w:highlight w:val="none"/>
                <w:lang w:eastAsia="en-US"/>
              </w:rPr>
              <w:t xml:space="preserve">合计</w:t>
            </w:r>
            <w:r>
              <w:rPr>
                <w:rFonts w:hint="eastAsia" w:ascii="宋体" w:hAnsi="宋体" w:cs="宋体"/>
                <w:color w:val="000000"/>
                <w:spacing w:val="-2"/>
                <w:szCs w:val="21"/>
                <w:highlight w:val="none"/>
                <w:lang w:eastAsia="zh-CN"/>
              </w:rPr>
              <w:t xml:space="preserve">：</w:t>
            </w:r>
            <w:r>
              <w:rPr>
                <w:rFonts w:hint="eastAsia" w:ascii="Arial" w:hAnsi="Arial" w:eastAsia="宋体" w:cs="Arial"/>
                <w:color w:val="000000"/>
                <w:szCs w:val="21"/>
                <w:highlight w:val="none"/>
                <w:lang w:eastAsia="zh-CN"/>
              </w:rPr>
            </w:r>
            <w:r/>
          </w:p>
        </w:tc>
        <w:tc>
          <w:tcPr>
            <w:tcW w:w="1168" w:type="dxa"/>
            <w:vAlign w:val="top"/>
            <w:textDirection w:val="lrTb"/>
            <w:noWrap w:val="false"/>
          </w:tcPr>
          <w:p>
            <w:pPr>
              <w:pStyle w:val="1043"/>
              <w:jc w:val="left"/>
              <w:rPr>
                <w:rFonts w:hint="eastAsia" w:ascii="宋体" w:hAnsi="宋体" w:cs="宋体"/>
                <w:color w:val="000000"/>
                <w:spacing w:val="-2"/>
                <w:szCs w:val="21"/>
                <w:highlight w:val="none"/>
                <w:lang w:eastAsia="en-US"/>
              </w:rPr>
            </w:pPr>
            <w:r>
              <w:rPr>
                <w:rFonts w:hint="eastAsia" w:ascii="宋体" w:hAnsi="宋体" w:cs="宋体"/>
                <w:color w:val="000000"/>
                <w:spacing w:val="-2"/>
                <w:szCs w:val="21"/>
                <w:highlight w:val="none"/>
                <w:lang w:eastAsia="en-US"/>
              </w:rPr>
            </w:r>
            <w:r/>
          </w:p>
        </w:tc>
      </w:tr>
    </w:tbl>
    <w:p>
      <w:pPr>
        <w:pStyle w:val="1043"/>
        <w:rPr>
          <w:color w:val="000000"/>
          <w:highlight w:val="none"/>
        </w:rPr>
      </w:pPr>
      <w:r>
        <w:rPr>
          <w:color w:val="000000"/>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jc w:val="left"/>
        <w:spacing w:line="280" w:lineRule="exact"/>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1043"/>
        <w:jc w:val="left"/>
        <w:spacing w:line="280" w:lineRule="exact"/>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1.此表为表样，行数可自行添加，但表式不变。</w:t>
      </w:r>
      <w:r>
        <w:rPr>
          <w:rFonts w:ascii="微软雅黑" w:hAnsi="微软雅黑" w:cs="微软雅黑"/>
          <w:color w:val="000000"/>
          <w:szCs w:val="21"/>
          <w:highlight w:val="none"/>
        </w:rPr>
      </w:r>
      <w:r/>
    </w:p>
    <w:p>
      <w:pPr>
        <w:pStyle w:val="1043"/>
        <w:jc w:val="left"/>
        <w:spacing w:line="280" w:lineRule="exact"/>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2.总价=单价*数量，数量由供应商根据项目需求计算并填列。</w:t>
      </w:r>
      <w:r>
        <w:rPr>
          <w:rFonts w:ascii="微软雅黑" w:hAnsi="微软雅黑" w:cs="微软雅黑"/>
          <w:color w:val="000000"/>
          <w:szCs w:val="21"/>
          <w:highlight w:val="none"/>
        </w:rPr>
      </w:r>
      <w:r/>
    </w:p>
    <w:p>
      <w:pPr>
        <w:pStyle w:val="1043"/>
        <w:jc w:val="left"/>
        <w:spacing w:line="280" w:lineRule="exact"/>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1043"/>
        <w:jc w:val="left"/>
        <w:spacing w:line="280" w:lineRule="exact"/>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highlight w:val="none"/>
        </w:rPr>
      </w:r>
      <w:r/>
    </w:p>
    <w:p>
      <w:pPr>
        <w:pStyle w:val="1043"/>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1043"/>
        <w:numPr>
          <w:ilvl w:val="0"/>
          <w:numId w:val="0"/>
        </w:numPr>
        <w:rPr>
          <w:rFonts w:ascii="宋体" w:hAnsi="宋体" w:cs="宋体"/>
          <w:b/>
          <w:bCs/>
          <w:spacing w:val="-3"/>
          <w:szCs w:val="21"/>
          <w:highlight w:val="none"/>
          <w:lang w:val="en-US" w:eastAsia="zh-CN"/>
        </w:rPr>
      </w:pPr>
      <w:r>
        <w:rPr>
          <w:rFonts w:ascii="宋体" w:hAnsi="宋体" w:cs="宋体"/>
          <w:b/>
          <w:bCs/>
          <w:spacing w:val="-3"/>
          <w:szCs w:val="21"/>
          <w:highlight w:val="none"/>
          <w:lang w:val="en-US" w:eastAsia="zh-CN"/>
        </w:rPr>
      </w:r>
      <w:r/>
    </w:p>
    <w:p>
      <w:pPr>
        <w:pStyle w:val="1043"/>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1043"/>
        <w:jc w:val="left"/>
        <w:spacing w:line="360" w:lineRule="auto"/>
        <w:shd w:val="clear" w:color="auto" w:fill="ffffff"/>
        <w:rPr>
          <w:rStyle w:val="1168"/>
          <w:color w:val="000000"/>
          <w:szCs w:val="21"/>
          <w:highlight w:val="none"/>
          <w:lang w:val="zh-CN"/>
        </w:rPr>
      </w:pPr>
      <w:r>
        <w:rPr>
          <w:rStyle w:val="1168"/>
          <w:color w:val="000000"/>
          <w:szCs w:val="21"/>
          <w:highlight w:val="none"/>
          <w:lang w:val="zh-CN"/>
        </w:rPr>
        <w:br w:type="page" w:clear="all"/>
      </w:r>
      <w:r>
        <w:rPr>
          <w:rStyle w:val="1168"/>
          <w:color w:val="000000"/>
          <w:szCs w:val="21"/>
          <w:highlight w:val="none"/>
          <w:lang w:val="zh-CN"/>
        </w:rPr>
      </w:r>
      <w:r/>
    </w:p>
    <w:p>
      <w:pPr>
        <w:pStyle w:val="1043"/>
        <w:jc w:val="left"/>
        <w:spacing w:line="360" w:lineRule="auto"/>
        <w:shd w:val="clear" w:color="auto" w:fill="ffffff"/>
        <w:rPr>
          <w:rStyle w:val="1168"/>
          <w:rFonts w:ascii="宋体"/>
          <w:b/>
          <w:bCs/>
          <w:color w:val="000000"/>
          <w:sz w:val="24"/>
          <w:highlight w:val="none"/>
          <w:lang w:val="zh-CN"/>
        </w:rPr>
      </w:pPr>
      <w:r>
        <w:rPr>
          <w:rStyle w:val="1168"/>
          <w:rFonts w:hint="eastAsia" w:ascii="宋体" w:hAnsi="宋体"/>
          <w:b/>
          <w:bCs/>
          <w:color w:val="000000"/>
          <w:sz w:val="24"/>
          <w:highlight w:val="none"/>
          <w:lang w:val="zh-CN"/>
        </w:rPr>
        <w:t xml:space="preserve">附件</w:t>
      </w:r>
      <w:r>
        <w:rPr>
          <w:rStyle w:val="1168"/>
          <w:rFonts w:hint="eastAsia" w:ascii="宋体" w:hAnsi="宋体"/>
          <w:b/>
          <w:bCs/>
          <w:color w:val="000000"/>
          <w:sz w:val="24"/>
          <w:highlight w:val="none"/>
        </w:rPr>
        <w:t xml:space="preserve">五</w:t>
      </w:r>
      <w:r>
        <w:rPr>
          <w:rStyle w:val="1168"/>
          <w:rFonts w:hint="eastAsia" w:ascii="宋体" w:hAnsi="宋体"/>
          <w:b/>
          <w:bCs/>
          <w:color w:val="000000"/>
          <w:sz w:val="24"/>
          <w:highlight w:val="none"/>
          <w:lang w:val="zh-CN"/>
        </w:rPr>
        <w:t xml:space="preserve">、技术规格偏离表格式</w:t>
      </w:r>
      <w:r>
        <w:rPr>
          <w:rStyle w:val="1168"/>
          <w:rFonts w:ascii="宋体"/>
          <w:b/>
          <w:bCs/>
          <w:color w:val="000000"/>
          <w:sz w:val="24"/>
          <w:highlight w:val="none"/>
          <w:lang w:val="zh-CN"/>
        </w:rPr>
      </w:r>
      <w:r/>
    </w:p>
    <w:p>
      <w:pPr>
        <w:pStyle w:val="1043"/>
        <w:ind w:left="420"/>
        <w:jc w:val="center"/>
        <w:spacing w:line="360" w:lineRule="auto"/>
        <w:shd w:val="clear" w:color="auto" w:fill="ffffff"/>
        <w:rPr>
          <w:rStyle w:val="1168"/>
          <w:rFonts w:ascii="宋体"/>
          <w:color w:val="000000"/>
          <w:szCs w:val="21"/>
          <w:highlight w:val="none"/>
        </w:rPr>
      </w:pPr>
      <w:r>
        <w:rPr>
          <w:rStyle w:val="1168"/>
          <w:rFonts w:hint="eastAsia" w:ascii="宋体" w:hAnsi="宋体"/>
          <w:color w:val="000000"/>
          <w:sz w:val="36"/>
          <w:szCs w:val="36"/>
          <w:highlight w:val="none"/>
        </w:rPr>
        <w:t xml:space="preserve">技术规格偏离表</w:t>
      </w:r>
      <w:r>
        <w:rPr>
          <w:rStyle w:val="1168"/>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项目名称：</w:t>
            </w:r>
            <w:r>
              <w:rPr>
                <w:rStyle w:val="1168"/>
                <w:rFonts w:ascii="宋体"/>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项目编号：</w:t>
            </w:r>
            <w:r>
              <w:rPr>
                <w:rStyle w:val="1168"/>
                <w:rFonts w:ascii="宋体"/>
                <w:color w:val="000000"/>
                <w:szCs w:val="21"/>
                <w:highlight w:val="none"/>
              </w:rPr>
              <w:t xml:space="preserve">  </w:t>
            </w:r>
            <w:r>
              <w:rPr>
                <w:rStyle w:val="1168"/>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序号</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招标文件条目号</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招标要求规格</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投标响应</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偏离</w:t>
            </w:r>
            <w:r>
              <w:rPr>
                <w:rStyle w:val="1168"/>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bl>
    <w:p>
      <w:pPr>
        <w:pStyle w:val="1043"/>
        <w:jc w:val="left"/>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说明：</w:t>
      </w:r>
      <w:r>
        <w:rPr>
          <w:rStyle w:val="1168"/>
          <w:rFonts w:ascii="宋体"/>
          <w:color w:val="000000"/>
          <w:szCs w:val="21"/>
          <w:highlight w:val="none"/>
        </w:rPr>
      </w:r>
      <w:r/>
    </w:p>
    <w:p>
      <w:pPr>
        <w:pStyle w:val="1043"/>
        <w:jc w:val="left"/>
        <w:spacing w:line="360" w:lineRule="auto"/>
        <w:shd w:val="clear" w:color="auto" w:fill="ffffff"/>
        <w:rPr>
          <w:rStyle w:val="1168"/>
          <w:rFonts w:ascii="宋体" w:hAnsi="宋体"/>
          <w:color w:val="000000"/>
          <w:szCs w:val="21"/>
          <w:highlight w:val="none"/>
        </w:rPr>
      </w:pPr>
      <w:r>
        <w:rPr>
          <w:rStyle w:val="1168"/>
          <w:rFonts w:ascii="宋体" w:hAnsi="宋体"/>
          <w:bCs/>
          <w:color w:val="000000"/>
          <w:szCs w:val="21"/>
          <w:highlight w:val="none"/>
        </w:rPr>
        <w:t xml:space="preserve">1</w:t>
      </w:r>
      <w:r>
        <w:rPr>
          <w:rStyle w:val="1168"/>
          <w:rFonts w:hint="eastAsia" w:ascii="宋体" w:hAnsi="宋体"/>
          <w:bCs/>
          <w:color w:val="000000"/>
          <w:szCs w:val="21"/>
          <w:highlight w:val="none"/>
        </w:rPr>
        <w:t xml:space="preserve">、</w:t>
      </w:r>
      <w:r>
        <w:rPr>
          <w:rStyle w:val="1168"/>
          <w:rFonts w:hint="eastAsia" w:ascii="宋体" w:hAnsi="宋体"/>
          <w:color w:val="000000"/>
          <w:szCs w:val="21"/>
          <w:highlight w:val="none"/>
        </w:rPr>
        <w:t xml:space="preserve">如果行数不够，请自行增加。</w:t>
      </w:r>
      <w:r>
        <w:rPr>
          <w:rStyle w:val="1168"/>
          <w:rFonts w:ascii="宋体" w:hAnsi="宋体"/>
          <w:color w:val="000000"/>
          <w:szCs w:val="21"/>
          <w:highlight w:val="none"/>
        </w:rPr>
      </w:r>
      <w:r/>
    </w:p>
    <w:p>
      <w:pPr>
        <w:pStyle w:val="1209"/>
        <w:ind w:firstLine="0"/>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209"/>
        <w:ind w:firstLine="420"/>
        <w:rPr>
          <w:color w:val="000000"/>
          <w:highlight w:val="none"/>
          <w:lang w:val="en-US"/>
        </w:rPr>
      </w:pPr>
      <w:r>
        <w:rPr>
          <w:color w:val="000000"/>
          <w:highlight w:val="none"/>
          <w:lang w:val="en-US"/>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209"/>
        <w:ind w:firstLine="420"/>
        <w:rPr>
          <w:rStyle w:val="1168"/>
          <w:rFonts w:ascii="宋体"/>
          <w:color w:val="000000"/>
          <w:szCs w:val="21"/>
          <w:highlight w:val="none"/>
        </w:rPr>
      </w:pPr>
      <w:r>
        <w:rPr>
          <w:rStyle w:val="1168"/>
          <w:rFonts w:ascii="宋体"/>
          <w:color w:val="000000"/>
          <w:szCs w:val="21"/>
          <w:highlight w:val="none"/>
        </w:rPr>
      </w:r>
      <w:r/>
    </w:p>
    <w:p>
      <w:pPr>
        <w:pStyle w:val="1043"/>
        <w:jc w:val="left"/>
        <w:spacing w:line="360" w:lineRule="auto"/>
        <w:shd w:val="clear" w:color="auto" w:fill="ffffff"/>
        <w:rPr>
          <w:rStyle w:val="1168"/>
          <w:rFonts w:ascii="宋体"/>
          <w:b/>
          <w:bCs/>
          <w:color w:val="000000"/>
          <w:sz w:val="24"/>
          <w:highlight w:val="none"/>
          <w:lang w:val="zh-CN"/>
        </w:rPr>
      </w:pPr>
      <w:r>
        <w:rPr>
          <w:rStyle w:val="1168"/>
          <w:rFonts w:hint="eastAsia" w:ascii="宋体" w:hAnsi="宋体"/>
          <w:b/>
          <w:bCs/>
          <w:color w:val="000000"/>
          <w:sz w:val="24"/>
          <w:highlight w:val="none"/>
          <w:lang w:val="zh-CN"/>
        </w:rPr>
        <w:t xml:space="preserve">附件</w:t>
      </w:r>
      <w:r>
        <w:rPr>
          <w:rStyle w:val="1168"/>
          <w:rFonts w:hint="eastAsia" w:ascii="宋体" w:hAnsi="宋体"/>
          <w:b/>
          <w:bCs/>
          <w:color w:val="000000"/>
          <w:sz w:val="24"/>
          <w:highlight w:val="none"/>
        </w:rPr>
        <w:t xml:space="preserve">六</w:t>
      </w:r>
      <w:r>
        <w:rPr>
          <w:rStyle w:val="1168"/>
          <w:rFonts w:hint="eastAsia" w:ascii="宋体" w:hAnsi="宋体"/>
          <w:b/>
          <w:bCs/>
          <w:color w:val="000000"/>
          <w:sz w:val="24"/>
          <w:highlight w:val="none"/>
          <w:lang w:val="zh-CN"/>
        </w:rPr>
        <w:t xml:space="preserve">、商务条款偏离表格式</w:t>
      </w:r>
      <w:r>
        <w:rPr>
          <w:rStyle w:val="1168"/>
          <w:rFonts w:ascii="宋体"/>
          <w:b/>
          <w:bCs/>
          <w:color w:val="000000"/>
          <w:sz w:val="24"/>
          <w:highlight w:val="none"/>
          <w:lang w:val="zh-CN"/>
        </w:rPr>
      </w:r>
      <w:r/>
    </w:p>
    <w:p>
      <w:pPr>
        <w:pStyle w:val="1043"/>
        <w:ind w:firstLine="420"/>
        <w:jc w:val="center"/>
        <w:spacing w:line="360" w:lineRule="auto"/>
        <w:shd w:val="clear" w:color="auto" w:fill="ffffff"/>
        <w:rPr>
          <w:rStyle w:val="1168"/>
          <w:rFonts w:ascii="宋体"/>
          <w:color w:val="000000"/>
          <w:szCs w:val="21"/>
          <w:highlight w:val="none"/>
        </w:rPr>
      </w:pPr>
      <w:r>
        <w:rPr>
          <w:rStyle w:val="1168"/>
          <w:rFonts w:hint="eastAsia" w:ascii="宋体" w:hAnsi="宋体"/>
          <w:color w:val="000000"/>
          <w:sz w:val="36"/>
          <w:szCs w:val="36"/>
          <w:highlight w:val="none"/>
        </w:rPr>
        <w:t xml:space="preserve">商务条款偏离表</w:t>
      </w:r>
      <w:r>
        <w:rPr>
          <w:rStyle w:val="1168"/>
          <w:rFonts w:ascii="宋体"/>
          <w:color w:val="000000"/>
          <w:szCs w:val="21"/>
          <w:highlight w:val="none"/>
        </w:rPr>
      </w:r>
      <w:r/>
    </w:p>
    <w:tbl>
      <w:tblPr>
        <w:tblW w:w="1000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27"/>
        <w:gridCol w:w="1509"/>
        <w:gridCol w:w="2562"/>
        <w:gridCol w:w="1424"/>
        <w:gridCol w:w="2011"/>
        <w:gridCol w:w="1373"/>
      </w:tblGrid>
      <w:tr>
        <w:trPr>
          <w:trHeight w:val="267"/>
          <w:tblHeader/>
        </w:trPr>
        <w:tc>
          <w:tcPr>
            <w:gridSpan w:val="4"/>
            <w:tcBorders>
              <w:top w:val="none" w:color="000000" w:sz="4" w:space="0"/>
              <w:left w:val="none" w:color="000000" w:sz="4" w:space="0"/>
              <w:bottom w:val="single" w:color="000000" w:sz="8" w:space="0"/>
              <w:right w:val="none" w:color="000000" w:sz="4" w:space="0"/>
            </w:tcBorders>
            <w:tcW w:w="6622"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 w:val="24"/>
                <w:highlight w:val="none"/>
              </w:rPr>
              <w:t xml:space="preserve"> </w:t>
            </w:r>
            <w:r>
              <w:rPr>
                <w:rStyle w:val="1168"/>
                <w:rFonts w:hint="eastAsia" w:ascii="宋体" w:hAnsi="宋体"/>
                <w:color w:val="000000"/>
                <w:szCs w:val="21"/>
                <w:highlight w:val="none"/>
              </w:rPr>
              <w:t xml:space="preserve">项目名称：</w:t>
            </w:r>
            <w:r>
              <w:rPr>
                <w:rStyle w:val="1168"/>
                <w:rFonts w:ascii="宋体"/>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3384"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项目编号：</w:t>
            </w:r>
            <w:r>
              <w:rPr>
                <w:rStyle w:val="1168"/>
                <w:rFonts w:ascii="宋体"/>
                <w:color w:val="000000"/>
                <w:szCs w:val="21"/>
                <w:highlight w:val="none"/>
              </w:rPr>
              <w:t xml:space="preserve">         </w:t>
            </w:r>
            <w:r>
              <w:rPr>
                <w:rStyle w:val="1168"/>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序号</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招标文件条目号</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招标文件要求的商务条款</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投标响应</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偏离</w:t>
            </w:r>
            <w:r>
              <w:rPr>
                <w:rStyle w:val="1168"/>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43"/>
              <w:jc w:val="center"/>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435"/>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43"/>
              <w:jc w:val="left"/>
              <w:spacing w:line="360" w:lineRule="auto"/>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1127"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509"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373" w:type="dxa"/>
            <w:vAlign w:val="center"/>
            <w:textDirection w:val="lrTb"/>
            <w:noWrap w:val="false"/>
          </w:tcPr>
          <w:p>
            <w:pPr>
              <w:pStyle w:val="1043"/>
              <w:jc w:val="left"/>
              <w:spacing w:line="360" w:lineRule="auto"/>
              <w:rPr>
                <w:rStyle w:val="1168"/>
                <w:rFonts w:ascii="宋体"/>
                <w:color w:val="000000"/>
                <w:sz w:val="2"/>
                <w:highlight w:val="none"/>
              </w:rPr>
            </w:pPr>
            <w:r>
              <w:rPr>
                <w:rStyle w:val="1168"/>
                <w:rFonts w:ascii="宋体"/>
                <w:color w:val="000000"/>
                <w:sz w:val="2"/>
                <w:highlight w:val="none"/>
              </w:rPr>
            </w:r>
            <w:r/>
          </w:p>
        </w:tc>
      </w:tr>
    </w:tbl>
    <w:p>
      <w:pPr>
        <w:pStyle w:val="1043"/>
        <w:jc w:val="left"/>
        <w:spacing w:line="360" w:lineRule="auto"/>
        <w:shd w:val="clear" w:color="auto" w:fill="ffffff"/>
        <w:rPr>
          <w:rStyle w:val="1168"/>
          <w:rFonts w:ascii="宋体" w:hAnsi="宋体"/>
          <w:color w:val="000000"/>
          <w:szCs w:val="21"/>
          <w:highlight w:val="none"/>
        </w:rPr>
      </w:pPr>
      <w:r>
        <w:rPr>
          <w:rStyle w:val="1168"/>
          <w:rFonts w:hint="eastAsia" w:ascii="宋体" w:hAnsi="宋体"/>
          <w:color w:val="000000"/>
          <w:szCs w:val="21"/>
          <w:highlight w:val="none"/>
        </w:rPr>
        <w:t xml:space="preserve">1、说明：如果行数不够，请自行增加。</w:t>
      </w:r>
      <w:r>
        <w:rPr>
          <w:rStyle w:val="1168"/>
          <w:rFonts w:ascii="宋体" w:hAnsi="宋体"/>
          <w:color w:val="000000"/>
          <w:szCs w:val="21"/>
          <w:highlight w:val="none"/>
        </w:rPr>
      </w:r>
      <w:r/>
    </w:p>
    <w:p>
      <w:pPr>
        <w:pStyle w:val="1209"/>
        <w:ind w:firstLine="0"/>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1043"/>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jc w:val="left"/>
        <w:spacing w:line="360" w:lineRule="auto"/>
        <w:shd w:val="clear" w:color="auto" w:fill="ffffff"/>
        <w:rPr>
          <w:rStyle w:val="1168"/>
          <w:rFonts w:ascii="宋体"/>
          <w:color w:val="000000"/>
          <w:szCs w:val="21"/>
          <w:highlight w:val="none"/>
        </w:rPr>
      </w:pPr>
      <w:r>
        <w:rPr>
          <w:rStyle w:val="1168"/>
          <w:rFonts w:ascii="宋体"/>
          <w:color w:val="000000"/>
          <w:szCs w:val="21"/>
          <w:highlight w:val="none"/>
        </w:rPr>
        <w:t xml:space="preserve"> </w:t>
      </w:r>
      <w:r>
        <w:rPr>
          <w:rStyle w:val="1168"/>
          <w:rFonts w:ascii="宋体"/>
          <w:color w:val="000000"/>
          <w:szCs w:val="21"/>
          <w:highlight w:val="none"/>
        </w:rPr>
      </w:r>
      <w:r/>
    </w:p>
    <w:p>
      <w:pPr>
        <w:pStyle w:val="1043"/>
        <w:jc w:val="left"/>
        <w:rPr>
          <w:rStyle w:val="1168"/>
          <w:rFonts w:ascii="宋体" w:hAnsi="宋体"/>
          <w:b/>
          <w:bCs/>
          <w:color w:val="000000"/>
          <w:sz w:val="24"/>
          <w:highlight w:val="none"/>
        </w:rPr>
      </w:pPr>
      <w:r>
        <w:rPr>
          <w:rStyle w:val="1168"/>
          <w:rFonts w:ascii="宋体" w:hAnsi="宋体"/>
          <w:b/>
          <w:bCs/>
          <w:color w:val="000000"/>
          <w:sz w:val="24"/>
          <w:highlight w:val="none"/>
        </w:rPr>
        <w:br w:type="page" w:clear="all"/>
      </w:r>
      <w:r>
        <w:rPr>
          <w:rStyle w:val="1168"/>
          <w:rFonts w:ascii="宋体" w:hAnsi="宋体"/>
          <w:b/>
          <w:bCs/>
          <w:color w:val="000000"/>
          <w:sz w:val="24"/>
          <w:highlight w:val="none"/>
        </w:rPr>
      </w:r>
      <w:r/>
    </w:p>
    <w:p>
      <w:pPr>
        <w:pStyle w:val="1043"/>
        <w:spacing w:line="360" w:lineRule="auto"/>
        <w:rPr>
          <w:rStyle w:val="1168"/>
          <w:rFonts w:ascii="宋体"/>
          <w:b/>
          <w:bCs/>
          <w:color w:val="000000"/>
          <w:sz w:val="24"/>
          <w:highlight w:val="none"/>
        </w:rPr>
      </w:pPr>
      <w:r>
        <w:rPr>
          <w:rStyle w:val="1168"/>
          <w:rFonts w:hint="eastAsia" w:ascii="宋体" w:hAnsi="宋体"/>
          <w:b/>
          <w:bCs/>
          <w:color w:val="000000"/>
          <w:sz w:val="24"/>
          <w:highlight w:val="none"/>
        </w:rPr>
        <w:t xml:space="preserve">附件七、投标人类似业绩情况表</w:t>
      </w:r>
      <w:r>
        <w:rPr>
          <w:rStyle w:val="1168"/>
          <w:rFonts w:ascii="宋体"/>
          <w:b/>
          <w:bCs/>
          <w:color w:val="000000"/>
          <w:sz w:val="24"/>
          <w:highlight w:val="none"/>
        </w:rPr>
      </w:r>
      <w:r/>
    </w:p>
    <w:p>
      <w:pPr>
        <w:pStyle w:val="1043"/>
        <w:jc w:val="center"/>
        <w:spacing w:line="360" w:lineRule="auto"/>
        <w:rPr>
          <w:rStyle w:val="1168"/>
          <w:rFonts w:ascii="宋体"/>
          <w:color w:val="000000"/>
          <w:sz w:val="36"/>
          <w:szCs w:val="36"/>
          <w:highlight w:val="none"/>
        </w:rPr>
      </w:pPr>
      <w:r>
        <w:rPr>
          <w:rStyle w:val="1168"/>
          <w:rFonts w:hint="eastAsia" w:ascii="宋体" w:hAnsi="宋体"/>
          <w:color w:val="000000"/>
          <w:sz w:val="36"/>
          <w:szCs w:val="36"/>
          <w:highlight w:val="none"/>
        </w:rPr>
        <w:t xml:space="preserve">投标人近年来类似业绩情况表</w:t>
      </w:r>
      <w:r>
        <w:rPr>
          <w:rStyle w:val="1168"/>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序号</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项目名称</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业主单位</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项目</w:t>
            </w:r>
            <w:r>
              <w:rPr>
                <w:rStyle w:val="1168"/>
                <w:rFonts w:ascii="宋体"/>
                <w:color w:val="000000"/>
                <w:szCs w:val="21"/>
                <w:highlight w:val="none"/>
              </w:rPr>
            </w:r>
            <w:r/>
          </w:p>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规模</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项目</w:t>
            </w:r>
            <w:r>
              <w:rPr>
                <w:rStyle w:val="1168"/>
                <w:rFonts w:ascii="宋体"/>
                <w:color w:val="000000"/>
                <w:szCs w:val="21"/>
                <w:highlight w:val="none"/>
              </w:rPr>
            </w:r>
            <w:r/>
          </w:p>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内容</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签约及服务</w:t>
            </w:r>
            <w:r>
              <w:rPr>
                <w:rStyle w:val="1168"/>
                <w:rFonts w:ascii="宋体"/>
                <w:color w:val="000000"/>
                <w:szCs w:val="21"/>
                <w:highlight w:val="none"/>
              </w:rPr>
            </w:r>
            <w:r/>
          </w:p>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时间</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联系人及电话</w:t>
            </w: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hint="eastAsia" w:ascii="宋体" w:hAnsi="宋体"/>
                <w:color w:val="000000"/>
                <w:szCs w:val="21"/>
                <w:highlight w:val="none"/>
              </w:rPr>
              <w:t xml:space="preserve">备注</w:t>
            </w:r>
            <w:r>
              <w:rPr>
                <w:rStyle w:val="1168"/>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43"/>
              <w:ind w:firstLine="120"/>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43"/>
              <w:jc w:val="center"/>
              <w:spacing w:line="400" w:lineRule="atLeast"/>
              <w:rPr>
                <w:rStyle w:val="1168"/>
                <w:rFonts w:ascii="宋体"/>
                <w:color w:val="000000"/>
                <w:szCs w:val="21"/>
                <w:highlight w:val="none"/>
              </w:rPr>
            </w:pPr>
            <w:r>
              <w:rPr>
                <w:rStyle w:val="1168"/>
                <w:rFonts w:ascii="宋体"/>
                <w:color w:val="000000"/>
                <w:szCs w:val="21"/>
                <w:highlight w:val="none"/>
              </w:rPr>
            </w:r>
            <w:r/>
          </w:p>
        </w:tc>
      </w:tr>
    </w:tbl>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spacing w:line="360" w:lineRule="auto"/>
        <w:rPr>
          <w:rStyle w:val="1168"/>
          <w:rFonts w:ascii="宋体"/>
          <w:bCs/>
          <w:color w:val="000000"/>
          <w:szCs w:val="21"/>
          <w:highlight w:val="none"/>
        </w:rPr>
      </w:pPr>
      <w:r>
        <w:rPr>
          <w:rStyle w:val="1168"/>
          <w:rFonts w:hint="eastAsia" w:ascii="宋体" w:hAnsi="宋体"/>
          <w:bCs/>
          <w:color w:val="000000"/>
          <w:szCs w:val="21"/>
          <w:highlight w:val="none"/>
        </w:rPr>
        <w:t xml:space="preserve">说明：请投标人根据第三章评标标准要求提供相关资料。</w:t>
      </w:r>
      <w:r>
        <w:rPr>
          <w:rStyle w:val="1168"/>
          <w:rFonts w:ascii="宋体"/>
          <w:bCs/>
          <w:color w:val="000000"/>
          <w:szCs w:val="21"/>
          <w:highlight w:val="none"/>
        </w:rPr>
      </w:r>
      <w:r/>
    </w:p>
    <w:p>
      <w:pPr>
        <w:pStyle w:val="1043"/>
        <w:jc w:val="left"/>
        <w:rPr>
          <w:rStyle w:val="1168"/>
          <w:rFonts w:ascii="宋体" w:hAnsi="宋体"/>
          <w:b/>
          <w:color w:val="000000"/>
          <w:highlight w:val="none"/>
        </w:rPr>
      </w:pPr>
      <w:r>
        <w:rPr>
          <w:rStyle w:val="1168"/>
          <w:rFonts w:ascii="宋体" w:hAnsi="宋体"/>
          <w:b/>
          <w:color w:val="000000"/>
          <w:highlight w:val="none"/>
        </w:rPr>
        <w:br w:type="page" w:clear="all"/>
      </w:r>
      <w:r>
        <w:rPr>
          <w:rStyle w:val="1168"/>
          <w:rFonts w:ascii="宋体" w:hAnsi="宋体"/>
          <w:b/>
          <w:color w:val="000000"/>
          <w:highlight w:val="none"/>
        </w:rPr>
      </w:r>
      <w:r/>
    </w:p>
    <w:p>
      <w:pPr>
        <w:pStyle w:val="1043"/>
        <w:spacing w:line="360" w:lineRule="auto"/>
        <w:rPr>
          <w:rStyle w:val="1168"/>
          <w:rFonts w:ascii="宋体" w:hAnsi="宋体"/>
          <w:b/>
          <w:color w:val="000000"/>
          <w:highlight w:val="none"/>
        </w:rPr>
      </w:pPr>
      <w:r>
        <w:rPr>
          <w:rStyle w:val="1168"/>
          <w:rFonts w:hint="eastAsia" w:ascii="宋体" w:hAnsi="宋体"/>
          <w:b/>
          <w:color w:val="000000"/>
          <w:highlight w:val="none"/>
        </w:rPr>
        <w:t xml:space="preserve">附件八、项目负责人一览表</w:t>
      </w:r>
      <w:r>
        <w:rPr>
          <w:rStyle w:val="1168"/>
          <w:rFonts w:ascii="宋体" w:hAnsi="宋体"/>
          <w:b/>
          <w:color w:val="000000"/>
          <w:highlight w:val="none"/>
        </w:rPr>
      </w:r>
      <w:r/>
    </w:p>
    <w:p>
      <w:pPr>
        <w:pStyle w:val="1043"/>
        <w:jc w:val="center"/>
        <w:spacing w:line="360" w:lineRule="auto"/>
        <w:rPr>
          <w:rStyle w:val="1168"/>
          <w:rFonts w:ascii="宋体" w:hAnsi="宋体"/>
          <w:color w:val="000000"/>
          <w:sz w:val="28"/>
          <w:highlight w:val="none"/>
        </w:rPr>
      </w:pPr>
      <w:r/>
      <w:bookmarkStart w:id="73" w:name="OLE_LINK4"/>
      <w:r>
        <w:rPr>
          <w:rStyle w:val="1168"/>
          <w:rFonts w:hint="eastAsia" w:ascii="宋体" w:hAnsi="宋体"/>
          <w:color w:val="000000"/>
          <w:sz w:val="28"/>
          <w:highlight w:val="none"/>
        </w:rPr>
        <w:t xml:space="preserve">项目负责人一览表</w:t>
      </w:r>
      <w:r>
        <w:rPr>
          <w:rStyle w:val="1168"/>
          <w:rFonts w:ascii="宋体" w:hAnsi="宋体"/>
          <w:color w:val="000000"/>
          <w:sz w:val="28"/>
          <w:highlight w:val="none"/>
        </w:rPr>
      </w:r>
      <w:r/>
    </w:p>
    <w:p>
      <w:pPr>
        <w:pStyle w:val="1247"/>
        <w:ind w:firstLine="211"/>
        <w:jc w:val="left"/>
        <w:spacing w:before="100" w:beforeAutospacing="1" w:after="100" w:afterAutospacing="1"/>
        <w:rPr>
          <w:rFonts w:hAnsi="宋体"/>
          <w:b/>
          <w:bCs/>
          <w:color w:val="000000"/>
          <w:szCs w:val="21"/>
          <w:highlight w:val="none"/>
        </w:rPr>
      </w:pPr>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1751"/>
        <w:gridCol w:w="770"/>
        <w:gridCol w:w="1781"/>
        <w:gridCol w:w="1843"/>
        <w:gridCol w:w="1460"/>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职称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备注</w:t>
            </w:r>
            <w:r>
              <w:rPr>
                <w:rFonts w:ascii="宋体" w:hAnsi="宋体"/>
                <w:b/>
                <w:bCs/>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bl>
    <w:p>
      <w:pPr>
        <w:pStyle w:val="1043"/>
        <w:rPr>
          <w:rFonts w:ascii="宋体" w:hAnsi="宋体"/>
          <w:color w:val="000000"/>
          <w:szCs w:val="21"/>
          <w:highlight w:val="none"/>
        </w:rPr>
      </w:pPr>
      <w:r>
        <w:rPr>
          <w:rFonts w:ascii="宋体" w:hAnsi="宋体"/>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rPr>
          <w:rFonts w:ascii="宋体" w:hAnsi="宋体"/>
          <w:color w:val="000000"/>
          <w:szCs w:val="21"/>
          <w:highlight w:val="none"/>
        </w:rPr>
      </w:pPr>
      <w:r>
        <w:rPr>
          <w:rFonts w:ascii="宋体" w:hAnsi="宋体"/>
          <w:color w:val="000000"/>
          <w:szCs w:val="21"/>
          <w:highlight w:val="none"/>
        </w:rPr>
      </w:r>
      <w:r/>
    </w:p>
    <w:p>
      <w:pPr>
        <w:pStyle w:val="1043"/>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p>
      <w:pPr>
        <w:pStyle w:val="1043"/>
        <w:rPr>
          <w:rFonts w:ascii="宋体" w:hAnsi="宋体"/>
          <w:bCs/>
          <w:color w:val="000000"/>
          <w:szCs w:val="21"/>
          <w:highlight w:val="none"/>
        </w:rPr>
      </w:pPr>
      <w:r>
        <w:rPr>
          <w:rFonts w:hint="eastAsia" w:ascii="宋体" w:hAnsi="宋体"/>
          <w:bCs/>
          <w:color w:val="000000"/>
          <w:szCs w:val="21"/>
          <w:highlight w:val="none"/>
        </w:rPr>
        <w:t xml:space="preserve">1、“备注”栏，可填写该人员擅长的种类；</w:t>
      </w:r>
      <w:r>
        <w:rPr>
          <w:rFonts w:ascii="宋体" w:hAnsi="宋体"/>
          <w:bCs/>
          <w:color w:val="000000"/>
          <w:szCs w:val="21"/>
          <w:highlight w:val="none"/>
        </w:rPr>
      </w:r>
      <w:r/>
    </w:p>
    <w:p>
      <w:pPr>
        <w:pStyle w:val="1043"/>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Style w:val="1168"/>
          <w:rFonts w:hint="eastAsia" w:ascii="宋体" w:hAnsi="宋体"/>
          <w:bCs/>
          <w:color w:val="000000"/>
          <w:szCs w:val="21"/>
          <w:highlight w:val="none"/>
        </w:rPr>
        <w:t xml:space="preserve">请投标人根据第三章评标标准要求提供相关资料</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43"/>
        <w:spacing w:line="360" w:lineRule="auto"/>
        <w:rPr>
          <w:rStyle w:val="1168"/>
          <w:rFonts w:ascii="宋体" w:hAnsi="宋体"/>
          <w:b/>
          <w:color w:val="000000"/>
          <w:highlight w:val="none"/>
        </w:rPr>
      </w:pPr>
      <w:r>
        <w:rPr>
          <w:rStyle w:val="1168"/>
          <w:rFonts w:ascii="宋体" w:hAnsi="宋体"/>
          <w:color w:val="000000"/>
          <w:sz w:val="28"/>
          <w:highlight w:val="none"/>
        </w:rPr>
        <w:br w:type="page" w:clear="all"/>
      </w:r>
      <w:r>
        <w:rPr>
          <w:rStyle w:val="1168"/>
          <w:rFonts w:hint="eastAsia" w:ascii="宋体" w:hAnsi="宋体"/>
          <w:b/>
          <w:color w:val="000000"/>
          <w:highlight w:val="none"/>
        </w:rPr>
        <w:t xml:space="preserve">附件九、拟参与本项目人员一览表</w:t>
      </w:r>
      <w:r>
        <w:rPr>
          <w:rStyle w:val="1168"/>
          <w:rFonts w:ascii="宋体" w:hAnsi="宋体"/>
          <w:b/>
          <w:color w:val="000000"/>
          <w:highlight w:val="none"/>
        </w:rPr>
      </w:r>
      <w:r/>
    </w:p>
    <w:p>
      <w:pPr>
        <w:pStyle w:val="1043"/>
        <w:jc w:val="center"/>
        <w:spacing w:line="360" w:lineRule="auto"/>
        <w:rPr>
          <w:rStyle w:val="1168"/>
          <w:rFonts w:hint="eastAsia" w:ascii="宋体" w:hAnsi="宋体"/>
          <w:color w:val="000000"/>
          <w:sz w:val="28"/>
          <w:highlight w:val="none"/>
        </w:rPr>
      </w:pPr>
      <w:r>
        <w:rPr>
          <w:rStyle w:val="1168"/>
          <w:rFonts w:hint="eastAsia" w:ascii="宋体" w:hAnsi="宋体"/>
          <w:color w:val="000000"/>
          <w:sz w:val="28"/>
          <w:highlight w:val="none"/>
        </w:rPr>
      </w:r>
      <w:r/>
    </w:p>
    <w:p>
      <w:pPr>
        <w:pStyle w:val="1043"/>
        <w:jc w:val="center"/>
        <w:spacing w:line="360" w:lineRule="auto"/>
        <w:rPr>
          <w:rStyle w:val="1168"/>
          <w:rFonts w:ascii="宋体" w:hAnsi="宋体"/>
          <w:color w:val="000000"/>
          <w:sz w:val="28"/>
          <w:highlight w:val="none"/>
        </w:rPr>
      </w:pPr>
      <w:r>
        <w:rPr>
          <w:rStyle w:val="1168"/>
          <w:rFonts w:hint="eastAsia" w:ascii="宋体" w:hAnsi="宋体"/>
          <w:color w:val="000000"/>
          <w:sz w:val="28"/>
          <w:highlight w:val="none"/>
        </w:rPr>
        <w:t xml:space="preserve">拟参与本项目人员一览表</w:t>
      </w:r>
      <w:r>
        <w:rPr>
          <w:rStyle w:val="1168"/>
          <w:rFonts w:ascii="宋体" w:hAnsi="宋体"/>
          <w:color w:val="000000"/>
          <w:sz w:val="28"/>
          <w:highlight w:val="none"/>
        </w:rPr>
      </w:r>
      <w:r/>
    </w:p>
    <w:p>
      <w:pPr>
        <w:pStyle w:val="1247"/>
        <w:ind w:firstLine="211"/>
        <w:jc w:val="left"/>
        <w:spacing w:before="100" w:beforeAutospacing="1" w:after="100" w:afterAutospacing="1"/>
        <w:rPr>
          <w:rFonts w:hAnsi="宋体"/>
          <w:b/>
          <w:bCs/>
          <w:color w:val="000000"/>
          <w:szCs w:val="21"/>
          <w:highlight w:val="none"/>
        </w:rPr>
      </w:pPr>
      <w:r/>
      <w:bookmarkEnd w:id="73"/>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970"/>
        <w:gridCol w:w="1551"/>
        <w:gridCol w:w="1274"/>
        <w:gridCol w:w="1164"/>
        <w:gridCol w:w="2646"/>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职称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43"/>
              <w:jc w:val="center"/>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43"/>
              <w:rPr>
                <w:rFonts w:ascii="宋体" w:hAnsi="宋体"/>
                <w:color w:val="000000"/>
                <w:szCs w:val="21"/>
                <w:highlight w:val="none"/>
              </w:rPr>
            </w:pPr>
            <w:r>
              <w:rPr>
                <w:rFonts w:ascii="宋体" w:hAnsi="宋体"/>
                <w:color w:val="000000"/>
                <w:szCs w:val="21"/>
                <w:highlight w:val="none"/>
              </w:rPr>
            </w:r>
            <w:r/>
          </w:p>
        </w:tc>
      </w:tr>
    </w:tbl>
    <w:p>
      <w:pPr>
        <w:pStyle w:val="1043"/>
        <w:rPr>
          <w:rFonts w:ascii="宋体" w:hAnsi="宋体"/>
          <w:color w:val="000000"/>
          <w:szCs w:val="21"/>
          <w:highlight w:val="none"/>
        </w:rPr>
      </w:pPr>
      <w:r>
        <w:rPr>
          <w:rFonts w:ascii="宋体" w:hAnsi="宋体"/>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4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43"/>
        <w:rPr>
          <w:rFonts w:ascii="宋体" w:hAnsi="宋体"/>
          <w:color w:val="000000"/>
          <w:szCs w:val="21"/>
          <w:highlight w:val="none"/>
        </w:rPr>
      </w:pPr>
      <w:r>
        <w:rPr>
          <w:rFonts w:ascii="宋体" w:hAnsi="宋体"/>
          <w:color w:val="000000"/>
          <w:szCs w:val="21"/>
          <w:highlight w:val="none"/>
        </w:rPr>
      </w:r>
      <w:r/>
    </w:p>
    <w:p>
      <w:pPr>
        <w:pStyle w:val="1043"/>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p>
      <w:pPr>
        <w:pStyle w:val="1043"/>
        <w:rPr>
          <w:rFonts w:ascii="宋体" w:hAnsi="宋体"/>
          <w:bCs/>
          <w:color w:val="000000"/>
          <w:szCs w:val="21"/>
          <w:highlight w:val="none"/>
        </w:rPr>
      </w:pPr>
      <w:r>
        <w:rPr>
          <w:rFonts w:hint="eastAsia" w:ascii="宋体" w:hAnsi="宋体"/>
          <w:bCs/>
          <w:color w:val="000000"/>
          <w:szCs w:val="21"/>
          <w:highlight w:val="none"/>
        </w:rPr>
        <w:t xml:space="preserve">1、“备注”栏，可填写该人员擅长的种类；</w:t>
      </w:r>
      <w:r>
        <w:rPr>
          <w:rFonts w:ascii="宋体" w:hAnsi="宋体"/>
          <w:bCs/>
          <w:color w:val="000000"/>
          <w:szCs w:val="21"/>
          <w:highlight w:val="none"/>
        </w:rPr>
      </w:r>
      <w:r/>
    </w:p>
    <w:p>
      <w:pPr>
        <w:pStyle w:val="1043"/>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Style w:val="1168"/>
          <w:rFonts w:hint="eastAsia" w:ascii="宋体" w:hAnsi="宋体"/>
          <w:bCs/>
          <w:color w:val="000000"/>
          <w:szCs w:val="21"/>
          <w:highlight w:val="none"/>
        </w:rPr>
        <w:t xml:space="preserve">请投标人根据第三章评标标准要求提供相关资料</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43"/>
        <w:rPr>
          <w:rFonts w:ascii="宋体" w:hAnsi="宋体"/>
          <w:bCs/>
          <w:color w:val="000000"/>
          <w:szCs w:val="21"/>
          <w:highlight w:val="none"/>
        </w:rPr>
      </w:pPr>
      <w:r>
        <w:rPr>
          <w:rFonts w:ascii="宋体" w:hAnsi="宋体"/>
          <w:bCs/>
          <w:color w:val="000000"/>
          <w:szCs w:val="21"/>
          <w:highlight w:val="none"/>
        </w:rPr>
      </w:r>
      <w:r/>
    </w:p>
    <w:p>
      <w:pPr>
        <w:pStyle w:val="1043"/>
        <w:spacing w:line="360" w:lineRule="auto"/>
        <w:rPr>
          <w:rStyle w:val="1168"/>
          <w:rFonts w:ascii="宋体" w:hAnsi="宋体"/>
          <w:b/>
          <w:color w:val="000000"/>
          <w:sz w:val="28"/>
          <w:highlight w:val="none"/>
        </w:rPr>
      </w:pPr>
      <w:r>
        <w:rPr>
          <w:rStyle w:val="1168"/>
          <w:rFonts w:ascii="宋体" w:hAnsi="宋体"/>
          <w:b/>
          <w:color w:val="000000"/>
          <w:sz w:val="28"/>
          <w:highlight w:val="none"/>
        </w:rPr>
      </w:r>
      <w:r/>
    </w:p>
    <w:p>
      <w:pPr>
        <w:pStyle w:val="1043"/>
        <w:spacing w:line="360" w:lineRule="auto"/>
        <w:rPr>
          <w:rStyle w:val="1168"/>
          <w:rFonts w:ascii="宋体" w:hAnsi="宋体"/>
          <w:b/>
          <w:color w:val="000000"/>
          <w:highlight w:val="none"/>
        </w:rPr>
      </w:pPr>
      <w:r>
        <w:rPr>
          <w:rStyle w:val="1168"/>
          <w:rFonts w:ascii="宋体" w:hAnsi="宋体"/>
          <w:b/>
          <w:color w:val="000000"/>
          <w:highlight w:val="none"/>
        </w:rPr>
      </w:r>
      <w:r/>
    </w:p>
    <w:p>
      <w:pPr>
        <w:pStyle w:val="1043"/>
        <w:jc w:val="left"/>
        <w:rPr>
          <w:rStyle w:val="1168"/>
          <w:rFonts w:ascii="宋体" w:hAnsi="宋体"/>
          <w:b/>
          <w:color w:val="000000"/>
          <w:highlight w:val="none"/>
        </w:rPr>
      </w:pPr>
      <w:r>
        <w:rPr>
          <w:rStyle w:val="1168"/>
          <w:rFonts w:ascii="宋体" w:hAnsi="宋体"/>
          <w:b/>
          <w:color w:val="000000"/>
          <w:highlight w:val="none"/>
        </w:rPr>
        <w:br w:type="page" w:clear="all"/>
      </w:r>
      <w:r>
        <w:rPr>
          <w:rStyle w:val="1168"/>
          <w:rFonts w:ascii="宋体" w:hAnsi="宋体"/>
          <w:b/>
          <w:color w:val="000000"/>
          <w:highlight w:val="none"/>
        </w:rPr>
      </w:r>
      <w:r/>
    </w:p>
    <w:p>
      <w:pPr>
        <w:pStyle w:val="1043"/>
        <w:jc w:val="left"/>
        <w:spacing w:line="360" w:lineRule="auto"/>
        <w:shd w:val="clear" w:color="auto" w:fill="ffffff"/>
        <w:rPr>
          <w:color w:val="000000"/>
          <w:highlight w:val="none"/>
        </w:rPr>
      </w:pPr>
      <w:r>
        <w:rPr>
          <w:rStyle w:val="1168"/>
          <w:rFonts w:hint="eastAsia" w:ascii="宋体" w:hAnsi="宋体"/>
          <w:b/>
          <w:color w:val="000000"/>
          <w:highlight w:val="none"/>
        </w:rPr>
        <w:t xml:space="preserve">附件十、</w:t>
      </w:r>
      <w:r>
        <w:rPr>
          <w:rStyle w:val="1168"/>
          <w:rFonts w:hint="eastAsia" w:ascii="宋体" w:hAnsi="宋体"/>
          <w:b/>
          <w:color w:val="000000"/>
          <w:szCs w:val="21"/>
          <w:highlight w:val="none"/>
          <w:lang w:val="zh-CN"/>
        </w:rPr>
        <w:t xml:space="preserve">资格证明文件</w:t>
      </w:r>
      <w:r>
        <w:rPr>
          <w:color w:val="000000"/>
          <w:highlight w:val="none"/>
        </w:rPr>
      </w:r>
      <w:r/>
    </w:p>
    <w:p>
      <w:pPr>
        <w:pStyle w:val="1043"/>
        <w:ind w:firstLine="420"/>
        <w:jc w:val="left"/>
        <w:spacing w:line="360" w:lineRule="auto"/>
        <w:rPr>
          <w:rStyle w:val="1168"/>
          <w:rFonts w:hint="eastAsia"/>
          <w:color w:val="000000"/>
          <w:szCs w:val="21"/>
          <w:highlight w:val="none"/>
        </w:rPr>
      </w:pPr>
      <w:r>
        <w:rPr>
          <w:rStyle w:val="1168"/>
          <w:rFonts w:hint="eastAsia"/>
          <w:color w:val="000000"/>
          <w:szCs w:val="21"/>
          <w:highlight w:val="none"/>
        </w:rPr>
        <w:t xml:space="preserve">（1）具有独立承担民事责任的能力（提供法人或者其他组织的营业执照，自然人的身份证明）；</w:t>
      </w:r>
      <w:r>
        <w:rPr>
          <w:rStyle w:val="1168"/>
          <w:rFonts w:hint="eastAsia"/>
          <w:color w:val="000000"/>
          <w:szCs w:val="21"/>
          <w:highlight w:val="none"/>
        </w:rPr>
      </w:r>
      <w:r/>
    </w:p>
    <w:p>
      <w:pPr>
        <w:pStyle w:val="1043"/>
        <w:ind w:firstLine="420"/>
        <w:jc w:val="left"/>
        <w:spacing w:line="360" w:lineRule="auto"/>
        <w:rPr>
          <w:rStyle w:val="1168"/>
          <w:rFonts w:hint="eastAsia"/>
          <w:color w:val="000000"/>
          <w:szCs w:val="21"/>
          <w:highlight w:val="none"/>
        </w:rPr>
      </w:pPr>
      <w:r>
        <w:rPr>
          <w:rStyle w:val="1168"/>
          <w:rFonts w:hint="eastAsia"/>
          <w:color w:val="000000"/>
          <w:szCs w:val="21"/>
          <w:highlight w:val="none"/>
        </w:rPr>
        <w:t xml:space="preserve">（2）具有良好的商业信誉和健全的财务会计制度；</w:t>
      </w:r>
      <w:r>
        <w:rPr>
          <w:rStyle w:val="1168"/>
          <w:rFonts w:hint="eastAsia"/>
          <w:color w:val="000000"/>
          <w:szCs w:val="21"/>
          <w:highlight w:val="none"/>
        </w:rPr>
      </w:r>
      <w:r/>
    </w:p>
    <w:p>
      <w:pPr>
        <w:pStyle w:val="1043"/>
        <w:ind w:firstLine="420"/>
        <w:jc w:val="left"/>
        <w:spacing w:line="360" w:lineRule="auto"/>
        <w:rPr>
          <w:rStyle w:val="1168"/>
          <w:rFonts w:hint="eastAsia"/>
          <w:color w:val="000000"/>
          <w:szCs w:val="21"/>
          <w:highlight w:val="none"/>
        </w:rPr>
      </w:pPr>
      <w:r>
        <w:rPr>
          <w:rStyle w:val="1168"/>
          <w:rFonts w:hint="eastAsia"/>
          <w:color w:val="000000"/>
          <w:szCs w:val="21"/>
          <w:highlight w:val="none"/>
        </w:rPr>
        <w:t xml:space="preserve">（3）具有履行合同所必需的设备和专业技术能力（根据项目需求提供履行合同所必需的设备和专业技术能力的证明材料）；</w:t>
      </w:r>
      <w:r>
        <w:rPr>
          <w:rStyle w:val="1168"/>
          <w:rFonts w:hint="eastAsia"/>
          <w:color w:val="000000"/>
          <w:szCs w:val="21"/>
          <w:highlight w:val="none"/>
        </w:rPr>
      </w:r>
      <w:r/>
    </w:p>
    <w:p>
      <w:pPr>
        <w:pStyle w:val="1043"/>
        <w:ind w:firstLine="420"/>
        <w:jc w:val="left"/>
        <w:spacing w:line="360" w:lineRule="auto"/>
        <w:rPr>
          <w:rStyle w:val="1168"/>
          <w:rFonts w:hint="eastAsia"/>
          <w:color w:val="000000"/>
          <w:szCs w:val="21"/>
          <w:highlight w:val="none"/>
        </w:rPr>
      </w:pPr>
      <w:r>
        <w:rPr>
          <w:rStyle w:val="1168"/>
          <w:rFonts w:hint="eastAsia"/>
          <w:color w:val="000000"/>
          <w:szCs w:val="21"/>
          <w:highlight w:val="none"/>
        </w:rPr>
        <w:t xml:space="preserve">（4）有依法缴纳税收和社会保障资金的良好记录；</w:t>
      </w:r>
      <w:r>
        <w:rPr>
          <w:rStyle w:val="1168"/>
          <w:rFonts w:hint="eastAsia"/>
          <w:color w:val="000000"/>
          <w:szCs w:val="21"/>
          <w:highlight w:val="none"/>
        </w:rPr>
      </w:r>
      <w:r/>
    </w:p>
    <w:p>
      <w:pPr>
        <w:pStyle w:val="1043"/>
        <w:ind w:firstLine="420"/>
        <w:jc w:val="left"/>
        <w:spacing w:line="360" w:lineRule="auto"/>
        <w:rPr>
          <w:rStyle w:val="1168"/>
          <w:rFonts w:hint="eastAsia"/>
          <w:color w:val="000000"/>
          <w:szCs w:val="21"/>
          <w:highlight w:val="none"/>
        </w:rPr>
      </w:pPr>
      <w:r>
        <w:rPr>
          <w:rStyle w:val="1168"/>
          <w:rFonts w:hint="eastAsia"/>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Style w:val="1168"/>
          <w:rFonts w:hint="eastAsia"/>
          <w:color w:val="000000"/>
          <w:szCs w:val="21"/>
          <w:highlight w:val="none"/>
        </w:rPr>
      </w:r>
      <w:r/>
    </w:p>
    <w:p>
      <w:pPr>
        <w:pStyle w:val="1043"/>
        <w:ind w:firstLine="420"/>
        <w:jc w:val="left"/>
        <w:spacing w:line="360" w:lineRule="auto"/>
        <w:rPr>
          <w:rFonts w:hint="eastAsia" w:ascii="宋体" w:hAnsi="宋体"/>
          <w:bCs/>
          <w:color w:val="000000"/>
          <w:szCs w:val="21"/>
          <w:highlight w:val="none"/>
        </w:rPr>
      </w:pPr>
      <w:r>
        <w:rPr>
          <w:rStyle w:val="1168"/>
          <w:rFonts w:hint="eastAsia"/>
          <w:color w:val="000000"/>
          <w:szCs w:val="21"/>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Cs w:val="21"/>
          <w:highlight w:val="none"/>
        </w:rPr>
        <w:t xml:space="preserve">附件（1）：具有独立承担民事责任的能力（提供法人或者其他组织的营业执照，自然人的身份证明）；</w:t>
      </w:r>
      <w:r>
        <w:rPr>
          <w:rFonts w:hint="eastAsia" w:ascii="宋体" w:hAnsi="宋体"/>
          <w:bCs/>
          <w:color w:val="000000"/>
          <w:szCs w:val="21"/>
          <w:highlight w:val="none"/>
        </w:rPr>
      </w:r>
      <w:r/>
    </w:p>
    <w:p>
      <w:pPr>
        <w:pStyle w:val="1043"/>
        <w:ind w:firstLine="420"/>
        <w:jc w:val="left"/>
        <w:spacing w:line="360" w:lineRule="auto"/>
        <w:rPr>
          <w:rFonts w:hint="eastAsia" w:ascii="宋体" w:hAnsi="宋体"/>
          <w:bCs/>
          <w:color w:val="000000"/>
          <w:szCs w:val="21"/>
          <w:highlight w:val="none"/>
        </w:rPr>
      </w:pPr>
      <w:r>
        <w:rPr>
          <w:rFonts w:ascii="宋体" w:hAnsi="宋体"/>
          <w:bCs/>
          <w:color w:val="000000"/>
          <w:szCs w:val="21"/>
          <w:highlight w:val="none"/>
        </w:rPr>
        <w:br w:type="page" w:clear="all"/>
      </w:r>
      <w:r>
        <w:rPr>
          <w:rFonts w:hint="eastAsia" w:ascii="宋体" w:hAnsi="宋体"/>
          <w:bCs/>
          <w:color w:val="000000"/>
          <w:szCs w:val="21"/>
          <w:highlight w:val="none"/>
        </w:rPr>
        <w:t xml:space="preserve">附件（2）：具有良好的商业信誉和健全的财务会计制度；</w:t>
      </w:r>
      <w:r>
        <w:rPr>
          <w:rFonts w:hint="eastAsia" w:ascii="宋体" w:hAnsi="宋体"/>
          <w:bCs/>
          <w:color w:val="000000"/>
          <w:szCs w:val="21"/>
          <w:highlight w:val="none"/>
        </w:rPr>
      </w:r>
      <w:r/>
    </w:p>
    <w:p>
      <w:pPr>
        <w:pStyle w:val="1043"/>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1043"/>
        <w:jc w:val="left"/>
        <w:spacing w:line="360" w:lineRule="auto"/>
        <w:shd w:val="clear" w:color="auto" w:fill="ffffff"/>
        <w:rPr>
          <w:rFonts w:ascii="宋体" w:hAnsi="宋体"/>
          <w:bCs/>
          <w:color w:val="000000"/>
          <w:szCs w:val="21"/>
          <w:highlight w:val="none"/>
        </w:rPr>
      </w:pPr>
      <w:r>
        <w:rPr>
          <w:rFonts w:ascii="宋体" w:hAnsi="宋体"/>
          <w:bCs/>
          <w:color w:val="000000"/>
          <w:szCs w:val="21"/>
          <w:highlight w:val="none"/>
        </w:rPr>
        <w:br w:type="page" w:clear="all"/>
      </w:r>
      <w:r>
        <w:rPr>
          <w:rFonts w:hint="eastAsia" w:ascii="宋体" w:hAnsi="宋体"/>
          <w:bCs/>
          <w:color w:val="000000"/>
          <w:szCs w:val="21"/>
          <w:highlight w:val="none"/>
        </w:rPr>
        <w:t xml:space="preserve">附件（3）：具有履行合同所必需的设备和专业技术能力（根据项目需求提供履行合同所必需的设备和专业技术能力的证明材料）；</w:t>
      </w:r>
      <w:r>
        <w:rPr>
          <w:rFonts w:ascii="宋体" w:hAnsi="宋体"/>
          <w:bCs/>
          <w:color w:val="000000"/>
          <w:szCs w:val="21"/>
          <w:highlight w:val="none"/>
        </w:rPr>
      </w:r>
      <w:r/>
    </w:p>
    <w:p>
      <w:pPr>
        <w:pStyle w:val="1043"/>
        <w:jc w:val="center"/>
        <w:spacing w:line="360" w:lineRule="auto"/>
        <w:widowControl w:val="off"/>
        <w:rPr>
          <w:rFonts w:ascii="宋体" w:hAnsi="宋体" w:cs="宋体"/>
          <w:color w:val="000000"/>
          <w:szCs w:val="21"/>
          <w:highlight w:val="none"/>
          <w:lang w:val="zh-CN"/>
        </w:rPr>
      </w:pPr>
      <w:r/>
      <w:bookmarkStart w:id="74" w:name="OLE_LINK5"/>
      <w:r>
        <w:rPr>
          <w:rFonts w:hint="eastAsia" w:ascii="宋体" w:hAnsi="宋体" w:cs="宋体"/>
          <w:color w:val="000000"/>
          <w:szCs w:val="21"/>
          <w:highlight w:val="none"/>
          <w:lang w:val="zh-CN"/>
        </w:rPr>
        <w:t xml:space="preserve">具备履行合同所必需的设备和专业技术能力的声明格式</w:t>
      </w:r>
      <w:r>
        <w:rPr>
          <w:rFonts w:ascii="宋体" w:hAnsi="宋体" w:cs="宋体"/>
          <w:color w:val="000000"/>
          <w:szCs w:val="21"/>
          <w:highlight w:val="none"/>
          <w:lang w:val="zh-CN"/>
        </w:rPr>
      </w:r>
      <w:r/>
    </w:p>
    <w:p>
      <w:pPr>
        <w:pStyle w:val="1043"/>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我单位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（供应商名称）郑重声明：我公司具备履行本项采购合同所必需的设备和专业技术能力，为履行本项采购合同我单位具备如下主要设备和主要专业技术能力：</w:t>
      </w:r>
      <w:r>
        <w:rPr>
          <w:rFonts w:ascii="宋体" w:hAnsi="宋体" w:cs="宋体"/>
          <w:color w:val="000000"/>
          <w:szCs w:val="21"/>
          <w:highlight w:val="none"/>
        </w:rPr>
      </w:r>
      <w:r/>
    </w:p>
    <w:p>
      <w:pPr>
        <w:pStyle w:val="1043"/>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主要设备有：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 若有 )</w:t>
      </w:r>
      <w:r>
        <w:rPr>
          <w:rFonts w:ascii="宋体" w:hAnsi="宋体" w:cs="宋体"/>
          <w:color w:val="000000"/>
          <w:szCs w:val="21"/>
          <w:highlight w:val="none"/>
        </w:rPr>
      </w:r>
      <w:r/>
    </w:p>
    <w:p>
      <w:pPr>
        <w:pStyle w:val="1043"/>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 若有 )</w:t>
      </w:r>
      <w:r>
        <w:rPr>
          <w:rFonts w:ascii="宋体" w:hAnsi="宋体" w:cs="宋体"/>
          <w:color w:val="000000"/>
          <w:szCs w:val="21"/>
          <w:highlight w:val="none"/>
        </w:rPr>
      </w:r>
      <w:r/>
    </w:p>
    <w:p>
      <w:pPr>
        <w:pStyle w:val="1043"/>
        <w:spacing w:line="360" w:lineRule="auto"/>
        <w:widowControl w:val="off"/>
        <w:rPr>
          <w:rFonts w:ascii="宋体" w:hAnsi="宋体" w:cs="宋体"/>
          <w:color w:val="000000"/>
          <w:szCs w:val="21"/>
          <w:highlight w:val="none"/>
        </w:rPr>
      </w:pPr>
      <w:r>
        <w:rPr>
          <w:rFonts w:ascii="宋体" w:hAnsi="宋体" w:cs="宋体"/>
          <w:color w:val="000000"/>
          <w:szCs w:val="21"/>
          <w:highlight w:val="none"/>
        </w:rPr>
      </w:r>
      <w:r/>
    </w:p>
    <w:p>
      <w:pPr>
        <w:pStyle w:val="1043"/>
        <w:spacing w:line="360" w:lineRule="auto"/>
        <w:widowControl w:val="off"/>
        <w:rPr>
          <w:rFonts w:ascii="宋体" w:hAnsi="宋体" w:cs="宋体"/>
          <w:color w:val="000000"/>
          <w:szCs w:val="21"/>
          <w:highlight w:val="none"/>
        </w:rPr>
      </w:pPr>
      <w:r>
        <w:rPr>
          <w:rFonts w:ascii="宋体" w:hAnsi="宋体" w:cs="宋体"/>
          <w:color w:val="000000"/>
          <w:szCs w:val="21"/>
          <w:highlight w:val="none"/>
        </w:rPr>
      </w:r>
      <w:r/>
    </w:p>
    <w:p>
      <w:pPr>
        <w:pStyle w:val="1043"/>
        <w:jc w:val="righ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w:t>
      </w:r>
      <w:r>
        <w:rPr>
          <w:rStyle w:val="1168"/>
          <w:rFonts w:hint="eastAsia" w:ascii="宋体" w:hAnsi="宋体"/>
          <w:color w:val="000000"/>
          <w:szCs w:val="21"/>
          <w:highlight w:val="none"/>
        </w:rPr>
        <w:t xml:space="preserve">投标人名称：（电子公章）</w:t>
      </w:r>
      <w:r>
        <w:rPr>
          <w:rFonts w:ascii="宋体" w:hAnsi="宋体" w:cs="宋体"/>
          <w:color w:val="000000"/>
          <w:szCs w:val="21"/>
          <w:highlight w:val="none"/>
        </w:rPr>
      </w:r>
      <w:r/>
    </w:p>
    <w:p>
      <w:pPr>
        <w:pStyle w:val="1043"/>
        <w:jc w:val="right"/>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日期：______年    月    日</w:t>
      </w:r>
      <w:r>
        <w:rPr>
          <w:rFonts w:ascii="宋体" w:hAnsi="宋体" w:cs="宋体"/>
          <w:color w:val="000000"/>
          <w:szCs w:val="21"/>
          <w:highlight w:val="none"/>
        </w:rPr>
      </w:r>
      <w:r/>
    </w:p>
    <w:p>
      <w:pPr>
        <w:pStyle w:val="1043"/>
        <w:ind w:firstLine="420"/>
        <w:jc w:val="left"/>
        <w:spacing w:line="360" w:lineRule="auto"/>
        <w:rPr>
          <w:rFonts w:hint="eastAsia" w:ascii="宋体" w:hAnsi="宋体"/>
          <w:bCs/>
          <w:color w:val="000000"/>
          <w:szCs w:val="21"/>
          <w:highlight w:val="none"/>
        </w:rPr>
      </w:pPr>
      <w:r/>
      <w:bookmarkEnd w:id="74"/>
      <w:r>
        <w:rPr>
          <w:bCs/>
          <w:color w:val="000000"/>
          <w:highlight w:val="none"/>
        </w:rPr>
        <w:br w:type="page" w:clear="all"/>
      </w:r>
      <w:r>
        <w:rPr>
          <w:rFonts w:hint="eastAsia" w:ascii="宋体" w:hAnsi="宋体"/>
          <w:bCs/>
          <w:color w:val="000000"/>
          <w:szCs w:val="21"/>
          <w:highlight w:val="none"/>
        </w:rPr>
        <w:t xml:space="preserve">附件（4）：</w:t>
      </w:r>
      <w:r>
        <w:rPr>
          <w:rFonts w:hint="eastAsia" w:ascii="宋体" w:hAnsi="宋体"/>
          <w:bCs/>
          <w:color w:val="000000"/>
          <w:szCs w:val="21"/>
          <w:highlight w:val="none"/>
        </w:rPr>
        <w:t xml:space="preserve">有依法缴纳税收和社会保障资金的良好记录；</w:t>
      </w:r>
      <w:r>
        <w:rPr>
          <w:rFonts w:hint="eastAsia" w:ascii="宋体" w:hAnsi="宋体"/>
          <w:bCs/>
          <w:color w:val="000000"/>
          <w:szCs w:val="21"/>
          <w:highlight w:val="none"/>
        </w:rPr>
      </w:r>
      <w:r/>
    </w:p>
    <w:p>
      <w:pPr>
        <w:pStyle w:val="1066"/>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1066"/>
        <w:rPr>
          <w:rStyle w:val="1168"/>
          <w:rFonts w:hint="eastAsia" w:ascii="宋体" w:hAnsi="宋体"/>
          <w:b/>
          <w:color w:val="000000"/>
          <w:sz w:val="21"/>
          <w:szCs w:val="21"/>
          <w:highlight w:val="none"/>
        </w:rPr>
      </w:pPr>
      <w:r>
        <w:rPr>
          <w:rFonts w:hint="eastAsia" w:ascii="宋体" w:hAnsi="宋体"/>
          <w:bCs/>
          <w:color w:val="000000"/>
          <w:sz w:val="21"/>
          <w:szCs w:val="21"/>
          <w:highlight w:val="none"/>
        </w:rPr>
        <w:br w:type="page" w:clear="all"/>
      </w:r>
      <w:r>
        <w:rPr>
          <w:rFonts w:hint="eastAsia" w:ascii="宋体" w:hAnsi="宋体"/>
          <w:bCs/>
          <w:color w:val="000000"/>
          <w:sz w:val="21"/>
          <w:szCs w:val="21"/>
          <w:highlight w:val="none"/>
        </w:rPr>
        <w:t xml:space="preserve">附件（5）：参加政府采购活动前三年内，在经营活动中没有重大违法记录（提供参加本次政府采购活动前3年内在经营活动中没有重大违法记录的书面声明）</w:t>
      </w:r>
      <w:r>
        <w:rPr>
          <w:rStyle w:val="1168"/>
          <w:rFonts w:hint="eastAsia" w:ascii="宋体" w:hAnsi="宋体"/>
          <w:b/>
          <w:color w:val="000000"/>
          <w:sz w:val="21"/>
          <w:szCs w:val="21"/>
          <w:highlight w:val="none"/>
        </w:rPr>
      </w:r>
      <w:r/>
    </w:p>
    <w:p>
      <w:pPr>
        <w:pStyle w:val="1066"/>
        <w:rPr>
          <w:rStyle w:val="1168"/>
          <w:rFonts w:ascii="宋体" w:hAnsi="宋体"/>
          <w:b/>
          <w:color w:val="000000"/>
          <w:sz w:val="21"/>
          <w:szCs w:val="21"/>
          <w:highlight w:val="none"/>
        </w:rPr>
      </w:pPr>
      <w:r>
        <w:rPr>
          <w:rStyle w:val="1168"/>
          <w:rFonts w:ascii="宋体" w:hAnsi="宋体"/>
          <w:b/>
          <w:color w:val="000000"/>
          <w:sz w:val="21"/>
          <w:szCs w:val="21"/>
          <w:highlight w:val="none"/>
        </w:rPr>
      </w:r>
      <w:r/>
    </w:p>
    <w:p>
      <w:pPr>
        <w:pStyle w:val="1043"/>
        <w:jc w:val="center"/>
        <w:spacing w:line="240" w:lineRule="atLeast"/>
        <w:rPr>
          <w:rStyle w:val="1168"/>
          <w:rFonts w:ascii="宋体"/>
          <w:color w:val="000000"/>
          <w:szCs w:val="21"/>
          <w:highlight w:val="none"/>
        </w:rPr>
      </w:pPr>
      <w:r>
        <w:rPr>
          <w:rStyle w:val="1168"/>
          <w:rFonts w:ascii="宋体"/>
          <w:color w:val="000000"/>
          <w:szCs w:val="21"/>
          <w:highlight w:val="none"/>
        </w:rPr>
      </w:r>
      <w:r/>
    </w:p>
    <w:p>
      <w:pPr>
        <w:pStyle w:val="1043"/>
        <w:jc w:val="center"/>
        <w:spacing w:line="240" w:lineRule="atLeast"/>
        <w:rPr>
          <w:rStyle w:val="1168"/>
          <w:rFonts w:ascii="宋体"/>
          <w:color w:val="000000"/>
          <w:szCs w:val="21"/>
          <w:highlight w:val="none"/>
        </w:rPr>
      </w:pPr>
      <w:r/>
      <w:bookmarkStart w:id="75" w:name="OLE_LINK6"/>
      <w:r>
        <w:rPr>
          <w:rStyle w:val="1168"/>
          <w:rFonts w:hint="eastAsia" w:ascii="宋体" w:hAnsi="宋体"/>
          <w:color w:val="000000"/>
          <w:szCs w:val="21"/>
          <w:highlight w:val="none"/>
        </w:rPr>
        <w:t xml:space="preserve">无重大违法记录声明</w:t>
      </w:r>
      <w:r>
        <w:rPr>
          <w:rStyle w:val="1168"/>
          <w:rFonts w:ascii="宋体"/>
          <w:color w:val="000000"/>
          <w:szCs w:val="21"/>
          <w:highlight w:val="none"/>
        </w:rPr>
      </w:r>
      <w:r/>
    </w:p>
    <w:p>
      <w:pPr>
        <w:pStyle w:val="1043"/>
        <w:spacing w:line="360" w:lineRule="auto"/>
        <w:rPr>
          <w:rStyle w:val="1168"/>
          <w:rFonts w:ascii="宋体"/>
          <w:color w:val="000000"/>
          <w:szCs w:val="21"/>
          <w:highlight w:val="none"/>
        </w:rPr>
      </w:pPr>
      <w:r>
        <w:rPr>
          <w:rStyle w:val="1168"/>
          <w:rFonts w:ascii="宋体"/>
          <w:color w:val="000000"/>
          <w:szCs w:val="21"/>
          <w:highlight w:val="none"/>
        </w:rPr>
      </w:r>
      <w:r/>
    </w:p>
    <w:p>
      <w:pPr>
        <w:pStyle w:val="1043"/>
        <w:spacing w:line="360" w:lineRule="auto"/>
        <w:rPr>
          <w:rStyle w:val="1168"/>
          <w:rFonts w:ascii="宋体"/>
          <w:color w:val="000000"/>
          <w:szCs w:val="21"/>
          <w:highlight w:val="none"/>
        </w:rPr>
      </w:pPr>
      <w:r>
        <w:rPr>
          <w:rStyle w:val="1168"/>
          <w:rFonts w:hint="eastAsia" w:ascii="宋体" w:hAnsi="宋体"/>
          <w:color w:val="000000"/>
          <w:szCs w:val="21"/>
          <w:highlight w:val="none"/>
          <w:lang w:eastAsia="zh-CN"/>
        </w:rPr>
        <w:t xml:space="preserve">南京市鼓楼区水务设施综合养护中心</w:t>
      </w:r>
      <w:r>
        <w:rPr>
          <w:rStyle w:val="1168"/>
          <w:rFonts w:hint="eastAsia" w:ascii="宋体" w:hAnsi="宋体"/>
          <w:color w:val="000000"/>
          <w:szCs w:val="21"/>
          <w:highlight w:val="none"/>
        </w:rPr>
        <w:t xml:space="preserve">：</w:t>
      </w:r>
      <w:r>
        <w:rPr>
          <w:rStyle w:val="1168"/>
          <w:rFonts w:ascii="宋体"/>
          <w:color w:val="000000"/>
          <w:szCs w:val="21"/>
          <w:highlight w:val="none"/>
        </w:rPr>
      </w:r>
      <w:r/>
    </w:p>
    <w:p>
      <w:pPr>
        <w:pStyle w:val="1043"/>
        <w:spacing w:line="360" w:lineRule="auto"/>
        <w:rPr>
          <w:rStyle w:val="1168"/>
          <w:rFonts w:ascii="宋体"/>
          <w:color w:val="000000"/>
          <w:szCs w:val="21"/>
          <w:highlight w:val="none"/>
        </w:rPr>
      </w:pPr>
      <w:r>
        <w:rPr>
          <w:rStyle w:val="1168"/>
          <w:rFonts w:ascii="宋体"/>
          <w:color w:val="000000"/>
          <w:szCs w:val="21"/>
          <w:highlight w:val="none"/>
        </w:rPr>
      </w:r>
      <w:r/>
    </w:p>
    <w:p>
      <w:pPr>
        <w:pStyle w:val="1043"/>
        <w:ind w:firstLine="420"/>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我单位（供应商名称）郑重声明：</w:t>
      </w:r>
      <w:r>
        <w:rPr>
          <w:rStyle w:val="1168"/>
          <w:rFonts w:ascii="宋体"/>
          <w:color w:val="000000"/>
          <w:szCs w:val="21"/>
          <w:highlight w:val="none"/>
        </w:rPr>
      </w:r>
      <w:r/>
    </w:p>
    <w:p>
      <w:pPr>
        <w:pStyle w:val="1043"/>
        <w:ind w:firstLine="420"/>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参加政府采购活动前</w:t>
      </w:r>
      <w:r>
        <w:rPr>
          <w:rStyle w:val="1168"/>
          <w:rFonts w:ascii="宋体" w:hAnsi="宋体"/>
          <w:color w:val="000000"/>
          <w:szCs w:val="21"/>
          <w:highlight w:val="none"/>
        </w:rPr>
        <w:t xml:space="preserve">3</w:t>
      </w:r>
      <w:r>
        <w:rPr>
          <w:rStyle w:val="1168"/>
          <w:rFonts w:hint="eastAsia" w:ascii="宋体" w:hAnsi="宋体"/>
          <w:color w:val="000000"/>
          <w:szCs w:val="21"/>
          <w:highlight w:val="none"/>
        </w:rPr>
        <w:t xml:space="preserve">年内在经营活动中（在下划线上如实填写：有或没有）重大违法记录。</w:t>
      </w:r>
      <w:r>
        <w:rPr>
          <w:rStyle w:val="1168"/>
          <w:rFonts w:ascii="宋体"/>
          <w:color w:val="000000"/>
          <w:szCs w:val="21"/>
          <w:highlight w:val="none"/>
        </w:rPr>
      </w:r>
      <w:r/>
    </w:p>
    <w:p>
      <w:pPr>
        <w:pStyle w:val="1043"/>
        <w:ind w:firstLine="315"/>
        <w:spacing w:line="360" w:lineRule="auto"/>
        <w:rPr>
          <w:rStyle w:val="1168"/>
          <w:rFonts w:ascii="宋体"/>
          <w:color w:val="000000"/>
          <w:szCs w:val="21"/>
          <w:highlight w:val="none"/>
        </w:rPr>
      </w:pPr>
      <w:r>
        <w:rPr>
          <w:rStyle w:val="1168"/>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168"/>
          <w:rFonts w:ascii="宋体"/>
          <w:color w:val="000000"/>
          <w:szCs w:val="21"/>
          <w:highlight w:val="none"/>
        </w:rPr>
      </w:r>
      <w:r/>
    </w:p>
    <w:p>
      <w:pPr>
        <w:pStyle w:val="1043"/>
        <w:spacing w:line="360" w:lineRule="auto"/>
        <w:rPr>
          <w:rStyle w:val="1168"/>
          <w:rFonts w:ascii="宋体"/>
          <w:color w:val="000000"/>
          <w:szCs w:val="21"/>
          <w:highlight w:val="none"/>
        </w:rPr>
      </w:pPr>
      <w:r>
        <w:rPr>
          <w:rStyle w:val="1168"/>
          <w:rFonts w:ascii="宋体"/>
          <w:color w:val="000000"/>
          <w:szCs w:val="21"/>
          <w:highlight w:val="none"/>
        </w:rPr>
      </w:r>
      <w:r/>
    </w:p>
    <w:p>
      <w:pPr>
        <w:pStyle w:val="1043"/>
        <w:spacing w:line="360" w:lineRule="auto"/>
        <w:rPr>
          <w:rStyle w:val="1168"/>
          <w:rFonts w:ascii="宋体"/>
          <w:color w:val="000000"/>
          <w:szCs w:val="21"/>
          <w:highlight w:val="none"/>
        </w:rPr>
      </w:pPr>
      <w:r>
        <w:rPr>
          <w:rStyle w:val="1168"/>
          <w:rFonts w:ascii="宋体"/>
          <w:color w:val="000000"/>
          <w:szCs w:val="21"/>
          <w:highlight w:val="none"/>
        </w:rPr>
      </w:r>
      <w:r/>
    </w:p>
    <w:p>
      <w:pPr>
        <w:pStyle w:val="1043"/>
        <w:ind w:right="1260"/>
        <w:jc w:val="center"/>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                                投标人名称：（电子公章）</w:t>
      </w:r>
      <w:r>
        <w:rPr>
          <w:rStyle w:val="1168"/>
          <w:rFonts w:ascii="宋体"/>
          <w:color w:val="000000"/>
          <w:szCs w:val="21"/>
          <w:highlight w:val="none"/>
        </w:rPr>
      </w:r>
      <w:r/>
    </w:p>
    <w:p>
      <w:pPr>
        <w:pStyle w:val="1043"/>
        <w:ind w:firstLine="5250"/>
        <w:spacing w:line="360" w:lineRule="auto"/>
        <w:shd w:val="clear" w:color="auto" w:fill="ffffff"/>
        <w:rPr>
          <w:rStyle w:val="1168"/>
          <w:rFonts w:ascii="宋体"/>
          <w:color w:val="000000"/>
          <w:szCs w:val="21"/>
          <w:highlight w:val="none"/>
        </w:rPr>
      </w:pPr>
      <w:r>
        <w:rPr>
          <w:rStyle w:val="1168"/>
          <w:rFonts w:hint="eastAsia" w:ascii="宋体" w:hAnsi="宋体"/>
          <w:color w:val="000000"/>
          <w:szCs w:val="21"/>
          <w:highlight w:val="none"/>
        </w:rPr>
        <w:t xml:space="preserve">日期：</w:t>
      </w:r>
      <w:r>
        <w:rPr>
          <w:rStyle w:val="1168"/>
          <w:rFonts w:ascii="宋体"/>
          <w:color w:val="000000"/>
          <w:szCs w:val="21"/>
          <w:highlight w:val="none"/>
        </w:rPr>
      </w:r>
      <w:r/>
    </w:p>
    <w:p>
      <w:pPr>
        <w:pStyle w:val="1043"/>
        <w:ind w:right="633"/>
        <w:spacing w:line="360" w:lineRule="auto"/>
        <w:shd w:val="clear" w:color="auto" w:fill="ffffff"/>
        <w:rPr>
          <w:rFonts w:hint="eastAsia" w:ascii="宋体" w:hAnsi="宋体"/>
          <w:bCs/>
          <w:color w:val="000000"/>
          <w:szCs w:val="21"/>
          <w:highlight w:val="none"/>
        </w:rPr>
      </w:pPr>
      <w:r/>
      <w:bookmarkEnd w:id="75"/>
      <w:r>
        <w:rPr>
          <w:rStyle w:val="1168"/>
          <w:rFonts w:ascii="宋体"/>
          <w:b/>
          <w:color w:val="000000"/>
          <w:szCs w:val="21"/>
          <w:highlight w:val="none"/>
        </w:rPr>
        <w:br w:type="page" w:clear="all"/>
      </w:r>
      <w:r>
        <w:rPr>
          <w:rFonts w:hint="eastAsia" w:ascii="宋体" w:hAnsi="宋体"/>
          <w:bCs/>
          <w:color w:val="000000"/>
          <w:szCs w:val="21"/>
          <w:highlight w:val="none"/>
        </w:rPr>
        <w:t xml:space="preserve">附件（6）：法律、行政法规规定的其他条件。</w:t>
      </w:r>
      <w:r>
        <w:rPr>
          <w:rFonts w:hint="eastAsia" w:ascii="宋体" w:hAnsi="宋体"/>
          <w:bCs/>
          <w:color w:val="000000"/>
          <w:szCs w:val="21"/>
          <w:highlight w:val="none"/>
        </w:rPr>
      </w:r>
      <w:r/>
    </w:p>
    <w:p>
      <w:pPr>
        <w:pStyle w:val="1043"/>
        <w:ind w:right="633"/>
        <w:spacing w:line="360" w:lineRule="auto"/>
        <w:shd w:val="clear" w:color="auto" w:fill="ffffff"/>
        <w:rPr>
          <w:rFonts w:hint="eastAsia" w:ascii="宋体" w:hAnsi="宋体"/>
          <w:color w:val="000000"/>
          <w:szCs w:val="21"/>
          <w:highlight w:val="none"/>
        </w:rPr>
      </w:pPr>
      <w:r>
        <w:rPr>
          <w:rFonts w:hint="eastAsia" w:ascii="宋体" w:hAnsi="宋体"/>
          <w:color w:val="000000"/>
          <w:sz w:val="28"/>
          <w:szCs w:val="28"/>
          <w:highlight w:val="none"/>
        </w:rPr>
        <w:br w:type="page" w:clear="all"/>
      </w:r>
      <w:r>
        <w:rPr>
          <w:rFonts w:hint="eastAsia" w:ascii="宋体" w:hAnsi="宋体"/>
          <w:color w:val="000000"/>
          <w:szCs w:val="21"/>
          <w:highlight w:val="none"/>
        </w:rPr>
        <w:t xml:space="preserve">附件（7）：《南京市政府采购供应商信用记录表暨信用承诺书》</w:t>
      </w:r>
      <w:r>
        <w:rPr>
          <w:rFonts w:hint="eastAsia" w:ascii="宋体" w:hAnsi="宋体"/>
          <w:color w:val="000000"/>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政府采购信用承诺：</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根据《关于在政府采购活动中推行信用承诺制的通知》宁财购通〔</w:t>
      </w:r>
      <w:r>
        <w:rPr>
          <w:rFonts w:hint="eastAsia" w:ascii="宋体" w:hAnsi="宋体" w:cs="Times New Roman"/>
          <w:color w:val="000000"/>
          <w:sz w:val="21"/>
          <w:szCs w:val="21"/>
          <w:highlight w:val="none"/>
          <w:lang w:bidi="ar"/>
        </w:rPr>
        <w:t xml:space="preserve">2021</w:t>
      </w: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5</w:t>
      </w:r>
      <w:r>
        <w:rPr>
          <w:rFonts w:hint="eastAsia" w:ascii="宋体" w:hAnsi="宋体" w:cs="宋体"/>
          <w:color w:val="000000"/>
          <w:sz w:val="21"/>
          <w:szCs w:val="21"/>
          <w:highlight w:val="none"/>
          <w:lang w:bidi="ar"/>
        </w:rPr>
        <w:t xml:space="preserve">号规定，</w:t>
      </w:r>
      <w:r>
        <w:rPr>
          <w:rFonts w:hint="eastAsia" w:ascii="宋体" w:hAnsi="宋体" w:cs="Times New Roman"/>
          <w:color w:val="000000"/>
          <w:sz w:val="21"/>
          <w:szCs w:val="21"/>
          <w:highlight w:val="none"/>
          <w:lang w:bidi="ar"/>
        </w:rPr>
        <w:t xml:space="preserve"> </w:t>
      </w:r>
      <w:r>
        <w:rPr>
          <w:rFonts w:hint="eastAsia" w:ascii="宋体" w:hAnsi="宋体" w:cs="宋体"/>
          <w:color w:val="000000"/>
          <w:sz w:val="21"/>
          <w:szCs w:val="21"/>
          <w:highlight w:val="none"/>
          <w:lang w:bidi="ar"/>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南京公共采购信息网</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首页（</w:t>
      </w:r>
      <w:r>
        <w:rPr>
          <w:rFonts w:hint="eastAsia" w:ascii="宋体" w:hAnsi="宋体" w:cs="Times New Roman"/>
          <w:color w:val="000000"/>
          <w:sz w:val="21"/>
          <w:szCs w:val="21"/>
          <w:highlight w:val="none"/>
          <w:lang w:bidi="ar"/>
        </w:rPr>
        <w:t xml:space="preserve">https://njgc.jfh.com/</w:t>
      </w:r>
      <w:r>
        <w:rPr>
          <w:rFonts w:hint="eastAsia" w:ascii="宋体" w:hAnsi="宋体" w:cs="宋体"/>
          <w:color w:val="000000"/>
          <w:sz w:val="21"/>
          <w:szCs w:val="21"/>
          <w:highlight w:val="none"/>
          <w:lang w:bidi="ar"/>
        </w:rPr>
        <w:t xml:space="preserve">）</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南京市政府采购供应商诚信档案</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系统链接打开系统页面（</w:t>
      </w:r>
      <w:r>
        <w:rPr>
          <w:rFonts w:hint="eastAsia" w:ascii="宋体" w:hAnsi="宋体" w:cs="Times New Roman"/>
          <w:color w:val="000000"/>
          <w:sz w:val="21"/>
          <w:szCs w:val="21"/>
          <w:highlight w:val="none"/>
          <w:lang w:bidi="ar"/>
        </w:rPr>
        <w:t xml:space="preserve">http://180.101.238.212:8280/hodeframe2018_cxda/index.action;jsessionid=769BA9C8E1729422E7173B991C8EC1E5</w:t>
      </w:r>
      <w:r>
        <w:rPr>
          <w:rFonts w:hint="eastAsia" w:ascii="宋体" w:hAnsi="宋体" w:cs="宋体"/>
          <w:color w:val="000000"/>
          <w:sz w:val="21"/>
          <w:szCs w:val="21"/>
          <w:highlight w:val="none"/>
          <w:lang w:bidi="ar"/>
        </w:rPr>
        <w:t xml:space="preserve">）登录（未注册的供应商应先点击</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供应商注册点这里</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并按要求完成注册），然后在</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信用记录</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模块页面点击</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信用记录打印</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下载本单位信用记录表，由法人签字并盖单位公章，上传至电子文件中</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未提供或者未按要求签字改造将作为无效投标</w:t>
      </w:r>
      <w:r>
        <w:rPr>
          <w:rFonts w:hint="eastAsia" w:ascii="宋体" w:hAnsi="宋体" w:cs="宋体"/>
          <w:color w:val="000000"/>
          <w:sz w:val="21"/>
          <w:szCs w:val="21"/>
          <w:highlight w:val="none"/>
          <w:lang w:bidi="ar"/>
        </w:rPr>
        <w:t xml:space="preserve">。</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在政府采购资格审查环节，供应商只需提供书面《南京市政府采购供应商信用记录表暨信用承诺书》，即可替代以下证明材料：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1</w:t>
      </w:r>
      <w:r>
        <w:rPr>
          <w:rFonts w:hint="eastAsia" w:ascii="宋体" w:hAnsi="宋体" w:cs="宋体"/>
          <w:color w:val="000000"/>
          <w:sz w:val="21"/>
          <w:szCs w:val="21"/>
          <w:highlight w:val="none"/>
          <w:lang w:bidi="ar"/>
        </w:rPr>
        <w:t xml:space="preserve">）符合国家相关规定的财务状况报告；</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2</w:t>
      </w:r>
      <w:r>
        <w:rPr>
          <w:rFonts w:hint="eastAsia" w:ascii="宋体" w:hAnsi="宋体" w:cs="宋体"/>
          <w:color w:val="000000"/>
          <w:sz w:val="21"/>
          <w:szCs w:val="21"/>
          <w:highlight w:val="none"/>
          <w:lang w:bidi="ar"/>
        </w:rPr>
        <w:t xml:space="preserve">）依法缴纳税收的证明材料；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3</w:t>
      </w:r>
      <w:r>
        <w:rPr>
          <w:rFonts w:hint="eastAsia" w:ascii="宋体" w:hAnsi="宋体" w:cs="宋体"/>
          <w:color w:val="000000"/>
          <w:sz w:val="21"/>
          <w:szCs w:val="21"/>
          <w:highlight w:val="none"/>
          <w:lang w:bidi="ar"/>
        </w:rPr>
        <w:t xml:space="preserve">）依法缴纳社会保障资金的证明材料；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4</w:t>
      </w:r>
      <w:r>
        <w:rPr>
          <w:rFonts w:hint="eastAsia" w:ascii="宋体" w:hAnsi="宋体" w:cs="宋体"/>
          <w:color w:val="000000"/>
          <w:sz w:val="21"/>
          <w:szCs w:val="21"/>
          <w:highlight w:val="none"/>
          <w:lang w:bidi="ar"/>
        </w:rPr>
        <w:t xml:space="preserve">）具备履行政府采购合同所必需的设备和专业技术能力的证明材料；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5</w:t>
      </w:r>
      <w:r>
        <w:rPr>
          <w:rFonts w:hint="eastAsia" w:ascii="宋体" w:hAnsi="宋体" w:cs="宋体"/>
          <w:color w:val="000000"/>
          <w:sz w:val="21"/>
          <w:szCs w:val="21"/>
          <w:highlight w:val="none"/>
          <w:lang w:bidi="ar"/>
        </w:rPr>
        <w:t xml:space="preserve">）参加政府采购活动前三年内在经营活动中没有重大违法记录的证明材料；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6</w:t>
      </w:r>
      <w:r>
        <w:rPr>
          <w:rFonts w:hint="eastAsia" w:ascii="宋体" w:hAnsi="宋体" w:cs="宋体"/>
          <w:color w:val="000000"/>
          <w:sz w:val="21"/>
          <w:szCs w:val="21"/>
          <w:highlight w:val="none"/>
          <w:lang w:bidi="ar"/>
        </w:rPr>
        <w:t xml:space="preserve">）未被列入失信被执行人、重大税收违法失信主体、政府采购严重违法失信行为记录名单的证明材料。</w:t>
      </w:r>
      <w:r>
        <w:rPr>
          <w:color w:val="000000"/>
          <w:sz w:val="21"/>
          <w:szCs w:val="21"/>
          <w:highlight w:val="none"/>
        </w:rPr>
      </w:r>
      <w:r/>
    </w:p>
    <w:p>
      <w:pPr>
        <w:pStyle w:val="1043"/>
        <w:ind w:firstLine="210"/>
        <w:spacing w:line="360" w:lineRule="auto"/>
        <w:widowControl w:val="off"/>
        <w:rPr>
          <w:color w:val="000000"/>
          <w:szCs w:val="21"/>
          <w:highlight w:val="none"/>
        </w:rPr>
      </w:pPr>
      <w:r>
        <w:rPr>
          <w:rFonts w:hint="eastAsia" w:ascii="宋体" w:hAnsi="宋体" w:cs="宋体"/>
          <w:color w:val="000000"/>
          <w:szCs w:val="21"/>
          <w:highlight w:val="none"/>
          <w:lang w:bidi="ar"/>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lang w:bidi="ar"/>
        </w:rPr>
        <w:t xml:space="preserve">按采购文件要求胶装提交采购人或采购代理机构核验。经核验无误后，由采购人或采购代理机构发出中标（成交）通知书。</w:t>
      </w:r>
      <w:r>
        <w:rPr>
          <w:color w:val="000000"/>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供应商涉及以下情形的，不适用信用承诺，仍须提供上述证明材料：</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1</w:t>
      </w:r>
      <w:r>
        <w:rPr>
          <w:rFonts w:hint="eastAsia" w:ascii="宋体" w:hAnsi="宋体" w:cs="宋体"/>
          <w:color w:val="000000"/>
          <w:sz w:val="21"/>
          <w:szCs w:val="21"/>
          <w:highlight w:val="none"/>
          <w:lang w:bidi="ar"/>
        </w:rPr>
        <w:t xml:space="preserve">）供应商被列入严重失信主体名单；</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2</w:t>
      </w:r>
      <w:r>
        <w:rPr>
          <w:rFonts w:hint="eastAsia" w:ascii="宋体" w:hAnsi="宋体" w:cs="宋体"/>
          <w:color w:val="000000"/>
          <w:sz w:val="21"/>
          <w:szCs w:val="21"/>
          <w:highlight w:val="none"/>
          <w:lang w:bidi="ar"/>
        </w:rPr>
        <w:t xml:space="preserve">）被相关监管部门作出行政处罚且尚在处罚有效期内；</w:t>
      </w:r>
      <w:r>
        <w:rPr>
          <w:color w:val="000000"/>
          <w:sz w:val="21"/>
          <w:szCs w:val="21"/>
          <w:highlight w:val="none"/>
        </w:rPr>
      </w:r>
      <w:r/>
    </w:p>
    <w:p>
      <w:pPr>
        <w:pStyle w:val="1088"/>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3</w:t>
      </w:r>
      <w:r>
        <w:rPr>
          <w:rFonts w:hint="eastAsia" w:ascii="宋体" w:hAnsi="宋体" w:cs="宋体"/>
          <w:color w:val="000000"/>
          <w:sz w:val="21"/>
          <w:szCs w:val="21"/>
          <w:highlight w:val="none"/>
          <w:lang w:bidi="ar"/>
        </w:rPr>
        <w:t xml:space="preserve">）其他法律、行政法规规定的不适用信用承诺的情形。</w:t>
      </w:r>
      <w:r>
        <w:rPr>
          <w:color w:val="000000"/>
          <w:sz w:val="21"/>
          <w:szCs w:val="21"/>
          <w:highlight w:val="none"/>
        </w:rPr>
      </w:r>
      <w:r/>
    </w:p>
    <w:p>
      <w:pPr>
        <w:pStyle w:val="1088"/>
        <w:spacing w:before="0" w:beforeAutospacing="0" w:after="0" w:afterAutospacing="0" w:line="360" w:lineRule="auto"/>
        <w:widowControl w:val="off"/>
        <w:rPr>
          <w:rFonts w:cs="宋体"/>
          <w:color w:val="000000"/>
          <w:sz w:val="21"/>
          <w:szCs w:val="21"/>
          <w:highlight w:val="none"/>
        </w:rPr>
      </w:pPr>
      <w:r>
        <w:rPr>
          <w:rFonts w:hint="eastAsia" w:ascii="宋体" w:hAnsi="宋体" w:cs="宋体"/>
          <w:color w:val="000000"/>
          <w:sz w:val="21"/>
          <w:szCs w:val="21"/>
          <w:highlight w:val="none"/>
          <w:lang w:bidi="ar"/>
        </w:rPr>
        <w:t xml:space="preserve">供应商对信用承诺内容的真实性、合法性、有效性负责。如作出虚假信用承诺，视同为</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提供虚假材料谋取中标、成交</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的违法行为。</w:t>
      </w:r>
      <w:r>
        <w:rPr>
          <w:rFonts w:cs="宋体"/>
          <w:color w:val="000000"/>
          <w:sz w:val="21"/>
          <w:szCs w:val="21"/>
          <w:highlight w:val="none"/>
        </w:rPr>
      </w:r>
      <w:r/>
    </w:p>
    <w:p>
      <w:pPr>
        <w:pStyle w:val="1043"/>
        <w:ind w:right="633"/>
        <w:spacing w:line="360" w:lineRule="auto"/>
        <w:shd w:val="clear" w:color="auto" w:fill="ffffff"/>
        <w:rPr>
          <w:rFonts w:ascii="宋体" w:hAnsi="宋体"/>
          <w:color w:val="000000"/>
          <w:highlight w:val="none"/>
        </w:rPr>
      </w:pPr>
      <w:r>
        <w:rPr>
          <w:rFonts w:ascii="宋体" w:hAnsi="宋体"/>
          <w:b/>
          <w:bCs/>
          <w:color w:val="000000"/>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104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1043"/>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1043"/>
        <w:ind w:firstLine="420"/>
        <w:rPr>
          <w:color w:val="000000"/>
          <w:highlight w:val="none"/>
        </w:rPr>
      </w:pPr>
      <w:r>
        <w:rPr>
          <w:color w:val="000000"/>
          <w:highlight w:val="none"/>
        </w:rPr>
      </w:r>
      <w:r/>
    </w:p>
    <w:p>
      <w:pPr>
        <w:pStyle w:val="1043"/>
        <w:ind w:firstLine="420"/>
        <w:rPr>
          <w:color w:val="000000"/>
          <w:highlight w:val="none"/>
        </w:rPr>
      </w:pPr>
      <w:r>
        <w:rPr>
          <w:color w:val="000000"/>
          <w:highlight w:val="none"/>
        </w:rPr>
      </w:r>
      <w:r/>
    </w:p>
    <w:p>
      <w:pPr>
        <w:pStyle w:val="1043"/>
        <w:ind w:firstLine="420"/>
        <w:rPr>
          <w:color w:val="000000"/>
          <w:highlight w:val="none"/>
        </w:rPr>
      </w:pPr>
      <w:r>
        <w:rPr>
          <w:color w:val="000000"/>
          <w:highlight w:val="none"/>
        </w:rPr>
      </w:r>
      <w:r/>
    </w:p>
    <w:p>
      <w:pPr>
        <w:pStyle w:val="1043"/>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1043"/>
        <w:jc w:val="center"/>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附件十一、</w:t>
      </w:r>
      <w:r>
        <w:rPr>
          <w:rFonts w:hint="eastAsia" w:ascii="宋体" w:hAnsi="宋体" w:cs="宋体"/>
          <w:b/>
          <w:color w:val="000000"/>
          <w:szCs w:val="21"/>
          <w:highlight w:val="none"/>
        </w:rPr>
        <w:t xml:space="preserve">中小企业声明函（服务）</w:t>
      </w:r>
      <w:r>
        <w:rPr>
          <w:rFonts w:ascii="宋体" w:hAnsi="宋体" w:cs="宋体"/>
          <w:b/>
          <w:color w:val="000000"/>
          <w:szCs w:val="21"/>
          <w:highlight w:val="none"/>
        </w:rPr>
      </w:r>
      <w:r/>
    </w:p>
    <w:p>
      <w:pPr>
        <w:pStyle w:val="1043"/>
        <w:widowControl w:val="off"/>
        <w:rPr>
          <w:rFonts w:ascii="宋体" w:hAnsi="宋体" w:cs="宋体"/>
          <w:color w:val="000000"/>
          <w:highlight w:val="none"/>
        </w:rPr>
      </w:pPr>
      <w:r>
        <w:rPr>
          <w:rFonts w:ascii="宋体" w:hAnsi="宋体" w:cs="宋体"/>
          <w:color w:val="000000"/>
          <w:highlight w:val="none"/>
        </w:rPr>
      </w:r>
      <w:r/>
    </w:p>
    <w:p>
      <w:pPr>
        <w:pStyle w:val="1043"/>
        <w:ind w:firstLine="63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采购活动，项目的服务单位全部为符合政策要求的中小企业。相关企业（含联合体中的中小企业、签订分包意向协议的中小企业）的具体情况如下：</w:t>
      </w:r>
      <w:r>
        <w:rPr>
          <w:rFonts w:ascii="宋体" w:hAnsi="宋体" w:cs="宋体"/>
          <w:color w:val="000000"/>
          <w:highlight w:val="none"/>
        </w:rPr>
      </w:r>
      <w:r/>
    </w:p>
    <w:p>
      <w:pPr>
        <w:pStyle w:val="1043"/>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w:t>
      </w:r>
      <w:r>
        <w:rPr>
          <w:rFonts w:ascii="宋体" w:hAnsi="宋体" w:cs="宋体"/>
          <w:color w:val="000000"/>
          <w:highlight w:val="none"/>
        </w:rPr>
        <w:t xml:space="preserve"> </w:t>
      </w:r>
      <w:r>
        <w:rPr>
          <w:rFonts w:hint="eastAsia" w:ascii="宋体" w:hAnsi="宋体" w:cs="宋体"/>
          <w:color w:val="000000"/>
          <w:highlight w:val="none"/>
        </w:rPr>
        <w:t xml:space="preserve">承建</w:t>
      </w:r>
      <w:r>
        <w:rPr>
          <w:rFonts w:hint="eastAsia" w:ascii="宋体" w:hAnsi="宋体" w:cs="宋体"/>
          <w:color w:val="000000"/>
          <w:highlight w:val="none"/>
          <w:u w:val="single"/>
        </w:rPr>
        <w:t xml:space="preserve">（承接）</w:t>
      </w:r>
      <w:r>
        <w:rPr>
          <w:rFonts w:hint="eastAsia" w:ascii="宋体" w:hAnsi="宋体" w:cs="宋体"/>
          <w:color w:val="000000"/>
          <w:highlight w:val="none"/>
        </w:rPr>
        <w:t xml:space="preserve">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w:t>
      </w:r>
      <w:r>
        <w:rPr>
          <w:rFonts w:ascii="宋体" w:hAnsi="宋体" w:cs="宋体"/>
          <w:color w:val="000000"/>
          <w:highlight w:val="none"/>
        </w:rPr>
      </w:r>
      <w:r/>
    </w:p>
    <w:p>
      <w:pPr>
        <w:pStyle w:val="1043"/>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业人员</w:t>
      </w:r>
      <w:r>
        <w:rPr>
          <w:rFonts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万元</w:t>
      </w:r>
      <w:r>
        <w:rPr>
          <w:rFonts w:hint="eastAsia" w:ascii="宋体" w:hAnsi="宋体" w:cs="宋体"/>
          <w:color w:val="000000"/>
          <w:highlight w:val="none"/>
          <w:vertAlign w:val="superscript"/>
        </w:rPr>
        <w:t xml:space="preserve">【1】</w:t>
      </w:r>
      <w:r>
        <w:rPr>
          <w:rFonts w:hint="eastAsia" w:ascii="宋体" w:hAnsi="宋体" w:cs="宋体"/>
          <w:color w:val="000000"/>
          <w:highlight w:val="none"/>
        </w:rPr>
        <w:t xml:space="preserve">，属于（中型企业、</w:t>
      </w:r>
      <w:r>
        <w:rPr>
          <w:rFonts w:ascii="宋体" w:hAnsi="宋体" w:cs="宋体"/>
          <w:color w:val="000000"/>
          <w:highlight w:val="none"/>
        </w:rPr>
        <w:t xml:space="preserve"> </w:t>
      </w:r>
      <w:r>
        <w:rPr>
          <w:rFonts w:hint="eastAsia" w:ascii="宋体" w:hAnsi="宋体" w:cs="宋体"/>
          <w:color w:val="000000"/>
          <w:highlight w:val="none"/>
        </w:rPr>
        <w:t xml:space="preserve">小型企业、微型企业）；</w:t>
      </w:r>
      <w:r>
        <w:rPr>
          <w:rFonts w:ascii="宋体" w:hAnsi="宋体" w:cs="宋体"/>
          <w:color w:val="000000"/>
          <w:highlight w:val="none"/>
        </w:rPr>
      </w:r>
      <w:r/>
    </w:p>
    <w:p>
      <w:pPr>
        <w:pStyle w:val="1043"/>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1043"/>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1043"/>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1043"/>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1043"/>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43"/>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104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1066"/>
        <w:jc w:val="center"/>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1066"/>
        <w:jc w:val="center"/>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1066"/>
        <w:rPr>
          <w:color w:val="000000"/>
          <w:sz w:val="21"/>
          <w:szCs w:val="21"/>
          <w:highlight w:val="none"/>
        </w:rPr>
      </w:pPr>
      <w:r>
        <w:rPr>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1066"/>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066"/>
        <w:rPr>
          <w:color w:val="000000"/>
          <w:highlight w:val="none"/>
        </w:rPr>
      </w:pPr>
      <w:r>
        <w:rPr>
          <w:color w:val="000000"/>
          <w:highlight w:val="none"/>
        </w:rPr>
      </w:r>
      <w:r/>
    </w:p>
    <w:p>
      <w:pPr>
        <w:pStyle w:val="1043"/>
        <w:widowControl w:val="off"/>
        <w:rPr>
          <w:rFonts w:ascii="Calibri" w:hAnsi="Calibri"/>
          <w:color w:val="000000"/>
          <w:highlight w:val="none"/>
        </w:rPr>
      </w:pPr>
      <w:r>
        <w:rPr>
          <w:rFonts w:ascii="Calibri" w:hAnsi="Calibri"/>
          <w:color w:val="000000"/>
          <w:highlight w:val="none"/>
        </w:rPr>
      </w:r>
      <w:r/>
    </w:p>
    <w:p>
      <w:pPr>
        <w:pStyle w:val="1043"/>
        <w:ind w:right="633"/>
        <w:jc w:val="center"/>
        <w:spacing w:line="360" w:lineRule="auto"/>
        <w:shd w:val="clear" w:color="auto" w:fill="ffffff"/>
        <w:rPr>
          <w:rFonts w:ascii="宋体" w:hAnsi="宋体"/>
          <w:b/>
          <w:color w:val="000000"/>
          <w:sz w:val="28"/>
          <w:szCs w:val="28"/>
          <w:highlight w:val="none"/>
        </w:rPr>
      </w:pPr>
      <w:r>
        <w:rPr>
          <w:rFonts w:ascii="宋体" w:hAnsi="宋体"/>
          <w:color w:val="000000"/>
          <w:highlight w:val="none"/>
          <w:lang w:val="zh-CN"/>
        </w:rPr>
        <w:br w:type="page" w:clear="all"/>
      </w:r>
      <w:bookmarkStart w:id="76" w:name="_Toc540"/>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76"/>
      <w:r>
        <w:rPr>
          <w:rFonts w:ascii="宋体" w:hAnsi="宋体"/>
          <w:b/>
          <w:color w:val="000000"/>
          <w:sz w:val="28"/>
          <w:szCs w:val="28"/>
          <w:highlight w:val="none"/>
        </w:rPr>
      </w:r>
      <w:r/>
    </w:p>
    <w:p>
      <w:pPr>
        <w:pStyle w:val="1043"/>
        <w:jc w:val="center"/>
        <w:spacing w:line="588" w:lineRule="exact"/>
        <w:rPr>
          <w:rFonts w:ascii="宋体" w:hAnsi="宋体"/>
          <w:color w:val="000000"/>
          <w:sz w:val="24"/>
          <w:highlight w:val="none"/>
        </w:rPr>
      </w:pPr>
      <w:r/>
      <w:bookmarkStart w:id="77" w:name="_Toc8827"/>
      <w:r>
        <w:rPr>
          <w:rFonts w:hint="eastAsia" w:ascii="宋体" w:hAnsi="宋体"/>
          <w:color w:val="000000"/>
          <w:sz w:val="24"/>
          <w:highlight w:val="none"/>
        </w:rPr>
        <w:t xml:space="preserve">12-1残疾人福利性单位声明函</w:t>
      </w:r>
      <w:bookmarkEnd w:id="77"/>
      <w:r>
        <w:rPr>
          <w:rFonts w:ascii="宋体" w:hAnsi="宋体"/>
          <w:color w:val="000000"/>
          <w:sz w:val="24"/>
          <w:highlight w:val="none"/>
        </w:rPr>
      </w:r>
      <w:r/>
    </w:p>
    <w:p>
      <w:pPr>
        <w:pStyle w:val="1043"/>
        <w:ind w:firstLine="420"/>
        <w:rPr>
          <w:rFonts w:ascii="Calibri" w:hAnsi="Calibri"/>
          <w:color w:val="000000"/>
          <w:highlight w:val="none"/>
        </w:rPr>
      </w:pPr>
      <w:r>
        <w:rPr>
          <w:rFonts w:ascii="Calibri" w:hAnsi="Calibri"/>
          <w:color w:val="000000"/>
          <w:highlight w:val="none"/>
        </w:rPr>
      </w:r>
      <w:r/>
    </w:p>
    <w:p>
      <w:pPr>
        <w:pStyle w:val="1043"/>
        <w:ind w:firstLine="444"/>
        <w:spacing w:line="588" w:lineRule="exact"/>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1043"/>
        <w:ind w:firstLine="444"/>
        <w:spacing w:line="588" w:lineRule="exact"/>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1043"/>
        <w:ind w:firstLine="444"/>
        <w:spacing w:line="588" w:lineRule="exact"/>
        <w:rPr>
          <w:rFonts w:ascii="宋体" w:hAnsi="宋体" w:cs="仿宋"/>
          <w:color w:val="000000"/>
          <w:spacing w:val="6"/>
          <w:szCs w:val="21"/>
          <w:highlight w:val="none"/>
        </w:rPr>
      </w:pPr>
      <w:r>
        <w:rPr>
          <w:rFonts w:ascii="宋体" w:hAnsi="宋体" w:cs="仿宋"/>
          <w:color w:val="000000"/>
          <w:spacing w:val="6"/>
          <w:szCs w:val="21"/>
          <w:highlight w:val="none"/>
        </w:rPr>
      </w:r>
      <w:r/>
    </w:p>
    <w:p>
      <w:pPr>
        <w:pStyle w:val="1043"/>
        <w:ind w:firstLine="444"/>
        <w:spacing w:line="588" w:lineRule="exact"/>
        <w:rPr>
          <w:rFonts w:ascii="宋体" w:hAnsi="宋体" w:cs="仿宋"/>
          <w:color w:val="000000"/>
          <w:spacing w:val="6"/>
          <w:szCs w:val="21"/>
          <w:highlight w:val="none"/>
        </w:rPr>
      </w:pPr>
      <w:r>
        <w:rPr>
          <w:rFonts w:ascii="宋体" w:hAnsi="宋体" w:cs="仿宋"/>
          <w:color w:val="000000"/>
          <w:spacing w:val="6"/>
          <w:szCs w:val="21"/>
          <w:highlight w:val="none"/>
        </w:rPr>
      </w:r>
      <w:r/>
    </w:p>
    <w:p>
      <w:pPr>
        <w:pStyle w:val="1043"/>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1043"/>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1043"/>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1043"/>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104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1043"/>
        <w:rPr>
          <w:rFonts w:ascii="宋体" w:hAnsi="宋体"/>
          <w:color w:val="000000"/>
          <w:szCs w:val="21"/>
          <w:highlight w:val="none"/>
        </w:rPr>
      </w:pPr>
      <w:r>
        <w:rPr>
          <w:rFonts w:ascii="宋体" w:hAnsi="宋体"/>
          <w:color w:val="000000"/>
          <w:szCs w:val="21"/>
          <w:highlight w:val="none"/>
        </w:rPr>
      </w:r>
      <w:r/>
    </w:p>
    <w:p>
      <w:pPr>
        <w:pStyle w:val="1043"/>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1043"/>
        <w:jc w:val="center"/>
        <w:spacing w:line="588" w:lineRule="exact"/>
        <w:rPr>
          <w:rFonts w:ascii="宋体" w:hAnsi="宋体"/>
          <w:color w:val="000000"/>
          <w:sz w:val="24"/>
          <w:highlight w:val="none"/>
        </w:rPr>
      </w:pPr>
      <w:r/>
      <w:bookmarkStart w:id="78" w:name="_Toc15854"/>
      <w:r>
        <w:rPr>
          <w:rFonts w:hint="eastAsia" w:ascii="宋体" w:hAnsi="宋体"/>
          <w:color w:val="000000"/>
          <w:sz w:val="24"/>
          <w:highlight w:val="none"/>
        </w:rPr>
        <w:t xml:space="preserve">12-2属于监狱企业的证明文件</w:t>
      </w:r>
      <w:bookmarkEnd w:id="78"/>
      <w:r>
        <w:rPr>
          <w:rFonts w:ascii="宋体" w:hAnsi="宋体"/>
          <w:color w:val="000000"/>
          <w:sz w:val="24"/>
          <w:highlight w:val="none"/>
        </w:rPr>
      </w:r>
      <w:r/>
    </w:p>
    <w:p>
      <w:pPr>
        <w:pStyle w:val="1043"/>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4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1066"/>
        <w:rPr>
          <w:color w:val="000000"/>
          <w:highlight w:val="none"/>
        </w:rPr>
      </w:pPr>
      <w:r>
        <w:rPr>
          <w:color w:val="000000"/>
          <w:highlight w:val="none"/>
        </w:rPr>
      </w:r>
      <w:r/>
    </w:p>
    <w:p>
      <w:pPr>
        <w:pStyle w:val="1043"/>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1043"/>
        <w:jc w:val="left"/>
        <w:rPr>
          <w:rFonts w:ascii="宋体" w:hAnsi="宋体"/>
          <w:b/>
          <w:color w:val="000000"/>
          <w:highlight w:val="none"/>
          <w:lang w:val="zh-CN"/>
        </w:rPr>
      </w:pPr>
      <w:r>
        <w:rPr>
          <w:rFonts w:ascii="宋体" w:hAnsi="宋体"/>
          <w:b/>
          <w:color w:val="000000"/>
          <w:highlight w:val="none"/>
          <w:lang w:val="zh-CN"/>
        </w:rPr>
      </w:r>
      <w:r/>
    </w:p>
    <w:p>
      <w:pPr>
        <w:pStyle w:val="1209"/>
        <w:ind w:firstLine="422"/>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实施方案</w:t>
      </w:r>
      <w:r>
        <w:rPr>
          <w:rFonts w:ascii="宋体" w:hAnsi="宋体"/>
          <w:b/>
          <w:color w:val="000000"/>
          <w:szCs w:val="24"/>
          <w:highlight w:val="none"/>
        </w:rPr>
      </w:r>
      <w:r/>
    </w:p>
    <w:p>
      <w:pPr>
        <w:pStyle w:val="1209"/>
        <w:ind w:firstLine="422"/>
        <w:rPr>
          <w:rFonts w:ascii="宋体" w:hAnsi="宋体"/>
          <w:b/>
          <w:color w:val="000000"/>
          <w:szCs w:val="24"/>
          <w:highlight w:val="none"/>
        </w:rPr>
      </w:pPr>
      <w:r>
        <w:rPr>
          <w:rFonts w:ascii="宋体" w:hAnsi="宋体"/>
          <w:b/>
          <w:color w:val="000000"/>
          <w:szCs w:val="24"/>
          <w:highlight w:val="none"/>
        </w:rPr>
      </w:r>
      <w:r/>
    </w:p>
    <w:p>
      <w:pPr>
        <w:pStyle w:val="1209"/>
        <w:ind w:firstLine="422"/>
        <w:rPr>
          <w:rFonts w:ascii="宋体" w:hAnsi="宋体"/>
          <w:b/>
          <w:color w:val="000000"/>
          <w:szCs w:val="24"/>
          <w:highlight w:val="none"/>
        </w:rPr>
      </w:pPr>
      <w:r/>
      <w:bookmarkStart w:id="79" w:name="_Toc23828"/>
      <w:r>
        <w:rPr>
          <w:rFonts w:hint="eastAsia" w:ascii="宋体" w:hAnsi="宋体"/>
          <w:b/>
          <w:color w:val="000000"/>
          <w:szCs w:val="24"/>
          <w:highlight w:val="none"/>
        </w:rPr>
        <w:t xml:space="preserve">（各投标人根据招标文件规定的实施方案打分细则内容，格式自拟）</w:t>
      </w:r>
      <w:bookmarkEnd w:id="79"/>
      <w:r>
        <w:rPr>
          <w:rFonts w:ascii="宋体" w:hAnsi="宋体"/>
          <w:b/>
          <w:color w:val="000000"/>
          <w:szCs w:val="24"/>
          <w:highlight w:val="none"/>
        </w:rPr>
      </w:r>
      <w:r/>
    </w:p>
    <w:p>
      <w:pPr>
        <w:pStyle w:val="1043"/>
        <w:ind w:firstLine="420"/>
        <w:rPr>
          <w:rFonts w:ascii="宋体" w:hAnsi="宋体"/>
          <w:b/>
          <w:color w:val="000000"/>
          <w:highlight w:val="none"/>
          <w:lang w:val="zh-CN"/>
        </w:rPr>
      </w:pPr>
      <w:r>
        <w:rPr>
          <w:rFonts w:ascii="宋体" w:hAnsi="宋体"/>
          <w:b/>
          <w:color w:val="000000"/>
          <w:highlight w:val="none"/>
          <w:lang w:val="zh-CN"/>
        </w:rPr>
      </w:r>
      <w:r/>
    </w:p>
    <w:p>
      <w:pPr>
        <w:pStyle w:val="1209"/>
        <w:ind w:firstLine="420"/>
        <w:rPr>
          <w:color w:val="000000"/>
          <w:highlight w:val="none"/>
        </w:rPr>
      </w:pPr>
      <w:r>
        <w:rPr>
          <w:color w:val="000000"/>
          <w:highlight w:val="none"/>
        </w:rPr>
      </w:r>
      <w:r/>
    </w:p>
    <w:p>
      <w:pPr>
        <w:pStyle w:val="1209"/>
        <w:ind w:firstLine="420"/>
        <w:rPr>
          <w:color w:val="000000"/>
          <w:highlight w:val="none"/>
        </w:rPr>
      </w:pPr>
      <w:r>
        <w:rPr>
          <w:color w:val="000000"/>
          <w:highlight w:val="none"/>
        </w:rPr>
      </w:r>
      <w:r/>
    </w:p>
    <w:p>
      <w:pPr>
        <w:pStyle w:val="1209"/>
        <w:ind w:firstLine="420"/>
        <w:rPr>
          <w:color w:val="000000"/>
          <w:highlight w:val="none"/>
        </w:rPr>
      </w:pPr>
      <w:r>
        <w:rPr>
          <w:color w:val="000000"/>
          <w:highlight w:val="none"/>
        </w:rPr>
      </w:r>
      <w:r/>
    </w:p>
    <w:p>
      <w:pPr>
        <w:pStyle w:val="1209"/>
        <w:ind w:firstLine="422"/>
        <w:rPr>
          <w:rFonts w:ascii="宋体" w:hAnsi="宋体"/>
          <w:b/>
          <w:color w:val="000000"/>
          <w:szCs w:val="24"/>
          <w:highlight w:val="none"/>
        </w:rPr>
      </w:pPr>
      <w:r>
        <w:rPr>
          <w:rFonts w:ascii="宋体" w:hAnsi="宋体"/>
          <w:b/>
          <w:color w:val="000000"/>
          <w:szCs w:val="24"/>
          <w:highlight w:val="none"/>
        </w:rPr>
      </w:r>
      <w:r/>
    </w:p>
    <w:p>
      <w:pPr>
        <w:pStyle w:val="1043"/>
        <w:ind w:firstLine="420"/>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1043"/>
        <w:ind w:right="633"/>
        <w:jc w:val="left"/>
        <w:spacing w:line="360" w:lineRule="auto"/>
        <w:shd w:val="clear" w:color="auto" w:fill="ffffff"/>
        <w:rPr>
          <w:rFonts w:ascii="宋体" w:hAnsi="宋体"/>
          <w:b/>
          <w:color w:val="000000"/>
          <w:highlight w:val="none"/>
          <w:lang w:val="zh-CN"/>
        </w:rPr>
      </w:pPr>
      <w:r/>
      <w:bookmarkStart w:id="80" w:name="_Toc13714"/>
      <w:r>
        <w:rPr>
          <w:rFonts w:ascii="宋体" w:hAnsi="宋体"/>
          <w:b/>
          <w:color w:val="000000"/>
          <w:highlight w:val="none"/>
          <w:lang w:val="zh-CN"/>
        </w:rPr>
        <w:t xml:space="preserve">（各投标人根据招标文件规定的打分细则对应提供相关证明材料等，格式自拟）</w:t>
      </w:r>
      <w:bookmarkEnd w:id="80"/>
      <w:r>
        <w:rPr>
          <w:rFonts w:ascii="宋体" w:hAnsi="宋体"/>
          <w:b/>
          <w:color w:val="000000"/>
          <w:highlight w:val="none"/>
          <w:lang w:val="zh-CN"/>
        </w:rPr>
      </w:r>
      <w:r/>
    </w:p>
    <w:p>
      <w:pPr>
        <w:pStyle w:val="1209"/>
        <w:ind w:firstLine="420"/>
        <w:rPr>
          <w:color w:val="000000"/>
          <w:highlight w:val="none"/>
        </w:rPr>
      </w:pPr>
      <w:r>
        <w:rPr>
          <w:color w:val="000000"/>
          <w:highlight w:val="none"/>
        </w:rPr>
      </w:r>
      <w:r/>
    </w:p>
    <w:p>
      <w:pPr>
        <w:pStyle w:val="1043"/>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43"/>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rPr>
        <w:rStyle w:val="116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04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043"/>
                    </w:pPr>
                    <w:r/>
                    <w:r/>
                  </w:p>
                </w:txbxContent>
              </v:textbox>
            </v:shape>
          </w:pict>
        </mc:Fallback>
      </mc:AlternateContent>
    </w:r>
    <w:r>
      <w:rPr>
        <w:rStyle w:val="116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43"/>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729615</wp:posOffset>
              </wp:positionH>
              <wp:positionV relativeFrom="page">
                <wp:posOffset>586740</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57.4pt;mso-position-horizontal:absolute;mso-position-vertical-relative:page;margin-top:46.2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78"/>
      <w:jc w:val="right"/>
      <w:tabs>
        <w:tab w:val="center" w:pos="4153" w:leader="none"/>
        <w:tab w:val="right" w:pos="8306" w:leader="none"/>
      </w:tabs>
      <w:rPr>
        <w:rFonts w:hint="eastAsia" w:ascii="宋体" w:hAnsi="宋体" w:eastAsia="宋体" w:cs="宋体"/>
        <w:b/>
        <w:bCs/>
        <w:color w:val="000000"/>
        <w:lang w:val="zh-TW" w:eastAsia="zh-CN"/>
      </w:rPr>
      <w:pBdr>
        <w:bottom w:val="none" w:color="000000" w:sz="0" w:space="1"/>
      </w:pBdr>
    </w:pPr>
    <w:r>
      <w:rPr>
        <w:rFonts w:hint="eastAsia" w:ascii="宋体" w:hAnsi="宋体" w:cs="宋体"/>
        <w:b/>
        <w:bCs/>
        <w:color w:val="000000"/>
        <w:lang w:val="zh-TW" w:eastAsia="zh-CN"/>
      </w:rPr>
      <w:t xml:space="preserve">2026年鼓楼区智慧水务大数据管控平台运维服务项目</w:t>
    </w:r>
    <w:r>
      <w:rPr>
        <w:rFonts w:hint="eastAsia" w:ascii="宋体" w:hAnsi="宋体" w:eastAsia="宋体" w:cs="宋体"/>
        <w:b/>
        <w:bCs/>
        <w:color w:val="000000"/>
        <w:lang w:val="zh-TW" w:eastAsia="zh-CN"/>
      </w:rPr>
    </w:r>
    <w:r/>
  </w:p>
  <w:p>
    <w:pPr>
      <w:pStyle w:val="1078"/>
      <w:jc w:val="right"/>
      <w:tabs>
        <w:tab w:val="center" w:pos="4153" w:leader="none"/>
        <w:tab w:val="right" w:pos="8306" w:leader="none"/>
      </w:tabs>
      <w:pBdr>
        <w:bottom w:val="none" w:color="000000" w:sz="0" w:space="1"/>
      </w:pBdr>
    </w:pPr>
    <w:r>
      <w:rPr>
        <w:rFonts w:hint="eastAsia" w:ascii="宋体" w:hAnsi="宋体" w:cs="宋体"/>
        <w:b/>
        <w:bCs/>
        <w:color w:val="000000"/>
        <w:lang w:val="zh-TW"/>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78"/>
      <w:jc w:val="right"/>
      <w:tabs>
        <w:tab w:val="center" w:pos="4153" w:leader="none"/>
        <w:tab w:val="right" w:pos="8306" w:leader="none"/>
      </w:tabs>
      <w:rPr>
        <w:rFonts w:hint="eastAsia" w:ascii="宋体" w:hAnsi="宋体" w:eastAsia="宋体" w:cs="宋体"/>
        <w:b/>
        <w:bCs/>
        <w:color w:val="000000"/>
        <w:lang w:val="zh-TW" w:eastAsia="zh-CN"/>
      </w:rPr>
      <w:pBdr>
        <w:bottom w:val="none" w:color="000000" w:sz="0" w:space="1"/>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lang w:val="zh-TW" w:eastAsia="zh-CN"/>
      </w:rPr>
      <w:t xml:space="preserve">2026年鼓楼区智慧水务大数据管控平台运维服务项目</w:t>
    </w:r>
    <w:r>
      <w:rPr>
        <w:rFonts w:hint="eastAsia" w:ascii="宋体" w:hAnsi="宋体" w:eastAsia="宋体" w:cs="宋体"/>
        <w:b/>
        <w:bCs/>
        <w:color w:val="000000"/>
        <w:lang w:val="zh-TW" w:eastAsia="zh-CN"/>
      </w:rPr>
    </w:r>
    <w:r/>
  </w:p>
  <w:p>
    <w:pPr>
      <w:pStyle w:val="1078"/>
      <w:jc w:val="right"/>
      <w:tabs>
        <w:tab w:val="center" w:pos="4153" w:leader="none"/>
        <w:tab w:val="right" w:pos="8306" w:leader="none"/>
      </w:tabs>
      <w:rPr>
        <w:rStyle w:val="1168"/>
      </w:rPr>
      <w:pBdr>
        <w:bottom w:val="none" w:color="000000" w:sz="0" w:space="1"/>
      </w:pBdr>
    </w:pPr>
    <w:r>
      <w:rPr>
        <w:rFonts w:hint="eastAsia" w:ascii="宋体" w:hAnsi="宋体" w:cs="宋体"/>
        <w:b/>
        <w:bCs/>
        <w:color w:val="000000"/>
        <w:lang w:val="zh-TW"/>
      </w:rPr>
      <w:t xml:space="preserve">招标文件</w:t>
    </w:r>
    <w:r>
      <w:rPr>
        <w:rStyle w:val="116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tabs>
        <w:tab w:val="center" w:pos="4153" w:leader="none"/>
        <w:tab w:val="right" w:pos="8306" w:leader="none"/>
      </w:tabs>
      <w:rPr>
        <w:rFonts w:hint="eastAsia" w:ascii="宋体" w:hAnsi="宋体" w:eastAsia="宋体" w:cs="宋体"/>
        <w:b/>
        <w:bCs/>
        <w:color w:val="000000"/>
        <w:lang w:val="zh-TW" w:eastAsia="zh-CN"/>
      </w:rPr>
    </w:pPr>
    <w:r>
      <w:rPr>
        <w:rFonts w:hint="eastAsia" w:ascii="宋体" w:hAnsi="宋体" w:cs="宋体"/>
        <w:b/>
        <w:bCs/>
        <w:color w:val="000000"/>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-36829</wp:posOffset>
              </wp:positionH>
              <wp:positionV relativeFrom="paragraph">
                <wp:posOffset>1905</wp:posOffset>
              </wp:positionV>
              <wp:extent cx="983615" cy="430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8361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5;o:allowoverlap:true;o:allowincell:true;mso-position-horizontal-relative:text;margin-left:-2.9pt;mso-position-horizontal:absolute;mso-position-vertical-relative:text;margin-top:0.1pt;mso-position-vertical:absolute;width:77.5pt;height:33.9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lang w:val="zh-TW" w:eastAsia="zh-CN"/>
      </w:rPr>
      <w:t xml:space="preserve">2026年鼓楼区智慧水务大数据管控平台运维服务项目</w:t>
    </w:r>
    <w:r>
      <w:rPr>
        <w:rFonts w:hint="eastAsia" w:ascii="宋体" w:hAnsi="宋体" w:eastAsia="宋体" w:cs="宋体"/>
        <w:b/>
        <w:bCs/>
        <w:color w:val="000000"/>
        <w:lang w:val="zh-TW" w:eastAsia="zh-CN"/>
      </w:rPr>
    </w:r>
    <w:r/>
  </w:p>
  <w:p>
    <w:pPr>
      <w:pStyle w:val="1078"/>
      <w:jc w:val="right"/>
      <w:tabs>
        <w:tab w:val="center" w:pos="4153" w:leader="none"/>
        <w:tab w:val="right" w:pos="8306" w:leader="none"/>
      </w:tabs>
    </w:pPr>
    <w:r>
      <w:rPr>
        <w:rFonts w:hint="eastAsia" w:ascii="宋体" w:hAnsi="宋体" w:cs="宋体"/>
        <w:b/>
        <w:bCs/>
        <w:color w:val="000000"/>
        <w:lang w:val="zh-TW"/>
      </w:rPr>
      <w:t xml:space="preserve">招标文件</w:t>
    </w:r>
    <w:r/>
  </w:p>
  <w:p>
    <w:pPr>
      <w:pStyle w:val="107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62"/>
      <w:isLgl w:val="false"/>
      <w:suff w:val="nothing"/>
      <w:lvlText w:val="第%1章"/>
      <w:lvlJc w:val="left"/>
      <w:pPr>
        <w:pStyle w:val="1043"/>
        <w:ind w:left="3402"/>
      </w:pPr>
      <w:rPr>
        <w:rFonts w:cs="Times New Roman"/>
      </w:rPr>
    </w:lvl>
    <w:lvl w:ilvl="1">
      <w:start w:val="1"/>
      <w:numFmt w:val="lowerLetter"/>
      <w:isLgl w:val="false"/>
      <w:suff w:val="tab"/>
      <w:lvlText w:val="%1)"/>
      <w:lvlJc w:val="left"/>
      <w:pPr>
        <w:pStyle w:val="1043"/>
        <w:ind w:left="840" w:hanging="420"/>
      </w:pPr>
      <w:rPr>
        <w:rFonts w:cs="Times New Roman"/>
      </w:rPr>
    </w:lvl>
    <w:lvl w:ilvl="2">
      <w:start w:val="1"/>
      <w:numFmt w:val="lowerRoman"/>
      <w:isLgl w:val="false"/>
      <w:suff w:val="tab"/>
      <w:lvlText w:val="%1."/>
      <w:lvlJc w:val="right"/>
      <w:pPr>
        <w:pStyle w:val="1043"/>
        <w:ind w:left="1260" w:hanging="420"/>
      </w:pPr>
      <w:rPr>
        <w:rFonts w:cs="Times New Roman"/>
      </w:rPr>
    </w:lvl>
    <w:lvl w:ilvl="3">
      <w:start w:val="1"/>
      <w:numFmt w:val="decimal"/>
      <w:isLgl w:val="false"/>
      <w:suff w:val="tab"/>
      <w:lvlText w:val="%1."/>
      <w:lvlJc w:val="left"/>
      <w:pPr>
        <w:pStyle w:val="1043"/>
        <w:ind w:left="1680" w:hanging="420"/>
      </w:pPr>
      <w:rPr>
        <w:rFonts w:cs="Times New Roman"/>
      </w:rPr>
    </w:lvl>
    <w:lvl w:ilvl="4">
      <w:start w:val="1"/>
      <w:numFmt w:val="lowerLetter"/>
      <w:isLgl w:val="false"/>
      <w:suff w:val="tab"/>
      <w:lvlText w:val="%1)"/>
      <w:lvlJc w:val="left"/>
      <w:pPr>
        <w:pStyle w:val="1043"/>
        <w:ind w:left="2100" w:hanging="420"/>
      </w:pPr>
      <w:rPr>
        <w:rFonts w:cs="Times New Roman"/>
      </w:rPr>
    </w:lvl>
    <w:lvl w:ilvl="5">
      <w:start w:val="1"/>
      <w:numFmt w:val="lowerRoman"/>
      <w:isLgl w:val="false"/>
      <w:suff w:val="tab"/>
      <w:lvlText w:val="%1."/>
      <w:lvlJc w:val="right"/>
      <w:pPr>
        <w:pStyle w:val="1043"/>
        <w:ind w:left="2520" w:hanging="420"/>
      </w:pPr>
      <w:rPr>
        <w:rFonts w:cs="Times New Roman"/>
      </w:rPr>
    </w:lvl>
    <w:lvl w:ilvl="6">
      <w:start w:val="1"/>
      <w:numFmt w:val="decimal"/>
      <w:isLgl w:val="false"/>
      <w:suff w:val="tab"/>
      <w:lvlText w:val="%1."/>
      <w:lvlJc w:val="left"/>
      <w:pPr>
        <w:pStyle w:val="1043"/>
        <w:ind w:left="2940" w:hanging="420"/>
      </w:pPr>
      <w:rPr>
        <w:rFonts w:cs="Times New Roman"/>
      </w:rPr>
    </w:lvl>
    <w:lvl w:ilvl="7">
      <w:start w:val="1"/>
      <w:numFmt w:val="lowerLetter"/>
      <w:isLgl w:val="false"/>
      <w:suff w:val="tab"/>
      <w:lvlText w:val="%1)"/>
      <w:lvlJc w:val="left"/>
      <w:pPr>
        <w:pStyle w:val="1043"/>
        <w:ind w:left="3360" w:hanging="420"/>
      </w:pPr>
      <w:rPr>
        <w:rFonts w:cs="Times New Roman"/>
      </w:rPr>
    </w:lvl>
    <w:lvl w:ilvl="8">
      <w:start w:val="1"/>
      <w:numFmt w:val="lowerRoman"/>
      <w:isLgl w:val="false"/>
      <w:suff w:val="tab"/>
      <w:lvlText w:val="%1."/>
      <w:lvlJc w:val="right"/>
      <w:pPr>
        <w:pStyle w:val="1043"/>
        <w:ind w:left="3780" w:hanging="420"/>
      </w:pPr>
      <w:rPr>
        <w:rFonts w:cs="Times New Roman"/>
      </w:rPr>
    </w:lvl>
  </w:abstractNum>
  <w:abstractNum w:abstractNumId="1">
    <w:multiLevelType w:val="hybridMultilevel"/>
    <w:lvl w:ilvl="0">
      <w:start w:val="1"/>
      <w:numFmt w:val="upperLetter"/>
      <w:pStyle w:val="1131"/>
      <w:isLgl w:val="false"/>
      <w:suff w:val="tab"/>
      <w:lvlText w:val="%1."/>
      <w:lvlJc w:val="left"/>
      <w:pPr>
        <w:pStyle w:val="1043"/>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43"/>
        <w:ind w:left="630" w:hanging="420"/>
        <w:tabs>
          <w:tab w:val="num" w:pos="630" w:leader="none"/>
        </w:tabs>
      </w:pPr>
      <w:rPr>
        <w:rFonts w:cs="Times New Roman"/>
      </w:rPr>
    </w:lvl>
    <w:lvl w:ilvl="1">
      <w:start w:val="1"/>
      <w:numFmt w:val="decimal"/>
      <w:isLgl w:val="false"/>
      <w:suff w:val="tab"/>
      <w:lvlText w:val="%2)"/>
      <w:lvlJc w:val="left"/>
      <w:pPr>
        <w:pStyle w:val="1043"/>
        <w:ind w:left="990" w:hanging="360"/>
        <w:tabs>
          <w:tab w:val="num" w:pos="990" w:leader="none"/>
        </w:tabs>
      </w:pPr>
      <w:rPr>
        <w:color w:val="000000"/>
      </w:rPr>
    </w:lvl>
    <w:lvl w:ilvl="2">
      <w:start w:val="1"/>
      <w:numFmt w:val="lowerRoman"/>
      <w:isLgl w:val="false"/>
      <w:suff w:val="tab"/>
      <w:lvlText w:val="%3."/>
      <w:lvlJc w:val="right"/>
      <w:pPr>
        <w:pStyle w:val="1043"/>
        <w:ind w:left="1470" w:hanging="420"/>
        <w:tabs>
          <w:tab w:val="num" w:pos="1470" w:leader="none"/>
        </w:tabs>
      </w:pPr>
      <w:rPr>
        <w:rFonts w:cs="Times New Roman"/>
      </w:rPr>
    </w:lvl>
    <w:lvl w:ilvl="3">
      <w:start w:val="1"/>
      <w:numFmt w:val="decimal"/>
      <w:isLgl w:val="false"/>
      <w:suff w:val="tab"/>
      <w:lvlText w:val="%4."/>
      <w:lvlJc w:val="left"/>
      <w:pPr>
        <w:pStyle w:val="1043"/>
        <w:ind w:left="1890" w:hanging="420"/>
        <w:tabs>
          <w:tab w:val="num" w:pos="1890" w:leader="none"/>
        </w:tabs>
      </w:pPr>
      <w:rPr>
        <w:rFonts w:cs="Times New Roman"/>
      </w:rPr>
    </w:lvl>
    <w:lvl w:ilvl="4">
      <w:start w:val="1"/>
      <w:numFmt w:val="lowerLetter"/>
      <w:isLgl w:val="false"/>
      <w:suff w:val="tab"/>
      <w:lvlText w:val="%5)"/>
      <w:lvlJc w:val="left"/>
      <w:pPr>
        <w:pStyle w:val="1043"/>
        <w:ind w:left="2310" w:hanging="420"/>
        <w:tabs>
          <w:tab w:val="num" w:pos="2310" w:leader="none"/>
        </w:tabs>
      </w:pPr>
      <w:rPr>
        <w:rFonts w:cs="Times New Roman"/>
      </w:rPr>
    </w:lvl>
    <w:lvl w:ilvl="5">
      <w:start w:val="1"/>
      <w:numFmt w:val="lowerRoman"/>
      <w:isLgl w:val="false"/>
      <w:suff w:val="tab"/>
      <w:lvlText w:val="%6."/>
      <w:lvlJc w:val="right"/>
      <w:pPr>
        <w:pStyle w:val="1043"/>
        <w:ind w:left="2730" w:hanging="420"/>
        <w:tabs>
          <w:tab w:val="num" w:pos="2730" w:leader="none"/>
        </w:tabs>
      </w:pPr>
      <w:rPr>
        <w:rFonts w:cs="Times New Roman"/>
      </w:rPr>
    </w:lvl>
    <w:lvl w:ilvl="6">
      <w:start w:val="1"/>
      <w:numFmt w:val="decimal"/>
      <w:isLgl w:val="false"/>
      <w:suff w:val="tab"/>
      <w:lvlText w:val="%7."/>
      <w:lvlJc w:val="left"/>
      <w:pPr>
        <w:pStyle w:val="1043"/>
        <w:ind w:left="3150" w:hanging="420"/>
        <w:tabs>
          <w:tab w:val="num" w:pos="3150" w:leader="none"/>
        </w:tabs>
      </w:pPr>
      <w:rPr>
        <w:rFonts w:cs="Times New Roman"/>
      </w:rPr>
    </w:lvl>
    <w:lvl w:ilvl="7">
      <w:start w:val="1"/>
      <w:numFmt w:val="lowerLetter"/>
      <w:isLgl w:val="false"/>
      <w:suff w:val="tab"/>
      <w:lvlText w:val="%8)"/>
      <w:lvlJc w:val="left"/>
      <w:pPr>
        <w:pStyle w:val="1043"/>
        <w:ind w:left="3570" w:hanging="420"/>
        <w:tabs>
          <w:tab w:val="num" w:pos="3570" w:leader="none"/>
        </w:tabs>
      </w:pPr>
      <w:rPr>
        <w:rFonts w:cs="Times New Roman"/>
      </w:rPr>
    </w:lvl>
    <w:lvl w:ilvl="8">
      <w:start w:val="1"/>
      <w:numFmt w:val="lowerRoman"/>
      <w:isLgl w:val="false"/>
      <w:suff w:val="tab"/>
      <w:lvlText w:val="%9."/>
      <w:lvlJc w:val="right"/>
      <w:pPr>
        <w:pStyle w:val="1043"/>
        <w:ind w:left="3990" w:hanging="420"/>
        <w:tabs>
          <w:tab w:val="num" w:pos="3990" w:leader="none"/>
        </w:tabs>
      </w:pPr>
      <w:rPr>
        <w:rFonts w:cs="Times New Roman"/>
      </w:rPr>
    </w:lvl>
  </w:abstractNum>
  <w:abstractNum w:abstractNumId="4">
    <w:multiLevelType w:val="hybridMultilevel"/>
    <w:lvl w:ilvl="0">
      <w:start w:val="1"/>
      <w:numFmt w:val="chineseCountingThousand"/>
      <w:pStyle w:val="1193"/>
      <w:isLgl w:val="false"/>
      <w:suff w:val="nothing"/>
      <w:lvlText w:val="第%1章"/>
      <w:lvlJc w:val="left"/>
      <w:pPr>
        <w:pStyle w:val="1043"/>
        <w:ind w:left="3402"/>
      </w:pPr>
      <w:rPr>
        <w:rFonts w:cs="Times New Roman"/>
      </w:rPr>
    </w:lvl>
    <w:lvl w:ilvl="1">
      <w:start w:val="1"/>
      <w:numFmt w:val="lowerLetter"/>
      <w:pStyle w:val="1217"/>
      <w:isLgl w:val="false"/>
      <w:suff w:val="tab"/>
      <w:lvlText w:val="%1)"/>
      <w:lvlJc w:val="left"/>
      <w:pPr>
        <w:pStyle w:val="1043"/>
        <w:ind w:left="840" w:hanging="420"/>
      </w:pPr>
      <w:rPr>
        <w:rFonts w:cs="Times New Roman"/>
      </w:rPr>
    </w:lvl>
    <w:lvl w:ilvl="2">
      <w:start w:val="1"/>
      <w:numFmt w:val="lowerRoman"/>
      <w:pStyle w:val="1230"/>
      <w:isLgl w:val="false"/>
      <w:suff w:val="tab"/>
      <w:lvlText w:val="%1."/>
      <w:lvlJc w:val="right"/>
      <w:pPr>
        <w:pStyle w:val="1043"/>
        <w:ind w:left="1260" w:hanging="420"/>
      </w:pPr>
      <w:rPr>
        <w:rFonts w:cs="Times New Roman"/>
      </w:rPr>
    </w:lvl>
    <w:lvl w:ilvl="3">
      <w:start w:val="1"/>
      <w:numFmt w:val="decimal"/>
      <w:pStyle w:val="1214"/>
      <w:isLgl w:val="false"/>
      <w:suff w:val="tab"/>
      <w:lvlText w:val="%1."/>
      <w:lvlJc w:val="left"/>
      <w:pPr>
        <w:pStyle w:val="1043"/>
        <w:ind w:left="1680" w:hanging="420"/>
      </w:pPr>
      <w:rPr>
        <w:rFonts w:cs="Times New Roman"/>
      </w:rPr>
    </w:lvl>
    <w:lvl w:ilvl="4">
      <w:start w:val="1"/>
      <w:numFmt w:val="lowerLetter"/>
      <w:pStyle w:val="1223"/>
      <w:isLgl w:val="false"/>
      <w:suff w:val="tab"/>
      <w:lvlText w:val="%1)"/>
      <w:lvlJc w:val="left"/>
      <w:pPr>
        <w:pStyle w:val="1043"/>
        <w:ind w:left="2100" w:hanging="420"/>
      </w:pPr>
      <w:rPr>
        <w:rFonts w:cs="Times New Roman"/>
      </w:rPr>
    </w:lvl>
    <w:lvl w:ilvl="5">
      <w:start w:val="1"/>
      <w:numFmt w:val="lowerRoman"/>
      <w:pStyle w:val="1197"/>
      <w:isLgl w:val="false"/>
      <w:suff w:val="tab"/>
      <w:lvlText w:val="%1."/>
      <w:lvlJc w:val="right"/>
      <w:pPr>
        <w:pStyle w:val="1043"/>
        <w:ind w:left="2520" w:hanging="420"/>
      </w:pPr>
      <w:rPr>
        <w:rFonts w:cs="Times New Roman"/>
      </w:rPr>
    </w:lvl>
    <w:lvl w:ilvl="6">
      <w:start w:val="1"/>
      <w:numFmt w:val="decimal"/>
      <w:pStyle w:val="1244"/>
      <w:isLgl w:val="false"/>
      <w:suff w:val="tab"/>
      <w:lvlText w:val="%1."/>
      <w:lvlJc w:val="left"/>
      <w:pPr>
        <w:pStyle w:val="1043"/>
        <w:ind w:left="2940" w:hanging="420"/>
      </w:pPr>
      <w:rPr>
        <w:rFonts w:cs="Times New Roman"/>
      </w:rPr>
    </w:lvl>
    <w:lvl w:ilvl="7">
      <w:start w:val="1"/>
      <w:numFmt w:val="lowerLetter"/>
      <w:pStyle w:val="1196"/>
      <w:isLgl w:val="false"/>
      <w:suff w:val="tab"/>
      <w:lvlText w:val="%1)"/>
      <w:lvlJc w:val="left"/>
      <w:pPr>
        <w:pStyle w:val="1043"/>
        <w:ind w:left="3360" w:hanging="420"/>
      </w:pPr>
      <w:rPr>
        <w:rFonts w:cs="Times New Roman"/>
      </w:rPr>
    </w:lvl>
    <w:lvl w:ilvl="8">
      <w:start w:val="1"/>
      <w:numFmt w:val="lowerRoman"/>
      <w:pStyle w:val="1211"/>
      <w:isLgl w:val="false"/>
      <w:suff w:val="tab"/>
      <w:lvlText w:val="%1."/>
      <w:lvlJc w:val="right"/>
      <w:pPr>
        <w:pStyle w:val="1043"/>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num w:numId="1">
    <w:abstractNumId w:val="1"/>
  </w:num>
  <w:num w:numId="2">
    <w:abstractNumId w:val="4"/>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name w:val="Heading 1"/>
    <w:basedOn w:val="1043"/>
    <w:next w:val="1043"/>
    <w:link w:val="866"/>
    <w:uiPriority w:val="9"/>
    <w:qFormat/>
    <w:pPr>
      <w:keepLines/>
      <w:keepNext/>
      <w:spacing w:before="480" w:after="200"/>
      <w:outlineLvl w:val="0"/>
    </w:pPr>
    <w:rPr>
      <w:rFonts w:ascii="Arial" w:hAnsi="Arial" w:eastAsia="Arial" w:cs="Arial"/>
      <w:sz w:val="40"/>
      <w:szCs w:val="40"/>
    </w:rPr>
  </w:style>
  <w:style w:type="character" w:styleId="866">
    <w:name w:val="Heading 1 Char"/>
    <w:link w:val="865"/>
    <w:uiPriority w:val="9"/>
    <w:rPr>
      <w:rFonts w:ascii="Arial" w:hAnsi="Arial" w:eastAsia="Arial" w:cs="Arial"/>
      <w:sz w:val="40"/>
      <w:szCs w:val="40"/>
    </w:rPr>
  </w:style>
  <w:style w:type="paragraph" w:styleId="867">
    <w:name w:val="Heading 2"/>
    <w:basedOn w:val="1043"/>
    <w:next w:val="1043"/>
    <w:link w:val="868"/>
    <w:uiPriority w:val="9"/>
    <w:unhideWhenUsed/>
    <w:qFormat/>
    <w:pPr>
      <w:keepLines/>
      <w:keepNext/>
      <w:spacing w:before="360" w:after="200"/>
      <w:outlineLvl w:val="1"/>
    </w:pPr>
    <w:rPr>
      <w:rFonts w:ascii="Arial" w:hAnsi="Arial" w:eastAsia="Arial" w:cs="Arial"/>
      <w:sz w:val="34"/>
    </w:rPr>
  </w:style>
  <w:style w:type="character" w:styleId="868">
    <w:name w:val="Heading 2 Char"/>
    <w:link w:val="867"/>
    <w:uiPriority w:val="9"/>
    <w:rPr>
      <w:rFonts w:ascii="Arial" w:hAnsi="Arial" w:eastAsia="Arial" w:cs="Arial"/>
      <w:sz w:val="34"/>
    </w:rPr>
  </w:style>
  <w:style w:type="paragraph" w:styleId="869">
    <w:name w:val="Heading 3"/>
    <w:basedOn w:val="1043"/>
    <w:next w:val="1043"/>
    <w:link w:val="870"/>
    <w:uiPriority w:val="9"/>
    <w:unhideWhenUsed/>
    <w:qFormat/>
    <w:pPr>
      <w:keepLines/>
      <w:keepNext/>
      <w:spacing w:before="320" w:after="200"/>
      <w:outlineLvl w:val="2"/>
    </w:pPr>
    <w:rPr>
      <w:rFonts w:ascii="Arial" w:hAnsi="Arial" w:eastAsia="Arial" w:cs="Arial"/>
      <w:sz w:val="30"/>
      <w:szCs w:val="30"/>
    </w:rPr>
  </w:style>
  <w:style w:type="character" w:styleId="870">
    <w:name w:val="Heading 3 Char"/>
    <w:link w:val="869"/>
    <w:uiPriority w:val="9"/>
    <w:rPr>
      <w:rFonts w:ascii="Arial" w:hAnsi="Arial" w:eastAsia="Arial" w:cs="Arial"/>
      <w:sz w:val="30"/>
      <w:szCs w:val="30"/>
    </w:rPr>
  </w:style>
  <w:style w:type="paragraph" w:styleId="871">
    <w:name w:val="Heading 4"/>
    <w:basedOn w:val="1043"/>
    <w:next w:val="1043"/>
    <w:link w:val="872"/>
    <w:uiPriority w:val="9"/>
    <w:unhideWhenUsed/>
    <w:qFormat/>
    <w:pPr>
      <w:keepLines/>
      <w:keepNext/>
      <w:spacing w:before="320" w:after="200"/>
      <w:outlineLvl w:val="3"/>
    </w:pPr>
    <w:rPr>
      <w:rFonts w:ascii="Arial" w:hAnsi="Arial" w:eastAsia="Arial" w:cs="Arial"/>
      <w:b/>
      <w:bCs/>
      <w:sz w:val="26"/>
      <w:szCs w:val="26"/>
    </w:rPr>
  </w:style>
  <w:style w:type="character" w:styleId="872">
    <w:name w:val="Heading 4 Char"/>
    <w:link w:val="871"/>
    <w:uiPriority w:val="9"/>
    <w:rPr>
      <w:rFonts w:ascii="Arial" w:hAnsi="Arial" w:eastAsia="Arial" w:cs="Arial"/>
      <w:b/>
      <w:bCs/>
      <w:sz w:val="26"/>
      <w:szCs w:val="26"/>
    </w:rPr>
  </w:style>
  <w:style w:type="paragraph" w:styleId="873">
    <w:name w:val="Heading 5"/>
    <w:basedOn w:val="1043"/>
    <w:next w:val="1043"/>
    <w:link w:val="874"/>
    <w:uiPriority w:val="9"/>
    <w:unhideWhenUsed/>
    <w:qFormat/>
    <w:pPr>
      <w:keepLines/>
      <w:keepNext/>
      <w:spacing w:before="320" w:after="200"/>
      <w:outlineLvl w:val="4"/>
    </w:pPr>
    <w:rPr>
      <w:rFonts w:ascii="Arial" w:hAnsi="Arial" w:eastAsia="Arial" w:cs="Arial"/>
      <w:b/>
      <w:bCs/>
      <w:sz w:val="24"/>
      <w:szCs w:val="24"/>
    </w:rPr>
  </w:style>
  <w:style w:type="character" w:styleId="874">
    <w:name w:val="Heading 5 Char"/>
    <w:link w:val="873"/>
    <w:uiPriority w:val="9"/>
    <w:rPr>
      <w:rFonts w:ascii="Arial" w:hAnsi="Arial" w:eastAsia="Arial" w:cs="Arial"/>
      <w:b/>
      <w:bCs/>
      <w:sz w:val="24"/>
      <w:szCs w:val="24"/>
    </w:rPr>
  </w:style>
  <w:style w:type="paragraph" w:styleId="875">
    <w:name w:val="Heading 6"/>
    <w:basedOn w:val="1043"/>
    <w:next w:val="1043"/>
    <w:link w:val="876"/>
    <w:uiPriority w:val="9"/>
    <w:unhideWhenUsed/>
    <w:qFormat/>
    <w:pPr>
      <w:keepLines/>
      <w:keepNext/>
      <w:spacing w:before="320" w:after="200"/>
      <w:outlineLvl w:val="5"/>
    </w:pPr>
    <w:rPr>
      <w:rFonts w:ascii="Arial" w:hAnsi="Arial" w:eastAsia="Arial" w:cs="Arial"/>
      <w:b/>
      <w:bCs/>
      <w:sz w:val="22"/>
      <w:szCs w:val="22"/>
    </w:rPr>
  </w:style>
  <w:style w:type="character" w:styleId="876">
    <w:name w:val="Heading 6 Char"/>
    <w:link w:val="875"/>
    <w:uiPriority w:val="9"/>
    <w:rPr>
      <w:rFonts w:ascii="Arial" w:hAnsi="Arial" w:eastAsia="Arial" w:cs="Arial"/>
      <w:b/>
      <w:bCs/>
      <w:sz w:val="22"/>
      <w:szCs w:val="22"/>
    </w:rPr>
  </w:style>
  <w:style w:type="paragraph" w:styleId="877">
    <w:name w:val="Heading 7"/>
    <w:basedOn w:val="1043"/>
    <w:next w:val="1043"/>
    <w:link w:val="878"/>
    <w:uiPriority w:val="9"/>
    <w:unhideWhenUsed/>
    <w:qFormat/>
    <w:pPr>
      <w:keepLines/>
      <w:keepNext/>
      <w:spacing w:before="320" w:after="200"/>
      <w:outlineLvl w:val="6"/>
    </w:pPr>
    <w:rPr>
      <w:rFonts w:ascii="Arial" w:hAnsi="Arial" w:eastAsia="Arial" w:cs="Arial"/>
      <w:b/>
      <w:bCs/>
      <w:i/>
      <w:iCs/>
      <w:sz w:val="22"/>
      <w:szCs w:val="22"/>
    </w:rPr>
  </w:style>
  <w:style w:type="character" w:styleId="878">
    <w:name w:val="Heading 7 Char"/>
    <w:link w:val="877"/>
    <w:uiPriority w:val="9"/>
    <w:rPr>
      <w:rFonts w:ascii="Arial" w:hAnsi="Arial" w:eastAsia="Arial" w:cs="Arial"/>
      <w:b/>
      <w:bCs/>
      <w:i/>
      <w:iCs/>
      <w:sz w:val="22"/>
      <w:szCs w:val="22"/>
    </w:rPr>
  </w:style>
  <w:style w:type="paragraph" w:styleId="879">
    <w:name w:val="Heading 8"/>
    <w:basedOn w:val="1043"/>
    <w:next w:val="1043"/>
    <w:link w:val="880"/>
    <w:uiPriority w:val="9"/>
    <w:unhideWhenUsed/>
    <w:qFormat/>
    <w:pPr>
      <w:keepLines/>
      <w:keepNext/>
      <w:spacing w:before="320" w:after="200"/>
      <w:outlineLvl w:val="7"/>
    </w:pPr>
    <w:rPr>
      <w:rFonts w:ascii="Arial" w:hAnsi="Arial" w:eastAsia="Arial" w:cs="Arial"/>
      <w:i/>
      <w:iCs/>
      <w:sz w:val="22"/>
      <w:szCs w:val="22"/>
    </w:rPr>
  </w:style>
  <w:style w:type="character" w:styleId="880">
    <w:name w:val="Heading 8 Char"/>
    <w:link w:val="879"/>
    <w:uiPriority w:val="9"/>
    <w:rPr>
      <w:rFonts w:ascii="Arial" w:hAnsi="Arial" w:eastAsia="Arial" w:cs="Arial"/>
      <w:i/>
      <w:iCs/>
      <w:sz w:val="22"/>
      <w:szCs w:val="22"/>
    </w:rPr>
  </w:style>
  <w:style w:type="paragraph" w:styleId="881">
    <w:name w:val="Heading 9"/>
    <w:basedOn w:val="1043"/>
    <w:next w:val="1043"/>
    <w:link w:val="882"/>
    <w:uiPriority w:val="9"/>
    <w:unhideWhenUsed/>
    <w:qFormat/>
    <w:pPr>
      <w:keepLines/>
      <w:keepNext/>
      <w:spacing w:before="320" w:after="200"/>
      <w:outlineLvl w:val="8"/>
    </w:pPr>
    <w:rPr>
      <w:rFonts w:ascii="Arial" w:hAnsi="Arial" w:eastAsia="Arial" w:cs="Arial"/>
      <w:i/>
      <w:iCs/>
      <w:sz w:val="21"/>
      <w:szCs w:val="21"/>
    </w:rPr>
  </w:style>
  <w:style w:type="character" w:styleId="882">
    <w:name w:val="Heading 9 Char"/>
    <w:link w:val="881"/>
    <w:uiPriority w:val="9"/>
    <w:rPr>
      <w:rFonts w:ascii="Arial" w:hAnsi="Arial" w:eastAsia="Arial" w:cs="Arial"/>
      <w:i/>
      <w:iCs/>
      <w:sz w:val="21"/>
      <w:szCs w:val="21"/>
    </w:rPr>
  </w:style>
  <w:style w:type="paragraph" w:styleId="883">
    <w:name w:val="List Paragraph"/>
    <w:basedOn w:val="1043"/>
    <w:uiPriority w:val="34"/>
    <w:qFormat/>
    <w:pPr>
      <w:contextualSpacing/>
      <w:ind w:left="720"/>
    </w:pPr>
  </w:style>
  <w:style w:type="paragraph" w:styleId="884">
    <w:name w:val="No Spacing"/>
    <w:uiPriority w:val="1"/>
    <w:qFormat/>
    <w:pPr>
      <w:spacing w:before="0" w:after="0" w:line="240" w:lineRule="auto"/>
    </w:pPr>
  </w:style>
  <w:style w:type="paragraph" w:styleId="885">
    <w:name w:val="Title"/>
    <w:basedOn w:val="1043"/>
    <w:next w:val="1043"/>
    <w:link w:val="886"/>
    <w:uiPriority w:val="10"/>
    <w:qFormat/>
    <w:pPr>
      <w:contextualSpacing/>
      <w:spacing w:before="300" w:after="200"/>
    </w:pPr>
    <w:rPr>
      <w:sz w:val="48"/>
      <w:szCs w:val="48"/>
    </w:rPr>
  </w:style>
  <w:style w:type="character" w:styleId="886">
    <w:name w:val="Title Char"/>
    <w:link w:val="885"/>
    <w:uiPriority w:val="10"/>
    <w:rPr>
      <w:sz w:val="48"/>
      <w:szCs w:val="48"/>
    </w:rPr>
  </w:style>
  <w:style w:type="paragraph" w:styleId="887">
    <w:name w:val="Subtitle"/>
    <w:basedOn w:val="1043"/>
    <w:next w:val="1043"/>
    <w:link w:val="888"/>
    <w:uiPriority w:val="11"/>
    <w:qFormat/>
    <w:pPr>
      <w:spacing w:before="200" w:after="200"/>
    </w:pPr>
    <w:rPr>
      <w:sz w:val="24"/>
      <w:szCs w:val="24"/>
    </w:rPr>
  </w:style>
  <w:style w:type="character" w:styleId="888">
    <w:name w:val="Subtitle Char"/>
    <w:link w:val="887"/>
    <w:uiPriority w:val="11"/>
    <w:rPr>
      <w:sz w:val="24"/>
      <w:szCs w:val="24"/>
    </w:rPr>
  </w:style>
  <w:style w:type="paragraph" w:styleId="889">
    <w:name w:val="Quote"/>
    <w:basedOn w:val="1043"/>
    <w:next w:val="1043"/>
    <w:link w:val="890"/>
    <w:uiPriority w:val="29"/>
    <w:qFormat/>
    <w:pPr>
      <w:ind w:left="720" w:right="720"/>
    </w:pPr>
    <w:rPr>
      <w:i/>
    </w:rPr>
  </w:style>
  <w:style w:type="character" w:styleId="890">
    <w:name w:val="Quote Char"/>
    <w:link w:val="889"/>
    <w:uiPriority w:val="29"/>
    <w:rPr>
      <w:i/>
    </w:rPr>
  </w:style>
  <w:style w:type="paragraph" w:styleId="891">
    <w:name w:val="Intense Quote"/>
    <w:basedOn w:val="1043"/>
    <w:next w:val="1043"/>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Intense Quote Char"/>
    <w:link w:val="891"/>
    <w:uiPriority w:val="30"/>
    <w:rPr>
      <w:i/>
    </w:rPr>
  </w:style>
  <w:style w:type="paragraph" w:styleId="893">
    <w:name w:val="Header"/>
    <w:basedOn w:val="1043"/>
    <w:link w:val="894"/>
    <w:uiPriority w:val="99"/>
    <w:unhideWhenUsed/>
    <w:pPr>
      <w:spacing w:after="0" w:line="240" w:lineRule="auto"/>
      <w:tabs>
        <w:tab w:val="center" w:pos="7143" w:leader="none"/>
        <w:tab w:val="right" w:pos="14287" w:leader="none"/>
      </w:tabs>
    </w:pPr>
  </w:style>
  <w:style w:type="character" w:styleId="894">
    <w:name w:val="Header Char"/>
    <w:link w:val="893"/>
    <w:uiPriority w:val="99"/>
  </w:style>
  <w:style w:type="paragraph" w:styleId="895">
    <w:name w:val="Footer"/>
    <w:basedOn w:val="1043"/>
    <w:link w:val="898"/>
    <w:uiPriority w:val="99"/>
    <w:unhideWhenUsed/>
    <w:pPr>
      <w:spacing w:after="0" w:line="240" w:lineRule="auto"/>
      <w:tabs>
        <w:tab w:val="center" w:pos="7143" w:leader="none"/>
        <w:tab w:val="right" w:pos="14287" w:leader="none"/>
      </w:tabs>
    </w:pPr>
  </w:style>
  <w:style w:type="character" w:styleId="896">
    <w:name w:val="Footer Char"/>
    <w:link w:val="895"/>
    <w:uiPriority w:val="99"/>
  </w:style>
  <w:style w:type="paragraph" w:styleId="897">
    <w:name w:val="Caption"/>
    <w:basedOn w:val="1043"/>
    <w:next w:val="1043"/>
    <w:uiPriority w:val="35"/>
    <w:semiHidden/>
    <w:unhideWhenUsed/>
    <w:qFormat/>
    <w:pPr>
      <w:spacing w:line="276" w:lineRule="auto"/>
    </w:pPr>
    <w:rPr>
      <w:b/>
      <w:bCs/>
      <w:color w:val="4f81bd" w:themeColor="accent1"/>
      <w:sz w:val="18"/>
      <w:szCs w:val="18"/>
    </w:rPr>
  </w:style>
  <w:style w:type="character" w:styleId="898">
    <w:name w:val="Caption Char"/>
    <w:basedOn w:val="897"/>
    <w:link w:val="895"/>
    <w:uiPriority w:val="99"/>
  </w:style>
  <w:style w:type="table" w:styleId="8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5">
    <w:name w:val="Hyperlink"/>
    <w:uiPriority w:val="99"/>
    <w:unhideWhenUsed/>
    <w:rPr>
      <w:color w:val="0000ff" w:themeColor="hyperlink"/>
      <w:u w:val="single"/>
    </w:rPr>
  </w:style>
  <w:style w:type="paragraph" w:styleId="1026">
    <w:name w:val="footnote text"/>
    <w:basedOn w:val="1043"/>
    <w:link w:val="1027"/>
    <w:uiPriority w:val="99"/>
    <w:semiHidden/>
    <w:unhideWhenUsed/>
    <w:pPr>
      <w:spacing w:after="40" w:line="240" w:lineRule="auto"/>
    </w:pPr>
    <w:rPr>
      <w:sz w:val="18"/>
    </w:rPr>
  </w:style>
  <w:style w:type="character" w:styleId="1027">
    <w:name w:val="Footnote Text Char"/>
    <w:link w:val="1026"/>
    <w:uiPriority w:val="99"/>
    <w:rPr>
      <w:sz w:val="18"/>
    </w:rPr>
  </w:style>
  <w:style w:type="character" w:styleId="1028">
    <w:name w:val="footnote reference"/>
    <w:uiPriority w:val="99"/>
    <w:unhideWhenUsed/>
    <w:rPr>
      <w:vertAlign w:val="superscript"/>
    </w:rPr>
  </w:style>
  <w:style w:type="paragraph" w:styleId="1029">
    <w:name w:val="endnote text"/>
    <w:basedOn w:val="1043"/>
    <w:link w:val="1030"/>
    <w:uiPriority w:val="99"/>
    <w:semiHidden/>
    <w:unhideWhenUsed/>
    <w:pPr>
      <w:spacing w:after="0" w:line="240" w:lineRule="auto"/>
    </w:pPr>
    <w:rPr>
      <w:sz w:val="20"/>
    </w:rPr>
  </w:style>
  <w:style w:type="character" w:styleId="1030">
    <w:name w:val="Endnote Text Char"/>
    <w:link w:val="1029"/>
    <w:uiPriority w:val="99"/>
    <w:rPr>
      <w:sz w:val="20"/>
    </w:rPr>
  </w:style>
  <w:style w:type="character" w:styleId="1031">
    <w:name w:val="endnote reference"/>
    <w:uiPriority w:val="99"/>
    <w:semiHidden/>
    <w:unhideWhenUsed/>
    <w:rPr>
      <w:vertAlign w:val="superscript"/>
    </w:rPr>
  </w:style>
  <w:style w:type="paragraph" w:styleId="1032">
    <w:name w:val="toc 1"/>
    <w:basedOn w:val="1043"/>
    <w:next w:val="1043"/>
    <w:uiPriority w:val="39"/>
    <w:unhideWhenUsed/>
    <w:pPr>
      <w:ind w:left="0" w:right="0" w:firstLine="0"/>
      <w:spacing w:after="57"/>
    </w:pPr>
  </w:style>
  <w:style w:type="paragraph" w:styleId="1033">
    <w:name w:val="toc 2"/>
    <w:basedOn w:val="1043"/>
    <w:next w:val="1043"/>
    <w:uiPriority w:val="39"/>
    <w:unhideWhenUsed/>
    <w:pPr>
      <w:ind w:left="283" w:right="0" w:firstLine="0"/>
      <w:spacing w:after="57"/>
    </w:pPr>
  </w:style>
  <w:style w:type="paragraph" w:styleId="1034">
    <w:name w:val="toc 3"/>
    <w:basedOn w:val="1043"/>
    <w:next w:val="1043"/>
    <w:uiPriority w:val="39"/>
    <w:unhideWhenUsed/>
    <w:pPr>
      <w:ind w:left="567" w:right="0" w:firstLine="0"/>
      <w:spacing w:after="57"/>
    </w:pPr>
  </w:style>
  <w:style w:type="paragraph" w:styleId="1035">
    <w:name w:val="toc 4"/>
    <w:basedOn w:val="1043"/>
    <w:next w:val="1043"/>
    <w:uiPriority w:val="39"/>
    <w:unhideWhenUsed/>
    <w:pPr>
      <w:ind w:left="850" w:right="0" w:firstLine="0"/>
      <w:spacing w:after="57"/>
    </w:pPr>
  </w:style>
  <w:style w:type="paragraph" w:styleId="1036">
    <w:name w:val="toc 5"/>
    <w:basedOn w:val="1043"/>
    <w:next w:val="1043"/>
    <w:uiPriority w:val="39"/>
    <w:unhideWhenUsed/>
    <w:pPr>
      <w:ind w:left="1134" w:right="0" w:firstLine="0"/>
      <w:spacing w:after="57"/>
    </w:pPr>
  </w:style>
  <w:style w:type="paragraph" w:styleId="1037">
    <w:name w:val="toc 6"/>
    <w:basedOn w:val="1043"/>
    <w:next w:val="1043"/>
    <w:uiPriority w:val="39"/>
    <w:unhideWhenUsed/>
    <w:pPr>
      <w:ind w:left="1417" w:right="0" w:firstLine="0"/>
      <w:spacing w:after="57"/>
    </w:pPr>
  </w:style>
  <w:style w:type="paragraph" w:styleId="1038">
    <w:name w:val="toc 7"/>
    <w:basedOn w:val="1043"/>
    <w:next w:val="1043"/>
    <w:uiPriority w:val="39"/>
    <w:unhideWhenUsed/>
    <w:pPr>
      <w:ind w:left="1701" w:right="0" w:firstLine="0"/>
      <w:spacing w:after="57"/>
    </w:pPr>
  </w:style>
  <w:style w:type="paragraph" w:styleId="1039">
    <w:name w:val="toc 8"/>
    <w:basedOn w:val="1043"/>
    <w:next w:val="1043"/>
    <w:uiPriority w:val="39"/>
    <w:unhideWhenUsed/>
    <w:pPr>
      <w:ind w:left="1984" w:right="0" w:firstLine="0"/>
      <w:spacing w:after="57"/>
    </w:pPr>
  </w:style>
  <w:style w:type="paragraph" w:styleId="1040">
    <w:name w:val="toc 9"/>
    <w:basedOn w:val="1043"/>
    <w:next w:val="1043"/>
    <w:uiPriority w:val="39"/>
    <w:unhideWhenUsed/>
    <w:pPr>
      <w:ind w:left="2268" w:right="0" w:firstLine="0"/>
      <w:spacing w:after="57"/>
    </w:pPr>
  </w:style>
  <w:style w:type="paragraph" w:styleId="1041">
    <w:name w:val="TOC Heading"/>
    <w:uiPriority w:val="39"/>
    <w:unhideWhenUsed/>
  </w:style>
  <w:style w:type="paragraph" w:styleId="1042">
    <w:name w:val="table of figures"/>
    <w:basedOn w:val="1043"/>
    <w:next w:val="1043"/>
    <w:uiPriority w:val="99"/>
    <w:unhideWhenUsed/>
    <w:pPr>
      <w:spacing w:after="0" w:afterAutospacing="0"/>
    </w:pPr>
  </w:style>
  <w:style w:type="paragraph" w:styleId="1043" w:default="1">
    <w:name w:val="Normal"/>
    <w:next w:val="1043"/>
    <w:link w:val="1043"/>
    <w:qFormat/>
    <w:pPr>
      <w:jc w:val="both"/>
    </w:pPr>
    <w:rPr>
      <w:sz w:val="21"/>
      <w:szCs w:val="24"/>
      <w:lang w:val="en-US" w:eastAsia="zh-CN" w:bidi="ar-SA"/>
    </w:rPr>
  </w:style>
  <w:style w:type="paragraph" w:styleId="1044">
    <w:name w:val="标题 1"/>
    <w:basedOn w:val="1043"/>
    <w:next w:val="1043"/>
    <w:link w:val="1043"/>
    <w:uiPriority w:val="99"/>
    <w:qFormat/>
    <w:pPr>
      <w:jc w:val="center"/>
      <w:keepLines/>
      <w:keepNext/>
      <w:spacing w:before="340" w:after="330" w:line="578" w:lineRule="auto"/>
      <w:widowControl w:val="off"/>
      <w:outlineLvl w:val="0"/>
    </w:pPr>
    <w:rPr>
      <w:b/>
      <w:bCs/>
      <w:sz w:val="44"/>
      <w:szCs w:val="44"/>
    </w:rPr>
  </w:style>
  <w:style w:type="paragraph" w:styleId="1045">
    <w:name w:val="标题 2"/>
    <w:basedOn w:val="1043"/>
    <w:next w:val="1043"/>
    <w:link w:val="1055"/>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1046">
    <w:name w:val="标题 3"/>
    <w:basedOn w:val="1043"/>
    <w:next w:val="1043"/>
    <w:link w:val="1056"/>
    <w:uiPriority w:val="99"/>
    <w:qFormat/>
    <w:pPr>
      <w:keepLines/>
      <w:keepNext/>
      <w:spacing w:before="260" w:after="260" w:line="416" w:lineRule="auto"/>
      <w:widowControl w:val="off"/>
      <w:outlineLvl w:val="2"/>
    </w:pPr>
    <w:rPr>
      <w:b/>
      <w:bCs/>
      <w:sz w:val="32"/>
      <w:szCs w:val="32"/>
    </w:rPr>
  </w:style>
  <w:style w:type="paragraph" w:styleId="1047">
    <w:name w:val="标题 4"/>
    <w:basedOn w:val="1043"/>
    <w:next w:val="1043"/>
    <w:link w:val="1057"/>
    <w:uiPriority w:val="99"/>
    <w:qFormat/>
    <w:pPr>
      <w:keepLines/>
      <w:keepNext/>
      <w:spacing w:before="280" w:after="290" w:line="376" w:lineRule="auto"/>
      <w:widowControl w:val="off"/>
      <w:outlineLvl w:val="3"/>
    </w:pPr>
    <w:rPr>
      <w:rFonts w:ascii="Cambria" w:hAnsi="Cambria"/>
      <w:b/>
      <w:bCs/>
      <w:sz w:val="28"/>
      <w:szCs w:val="28"/>
    </w:rPr>
  </w:style>
  <w:style w:type="paragraph" w:styleId="1048">
    <w:name w:val="标题 5"/>
    <w:basedOn w:val="1043"/>
    <w:next w:val="1043"/>
    <w:link w:val="1058"/>
    <w:uiPriority w:val="99"/>
    <w:qFormat/>
    <w:pPr>
      <w:keepLines/>
      <w:keepNext/>
      <w:spacing w:before="280" w:after="290" w:line="376" w:lineRule="auto"/>
      <w:widowControl w:val="off"/>
      <w:outlineLvl w:val="4"/>
    </w:pPr>
    <w:rPr>
      <w:b/>
      <w:bCs/>
      <w:sz w:val="28"/>
      <w:szCs w:val="28"/>
    </w:rPr>
  </w:style>
  <w:style w:type="paragraph" w:styleId="1049">
    <w:name w:val="标题 6"/>
    <w:basedOn w:val="1043"/>
    <w:next w:val="1043"/>
    <w:link w:val="1059"/>
    <w:uiPriority w:val="99"/>
    <w:qFormat/>
    <w:pPr>
      <w:keepLines/>
      <w:keepNext/>
      <w:spacing w:before="240" w:after="64" w:line="320" w:lineRule="auto"/>
      <w:widowControl w:val="off"/>
      <w:outlineLvl w:val="5"/>
    </w:pPr>
    <w:rPr>
      <w:rFonts w:ascii="Cambria" w:hAnsi="Cambria"/>
      <w:b/>
      <w:bCs/>
      <w:sz w:val="24"/>
    </w:rPr>
  </w:style>
  <w:style w:type="paragraph" w:styleId="1050">
    <w:name w:val="标题 7"/>
    <w:basedOn w:val="1043"/>
    <w:next w:val="1043"/>
    <w:link w:val="1060"/>
    <w:uiPriority w:val="99"/>
    <w:qFormat/>
    <w:pPr>
      <w:keepLines/>
      <w:keepNext/>
      <w:spacing w:before="240" w:after="64" w:line="320" w:lineRule="auto"/>
      <w:widowControl w:val="off"/>
      <w:outlineLvl w:val="6"/>
    </w:pPr>
    <w:rPr>
      <w:b/>
      <w:bCs/>
      <w:sz w:val="24"/>
    </w:rPr>
  </w:style>
  <w:style w:type="paragraph" w:styleId="1051">
    <w:name w:val="标题 8"/>
    <w:basedOn w:val="1043"/>
    <w:next w:val="1043"/>
    <w:link w:val="1061"/>
    <w:uiPriority w:val="99"/>
    <w:qFormat/>
    <w:pPr>
      <w:keepLines/>
      <w:keepNext/>
      <w:spacing w:before="240" w:after="64" w:line="320" w:lineRule="auto"/>
      <w:widowControl w:val="off"/>
      <w:outlineLvl w:val="7"/>
    </w:pPr>
    <w:rPr>
      <w:rFonts w:ascii="Cambria" w:hAnsi="Cambria"/>
      <w:sz w:val="24"/>
    </w:rPr>
  </w:style>
  <w:style w:type="paragraph" w:styleId="1052">
    <w:name w:val="标题 9"/>
    <w:basedOn w:val="1043"/>
    <w:next w:val="1043"/>
    <w:link w:val="1062"/>
    <w:uiPriority w:val="99"/>
    <w:qFormat/>
    <w:pPr>
      <w:keepLines/>
      <w:keepNext/>
      <w:spacing w:before="240" w:after="64" w:line="320" w:lineRule="auto"/>
      <w:widowControl w:val="off"/>
      <w:outlineLvl w:val="8"/>
    </w:pPr>
    <w:rPr>
      <w:rFonts w:ascii="Cambria" w:hAnsi="Cambria"/>
      <w:szCs w:val="21"/>
    </w:rPr>
  </w:style>
  <w:style w:type="character" w:styleId="1053">
    <w:name w:val="默认段落字体"/>
    <w:next w:val="1053"/>
    <w:link w:val="1043"/>
    <w:uiPriority w:val="1"/>
    <w:unhideWhenUsed/>
  </w:style>
  <w:style w:type="table" w:styleId="1054">
    <w:name w:val="普通表格"/>
    <w:next w:val="1054"/>
    <w:link w:val="1043"/>
    <w:uiPriority w:val="99"/>
    <w:unhideWhenUsed/>
    <w:qFormat/>
    <w:tblPr/>
  </w:style>
  <w:style w:type="character" w:styleId="1055">
    <w:name w:val="标题 2 Char"/>
    <w:next w:val="1055"/>
    <w:link w:val="1045"/>
    <w:uiPriority w:val="99"/>
    <w:qFormat/>
    <w:rPr>
      <w:rFonts w:ascii="Arial" w:hAnsi="Arial" w:eastAsia="黑体" w:cs="Arial"/>
      <w:b/>
      <w:bCs/>
      <w:sz w:val="32"/>
      <w:szCs w:val="32"/>
    </w:rPr>
  </w:style>
  <w:style w:type="character" w:styleId="1056">
    <w:name w:val="标题 3 Char"/>
    <w:next w:val="1056"/>
    <w:link w:val="1046"/>
    <w:uiPriority w:val="99"/>
    <w:qFormat/>
    <w:rPr>
      <w:rFonts w:cs="Times New Roman"/>
      <w:b/>
      <w:bCs/>
      <w:sz w:val="32"/>
      <w:szCs w:val="32"/>
    </w:rPr>
  </w:style>
  <w:style w:type="character" w:styleId="1057">
    <w:name w:val="标题 4 Char"/>
    <w:next w:val="1057"/>
    <w:link w:val="1047"/>
    <w:uiPriority w:val="99"/>
    <w:qFormat/>
    <w:rPr>
      <w:rFonts w:ascii="Cambria" w:hAnsi="Cambria" w:cs="Times New Roman"/>
      <w:b/>
      <w:bCs/>
      <w:sz w:val="28"/>
      <w:szCs w:val="28"/>
    </w:rPr>
  </w:style>
  <w:style w:type="character" w:styleId="1058">
    <w:name w:val="标题 5 Char"/>
    <w:next w:val="1058"/>
    <w:link w:val="1048"/>
    <w:uiPriority w:val="99"/>
    <w:qFormat/>
    <w:rPr>
      <w:rFonts w:cs="Times New Roman"/>
      <w:b/>
      <w:bCs/>
      <w:sz w:val="28"/>
      <w:szCs w:val="28"/>
    </w:rPr>
  </w:style>
  <w:style w:type="character" w:styleId="1059">
    <w:name w:val="标题 6 Char"/>
    <w:next w:val="1059"/>
    <w:link w:val="1049"/>
    <w:uiPriority w:val="99"/>
    <w:qFormat/>
    <w:rPr>
      <w:rFonts w:ascii="Cambria" w:hAnsi="Cambria" w:cs="Times New Roman"/>
      <w:b/>
      <w:bCs/>
      <w:sz w:val="24"/>
      <w:szCs w:val="24"/>
    </w:rPr>
  </w:style>
  <w:style w:type="character" w:styleId="1060">
    <w:name w:val="标题 7 Char"/>
    <w:next w:val="1060"/>
    <w:link w:val="1050"/>
    <w:uiPriority w:val="99"/>
    <w:qFormat/>
    <w:rPr>
      <w:rFonts w:cs="Times New Roman"/>
      <w:b/>
      <w:bCs/>
      <w:sz w:val="24"/>
      <w:szCs w:val="24"/>
    </w:rPr>
  </w:style>
  <w:style w:type="character" w:styleId="1061">
    <w:name w:val="标题 8 Char"/>
    <w:next w:val="1061"/>
    <w:link w:val="1051"/>
    <w:uiPriority w:val="99"/>
    <w:qFormat/>
    <w:rPr>
      <w:rFonts w:ascii="Cambria" w:hAnsi="Cambria" w:cs="Times New Roman"/>
      <w:sz w:val="24"/>
      <w:szCs w:val="24"/>
    </w:rPr>
  </w:style>
  <w:style w:type="character" w:styleId="1062">
    <w:name w:val="标题 9 Char"/>
    <w:next w:val="1062"/>
    <w:link w:val="1052"/>
    <w:uiPriority w:val="99"/>
    <w:qFormat/>
    <w:rPr>
      <w:rFonts w:ascii="Cambria" w:hAnsi="Cambria" w:cs="Times New Roman"/>
      <w:sz w:val="21"/>
      <w:szCs w:val="21"/>
    </w:rPr>
  </w:style>
  <w:style w:type="paragraph" w:styleId="1063">
    <w:name w:val="正文缩进"/>
    <w:basedOn w:val="1043"/>
    <w:next w:val="1063"/>
    <w:link w:val="1043"/>
    <w:uiPriority w:val="99"/>
    <w:semiHidden/>
    <w:qFormat/>
    <w:pPr>
      <w:ind w:firstLine="420"/>
      <w:widowControl w:val="off"/>
    </w:pPr>
  </w:style>
  <w:style w:type="paragraph" w:styleId="1064">
    <w:name w:val="批注文字"/>
    <w:basedOn w:val="1043"/>
    <w:next w:val="1064"/>
    <w:link w:val="1065"/>
    <w:qFormat/>
    <w:pPr>
      <w:contextualSpacing/>
      <w:jc w:val="left"/>
      <w:widowControl w:val="off"/>
    </w:pPr>
    <w:rPr>
      <w:color w:val="0000ff"/>
      <w:sz w:val="24"/>
    </w:rPr>
  </w:style>
  <w:style w:type="character" w:styleId="1065">
    <w:name w:val="批注文字 Char"/>
    <w:next w:val="1065"/>
    <w:link w:val="1064"/>
    <w:qFormat/>
    <w:rPr>
      <w:rFonts w:cs="Times New Roman"/>
      <w:color w:val="0000ff"/>
      <w:sz w:val="24"/>
      <w:szCs w:val="24"/>
      <w:lang w:val="en-US" w:eastAsia="zh-CN" w:bidi="ar-SA"/>
    </w:rPr>
  </w:style>
  <w:style w:type="paragraph" w:styleId="1066">
    <w:name w:val="正文文本"/>
    <w:basedOn w:val="1043"/>
    <w:next w:val="1066"/>
    <w:link w:val="1067"/>
    <w:uiPriority w:val="99"/>
    <w:qFormat/>
    <w:rPr>
      <w:sz w:val="24"/>
    </w:rPr>
  </w:style>
  <w:style w:type="character" w:styleId="1067">
    <w:name w:val="正文文本 Char"/>
    <w:next w:val="1067"/>
    <w:link w:val="1066"/>
    <w:uiPriority w:val="99"/>
    <w:semiHidden/>
    <w:qFormat/>
    <w:rPr>
      <w:rFonts w:cs="Times New Roman"/>
      <w:sz w:val="24"/>
      <w:szCs w:val="24"/>
    </w:rPr>
  </w:style>
  <w:style w:type="paragraph" w:styleId="1068">
    <w:name w:val="目录 5"/>
    <w:basedOn w:val="1043"/>
    <w:next w:val="1043"/>
    <w:link w:val="1043"/>
    <w:uiPriority w:val="99"/>
    <w:semiHidden/>
    <w:qFormat/>
    <w:pPr>
      <w:ind w:left="840"/>
      <w:jc w:val="left"/>
    </w:pPr>
    <w:rPr>
      <w:sz w:val="18"/>
    </w:rPr>
  </w:style>
  <w:style w:type="paragraph" w:styleId="1069">
    <w:name w:val="目录 3"/>
    <w:basedOn w:val="1043"/>
    <w:next w:val="1043"/>
    <w:link w:val="1043"/>
    <w:uiPriority w:val="99"/>
    <w:semiHidden/>
    <w:qFormat/>
    <w:pPr>
      <w:ind w:left="420"/>
      <w:jc w:val="left"/>
    </w:pPr>
    <w:rPr>
      <w:i/>
      <w:sz w:val="20"/>
    </w:rPr>
  </w:style>
  <w:style w:type="paragraph" w:styleId="1070">
    <w:name w:val="纯文本"/>
    <w:basedOn w:val="1043"/>
    <w:next w:val="1070"/>
    <w:link w:val="1071"/>
    <w:uiPriority w:val="99"/>
    <w:qFormat/>
    <w:pPr>
      <w:widowControl w:val="off"/>
    </w:pPr>
    <w:rPr>
      <w:rFonts w:ascii="宋体" w:hAnsi="Courier New"/>
      <w:sz w:val="20"/>
      <w:szCs w:val="20"/>
    </w:rPr>
  </w:style>
  <w:style w:type="character" w:styleId="1071">
    <w:name w:val="纯文本 Char"/>
    <w:next w:val="1071"/>
    <w:link w:val="1070"/>
    <w:uiPriority w:val="99"/>
    <w:qFormat/>
    <w:rPr>
      <w:rFonts w:ascii="宋体" w:hAnsi="Courier New" w:cs="Times New Roman"/>
    </w:rPr>
  </w:style>
  <w:style w:type="paragraph" w:styleId="1072">
    <w:name w:val="日期"/>
    <w:basedOn w:val="1043"/>
    <w:next w:val="1043"/>
    <w:link w:val="1073"/>
    <w:uiPriority w:val="99"/>
    <w:qFormat/>
    <w:rPr>
      <w:sz w:val="24"/>
      <w:szCs w:val="20"/>
    </w:rPr>
  </w:style>
  <w:style w:type="character" w:styleId="1073">
    <w:name w:val="日期 Char"/>
    <w:next w:val="1073"/>
    <w:link w:val="1072"/>
    <w:uiPriority w:val="99"/>
    <w:qFormat/>
    <w:rPr>
      <w:rFonts w:cs="Times New Roman"/>
      <w:sz w:val="24"/>
    </w:rPr>
  </w:style>
  <w:style w:type="paragraph" w:styleId="1074">
    <w:name w:val="批注框文本"/>
    <w:basedOn w:val="1043"/>
    <w:next w:val="1074"/>
    <w:link w:val="1075"/>
    <w:rPr>
      <w:sz w:val="18"/>
      <w:szCs w:val="18"/>
    </w:rPr>
  </w:style>
  <w:style w:type="character" w:styleId="1075">
    <w:name w:val="批注框文本 Char"/>
    <w:next w:val="1075"/>
    <w:link w:val="1074"/>
    <w:qFormat/>
    <w:rPr>
      <w:rFonts w:cs="Times New Roman"/>
      <w:sz w:val="18"/>
      <w:szCs w:val="18"/>
    </w:rPr>
  </w:style>
  <w:style w:type="paragraph" w:styleId="1076">
    <w:name w:val="页脚"/>
    <w:basedOn w:val="1043"/>
    <w:next w:val="1076"/>
    <w:link w:val="1077"/>
    <w:qFormat/>
    <w:pPr>
      <w:jc w:val="left"/>
      <w:tabs>
        <w:tab w:val="center" w:pos="4153" w:leader="none"/>
        <w:tab w:val="right" w:pos="8306" w:leader="none"/>
      </w:tabs>
    </w:pPr>
    <w:rPr>
      <w:sz w:val="18"/>
      <w:szCs w:val="18"/>
    </w:rPr>
  </w:style>
  <w:style w:type="character" w:styleId="1077">
    <w:name w:val="页脚 Char"/>
    <w:next w:val="1077"/>
    <w:link w:val="1076"/>
    <w:qFormat/>
    <w:rPr>
      <w:rFonts w:cs="Times New Roman"/>
      <w:sz w:val="18"/>
      <w:szCs w:val="18"/>
    </w:rPr>
  </w:style>
  <w:style w:type="paragraph" w:styleId="1078">
    <w:name w:val="页眉"/>
    <w:basedOn w:val="1043"/>
    <w:next w:val="1078"/>
    <w:link w:val="1079"/>
    <w:qFormat/>
    <w:pPr>
      <w:jc w:val="center"/>
      <w:tabs>
        <w:tab w:val="center" w:pos="4153" w:leader="none"/>
        <w:tab w:val="right" w:pos="8306" w:leader="none"/>
      </w:tabs>
      <w:pBdr>
        <w:bottom w:val="single" w:color="000000" w:sz="6" w:space="1"/>
      </w:pBdr>
    </w:pPr>
    <w:rPr>
      <w:sz w:val="18"/>
      <w:szCs w:val="18"/>
    </w:rPr>
  </w:style>
  <w:style w:type="character" w:styleId="1079">
    <w:name w:val="页眉 Char"/>
    <w:next w:val="1079"/>
    <w:link w:val="1078"/>
    <w:qFormat/>
    <w:rPr>
      <w:rFonts w:cs="Times New Roman"/>
      <w:sz w:val="18"/>
      <w:szCs w:val="18"/>
    </w:rPr>
  </w:style>
  <w:style w:type="paragraph" w:styleId="1080">
    <w:name w:val="目录 1"/>
    <w:basedOn w:val="1043"/>
    <w:next w:val="1043"/>
    <w:link w:val="1043"/>
    <w:uiPriority w:val="39"/>
    <w:unhideWhenUsed/>
  </w:style>
  <w:style w:type="paragraph" w:styleId="1081">
    <w:name w:val="目录 4"/>
    <w:basedOn w:val="1043"/>
    <w:next w:val="1043"/>
    <w:link w:val="1043"/>
    <w:uiPriority w:val="99"/>
    <w:semiHidden/>
    <w:qFormat/>
    <w:pPr>
      <w:ind w:left="630"/>
      <w:jc w:val="left"/>
    </w:pPr>
    <w:rPr>
      <w:sz w:val="18"/>
    </w:rPr>
  </w:style>
  <w:style w:type="paragraph" w:styleId="1082">
    <w:name w:val="列表"/>
    <w:basedOn w:val="1083"/>
    <w:next w:val="1082"/>
    <w:link w:val="1043"/>
    <w:uiPriority w:val="99"/>
    <w:qFormat/>
    <w:pPr>
      <w:jc w:val="left"/>
      <w:spacing w:after="120"/>
    </w:pPr>
    <w:rPr>
      <w:rFonts w:eastAsia="宋体"/>
      <w:b w:val="0"/>
    </w:rPr>
  </w:style>
  <w:style w:type="paragraph" w:styleId="1083">
    <w:name w:val="BodyText1"/>
    <w:basedOn w:val="1043"/>
    <w:next w:val="1083"/>
    <w:link w:val="1084"/>
    <w:uiPriority w:val="99"/>
    <w:qFormat/>
    <w:pPr>
      <w:jc w:val="center"/>
    </w:pPr>
    <w:rPr>
      <w:rFonts w:eastAsia="幼圆"/>
      <w:b/>
      <w:sz w:val="24"/>
      <w:szCs w:val="20"/>
    </w:rPr>
  </w:style>
  <w:style w:type="character" w:styleId="1084">
    <w:name w:val="UserStyle_52"/>
    <w:next w:val="1084"/>
    <w:link w:val="1083"/>
    <w:uiPriority w:val="99"/>
    <w:qFormat/>
    <w:rPr>
      <w:rFonts w:eastAsia="幼圆"/>
      <w:b/>
      <w:sz w:val="24"/>
    </w:rPr>
  </w:style>
  <w:style w:type="paragraph" w:styleId="1085">
    <w:name w:val="目录 2"/>
    <w:basedOn w:val="1043"/>
    <w:next w:val="1043"/>
    <w:link w:val="1043"/>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86">
    <w:name w:val="HTML 预设格式"/>
    <w:basedOn w:val="1043"/>
    <w:next w:val="1086"/>
    <w:link w:val="1087"/>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7">
    <w:name w:val="HTML 预设格式 Char"/>
    <w:next w:val="1087"/>
    <w:link w:val="1086"/>
    <w:uiPriority w:val="99"/>
    <w:semiHidden/>
    <w:rPr>
      <w:rFonts w:ascii="宋体" w:hAnsi="宋体" w:cs="宋体"/>
      <w:sz w:val="24"/>
      <w:szCs w:val="24"/>
    </w:rPr>
  </w:style>
  <w:style w:type="paragraph" w:styleId="1088">
    <w:name w:val="普通(网站)"/>
    <w:basedOn w:val="1043"/>
    <w:next w:val="1088"/>
    <w:link w:val="1043"/>
    <w:uiPriority w:val="99"/>
    <w:qFormat/>
    <w:pPr>
      <w:jc w:val="left"/>
      <w:spacing w:before="100" w:beforeAutospacing="1" w:after="100" w:afterAutospacing="1"/>
    </w:pPr>
    <w:rPr>
      <w:rFonts w:ascii="Arial" w:hAnsi="Arial" w:cs="Arial"/>
      <w:sz w:val="24"/>
    </w:rPr>
  </w:style>
  <w:style w:type="paragraph" w:styleId="1089">
    <w:name w:val="标题"/>
    <w:basedOn w:val="1043"/>
    <w:next w:val="1089"/>
    <w:link w:val="1090"/>
    <w:uiPriority w:val="99"/>
    <w:qFormat/>
    <w:pPr>
      <w:jc w:val="center"/>
    </w:pPr>
    <w:rPr>
      <w:b/>
      <w:sz w:val="30"/>
      <w:szCs w:val="20"/>
    </w:rPr>
  </w:style>
  <w:style w:type="character" w:styleId="1090">
    <w:name w:val="标题 Char"/>
    <w:next w:val="1090"/>
    <w:link w:val="1089"/>
    <w:uiPriority w:val="99"/>
    <w:qFormat/>
    <w:rPr>
      <w:rFonts w:cs="Times New Roman"/>
      <w:b/>
      <w:sz w:val="30"/>
    </w:rPr>
  </w:style>
  <w:style w:type="paragraph" w:styleId="1091">
    <w:name w:val="批注主题"/>
    <w:basedOn w:val="1064"/>
    <w:next w:val="1064"/>
    <w:link w:val="1092"/>
    <w:qFormat/>
    <w:rPr>
      <w:b/>
      <w:bCs/>
      <w:color w:val="000000"/>
    </w:rPr>
  </w:style>
  <w:style w:type="character" w:styleId="1092">
    <w:name w:val="批注主题 Char"/>
    <w:next w:val="1092"/>
    <w:link w:val="1091"/>
    <w:qFormat/>
    <w:rPr>
      <w:rFonts w:cs="Times New Roman"/>
      <w:b/>
      <w:bCs/>
      <w:sz w:val="24"/>
      <w:szCs w:val="24"/>
    </w:rPr>
  </w:style>
  <w:style w:type="table" w:styleId="1093">
    <w:name w:val="网格型"/>
    <w:basedOn w:val="1054"/>
    <w:next w:val="1093"/>
    <w:link w:val="1043"/>
    <w:uiPriority w:val="99"/>
    <w:qFormat/>
    <w:tblPr/>
  </w:style>
  <w:style w:type="character" w:styleId="1094">
    <w:name w:val="已访问的超链接"/>
    <w:next w:val="1094"/>
    <w:link w:val="1043"/>
    <w:uiPriority w:val="99"/>
    <w:qFormat/>
    <w:rPr>
      <w:rFonts w:cs="Times New Roman"/>
      <w:color w:val="000000"/>
      <w:sz w:val="18"/>
    </w:rPr>
  </w:style>
  <w:style w:type="character" w:styleId="1095">
    <w:name w:val="强调"/>
    <w:next w:val="1095"/>
    <w:link w:val="1043"/>
    <w:uiPriority w:val="99"/>
    <w:qFormat/>
    <w:rPr>
      <w:rFonts w:cs="Times New Roman"/>
      <w:color w:val="cc0000"/>
    </w:rPr>
  </w:style>
  <w:style w:type="character" w:styleId="1096">
    <w:name w:val="HTML 打字机"/>
    <w:next w:val="1096"/>
    <w:link w:val="1043"/>
    <w:uiPriority w:val="99"/>
    <w:unhideWhenUsed/>
    <w:qFormat/>
    <w:rPr>
      <w:rFonts w:ascii="monospace" w:hAnsi="monospace" w:eastAsia="monospace" w:cs="monospace"/>
      <w:sz w:val="20"/>
    </w:rPr>
  </w:style>
  <w:style w:type="character" w:styleId="1097">
    <w:name w:val="HTML 缩写"/>
    <w:next w:val="1097"/>
    <w:link w:val="1043"/>
    <w:uiPriority w:val="99"/>
    <w:unhideWhenUsed/>
    <w:qFormat/>
  </w:style>
  <w:style w:type="character" w:styleId="1098">
    <w:name w:val="超链接"/>
    <w:next w:val="1098"/>
    <w:link w:val="1043"/>
    <w:qFormat/>
    <w:rPr>
      <w:rFonts w:cs="Times New Roman"/>
      <w:color w:val="000000"/>
      <w:sz w:val="18"/>
    </w:rPr>
  </w:style>
  <w:style w:type="character" w:styleId="1099">
    <w:name w:val="HTML 代码"/>
    <w:next w:val="1099"/>
    <w:link w:val="1043"/>
    <w:uiPriority w:val="99"/>
    <w:unhideWhenUsed/>
    <w:qFormat/>
    <w:rPr>
      <w:rFonts w:ascii="monospace" w:hAnsi="monospace" w:eastAsia="monospace" w:cs="monospace"/>
      <w:sz w:val="20"/>
    </w:rPr>
  </w:style>
  <w:style w:type="character" w:styleId="1100">
    <w:name w:val="批注引用"/>
    <w:next w:val="1100"/>
    <w:link w:val="1043"/>
    <w:qFormat/>
    <w:rPr>
      <w:rFonts w:cs="Times New Roman"/>
      <w:sz w:val="21"/>
      <w:szCs w:val="21"/>
    </w:rPr>
  </w:style>
  <w:style w:type="character" w:styleId="1101">
    <w:name w:val="HTML 引文"/>
    <w:next w:val="1101"/>
    <w:link w:val="1043"/>
    <w:uiPriority w:val="99"/>
    <w:unhideWhenUsed/>
    <w:qFormat/>
    <w:rPr>
      <w:color w:val="008000"/>
    </w:rPr>
  </w:style>
  <w:style w:type="character" w:styleId="1102">
    <w:name w:val="HTML 键盘"/>
    <w:next w:val="1102"/>
    <w:link w:val="1043"/>
    <w:uiPriority w:val="99"/>
    <w:unhideWhenUsed/>
    <w:qFormat/>
    <w:rPr>
      <w:rFonts w:ascii="monospace" w:hAnsi="monospace" w:eastAsia="monospace" w:cs="monospace"/>
      <w:sz w:val="20"/>
    </w:rPr>
  </w:style>
  <w:style w:type="character" w:styleId="1103">
    <w:name w:val="HTML 样本"/>
    <w:next w:val="1103"/>
    <w:link w:val="1043"/>
    <w:uiPriority w:val="99"/>
    <w:unhideWhenUsed/>
    <w:qFormat/>
    <w:rPr>
      <w:rFonts w:ascii="monospace" w:hAnsi="monospace" w:eastAsia="monospace" w:cs="monospace"/>
    </w:rPr>
  </w:style>
  <w:style w:type="character" w:styleId="1104">
    <w:name w:val="标题 1 Char"/>
    <w:next w:val="1104"/>
    <w:link w:val="1105"/>
    <w:uiPriority w:val="99"/>
    <w:qFormat/>
    <w:rPr>
      <w:b/>
      <w:bCs/>
      <w:sz w:val="44"/>
      <w:szCs w:val="44"/>
      <w:lang w:eastAsia="en-US"/>
    </w:rPr>
  </w:style>
  <w:style w:type="paragraph" w:styleId="1105">
    <w:name w:val="标题 11"/>
    <w:basedOn w:val="1043"/>
    <w:next w:val="1043"/>
    <w:link w:val="1104"/>
    <w:uiPriority w:val="99"/>
    <w:qFormat/>
    <w:pPr>
      <w:jc w:val="center"/>
      <w:keepLines/>
      <w:keepNext/>
      <w:spacing w:before="340" w:after="330" w:line="578" w:lineRule="auto"/>
      <w:widowControl w:val="off"/>
      <w:outlineLvl w:val="0"/>
    </w:pPr>
    <w:rPr>
      <w:b/>
      <w:bCs/>
      <w:sz w:val="44"/>
      <w:szCs w:val="44"/>
      <w:lang w:eastAsia="en-US"/>
    </w:rPr>
  </w:style>
  <w:style w:type="character" w:styleId="1106">
    <w:name w:val="UserStyle_39"/>
    <w:next w:val="1106"/>
    <w:link w:val="1107"/>
    <w:uiPriority w:val="99"/>
    <w:qFormat/>
    <w:rPr>
      <w:rFonts w:ascii="Arial" w:hAnsi="Arial"/>
      <w:sz w:val="24"/>
    </w:rPr>
  </w:style>
  <w:style w:type="paragraph" w:styleId="1107">
    <w:name w:val="UserStyle_40"/>
    <w:basedOn w:val="1108"/>
    <w:next w:val="1107"/>
    <w:link w:val="1106"/>
    <w:uiPriority w:val="99"/>
    <w:qFormat/>
  </w:style>
  <w:style w:type="paragraph" w:styleId="1108">
    <w:name w:val="UserStyle_9"/>
    <w:basedOn w:val="1043"/>
    <w:next w:val="1108"/>
    <w:link w:val="1109"/>
    <w:uiPriority w:val="99"/>
    <w:qFormat/>
    <w:pPr>
      <w:ind w:left="3240" w:hanging="3240"/>
    </w:pPr>
    <w:rPr>
      <w:rFonts w:ascii="Arial" w:hAnsi="Arial"/>
      <w:sz w:val="24"/>
      <w:szCs w:val="20"/>
    </w:rPr>
  </w:style>
  <w:style w:type="character" w:styleId="1109">
    <w:name w:val="UserStyle_8"/>
    <w:next w:val="1109"/>
    <w:link w:val="1108"/>
    <w:uiPriority w:val="99"/>
    <w:qFormat/>
    <w:rPr>
      <w:rFonts w:ascii="Arial" w:hAnsi="Arial"/>
      <w:sz w:val="24"/>
    </w:rPr>
  </w:style>
  <w:style w:type="character" w:styleId="1110">
    <w:name w:val="UserStyle_35"/>
    <w:next w:val="1110"/>
    <w:link w:val="1043"/>
    <w:uiPriority w:val="99"/>
    <w:qFormat/>
    <w:rPr>
      <w:rFonts w:ascii="Cambria" w:hAnsi="Cambria"/>
      <w:b/>
      <w:sz w:val="24"/>
    </w:rPr>
  </w:style>
  <w:style w:type="character" w:styleId="1111">
    <w:name w:val="UserStyle_46"/>
    <w:next w:val="1111"/>
    <w:link w:val="1043"/>
    <w:uiPriority w:val="99"/>
    <w:qFormat/>
    <w:rPr>
      <w:rFonts w:ascii="Verdana" w:hAnsi="Verdana"/>
      <w:sz w:val="21"/>
    </w:rPr>
  </w:style>
  <w:style w:type="character" w:styleId="1112">
    <w:name w:val="UserStyle_14"/>
    <w:next w:val="1112"/>
    <w:link w:val="1043"/>
    <w:uiPriority w:val="99"/>
    <w:qFormat/>
    <w:rPr>
      <w:rFonts w:ascii="宋体" w:hAnsi="宋体" w:eastAsia="宋体"/>
      <w:color w:val="000000"/>
      <w:sz w:val="20"/>
    </w:rPr>
  </w:style>
  <w:style w:type="character" w:styleId="1113">
    <w:name w:val="UserStyle_47"/>
    <w:next w:val="1113"/>
    <w:link w:val="1114"/>
    <w:uiPriority w:val="99"/>
    <w:qFormat/>
    <w:rPr>
      <w:rFonts w:ascii="宋体" w:hAnsi="Courier New" w:eastAsia="楷体_GB2312"/>
      <w:sz w:val="26"/>
    </w:rPr>
  </w:style>
  <w:style w:type="paragraph" w:styleId="1114">
    <w:name w:val="UserStyle_48"/>
    <w:basedOn w:val="1043"/>
    <w:next w:val="1114"/>
    <w:link w:val="1113"/>
    <w:uiPriority w:val="99"/>
    <w:qFormat/>
    <w:rPr>
      <w:rFonts w:ascii="宋体" w:hAnsi="Courier New" w:eastAsia="楷体_GB2312"/>
      <w:sz w:val="26"/>
      <w:szCs w:val="20"/>
    </w:rPr>
  </w:style>
  <w:style w:type="character" w:styleId="1115">
    <w:name w:val="UserStyle_13"/>
    <w:next w:val="1115"/>
    <w:link w:val="1043"/>
    <w:uiPriority w:val="99"/>
    <w:qFormat/>
    <w:rPr>
      <w:rFonts w:ascii="宋体" w:hAnsi="宋体" w:eastAsia="宋体"/>
      <w:color w:val="000000"/>
      <w:sz w:val="24"/>
    </w:rPr>
  </w:style>
  <w:style w:type="character" w:styleId="1116">
    <w:name w:val="UserStyle_44"/>
    <w:next w:val="1116"/>
    <w:link w:val="1043"/>
    <w:uiPriority w:val="99"/>
    <w:qFormat/>
    <w:rPr>
      <w:rFonts w:ascii="Cambria" w:hAnsi="Cambria"/>
      <w:sz w:val="21"/>
    </w:rPr>
  </w:style>
  <w:style w:type="character" w:styleId="1117">
    <w:name w:val="UserStyle_45"/>
    <w:next w:val="1117"/>
    <w:link w:val="1043"/>
    <w:uiPriority w:val="99"/>
    <w:qFormat/>
    <w:rPr>
      <w:b/>
      <w:sz w:val="24"/>
    </w:rPr>
  </w:style>
  <w:style w:type="character" w:styleId="1118">
    <w:name w:val="UserStyle_19"/>
    <w:next w:val="1118"/>
    <w:link w:val="1043"/>
    <w:uiPriority w:val="99"/>
    <w:qFormat/>
    <w:rPr>
      <w:b/>
      <w:sz w:val="28"/>
    </w:rPr>
  </w:style>
  <w:style w:type="character" w:styleId="1119">
    <w:name w:val="UserStyle_32"/>
    <w:next w:val="1119"/>
    <w:link w:val="1043"/>
    <w:uiPriority w:val="99"/>
    <w:qFormat/>
    <w:rPr>
      <w:rFonts w:ascii="Cambria" w:hAnsi="Cambria"/>
      <w:b/>
      <w:sz w:val="32"/>
    </w:rPr>
  </w:style>
  <w:style w:type="character" w:styleId="1120">
    <w:name w:val="UserStyle_16"/>
    <w:next w:val="1120"/>
    <w:link w:val="1121"/>
    <w:uiPriority w:val="99"/>
    <w:qFormat/>
    <w:rPr>
      <w:sz w:val="18"/>
    </w:rPr>
  </w:style>
  <w:style w:type="paragraph" w:styleId="1121">
    <w:name w:val="页脚1"/>
    <w:basedOn w:val="1043"/>
    <w:next w:val="1121"/>
    <w:link w:val="1120"/>
    <w:uiPriority w:val="99"/>
    <w:qFormat/>
    <w:pPr>
      <w:jc w:val="left"/>
      <w:tabs>
        <w:tab w:val="center" w:pos="4153" w:leader="none"/>
        <w:tab w:val="right" w:pos="8306" w:leader="none"/>
      </w:tabs>
    </w:pPr>
    <w:rPr>
      <w:sz w:val="18"/>
      <w:szCs w:val="20"/>
    </w:rPr>
  </w:style>
  <w:style w:type="character" w:styleId="1122">
    <w:name w:val="UserStyle_29"/>
    <w:next w:val="1122"/>
    <w:link w:val="1043"/>
    <w:uiPriority w:val="99"/>
    <w:qFormat/>
    <w:rPr>
      <w:rFonts w:eastAsia="宋体"/>
      <w:sz w:val="24"/>
      <w:lang w:val="en-US" w:eastAsia="zh-CN"/>
    </w:rPr>
  </w:style>
  <w:style w:type="character" w:styleId="1123">
    <w:name w:val="UserStyle_36"/>
    <w:next w:val="1123"/>
    <w:link w:val="1043"/>
    <w:uiPriority w:val="99"/>
    <w:qFormat/>
    <w:rPr>
      <w:rFonts w:eastAsia="宋体"/>
      <w:sz w:val="18"/>
      <w:lang w:val="en-US" w:eastAsia="zh-CN"/>
    </w:rPr>
  </w:style>
  <w:style w:type="character" w:styleId="1124">
    <w:name w:val="HtmlCode1"/>
    <w:next w:val="1124"/>
    <w:link w:val="1043"/>
    <w:uiPriority w:val="99"/>
    <w:qFormat/>
    <w:rPr>
      <w:rFonts w:ascii="Courier New" w:hAnsi="Courier New"/>
      <w:sz w:val="20"/>
    </w:rPr>
  </w:style>
  <w:style w:type="character" w:styleId="1125">
    <w:name w:val="UserStyle_31"/>
    <w:next w:val="1125"/>
    <w:link w:val="1126"/>
    <w:uiPriority w:val="99"/>
    <w:semiHidden/>
    <w:qFormat/>
    <w:rPr>
      <w:rFonts w:ascii="Courier New" w:hAnsi="Courier New"/>
      <w:lang w:val="en-US" w:eastAsia="zh-CN" w:bidi="ar-SA"/>
    </w:rPr>
  </w:style>
  <w:style w:type="paragraph" w:styleId="1126">
    <w:name w:val="宏文本1"/>
    <w:next w:val="1126"/>
    <w:link w:val="1125"/>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127">
    <w:name w:val="UserStyle_22"/>
    <w:next w:val="1127"/>
    <w:link w:val="1043"/>
    <w:uiPriority w:val="99"/>
    <w:qFormat/>
    <w:rPr>
      <w:rFonts w:ascii="Times New Roman" w:hAnsi="Times New Roman"/>
      <w:color w:val="000000"/>
      <w:sz w:val="21"/>
    </w:rPr>
  </w:style>
  <w:style w:type="character" w:styleId="1128">
    <w:name w:val="UserStyle_26"/>
    <w:next w:val="1128"/>
    <w:link w:val="1129"/>
    <w:uiPriority w:val="99"/>
    <w:qFormat/>
    <w:rPr>
      <w:sz w:val="24"/>
    </w:rPr>
  </w:style>
  <w:style w:type="paragraph" w:styleId="1129">
    <w:name w:val="BodyTextIndent1"/>
    <w:basedOn w:val="1043"/>
    <w:next w:val="1129"/>
    <w:link w:val="1128"/>
    <w:uiPriority w:val="99"/>
    <w:qFormat/>
    <w:pPr>
      <w:ind w:left="420"/>
      <w:spacing w:after="120"/>
    </w:pPr>
    <w:rPr>
      <w:sz w:val="24"/>
      <w:szCs w:val="20"/>
    </w:rPr>
  </w:style>
  <w:style w:type="character" w:styleId="1130">
    <w:name w:val="UserStyle_50"/>
    <w:next w:val="1130"/>
    <w:link w:val="1131"/>
    <w:uiPriority w:val="99"/>
    <w:qFormat/>
    <w:rPr>
      <w:rFonts w:ascii="宋体"/>
      <w:sz w:val="28"/>
    </w:rPr>
  </w:style>
  <w:style w:type="paragraph" w:styleId="1131">
    <w:name w:val="UserStyle_51"/>
    <w:basedOn w:val="1043"/>
    <w:next w:val="1131"/>
    <w:link w:val="1130"/>
    <w:uiPriority w:val="99"/>
    <w:qFormat/>
    <w:pPr>
      <w:numPr>
        <w:ilvl w:val="0"/>
        <w:numId w:val="1"/>
      </w:numPr>
      <w:ind w:left="0" w:firstLine="0"/>
      <w:spacing w:before="120"/>
      <w:tabs>
        <w:tab w:val="left" w:pos="720" w:leader="none"/>
      </w:tabs>
    </w:pPr>
    <w:rPr>
      <w:rFonts w:ascii="宋体"/>
      <w:sz w:val="28"/>
      <w:szCs w:val="20"/>
    </w:rPr>
  </w:style>
  <w:style w:type="character" w:styleId="1132">
    <w:name w:val="UserStyle_20"/>
    <w:next w:val="1132"/>
    <w:link w:val="1043"/>
    <w:uiPriority w:val="99"/>
    <w:qFormat/>
    <w:rPr>
      <w:rFonts w:eastAsia="宋体"/>
      <w:sz w:val="18"/>
      <w:lang w:val="en-US" w:eastAsia="zh-CN"/>
    </w:rPr>
  </w:style>
  <w:style w:type="character" w:styleId="1133">
    <w:name w:val="UserStyle_28"/>
    <w:next w:val="1133"/>
    <w:link w:val="1043"/>
    <w:uiPriority w:val="99"/>
    <w:qFormat/>
    <w:rPr>
      <w:rFonts w:ascii="宋体" w:hAnsi="宋体" w:eastAsia="宋体"/>
      <w:color w:val="000000"/>
      <w:sz w:val="21"/>
    </w:rPr>
  </w:style>
  <w:style w:type="character" w:styleId="1134">
    <w:name w:val="UserStyle_43"/>
    <w:next w:val="1134"/>
    <w:link w:val="1043"/>
    <w:uiPriority w:val="99"/>
    <w:qFormat/>
    <w:rPr>
      <w:rFonts w:ascii="Cambria" w:hAnsi="Cambria"/>
      <w:b/>
      <w:sz w:val="28"/>
    </w:rPr>
  </w:style>
  <w:style w:type="character" w:styleId="1135">
    <w:name w:val="UserStyle_10"/>
    <w:next w:val="1135"/>
    <w:link w:val="1043"/>
    <w:uiPriority w:val="99"/>
    <w:qFormat/>
    <w:rPr>
      <w:rFonts w:ascii="Times New Roman" w:hAnsi="Times New Roman" w:eastAsia="宋体"/>
      <w:sz w:val="24"/>
    </w:rPr>
  </w:style>
  <w:style w:type="character" w:styleId="1136">
    <w:name w:val="HtmlCite1"/>
    <w:next w:val="1136"/>
    <w:link w:val="1043"/>
    <w:uiPriority w:val="99"/>
    <w:qFormat/>
    <w:rPr>
      <w:color w:val="008000"/>
    </w:rPr>
  </w:style>
  <w:style w:type="character" w:styleId="1137">
    <w:name w:val="UserStyle_3"/>
    <w:next w:val="1137"/>
    <w:link w:val="1138"/>
    <w:uiPriority w:val="99"/>
    <w:qFormat/>
    <w:rPr>
      <w:b/>
      <w:sz w:val="24"/>
    </w:rPr>
  </w:style>
  <w:style w:type="paragraph" w:styleId="1138">
    <w:name w:val="AnnotationSubject1"/>
    <w:basedOn w:val="1139"/>
    <w:next w:val="1139"/>
    <w:link w:val="1137"/>
    <w:uiPriority w:val="99"/>
    <w:qFormat/>
    <w:rPr>
      <w:b/>
    </w:rPr>
  </w:style>
  <w:style w:type="paragraph" w:styleId="1139">
    <w:name w:val="AnnotationText1"/>
    <w:basedOn w:val="1043"/>
    <w:next w:val="1139"/>
    <w:link w:val="1140"/>
    <w:uiPriority w:val="99"/>
    <w:qFormat/>
    <w:pPr>
      <w:jc w:val="left"/>
    </w:pPr>
    <w:rPr>
      <w:sz w:val="24"/>
      <w:szCs w:val="20"/>
    </w:rPr>
  </w:style>
  <w:style w:type="character" w:styleId="1140">
    <w:name w:val="UserStyle_30"/>
    <w:next w:val="1140"/>
    <w:link w:val="1139"/>
    <w:uiPriority w:val="99"/>
    <w:qFormat/>
    <w:rPr>
      <w:sz w:val="24"/>
    </w:rPr>
  </w:style>
  <w:style w:type="character" w:styleId="1141">
    <w:name w:val="UserStyle_5"/>
    <w:next w:val="1141"/>
    <w:link w:val="1043"/>
    <w:uiPriority w:val="99"/>
    <w:qFormat/>
    <w:rPr>
      <w:b/>
      <w:sz w:val="44"/>
    </w:rPr>
  </w:style>
  <w:style w:type="character" w:styleId="1142">
    <w:name w:val="font71"/>
    <w:next w:val="1142"/>
    <w:link w:val="1043"/>
    <w:qFormat/>
    <w:rPr>
      <w:rFonts w:hint="eastAsia" w:ascii="宋体" w:hAnsi="宋体" w:eastAsia="宋体" w:cs="宋体"/>
      <w:color w:val="000000"/>
      <w:sz w:val="21"/>
      <w:szCs w:val="21"/>
      <w:u w:val="none"/>
    </w:rPr>
  </w:style>
  <w:style w:type="character" w:styleId="1143">
    <w:name w:val="font81"/>
    <w:next w:val="1143"/>
    <w:link w:val="1043"/>
    <w:qFormat/>
    <w:rPr>
      <w:rFonts w:hint="eastAsia" w:ascii="宋体" w:hAnsi="宋体" w:eastAsia="宋体" w:cs="宋体"/>
      <w:color w:val="ff0000"/>
      <w:sz w:val="20"/>
      <w:szCs w:val="20"/>
      <w:u w:val="none"/>
    </w:rPr>
  </w:style>
  <w:style w:type="character" w:styleId="1144">
    <w:name w:val="font01"/>
    <w:next w:val="1144"/>
    <w:link w:val="1043"/>
    <w:uiPriority w:val="99"/>
    <w:qFormat/>
    <w:rPr>
      <w:rFonts w:ascii="Times New Roman" w:hAnsi="Times New Roman"/>
      <w:color w:val="000000"/>
      <w:sz w:val="24"/>
      <w:u w:val="none"/>
    </w:rPr>
  </w:style>
  <w:style w:type="character" w:styleId="1145">
    <w:name w:val="font101"/>
    <w:next w:val="1145"/>
    <w:link w:val="1043"/>
    <w:qFormat/>
    <w:rPr>
      <w:rFonts w:hint="eastAsia" w:ascii="宋体" w:hAnsi="宋体" w:eastAsia="宋体" w:cs="宋体"/>
      <w:color w:val="ff0000"/>
      <w:sz w:val="21"/>
      <w:szCs w:val="21"/>
      <w:u w:val="none"/>
    </w:rPr>
  </w:style>
  <w:style w:type="character" w:styleId="1146">
    <w:name w:val="UserStyle_27"/>
    <w:next w:val="1146"/>
    <w:link w:val="1043"/>
    <w:uiPriority w:val="99"/>
    <w:qFormat/>
    <w:rPr>
      <w:rFonts w:eastAsia="宋体"/>
      <w:sz w:val="24"/>
      <w:lang w:val="en-US" w:eastAsia="zh-CN"/>
    </w:rPr>
  </w:style>
  <w:style w:type="character" w:styleId="1147">
    <w:name w:val="UserStyle_12"/>
    <w:next w:val="1147"/>
    <w:link w:val="1043"/>
    <w:uiPriority w:val="99"/>
    <w:qFormat/>
  </w:style>
  <w:style w:type="character" w:styleId="1148">
    <w:name w:val="UserStyle_37"/>
    <w:next w:val="1148"/>
    <w:link w:val="1043"/>
    <w:uiPriority w:val="99"/>
    <w:qFormat/>
    <w:rPr>
      <w:rFonts w:ascii="Cambria" w:hAnsi="Cambria"/>
      <w:sz w:val="24"/>
    </w:rPr>
  </w:style>
  <w:style w:type="character" w:styleId="1149">
    <w:name w:val="UserStyle_2"/>
    <w:next w:val="1149"/>
    <w:link w:val="1150"/>
    <w:uiPriority w:val="99"/>
    <w:qFormat/>
    <w:rPr>
      <w:sz w:val="21"/>
    </w:rPr>
  </w:style>
  <w:style w:type="paragraph" w:styleId="1150">
    <w:name w:val="BodyText21"/>
    <w:basedOn w:val="1043"/>
    <w:next w:val="1150"/>
    <w:link w:val="1149"/>
    <w:uiPriority w:val="99"/>
    <w:qFormat/>
    <w:pPr>
      <w:spacing w:after="120" w:line="480" w:lineRule="auto"/>
    </w:pPr>
    <w:rPr>
      <w:szCs w:val="20"/>
    </w:rPr>
  </w:style>
  <w:style w:type="character" w:styleId="1151">
    <w:name w:val="纯文本 Char1"/>
    <w:next w:val="1151"/>
    <w:link w:val="1043"/>
    <w:uiPriority w:val="99"/>
    <w:semiHidden/>
    <w:qFormat/>
    <w:rPr>
      <w:rFonts w:ascii="宋体" w:hAnsi="Courier New" w:cs="Courier New"/>
      <w:sz w:val="21"/>
      <w:szCs w:val="21"/>
    </w:rPr>
  </w:style>
  <w:style w:type="character" w:styleId="1152">
    <w:name w:val="UserStyle_33"/>
    <w:next w:val="1152"/>
    <w:link w:val="1043"/>
    <w:uiPriority w:val="99"/>
    <w:qFormat/>
    <w:rPr>
      <w:rFonts w:eastAsia="宋体"/>
      <w:sz w:val="24"/>
      <w:lang w:val="en-US" w:eastAsia="zh-CN"/>
    </w:rPr>
  </w:style>
  <w:style w:type="character" w:styleId="1153">
    <w:name w:val="UserStyle_11"/>
    <w:next w:val="1153"/>
    <w:link w:val="1154"/>
    <w:uiPriority w:val="99"/>
    <w:qFormat/>
    <w:rPr>
      <w:sz w:val="16"/>
    </w:rPr>
  </w:style>
  <w:style w:type="paragraph" w:styleId="1154">
    <w:name w:val="BodyText31"/>
    <w:basedOn w:val="1043"/>
    <w:next w:val="1154"/>
    <w:link w:val="1153"/>
    <w:uiPriority w:val="99"/>
    <w:qFormat/>
    <w:pPr>
      <w:spacing w:after="120"/>
    </w:pPr>
    <w:rPr>
      <w:sz w:val="16"/>
      <w:szCs w:val="20"/>
    </w:rPr>
  </w:style>
  <w:style w:type="character" w:styleId="1155">
    <w:name w:val="UserStyle_7"/>
    <w:next w:val="1155"/>
    <w:link w:val="1156"/>
    <w:uiPriority w:val="99"/>
    <w:qFormat/>
    <w:rPr>
      <w:sz w:val="18"/>
    </w:rPr>
  </w:style>
  <w:style w:type="paragraph" w:styleId="1156">
    <w:name w:val="页眉1"/>
    <w:basedOn w:val="1043"/>
    <w:next w:val="1156"/>
    <w:link w:val="1155"/>
    <w:uiPriority w:val="99"/>
    <w:qFormat/>
    <w:pPr>
      <w:jc w:val="center"/>
      <w:tabs>
        <w:tab w:val="center" w:pos="4153" w:leader="none"/>
        <w:tab w:val="right" w:pos="8306" w:leader="none"/>
      </w:tabs>
      <w:pBdr>
        <w:bottom w:val="single" w:color="000000" w:sz="6" w:space="1"/>
      </w:pBdr>
    </w:pPr>
    <w:rPr>
      <w:sz w:val="18"/>
      <w:szCs w:val="20"/>
    </w:rPr>
  </w:style>
  <w:style w:type="character" w:styleId="1157">
    <w:name w:val="UserStyle_23"/>
    <w:next w:val="1157"/>
    <w:link w:val="1043"/>
    <w:uiPriority w:val="99"/>
    <w:qFormat/>
    <w:rPr>
      <w:rFonts w:ascii="Calibri" w:hAnsi="Calibri"/>
      <w:color w:val="000000"/>
      <w:sz w:val="24"/>
    </w:rPr>
  </w:style>
  <w:style w:type="character" w:styleId="1158">
    <w:name w:val="AnnotationReference1"/>
    <w:next w:val="1158"/>
    <w:link w:val="1043"/>
    <w:uiPriority w:val="99"/>
    <w:qFormat/>
    <w:rPr>
      <w:sz w:val="21"/>
    </w:rPr>
  </w:style>
  <w:style w:type="character" w:styleId="1159">
    <w:name w:val="c-icon28"/>
    <w:next w:val="1159"/>
    <w:link w:val="1043"/>
    <w:qFormat/>
  </w:style>
  <w:style w:type="character" w:styleId="1160">
    <w:name w:val="hover27"/>
    <w:next w:val="1160"/>
    <w:link w:val="1043"/>
    <w:qFormat/>
    <w:rPr>
      <w:color w:val="315efb"/>
    </w:rPr>
  </w:style>
  <w:style w:type="character" w:styleId="1161">
    <w:name w:val="font91"/>
    <w:next w:val="1161"/>
    <w:link w:val="1043"/>
    <w:qFormat/>
    <w:rPr>
      <w:rFonts w:hint="eastAsia" w:ascii="宋体" w:hAnsi="宋体" w:eastAsia="宋体" w:cs="宋体"/>
      <w:b/>
      <w:bCs/>
      <w:color w:val="ff0000"/>
      <w:sz w:val="21"/>
      <w:szCs w:val="21"/>
      <w:u w:val="none"/>
    </w:rPr>
  </w:style>
  <w:style w:type="character" w:styleId="1162">
    <w:name w:val="hover26"/>
    <w:next w:val="1162"/>
    <w:link w:val="1043"/>
    <w:qFormat/>
  </w:style>
  <w:style w:type="character" w:styleId="1163">
    <w:name w:val="UserStyle_15"/>
    <w:next w:val="1163"/>
    <w:link w:val="1043"/>
    <w:uiPriority w:val="99"/>
    <w:qFormat/>
    <w:rPr>
      <w:rFonts w:eastAsia="宋体"/>
      <w:sz w:val="24"/>
      <w:lang w:val="en-US" w:eastAsia="zh-CN"/>
    </w:rPr>
  </w:style>
  <w:style w:type="character" w:styleId="1164">
    <w:name w:val="UserStyle_1"/>
    <w:next w:val="1164"/>
    <w:link w:val="1165"/>
    <w:uiPriority w:val="99"/>
    <w:qFormat/>
    <w:rPr>
      <w:sz w:val="24"/>
    </w:rPr>
  </w:style>
  <w:style w:type="paragraph" w:styleId="1165">
    <w:name w:val="NormalIndent1"/>
    <w:basedOn w:val="1043"/>
    <w:next w:val="1165"/>
    <w:link w:val="1164"/>
    <w:uiPriority w:val="99"/>
    <w:qFormat/>
    <w:pPr>
      <w:ind w:firstLine="420"/>
    </w:pPr>
    <w:rPr>
      <w:sz w:val="24"/>
      <w:szCs w:val="20"/>
    </w:rPr>
  </w:style>
  <w:style w:type="character" w:styleId="1166">
    <w:name w:val="UserStyle_41"/>
    <w:next w:val="1166"/>
    <w:link w:val="1167"/>
    <w:uiPriority w:val="99"/>
    <w:qFormat/>
    <w:rPr>
      <w:sz w:val="16"/>
    </w:rPr>
  </w:style>
  <w:style w:type="paragraph" w:styleId="1167">
    <w:name w:val="BodyTextIndent31"/>
    <w:basedOn w:val="1043"/>
    <w:next w:val="1167"/>
    <w:link w:val="1166"/>
    <w:uiPriority w:val="99"/>
    <w:qFormat/>
    <w:pPr>
      <w:ind w:left="420"/>
      <w:spacing w:after="120"/>
    </w:pPr>
    <w:rPr>
      <w:sz w:val="16"/>
      <w:szCs w:val="20"/>
    </w:rPr>
  </w:style>
  <w:style w:type="character" w:styleId="1168">
    <w:name w:val="NormalCharacter1"/>
    <w:next w:val="1168"/>
    <w:link w:val="1043"/>
    <w:qFormat/>
  </w:style>
  <w:style w:type="character" w:styleId="1169">
    <w:name w:val="UserStyle_49"/>
    <w:next w:val="1169"/>
    <w:link w:val="1043"/>
    <w:uiPriority w:val="99"/>
    <w:qFormat/>
    <w:rPr>
      <w:b/>
      <w:sz w:val="32"/>
    </w:rPr>
  </w:style>
  <w:style w:type="character" w:styleId="1170">
    <w:name w:val="font21"/>
    <w:next w:val="1170"/>
    <w:link w:val="1043"/>
    <w:qFormat/>
    <w:rPr>
      <w:rFonts w:hint="eastAsia" w:ascii="宋体" w:hAnsi="宋体" w:eastAsia="宋体" w:cs="宋体"/>
      <w:b/>
      <w:bCs/>
      <w:color w:val="000000"/>
      <w:sz w:val="21"/>
      <w:szCs w:val="21"/>
      <w:u w:val="none"/>
    </w:rPr>
  </w:style>
  <w:style w:type="character" w:styleId="1171">
    <w:name w:val="UserStyle_21"/>
    <w:next w:val="1171"/>
    <w:link w:val="1172"/>
    <w:uiPriority w:val="99"/>
    <w:qFormat/>
    <w:rPr>
      <w:sz w:val="18"/>
    </w:rPr>
  </w:style>
  <w:style w:type="paragraph" w:styleId="1172">
    <w:name w:val="Acetate1"/>
    <w:basedOn w:val="1043"/>
    <w:next w:val="1172"/>
    <w:link w:val="1171"/>
    <w:uiPriority w:val="99"/>
    <w:qFormat/>
    <w:rPr>
      <w:sz w:val="18"/>
      <w:szCs w:val="20"/>
    </w:rPr>
  </w:style>
  <w:style w:type="character" w:styleId="1173">
    <w:name w:val="font31"/>
    <w:next w:val="1173"/>
    <w:link w:val="1043"/>
    <w:uiPriority w:val="99"/>
    <w:qFormat/>
    <w:rPr>
      <w:rFonts w:ascii="宋体" w:hAnsi="宋体" w:eastAsia="宋体"/>
      <w:color w:val="000000"/>
      <w:sz w:val="24"/>
      <w:u w:val="none"/>
    </w:rPr>
  </w:style>
  <w:style w:type="character" w:styleId="1174">
    <w:name w:val="font51"/>
    <w:next w:val="1174"/>
    <w:link w:val="1043"/>
    <w:qFormat/>
    <w:rPr>
      <w:rFonts w:hint="eastAsia" w:ascii="仿宋" w:hAnsi="仿宋" w:eastAsia="仿宋" w:cs="仿宋"/>
      <w:color w:val="ff0000"/>
      <w:sz w:val="20"/>
      <w:szCs w:val="20"/>
      <w:u w:val="none"/>
    </w:rPr>
  </w:style>
  <w:style w:type="character" w:styleId="1175">
    <w:name w:val="UserStyle_34"/>
    <w:next w:val="1175"/>
    <w:link w:val="1176"/>
    <w:uiPriority w:val="99"/>
    <w:qFormat/>
    <w:rPr>
      <w:rFonts w:ascii="宋体"/>
      <w:sz w:val="18"/>
    </w:rPr>
  </w:style>
  <w:style w:type="paragraph" w:styleId="1176">
    <w:name w:val="NavPane1"/>
    <w:basedOn w:val="1043"/>
    <w:next w:val="1176"/>
    <w:link w:val="1175"/>
    <w:uiPriority w:val="99"/>
    <w:qFormat/>
    <w:rPr>
      <w:rFonts w:ascii="宋体"/>
      <w:sz w:val="18"/>
      <w:szCs w:val="20"/>
    </w:rPr>
  </w:style>
  <w:style w:type="character" w:styleId="1177">
    <w:name w:val="UserStyle_42"/>
    <w:next w:val="1177"/>
    <w:link w:val="1178"/>
    <w:uiPriority w:val="99"/>
    <w:qFormat/>
    <w:rPr>
      <w:rFonts w:ascii="宋体" w:hAnsi="Arial"/>
      <w:sz w:val="28"/>
    </w:rPr>
  </w:style>
  <w:style w:type="paragraph" w:styleId="1178">
    <w:name w:val="BodyTextIndent21"/>
    <w:basedOn w:val="1043"/>
    <w:next w:val="1178"/>
    <w:link w:val="1177"/>
    <w:uiPriority w:val="99"/>
    <w:qFormat/>
    <w:pPr>
      <w:ind w:left="-210" w:hanging="20"/>
      <w:spacing w:line="500" w:lineRule="exact"/>
    </w:pPr>
    <w:rPr>
      <w:rFonts w:ascii="宋体" w:hAnsi="Arial"/>
      <w:sz w:val="28"/>
      <w:szCs w:val="20"/>
    </w:rPr>
  </w:style>
  <w:style w:type="character" w:styleId="1179">
    <w:name w:val="UserStyle_17"/>
    <w:next w:val="1179"/>
    <w:link w:val="1180"/>
    <w:uiPriority w:val="99"/>
    <w:qFormat/>
    <w:rPr>
      <w:sz w:val="24"/>
    </w:rPr>
  </w:style>
  <w:style w:type="paragraph" w:styleId="1180">
    <w:name w:val="UserStyle_18"/>
    <w:basedOn w:val="1043"/>
    <w:next w:val="1180"/>
    <w:link w:val="1179"/>
    <w:uiPriority w:val="99"/>
    <w:qFormat/>
    <w:pPr>
      <w:ind w:left="1098" w:hanging="2"/>
      <w:spacing w:after="60" w:line="264" w:lineRule="auto"/>
      <w:tabs>
        <w:tab w:val="left" w:pos="1020" w:leader="none"/>
        <w:tab w:val="left" w:pos="1090" w:leader="none"/>
      </w:tabs>
    </w:pPr>
    <w:rPr>
      <w:sz w:val="24"/>
      <w:szCs w:val="20"/>
    </w:rPr>
  </w:style>
  <w:style w:type="character" w:styleId="1181">
    <w:name w:val="font41"/>
    <w:next w:val="1181"/>
    <w:link w:val="1043"/>
    <w:qFormat/>
    <w:rPr>
      <w:rFonts w:hint="eastAsia" w:ascii="宋体" w:hAnsi="宋体" w:eastAsia="宋体" w:cs="宋体"/>
      <w:b/>
      <w:bCs/>
      <w:color w:val="000000"/>
      <w:sz w:val="21"/>
      <w:szCs w:val="21"/>
      <w:u w:val="none"/>
    </w:rPr>
  </w:style>
  <w:style w:type="character" w:styleId="1182">
    <w:name w:val="font11"/>
    <w:next w:val="1182"/>
    <w:link w:val="1043"/>
    <w:qFormat/>
    <w:rPr>
      <w:rFonts w:hint="eastAsia" w:ascii="宋体" w:hAnsi="宋体" w:eastAsia="宋体" w:cs="宋体"/>
      <w:b/>
      <w:bCs/>
      <w:color w:val="000000"/>
      <w:sz w:val="22"/>
      <w:szCs w:val="22"/>
      <w:u w:val="none"/>
    </w:rPr>
  </w:style>
  <w:style w:type="character" w:styleId="1183">
    <w:name w:val="PageNumber1"/>
    <w:next w:val="1183"/>
    <w:link w:val="1043"/>
    <w:uiPriority w:val="99"/>
    <w:qFormat/>
    <w:rPr>
      <w:rFonts w:eastAsia="宋体"/>
      <w:b/>
      <w:sz w:val="24"/>
      <w:lang w:val="en-US" w:eastAsia="zh-CN"/>
    </w:rPr>
  </w:style>
  <w:style w:type="character" w:styleId="1184">
    <w:name w:val="UserStyle_24"/>
    <w:next w:val="1184"/>
    <w:link w:val="1185"/>
    <w:uiPriority w:val="99"/>
    <w:qFormat/>
    <w:rPr>
      <w:rFonts w:ascii="宋体"/>
      <w:color w:val="000000"/>
      <w:sz w:val="24"/>
      <w:szCs w:val="24"/>
      <w:lang w:val="en-US" w:eastAsia="zh-CN" w:bidi="ar-SA"/>
    </w:rPr>
  </w:style>
  <w:style w:type="paragraph" w:styleId="1185">
    <w:name w:val="UserStyle_25"/>
    <w:next w:val="1185"/>
    <w:link w:val="1184"/>
    <w:uiPriority w:val="99"/>
    <w:qFormat/>
    <w:rPr>
      <w:rFonts w:ascii="宋体"/>
      <w:color w:val="000000"/>
      <w:sz w:val="24"/>
      <w:szCs w:val="24"/>
      <w:lang w:val="en-US" w:eastAsia="zh-CN" w:bidi="ar-SA"/>
    </w:rPr>
  </w:style>
  <w:style w:type="character" w:styleId="1186">
    <w:name w:val="font112"/>
    <w:next w:val="1186"/>
    <w:link w:val="1043"/>
    <w:qFormat/>
    <w:rPr>
      <w:rFonts w:hint="eastAsia" w:ascii="宋体" w:hAnsi="宋体" w:eastAsia="宋体" w:cs="宋体"/>
      <w:color w:val="555555"/>
      <w:sz w:val="21"/>
      <w:szCs w:val="21"/>
      <w:u w:val="none"/>
    </w:rPr>
  </w:style>
  <w:style w:type="character" w:styleId="1187">
    <w:name w:val="UserStyle_0"/>
    <w:next w:val="1187"/>
    <w:link w:val="1188"/>
    <w:uiPriority w:val="99"/>
    <w:qFormat/>
    <w:rPr>
      <w:rFonts w:ascii="Ari"/>
      <w:lang w:val="en-US" w:eastAsia="zh-CN"/>
    </w:rPr>
  </w:style>
  <w:style w:type="paragraph" w:styleId="1188">
    <w:name w:val="PlainText1"/>
    <w:basedOn w:val="1043"/>
    <w:next w:val="1188"/>
    <w:link w:val="1187"/>
    <w:uiPriority w:val="99"/>
    <w:qFormat/>
    <w:rPr>
      <w:rFonts w:ascii="Ari"/>
      <w:sz w:val="20"/>
      <w:szCs w:val="20"/>
    </w:rPr>
  </w:style>
  <w:style w:type="character" w:styleId="1189">
    <w:name w:val="UserStyle_38"/>
    <w:next w:val="1189"/>
    <w:link w:val="1043"/>
    <w:uiPriority w:val="99"/>
    <w:qFormat/>
  </w:style>
  <w:style w:type="character" w:styleId="1190">
    <w:name w:val="Max1"/>
    <w:next w:val="1190"/>
    <w:link w:val="1043"/>
    <w:uiPriority w:val="99"/>
    <w:semiHidden/>
    <w:qFormat/>
    <w:rPr>
      <w:color w:val="808080"/>
    </w:rPr>
  </w:style>
  <w:style w:type="paragraph" w:styleId="1191">
    <w:name w:val="UserStyle_75"/>
    <w:basedOn w:val="1043"/>
    <w:next w:val="1191"/>
    <w:link w:val="1043"/>
    <w:uiPriority w:val="99"/>
    <w:qFormat/>
    <w:pPr>
      <w:ind w:left="795" w:hanging="360"/>
      <w:tabs>
        <w:tab w:val="left" w:pos="795" w:leader="none"/>
      </w:tabs>
    </w:pPr>
    <w:rPr>
      <w:sz w:val="24"/>
    </w:rPr>
  </w:style>
  <w:style w:type="paragraph" w:styleId="1192">
    <w:name w:val="WPSOffice手动目录 1"/>
    <w:next w:val="1192"/>
    <w:link w:val="1043"/>
    <w:rPr>
      <w:lang w:val="en-US" w:eastAsia="zh-CN" w:bidi="ar-SA"/>
    </w:rPr>
  </w:style>
  <w:style w:type="paragraph" w:styleId="1193">
    <w:name w:val="Heading11"/>
    <w:basedOn w:val="1043"/>
    <w:next w:val="1043"/>
    <w:link w:val="1043"/>
    <w:uiPriority w:val="99"/>
    <w:qFormat/>
    <w:pPr>
      <w:numPr>
        <w:ilvl w:val="0"/>
        <w:numId w:val="2"/>
      </w:numPr>
      <w:jc w:val="center"/>
      <w:keepLines/>
      <w:keepNext/>
      <w:spacing w:before="340" w:after="330" w:line="578" w:lineRule="auto"/>
    </w:pPr>
    <w:rPr>
      <w:b/>
      <w:bCs/>
      <w:sz w:val="32"/>
      <w:szCs w:val="44"/>
    </w:rPr>
  </w:style>
  <w:style w:type="paragraph" w:styleId="1194">
    <w:name w:val="266"/>
    <w:basedOn w:val="1193"/>
    <w:next w:val="1043"/>
    <w:link w:val="1043"/>
    <w:uiPriority w:val="99"/>
    <w:qFormat/>
    <w:pPr>
      <w:numPr>
        <w:ilvl w:val="0"/>
        <w:numId w:val="0"/>
      </w:numPr>
      <w:jc w:val="left"/>
      <w:spacing w:before="480" w:after="0" w:line="276" w:lineRule="auto"/>
    </w:pPr>
    <w:rPr>
      <w:rFonts w:ascii="Cambria" w:hAnsi="Cambria"/>
      <w:color w:val="365f91"/>
      <w:sz w:val="28"/>
      <w:szCs w:val="28"/>
    </w:rPr>
  </w:style>
  <w:style w:type="paragraph" w:styleId="1195">
    <w:name w:val="UserStyle_58"/>
    <w:basedOn w:val="1043"/>
    <w:next w:val="1195"/>
    <w:link w:val="1043"/>
    <w:uiPriority w:val="99"/>
    <w:qFormat/>
    <w:pPr>
      <w:jc w:val="left"/>
    </w:pPr>
    <w:rPr>
      <w:sz w:val="24"/>
    </w:rPr>
  </w:style>
  <w:style w:type="paragraph" w:styleId="1196">
    <w:name w:val="Heading81"/>
    <w:basedOn w:val="1043"/>
    <w:next w:val="1043"/>
    <w:link w:val="1043"/>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97">
    <w:name w:val="Heading61"/>
    <w:basedOn w:val="1043"/>
    <w:next w:val="1043"/>
    <w:link w:val="1043"/>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98">
    <w:name w:val="UserStyle_61"/>
    <w:basedOn w:val="1176"/>
    <w:next w:val="1198"/>
    <w:link w:val="1043"/>
    <w:uiPriority w:val="99"/>
    <w:qFormat/>
    <w:pPr>
      <w:spacing w:line="360" w:lineRule="auto"/>
      <w:shd w:val="clear" w:color="auto" w:fill="000080"/>
    </w:pPr>
    <w:rPr>
      <w:rFonts w:ascii="Times New Roman"/>
      <w:sz w:val="21"/>
    </w:rPr>
  </w:style>
  <w:style w:type="paragraph" w:styleId="1199">
    <w:name w:val="_Style 7"/>
    <w:basedOn w:val="1044"/>
    <w:next w:val="1043"/>
    <w:link w:val="1043"/>
    <w:uiPriority w:val="99"/>
    <w:qFormat/>
    <w:pPr>
      <w:tabs>
        <w:tab w:val="left" w:pos="1440" w:leader="none"/>
        <w:tab w:val="left" w:pos="5670" w:leader="none"/>
      </w:tabs>
      <w:outlineLvl w:val="9"/>
    </w:pPr>
  </w:style>
  <w:style w:type="paragraph" w:styleId="1200">
    <w:name w:val="font5"/>
    <w:basedOn w:val="1043"/>
    <w:next w:val="1200"/>
    <w:link w:val="1043"/>
    <w:uiPriority w:val="99"/>
    <w:qFormat/>
    <w:pPr>
      <w:jc w:val="left"/>
      <w:spacing w:before="100" w:beforeAutospacing="1" w:after="100" w:afterAutospacing="1"/>
    </w:pPr>
    <w:rPr>
      <w:rFonts w:ascii="宋体" w:hAnsi="宋体" w:cs="宋体"/>
      <w:sz w:val="18"/>
      <w:szCs w:val="18"/>
    </w:rPr>
  </w:style>
  <w:style w:type="paragraph" w:styleId="1201">
    <w:name w:val="UserStyle_68"/>
    <w:basedOn w:val="1043"/>
    <w:next w:val="1201"/>
    <w:link w:val="1043"/>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202">
    <w:name w:val="UserStyle_70"/>
    <w:basedOn w:val="1043"/>
    <w:next w:val="1202"/>
    <w:link w:val="1043"/>
    <w:uiPriority w:val="99"/>
    <w:qFormat/>
    <w:pPr>
      <w:ind w:firstLine="200"/>
      <w:spacing w:line="360" w:lineRule="auto"/>
    </w:pPr>
    <w:rPr>
      <w:sz w:val="24"/>
      <w:szCs w:val="28"/>
    </w:rPr>
  </w:style>
  <w:style w:type="paragraph" w:styleId="1203">
    <w:name w:val="TOC11"/>
    <w:basedOn w:val="1043"/>
    <w:next w:val="1043"/>
    <w:link w:val="1043"/>
    <w:uiPriority w:val="99"/>
    <w:qFormat/>
  </w:style>
  <w:style w:type="paragraph" w:styleId="1204">
    <w:name w:val="UserStyle_76"/>
    <w:basedOn w:val="1043"/>
    <w:next w:val="1204"/>
    <w:link w:val="1043"/>
    <w:uiPriority w:val="99"/>
    <w:qFormat/>
    <w:rPr>
      <w:szCs w:val="20"/>
    </w:rPr>
  </w:style>
  <w:style w:type="paragraph" w:styleId="1205">
    <w:name w:val="UserStyle_73"/>
    <w:basedOn w:val="1043"/>
    <w:next w:val="1205"/>
    <w:link w:val="1043"/>
    <w:uiPriority w:val="99"/>
    <w:qFormat/>
    <w:pPr>
      <w:ind w:firstLine="420"/>
      <w:jc w:val="left"/>
    </w:pPr>
    <w:rPr>
      <w:sz w:val="24"/>
    </w:rPr>
  </w:style>
  <w:style w:type="paragraph" w:styleId="1206">
    <w:name w:val="xl72"/>
    <w:basedOn w:val="1043"/>
    <w:next w:val="1206"/>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name w:val="UserStyle_54"/>
    <w:basedOn w:val="1043"/>
    <w:next w:val="1043"/>
    <w:link w:val="1043"/>
    <w:uiPriority w:val="99"/>
    <w:qFormat/>
    <w:rPr>
      <w:sz w:val="24"/>
      <w:szCs w:val="20"/>
    </w:rPr>
  </w:style>
  <w:style w:type="paragraph" w:styleId="1208">
    <w:name w:val="178"/>
    <w:next w:val="1208"/>
    <w:link w:val="1043"/>
    <w:uiPriority w:val="99"/>
    <w:qFormat/>
    <w:rPr>
      <w:sz w:val="21"/>
      <w:szCs w:val="24"/>
      <w:lang w:val="en-US" w:eastAsia="zh-CN" w:bidi="ar-SA"/>
    </w:rPr>
  </w:style>
  <w:style w:type="paragraph" w:styleId="1209">
    <w:name w:val="首行缩进"/>
    <w:basedOn w:val="1043"/>
    <w:next w:val="1209"/>
    <w:link w:val="1043"/>
    <w:qFormat/>
    <w:pPr>
      <w:ind w:firstLine="480"/>
    </w:pPr>
    <w:rPr>
      <w:szCs w:val="20"/>
      <w:lang w:val="zh-CN"/>
    </w:rPr>
  </w:style>
  <w:style w:type="paragraph" w:styleId="1210">
    <w:name w:val="179"/>
    <w:basedOn w:val="1043"/>
    <w:next w:val="1210"/>
    <w:link w:val="1043"/>
    <w:uiPriority w:val="99"/>
    <w:qFormat/>
    <w:pPr>
      <w:ind w:firstLine="420"/>
    </w:pPr>
  </w:style>
  <w:style w:type="paragraph" w:styleId="1211">
    <w:name w:val="Heading91"/>
    <w:basedOn w:val="1043"/>
    <w:next w:val="1043"/>
    <w:link w:val="1043"/>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212">
    <w:name w:val="列出段落1"/>
    <w:basedOn w:val="1043"/>
    <w:next w:val="1212"/>
    <w:link w:val="1043"/>
    <w:uiPriority w:val="34"/>
    <w:qFormat/>
    <w:pPr>
      <w:ind w:firstLine="420"/>
      <w:widowControl w:val="off"/>
    </w:pPr>
    <w:rPr>
      <w:szCs w:val="20"/>
    </w:rPr>
  </w:style>
  <w:style w:type="paragraph" w:styleId="1213">
    <w:name w:val="UserStyle_57"/>
    <w:next w:val="1043"/>
    <w:link w:val="1043"/>
    <w:uiPriority w:val="99"/>
    <w:qFormat/>
    <w:rPr>
      <w:rFonts w:ascii="Arial" w:hAnsi="Arial"/>
      <w:sz w:val="22"/>
      <w:szCs w:val="22"/>
      <w:lang w:val="de-DE" w:eastAsia="de-DE" w:bidi="ar-SA"/>
    </w:rPr>
  </w:style>
  <w:style w:type="paragraph" w:styleId="1214">
    <w:name w:val="Heading41"/>
    <w:basedOn w:val="1043"/>
    <w:next w:val="1043"/>
    <w:link w:val="1043"/>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215">
    <w:name w:val="HtmlNormal1"/>
    <w:basedOn w:val="1043"/>
    <w:next w:val="1215"/>
    <w:link w:val="1043"/>
    <w:uiPriority w:val="99"/>
    <w:qFormat/>
    <w:pPr>
      <w:jc w:val="left"/>
      <w:spacing w:before="100" w:beforeAutospacing="1" w:after="100" w:afterAutospacing="1"/>
    </w:pPr>
    <w:rPr>
      <w:rFonts w:ascii="宋体" w:hAnsi="宋体"/>
      <w:sz w:val="24"/>
    </w:rPr>
  </w:style>
  <w:style w:type="paragraph" w:styleId="1216">
    <w:name w:val="UserStyle_53"/>
    <w:basedOn w:val="1217"/>
    <w:next w:val="1083"/>
    <w:link w:val="1043"/>
    <w:uiPriority w:val="99"/>
    <w:qFormat/>
    <w:pPr>
      <w:spacing w:before="156" w:after="156" w:line="360" w:lineRule="auto"/>
      <w:tabs>
        <w:tab w:val="left" w:pos="840" w:leader="none"/>
      </w:tabs>
    </w:pPr>
    <w:rPr>
      <w:bCs w:val="0"/>
      <w:sz w:val="24"/>
    </w:rPr>
  </w:style>
  <w:style w:type="paragraph" w:styleId="1217">
    <w:name w:val="Heading21"/>
    <w:basedOn w:val="1043"/>
    <w:next w:val="1043"/>
    <w:link w:val="1043"/>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218">
    <w:name w:val="UserStyle_55"/>
    <w:basedOn w:val="1043"/>
    <w:next w:val="1218"/>
    <w:link w:val="1043"/>
    <w:uiPriority w:val="99"/>
    <w:qFormat/>
    <w:pPr>
      <w:contextualSpacing/>
      <w:ind w:left="720"/>
      <w:jc w:val="left"/>
    </w:pPr>
    <w:rPr>
      <w:rFonts w:ascii="Arial" w:hAnsi="Arial" w:eastAsia="黑体"/>
      <w:sz w:val="24"/>
      <w:lang w:eastAsia="en-US"/>
    </w:rPr>
  </w:style>
  <w:style w:type="paragraph" w:styleId="1219">
    <w:name w:val="xl68"/>
    <w:basedOn w:val="1043"/>
    <w:next w:val="1219"/>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UserStyle_78"/>
    <w:basedOn w:val="1043"/>
    <w:next w:val="1220"/>
    <w:link w:val="1043"/>
    <w:uiPriority w:val="99"/>
    <w:qFormat/>
    <w:pPr>
      <w:ind w:firstLine="567"/>
      <w:spacing w:line="480" w:lineRule="atLeast"/>
    </w:pPr>
    <w:rPr>
      <w:rFonts w:ascii="Ari" w:eastAsia="Times New Roman"/>
      <w:sz w:val="28"/>
      <w:szCs w:val="20"/>
    </w:rPr>
  </w:style>
  <w:style w:type="paragraph" w:styleId="1221">
    <w:name w:val="UserStyle_62"/>
    <w:basedOn w:val="1043"/>
    <w:next w:val="1221"/>
    <w:link w:val="1043"/>
    <w:uiPriority w:val="99"/>
    <w:qFormat/>
    <w:pPr>
      <w:ind w:left="600" w:hanging="600"/>
      <w:spacing w:line="420" w:lineRule="exact"/>
    </w:pPr>
    <w:rPr>
      <w:rFonts w:ascii="宋体" w:hAnsi="宋体"/>
      <w:color w:val="000000"/>
      <w:sz w:val="24"/>
      <w:szCs w:val="20"/>
    </w:rPr>
  </w:style>
  <w:style w:type="paragraph" w:styleId="1222">
    <w:name w:val="UserStyle_63"/>
    <w:basedOn w:val="1043"/>
    <w:next w:val="1222"/>
    <w:link w:val="1043"/>
    <w:uiPriority w:val="99"/>
    <w:qFormat/>
    <w:pPr>
      <w:ind w:firstLine="560"/>
      <w:jc w:val="left"/>
      <w:spacing w:line="460" w:lineRule="exact"/>
    </w:pPr>
    <w:rPr>
      <w:rFonts w:ascii="仿宋_GB2312" w:hAnsi="仿宋_GB2312" w:eastAsia="仿宋_GB2312"/>
      <w:sz w:val="28"/>
      <w:szCs w:val="20"/>
    </w:rPr>
  </w:style>
  <w:style w:type="paragraph" w:styleId="1223">
    <w:name w:val="Heading51"/>
    <w:basedOn w:val="1043"/>
    <w:next w:val="1043"/>
    <w:link w:val="1043"/>
    <w:uiPriority w:val="99"/>
    <w:qFormat/>
    <w:pPr>
      <w:numPr>
        <w:ilvl w:val="4"/>
        <w:numId w:val="2"/>
      </w:numPr>
      <w:keepLines/>
      <w:keepNext/>
      <w:spacing w:before="280" w:after="290" w:line="376" w:lineRule="auto"/>
      <w:tabs>
        <w:tab w:val="left" w:pos="2100" w:leader="none"/>
      </w:tabs>
    </w:pPr>
    <w:rPr>
      <w:b/>
      <w:bCs/>
      <w:sz w:val="28"/>
      <w:szCs w:val="28"/>
    </w:rPr>
  </w:style>
  <w:style w:type="paragraph" w:styleId="1224">
    <w:name w:val="UserStyle_79"/>
    <w:basedOn w:val="1043"/>
    <w:next w:val="1224"/>
    <w:link w:val="1043"/>
    <w:uiPriority w:val="99"/>
    <w:qFormat/>
    <w:pPr>
      <w:jc w:val="left"/>
    </w:pPr>
    <w:rPr>
      <w:rFonts w:ascii="Calibri" w:hAnsi="Calibri"/>
      <w:sz w:val="22"/>
      <w:lang w:eastAsia="en-US"/>
    </w:rPr>
  </w:style>
  <w:style w:type="paragraph" w:styleId="1225">
    <w:name w:val="ListBullet1"/>
    <w:basedOn w:val="1043"/>
    <w:next w:val="1225"/>
    <w:link w:val="1043"/>
    <w:uiPriority w:val="99"/>
    <w:qFormat/>
    <w:pPr>
      <w:tabs>
        <w:tab w:val="left" w:pos="0" w:leader="none"/>
      </w:tabs>
    </w:pPr>
    <w:rPr>
      <w:szCs w:val="20"/>
    </w:rPr>
  </w:style>
  <w:style w:type="paragraph" w:styleId="1226">
    <w:name w:val="正文 New New New New New New New"/>
    <w:next w:val="1226"/>
    <w:link w:val="1043"/>
    <w:uiPriority w:val="99"/>
    <w:qFormat/>
    <w:pPr>
      <w:jc w:val="both"/>
      <w:widowControl w:val="off"/>
    </w:pPr>
    <w:rPr>
      <w:sz w:val="21"/>
      <w:lang w:val="en-US" w:eastAsia="zh-CN" w:bidi="ar-SA"/>
    </w:rPr>
  </w:style>
  <w:style w:type="paragraph" w:styleId="1227">
    <w:name w:val="UserStyle_77"/>
    <w:basedOn w:val="1043"/>
    <w:next w:val="1227"/>
    <w:link w:val="1043"/>
    <w:uiPriority w:val="99"/>
    <w:qFormat/>
    <w:pPr>
      <w:ind w:left="360" w:hanging="360"/>
      <w:tabs>
        <w:tab w:val="left" w:pos="360" w:leader="none"/>
        <w:tab w:val="left" w:pos="1545" w:leader="none"/>
      </w:tabs>
    </w:pPr>
    <w:rPr>
      <w:szCs w:val="20"/>
    </w:rPr>
  </w:style>
  <w:style w:type="paragraph" w:styleId="1228">
    <w:name w:val="xl73"/>
    <w:basedOn w:val="1043"/>
    <w:next w:val="1228"/>
    <w:link w:val="1043"/>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229">
    <w:name w:val="正文（绿盟科技）"/>
    <w:next w:val="1229"/>
    <w:link w:val="1043"/>
    <w:qFormat/>
    <w:pPr>
      <w:spacing w:line="300" w:lineRule="auto"/>
    </w:pPr>
    <w:rPr>
      <w:rFonts w:ascii="Arial" w:hAnsi="Arial" w:cs="黑体"/>
      <w:sz w:val="21"/>
      <w:szCs w:val="21"/>
      <w:lang w:val="en-US" w:eastAsia="zh-CN" w:bidi="ar-SA"/>
    </w:rPr>
  </w:style>
  <w:style w:type="paragraph" w:styleId="1230">
    <w:name w:val="Heading31"/>
    <w:basedOn w:val="1043"/>
    <w:next w:val="1043"/>
    <w:link w:val="1043"/>
    <w:uiPriority w:val="99"/>
    <w:qFormat/>
    <w:pPr>
      <w:numPr>
        <w:ilvl w:val="2"/>
        <w:numId w:val="2"/>
      </w:numPr>
      <w:keepLines/>
      <w:keepNext/>
      <w:spacing w:before="260" w:after="260" w:line="416" w:lineRule="auto"/>
      <w:tabs>
        <w:tab w:val="left" w:pos="1260" w:leader="none"/>
      </w:tabs>
    </w:pPr>
    <w:rPr>
      <w:b/>
      <w:bCs/>
      <w:sz w:val="32"/>
      <w:szCs w:val="32"/>
    </w:rPr>
  </w:style>
  <w:style w:type="paragraph" w:styleId="1231">
    <w:name w:val="UserStyle_74"/>
    <w:basedOn w:val="1043"/>
    <w:next w:val="1231"/>
    <w:link w:val="1043"/>
    <w:uiPriority w:val="99"/>
    <w:qFormat/>
  </w:style>
  <w:style w:type="paragraph" w:styleId="1232">
    <w:name w:val="UserStyle_56"/>
    <w:basedOn w:val="1230"/>
    <w:next w:val="1043"/>
    <w:link w:val="1043"/>
    <w:uiPriority w:val="99"/>
    <w:qFormat/>
    <w:pPr>
      <w:spacing w:before="0" w:after="0" w:line="400" w:lineRule="exact"/>
      <w:tabs>
        <w:tab w:val="left" w:pos="1260" w:leader="none"/>
      </w:tabs>
    </w:pPr>
    <w:rPr>
      <w:rFonts w:eastAsia="黑体"/>
      <w:b w:val="0"/>
      <w:bCs w:val="0"/>
      <w:sz w:val="24"/>
      <w:szCs w:val="20"/>
    </w:rPr>
  </w:style>
  <w:style w:type="paragraph" w:styleId="1233">
    <w:name w:val="UserStyle_65"/>
    <w:basedOn w:val="1043"/>
    <w:next w:val="1233"/>
    <w:link w:val="1043"/>
    <w:uiPriority w:val="99"/>
    <w:qFormat/>
    <w:pPr>
      <w:ind w:firstLine="200"/>
    </w:pPr>
    <w:rPr>
      <w:sz w:val="24"/>
      <w:szCs w:val="20"/>
    </w:rPr>
  </w:style>
  <w:style w:type="paragraph" w:styleId="1234">
    <w:name w:val="UserStyle_60"/>
    <w:basedOn w:val="1043"/>
    <w:next w:val="1234"/>
    <w:link w:val="1043"/>
    <w:uiPriority w:val="99"/>
    <w:qFormat/>
    <w:pPr>
      <w:tabs>
        <w:tab w:val="left" w:pos="0" w:leader="none"/>
        <w:tab w:val="left" w:pos="420" w:leader="none"/>
        <w:tab w:val="left" w:pos="709" w:leader="none"/>
      </w:tabs>
    </w:pPr>
    <w:rPr>
      <w:rFonts w:ascii="宋体" w:hAnsi="宋体"/>
      <w:szCs w:val="20"/>
    </w:rPr>
  </w:style>
  <w:style w:type="paragraph" w:styleId="1235">
    <w:name w:val="UserStyle_71"/>
    <w:basedOn w:val="1043"/>
    <w:next w:val="1235"/>
    <w:link w:val="1043"/>
    <w:uiPriority w:val="99"/>
    <w:qFormat/>
    <w:rPr>
      <w:b/>
      <w:bCs/>
      <w:sz w:val="24"/>
    </w:rPr>
  </w:style>
  <w:style w:type="paragraph" w:styleId="1236">
    <w:name w:val="列出段落"/>
    <w:basedOn w:val="1043"/>
    <w:next w:val="1064"/>
    <w:link w:val="1043"/>
    <w:uiPriority w:val="34"/>
    <w:qFormat/>
    <w:pPr>
      <w:ind w:firstLine="420"/>
      <w:jc w:val="left"/>
    </w:pPr>
    <w:rPr>
      <w:rFonts w:ascii="宋体" w:hAnsi="宋体" w:cs="宋体"/>
      <w:sz w:val="24"/>
      <w:szCs w:val="20"/>
    </w:rPr>
  </w:style>
  <w:style w:type="paragraph" w:styleId="1237">
    <w:name w:val="UserStyle_67"/>
    <w:basedOn w:val="1043"/>
    <w:next w:val="1237"/>
    <w:link w:val="1043"/>
    <w:uiPriority w:val="99"/>
    <w:qFormat/>
    <w:pPr>
      <w:ind w:left="830" w:hanging="534"/>
      <w:jc w:val="left"/>
      <w:spacing w:line="480" w:lineRule="exact"/>
    </w:pPr>
    <w:rPr>
      <w:rFonts w:ascii="仿宋_GB2312" w:hAnsi="仿宋_GB2312" w:eastAsia="仿宋_GB2312"/>
      <w:sz w:val="28"/>
      <w:szCs w:val="20"/>
    </w:rPr>
  </w:style>
  <w:style w:type="paragraph" w:styleId="1238">
    <w:name w:val="UserStyle_69"/>
    <w:basedOn w:val="1043"/>
    <w:next w:val="1238"/>
    <w:link w:val="1043"/>
    <w:uiPriority w:val="99"/>
    <w:qFormat/>
    <w:pPr>
      <w:ind w:firstLine="200"/>
      <w:spacing w:line="360" w:lineRule="auto"/>
    </w:pPr>
    <w:rPr>
      <w:rFonts w:ascii="仿宋_GB2312" w:hAnsi="Calibri"/>
      <w:sz w:val="24"/>
      <w:szCs w:val="21"/>
    </w:rPr>
  </w:style>
  <w:style w:type="paragraph" w:styleId="1239">
    <w:name w:val="UserStyle_72"/>
    <w:basedOn w:val="1043"/>
    <w:next w:val="1239"/>
    <w:link w:val="1043"/>
    <w:uiPriority w:val="99"/>
    <w:qFormat/>
    <w:pPr>
      <w:jc w:val="left"/>
      <w:spacing w:before="100" w:beforeAutospacing="1" w:after="100" w:afterAutospacing="1"/>
    </w:pPr>
    <w:rPr>
      <w:rFonts w:ascii="宋体" w:hAnsi="宋体"/>
      <w:sz w:val="24"/>
    </w:rPr>
  </w:style>
  <w:style w:type="paragraph" w:styleId="1240">
    <w:name w:val="修订"/>
    <w:next w:val="1240"/>
    <w:link w:val="1043"/>
    <w:uiPriority w:val="99"/>
    <w:semiHidden/>
    <w:rPr>
      <w:sz w:val="21"/>
      <w:szCs w:val="24"/>
      <w:lang w:val="en-US" w:eastAsia="zh-CN" w:bidi="ar-SA"/>
    </w:rPr>
  </w:style>
  <w:style w:type="paragraph" w:styleId="1241">
    <w:name w:val="UserStyle_64"/>
    <w:basedOn w:val="1043"/>
    <w:next w:val="1241"/>
    <w:link w:val="1043"/>
    <w:uiPriority w:val="99"/>
    <w:qFormat/>
    <w:pPr>
      <w:jc w:val="left"/>
      <w:spacing w:after="160" w:line="240" w:lineRule="exact"/>
    </w:pPr>
    <w:rPr>
      <w:rFonts w:ascii="Verdana" w:hAnsi="Verdana" w:eastAsia="仿宋_GB2312"/>
      <w:sz w:val="24"/>
      <w:szCs w:val="20"/>
      <w:lang w:eastAsia="en-US"/>
    </w:rPr>
  </w:style>
  <w:style w:type="paragraph" w:styleId="1242">
    <w:name w:val="xl69"/>
    <w:basedOn w:val="1043"/>
    <w:next w:val="1242"/>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name w:val="正文_0"/>
    <w:next w:val="1243"/>
    <w:link w:val="1043"/>
    <w:qFormat/>
    <w:pPr>
      <w:jc w:val="both"/>
      <w:widowControl w:val="off"/>
    </w:pPr>
    <w:rPr>
      <w:rFonts w:ascii="Calibri" w:hAnsi="Calibri"/>
      <w:lang w:val="en-US" w:eastAsia="zh-CN" w:bidi="ar-SA"/>
    </w:rPr>
  </w:style>
  <w:style w:type="paragraph" w:styleId="1244">
    <w:name w:val="Heading71"/>
    <w:basedOn w:val="1043"/>
    <w:next w:val="1043"/>
    <w:link w:val="1043"/>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245">
    <w:name w:val="UserStyle_66"/>
    <w:basedOn w:val="1043"/>
    <w:next w:val="1245"/>
    <w:link w:val="1043"/>
    <w:uiPriority w:val="99"/>
    <w:qFormat/>
    <w:pPr>
      <w:jc w:val="left"/>
      <w:spacing w:after="160" w:line="240" w:lineRule="exact"/>
    </w:pPr>
  </w:style>
  <w:style w:type="paragraph" w:styleId="1246">
    <w:name w:val="xl70"/>
    <w:basedOn w:val="1043"/>
    <w:next w:val="1246"/>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纯文本1"/>
    <w:basedOn w:val="1043"/>
    <w:next w:val="1247"/>
    <w:link w:val="1043"/>
    <w:qFormat/>
    <w:pPr>
      <w:widowControl w:val="off"/>
    </w:pPr>
    <w:rPr>
      <w:rFonts w:hint="eastAsia" w:ascii="宋体" w:hAnsi="Courier New" w:eastAsia="楷体_GB2312"/>
      <w:sz w:val="28"/>
      <w:szCs w:val="20"/>
    </w:rPr>
  </w:style>
  <w:style w:type="paragraph" w:styleId="1248">
    <w:name w:val="xl71"/>
    <w:basedOn w:val="1043"/>
    <w:next w:val="1248"/>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name w:val="UserStyle_59"/>
    <w:basedOn w:val="1043"/>
    <w:next w:val="1249"/>
    <w:link w:val="1043"/>
    <w:uiPriority w:val="99"/>
    <w:qFormat/>
    <w:pPr>
      <w:contextualSpacing/>
      <w:ind w:left="720"/>
      <w:jc w:val="left"/>
    </w:pPr>
    <w:rPr>
      <w:rFonts w:ascii="Arial" w:hAnsi="Arial" w:eastAsia="黑体"/>
      <w:sz w:val="24"/>
      <w:lang w:eastAsia="en-US"/>
    </w:rPr>
  </w:style>
  <w:style w:type="paragraph" w:styleId="1250">
    <w:name w:val="xl74"/>
    <w:basedOn w:val="1043"/>
    <w:next w:val="1250"/>
    <w:link w:val="104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251">
    <w:name w:val="网格型21"/>
    <w:basedOn w:val="1054"/>
    <w:next w:val="1251"/>
    <w:link w:val="1043"/>
    <w:uiPriority w:val="39"/>
    <w:qFormat/>
    <w:tblPr/>
  </w:style>
  <w:style w:type="table" w:styleId="1252">
    <w:name w:val="TableNormal1"/>
    <w:next w:val="1252"/>
    <w:link w:val="1043"/>
    <w:uiPriority w:val="99"/>
    <w:qFormat/>
    <w:rPr>
      <w:lang w:val="en-US" w:eastAsia="zh-CN" w:bidi="ar-SA"/>
    </w:rPr>
    <w:tblPr/>
  </w:style>
  <w:style w:type="table" w:styleId="1253">
    <w:name w:val="网格型2"/>
    <w:basedOn w:val="1054"/>
    <w:next w:val="1253"/>
    <w:link w:val="1043"/>
    <w:uiPriority w:val="39"/>
    <w:qFormat/>
    <w:rPr>
      <w:rFonts w:ascii="等线" w:hAnsi="等线" w:eastAsia="等线"/>
    </w:rPr>
    <w:tblPr/>
  </w:style>
  <w:style w:type="table" w:styleId="1254">
    <w:name w:val="TableGrid1"/>
    <w:basedOn w:val="1252"/>
    <w:next w:val="1254"/>
    <w:link w:val="1043"/>
    <w:uiPriority w:val="99"/>
    <w:qFormat/>
    <w:tblPr/>
  </w:style>
  <w:style w:type="table" w:styleId="1255">
    <w:name w:val="网格型3"/>
    <w:basedOn w:val="1054"/>
    <w:next w:val="1255"/>
    <w:link w:val="1043"/>
    <w:uiPriority w:val="39"/>
    <w:rPr>
      <w:rFonts w:ascii="等线" w:hAnsi="等线" w:eastAsia="等线" w:cs="Times New Roman"/>
      <w:sz w:val="21"/>
      <w:szCs w:val="24"/>
    </w:rPr>
    <w:tblPr/>
  </w:style>
  <w:style w:type="table" w:styleId="1256">
    <w:name w:val="网格型1"/>
    <w:next w:val="1256"/>
    <w:link w:val="1043"/>
    <w:uiPriority w:val="99"/>
    <w:qFormat/>
    <w:pPr>
      <w:jc w:val="both"/>
      <w:widowControl w:val="off"/>
    </w:pPr>
    <w:rPr>
      <w:lang w:val="en-US" w:eastAsia="zh-CN" w:bidi="ar-SA"/>
    </w:rPr>
    <w:tblPr/>
  </w:style>
  <w:style w:type="character" w:styleId="1257">
    <w:name w:val="active16"/>
    <w:next w:val="1257"/>
    <w:link w:val="1043"/>
    <w:rPr>
      <w:color w:val="ffffff"/>
      <w:shd w:val="clear" w:color="auto" w:fill="0f5bb9"/>
    </w:rPr>
  </w:style>
  <w:style w:type="paragraph" w:styleId="1258">
    <w:name w:val="AONormal"/>
    <w:next w:val="1258"/>
    <w:link w:val="1043"/>
    <w:qFormat/>
    <w:pPr>
      <w:ind w:firstLine="440"/>
      <w:spacing w:line="400" w:lineRule="exact"/>
    </w:pPr>
    <w:rPr>
      <w:rFonts w:ascii="华文楷体" w:hAnsi="华文楷体" w:eastAsia="华文楷体" w:cs="华文楷体"/>
      <w:sz w:val="22"/>
      <w:szCs w:val="21"/>
      <w:lang w:val="en-US" w:eastAsia="zh-CN" w:bidi="ar-SA"/>
    </w:rPr>
  </w:style>
  <w:style w:type="paragraph" w:styleId="1259">
    <w:name w:val="1.1"/>
    <w:basedOn w:val="1043"/>
    <w:next w:val="1043"/>
    <w:link w:val="1043"/>
    <w:qFormat/>
    <w:pPr>
      <w:spacing w:line="360" w:lineRule="auto"/>
      <w:outlineLvl w:val="1"/>
    </w:pPr>
    <w:rPr>
      <w:rFonts w:ascii="Cambria" w:hAnsi="Cambria" w:eastAsia="黑体"/>
      <w:b/>
      <w:sz w:val="36"/>
    </w:rPr>
  </w:style>
  <w:style w:type="table" w:styleId="1260">
    <w:name w:val="Table Normal"/>
    <w:next w:val="1260"/>
    <w:link w:val="1043"/>
    <w:unhideWhenUsed/>
    <w:qFormat/>
    <w:rPr>
      <w:rFonts w:ascii="Arial" w:hAnsi="Arial" w:cs="Arial"/>
      <w:color w:val="000000"/>
      <w:sz w:val="21"/>
      <w:szCs w:val="21"/>
      <w:lang w:val="en-US" w:eastAsia="en-US" w:bidi="ar-SA"/>
    </w:rPr>
    <w:tblPr/>
  </w:style>
  <w:style w:type="character" w:styleId="1261">
    <w:name w:val="font61"/>
    <w:next w:val="1261"/>
    <w:link w:val="1043"/>
    <w:rPr>
      <w:rFonts w:hint="eastAsia" w:ascii="宋体" w:hAnsi="宋体" w:eastAsia="宋体" w:cs="宋体"/>
      <w:i w:val="0"/>
      <w:iCs w:val="0"/>
      <w:color w:val="000000"/>
      <w:sz w:val="22"/>
      <w:szCs w:val="22"/>
      <w:u w:val="none"/>
    </w:rPr>
  </w:style>
  <w:style w:type="paragraph" w:styleId="1262">
    <w:name w:val="Heading11"/>
    <w:basedOn w:val="1043"/>
    <w:next w:val="1043"/>
    <w:link w:val="1043"/>
    <w:uiPriority w:val="99"/>
    <w:qFormat/>
    <w:pPr>
      <w:numPr>
        <w:ilvl w:val="0"/>
        <w:numId w:val="3"/>
      </w:numPr>
      <w:jc w:val="center"/>
      <w:keepLines/>
      <w:keepNext/>
      <w:spacing w:before="340" w:after="330" w:line="578" w:lineRule="auto"/>
    </w:pPr>
    <w:rPr>
      <w:b/>
      <w:bCs/>
      <w:sz w:val="32"/>
      <w:szCs w:val="44"/>
    </w:rPr>
  </w:style>
  <w:style w:type="paragraph" w:styleId="1263">
    <w:name w:val="页脚11"/>
    <w:basedOn w:val="1043"/>
    <w:next w:val="1263"/>
    <w:link w:val="1043"/>
    <w:qFormat/>
    <w:pPr>
      <w:jc w:val="left"/>
      <w:tabs>
        <w:tab w:val="center" w:pos="4153" w:leader="none"/>
        <w:tab w:val="right" w:pos="8306" w:leader="none"/>
      </w:tabs>
    </w:pPr>
    <w:rPr>
      <w:sz w:val="18"/>
      <w:szCs w:val="18"/>
      <w:lang w:eastAsia="en-US"/>
    </w:rPr>
  </w:style>
  <w:style w:type="character" w:styleId="1264">
    <w:name w:val="NormalCharacter1"/>
    <w:next w:val="1264"/>
    <w:link w:val="1043"/>
    <w:qFormat/>
  </w:style>
  <w:style w:type="character" w:styleId="1265" w:default="1">
    <w:name w:val="Default Paragraph Font"/>
    <w:uiPriority w:val="1"/>
    <w:semiHidden/>
    <w:unhideWhenUsed/>
  </w:style>
  <w:style w:type="numbering" w:styleId="1266" w:default="1">
    <w:name w:val="No List"/>
    <w:uiPriority w:val="99"/>
    <w:semiHidden/>
    <w:unhideWhenUsed/>
  </w:style>
  <w:style w:type="table" w:styleId="1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3</cp:revision>
  <dcterms:created xsi:type="dcterms:W3CDTF">2025-05-29T10:52:00Z</dcterms:created>
  <dcterms:modified xsi:type="dcterms:W3CDTF">2026-08-05T11:24:59Z</dcterms:modified>
</cp:coreProperties>
</file>