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687"/>
        <w:jc w:val="center"/>
        <w:spacing w:before="120" w:after="120" w:line="360" w:lineRule="auto"/>
        <w:rPr>
          <w:rFonts w:hint="eastAsia" w:ascii="宋体" w:hAnsi="宋体"/>
          <w:b/>
          <w:bCs/>
          <w:sz w:val="84"/>
          <w:szCs w:val="24"/>
        </w:rPr>
      </w:pPr>
      <w:r>
        <w:rPr>
          <w:rFonts w:hint="eastAsia" w:ascii="宋体" w:hAnsi="宋体"/>
          <w:b/>
          <w:bCs/>
          <w:sz w:val="84"/>
          <w:szCs w:val="24"/>
        </w:rPr>
        <w:t xml:space="preserve">竞争性磋商文件</w:t>
      </w:r>
      <w:r/>
    </w:p>
    <w:p>
      <w:pPr>
        <w:pStyle w:val="687"/>
        <w:jc w:val="center"/>
        <w:spacing w:line="560" w:lineRule="exact"/>
        <w:tabs>
          <w:tab w:val="left" w:pos="2870" w:leader="none"/>
        </w:tabs>
        <w:rPr>
          <w:rFonts w:hint="eastAsia" w:ascii="宋体" w:hAnsi="宋体"/>
          <w:b/>
          <w:bCs/>
          <w:sz w:val="32"/>
          <w:szCs w:val="24"/>
        </w:rPr>
      </w:pPr>
      <w:r>
        <w:rPr>
          <w:rFonts w:hint="eastAsia" w:ascii="宋体" w:hAnsi="宋体"/>
          <w:b/>
          <w:bCs/>
          <w:sz w:val="32"/>
          <w:szCs w:val="24"/>
        </w:rPr>
        <w:t xml:space="preserve">项目名称：</w:t>
      </w:r>
      <w:r>
        <w:rPr>
          <w:rFonts w:ascii="宋体" w:hAnsi="宋体" w:cs="宋体"/>
          <w:b/>
          <w:sz w:val="32"/>
          <w:szCs w:val="32"/>
        </w:rPr>
        <w:t xml:space="preserve">吴江区AI+数据融合赋能平台（一期）</w:t>
      </w:r>
      <w:r>
        <w:rPr>
          <w:rFonts w:hint="eastAsia" w:ascii="宋体" w:hAnsi="宋体"/>
          <w:b/>
          <w:bCs/>
          <w:sz w:val="32"/>
          <w:szCs w:val="24"/>
        </w:rPr>
      </w:r>
      <w:r/>
    </w:p>
    <w:p>
      <w:pPr>
        <w:pStyle w:val="687"/>
        <w:ind w:firstLine="2249"/>
        <w:jc w:val="left"/>
        <w:spacing w:before="120" w:after="120" w:line="360" w:lineRule="auto"/>
        <w:rPr>
          <w:rFonts w:ascii="宋体" w:hAnsi="宋体"/>
          <w:b/>
          <w:sz w:val="30"/>
          <w:szCs w:val="30"/>
        </w:rPr>
      </w:pPr>
      <w:r>
        <w:rPr>
          <w:rFonts w:hint="eastAsia" w:ascii="宋体" w:hAnsi="宋体"/>
          <w:b/>
          <w:bCs/>
          <w:sz w:val="32"/>
          <w:szCs w:val="24"/>
        </w:rPr>
        <w:t xml:space="preserve">项目编号：</w:t>
      </w:r>
      <w:r>
        <w:rPr>
          <w:rFonts w:ascii="宋体" w:hAnsi="宋体"/>
          <w:b/>
          <w:bCs/>
          <w:sz w:val="32"/>
          <w:szCs w:val="24"/>
        </w:rPr>
        <w:t xml:space="preserve">JSZC-320509-JZCG-C2026-0022</w:t>
      </w:r>
      <w:r>
        <w:rPr>
          <w:rFonts w:ascii="宋体" w:hAnsi="宋体"/>
          <w:b/>
          <w:sz w:val="30"/>
          <w:szCs w:val="30"/>
        </w:rPr>
      </w:r>
      <w:r/>
    </w:p>
    <w:p>
      <w:pPr>
        <w:pStyle w:val="687"/>
        <w:ind w:firstLine="2268"/>
        <w:jc w:val="left"/>
        <w:spacing w:before="120" w:after="120" w:line="360" w:lineRule="auto"/>
        <w:rPr>
          <w:rFonts w:hint="eastAsia" w:ascii="宋体" w:hAnsi="宋体"/>
          <w:b/>
          <w:sz w:val="30"/>
          <w:szCs w:val="30"/>
        </w:rPr>
      </w:pPr>
      <w:r>
        <w:rPr>
          <w:rFonts w:hint="eastAsia" w:ascii="宋体" w:hAnsi="宋体"/>
          <w:b/>
          <w:sz w:val="30"/>
          <w:szCs w:val="30"/>
        </w:rPr>
        <w:t xml:space="preserve">采购类别：服务类</w:t>
      </w:r>
      <w:r/>
    </w:p>
    <w:p>
      <w:pPr>
        <w:pStyle w:val="769"/>
        <w:rPr>
          <w:rFonts w:hint="eastAsia" w:hAnsi="宋体"/>
        </w:rPr>
      </w:pPr>
      <w:r>
        <w:rPr>
          <w:rFonts w:hint="eastAsia" w:hAnsi="宋体"/>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left"/>
        <w:spacing w:line="360" w:lineRule="auto"/>
        <w:rPr>
          <w:rFonts w:hint="eastAsia" w:ascii="宋体" w:hAnsi="宋体"/>
          <w:sz w:val="24"/>
          <w:szCs w:val="24"/>
        </w:rPr>
      </w:pPr>
      <w:r>
        <w:rPr>
          <w:rFonts w:hint="eastAsia" w:ascii="宋体" w:hAnsi="宋体"/>
          <w:sz w:val="24"/>
          <w:szCs w:val="24"/>
        </w:rPr>
      </w:r>
      <w:r/>
    </w:p>
    <w:p>
      <w:pPr>
        <w:pStyle w:val="687"/>
        <w:jc w:val="center"/>
        <w:spacing w:before="120" w:after="120" w:line="360" w:lineRule="auto"/>
        <w:rPr>
          <w:rFonts w:hint="eastAsia" w:ascii="宋体" w:hAnsi="宋体"/>
          <w:b/>
          <w:bCs/>
          <w:sz w:val="32"/>
          <w:szCs w:val="24"/>
        </w:rPr>
      </w:pPr>
      <w:r>
        <w:rPr>
          <w:rFonts w:hint="eastAsia" w:ascii="宋体" w:hAnsi="宋体"/>
          <w:b/>
          <w:bCs/>
          <w:sz w:val="32"/>
          <w:szCs w:val="24"/>
        </w:rPr>
        <w:t xml:space="preserve">苏州市公共资源交易中心吴江分中心</w:t>
      </w:r>
      <w:r/>
    </w:p>
    <w:p>
      <w:pPr>
        <w:pStyle w:val="687"/>
        <w:jc w:val="center"/>
        <w:spacing w:before="120" w:after="120" w:line="360" w:lineRule="auto"/>
        <w:rPr>
          <w:rFonts w:hint="eastAsia" w:ascii="宋体" w:hAnsi="宋体"/>
          <w:b/>
          <w:bCs/>
          <w:sz w:val="32"/>
          <w:szCs w:val="24"/>
        </w:rPr>
      </w:pPr>
      <w:r>
        <w:rPr>
          <w:rFonts w:ascii="宋体" w:hAnsi="宋体"/>
          <w:b/>
          <w:bCs/>
          <w:sz w:val="32"/>
          <w:szCs w:val="24"/>
        </w:rPr>
        <w:t xml:space="preserve">202</w:t>
      </w:r>
      <w:r>
        <w:rPr>
          <w:rFonts w:hint="eastAsia" w:ascii="宋体" w:hAnsi="宋体"/>
          <w:b/>
          <w:bCs/>
          <w:sz w:val="32"/>
          <w:szCs w:val="24"/>
        </w:rPr>
        <w:t xml:space="preserve">6年7月</w:t>
      </w:r>
      <w:r/>
    </w:p>
    <w:p>
      <w:pPr>
        <w:pStyle w:val="687"/>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687"/>
        <w:jc w:val="center"/>
        <w:spacing w:before="120" w:after="120" w:line="360" w:lineRule="auto"/>
        <w:rPr>
          <w:rFonts w:hint="eastAsia" w:ascii="宋体" w:hAnsi="宋体"/>
          <w:sz w:val="24"/>
          <w:szCs w:val="24"/>
        </w:rPr>
      </w:pPr>
      <w:r>
        <w:rPr>
          <w:rFonts w:hint="eastAsia" w:ascii="宋体" w:hAnsi="宋体"/>
          <w:sz w:val="24"/>
          <w:szCs w:val="24"/>
        </w:rPr>
      </w:r>
      <w:r/>
    </w:p>
    <w:p>
      <w:pPr>
        <w:pStyle w:val="687"/>
        <w:jc w:val="center"/>
        <w:spacing w:line="480" w:lineRule="auto"/>
        <w:rPr>
          <w:rFonts w:hint="eastAsia" w:ascii="宋体" w:hAnsi="宋体"/>
          <w:b/>
          <w:sz w:val="44"/>
          <w:szCs w:val="21"/>
        </w:rPr>
        <w:outlineLvl w:val="0"/>
      </w:pPr>
      <w:r>
        <w:rPr>
          <w:rFonts w:ascii="宋体" w:hAnsi="宋体"/>
          <w:szCs w:val="21"/>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宋体" w:hAnsi="宋体"/>
          <w:b/>
          <w:sz w:val="44"/>
          <w:szCs w:val="21"/>
        </w:rPr>
        <w:t xml:space="preserve">总  目  录</w:t>
      </w:r>
      <w:r/>
    </w:p>
    <w:p>
      <w:pPr>
        <w:pStyle w:val="687"/>
        <w:spacing w:line="480" w:lineRule="auto"/>
        <w:rPr>
          <w:rFonts w:hint="eastAsia" w:ascii="宋体" w:hAnsi="宋体"/>
          <w:b/>
          <w:sz w:val="28"/>
          <w:szCs w:val="21"/>
        </w:rPr>
      </w:pPr>
      <w:r>
        <w:rPr>
          <w:rFonts w:hint="eastAsia" w:ascii="宋体" w:hAnsi="宋体"/>
          <w:b/>
          <w:sz w:val="28"/>
          <w:szCs w:val="21"/>
        </w:rPr>
      </w:r>
      <w:r/>
    </w:p>
    <w:p>
      <w:pPr>
        <w:pStyle w:val="687"/>
        <w:numPr>
          <w:ilvl w:val="0"/>
          <w:numId w:val="4"/>
        </w:numPr>
        <w:spacing w:line="480" w:lineRule="auto"/>
        <w:tabs>
          <w:tab w:val="left" w:pos="1440" w:leader="none"/>
        </w:tabs>
        <w:rPr>
          <w:rFonts w:hint="eastAsia" w:ascii="宋体" w:hAnsi="宋体"/>
          <w:sz w:val="32"/>
          <w:szCs w:val="21"/>
        </w:rPr>
        <w:outlineLvl w:val="0"/>
      </w:pPr>
      <w:r>
        <w:rPr>
          <w:rFonts w:hint="eastAsia" w:ascii="宋体" w:hAnsi="宋体"/>
          <w:sz w:val="36"/>
          <w:szCs w:val="21"/>
        </w:rPr>
        <w:t xml:space="preserve">磋商邀请…………………………………… 3</w:t>
      </w:r>
      <w:r>
        <w:rPr>
          <w:rFonts w:hint="eastAsia" w:ascii="宋体" w:hAnsi="宋体"/>
          <w:sz w:val="32"/>
          <w:szCs w:val="21"/>
        </w:rPr>
      </w:r>
      <w:r/>
    </w:p>
    <w:p>
      <w:pPr>
        <w:pStyle w:val="687"/>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36"/>
        </w:rPr>
        <w:t xml:space="preserve">…</w:t>
      </w:r>
      <w:r>
        <w:rPr>
          <w:rFonts w:hint="eastAsia" w:ascii="宋体" w:hAnsi="宋体"/>
          <w:sz w:val="36"/>
          <w:szCs w:val="21"/>
        </w:rPr>
        <w:t xml:space="preserve">………………………………6</w:t>
      </w:r>
      <w:r/>
    </w:p>
    <w:p>
      <w:pPr>
        <w:pStyle w:val="687"/>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合同文本……………………………………19</w:t>
      </w:r>
      <w:r/>
    </w:p>
    <w:p>
      <w:pPr>
        <w:pStyle w:val="687"/>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采购需求……………………………………25</w:t>
      </w:r>
      <w:r/>
    </w:p>
    <w:p>
      <w:pPr>
        <w:pStyle w:val="687"/>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bCs/>
          <w:sz w:val="36"/>
          <w:szCs w:val="36"/>
        </w:rPr>
        <w:t xml:space="preserve">评审方法与评审标准</w:t>
      </w:r>
      <w:r>
        <w:rPr>
          <w:rFonts w:hint="eastAsia" w:ascii="宋体" w:hAnsi="宋体"/>
          <w:sz w:val="36"/>
          <w:szCs w:val="21"/>
        </w:rPr>
        <w:t xml:space="preserve">………………………42</w:t>
      </w:r>
      <w:r/>
    </w:p>
    <w:p>
      <w:pPr>
        <w:pStyle w:val="687"/>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响应文件格式…………………………</w:t>
      </w:r>
      <w:r>
        <w:rPr>
          <w:rFonts w:hint="eastAsia" w:ascii="宋体" w:hAnsi="宋体"/>
          <w:sz w:val="36"/>
          <w:szCs w:val="21"/>
        </w:rPr>
        <w:t xml:space="preserve">……47</w:t>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jc w:val="center"/>
        <w:keepNext/>
        <w:rPr>
          <w:rFonts w:hint="eastAsia" w:ascii="宋体" w:hAnsi="宋体"/>
          <w:bCs/>
          <w:sz w:val="44"/>
          <w:szCs w:val="44"/>
        </w:rPr>
        <w:outlineLvl w:val="0"/>
      </w:pPr>
      <w:r>
        <w:rPr>
          <w:rFonts w:hint="eastAsia" w:ascii="宋体" w:hAnsi="宋体"/>
          <w:sz w:val="44"/>
          <w:szCs w:val="44"/>
        </w:rPr>
        <w:t xml:space="preserve">第一章  </w:t>
      </w:r>
      <w:bookmarkEnd w:id="0"/>
      <w:r>
        <w:rPr>
          <w:rFonts w:hint="eastAsia" w:ascii="宋体" w:hAnsi="宋体"/>
          <w:sz w:val="44"/>
          <w:szCs w:val="44"/>
        </w:rPr>
        <w:t xml:space="preserve">磋商邀请</w:t>
      </w:r>
      <w:r>
        <w:rPr>
          <w:rFonts w:hint="eastAsia" w:ascii="宋体" w:hAnsi="宋体"/>
          <w:bCs/>
          <w:sz w:val="44"/>
          <w:szCs w:val="44"/>
        </w:rPr>
      </w:r>
      <w:r/>
    </w:p>
    <w:p>
      <w:pPr>
        <w:pStyle w:val="687"/>
        <w:ind w:left="2" w:firstLine="706"/>
        <w:jc w:val="left"/>
        <w:rPr>
          <w:rFonts w:ascii="宋体" w:hAnsi="宋体"/>
          <w:sz w:val="24"/>
          <w:szCs w:val="24"/>
        </w:rPr>
      </w:pPr>
      <w:r>
        <w:rPr>
          <w:rFonts w:hint="eastAsia" w:ascii="宋体" w:hAnsi="宋体"/>
          <w:sz w:val="24"/>
          <w:szCs w:val="24"/>
        </w:rPr>
        <w:t xml:space="preserve">受</w:t>
      </w:r>
      <w:r>
        <w:rPr>
          <w:rFonts w:ascii="宋体" w:hAnsi="宋体"/>
          <w:sz w:val="24"/>
          <w:szCs w:val="24"/>
        </w:rPr>
        <w:t xml:space="preserve">苏州市吴江区数据局</w:t>
      </w:r>
      <w:r>
        <w:rPr>
          <w:rFonts w:hint="eastAsia" w:ascii="宋体" w:hAnsi="宋体"/>
          <w:sz w:val="24"/>
          <w:szCs w:val="24"/>
        </w:rPr>
        <w:t xml:space="preserve">的委托，苏州市公共资源交易中心吴江分中心就</w:t>
      </w:r>
      <w:r>
        <w:rPr>
          <w:rFonts w:ascii="宋体" w:hAnsi="宋体"/>
          <w:sz w:val="24"/>
          <w:szCs w:val="24"/>
        </w:rPr>
        <w:t xml:space="preserve">吴江区AI+数据融合赋能平台（一期）</w:t>
      </w:r>
      <w:r>
        <w:rPr>
          <w:rFonts w:hint="eastAsia" w:ascii="宋体" w:hAnsi="宋体"/>
          <w:sz w:val="24"/>
          <w:szCs w:val="24"/>
        </w:rPr>
        <w:t xml:space="preserve">(</w:t>
      </w:r>
      <w:r>
        <w:rPr>
          <w:rFonts w:ascii="宋体" w:hAnsi="宋体"/>
          <w:sz w:val="24"/>
          <w:szCs w:val="24"/>
        </w:rPr>
        <w:t xml:space="preserve">JSZC-320509-JZCG-C2026-0022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8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87"/>
        <w:ind w:firstLine="665"/>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吴江区AI+数据融合赋能平台（一期）</w:t>
      </w:r>
      <w:r>
        <w:rPr>
          <w:rFonts w:hint="eastAsia" w:ascii="宋体" w:hAnsi="宋体"/>
          <w:sz w:val="24"/>
          <w:szCs w:val="24"/>
        </w:rPr>
        <w:t xml:space="preserve">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r>
      <w:r>
        <w:rPr>
          <w:rFonts w:ascii="FangSong" w:hAnsi="FangSong" w:eastAsia="FangSong" w:cs="FangSong"/>
          <w:color w:val="000000"/>
          <w:sz w:val="28"/>
          <w:u w:val="single"/>
        </w:rPr>
        <w:t xml:space="preserve">2026-08-14 13:30 （北京时间）</w:t>
      </w:r>
      <w:r>
        <w:rPr>
          <w:rFonts w:ascii="宋体" w:hAnsi="宋体"/>
          <w:sz w:val="24"/>
          <w:szCs w:val="24"/>
          <w:u w:val="single"/>
        </w:rPr>
      </w:r>
      <w:r>
        <w:rPr>
          <w:rFonts w:hint="eastAsia" w:ascii="宋体" w:hAnsi="宋体"/>
          <w:bCs/>
          <w:sz w:val="24"/>
          <w:szCs w:val="24"/>
        </w:rPr>
        <w:t xml:space="preserve">前递交响应文件</w:t>
      </w:r>
      <w:r>
        <w:rPr>
          <w:rFonts w:hint="eastAsia" w:ascii="宋体" w:hAnsi="宋体"/>
          <w:sz w:val="24"/>
          <w:szCs w:val="24"/>
        </w:rPr>
        <w:t xml:space="preserve">。</w:t>
      </w:r>
      <w:r>
        <w:rPr>
          <w:rFonts w:ascii="宋体" w:hAnsi="宋体"/>
          <w:sz w:val="24"/>
          <w:szCs w:val="24"/>
        </w:rPr>
      </w:r>
      <w:r/>
    </w:p>
    <w:p>
      <w:pPr>
        <w:pStyle w:val="687"/>
        <w:ind w:firstLine="498"/>
        <w:keepLines/>
        <w:keepNext/>
        <w:spacing w:before="120" w:after="120" w:line="360" w:lineRule="auto"/>
        <w:rPr>
          <w:rFonts w:ascii="宋体" w:hAnsi="宋体"/>
          <w:b/>
          <w:bCs/>
          <w:sz w:val="32"/>
          <w:szCs w:val="32"/>
        </w:rPr>
        <w:outlineLvl w:val="2"/>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宋体" w:hAnsi="宋体"/>
          <w:b/>
          <w:bCs/>
          <w:sz w:val="32"/>
          <w:szCs w:val="32"/>
        </w:rPr>
        <w:t xml:space="preserve">一、项目基本情</w:t>
      </w:r>
      <w:r>
        <w:rPr>
          <w:rFonts w:hint="eastAsia" w:ascii="宋体" w:hAnsi="宋体"/>
          <w:b/>
          <w:bCs/>
          <w:sz w:val="32"/>
          <w:szCs w:val="32"/>
        </w:rPr>
        <w:t xml:space="preserve">况</w:t>
      </w:r>
      <w:bookmarkEnd w:id="6"/>
      <w:r/>
      <w:bookmarkEnd w:id="7"/>
      <w:r/>
      <w:bookmarkEnd w:id="8"/>
      <w:r/>
      <w:bookmarkEnd w:id="9"/>
      <w:r/>
      <w:bookmarkEnd w:id="10"/>
      <w:r>
        <w:rPr>
          <w:rFonts w:ascii="宋体" w:hAnsi="宋体"/>
          <w:b/>
          <w:bCs/>
          <w:sz w:val="32"/>
          <w:szCs w:val="32"/>
        </w:rPr>
      </w:r>
      <w:r/>
    </w:p>
    <w:p>
      <w:pPr>
        <w:pStyle w:val="687"/>
        <w:ind w:firstLine="480"/>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JSZC-320509-JZCG-C2026-0022</w:t>
      </w:r>
      <w:r>
        <w:rPr>
          <w:rFonts w:hint="eastAsia" w:ascii="宋体" w:hAnsi="宋体"/>
          <w:sz w:val="24"/>
          <w:szCs w:val="24"/>
        </w:rPr>
      </w:r>
      <w:r/>
    </w:p>
    <w:p>
      <w:pPr>
        <w:pStyle w:val="687"/>
        <w:ind w:firstLine="480"/>
        <w:rPr>
          <w:rFonts w:ascii="宋体" w:hAnsi="宋体"/>
          <w:sz w:val="24"/>
          <w:szCs w:val="24"/>
        </w:rPr>
      </w:pPr>
      <w:r>
        <w:rPr>
          <w:rFonts w:hint="eastAsia" w:ascii="宋体" w:hAnsi="宋体"/>
          <w:sz w:val="24"/>
          <w:szCs w:val="24"/>
        </w:rPr>
        <w:t xml:space="preserve">项目名称：</w:t>
      </w:r>
      <w:r>
        <w:rPr>
          <w:rFonts w:ascii="宋体" w:hAnsi="宋体"/>
          <w:sz w:val="24"/>
          <w:szCs w:val="24"/>
        </w:rPr>
        <w:t xml:space="preserve">吴江区AI+数据融合赋能平台（一期）</w:t>
      </w:r>
      <w:r/>
    </w:p>
    <w:p>
      <w:pPr>
        <w:pStyle w:val="687"/>
        <w:ind w:firstLine="480"/>
        <w:rPr>
          <w:rFonts w:hint="eastAsia" w:ascii="宋体" w:hAnsi="宋体"/>
          <w:sz w:val="24"/>
          <w:szCs w:val="24"/>
        </w:rPr>
      </w:pPr>
      <w:r/>
      <w:bookmarkEnd w:id="11"/>
      <w:r>
        <w:rPr>
          <w:rFonts w:hint="eastAsia" w:ascii="宋体" w:hAnsi="宋体"/>
          <w:sz w:val="24"/>
          <w:szCs w:val="24"/>
        </w:rPr>
        <w:t xml:space="preserve">预算金额：</w:t>
      </w:r>
      <w:r>
        <w:rPr>
          <w:rFonts w:ascii="宋体" w:hAnsi="宋体"/>
          <w:sz w:val="24"/>
          <w:szCs w:val="24"/>
        </w:rPr>
        <w:t xml:space="preserve">314.9</w:t>
      </w:r>
      <w:r>
        <w:rPr>
          <w:rFonts w:hint="eastAsia" w:ascii="宋体" w:hAnsi="宋体"/>
          <w:sz w:val="24"/>
          <w:szCs w:val="24"/>
        </w:rPr>
        <w:t xml:space="preserve">1</w:t>
      </w:r>
      <w:r>
        <w:rPr>
          <w:rFonts w:ascii="宋体" w:hAnsi="宋体"/>
          <w:sz w:val="24"/>
          <w:szCs w:val="24"/>
        </w:rPr>
        <w:t xml:space="preserve">9</w:t>
      </w:r>
      <w:r>
        <w:rPr>
          <w:rFonts w:hint="eastAsia" w:ascii="宋体" w:hAnsi="宋体"/>
          <w:sz w:val="24"/>
          <w:szCs w:val="24"/>
        </w:rPr>
        <w:t xml:space="preserve">万元</w:t>
      </w:r>
      <w:r>
        <w:rPr>
          <w:rFonts w:hint="eastAsia" w:ascii="宋体" w:hAnsi="宋体"/>
          <w:sz w:val="24"/>
          <w:szCs w:val="24"/>
        </w:rPr>
      </w:r>
      <w:r/>
    </w:p>
    <w:p>
      <w:pPr>
        <w:pStyle w:val="687"/>
        <w:ind w:firstLine="480"/>
        <w:rPr>
          <w:rFonts w:hint="eastAsia" w:ascii="宋体" w:hAnsi="宋体"/>
          <w:sz w:val="24"/>
          <w:szCs w:val="24"/>
        </w:rPr>
      </w:pPr>
      <w:r>
        <w:rPr>
          <w:rFonts w:hint="eastAsia" w:ascii="宋体" w:hAnsi="宋体"/>
          <w:sz w:val="24"/>
          <w:szCs w:val="24"/>
        </w:rPr>
        <w:t xml:space="preserve">最高限价：</w:t>
      </w:r>
      <w:r>
        <w:rPr>
          <w:rFonts w:ascii="宋体" w:hAnsi="宋体"/>
          <w:sz w:val="24"/>
          <w:szCs w:val="24"/>
        </w:rPr>
        <w:t xml:space="preserve">314.9</w:t>
      </w:r>
      <w:r>
        <w:rPr>
          <w:rFonts w:hint="eastAsia" w:ascii="宋体" w:hAnsi="宋体"/>
          <w:sz w:val="24"/>
          <w:szCs w:val="24"/>
        </w:rPr>
        <w:t xml:space="preserve">1</w:t>
      </w:r>
      <w:r>
        <w:rPr>
          <w:rFonts w:ascii="宋体" w:hAnsi="宋体"/>
          <w:sz w:val="24"/>
          <w:szCs w:val="24"/>
        </w:rPr>
        <w:t xml:space="preserve">9</w:t>
      </w:r>
      <w:r>
        <w:rPr>
          <w:rFonts w:hint="eastAsia" w:ascii="宋体" w:hAnsi="宋体"/>
          <w:sz w:val="24"/>
          <w:szCs w:val="24"/>
        </w:rPr>
        <w:t xml:space="preserve">万元</w:t>
      </w:r>
      <w:r/>
    </w:p>
    <w:p>
      <w:pPr>
        <w:pStyle w:val="687"/>
        <w:ind w:firstLine="480"/>
        <w:rPr>
          <w:rFonts w:hint="eastAsia" w:ascii="宋体" w:hAnsi="宋体"/>
          <w:sz w:val="24"/>
          <w:szCs w:val="24"/>
        </w:rPr>
      </w:pPr>
      <w:r>
        <w:rPr>
          <w:rFonts w:hint="eastAsia" w:ascii="宋体" w:hAnsi="宋体"/>
          <w:sz w:val="24"/>
          <w:szCs w:val="24"/>
        </w:rPr>
        <w:t xml:space="preserve">采购方式：竞争性磋商</w:t>
      </w:r>
      <w:r/>
    </w:p>
    <w:p>
      <w:pPr>
        <w:pStyle w:val="687"/>
        <w:ind w:firstLine="480"/>
        <w:rPr>
          <w:rFonts w:hint="eastAsia" w:ascii="宋体" w:hAnsi="宋体"/>
          <w:sz w:val="24"/>
          <w:szCs w:val="24"/>
        </w:rPr>
      </w:pPr>
      <w:r>
        <w:rPr>
          <w:rFonts w:hint="eastAsia" w:ascii="宋体" w:hAnsi="宋体"/>
          <w:sz w:val="24"/>
          <w:szCs w:val="24"/>
        </w:rPr>
        <w:t xml:space="preserve">采购需求： </w:t>
      </w:r>
      <w:r>
        <w:rPr>
          <w:rFonts w:ascii="宋体" w:hAnsi="宋体"/>
          <w:sz w:val="24"/>
          <w:szCs w:val="24"/>
        </w:rPr>
        <w:t xml:space="preserve">吴江区AI+数据融合赋能平台主要包括数据指标中心、视频算法中心、能力中心及预警中心的建设。</w:t>
      </w:r>
      <w:r>
        <w:rPr>
          <w:rFonts w:hint="eastAsia" w:ascii="宋体" w:hAnsi="宋体"/>
          <w:sz w:val="24"/>
          <w:szCs w:val="24"/>
        </w:rPr>
      </w:r>
      <w:r/>
    </w:p>
    <w:p>
      <w:pPr>
        <w:pStyle w:val="687"/>
        <w:ind w:firstLine="482"/>
        <w:spacing w:line="360" w:lineRule="auto"/>
        <w:rPr>
          <w:rFonts w:hint="eastAsia" w:ascii="宋体" w:hAnsi="宋体"/>
          <w:sz w:val="24"/>
          <w:szCs w:val="24"/>
        </w:rPr>
      </w:pPr>
      <w:r>
        <w:rPr>
          <w:rFonts w:hint="eastAsia" w:ascii="宋体" w:hAnsi="宋体"/>
          <w:sz w:val="24"/>
          <w:szCs w:val="24"/>
        </w:rPr>
        <w:t xml:space="preserve">合同履行期限：自合同签订之日起12个月。</w:t>
      </w:r>
      <w:r/>
    </w:p>
    <w:p>
      <w:pPr>
        <w:pStyle w:val="687"/>
        <w:ind w:firstLine="482"/>
        <w:spacing w:line="360" w:lineRule="auto"/>
        <w:rPr>
          <w:rFonts w:ascii="宋体" w:hAnsi="宋体"/>
          <w:sz w:val="24"/>
          <w:szCs w:val="24"/>
        </w:rPr>
      </w:pPr>
      <w:r>
        <w:rPr>
          <w:rFonts w:hint="eastAsia" w:ascii="宋体" w:hAnsi="宋体"/>
          <w:sz w:val="24"/>
          <w:szCs w:val="24"/>
        </w:rPr>
        <w:t xml:space="preserve">本项目（是/否）接受联合体投标：不接受联合体</w:t>
      </w:r>
      <w:r>
        <w:rPr>
          <w:rFonts w:ascii="宋体" w:hAnsi="宋体"/>
          <w:sz w:val="24"/>
          <w:szCs w:val="24"/>
        </w:rPr>
      </w:r>
      <w:r/>
    </w:p>
    <w:p>
      <w:pPr>
        <w:pStyle w:val="687"/>
        <w:ind w:firstLine="482"/>
        <w:spacing w:line="360" w:lineRule="auto"/>
        <w:rPr>
          <w:rFonts w:hint="eastAsia" w:ascii="宋体" w:hAnsi="宋体"/>
          <w:sz w:val="24"/>
          <w:szCs w:val="24"/>
        </w:rPr>
      </w:pPr>
      <w:r>
        <w:rPr>
          <w:rFonts w:hint="eastAsia" w:ascii="宋体" w:hAnsi="宋体"/>
          <w:sz w:val="24"/>
          <w:szCs w:val="24"/>
        </w:rPr>
        <w:t xml:space="preserve">本项目不接受进口产品投标（接受/不接受）</w:t>
      </w:r>
      <w:r/>
    </w:p>
    <w:p>
      <w:pPr>
        <w:pStyle w:val="687"/>
        <w:ind w:firstLine="482"/>
        <w:spacing w:line="360" w:lineRule="auto"/>
        <w:rPr>
          <w:rFonts w:hint="eastAsia" w:ascii="宋体" w:hAnsi="宋体"/>
          <w:sz w:val="24"/>
          <w:szCs w:val="24"/>
        </w:rPr>
      </w:pPr>
      <w:r>
        <w:rPr>
          <w:rFonts w:hint="eastAsia" w:ascii="宋体" w:hAnsi="宋体"/>
          <w:sz w:val="24"/>
          <w:szCs w:val="24"/>
        </w:rPr>
        <w:t xml:space="preserve">采购标的对应的中小企业划分标准所属行业：</w:t>
      </w:r>
      <w:r>
        <w:rPr>
          <w:rFonts w:ascii="宋体" w:hAnsi="宋体"/>
          <w:sz w:val="24"/>
          <w:szCs w:val="24"/>
        </w:rPr>
        <w:t xml:space="preserve">软件与信息技术服务业</w:t>
      </w:r>
      <w:r>
        <w:rPr>
          <w:rFonts w:hint="eastAsia" w:ascii="宋体" w:hAnsi="宋体"/>
          <w:sz w:val="24"/>
          <w:szCs w:val="24"/>
        </w:rPr>
      </w:r>
      <w:r/>
    </w:p>
    <w:p>
      <w:pPr>
        <w:pStyle w:val="769"/>
        <w:rPr>
          <w:rFonts w:hint="eastAsia" w:hAnsi="宋体"/>
        </w:rPr>
      </w:pPr>
      <w:r>
        <w:rPr>
          <w:rFonts w:hint="eastAsia" w:hAnsi="宋体"/>
        </w:rPr>
      </w:r>
      <w:r/>
    </w:p>
    <w:p>
      <w:pPr>
        <w:pStyle w:val="687"/>
        <w:ind w:firstLine="498"/>
        <w:keepLines/>
        <w:keepNext/>
        <w:spacing w:before="120" w:after="120" w:line="360" w:lineRule="auto"/>
        <w:rPr>
          <w:rFonts w:ascii="宋体" w:hAnsi="宋体"/>
          <w:b/>
          <w:bCs/>
          <w:sz w:val="32"/>
          <w:szCs w:val="32"/>
        </w:rPr>
        <w:outlineLvl w:val="2"/>
      </w:pPr>
      <w:r/>
      <w:bookmarkStart w:id="12" w:name="_Toc38985264"/>
      <w:r/>
      <w:bookmarkStart w:id="13" w:name="_Toc35393791"/>
      <w:r/>
      <w:bookmarkStart w:id="14" w:name="_Toc28359080"/>
      <w:r/>
      <w:bookmarkStart w:id="15" w:name="_Toc35393622"/>
      <w:r/>
      <w:bookmarkStart w:id="16" w:name="_Toc28359003"/>
      <w:r/>
      <w:bookmarkStart w:id="17" w:name="_Toc35393627"/>
      <w:r/>
      <w:bookmarkStart w:id="18" w:name="_Toc28359085"/>
      <w:r/>
      <w:bookmarkStart w:id="19" w:name="_Toc38985269"/>
      <w:r/>
      <w:bookmarkStart w:id="20" w:name="_Toc28359008"/>
      <w:r/>
      <w:bookmarkStart w:id="21" w:name="_Toc35393796"/>
      <w:r>
        <w:rPr>
          <w:rFonts w:hint="eastAsia" w:ascii="宋体" w:hAnsi="宋体"/>
          <w:b/>
          <w:bCs/>
          <w:sz w:val="32"/>
          <w:szCs w:val="32"/>
        </w:rPr>
        <w:t xml:space="preserve">二、申请人的资格要求：</w:t>
      </w:r>
      <w:bookmarkEnd w:id="12"/>
      <w:r/>
      <w:bookmarkEnd w:id="13"/>
      <w:r/>
      <w:bookmarkEnd w:id="14"/>
      <w:r/>
      <w:bookmarkEnd w:id="15"/>
      <w:r/>
      <w:bookmarkEnd w:id="16"/>
      <w:r>
        <w:rPr>
          <w:rFonts w:ascii="宋体" w:hAnsi="宋体"/>
          <w:b/>
          <w:bCs/>
          <w:sz w:val="32"/>
          <w:szCs w:val="32"/>
        </w:rPr>
      </w:r>
      <w:r/>
    </w:p>
    <w:p>
      <w:pPr>
        <w:pStyle w:val="687"/>
        <w:ind w:firstLine="480"/>
        <w:spacing w:line="360" w:lineRule="auto"/>
        <w:rPr>
          <w:rFonts w:ascii="宋体" w:hAnsi="宋体"/>
          <w:sz w:val="24"/>
          <w:szCs w:val="24"/>
        </w:rPr>
      </w:pPr>
      <w:r/>
      <w:bookmarkStart w:id="22" w:name="_Toc28359004"/>
      <w:r/>
      <w:bookmarkStart w:id="23" w:name="_Toc35393792"/>
      <w:r/>
      <w:bookmarkStart w:id="24" w:name="_Toc38985265"/>
      <w:r/>
      <w:bookmarkStart w:id="25" w:name="_Toc28359081"/>
      <w:r/>
      <w:bookmarkStart w:id="26" w:name="_Toc35393623"/>
      <w:r>
        <w:rPr>
          <w:rFonts w:hint="eastAsia" w:ascii="宋体" w:hAnsi="宋体"/>
          <w:sz w:val="24"/>
          <w:szCs w:val="24"/>
        </w:rPr>
        <w:t xml:space="preserve">（一）通用资格要求：</w:t>
      </w:r>
      <w:r>
        <w:rPr>
          <w:rFonts w:ascii="宋体" w:hAnsi="宋体"/>
          <w:sz w:val="24"/>
          <w:szCs w:val="24"/>
        </w:rPr>
      </w:r>
      <w:r/>
    </w:p>
    <w:p>
      <w:pPr>
        <w:pStyle w:val="687"/>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87"/>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rPr>
          <w:rFonts w:ascii="宋体" w:hAnsi="宋体"/>
          <w:sz w:val="24"/>
          <w:szCs w:val="24"/>
        </w:rPr>
      </w:r>
      <w:r/>
    </w:p>
    <w:p>
      <w:pPr>
        <w:pStyle w:val="687"/>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rPr>
          <w:rFonts w:ascii="宋体" w:hAnsi="宋体"/>
          <w:sz w:val="24"/>
          <w:szCs w:val="24"/>
        </w:rPr>
      </w:r>
      <w:r/>
    </w:p>
    <w:p>
      <w:pPr>
        <w:pStyle w:val="687"/>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rPr>
          <w:rFonts w:ascii="宋体" w:hAnsi="宋体"/>
          <w:sz w:val="24"/>
          <w:szCs w:val="24"/>
        </w:rPr>
      </w:r>
      <w:r/>
    </w:p>
    <w:p>
      <w:pPr>
        <w:pStyle w:val="687"/>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rPr>
          <w:rFonts w:ascii="宋体" w:hAnsi="宋体"/>
          <w:sz w:val="24"/>
          <w:szCs w:val="24"/>
        </w:rPr>
      </w:r>
      <w:r/>
    </w:p>
    <w:p>
      <w:pPr>
        <w:pStyle w:val="687"/>
        <w:ind w:left="42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5.提供参加政府采购活动前三年内在经营活动中没有重大违法记录的书面声明。</w:t>
      </w:r>
      <w:r>
        <w:rPr>
          <w:rFonts w:ascii="宋体" w:hAnsi="宋体"/>
          <w:sz w:val="24"/>
          <w:szCs w:val="24"/>
        </w:rPr>
      </w:r>
      <w:r/>
    </w:p>
    <w:p>
      <w:pPr>
        <w:pStyle w:val="687"/>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rPr>
      </w:r>
      <w:r/>
    </w:p>
    <w:p>
      <w:pPr>
        <w:pStyle w:val="687"/>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687"/>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687"/>
        <w:ind w:firstLine="498"/>
        <w:keepLines/>
        <w:keepNext/>
        <w:spacing w:before="120" w:after="120" w:line="360" w:lineRule="auto"/>
        <w:rPr>
          <w:rFonts w:ascii="宋体" w:hAnsi="宋体"/>
          <w:b/>
          <w:bCs/>
          <w:sz w:val="32"/>
          <w:szCs w:val="32"/>
        </w:rPr>
        <w:outlineLvl w:val="2"/>
      </w:pPr>
      <w:r>
        <w:rPr>
          <w:rFonts w:hint="eastAsia" w:ascii="宋体" w:hAnsi="宋体"/>
          <w:b/>
          <w:bCs/>
          <w:sz w:val="32"/>
          <w:szCs w:val="32"/>
        </w:rPr>
        <w:t xml:space="preserve">三、获取</w:t>
      </w:r>
      <w:bookmarkEnd w:id="22"/>
      <w:r/>
      <w:bookmarkEnd w:id="23"/>
      <w:r/>
      <w:bookmarkEnd w:id="24"/>
      <w:r/>
      <w:bookmarkEnd w:id="25"/>
      <w:r/>
      <w:bookmarkEnd w:id="26"/>
      <w:r>
        <w:rPr>
          <w:rFonts w:hint="eastAsia" w:ascii="宋体" w:hAnsi="宋体"/>
          <w:b/>
          <w:bCs/>
          <w:sz w:val="32"/>
          <w:szCs w:val="32"/>
        </w:rPr>
        <w:t xml:space="preserve">磋商文件</w:t>
      </w:r>
      <w:r>
        <w:rPr>
          <w:rFonts w:ascii="宋体" w:hAnsi="宋体"/>
          <w:b/>
          <w:bCs/>
          <w:sz w:val="32"/>
          <w:szCs w:val="32"/>
        </w:rPr>
      </w:r>
      <w:r/>
    </w:p>
    <w:p>
      <w:pPr>
        <w:pStyle w:val="687"/>
        <w:ind w:firstLine="540"/>
        <w:spacing w:line="360" w:lineRule="auto"/>
        <w:rPr>
          <w:rFonts w:ascii="宋体" w:hAnsi="宋体" w:cs="宋体"/>
          <w:b/>
          <w:sz w:val="24"/>
          <w:szCs w:val="24"/>
        </w:rPr>
      </w:pPr>
      <w:r>
        <w:rPr>
          <w:rFonts w:hint="eastAsia" w:ascii="宋体" w:hAnsi="宋体" w:cs="宋体"/>
          <w:sz w:val="24"/>
          <w:szCs w:val="24"/>
        </w:rPr>
        <w:t xml:space="preserve">时间：自响应文件公告发布之日起5个工作日。</w:t>
      </w:r>
      <w:r>
        <w:rPr>
          <w:rFonts w:ascii="宋体" w:hAnsi="宋体" w:cs="宋体"/>
          <w:b/>
          <w:sz w:val="24"/>
          <w:szCs w:val="24"/>
        </w:rPr>
      </w:r>
      <w:r/>
    </w:p>
    <w:p>
      <w:pPr>
        <w:pStyle w:val="687"/>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rPr>
          <w:rFonts w:ascii="宋体" w:hAnsi="宋体"/>
        </w:rPr>
        <w:fldChar w:fldCharType="begin"/>
      </w:r>
      <w:r>
        <w:rPr>
          <w:rFonts w:ascii="宋体" w:hAnsi="宋体"/>
        </w:rPr>
        <w:instrText xml:space="preserve"> HYPERLINK "http://jszfcg.jsczt.cn/）" </w:instrText>
      </w:r>
      <w:r>
        <w:rPr>
          <w:rFonts w:ascii="宋体" w:hAnsi="宋体"/>
        </w:rP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rPr>
          <w:rFonts w:ascii="宋体" w:hAnsi="宋体" w:cs="宋体"/>
          <w:sz w:val="24"/>
          <w:szCs w:val="24"/>
        </w:rPr>
      </w:r>
      <w:r/>
    </w:p>
    <w:p>
      <w:pPr>
        <w:pStyle w:val="687"/>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687"/>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687"/>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四、响应文件提交</w:t>
      </w:r>
      <w:r>
        <w:rPr>
          <w:rFonts w:ascii="宋体" w:hAnsi="宋体"/>
          <w:b/>
          <w:bCs/>
          <w:sz w:val="32"/>
          <w:szCs w:val="32"/>
        </w:rPr>
      </w:r>
      <w:r/>
    </w:p>
    <w:p>
      <w:pPr>
        <w:pStyle w:val="687"/>
        <w:ind w:firstLine="480"/>
        <w:spacing w:line="360" w:lineRule="auto"/>
        <w:rPr>
          <w:rFonts w:ascii="宋体" w:hAnsi="宋体"/>
          <w:bCs/>
          <w:sz w:val="24"/>
          <w:szCs w:val="24"/>
        </w:rPr>
      </w:pPr>
      <w:r>
        <w:rPr>
          <w:rFonts w:hint="eastAsia" w:ascii="宋体" w:hAnsi="宋体"/>
          <w:bCs/>
          <w:sz w:val="24"/>
          <w:szCs w:val="24"/>
        </w:rPr>
        <w:t xml:space="preserve">截止时间：</w:t>
      </w:r>
      <w:r>
        <w:rPr>
          <w:rFonts w:ascii="FangSong" w:hAnsi="FangSong" w:eastAsia="FangSong" w:cs="FangSong"/>
          <w:color w:val="000000"/>
          <w:sz w:val="28"/>
        </w:rPr>
        <w:t xml:space="preserve">2026-08-14 13:30 （北京时间）</w:t>
      </w:r>
      <w:r>
        <w:rPr>
          <w:rFonts w:hint="eastAsia" w:ascii="宋体" w:hAnsi="宋体"/>
          <w:bCs/>
          <w:sz w:val="24"/>
          <w:szCs w:val="24"/>
        </w:rPr>
      </w:r>
      <w:r>
        <w:rPr>
          <w:rFonts w:ascii="宋体" w:hAnsi="宋体"/>
          <w:bCs/>
          <w:sz w:val="24"/>
          <w:szCs w:val="24"/>
        </w:rPr>
      </w:r>
      <w:r/>
    </w:p>
    <w:p>
      <w:pPr>
        <w:pStyle w:val="687"/>
        <w:ind w:firstLine="480"/>
        <w:spacing w:line="360" w:lineRule="auto"/>
        <w:rPr>
          <w:rFonts w:ascii="宋体" w:hAnsi="宋体"/>
          <w:bCs/>
          <w:sz w:val="24"/>
          <w:szCs w:val="24"/>
        </w:rPr>
      </w:pPr>
      <w:r>
        <w:rPr>
          <w:rFonts w:hint="eastAsia" w:ascii="宋体" w:hAnsi="宋体"/>
          <w:bCs/>
          <w:sz w:val="24"/>
          <w:szCs w:val="24"/>
        </w:rPr>
        <w:t xml:space="preserve">地点：“苏采云”系统（网址：</w:t>
      </w:r>
      <w:r>
        <w:rPr>
          <w:rFonts w:ascii="宋体" w:hAnsi="宋体"/>
        </w:rPr>
        <w:fldChar w:fldCharType="begin"/>
      </w:r>
      <w:r>
        <w:rPr>
          <w:rFonts w:ascii="宋体" w:hAnsi="宋体"/>
        </w:rPr>
        <w:instrText xml:space="preserve"> HYPERLINK "http://jszfcg.jsczt.cn/）" </w:instrText>
      </w:r>
      <w:r>
        <w:rPr>
          <w:rFonts w:ascii="宋体" w:hAnsi="宋体"/>
        </w:rP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687"/>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五、开启</w:t>
      </w:r>
      <w:r>
        <w:rPr>
          <w:rFonts w:ascii="宋体" w:hAnsi="宋体"/>
          <w:b/>
          <w:bCs/>
          <w:sz w:val="32"/>
          <w:szCs w:val="32"/>
        </w:rPr>
      </w:r>
      <w:r/>
    </w:p>
    <w:p>
      <w:pPr>
        <w:pStyle w:val="687"/>
        <w:ind w:firstLine="540"/>
        <w:spacing w:line="360" w:lineRule="auto"/>
        <w:rPr>
          <w:rFonts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t xml:space="preserve">：</w:t>
      </w:r>
      <w:r>
        <w:rPr>
          <w:rFonts w:ascii="FangSong" w:hAnsi="FangSong" w:eastAsia="FangSong" w:cs="FangSong"/>
          <w:color w:val="000000"/>
          <w:sz w:val="28"/>
        </w:rPr>
        <w:t xml:space="preserve">2026-08-14 13:30 （北京时间）</w:t>
      </w:r>
      <w:r/>
      <w:r>
        <w:rPr>
          <w:rFonts w:hint="eastAsia" w:ascii="宋体" w:hAnsi="宋体" w:cs="宋体"/>
          <w:sz w:val="24"/>
          <w:szCs w:val="24"/>
        </w:rPr>
      </w:r>
      <w:r/>
    </w:p>
    <w:p>
      <w:pPr>
        <w:pStyle w:val="687"/>
        <w:ind w:firstLine="540"/>
        <w:spacing w:line="360" w:lineRule="auto"/>
        <w:rPr>
          <w:rFonts w:ascii="宋体" w:hAnsi="宋体"/>
          <w:b/>
          <w:bCs/>
          <w:sz w:val="32"/>
          <w:szCs w:val="32"/>
        </w:rPr>
      </w:pPr>
      <w:r>
        <w:rPr>
          <w:rFonts w:hint="eastAsia" w:ascii="宋体" w:hAnsi="宋体" w:cs="宋体"/>
          <w:sz w:val="24"/>
          <w:szCs w:val="24"/>
        </w:rPr>
        <w:t xml:space="preserve">地点：</w:t>
      </w:r>
      <w:r>
        <w:rPr>
          <w:rFonts w:ascii="FangSong" w:hAnsi="FangSong" w:eastAsia="FangSong" w:cs="FangSong"/>
          <w:color w:val="000000"/>
          <w:sz w:val="28"/>
        </w:rPr>
        <w:t xml:space="preserve">苏州市吴江区开平路998号三楼不见面开标室02 </w:t>
      </w:r>
      <w:r>
        <w:rPr>
          <w:rFonts w:hint="eastAsia" w:ascii="宋体" w:hAnsi="宋体" w:cs="宋体"/>
          <w:sz w:val="24"/>
          <w:szCs w:val="24"/>
        </w:rPr>
      </w:r>
      <w:r/>
    </w:p>
    <w:p>
      <w:pPr>
        <w:pStyle w:val="687"/>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六、公告期限</w:t>
      </w:r>
      <w:r>
        <w:rPr>
          <w:rFonts w:ascii="宋体" w:hAnsi="宋体"/>
          <w:b/>
          <w:bCs/>
          <w:sz w:val="32"/>
          <w:szCs w:val="32"/>
        </w:rPr>
      </w:r>
      <w:r/>
    </w:p>
    <w:p>
      <w:pPr>
        <w:pStyle w:val="687"/>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687"/>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七、其他补充事宜</w:t>
      </w:r>
      <w:r>
        <w:rPr>
          <w:rFonts w:ascii="宋体" w:hAnsi="宋体"/>
          <w:b/>
          <w:bCs/>
          <w:sz w:val="32"/>
          <w:szCs w:val="32"/>
        </w:rPr>
      </w:r>
      <w:r/>
    </w:p>
    <w:p>
      <w:pPr>
        <w:pStyle w:val="687"/>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1.CA证书</w:t>
      </w:r>
      <w:r>
        <w:rPr>
          <w:rFonts w:hint="eastAsia" w:ascii="宋体" w:hAnsi="宋体" w:cs="宋体"/>
          <w:sz w:val="24"/>
          <w:szCs w:val="24"/>
        </w:rPr>
        <w:t xml:space="preserve">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87"/>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7"/>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3.电子投标准备供应商在“苏采云”系统中</w:t>
      </w:r>
      <w:r>
        <w:rPr>
          <w:rFonts w:hint="eastAsia" w:ascii="宋体" w:hAnsi="宋体" w:cs="宋体"/>
          <w:sz w:val="24"/>
          <w:szCs w:val="24"/>
        </w:rPr>
        <w:t xml:space="preserve">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87"/>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pStyle w:val="687"/>
        <w:ind w:firstLine="372"/>
        <w:keepLines/>
        <w:keepNext/>
        <w:spacing w:before="120" w:after="120" w:line="360" w:lineRule="auto"/>
        <w:rPr>
          <w:rFonts w:ascii="宋体" w:hAnsi="宋体" w:cs="宋体"/>
          <w:sz w:val="24"/>
          <w:szCs w:val="24"/>
        </w:rPr>
        <w:outlineLvl w:val="2"/>
      </w:pPr>
      <w:r>
        <w:rPr>
          <w:rFonts w:hint="eastAsia" w:ascii="宋体" w:hAnsi="宋体" w:cs="宋体"/>
          <w:sz w:val="24"/>
          <w:szCs w:val="24"/>
        </w:rPr>
        <w:t xml:space="preserve">5.本次采购不收取投标保证金。</w:t>
      </w:r>
      <w:r>
        <w:rPr>
          <w:rFonts w:ascii="宋体" w:hAnsi="宋体" w:cs="宋体"/>
          <w:sz w:val="24"/>
          <w:szCs w:val="24"/>
        </w:rPr>
      </w:r>
      <w:r/>
    </w:p>
    <w:p>
      <w:pPr>
        <w:pStyle w:val="687"/>
        <w:ind w:firstLine="498"/>
        <w:keepLines/>
        <w:keepNext/>
        <w:spacing w:before="120" w:after="120" w:line="360" w:lineRule="auto"/>
        <w:rPr>
          <w:rFonts w:ascii="宋体" w:hAnsi="宋体"/>
          <w:b/>
          <w:bCs/>
          <w:sz w:val="32"/>
          <w:szCs w:val="32"/>
        </w:rPr>
        <w:outlineLvl w:val="2"/>
      </w:pPr>
      <w:r>
        <w:rPr>
          <w:rFonts w:hint="eastAsia" w:ascii="宋体" w:hAnsi="宋体"/>
          <w:b/>
          <w:bCs/>
          <w:sz w:val="32"/>
          <w:szCs w:val="32"/>
        </w:rPr>
        <w:t xml:space="preserve">七、本次磋商联系方式</w:t>
      </w:r>
      <w:bookmarkEnd w:id="17"/>
      <w:r/>
      <w:bookmarkEnd w:id="18"/>
      <w:r/>
      <w:bookmarkEnd w:id="19"/>
      <w:r/>
      <w:bookmarkEnd w:id="20"/>
      <w:r/>
      <w:bookmarkEnd w:id="21"/>
      <w:r>
        <w:rPr>
          <w:rFonts w:ascii="宋体" w:hAnsi="宋体"/>
          <w:b/>
          <w:bCs/>
          <w:sz w:val="32"/>
          <w:szCs w:val="32"/>
        </w:rPr>
      </w:r>
      <w:r/>
    </w:p>
    <w:p>
      <w:pPr>
        <w:pStyle w:val="687"/>
        <w:jc w:val="lef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87"/>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ab/>
        <w:t xml:space="preserve">苏州市吴江区数据局</w:t>
      </w:r>
      <w:r>
        <w:rPr>
          <w:rFonts w:hint="eastAsia" w:ascii="宋体" w:hAnsi="宋体"/>
          <w:sz w:val="24"/>
          <w:szCs w:val="24"/>
        </w:rPr>
      </w:r>
      <w:r/>
    </w:p>
    <w:p>
      <w:pPr>
        <w:pStyle w:val="687"/>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江苏省苏州市吴江区开平路368</w:t>
      </w:r>
      <w:r>
        <w:rPr>
          <w:rFonts w:ascii="宋体" w:hAnsi="宋体"/>
          <w:sz w:val="24"/>
          <w:szCs w:val="24"/>
        </w:rPr>
        <w:t xml:space="preserve">8号苏州湾大厦A座</w:t>
      </w:r>
      <w:r/>
    </w:p>
    <w:p>
      <w:pPr>
        <w:pStyle w:val="68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t xml:space="preserve">刘烜引</w:t>
      </w:r>
      <w:r/>
    </w:p>
    <w:p>
      <w:pPr>
        <w:pStyle w:val="687"/>
        <w:ind w:left="1079" w:hanging="30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7" w:name="_Toc28359009"/>
      <w:r/>
      <w:bookmarkStart w:id="28" w:name="_Toc28359086"/>
      <w:r>
        <w:rPr>
          <w:rFonts w:hint="eastAsia" w:ascii="宋体" w:hAnsi="宋体"/>
          <w:sz w:val="24"/>
          <w:szCs w:val="24"/>
        </w:rPr>
        <w:t xml:space="preserve">0512-</w:t>
      </w:r>
      <w:r>
        <w:rPr>
          <w:rFonts w:ascii="宋体" w:hAnsi="宋体"/>
          <w:sz w:val="24"/>
          <w:szCs w:val="24"/>
        </w:rPr>
        <w:t xml:space="preserve">60905863</w:t>
      </w:r>
      <w:r>
        <w:rPr>
          <w:rFonts w:hint="eastAsia" w:ascii="宋体" w:hAnsi="宋体" w:cs="宋体"/>
          <w:sz w:val="24"/>
          <w:szCs w:val="24"/>
        </w:rPr>
      </w:r>
      <w:r/>
    </w:p>
    <w:p>
      <w:pPr>
        <w:pStyle w:val="687"/>
        <w:ind w:left="1079" w:hanging="300"/>
        <w:jc w:val="left"/>
        <w:spacing w:line="360" w:lineRule="auto"/>
        <w:rPr>
          <w:rFonts w:ascii="宋体" w:hAnsi="宋体"/>
          <w:sz w:val="24"/>
          <w:szCs w:val="24"/>
        </w:rPr>
      </w:pPr>
      <w:r/>
      <w:bookmarkEnd w:id="27"/>
      <w:r/>
      <w:bookmarkEnd w:id="28"/>
      <w:r>
        <w:rPr>
          <w:rFonts w:hint="eastAsia" w:ascii="宋体" w:hAnsi="宋体" w:cs="宋体"/>
          <w:sz w:val="24"/>
          <w:szCs w:val="24"/>
        </w:rPr>
        <w:t xml:space="preserve">2.苏州市公共资源交易中心吴江分中心</w:t>
      </w:r>
      <w:r>
        <w:rPr>
          <w:rFonts w:ascii="宋体" w:hAnsi="宋体"/>
          <w:sz w:val="24"/>
          <w:szCs w:val="24"/>
        </w:rPr>
      </w:r>
      <w:r/>
    </w:p>
    <w:p>
      <w:pPr>
        <w:pStyle w:val="687"/>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rPr>
          <w:rFonts w:ascii="宋体" w:hAnsi="宋体"/>
          <w:sz w:val="24"/>
          <w:szCs w:val="24"/>
        </w:rPr>
      </w:r>
      <w:r/>
    </w:p>
    <w:p>
      <w:pPr>
        <w:pStyle w:val="687"/>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rPr>
          <w:rFonts w:ascii="宋体" w:hAnsi="宋体"/>
          <w:sz w:val="24"/>
          <w:szCs w:val="24"/>
        </w:rPr>
      </w:r>
      <w:r/>
    </w:p>
    <w:p>
      <w:pPr>
        <w:pStyle w:val="687"/>
        <w:ind w:firstLine="720"/>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ind w:right="840"/>
        <w:rPr>
          <w:rFonts w:hint="eastAsia" w:ascii="宋体" w:hAnsi="宋体"/>
          <w:sz w:val="24"/>
          <w:szCs w:val="24"/>
        </w:rPr>
      </w:pPr>
      <w:r>
        <w:rPr>
          <w:rFonts w:hint="eastAsia" w:ascii="宋体" w:hAnsi="宋体"/>
          <w:sz w:val="24"/>
          <w:szCs w:val="24"/>
        </w:rPr>
      </w:r>
      <w:r/>
    </w:p>
    <w:p>
      <w:pPr>
        <w:pStyle w:val="687"/>
        <w:jc w:val="center"/>
        <w:keepLines/>
        <w:keepNext/>
        <w:spacing w:before="260" w:after="260" w:line="416" w:lineRule="auto"/>
        <w:rPr>
          <w:rFonts w:hint="eastAsia" w:ascii="宋体" w:hAnsi="宋体" w:cs="Arial"/>
          <w:sz w:val="44"/>
          <w:szCs w:val="44"/>
        </w:rPr>
        <w:outlineLvl w:val="1"/>
      </w:pPr>
      <w:r/>
      <w:bookmarkStart w:id="29" w:name="_Toc120614211"/>
      <w:r>
        <w:rPr>
          <w:rFonts w:hint="eastAsia" w:ascii="宋体" w:hAnsi="宋体" w:cs="Arial"/>
          <w:b/>
          <w:bCs/>
          <w:sz w:val="44"/>
          <w:szCs w:val="44"/>
        </w:rPr>
        <w:t xml:space="preserve">第二章  </w:t>
      </w:r>
      <w:bookmarkEnd w:id="1"/>
      <w:r/>
      <w:bookmarkEnd w:id="2"/>
      <w:r/>
      <w:bookmarkEnd w:id="3"/>
      <w:r/>
      <w:bookmarkEnd w:id="4"/>
      <w:r/>
      <w:bookmarkEnd w:id="5"/>
      <w:r/>
      <w:bookmarkEnd w:id="29"/>
      <w:r>
        <w:rPr>
          <w:rFonts w:hint="eastAsia" w:ascii="宋体" w:hAnsi="宋体" w:cs="Arial"/>
          <w:b/>
          <w:bCs/>
          <w:sz w:val="44"/>
          <w:szCs w:val="44"/>
        </w:rPr>
        <w:t xml:space="preserve">供应商须知</w:t>
      </w:r>
      <w:r>
        <w:rPr>
          <w:rFonts w:hint="eastAsia" w:ascii="宋体" w:hAnsi="宋体" w:cs="Arial"/>
          <w:sz w:val="44"/>
          <w:szCs w:val="44"/>
        </w:rPr>
      </w:r>
      <w:r/>
    </w:p>
    <w:p>
      <w:pPr>
        <w:pStyle w:val="687"/>
        <w:ind w:firstLine="498"/>
        <w:keepLines/>
        <w:keepNext/>
        <w:spacing w:before="145" w:after="145" w:line="520" w:lineRule="exact"/>
        <w:rPr>
          <w:rFonts w:ascii="宋体" w:hAnsi="宋体"/>
          <w:b/>
          <w:bCs/>
          <w:sz w:val="32"/>
          <w:szCs w:val="32"/>
        </w:rPr>
        <w:outlineLvl w:val="2"/>
      </w:pPr>
      <w:r/>
      <w:bookmarkStart w:id="30" w:name="_Toc16938519"/>
      <w:r/>
      <w:bookmarkStart w:id="31" w:name="_Toc20823275"/>
      <w:r/>
      <w:bookmarkStart w:id="32" w:name="_Toc120614214"/>
      <w:r/>
      <w:bookmarkStart w:id="33" w:name="_Toc513029203"/>
      <w:r/>
      <w:bookmarkStart w:id="34" w:name="_Toc479757207"/>
      <w:r/>
      <w:bookmarkStart w:id="35" w:name="_Toc16938558"/>
      <w:r/>
      <w:bookmarkStart w:id="36" w:name="_Toc20823314"/>
      <w:r/>
      <w:bookmarkStart w:id="37" w:name="_Toc120614221"/>
      <w:r/>
      <w:bookmarkStart w:id="38" w:name="_Toc513029242"/>
      <w:r>
        <w:rPr>
          <w:rFonts w:hint="eastAsia" w:ascii="宋体" w:hAnsi="宋体"/>
          <w:b/>
          <w:bCs/>
          <w:sz w:val="32"/>
          <w:szCs w:val="32"/>
        </w:rPr>
        <w:t xml:space="preserve">一、总则</w:t>
      </w:r>
      <w:bookmarkEnd w:id="30"/>
      <w:r/>
      <w:bookmarkEnd w:id="31"/>
      <w:r/>
      <w:bookmarkEnd w:id="32"/>
      <w:r/>
      <w:bookmarkEnd w:id="33"/>
      <w:r>
        <w:rPr>
          <w:rFonts w:ascii="宋体" w:hAnsi="宋体"/>
          <w:b/>
          <w:bCs/>
          <w:sz w:val="32"/>
          <w:szCs w:val="32"/>
        </w:rPr>
      </w:r>
      <w:r/>
    </w:p>
    <w:p>
      <w:pPr>
        <w:pStyle w:val="687"/>
        <w:ind w:firstLine="420"/>
        <w:keepLines/>
        <w:keepNext/>
        <w:spacing w:line="520" w:lineRule="exact"/>
        <w:rPr>
          <w:rFonts w:ascii="宋体" w:hAnsi="宋体" w:cs="Arial"/>
          <w:sz w:val="28"/>
          <w:szCs w:val="28"/>
        </w:rPr>
        <w:outlineLvl w:val="3"/>
      </w:pPr>
      <w:r/>
      <w:bookmarkStart w:id="39" w:name="_Hlt16619475"/>
      <w:r/>
      <w:bookmarkEnd w:id="39"/>
      <w:r/>
      <w:bookmarkStart w:id="40" w:name="_Toc458694821"/>
      <w:r/>
      <w:bookmarkStart w:id="41" w:name="_Toc20823276"/>
      <w:r/>
      <w:bookmarkStart w:id="42" w:name="_Toc16938520"/>
      <w:r/>
      <w:bookmarkStart w:id="43" w:name="_Toc513029204"/>
      <w:r>
        <w:rPr>
          <w:rFonts w:ascii="宋体" w:hAnsi="宋体" w:cs="Arial"/>
          <w:sz w:val="28"/>
          <w:szCs w:val="28"/>
        </w:rPr>
        <w:t xml:space="preserve">1</w:t>
      </w:r>
      <w:bookmarkEnd w:id="40"/>
      <w:r>
        <w:rPr>
          <w:rFonts w:hint="eastAsia" w:ascii="宋体" w:hAnsi="宋体" w:cs="Arial"/>
          <w:sz w:val="28"/>
          <w:szCs w:val="28"/>
        </w:rPr>
        <w:t xml:space="preserve">、采购方式</w:t>
      </w:r>
      <w:bookmarkEnd w:id="41"/>
      <w:r/>
      <w:bookmarkEnd w:id="42"/>
      <w:r/>
      <w:bookmarkEnd w:id="43"/>
      <w:r>
        <w:rPr>
          <w:rFonts w:ascii="宋体" w:hAnsi="宋体" w:cs="Arial"/>
          <w:sz w:val="28"/>
          <w:szCs w:val="28"/>
        </w:rPr>
      </w:r>
      <w:r/>
    </w:p>
    <w:p>
      <w:pPr>
        <w:pStyle w:val="687"/>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687"/>
        <w:ind w:firstLine="420"/>
        <w:keepLines/>
        <w:keepNext/>
        <w:spacing w:line="520" w:lineRule="exact"/>
        <w:rPr>
          <w:rFonts w:hint="eastAsia" w:ascii="宋体" w:hAnsi="宋体" w:cs="Arial"/>
          <w:sz w:val="28"/>
          <w:szCs w:val="28"/>
        </w:rPr>
        <w:outlineLvl w:val="3"/>
      </w:pPr>
      <w:r/>
      <w:bookmarkStart w:id="44" w:name="_Toc20823277"/>
      <w:r/>
      <w:bookmarkStart w:id="45" w:name="_Toc513029205"/>
      <w:r/>
      <w:bookmarkStart w:id="46" w:name="_Toc16938521"/>
      <w:r>
        <w:rPr>
          <w:rFonts w:ascii="宋体" w:hAnsi="宋体" w:cs="Arial"/>
          <w:sz w:val="28"/>
          <w:szCs w:val="28"/>
        </w:rPr>
        <w:t xml:space="preserve">2</w:t>
      </w:r>
      <w:r>
        <w:rPr>
          <w:rFonts w:hint="eastAsia" w:ascii="宋体" w:hAnsi="宋体" w:cs="Arial"/>
          <w:sz w:val="28"/>
          <w:szCs w:val="28"/>
        </w:rPr>
        <w:t xml:space="preserve">、合格的</w:t>
      </w:r>
      <w:bookmarkEnd w:id="44"/>
      <w:r/>
      <w:bookmarkEnd w:id="45"/>
      <w:r/>
      <w:bookmarkEnd w:id="46"/>
      <w:r>
        <w:rPr>
          <w:rFonts w:hint="eastAsia" w:ascii="宋体" w:hAnsi="宋体" w:cs="Arial"/>
          <w:sz w:val="28"/>
          <w:szCs w:val="28"/>
        </w:rPr>
        <w:t xml:space="preserve">供应商</w:t>
      </w:r>
      <w:r/>
    </w:p>
    <w:p>
      <w:pPr>
        <w:pStyle w:val="687"/>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687"/>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w:t>
      </w:r>
      <w:r>
        <w:rPr>
          <w:rFonts w:hint="eastAsia" w:ascii="宋体" w:hAnsi="宋体"/>
          <w:sz w:val="24"/>
          <w:szCs w:val="24"/>
        </w:rPr>
        <w:t xml:space="preserve">不得参加同一合同项下的政府采购活动。</w:t>
      </w:r>
      <w:r/>
    </w:p>
    <w:p>
      <w:pPr>
        <w:pStyle w:val="687"/>
        <w:ind w:firstLine="420"/>
        <w:keepLines/>
        <w:keepNext/>
        <w:spacing w:line="520" w:lineRule="exact"/>
        <w:rPr>
          <w:rFonts w:hint="eastAsia" w:ascii="宋体" w:hAnsi="宋体" w:cs="Arial"/>
          <w:sz w:val="28"/>
          <w:szCs w:val="28"/>
        </w:rPr>
        <w:outlineLvl w:val="3"/>
      </w:pPr>
      <w:r/>
      <w:bookmarkStart w:id="47" w:name="_Toc16938522"/>
      <w:r/>
      <w:bookmarkStart w:id="48" w:name="_Toc513029206"/>
      <w:r/>
      <w:bookmarkStart w:id="49" w:name="_Toc20823278"/>
      <w:r>
        <w:rPr>
          <w:rFonts w:ascii="宋体" w:hAnsi="宋体" w:cs="Arial"/>
          <w:sz w:val="28"/>
          <w:szCs w:val="28"/>
        </w:rPr>
        <w:t xml:space="preserve">3</w:t>
      </w:r>
      <w:r>
        <w:rPr>
          <w:rFonts w:hint="eastAsia" w:ascii="宋体" w:hAnsi="宋体" w:cs="Arial"/>
          <w:sz w:val="28"/>
          <w:szCs w:val="28"/>
        </w:rPr>
        <w:t xml:space="preserve">、适用法律</w:t>
      </w:r>
      <w:bookmarkEnd w:id="47"/>
      <w:r/>
      <w:bookmarkEnd w:id="48"/>
      <w:r/>
      <w:bookmarkEnd w:id="49"/>
      <w:r>
        <w:rPr>
          <w:rFonts w:hint="eastAsia" w:ascii="宋体" w:hAnsi="宋体" w:cs="Arial"/>
          <w:sz w:val="28"/>
          <w:szCs w:val="28"/>
        </w:rPr>
      </w:r>
      <w:r/>
    </w:p>
    <w:p>
      <w:pPr>
        <w:pStyle w:val="687"/>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687"/>
        <w:ind w:firstLine="420"/>
        <w:keepLines/>
        <w:keepNext/>
        <w:spacing w:line="520" w:lineRule="exact"/>
        <w:rPr>
          <w:rFonts w:hint="eastAsia" w:ascii="宋体" w:hAnsi="宋体" w:cs="Arial"/>
          <w:sz w:val="28"/>
          <w:szCs w:val="28"/>
        </w:rPr>
        <w:outlineLvl w:val="3"/>
      </w:pPr>
      <w:r/>
      <w:bookmarkStart w:id="50" w:name="_Toc16938523"/>
      <w:r/>
      <w:bookmarkStart w:id="51" w:name="_Toc513029207"/>
      <w:r/>
      <w:bookmarkStart w:id="52" w:name="_Toc20823279"/>
      <w:r/>
      <w:bookmarkStart w:id="53" w:name="_Toc462564067"/>
      <w:r>
        <w:rPr>
          <w:rFonts w:ascii="宋体" w:hAnsi="宋体" w:cs="Arial"/>
          <w:sz w:val="28"/>
          <w:szCs w:val="28"/>
        </w:rPr>
        <w:t xml:space="preserve">4</w:t>
      </w:r>
      <w:r>
        <w:rPr>
          <w:rFonts w:hint="eastAsia" w:ascii="宋体" w:hAnsi="宋体" w:cs="Arial"/>
          <w:sz w:val="28"/>
          <w:szCs w:val="28"/>
        </w:rPr>
        <w:t xml:space="preserve">、磋商费用</w:t>
      </w:r>
      <w:bookmarkEnd w:id="50"/>
      <w:r/>
      <w:bookmarkEnd w:id="51"/>
      <w:r/>
      <w:bookmarkEnd w:id="52"/>
      <w:r/>
      <w:bookmarkEnd w:id="53"/>
      <w:r>
        <w:rPr>
          <w:rFonts w:hint="eastAsia" w:ascii="宋体" w:hAnsi="宋体" w:cs="Arial"/>
          <w:sz w:val="28"/>
          <w:szCs w:val="28"/>
        </w:rPr>
      </w:r>
      <w:r/>
    </w:p>
    <w:p>
      <w:pPr>
        <w:pStyle w:val="687"/>
        <w:ind w:firstLine="480"/>
        <w:spacing w:line="520" w:lineRule="exact"/>
        <w:rPr>
          <w:rFonts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rPr>
          <w:rFonts w:ascii="宋体" w:hAnsi="宋体"/>
          <w:bCs/>
          <w:sz w:val="24"/>
          <w:szCs w:val="21"/>
        </w:rPr>
      </w:r>
      <w:r/>
    </w:p>
    <w:p>
      <w:pPr>
        <w:pStyle w:val="687"/>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4.2本次磋商交易中心和采购人不收取磋商文件工本费与成交服务费。</w:t>
      </w:r>
      <w:r/>
    </w:p>
    <w:p>
      <w:pPr>
        <w:pStyle w:val="687"/>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pStyle w:val="687"/>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87"/>
        <w:ind w:firstLine="321"/>
        <w:keepLines/>
        <w:keepNext/>
        <w:spacing w:before="145" w:after="145" w:line="520" w:lineRule="exact"/>
        <w:rPr>
          <w:rFonts w:hint="eastAsia" w:ascii="宋体" w:hAnsi="宋体"/>
          <w:b/>
          <w:bCs/>
          <w:sz w:val="32"/>
          <w:szCs w:val="32"/>
        </w:rPr>
        <w:outlineLvl w:val="2"/>
      </w:pPr>
      <w:r/>
      <w:bookmarkStart w:id="54" w:name="_Toc16938525"/>
      <w:r/>
      <w:bookmarkStart w:id="55" w:name="_Toc20823281"/>
      <w:r/>
      <w:bookmarkStart w:id="56" w:name="_Toc513029209"/>
      <w:r/>
      <w:bookmarkStart w:id="57" w:name="_Toc120614215"/>
      <w:r>
        <w:rPr>
          <w:rFonts w:hint="eastAsia" w:ascii="宋体" w:hAnsi="宋体"/>
          <w:b/>
          <w:bCs/>
          <w:sz w:val="32"/>
          <w:szCs w:val="32"/>
        </w:rPr>
        <w:t xml:space="preserve">二、</w:t>
      </w:r>
      <w:bookmarkEnd w:id="54"/>
      <w:r/>
      <w:bookmarkEnd w:id="55"/>
      <w:r/>
      <w:bookmarkEnd w:id="56"/>
      <w:r/>
      <w:bookmarkEnd w:id="57"/>
      <w:r>
        <w:rPr>
          <w:rFonts w:hint="eastAsia" w:ascii="宋体" w:hAnsi="宋体"/>
          <w:b/>
          <w:bCs/>
          <w:sz w:val="32"/>
          <w:szCs w:val="32"/>
        </w:rPr>
        <w:t xml:space="preserve">磋商文件</w:t>
      </w:r>
      <w:r/>
    </w:p>
    <w:p>
      <w:pPr>
        <w:pStyle w:val="687"/>
        <w:ind w:firstLine="420"/>
        <w:keepLines/>
        <w:keepNext/>
        <w:spacing w:line="520" w:lineRule="exact"/>
        <w:rPr>
          <w:rFonts w:ascii="宋体" w:hAnsi="宋体" w:cs="Arial"/>
          <w:sz w:val="28"/>
          <w:szCs w:val="28"/>
        </w:rPr>
        <w:outlineLvl w:val="3"/>
      </w:pPr>
      <w:r/>
      <w:bookmarkStart w:id="58" w:name="_Toc16938526"/>
      <w:r/>
      <w:bookmarkStart w:id="59" w:name="_Toc513029210"/>
      <w:r/>
      <w:bookmarkStart w:id="60" w:name="_Toc20823282"/>
      <w:r>
        <w:rPr>
          <w:rFonts w:ascii="宋体" w:hAnsi="宋体" w:cs="Arial"/>
          <w:sz w:val="28"/>
          <w:szCs w:val="28"/>
        </w:rPr>
        <w:t xml:space="preserve">6</w:t>
      </w:r>
      <w:r>
        <w:rPr>
          <w:rFonts w:hint="eastAsia" w:ascii="宋体" w:hAnsi="宋体" w:cs="Arial"/>
          <w:sz w:val="28"/>
          <w:szCs w:val="28"/>
        </w:rPr>
        <w:t xml:space="preserve">、磋商文件构成</w:t>
      </w:r>
      <w:bookmarkEnd w:id="58"/>
      <w:r/>
      <w:bookmarkEnd w:id="59"/>
      <w:r/>
      <w:bookmarkEnd w:id="60"/>
      <w:r>
        <w:rPr>
          <w:rFonts w:ascii="宋体" w:hAnsi="宋体" w:cs="Arial"/>
          <w:sz w:val="28"/>
          <w:szCs w:val="28"/>
        </w:rPr>
      </w:r>
      <w:r/>
    </w:p>
    <w:p>
      <w:pPr>
        <w:pStyle w:val="687"/>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687"/>
        <w:ind w:firstLine="360"/>
        <w:spacing w:line="520" w:lineRule="exact"/>
        <w:rPr>
          <w:rFonts w:hint="eastAsia" w:ascii="宋体" w:hAnsi="宋体"/>
          <w:sz w:val="24"/>
          <w:szCs w:val="24"/>
        </w:rPr>
      </w:pPr>
      <w:r>
        <w:rPr>
          <w:rFonts w:hint="eastAsia" w:ascii="宋体" w:hAnsi="宋体"/>
          <w:sz w:val="24"/>
          <w:szCs w:val="24"/>
        </w:rPr>
        <w:t xml:space="preserve">（1）磋商邀请</w:t>
      </w:r>
      <w:r/>
    </w:p>
    <w:p>
      <w:pPr>
        <w:pStyle w:val="687"/>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pStyle w:val="687"/>
        <w:ind w:firstLine="360"/>
        <w:spacing w:line="520" w:lineRule="exact"/>
        <w:rPr>
          <w:rFonts w:hint="eastAsia" w:ascii="宋体" w:hAnsi="宋体"/>
          <w:sz w:val="24"/>
          <w:szCs w:val="24"/>
        </w:rPr>
      </w:pPr>
      <w:r>
        <w:rPr>
          <w:rFonts w:hint="eastAsia" w:ascii="宋体" w:hAnsi="宋体"/>
          <w:sz w:val="24"/>
          <w:szCs w:val="24"/>
        </w:rPr>
        <w:t xml:space="preserve">（3）合同文本</w:t>
      </w:r>
      <w:r/>
    </w:p>
    <w:p>
      <w:pPr>
        <w:pStyle w:val="687"/>
        <w:ind w:firstLine="360"/>
        <w:spacing w:line="520" w:lineRule="exact"/>
        <w:rPr>
          <w:rFonts w:hint="eastAsia" w:ascii="宋体" w:hAnsi="宋体"/>
          <w:sz w:val="24"/>
          <w:szCs w:val="24"/>
        </w:rPr>
      </w:pPr>
      <w:r>
        <w:rPr>
          <w:rFonts w:hint="eastAsia" w:ascii="宋体" w:hAnsi="宋体"/>
          <w:sz w:val="24"/>
          <w:szCs w:val="24"/>
        </w:rPr>
        <w:t xml:space="preserve">（4）采购需求</w:t>
      </w:r>
      <w:r/>
    </w:p>
    <w:p>
      <w:pPr>
        <w:pStyle w:val="687"/>
        <w:ind w:firstLine="360"/>
        <w:spacing w:line="520" w:lineRule="exact"/>
        <w:rPr>
          <w:rFonts w:hint="eastAsia" w:ascii="宋体" w:hAnsi="宋体"/>
          <w:sz w:val="24"/>
          <w:szCs w:val="24"/>
        </w:rPr>
      </w:pPr>
      <w:r>
        <w:rPr>
          <w:rFonts w:hint="eastAsia" w:ascii="宋体" w:hAnsi="宋体"/>
          <w:sz w:val="24"/>
          <w:szCs w:val="24"/>
        </w:rPr>
        <w:t xml:space="preserve">（5）评审方法与评审标准</w:t>
      </w:r>
      <w:r/>
    </w:p>
    <w:p>
      <w:pPr>
        <w:pStyle w:val="687"/>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687"/>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pStyle w:val="687"/>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87"/>
        <w:ind w:firstLine="560"/>
        <w:keepLines/>
        <w:keepNext/>
        <w:spacing w:line="520" w:lineRule="exact"/>
        <w:rPr>
          <w:rFonts w:hint="eastAsia" w:ascii="宋体" w:hAnsi="宋体" w:cs="Arial"/>
          <w:sz w:val="28"/>
          <w:szCs w:val="28"/>
        </w:rPr>
        <w:outlineLvl w:val="3"/>
      </w:pPr>
      <w:r/>
      <w:bookmarkStart w:id="61" w:name="_Toc462564070"/>
      <w:r/>
      <w:bookmarkStart w:id="62" w:name="_Toc513029211"/>
      <w:r/>
      <w:bookmarkStart w:id="63" w:name="_Toc20823283"/>
      <w:r/>
      <w:bookmarkStart w:id="64" w:name="_Toc16938527"/>
      <w:r>
        <w:rPr>
          <w:rFonts w:ascii="宋体" w:hAnsi="宋体" w:cs="Arial"/>
          <w:sz w:val="28"/>
          <w:szCs w:val="28"/>
        </w:rPr>
        <w:t xml:space="preserve">7</w:t>
      </w:r>
      <w:r>
        <w:rPr>
          <w:rFonts w:hint="eastAsia" w:ascii="宋体" w:hAnsi="宋体" w:cs="Arial"/>
          <w:sz w:val="28"/>
          <w:szCs w:val="28"/>
        </w:rPr>
        <w:t xml:space="preserve">、磋商文件的澄清</w:t>
      </w:r>
      <w:bookmarkEnd w:id="61"/>
      <w:r/>
      <w:bookmarkEnd w:id="62"/>
      <w:r/>
      <w:bookmarkEnd w:id="63"/>
      <w:r/>
      <w:bookmarkEnd w:id="64"/>
      <w:r>
        <w:rPr>
          <w:rFonts w:hint="eastAsia" w:ascii="宋体" w:hAnsi="宋体" w:cs="Arial"/>
          <w:sz w:val="28"/>
          <w:szCs w:val="28"/>
        </w:rPr>
      </w:r>
      <w:r/>
    </w:p>
    <w:p>
      <w:pPr>
        <w:pStyle w:val="687"/>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687"/>
        <w:ind w:firstLine="560"/>
        <w:keepLines/>
        <w:keepNext/>
        <w:spacing w:line="520" w:lineRule="exact"/>
        <w:rPr>
          <w:rFonts w:hint="eastAsia" w:ascii="宋体" w:hAnsi="宋体" w:cs="Arial"/>
          <w:sz w:val="28"/>
          <w:szCs w:val="28"/>
        </w:rPr>
        <w:outlineLvl w:val="3"/>
      </w:pPr>
      <w:r/>
      <w:bookmarkStart w:id="65" w:name="_Toc513029212"/>
      <w:r/>
      <w:bookmarkStart w:id="66" w:name="_Toc16938528"/>
      <w:r/>
      <w:bookmarkStart w:id="67" w:name="_Toc462564071"/>
      <w:r/>
      <w:bookmarkStart w:id="68" w:name="_Toc20823284"/>
      <w:r>
        <w:rPr>
          <w:rFonts w:ascii="宋体" w:hAnsi="宋体" w:cs="Arial"/>
          <w:sz w:val="28"/>
          <w:szCs w:val="28"/>
        </w:rPr>
        <w:t xml:space="preserve">8</w:t>
      </w:r>
      <w:r>
        <w:rPr>
          <w:rFonts w:hint="eastAsia" w:ascii="宋体" w:hAnsi="宋体" w:cs="Arial"/>
          <w:sz w:val="28"/>
          <w:szCs w:val="28"/>
        </w:rPr>
        <w:t xml:space="preserve">、磋商文件的澄清和修改</w:t>
      </w:r>
      <w:bookmarkEnd w:id="65"/>
      <w:r/>
      <w:bookmarkEnd w:id="66"/>
      <w:r/>
      <w:bookmarkEnd w:id="67"/>
      <w:r/>
      <w:bookmarkEnd w:id="68"/>
      <w:r>
        <w:rPr>
          <w:rFonts w:hint="eastAsia" w:ascii="宋体" w:hAnsi="宋体" w:cs="Arial"/>
          <w:sz w:val="28"/>
          <w:szCs w:val="28"/>
        </w:rPr>
      </w:r>
      <w:r/>
    </w:p>
    <w:p>
      <w:pPr>
        <w:pStyle w:val="687"/>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在响应文件提交截止时间前，交易中心可以对磋商文件进行澄清和修改,</w:t>
      </w:r>
      <w:r>
        <w:rPr>
          <w:rFonts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rPr>
          <w:rFonts w:ascii="宋体" w:hAnsi="宋体"/>
          <w:sz w:val="24"/>
          <w:szCs w:val="21"/>
        </w:rPr>
      </w:r>
      <w:r/>
    </w:p>
    <w:p>
      <w:pPr>
        <w:pStyle w:val="687"/>
        <w:ind w:firstLine="480"/>
        <w:spacing w:line="520" w:lineRule="exact"/>
        <w:rPr>
          <w:rFonts w:hint="eastAsia" w:ascii="宋体" w:hAnsi="宋体"/>
          <w:sz w:val="24"/>
          <w:szCs w:val="21"/>
        </w:rPr>
      </w:pPr>
      <w:r>
        <w:rPr>
          <w:rFonts w:hint="eastAsia" w:ascii="宋体" w:hAnsi="宋体"/>
          <w:sz w:val="24"/>
          <w:szCs w:val="21"/>
        </w:rPr>
        <w:t xml:space="preserve">8.2交易中心可以视采</w:t>
      </w:r>
      <w:r>
        <w:rPr>
          <w:rFonts w:hint="eastAsia" w:ascii="宋体" w:hAnsi="宋体"/>
          <w:sz w:val="24"/>
          <w:szCs w:val="21"/>
        </w:rPr>
        <w:t xml:space="preserve">购项目的具体情况，组织供应商进行现场考察或召开磋商前答疑会，但不单独或分别组织只有一个供应商参加的现场考察和答疑会。</w:t>
      </w:r>
      <w:r/>
    </w:p>
    <w:p>
      <w:pPr>
        <w:pStyle w:val="687"/>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pStyle w:val="687"/>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pStyle w:val="687"/>
        <w:ind w:firstLine="482"/>
        <w:keepLines/>
        <w:keepNext/>
        <w:spacing w:before="145" w:after="145" w:line="520" w:lineRule="exact"/>
        <w:rPr>
          <w:rFonts w:hint="eastAsia" w:ascii="宋体" w:hAnsi="宋体"/>
          <w:b/>
          <w:bCs/>
          <w:sz w:val="32"/>
          <w:szCs w:val="32"/>
        </w:rPr>
        <w:outlineLvl w:val="2"/>
      </w:pPr>
      <w:r/>
      <w:bookmarkStart w:id="69" w:name="_Toc16938529"/>
      <w:r/>
      <w:bookmarkStart w:id="70" w:name="_Toc20823285"/>
      <w:r/>
      <w:bookmarkStart w:id="71" w:name="_Toc513029213"/>
      <w:r/>
      <w:bookmarkStart w:id="72" w:name="_Toc120614216"/>
      <w:r/>
      <w:bookmarkStart w:id="73" w:name="_Toc462564072"/>
      <w:r>
        <w:rPr>
          <w:rFonts w:hint="eastAsia" w:ascii="宋体" w:hAnsi="宋体"/>
          <w:b/>
          <w:bCs/>
          <w:sz w:val="32"/>
          <w:szCs w:val="32"/>
        </w:rPr>
        <w:t xml:space="preserve">三、响应文件的编制</w:t>
      </w:r>
      <w:bookmarkEnd w:id="69"/>
      <w:r/>
      <w:bookmarkEnd w:id="70"/>
      <w:r/>
      <w:bookmarkEnd w:id="71"/>
      <w:r/>
      <w:bookmarkEnd w:id="72"/>
      <w:r/>
      <w:bookmarkEnd w:id="73"/>
      <w:r>
        <w:rPr>
          <w:rFonts w:hint="eastAsia" w:ascii="宋体" w:hAnsi="宋体"/>
          <w:b/>
          <w:bCs/>
          <w:sz w:val="32"/>
          <w:szCs w:val="32"/>
        </w:rPr>
      </w:r>
      <w:r/>
    </w:p>
    <w:p>
      <w:pPr>
        <w:pStyle w:val="687"/>
        <w:ind w:firstLine="560"/>
        <w:keepLines/>
        <w:keepNext/>
        <w:spacing w:line="520" w:lineRule="exact"/>
        <w:rPr>
          <w:rFonts w:ascii="宋体" w:hAnsi="宋体" w:cs="Arial"/>
          <w:b/>
          <w:sz w:val="28"/>
          <w:szCs w:val="28"/>
        </w:rPr>
        <w:outlineLvl w:val="3"/>
      </w:pPr>
      <w:r/>
      <w:bookmarkStart w:id="74" w:name="_Toc513029214"/>
      <w:r/>
      <w:bookmarkStart w:id="75" w:name="_Toc462564073"/>
      <w:r/>
      <w:bookmarkStart w:id="76" w:name="_Toc16938530"/>
      <w:r/>
      <w:bookmarkStart w:id="77" w:name="_Toc20823286"/>
      <w:r>
        <w:rPr>
          <w:rFonts w:ascii="宋体" w:hAnsi="宋体" w:cs="Arial"/>
          <w:sz w:val="28"/>
          <w:szCs w:val="28"/>
        </w:rPr>
        <w:t xml:space="preserve">9</w:t>
      </w:r>
      <w:r>
        <w:rPr>
          <w:rFonts w:hint="eastAsia" w:ascii="宋体" w:hAnsi="宋体" w:cs="Arial"/>
          <w:sz w:val="28"/>
          <w:szCs w:val="28"/>
        </w:rPr>
        <w:t xml:space="preserve">、响应文件的语言及度量衡单位</w:t>
      </w:r>
      <w:bookmarkEnd w:id="74"/>
      <w:r/>
      <w:bookmarkEnd w:id="75"/>
      <w:r/>
      <w:bookmarkEnd w:id="76"/>
      <w:r/>
      <w:bookmarkEnd w:id="77"/>
      <w:r>
        <w:rPr>
          <w:rFonts w:ascii="宋体" w:hAnsi="宋体" w:cs="Arial"/>
          <w:b/>
          <w:sz w:val="28"/>
          <w:szCs w:val="28"/>
        </w:rPr>
      </w:r>
      <w:r/>
    </w:p>
    <w:p>
      <w:pPr>
        <w:pStyle w:val="687"/>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687"/>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87"/>
        <w:ind w:firstLine="420"/>
        <w:keepLines/>
        <w:keepNext/>
        <w:spacing w:line="520" w:lineRule="exact"/>
        <w:rPr>
          <w:rFonts w:hint="eastAsia" w:ascii="宋体" w:hAnsi="宋体" w:cs="Arial"/>
          <w:sz w:val="28"/>
          <w:szCs w:val="28"/>
        </w:rPr>
        <w:outlineLvl w:val="3"/>
      </w:pPr>
      <w:r/>
      <w:bookmarkStart w:id="78" w:name="_Toc513029215"/>
      <w:r/>
      <w:bookmarkStart w:id="79" w:name="_Toc20823287"/>
      <w:r/>
      <w:bookmarkStart w:id="80" w:name="_Toc16938531"/>
      <w:r/>
      <w:bookmarkStart w:id="81" w:name="_Toc462564074"/>
      <w:r>
        <w:rPr>
          <w:rFonts w:ascii="宋体" w:hAnsi="宋体" w:cs="Arial"/>
          <w:sz w:val="28"/>
          <w:szCs w:val="28"/>
        </w:rPr>
        <w:t xml:space="preserve">10</w:t>
      </w:r>
      <w:r>
        <w:rPr>
          <w:rFonts w:hint="eastAsia" w:ascii="宋体" w:hAnsi="宋体" w:cs="Arial"/>
          <w:sz w:val="28"/>
          <w:szCs w:val="28"/>
        </w:rPr>
        <w:t xml:space="preserve">、响应文件构成</w:t>
      </w:r>
      <w:bookmarkEnd w:id="78"/>
      <w:r/>
      <w:bookmarkEnd w:id="79"/>
      <w:r/>
      <w:bookmarkEnd w:id="80"/>
      <w:r/>
      <w:bookmarkEnd w:id="81"/>
      <w:r>
        <w:rPr>
          <w:rFonts w:hint="eastAsia" w:ascii="宋体" w:hAnsi="宋体" w:cs="Arial"/>
          <w:sz w:val="28"/>
          <w:szCs w:val="28"/>
        </w:rPr>
      </w:r>
      <w:r/>
    </w:p>
    <w:p>
      <w:pPr>
        <w:pStyle w:val="687"/>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w:t>
      </w:r>
      <w:r>
        <w:rPr>
          <w:rFonts w:hint="eastAsia" w:ascii="宋体" w:hAnsi="宋体"/>
          <w:sz w:val="24"/>
          <w:szCs w:val="21"/>
        </w:rPr>
        <w:t xml:space="preserve">性证明文件、分项报价表、技术要求响应及偏离表、商务要求响应及偏离表、其他证明文件、磋商响应函等部分。</w:t>
      </w:r>
      <w:r>
        <w:rPr>
          <w:rFonts w:ascii="宋体" w:hAnsi="宋体"/>
          <w:sz w:val="24"/>
          <w:szCs w:val="21"/>
        </w:rPr>
      </w:r>
      <w:r/>
    </w:p>
    <w:p>
      <w:pPr>
        <w:pStyle w:val="687"/>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pStyle w:val="687"/>
        <w:ind w:firstLine="420"/>
        <w:keepLines/>
        <w:keepNext/>
        <w:spacing w:line="520" w:lineRule="exact"/>
        <w:rPr>
          <w:rFonts w:hint="eastAsia" w:ascii="宋体" w:hAnsi="宋体" w:cs="Arial"/>
          <w:sz w:val="28"/>
          <w:szCs w:val="28"/>
        </w:rPr>
        <w:outlineLvl w:val="3"/>
      </w:pPr>
      <w:r/>
      <w:bookmarkStart w:id="82" w:name="_Toc14577357"/>
      <w:r/>
      <w:bookmarkStart w:id="83" w:name="_Toc513029216"/>
      <w:r/>
      <w:bookmarkStart w:id="84" w:name="_Toc14577354"/>
      <w:r/>
      <w:bookmarkStart w:id="85" w:name="_Toc49090507"/>
      <w:r/>
      <w:bookmarkStart w:id="86" w:name="_Toc49090508"/>
      <w:r/>
      <w:bookmarkStart w:id="87" w:name="_Toc14577355"/>
      <w:r/>
      <w:bookmarkStart w:id="88" w:name="_Hlt26670360"/>
      <w:r/>
      <w:bookmarkEnd w:id="88"/>
      <w:r/>
      <w:bookmarkStart w:id="89" w:name="_Hlt26954838"/>
      <w:r/>
      <w:bookmarkEnd w:id="89"/>
      <w:r/>
      <w:bookmarkStart w:id="90" w:name="_Hlt26668975"/>
      <w:r/>
      <w:bookmarkEnd w:id="90"/>
      <w:r/>
      <w:bookmarkStart w:id="91" w:name="_Toc49090509"/>
      <w:r/>
      <w:bookmarkStart w:id="92" w:name="_Toc513029219"/>
      <w:r>
        <w:rPr>
          <w:rFonts w:ascii="宋体" w:hAnsi="宋体" w:cs="Arial"/>
          <w:sz w:val="28"/>
          <w:szCs w:val="28"/>
        </w:rPr>
        <w:t xml:space="preserve">11</w:t>
      </w:r>
      <w:r>
        <w:rPr>
          <w:rFonts w:hint="eastAsia" w:ascii="宋体" w:hAnsi="宋体" w:cs="Arial"/>
          <w:sz w:val="28"/>
          <w:szCs w:val="28"/>
        </w:rPr>
        <w:t xml:space="preserve">、证明磋商响应标的符合磋商文件规定的文件</w:t>
      </w:r>
      <w:bookmarkEnd w:id="82"/>
      <w:r/>
      <w:bookmarkEnd w:id="91"/>
      <w:r/>
      <w:bookmarkEnd w:id="92"/>
      <w:r>
        <w:rPr>
          <w:rFonts w:hint="eastAsia" w:ascii="宋体" w:hAnsi="宋体" w:cs="Arial"/>
          <w:sz w:val="28"/>
          <w:szCs w:val="28"/>
        </w:rPr>
      </w:r>
      <w:r/>
    </w:p>
    <w:p>
      <w:pPr>
        <w:pStyle w:val="687"/>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687"/>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w:t>
      </w:r>
      <w:r>
        <w:rPr>
          <w:rFonts w:hint="eastAsia" w:ascii="宋体" w:hAnsi="宋体"/>
          <w:sz w:val="24"/>
          <w:szCs w:val="24"/>
        </w:rPr>
        <w:t xml:space="preserve">交。</w:t>
      </w:r>
      <w:r/>
    </w:p>
    <w:p>
      <w:pPr>
        <w:pStyle w:val="687"/>
        <w:ind w:firstLine="420"/>
        <w:keepLines/>
        <w:keepNext/>
        <w:spacing w:line="520" w:lineRule="exact"/>
        <w:rPr>
          <w:rFonts w:hint="eastAsia" w:ascii="宋体" w:hAnsi="宋体" w:cs="Arial"/>
          <w:sz w:val="28"/>
          <w:szCs w:val="28"/>
        </w:rPr>
        <w:outlineLvl w:val="3"/>
      </w:pPr>
      <w:r/>
      <w:bookmarkEnd w:id="86"/>
      <w:r/>
      <w:bookmarkEnd w:id="87"/>
      <w:r>
        <w:rPr>
          <w:rFonts w:ascii="宋体" w:hAnsi="宋体" w:cs="Arial"/>
          <w:sz w:val="28"/>
          <w:szCs w:val="28"/>
        </w:rPr>
        <w:t xml:space="preserve">12</w:t>
      </w:r>
      <w:r>
        <w:rPr>
          <w:rFonts w:hint="eastAsia" w:ascii="宋体" w:hAnsi="宋体" w:cs="Arial"/>
          <w:sz w:val="28"/>
          <w:szCs w:val="28"/>
        </w:rPr>
        <w:t xml:space="preserve">、分项报价表</w:t>
      </w:r>
      <w:r/>
    </w:p>
    <w:p>
      <w:pPr>
        <w:pStyle w:val="687"/>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687"/>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87"/>
        <w:ind w:firstLine="420"/>
        <w:keepLines/>
        <w:keepNext/>
        <w:spacing w:line="520" w:lineRule="exact"/>
        <w:rPr>
          <w:rFonts w:hint="eastAsia" w:ascii="宋体" w:hAnsi="宋体" w:cs="Arial"/>
          <w:sz w:val="28"/>
          <w:szCs w:val="28"/>
        </w:rPr>
        <w:outlineLvl w:val="3"/>
      </w:pPr>
      <w:r/>
      <w:bookmarkStart w:id="93" w:name="_Hlt26670486"/>
      <w:r/>
      <w:bookmarkEnd w:id="93"/>
      <w:r/>
      <w:bookmarkStart w:id="94" w:name="_Hlt26954846"/>
      <w:r/>
      <w:bookmarkEnd w:id="94"/>
      <w:r/>
      <w:bookmarkStart w:id="95" w:name="_Hlt26670482"/>
      <w:r/>
      <w:bookmarkEnd w:id="95"/>
      <w:r/>
      <w:bookmarkStart w:id="96" w:name="_Hlt26954848"/>
      <w:r/>
      <w:bookmarkEnd w:id="96"/>
      <w:r/>
      <w:bookmarkStart w:id="97" w:name="_Hlt26954731"/>
      <w:r/>
      <w:bookmarkEnd w:id="97"/>
      <w:r>
        <w:rPr>
          <w:rFonts w:ascii="宋体" w:hAnsi="宋体" w:cs="Arial"/>
          <w:sz w:val="28"/>
          <w:szCs w:val="28"/>
        </w:rPr>
        <w:t xml:space="preserve">13</w:t>
      </w:r>
      <w:r>
        <w:rPr>
          <w:rFonts w:hint="eastAsia" w:ascii="宋体" w:hAnsi="宋体" w:cs="Arial"/>
          <w:sz w:val="28"/>
          <w:szCs w:val="28"/>
        </w:rPr>
        <w:t xml:space="preserve">、技术要求响应及偏离表、商务要求响应及偏离表</w:t>
      </w:r>
      <w:r/>
    </w:p>
    <w:p>
      <w:pPr>
        <w:pStyle w:val="687"/>
        <w:ind w:firstLine="480"/>
        <w:spacing w:line="520" w:lineRule="exact"/>
        <w:rPr>
          <w:rFonts w:ascii="宋体" w:hAnsi="宋体" w:cs="宋体"/>
          <w:sz w:val="24"/>
          <w:szCs w:val="21"/>
          <w:lang w:val="zh-CN"/>
        </w:rPr>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687"/>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pStyle w:val="687"/>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w:t>
      </w:r>
      <w:r>
        <w:rPr>
          <w:rFonts w:hint="eastAsia" w:ascii="宋体" w:hAnsi="宋体" w:cs="Arial"/>
          <w:sz w:val="28"/>
          <w:szCs w:val="28"/>
        </w:rPr>
        <w:t xml:space="preserve">、服务承诺、培训计划、人员安排及其他</w:t>
      </w:r>
      <w:r/>
    </w:p>
    <w:p>
      <w:pPr>
        <w:pStyle w:val="687"/>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687"/>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687"/>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sz w:val="24"/>
          <w:szCs w:val="24"/>
        </w:rPr>
      </w:r>
      <w:r/>
    </w:p>
    <w:p>
      <w:pPr>
        <w:pStyle w:val="687"/>
        <w:ind w:firstLine="420"/>
        <w:keepLines/>
        <w:keepNext/>
        <w:spacing w:line="520" w:lineRule="exact"/>
        <w:rPr>
          <w:rFonts w:hint="eastAsia" w:ascii="宋体" w:hAnsi="宋体" w:cs="Arial"/>
          <w:sz w:val="28"/>
          <w:szCs w:val="28"/>
        </w:rPr>
        <w:outlineLvl w:val="3"/>
      </w:pPr>
      <w:r/>
      <w:bookmarkStart w:id="98" w:name="_Toc49090510"/>
      <w:r/>
      <w:bookmarkStart w:id="99" w:name="_Toc14577359"/>
      <w:r>
        <w:rPr>
          <w:rFonts w:ascii="宋体" w:hAnsi="宋体" w:cs="Arial"/>
          <w:sz w:val="28"/>
          <w:szCs w:val="28"/>
        </w:rPr>
        <w:t xml:space="preserve">15</w:t>
      </w:r>
      <w:r>
        <w:rPr>
          <w:rFonts w:hint="eastAsia" w:ascii="宋体" w:hAnsi="宋体" w:cs="Arial"/>
          <w:sz w:val="28"/>
          <w:szCs w:val="28"/>
        </w:rPr>
        <w:t xml:space="preserve">、磋商响应函</w:t>
      </w:r>
      <w:r/>
    </w:p>
    <w:p>
      <w:pPr>
        <w:pStyle w:val="687"/>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687"/>
        <w:ind w:firstLine="420"/>
        <w:keepLines/>
        <w:keepNext/>
        <w:spacing w:line="520" w:lineRule="exact"/>
        <w:rPr>
          <w:rFonts w:hint="eastAsia" w:ascii="宋体" w:hAnsi="宋体" w:cs="Arial"/>
          <w:sz w:val="28"/>
          <w:szCs w:val="28"/>
        </w:rPr>
        <w:outlineLvl w:val="3"/>
      </w:pPr>
      <w:r/>
      <w:bookmarkEnd w:id="98"/>
      <w:r/>
      <w:bookmarkEnd w:id="99"/>
      <w:r/>
      <w:bookmarkStart w:id="100" w:name="_Toc14577360"/>
      <w:r/>
      <w:bookmarkStart w:id="101" w:name="_Toc49090511"/>
      <w:r>
        <w:rPr>
          <w:rFonts w:ascii="宋体" w:hAnsi="宋体" w:cs="Arial"/>
          <w:sz w:val="28"/>
          <w:szCs w:val="28"/>
        </w:rPr>
        <w:t xml:space="preserve">16</w:t>
      </w:r>
      <w:r>
        <w:rPr>
          <w:rFonts w:hint="eastAsia" w:ascii="宋体" w:hAnsi="宋体" w:cs="Arial"/>
          <w:sz w:val="28"/>
          <w:szCs w:val="28"/>
        </w:rPr>
        <w:t xml:space="preserve">、磋商有效期</w:t>
      </w:r>
      <w:bookmarkEnd w:id="100"/>
      <w:r/>
      <w:bookmarkEnd w:id="101"/>
      <w:r>
        <w:rPr>
          <w:rFonts w:hint="eastAsia" w:ascii="宋体" w:hAnsi="宋体" w:cs="Arial"/>
          <w:sz w:val="28"/>
          <w:szCs w:val="28"/>
        </w:rPr>
      </w:r>
      <w:r/>
    </w:p>
    <w:p>
      <w:pPr>
        <w:pStyle w:val="687"/>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宋体" w:hAnsi="宋体"/>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687"/>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w:t>
      </w:r>
      <w:r>
        <w:rPr>
          <w:rFonts w:hint="eastAsia" w:ascii="宋体" w:hAnsi="宋体" w:cs="Arial"/>
          <w:sz w:val="28"/>
          <w:szCs w:val="28"/>
        </w:rPr>
        <w:t xml:space="preserve">、磋商有效期的延长</w:t>
      </w:r>
      <w:r/>
    </w:p>
    <w:p>
      <w:pPr>
        <w:pStyle w:val="687"/>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w:t>
      </w:r>
      <w:r>
        <w:rPr>
          <w:rFonts w:hint="eastAsia" w:ascii="宋体" w:hAnsi="宋体"/>
          <w:bCs/>
          <w:sz w:val="24"/>
          <w:szCs w:val="21"/>
        </w:rPr>
        <w:t xml:space="preserve">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687"/>
        <w:ind w:firstLine="482"/>
        <w:keepLines/>
        <w:keepNext/>
        <w:spacing w:before="145" w:after="145" w:line="520" w:lineRule="exact"/>
        <w:rPr>
          <w:rFonts w:hint="eastAsia" w:ascii="宋体" w:hAnsi="宋体"/>
          <w:b/>
          <w:bCs/>
          <w:sz w:val="32"/>
          <w:szCs w:val="32"/>
        </w:rPr>
        <w:outlineLvl w:val="2"/>
      </w:pPr>
      <w:r/>
      <w:bookmarkStart w:id="102" w:name="_Toc20823296"/>
      <w:r/>
      <w:bookmarkStart w:id="103" w:name="_Hlt26954852"/>
      <w:r/>
      <w:bookmarkEnd w:id="103"/>
      <w:r/>
      <w:bookmarkStart w:id="104" w:name="_Hlt26954739"/>
      <w:r/>
      <w:bookmarkEnd w:id="104"/>
      <w:r/>
      <w:bookmarkStart w:id="105" w:name="_Toc513029224"/>
      <w:r/>
      <w:bookmarkStart w:id="106" w:name="_Toc16938540"/>
      <w:r/>
      <w:bookmarkStart w:id="107" w:name="_Toc120614217"/>
      <w:r>
        <w:rPr>
          <w:rFonts w:hint="eastAsia" w:ascii="宋体" w:hAnsi="宋体"/>
          <w:b/>
          <w:bCs/>
          <w:sz w:val="32"/>
          <w:szCs w:val="32"/>
        </w:rPr>
        <w:t xml:space="preserve">四、响应文件的递交</w:t>
      </w:r>
      <w:bookmarkEnd w:id="102"/>
      <w:r/>
      <w:bookmarkEnd w:id="105"/>
      <w:r/>
      <w:bookmarkEnd w:id="106"/>
      <w:r/>
      <w:bookmarkEnd w:id="107"/>
      <w:r>
        <w:rPr>
          <w:rFonts w:hint="eastAsia" w:ascii="宋体" w:hAnsi="宋体"/>
          <w:b/>
          <w:bCs/>
          <w:sz w:val="32"/>
          <w:szCs w:val="32"/>
        </w:rPr>
      </w:r>
      <w:r/>
    </w:p>
    <w:p>
      <w:pPr>
        <w:pStyle w:val="687"/>
        <w:ind w:firstLine="560"/>
        <w:keepLines/>
        <w:keepNext/>
        <w:spacing w:line="520" w:lineRule="exact"/>
        <w:rPr>
          <w:rFonts w:ascii="宋体" w:hAnsi="宋体" w:cs="Arial"/>
          <w:sz w:val="28"/>
          <w:szCs w:val="28"/>
        </w:rPr>
        <w:outlineLvl w:val="3"/>
      </w:pPr>
      <w:r/>
      <w:bookmarkStart w:id="108" w:name="_Toc20823297"/>
      <w:r/>
      <w:bookmarkStart w:id="109" w:name="_Toc513029225"/>
      <w:r/>
      <w:bookmarkStart w:id="110" w:name="_Toc16938541"/>
      <w:r/>
      <w:bookmarkStart w:id="111" w:name="_Toc462564084"/>
      <w:r>
        <w:rPr>
          <w:rFonts w:ascii="宋体" w:hAnsi="宋体" w:cs="Arial"/>
          <w:sz w:val="28"/>
          <w:szCs w:val="28"/>
        </w:rPr>
        <w:t xml:space="preserve">18</w:t>
      </w:r>
      <w:r>
        <w:rPr>
          <w:rFonts w:hint="eastAsia" w:ascii="宋体" w:hAnsi="宋体" w:cs="Arial"/>
          <w:sz w:val="28"/>
          <w:szCs w:val="28"/>
        </w:rPr>
        <w:t xml:space="preserve">、电子磋商</w:t>
      </w:r>
      <w:bookmarkEnd w:id="108"/>
      <w:r/>
      <w:bookmarkEnd w:id="109"/>
      <w:r/>
      <w:bookmarkEnd w:id="110"/>
      <w:r/>
      <w:bookmarkEnd w:id="111"/>
      <w:r>
        <w:rPr>
          <w:rFonts w:hint="eastAsia" w:ascii="宋体" w:hAnsi="宋体" w:cs="Arial"/>
          <w:sz w:val="28"/>
          <w:szCs w:val="28"/>
        </w:rPr>
        <w:t xml:space="preserve">响应文件的递交</w:t>
      </w:r>
      <w:r>
        <w:rPr>
          <w:rFonts w:ascii="宋体" w:hAnsi="宋体" w:cs="Arial"/>
          <w:sz w:val="28"/>
          <w:szCs w:val="28"/>
        </w:rPr>
      </w:r>
      <w:r/>
    </w:p>
    <w:p>
      <w:pPr>
        <w:pStyle w:val="687"/>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513029226"/>
      <w:r/>
      <w:bookmarkStart w:id="113" w:name="_Toc16938542"/>
      <w:r/>
      <w:bookmarkStart w:id="114" w:name="_Toc20823298"/>
      <w:r>
        <w:rPr>
          <w:rFonts w:hint="eastAsia" w:ascii="宋体" w:hAnsi="宋体"/>
          <w:bCs/>
          <w:sz w:val="24"/>
          <w:szCs w:val="21"/>
        </w:rPr>
      </w:r>
      <w:r/>
    </w:p>
    <w:p>
      <w:pPr>
        <w:pStyle w:val="687"/>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12"/>
      <w:r/>
      <w:bookmarkEnd w:id="113"/>
      <w:r/>
      <w:bookmarkEnd w:id="114"/>
      <w:r>
        <w:rPr>
          <w:rFonts w:hint="eastAsia" w:ascii="宋体" w:hAnsi="宋体" w:cs="Arial"/>
          <w:bCs/>
          <w:sz w:val="24"/>
          <w:szCs w:val="28"/>
        </w:rPr>
      </w:r>
      <w:r/>
    </w:p>
    <w:p>
      <w:pPr>
        <w:pStyle w:val="687"/>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w:t>
      </w:r>
      <w:r>
        <w:rPr>
          <w:rFonts w:hint="eastAsia" w:ascii="宋体" w:hAnsi="宋体"/>
          <w:bCs/>
          <w:sz w:val="24"/>
          <w:szCs w:val="21"/>
        </w:rPr>
        <w:t xml:space="preserve">等风险因素，如因供应商自身原因造成的电子响应文件上传不成功的按照本磋商文件第二章第26.3.2条规定做无效响应处理。</w:t>
      </w:r>
      <w:r/>
    </w:p>
    <w:p>
      <w:pPr>
        <w:pStyle w:val="687"/>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pStyle w:val="687"/>
        <w:ind w:firstLine="420"/>
        <w:keepLines/>
        <w:keepNext/>
        <w:spacing w:line="520" w:lineRule="exact"/>
        <w:rPr>
          <w:rFonts w:hint="eastAsia" w:ascii="宋体" w:hAnsi="宋体" w:cs="Arial"/>
          <w:sz w:val="28"/>
          <w:szCs w:val="28"/>
        </w:rPr>
        <w:outlineLvl w:val="3"/>
      </w:pPr>
      <w:r/>
      <w:bookmarkStart w:id="115" w:name="_Toc513029227"/>
      <w:r/>
      <w:bookmarkStart w:id="116" w:name="_Toc20823299"/>
      <w:r/>
      <w:bookmarkStart w:id="117" w:name="_Toc16938543"/>
      <w:r>
        <w:rPr>
          <w:rFonts w:ascii="宋体" w:hAnsi="宋体" w:cs="Arial"/>
          <w:sz w:val="28"/>
          <w:szCs w:val="28"/>
        </w:rPr>
        <w:t xml:space="preserve">20</w:t>
      </w:r>
      <w:r>
        <w:rPr>
          <w:rFonts w:hint="eastAsia" w:ascii="宋体" w:hAnsi="宋体" w:cs="Arial"/>
          <w:sz w:val="28"/>
          <w:szCs w:val="28"/>
        </w:rPr>
        <w:t xml:space="preserve">、响应文件</w:t>
      </w:r>
      <w:bookmarkEnd w:id="115"/>
      <w:r/>
      <w:bookmarkEnd w:id="116"/>
      <w:r/>
      <w:bookmarkEnd w:id="117"/>
      <w:r>
        <w:rPr>
          <w:rFonts w:hint="eastAsia" w:ascii="宋体" w:hAnsi="宋体" w:cs="Arial"/>
          <w:sz w:val="28"/>
          <w:szCs w:val="28"/>
        </w:rPr>
        <w:t xml:space="preserve">的拒收</w:t>
      </w:r>
      <w:r/>
    </w:p>
    <w:p>
      <w:pPr>
        <w:pStyle w:val="687"/>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rPr>
          <w:rFonts w:ascii="宋体" w:hAnsi="宋体"/>
          <w:bCs/>
          <w:sz w:val="24"/>
          <w:szCs w:val="21"/>
        </w:rPr>
      </w:r>
      <w:r/>
    </w:p>
    <w:p>
      <w:pPr>
        <w:pStyle w:val="687"/>
        <w:ind w:firstLine="420"/>
        <w:keepLines/>
        <w:keepNext/>
        <w:spacing w:line="520" w:lineRule="exact"/>
        <w:rPr>
          <w:rFonts w:hint="eastAsia" w:ascii="宋体" w:hAnsi="宋体" w:cs="Arial"/>
          <w:sz w:val="28"/>
          <w:szCs w:val="28"/>
        </w:rPr>
        <w:outlineLvl w:val="3"/>
      </w:pPr>
      <w:r/>
      <w:bookmarkStart w:id="118" w:name="_Toc513029228"/>
      <w:r/>
      <w:bookmarkStart w:id="119" w:name="_Toc16938544"/>
      <w:r/>
      <w:bookmarkStart w:id="120" w:name="_Toc20823300"/>
      <w:r>
        <w:rPr>
          <w:rFonts w:ascii="宋体" w:hAnsi="宋体" w:cs="Arial"/>
          <w:sz w:val="28"/>
          <w:szCs w:val="28"/>
        </w:rPr>
        <w:t xml:space="preserve">21</w:t>
      </w:r>
      <w:r>
        <w:rPr>
          <w:rFonts w:hint="eastAsia" w:ascii="宋体" w:hAnsi="宋体" w:cs="Arial"/>
          <w:sz w:val="28"/>
          <w:szCs w:val="28"/>
        </w:rPr>
        <w:t xml:space="preserve">、响应文件的撤回和修改</w:t>
      </w:r>
      <w:bookmarkEnd w:id="118"/>
      <w:r/>
      <w:bookmarkEnd w:id="119"/>
      <w:r/>
      <w:bookmarkEnd w:id="120"/>
      <w:r>
        <w:rPr>
          <w:rFonts w:hint="eastAsia" w:ascii="宋体" w:hAnsi="宋体" w:cs="Arial"/>
          <w:sz w:val="28"/>
          <w:szCs w:val="28"/>
        </w:rPr>
      </w:r>
      <w:r/>
    </w:p>
    <w:p>
      <w:pPr>
        <w:pStyle w:val="687"/>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687"/>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pStyle w:val="68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w:t>
      </w:r>
      <w:r>
        <w:rPr>
          <w:rFonts w:hint="eastAsia" w:ascii="宋体" w:hAnsi="宋体"/>
          <w:bCs/>
          <w:sz w:val="24"/>
          <w:szCs w:val="21"/>
        </w:rPr>
        <w:t xml:space="preserve">应文件</w:t>
      </w:r>
      <w:r>
        <w:rPr>
          <w:rFonts w:hint="eastAsia" w:ascii="宋体" w:hAnsi="宋体"/>
          <w:sz w:val="24"/>
          <w:szCs w:val="21"/>
        </w:rPr>
        <w:t xml:space="preserve">截止时间前，撤回其电子响应文件，具体操作方法见《操作手册》。</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pStyle w:val="68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87"/>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pStyle w:val="687"/>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687"/>
        <w:ind w:firstLine="482"/>
        <w:keepLines/>
        <w:keepNext/>
        <w:spacing w:before="145" w:after="145" w:line="520" w:lineRule="exact"/>
        <w:rPr>
          <w:rFonts w:hint="eastAsia" w:ascii="宋体" w:hAnsi="宋体"/>
          <w:b/>
          <w:bCs/>
          <w:sz w:val="32"/>
          <w:szCs w:val="32"/>
        </w:rPr>
        <w:outlineLvl w:val="2"/>
      </w:pPr>
      <w:r/>
      <w:bookmarkStart w:id="121" w:name="_Toc16938545"/>
      <w:r/>
      <w:bookmarkStart w:id="122" w:name="_Toc120614218"/>
      <w:r/>
      <w:bookmarkStart w:id="123" w:name="_Toc513029229"/>
      <w:r/>
      <w:bookmarkStart w:id="124" w:name="_Toc20823301"/>
      <w:r>
        <w:rPr>
          <w:rFonts w:hint="eastAsia" w:ascii="宋体" w:hAnsi="宋体"/>
          <w:b/>
          <w:bCs/>
          <w:sz w:val="32"/>
          <w:szCs w:val="32"/>
        </w:rPr>
        <w:t xml:space="preserve">五、响应文件的解密与评审</w:t>
      </w:r>
      <w:bookmarkEnd w:id="121"/>
      <w:r/>
      <w:bookmarkEnd w:id="122"/>
      <w:r/>
      <w:bookmarkEnd w:id="123"/>
      <w:r/>
      <w:bookmarkEnd w:id="124"/>
      <w:r>
        <w:rPr>
          <w:rFonts w:hint="eastAsia" w:ascii="宋体" w:hAnsi="宋体"/>
          <w:b/>
          <w:bCs/>
          <w:sz w:val="32"/>
          <w:szCs w:val="32"/>
        </w:rPr>
      </w:r>
      <w:r/>
    </w:p>
    <w:p>
      <w:pPr>
        <w:pStyle w:val="687"/>
        <w:ind w:firstLine="420"/>
        <w:keepLines/>
        <w:keepNext/>
        <w:spacing w:line="520" w:lineRule="exact"/>
        <w:rPr>
          <w:rFonts w:ascii="宋体" w:hAnsi="宋体" w:cs="Arial"/>
          <w:sz w:val="28"/>
          <w:szCs w:val="28"/>
        </w:rPr>
        <w:outlineLvl w:val="3"/>
      </w:pPr>
      <w:r/>
      <w:bookmarkStart w:id="125" w:name="_Toc16938546"/>
      <w:r/>
      <w:bookmarkStart w:id="126" w:name="_Toc20823302"/>
      <w:r/>
      <w:bookmarkStart w:id="127" w:name="_Toc513029230"/>
      <w:r>
        <w:rPr>
          <w:rFonts w:ascii="宋体" w:hAnsi="宋体" w:cs="Arial"/>
          <w:sz w:val="28"/>
          <w:szCs w:val="28"/>
        </w:rPr>
        <w:t xml:space="preserve">22</w:t>
      </w:r>
      <w:r>
        <w:rPr>
          <w:rFonts w:hint="eastAsia" w:ascii="宋体" w:hAnsi="宋体" w:cs="Arial"/>
          <w:sz w:val="28"/>
          <w:szCs w:val="28"/>
        </w:rPr>
        <w:t xml:space="preserve">、</w:t>
      </w:r>
      <w:bookmarkEnd w:id="125"/>
      <w:r/>
      <w:bookmarkEnd w:id="126"/>
      <w:r/>
      <w:bookmarkEnd w:id="127"/>
      <w:r>
        <w:rPr>
          <w:rFonts w:hint="eastAsia" w:ascii="宋体" w:hAnsi="宋体" w:cs="Arial"/>
          <w:sz w:val="28"/>
          <w:szCs w:val="28"/>
        </w:rPr>
        <w:t xml:space="preserve">响应文件解密</w:t>
      </w:r>
      <w:r>
        <w:rPr>
          <w:rFonts w:ascii="宋体" w:hAnsi="宋体" w:cs="Arial"/>
          <w:sz w:val="28"/>
          <w:szCs w:val="28"/>
        </w:rPr>
      </w:r>
      <w:r/>
    </w:p>
    <w:p>
      <w:pPr>
        <w:pStyle w:val="687"/>
        <w:ind w:firstLine="360"/>
        <w:spacing w:line="520" w:lineRule="exact"/>
        <w:rPr>
          <w:rFonts w:ascii="宋体" w:hAnsi="宋体"/>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w:t>
      </w:r>
      <w:r>
        <w:rPr>
          <w:rFonts w:hint="eastAsia" w:ascii="宋体" w:hAnsi="宋体"/>
          <w:sz w:val="24"/>
          <w:szCs w:val="24"/>
        </w:rPr>
        <w:t xml:space="preserve">系统规定的时间内对磋商响应文件进行解密。</w:t>
      </w:r>
      <w:r>
        <w:rPr>
          <w:rFonts w:ascii="宋体" w:hAnsi="宋体"/>
          <w:szCs w:val="21"/>
        </w:rPr>
      </w:r>
      <w:r/>
    </w:p>
    <w:p>
      <w:pPr>
        <w:pStyle w:val="687"/>
        <w:ind w:firstLine="420"/>
        <w:keepLines/>
        <w:keepNext/>
        <w:spacing w:line="520" w:lineRule="exact"/>
        <w:rPr>
          <w:rFonts w:ascii="宋体" w:hAnsi="宋体" w:cs="Arial"/>
          <w:sz w:val="28"/>
          <w:szCs w:val="28"/>
        </w:rPr>
        <w:outlineLvl w:val="3"/>
      </w:pPr>
      <w:r/>
      <w:bookmarkStart w:id="128" w:name="_Toc20823303"/>
      <w:r/>
      <w:bookmarkStart w:id="129" w:name="_Toc513029231"/>
      <w:r/>
      <w:bookmarkStart w:id="130" w:name="_Toc16938547"/>
      <w:r>
        <w:rPr>
          <w:rFonts w:ascii="宋体" w:hAnsi="宋体" w:cs="Arial"/>
          <w:sz w:val="28"/>
          <w:szCs w:val="28"/>
        </w:rPr>
        <w:t xml:space="preserve">23</w:t>
      </w:r>
      <w:r>
        <w:rPr>
          <w:rFonts w:hint="eastAsia" w:ascii="宋体" w:hAnsi="宋体" w:cs="Arial"/>
          <w:sz w:val="28"/>
          <w:szCs w:val="28"/>
        </w:rPr>
        <w:t xml:space="preserve">、磋商小组</w:t>
      </w:r>
      <w:r>
        <w:rPr>
          <w:rFonts w:ascii="宋体" w:hAnsi="宋体" w:cs="Arial"/>
          <w:sz w:val="28"/>
          <w:szCs w:val="28"/>
        </w:rPr>
      </w:r>
      <w:r/>
    </w:p>
    <w:p>
      <w:pPr>
        <w:pStyle w:val="687"/>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68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pStyle w:val="687"/>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24、评审过程的保密与公正</w:t>
      </w:r>
      <w:r/>
    </w:p>
    <w:p>
      <w:pPr>
        <w:pStyle w:val="687"/>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pStyle w:val="687"/>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w:t>
      </w:r>
      <w:r>
        <w:rPr>
          <w:rFonts w:hint="eastAsia" w:ascii="宋体" w:hAnsi="宋体"/>
          <w:sz w:val="24"/>
          <w:szCs w:val="24"/>
        </w:rPr>
        <w:t xml:space="preserve">响磋商评审过程，否则其响应文件将被作为无效响应文件。</w:t>
      </w:r>
      <w:r/>
    </w:p>
    <w:p>
      <w:pPr>
        <w:pStyle w:val="687"/>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pStyle w:val="687"/>
        <w:ind w:firstLine="420"/>
        <w:keepLines/>
        <w:keepNext/>
        <w:spacing w:line="520" w:lineRule="exact"/>
        <w:rPr>
          <w:rFonts w:hint="eastAsia" w:ascii="宋体" w:hAnsi="宋体" w:cs="Arial"/>
          <w:sz w:val="28"/>
          <w:szCs w:val="28"/>
        </w:rPr>
        <w:outlineLvl w:val="3"/>
      </w:pPr>
      <w:r/>
      <w:bookmarkStart w:id="131" w:name="_Toc513029232"/>
      <w:r/>
      <w:bookmarkStart w:id="132" w:name="_Toc16938548"/>
      <w:r/>
      <w:bookmarkStart w:id="133" w:name="_Toc20823304"/>
      <w:r>
        <w:rPr>
          <w:rFonts w:ascii="宋体" w:hAnsi="宋体" w:cs="Arial"/>
          <w:sz w:val="28"/>
          <w:szCs w:val="28"/>
        </w:rPr>
        <w:t xml:space="preserve">25</w:t>
      </w:r>
      <w:r>
        <w:rPr>
          <w:rFonts w:hint="eastAsia" w:ascii="宋体" w:hAnsi="宋体" w:cs="Arial"/>
          <w:sz w:val="28"/>
          <w:szCs w:val="28"/>
        </w:rPr>
        <w:t xml:space="preserve">、评审过程中的的澄清</w:t>
      </w:r>
      <w:bookmarkEnd w:id="131"/>
      <w:r/>
      <w:bookmarkEnd w:id="132"/>
      <w:r/>
      <w:bookmarkEnd w:id="133"/>
      <w:r>
        <w:rPr>
          <w:rFonts w:hint="eastAsia" w:ascii="宋体" w:hAnsi="宋体" w:cs="Arial"/>
          <w:sz w:val="28"/>
          <w:szCs w:val="28"/>
        </w:rPr>
      </w:r>
      <w:r/>
    </w:p>
    <w:p>
      <w:pPr>
        <w:pStyle w:val="687"/>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687"/>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87"/>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pStyle w:val="687"/>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pStyle w:val="687"/>
        <w:ind w:firstLine="420"/>
        <w:keepLines/>
        <w:keepNext/>
        <w:spacing w:line="520" w:lineRule="exact"/>
        <w:rPr>
          <w:rFonts w:hint="eastAsia" w:ascii="宋体" w:hAnsi="宋体" w:cs="Arial"/>
          <w:sz w:val="28"/>
          <w:szCs w:val="28"/>
        </w:rPr>
        <w:outlineLvl w:val="3"/>
      </w:pPr>
      <w:r/>
      <w:bookmarkStart w:id="134" w:name="_Toc513029233"/>
      <w:r/>
      <w:bookmarkStart w:id="135" w:name="_Toc20823305"/>
      <w:r/>
      <w:bookmarkStart w:id="136" w:name="_Toc16938549"/>
      <w:r>
        <w:rPr>
          <w:rFonts w:ascii="宋体" w:hAnsi="宋体" w:cs="Arial"/>
          <w:sz w:val="28"/>
          <w:szCs w:val="28"/>
        </w:rPr>
        <w:t xml:space="preserve">26</w:t>
      </w:r>
      <w:r>
        <w:rPr>
          <w:rFonts w:hint="eastAsia" w:ascii="宋体" w:hAnsi="宋体" w:cs="Arial"/>
          <w:sz w:val="28"/>
          <w:szCs w:val="28"/>
        </w:rPr>
        <w:t xml:space="preserve">、对响应文件的审</w:t>
      </w:r>
      <w:bookmarkEnd w:id="134"/>
      <w:r/>
      <w:bookmarkEnd w:id="135"/>
      <w:r/>
      <w:bookmarkEnd w:id="136"/>
      <w:r>
        <w:rPr>
          <w:rFonts w:hint="eastAsia" w:ascii="宋体" w:hAnsi="宋体" w:cs="Arial"/>
          <w:sz w:val="28"/>
          <w:szCs w:val="28"/>
        </w:rPr>
        <w:t xml:space="preserve">查</w:t>
      </w:r>
      <w:r/>
    </w:p>
    <w:p>
      <w:pPr>
        <w:pStyle w:val="687"/>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w:t>
      </w:r>
      <w:r>
        <w:rPr>
          <w:rFonts w:hint="eastAsia" w:ascii="宋体" w:hAnsi="宋体"/>
          <w:bCs/>
          <w:sz w:val="24"/>
          <w:szCs w:val="21"/>
        </w:rPr>
        <w:t xml:space="preserve">对响应文件中的资格证明文件进行审查，以确定供应商是否具备参加磋商的资格。</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87"/>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87"/>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w:t>
      </w:r>
      <w:r>
        <w:rPr>
          <w:rFonts w:hint="eastAsia" w:ascii="宋体" w:hAnsi="宋体"/>
          <w:sz w:val="24"/>
          <w:szCs w:val="24"/>
        </w:rPr>
        <w:t xml:space="preserve">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w:t>
      </w:r>
      <w:r>
        <w:rPr>
          <w:rFonts w:hint="eastAsia" w:ascii="宋体" w:hAnsi="宋体"/>
          <w:bCs/>
          <w:sz w:val="24"/>
          <w:szCs w:val="21"/>
        </w:rPr>
        <w:t xml:space="preserve">格要求的。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87"/>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（本磋商文件中打“★”为实质性要求和条件）。</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26.3.11 不同供应商的磋商文件制作机器码一致。</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w:t>
      </w:r>
      <w:r>
        <w:rPr>
          <w:rFonts w:hint="eastAsia" w:ascii="宋体" w:hAnsi="宋体"/>
          <w:bCs/>
          <w:sz w:val="24"/>
          <w:szCs w:val="21"/>
        </w:rPr>
        <w:t xml:space="preserve">应文件按无效响应处理。</w:t>
      </w:r>
      <w:r/>
    </w:p>
    <w:p>
      <w:pPr>
        <w:pStyle w:val="687"/>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687"/>
        <w:ind w:firstLine="480"/>
        <w:spacing w:line="52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26.6供应商在项目评审全过程中应保持通讯畅通，并安排专人与交易中心及磋商小组联系。</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26.7.1 磋商过程中出现下列情形之一的，磋商小组会应当启动异常低价投标审查程序：</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(2)投标（响应）报</w:t>
      </w:r>
      <w:r>
        <w:rPr>
          <w:rFonts w:hint="eastAsia" w:ascii="宋体" w:hAnsi="宋体"/>
          <w:b/>
          <w:bCs/>
          <w:sz w:val="24"/>
          <w:szCs w:val="21"/>
        </w:rPr>
        <w:t xml:space="preserve">价低于通过符合性审查的次低报价供应商投标（响应）报价50%的，即投标（响应）报价&lt;通过符合性审查的次低报价供应商投标（响应）报价×50%； </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(4) 磋商小组基于专业判断，认为供应商报价过低，有可能影响产品质量或者不能诚信履约的其他情形。 </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相关法律法规对供应商报价有规定的，从其规定。</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26.7.2 磋商小组启动异常低价投标（响应）审查后，属于前述第1项至第4项情形的，应当要求相关供应商在评审现场</w:t>
      </w:r>
      <w:r>
        <w:rPr>
          <w:rFonts w:hint="eastAsia" w:ascii="宋体" w:hAnsi="宋体"/>
          <w:b/>
          <w:bCs/>
          <w:sz w:val="24"/>
          <w:szCs w:val="21"/>
        </w:rPr>
        <w:t xml:space="preserve">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687"/>
        <w:ind w:firstLine="480"/>
        <w:spacing w:line="520" w:lineRule="exact"/>
        <w:rPr>
          <w:rFonts w:hint="eastAsia" w:ascii="宋体" w:hAnsi="宋体"/>
          <w:b/>
          <w:bCs/>
          <w:sz w:val="24"/>
          <w:szCs w:val="21"/>
        </w:rPr>
      </w:pPr>
      <w:r>
        <w:rPr>
          <w:rFonts w:hint="eastAsia" w:ascii="宋体" w:hAnsi="宋体"/>
          <w:b/>
          <w:bCs/>
          <w:sz w:val="24"/>
          <w:szCs w:val="21"/>
        </w:rPr>
        <w:t xml:space="preserve">26.8 磋商小组成员在打分过程中不应当出现打分畸高畸低的情形，若出现评磋商小组成员在主观分打分上和磋商小组总的平均分相比有明显畸高或畸低情形(偏离度达到±30%)的，需要现场由该磋商小组成员对本人的打分做出情况说明。</w:t>
      </w:r>
      <w:r/>
    </w:p>
    <w:p>
      <w:pPr>
        <w:pStyle w:val="687"/>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r>
        <w:rPr>
          <w:rFonts w:hint="eastAsia" w:ascii="宋体" w:hAnsi="宋体" w:cs="Arial"/>
          <w:sz w:val="28"/>
          <w:szCs w:val="28"/>
        </w:rPr>
        <w:t xml:space="preserve">、</w:t>
      </w:r>
      <w:bookmarkEnd w:id="137"/>
      <w:r/>
      <w:bookmarkEnd w:id="138"/>
      <w:r/>
      <w:bookmarkEnd w:id="139"/>
      <w:r>
        <w:rPr>
          <w:rFonts w:hint="eastAsia" w:ascii="宋体" w:hAnsi="宋体" w:cs="Arial"/>
          <w:sz w:val="28"/>
          <w:szCs w:val="28"/>
        </w:rPr>
        <w:t xml:space="preserve">磋商程序及评审方法和评审标准</w:t>
      </w:r>
      <w:r/>
    </w:p>
    <w:p>
      <w:pPr>
        <w:pStyle w:val="687"/>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w:t>
      </w:r>
      <w:r>
        <w:rPr>
          <w:rFonts w:hint="eastAsia" w:ascii="宋体" w:hAnsi="宋体"/>
          <w:sz w:val="24"/>
          <w:szCs w:val="24"/>
        </w:rPr>
        <w:t xml:space="preserve">磋商响应函”并加盖CA电子公章。</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报价。</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87"/>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w:t>
      </w:r>
      <w:r>
        <w:rPr>
          <w:rFonts w:hint="eastAsia" w:ascii="宋体" w:hAnsi="宋体"/>
          <w:sz w:val="24"/>
          <w:szCs w:val="24"/>
        </w:rPr>
        <w:t xml:space="preserve">24号）规定情形的，提交最后报价的供应商可以为2家。</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87"/>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87"/>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87"/>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87"/>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87"/>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w:t>
      </w:r>
      <w:r>
        <w:rPr>
          <w:rFonts w:hint="eastAsia" w:ascii="宋体" w:hAnsi="宋体"/>
          <w:sz w:val="24"/>
          <w:szCs w:val="24"/>
        </w:rPr>
        <w:t xml:space="preserve">.3除本磋商文件第二章第27.1.2条第三款规定的情形外，在采购过程中符合要求的供应商或者最后报价未超过采购预算的供应商不足3家的。</w:t>
      </w:r>
      <w:r/>
    </w:p>
    <w:p>
      <w:pPr>
        <w:pStyle w:val="687"/>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87"/>
        <w:ind w:firstLine="482"/>
        <w:keepLines/>
        <w:keepNext/>
        <w:spacing w:before="145" w:after="145" w:line="520" w:lineRule="exact"/>
        <w:rPr>
          <w:rFonts w:hint="eastAsia" w:ascii="宋体" w:hAnsi="宋体"/>
          <w:b/>
          <w:bCs/>
          <w:sz w:val="32"/>
          <w:szCs w:val="32"/>
        </w:rPr>
        <w:outlineLvl w:val="2"/>
      </w:pPr>
      <w:r/>
      <w:bookmarkStart w:id="140" w:name="_Toc120614219"/>
      <w:r/>
      <w:bookmarkStart w:id="141" w:name="_Toc16938551"/>
      <w:r/>
      <w:bookmarkStart w:id="142" w:name="_Toc513029235"/>
      <w:r/>
      <w:bookmarkStart w:id="143" w:name="_Toc20823307"/>
      <w:r>
        <w:rPr>
          <w:rFonts w:hint="eastAsia" w:ascii="宋体" w:hAnsi="宋体"/>
          <w:b/>
          <w:bCs/>
          <w:sz w:val="32"/>
          <w:szCs w:val="32"/>
        </w:rPr>
        <w:t xml:space="preserve">六、</w:t>
      </w:r>
      <w:bookmarkEnd w:id="140"/>
      <w:r/>
      <w:bookmarkEnd w:id="141"/>
      <w:r/>
      <w:bookmarkEnd w:id="142"/>
      <w:r/>
      <w:bookmarkEnd w:id="143"/>
      <w:r>
        <w:rPr>
          <w:rFonts w:hint="eastAsia" w:ascii="宋体" w:hAnsi="宋体"/>
          <w:b/>
          <w:bCs/>
          <w:sz w:val="32"/>
          <w:szCs w:val="32"/>
        </w:rPr>
        <w:t xml:space="preserve">成交</w:t>
      </w:r>
      <w:r/>
    </w:p>
    <w:p>
      <w:pPr>
        <w:pStyle w:val="687"/>
        <w:ind w:firstLine="600"/>
        <w:keepLines/>
        <w:keepNext/>
        <w:spacing w:line="520" w:lineRule="exact"/>
        <w:rPr>
          <w:rFonts w:ascii="宋体" w:hAnsi="宋体"/>
          <w:bCs/>
          <w:sz w:val="30"/>
          <w:szCs w:val="30"/>
        </w:rPr>
        <w:outlineLvl w:val="3"/>
      </w:pPr>
      <w:r/>
      <w:bookmarkStart w:id="144" w:name="_Toc513029238"/>
      <w:r/>
      <w:bookmarkStart w:id="145" w:name="_Toc20823310"/>
      <w:r/>
      <w:bookmarkStart w:id="146" w:name="_Toc16938554"/>
      <w:r>
        <w:rPr>
          <w:rFonts w:hint="eastAsia" w:ascii="宋体" w:hAnsi="宋体"/>
          <w:bCs/>
          <w:sz w:val="30"/>
          <w:szCs w:val="30"/>
        </w:rPr>
        <w:t xml:space="preserve">28、</w:t>
      </w:r>
      <w:bookmarkEnd w:id="144"/>
      <w:r>
        <w:rPr>
          <w:rFonts w:hint="eastAsia" w:ascii="宋体" w:hAnsi="宋体"/>
          <w:bCs/>
          <w:sz w:val="30"/>
          <w:szCs w:val="30"/>
        </w:rPr>
        <w:t xml:space="preserve">确定</w:t>
      </w:r>
      <w:bookmarkEnd w:id="145"/>
      <w:r/>
      <w:bookmarkEnd w:id="146"/>
      <w:r>
        <w:rPr>
          <w:rFonts w:hint="eastAsia" w:ascii="宋体" w:hAnsi="宋体"/>
          <w:bCs/>
          <w:sz w:val="30"/>
          <w:szCs w:val="30"/>
        </w:rPr>
        <w:t xml:space="preserve">成交单位</w:t>
      </w:r>
      <w:r>
        <w:rPr>
          <w:rFonts w:ascii="宋体" w:hAnsi="宋体"/>
          <w:bCs/>
          <w:sz w:val="30"/>
          <w:szCs w:val="30"/>
        </w:rPr>
      </w:r>
      <w:r/>
    </w:p>
    <w:p>
      <w:pPr>
        <w:pStyle w:val="687"/>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pStyle w:val="687"/>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w:t>
      </w:r>
      <w:r>
        <w:rPr>
          <w:rFonts w:hint="eastAsia" w:ascii="宋体" w:hAnsi="宋体"/>
          <w:sz w:val="24"/>
          <w:szCs w:val="21"/>
        </w:rPr>
        <w:t xml:space="preserve">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w:t>
      </w:r>
      <w:r>
        <w:rPr>
          <w:rFonts w:hint="eastAsia" w:ascii="宋体" w:hAnsi="宋体"/>
          <w:bCs/>
          <w:sz w:val="24"/>
          <w:szCs w:val="21"/>
        </w:rPr>
        <w:t xml:space="preserve">成交的。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687"/>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87"/>
        <w:ind w:firstLine="600"/>
        <w:keepLines/>
        <w:keepNext/>
        <w:spacing w:line="520" w:lineRule="exact"/>
        <w:rPr>
          <w:rFonts w:hint="eastAsia" w:ascii="宋体" w:hAnsi="宋体"/>
          <w:bCs/>
          <w:sz w:val="30"/>
          <w:szCs w:val="30"/>
        </w:rPr>
        <w:outlineLvl w:val="3"/>
      </w:pPr>
      <w:r/>
      <w:bookmarkStart w:id="147" w:name="_Toc200451960"/>
      <w:r>
        <w:rPr>
          <w:rFonts w:hint="eastAsia" w:ascii="宋体" w:hAnsi="宋体"/>
          <w:bCs/>
          <w:sz w:val="30"/>
          <w:szCs w:val="30"/>
        </w:rPr>
        <w:t xml:space="preserve">29、质疑处理</w:t>
      </w:r>
      <w:bookmarkEnd w:id="147"/>
      <w:r>
        <w:rPr>
          <w:rFonts w:hint="eastAsia" w:ascii="宋体" w:hAnsi="宋体"/>
          <w:bCs/>
          <w:sz w:val="30"/>
          <w:szCs w:val="30"/>
        </w:rPr>
      </w:r>
      <w:r/>
    </w:p>
    <w:p>
      <w:pPr>
        <w:pStyle w:val="687"/>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w:t>
      </w:r>
      <w:r>
        <w:rPr>
          <w:rFonts w:hint="eastAsia" w:ascii="宋体" w:hAnsi="宋体"/>
          <w:sz w:val="24"/>
          <w:szCs w:val="24"/>
        </w:rPr>
        <w:t xml:space="preserve">商。潜在供应商依法获取其可质疑的采购文件的，可以对采购文件提出质疑。</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pStyle w:val="687"/>
        <w:ind w:firstLine="480"/>
        <w:spacing w:line="520" w:lineRule="exact"/>
        <w:rPr>
          <w:rFonts w:hint="eastAsia" w:ascii="宋体" w:hAnsi="宋体" w:cs="宋体"/>
          <w:sz w:val="24"/>
          <w:szCs w:val="24"/>
        </w:rPr>
      </w:pPr>
      <w:r>
        <w:rPr>
          <w:rFonts w:hint="eastAsia" w:ascii="宋体" w:hAnsi="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29.2.2</w:t>
      </w:r>
      <w:r>
        <w:rPr>
          <w:rFonts w:hint="eastAsia" w:ascii="宋体" w:hAnsi="宋体" w:cs="宋体"/>
          <w:sz w:val="24"/>
          <w:szCs w:val="24"/>
        </w:rPr>
        <w:t xml:space="preserve">对采购过程提出质疑的，为各采购程序环节结束之日。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29.2.3</w:t>
      </w:r>
      <w:r>
        <w:rPr>
          <w:rFonts w:hint="eastAsia" w:ascii="宋体" w:hAnsi="宋体" w:cs="宋体"/>
          <w:sz w:val="24"/>
          <w:szCs w:val="24"/>
        </w:rPr>
        <w:t xml:space="preserve">对成交结果提出质</w:t>
      </w:r>
      <w:r>
        <w:rPr>
          <w:rFonts w:hint="eastAsia" w:ascii="宋体" w:hAnsi="宋体" w:cs="宋体"/>
          <w:sz w:val="24"/>
          <w:szCs w:val="24"/>
        </w:rPr>
        <w:t xml:space="preserve">疑的，为成交结果公告期限届满之日。</w:t>
      </w:r>
      <w:r/>
    </w:p>
    <w:p>
      <w:pPr>
        <w:pStyle w:val="687"/>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ascii="宋体" w:hAnsi="宋体" w:cs="宋体"/>
          <w:sz w:val="24"/>
          <w:szCs w:val="24"/>
        </w:rPr>
        <w:t xml:space="preserve">中心、采购人将只对供应商第一次质疑作出答复。</w:t>
      </w:r>
      <w:r>
        <w:rPr>
          <w:rFonts w:ascii="宋体" w:hAnsi="宋体" w:cs="宋体"/>
          <w:sz w:val="24"/>
          <w:szCs w:val="24"/>
        </w:rPr>
      </w:r>
      <w:r/>
    </w:p>
    <w:p>
      <w:pPr>
        <w:pStyle w:val="687"/>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687"/>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687"/>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pStyle w:val="687"/>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苏州市公共资源交易中心吴江分中心，联系电话：0512-60905852。</w:t>
      </w:r>
      <w:r/>
    </w:p>
    <w:p>
      <w:pPr>
        <w:pStyle w:val="687"/>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w:t>
      </w:r>
      <w:r>
        <w:rPr>
          <w:rFonts w:hint="eastAsia" w:ascii="宋体" w:hAnsi="宋体"/>
          <w:sz w:val="24"/>
          <w:szCs w:val="24"/>
        </w:rPr>
        <w:t xml:space="preserve">》第十二条规定的质疑。</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以传真、电子邮件等方式递交的非纸质原件形式的质疑。</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pStyle w:val="687"/>
        <w:ind w:firstLine="480"/>
        <w:spacing w:line="520" w:lineRule="exact"/>
        <w:rPr>
          <w:rFonts w:hint="eastAsia"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供应商组成联合体参加磋商的，</w:t>
      </w:r>
      <w:r>
        <w:rPr>
          <w:rFonts w:hint="eastAsia" w:ascii="宋体" w:hAnsi="宋体"/>
          <w:sz w:val="24"/>
          <w:szCs w:val="24"/>
        </w:rPr>
        <w:t xml:space="preserve">联合体中任何一方或多方未按要求签字、盖章、加盖公章的质疑。</w:t>
      </w:r>
      <w:r/>
    </w:p>
    <w:p>
      <w:pPr>
        <w:pStyle w:val="687"/>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87"/>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30、成交通知书</w:t>
      </w:r>
      <w:r/>
    </w:p>
    <w:p>
      <w:pPr>
        <w:pStyle w:val="687"/>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87"/>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w:t>
      </w:r>
      <w:r>
        <w:rPr>
          <w:rFonts w:hint="eastAsia" w:ascii="宋体" w:hAnsi="宋体"/>
          <w:sz w:val="24"/>
          <w:szCs w:val="24"/>
        </w:rPr>
        <w:t xml:space="preserve">法律责任。</w:t>
      </w:r>
      <w:r/>
    </w:p>
    <w:p>
      <w:pPr>
        <w:pStyle w:val="687"/>
        <w:keepLines/>
        <w:keepNext/>
        <w:spacing w:before="145" w:after="145" w:line="520" w:lineRule="exact"/>
        <w:rPr>
          <w:rFonts w:hint="eastAsia" w:ascii="宋体" w:hAnsi="宋体"/>
          <w:b/>
          <w:bCs/>
          <w:sz w:val="32"/>
          <w:szCs w:val="32"/>
        </w:rPr>
        <w:outlineLvl w:val="2"/>
      </w:pPr>
      <w:r/>
      <w:bookmarkStart w:id="148" w:name="_Toc120614220"/>
      <w:r/>
      <w:bookmarkStart w:id="149" w:name="_Toc16938552"/>
      <w:r/>
      <w:bookmarkStart w:id="150" w:name="_Toc513029236"/>
      <w:r/>
      <w:bookmarkStart w:id="151" w:name="_Toc20823308"/>
      <w:r>
        <w:rPr>
          <w:rFonts w:hint="eastAsia" w:ascii="宋体" w:hAnsi="宋体"/>
          <w:b/>
          <w:bCs/>
          <w:sz w:val="32"/>
          <w:szCs w:val="32"/>
        </w:rPr>
        <w:t xml:space="preserve">七、授予合同</w:t>
      </w:r>
      <w:bookmarkEnd w:id="148"/>
      <w:r>
        <w:rPr>
          <w:rFonts w:hint="eastAsia" w:ascii="宋体" w:hAnsi="宋体"/>
          <w:b/>
          <w:bCs/>
          <w:sz w:val="32"/>
          <w:szCs w:val="32"/>
        </w:rPr>
      </w:r>
      <w:r/>
    </w:p>
    <w:p>
      <w:pPr>
        <w:pStyle w:val="687"/>
        <w:ind w:firstLine="600"/>
        <w:keepLines/>
        <w:keepNext/>
        <w:spacing w:line="520" w:lineRule="exact"/>
        <w:rPr>
          <w:rFonts w:ascii="宋体" w:hAnsi="宋体"/>
          <w:bCs/>
          <w:sz w:val="30"/>
          <w:szCs w:val="30"/>
        </w:rPr>
        <w:outlineLvl w:val="3"/>
      </w:pPr>
      <w:r/>
      <w:bookmarkEnd w:id="149"/>
      <w:r/>
      <w:bookmarkEnd w:id="150"/>
      <w:r/>
      <w:bookmarkEnd w:id="151"/>
      <w:r/>
      <w:bookmarkStart w:id="152" w:name="_Toc20823309"/>
      <w:r/>
      <w:bookmarkStart w:id="153" w:name="_Toc16938553"/>
      <w:r/>
      <w:bookmarkStart w:id="154" w:name="_Toc513029237"/>
      <w:r>
        <w:rPr>
          <w:rFonts w:hint="eastAsia" w:ascii="宋体" w:hAnsi="宋体"/>
          <w:bCs/>
          <w:sz w:val="30"/>
          <w:szCs w:val="30"/>
        </w:rPr>
        <w:t xml:space="preserve">31. 签订合同</w:t>
      </w:r>
      <w:r>
        <w:rPr>
          <w:rFonts w:ascii="宋体" w:hAnsi="宋体"/>
          <w:bCs/>
          <w:sz w:val="30"/>
          <w:szCs w:val="30"/>
        </w:rPr>
      </w:r>
      <w:r/>
    </w:p>
    <w:p>
      <w:pPr>
        <w:pStyle w:val="687"/>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87"/>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pStyle w:val="687"/>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pStyle w:val="687"/>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32、标的物的追加</w:t>
      </w:r>
      <w:r/>
    </w:p>
    <w:p>
      <w:pPr>
        <w:pStyle w:val="687"/>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w:t>
      </w:r>
      <w:r>
        <w:rPr>
          <w:rFonts w:hint="eastAsia" w:ascii="宋体" w:hAnsi="宋体"/>
          <w:sz w:val="24"/>
          <w:szCs w:val="24"/>
        </w:rPr>
        <w:t xml:space="preserve">的，在不改变合同其他条款的前提下，可以与成交供应商协商签订补充合同，但所有补充合同的采购金额不超过原合同金额10%。</w:t>
      </w:r>
      <w:r/>
    </w:p>
    <w:p>
      <w:pPr>
        <w:pStyle w:val="687"/>
        <w:ind w:firstLine="600"/>
        <w:keepLines/>
        <w:keepNext/>
        <w:spacing w:line="520" w:lineRule="exact"/>
        <w:rPr>
          <w:rFonts w:hint="eastAsia" w:ascii="宋体" w:hAnsi="宋体"/>
          <w:bCs/>
          <w:sz w:val="30"/>
          <w:szCs w:val="30"/>
        </w:rPr>
        <w:outlineLvl w:val="3"/>
      </w:pPr>
      <w:r/>
      <w:bookmarkEnd w:id="152"/>
      <w:r/>
      <w:bookmarkEnd w:id="153"/>
      <w:r/>
      <w:bookmarkEnd w:id="154"/>
      <w:r>
        <w:rPr>
          <w:rFonts w:hint="eastAsia" w:ascii="宋体" w:hAnsi="宋体"/>
          <w:bCs/>
          <w:sz w:val="30"/>
          <w:szCs w:val="30"/>
        </w:rPr>
        <w:t xml:space="preserve">33、政府采购履约资金扶持政策</w:t>
      </w:r>
      <w:r/>
    </w:p>
    <w:p>
      <w:pPr>
        <w:pStyle w:val="687"/>
        <w:ind w:firstLine="420"/>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ascii="宋体" w:hAnsi="宋体"/>
          <w:bCs/>
          <w:sz w:val="24"/>
          <w:szCs w:val="24"/>
        </w:rPr>
      </w:r>
      <w:r/>
    </w:p>
    <w:p>
      <w:pPr>
        <w:pStyle w:val="687"/>
        <w:spacing w:line="500" w:lineRule="exact"/>
        <w:rPr>
          <w:rFonts w:hint="eastAsia" w:ascii="宋体" w:hAnsi="宋体"/>
          <w:bCs/>
          <w:sz w:val="24"/>
          <w:szCs w:val="24"/>
        </w:rPr>
      </w:pPr>
      <w:r>
        <w:rPr>
          <w:rFonts w:hint="eastAsia" w:ascii="宋体" w:hAnsi="宋体"/>
          <w:bCs/>
          <w:sz w:val="24"/>
          <w:szCs w:val="24"/>
        </w:rPr>
      </w:r>
      <w:r/>
    </w:p>
    <w:p>
      <w:pPr>
        <w:pStyle w:val="687"/>
        <w:ind w:firstLine="420"/>
        <w:rPr>
          <w:rFonts w:hint="eastAsia" w:ascii="宋体" w:hAnsi="宋体"/>
          <w:szCs w:val="21"/>
        </w:rPr>
      </w:pPr>
      <w:r>
        <w:rPr>
          <w:rFonts w:hint="eastAsia" w:ascii="宋体" w:hAnsi="宋体"/>
          <w:szCs w:val="21"/>
        </w:rPr>
      </w:r>
      <w:r/>
    </w:p>
    <w:p>
      <w:pPr>
        <w:pStyle w:val="687"/>
        <w:spacing w:line="500" w:lineRule="exact"/>
        <w:rPr>
          <w:rFonts w:hint="eastAsia" w:ascii="宋体" w:hAnsi="宋体"/>
          <w:bCs/>
          <w:sz w:val="24"/>
          <w:szCs w:val="24"/>
        </w:rPr>
      </w:pPr>
      <w:r>
        <w:rPr>
          <w:rFonts w:hint="eastAsia" w:ascii="宋体" w:hAnsi="宋体"/>
          <w:bCs/>
          <w:sz w:val="24"/>
          <w:szCs w:val="24"/>
        </w:rPr>
      </w:r>
      <w:r/>
    </w:p>
    <w:p>
      <w:pPr>
        <w:pStyle w:val="687"/>
        <w:spacing w:line="500" w:lineRule="exact"/>
        <w:rPr>
          <w:rFonts w:ascii="宋体" w:hAnsi="宋体"/>
          <w:bCs/>
          <w:sz w:val="24"/>
          <w:szCs w:val="24"/>
        </w:rPr>
      </w:pPr>
      <w:r>
        <w:rPr>
          <w:rFonts w:ascii="宋体" w:hAnsi="宋体"/>
          <w:bCs/>
          <w:sz w:val="24"/>
          <w:szCs w:val="24"/>
        </w:rPr>
      </w:r>
      <w:r/>
    </w:p>
    <w:p>
      <w:pPr>
        <w:pStyle w:val="687"/>
        <w:spacing w:line="500" w:lineRule="exact"/>
        <w:rPr>
          <w:rFonts w:ascii="宋体" w:hAnsi="宋体"/>
          <w:bCs/>
          <w:sz w:val="24"/>
          <w:szCs w:val="24"/>
        </w:rPr>
      </w:pPr>
      <w:r>
        <w:rPr>
          <w:rFonts w:ascii="宋体" w:hAnsi="宋体"/>
          <w:bCs/>
          <w:sz w:val="24"/>
          <w:szCs w:val="24"/>
        </w:rPr>
      </w:r>
      <w:r/>
    </w:p>
    <w:p>
      <w:pPr>
        <w:pStyle w:val="687"/>
        <w:spacing w:line="500" w:lineRule="exact"/>
        <w:rPr>
          <w:rFonts w:hint="eastAsia" w:ascii="宋体" w:hAnsi="宋体"/>
          <w:bCs/>
          <w:sz w:val="24"/>
          <w:szCs w:val="24"/>
        </w:rPr>
      </w:pPr>
      <w:r>
        <w:rPr>
          <w:rFonts w:hint="eastAsia" w:ascii="宋体" w:hAnsi="宋体"/>
          <w:bCs/>
          <w:sz w:val="24"/>
          <w:szCs w:val="24"/>
        </w:rPr>
      </w:r>
      <w:r/>
    </w:p>
    <w:p>
      <w:pPr>
        <w:pStyle w:val="687"/>
        <w:ind w:firstLine="2640"/>
        <w:keepNext/>
        <w:rPr>
          <w:rFonts w:hint="eastAsia" w:ascii="宋体" w:hAnsi="宋体"/>
          <w:bCs/>
          <w:sz w:val="44"/>
          <w:szCs w:val="28"/>
        </w:rPr>
        <w:outlineLvl w:val="0"/>
      </w:pPr>
      <w:r>
        <w:rPr>
          <w:rFonts w:hint="eastAsia" w:ascii="宋体" w:hAnsi="宋体"/>
          <w:bCs/>
          <w:sz w:val="44"/>
          <w:szCs w:val="28"/>
        </w:rPr>
        <w:t xml:space="preserve">第三章  合同</w:t>
      </w:r>
      <w:bookmarkEnd w:id="34"/>
      <w:r/>
      <w:bookmarkEnd w:id="35"/>
      <w:r/>
      <w:bookmarkEnd w:id="36"/>
      <w:r/>
      <w:bookmarkEnd w:id="37"/>
      <w:r/>
      <w:bookmarkEnd w:id="38"/>
      <w:r>
        <w:rPr>
          <w:rFonts w:hint="eastAsia" w:ascii="宋体" w:hAnsi="宋体"/>
          <w:bCs/>
          <w:sz w:val="44"/>
          <w:szCs w:val="28"/>
        </w:rPr>
        <w:t xml:space="preserve">文本</w:t>
      </w:r>
      <w:r/>
    </w:p>
    <w:p>
      <w:pPr>
        <w:pStyle w:val="687"/>
        <w:ind w:firstLine="480"/>
        <w:spacing w:line="500" w:lineRule="exact"/>
        <w:rPr>
          <w:rFonts w:hint="eastAsia" w:ascii="宋体" w:hAnsi="宋体"/>
          <w:bCs/>
          <w:sz w:val="24"/>
          <w:szCs w:val="21"/>
        </w:rPr>
      </w:pPr>
      <w:r/>
      <w:bookmarkStart w:id="155" w:name="_Toc20823315"/>
      <w:r/>
      <w:bookmarkStart w:id="156" w:name="_Toc16938559"/>
      <w:r/>
      <w:bookmarkStart w:id="157" w:name="_Toc513029243"/>
      <w:r>
        <w:rPr>
          <w:rFonts w:hint="eastAsia" w:ascii="宋体" w:hAnsi="宋体"/>
          <w:bCs/>
          <w:sz w:val="24"/>
          <w:szCs w:val="21"/>
        </w:rPr>
        <w:t xml:space="preserve">以下为成交后签定本项目合同的通用条款，成交供应商不得提出实质性的修改。</w:t>
      </w:r>
      <w:r/>
    </w:p>
    <w:p>
      <w:pPr>
        <w:pStyle w:val="687"/>
        <w:rPr>
          <w:rFonts w:hint="eastAsia" w:ascii="宋体" w:hAnsi="宋体"/>
        </w:rPr>
      </w:pPr>
      <w:r>
        <w:rPr>
          <w:rFonts w:hint="eastAsia" w:ascii="宋体" w:hAnsi="宋体"/>
        </w:rPr>
      </w:r>
      <w:r/>
    </w:p>
    <w:p>
      <w:pPr>
        <w:pStyle w:val="687"/>
        <w:jc w:val="center"/>
        <w:rPr>
          <w:rFonts w:ascii="宋体" w:hAnsi="宋体"/>
          <w:b/>
          <w:bCs/>
          <w:sz w:val="32"/>
          <w:szCs w:val="28"/>
        </w:rPr>
      </w:pPr>
      <w:r>
        <w:rPr>
          <w:rFonts w:hint="eastAsia" w:ascii="宋体" w:hAnsi="宋体"/>
          <w:b/>
          <w:bCs/>
          <w:sz w:val="32"/>
          <w:szCs w:val="36"/>
        </w:rPr>
        <w:t xml:space="preserve">江苏省政府采购合同（合同编号）</w:t>
      </w:r>
      <w:r>
        <w:rPr>
          <w:rFonts w:ascii="宋体" w:hAnsi="宋体"/>
          <w:b/>
          <w:bCs/>
          <w:sz w:val="32"/>
          <w:szCs w:val="28"/>
        </w:rPr>
      </w:r>
      <w:r/>
    </w:p>
    <w:p>
      <w:pPr>
        <w:pStyle w:val="687"/>
        <w:spacing w:before="120" w:after="120"/>
        <w:rPr>
          <w:rFonts w:ascii="宋体" w:hAnsi="宋体" w:cs="Courier New"/>
          <w:sz w:val="24"/>
          <w:szCs w:val="24"/>
        </w:rPr>
      </w:pPr>
      <w:r>
        <w:rPr>
          <w:rFonts w:ascii="宋体" w:hAnsi="宋体" w:cs="Courier New"/>
          <w:sz w:val="24"/>
          <w:szCs w:val="24"/>
        </w:rPr>
        <w:t xml:space="preserve">项目名称：                                       项</w:t>
      </w:r>
      <w:r>
        <w:rPr>
          <w:rFonts w:ascii="宋体" w:hAnsi="宋体" w:cs="Courier New"/>
          <w:sz w:val="24"/>
          <w:szCs w:val="24"/>
        </w:rPr>
        <w:t xml:space="preserve">目编号：</w:t>
      </w:r>
      <w:r/>
    </w:p>
    <w:p>
      <w:pPr>
        <w:pStyle w:val="687"/>
        <w:spacing w:before="120" w:after="120"/>
        <w:rPr>
          <w:rFonts w:ascii="宋体" w:hAnsi="宋体" w:cs="Courier New"/>
          <w:sz w:val="24"/>
          <w:szCs w:val="24"/>
        </w:rPr>
      </w:pPr>
      <w:r>
        <w:rPr>
          <w:rFonts w:ascii="宋体" w:hAnsi="宋体" w:cs="Courier New"/>
          <w:sz w:val="24"/>
          <w:szCs w:val="24"/>
        </w:rPr>
        <w:t xml:space="preserve">甲方：（买方）_________</w:t>
      </w:r>
      <w:r/>
    </w:p>
    <w:p>
      <w:pPr>
        <w:pStyle w:val="687"/>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8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8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8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87"/>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68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8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8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8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87"/>
        <w:spacing w:before="120" w:after="120"/>
        <w:rPr>
          <w:rFonts w:ascii="宋体" w:hAnsi="宋体" w:cs="Courier New"/>
          <w:b/>
          <w:sz w:val="24"/>
          <w:szCs w:val="24"/>
        </w:rPr>
      </w:pPr>
      <w:r>
        <w:rPr>
          <w:rFonts w:ascii="宋体" w:hAnsi="宋体" w:cs="Courier New"/>
          <w:b/>
          <w:sz w:val="24"/>
          <w:szCs w:val="24"/>
        </w:rPr>
        <w:t xml:space="preserve">二、合同金额</w:t>
      </w:r>
      <w:r/>
    </w:p>
    <w:p>
      <w:pPr>
        <w:pStyle w:val="687"/>
        <w:ind w:left="410" w:hanging="410"/>
        <w:spacing w:before="120" w:after="120"/>
        <w:rPr>
          <w:rFonts w:hint="eastAsia" w:ascii="宋体" w:hAnsi="宋体" w:cs="Courier New"/>
          <w:sz w:val="24"/>
          <w:szCs w:val="24"/>
        </w:rPr>
      </w:pPr>
      <w:r>
        <w:rPr>
          <w:rFonts w:ascii="宋体" w:hAnsi="宋体" w:cs="Courier New"/>
          <w:sz w:val="24"/>
          <w:szCs w:val="24"/>
        </w:rPr>
        <w:t xml:space="preserve">2.1 </w:t>
      </w:r>
      <w:r>
        <w:rPr>
          <w:rFonts w:hint="eastAsia" w:ascii="宋体" w:hAnsi="宋体" w:cs="Courier New"/>
          <w:sz w:val="24"/>
          <w:szCs w:val="24"/>
        </w:rPr>
        <w:t xml:space="preserve">合同金额按此次成交金额执行：本合同总金额为人民</w:t>
      </w:r>
      <w:r>
        <w:rPr>
          <w:rFonts w:hint="eastAsia" w:ascii="宋体" w:hAnsi="宋体" w:cs="Courier New"/>
          <w:sz w:val="24"/>
          <w:szCs w:val="24"/>
          <w:u w:val="single"/>
        </w:rPr>
        <w:t xml:space="preserve">           </w:t>
      </w:r>
      <w:r>
        <w:rPr>
          <w:rFonts w:hint="eastAsia" w:ascii="宋体" w:hAnsi="宋体" w:cs="Courier New"/>
          <w:sz w:val="24"/>
          <w:szCs w:val="24"/>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pStyle w:val="769"/>
        <w:ind w:firstLine="480"/>
        <w:spacing w:line="360" w:lineRule="auto"/>
        <w:rPr>
          <w:rFonts w:hint="eastAsia" w:hAnsi="宋体" w:cs="宋体"/>
          <w:sz w:val="24"/>
          <w:szCs w:val="24"/>
        </w:rPr>
      </w:pPr>
      <w:r>
        <w:rPr>
          <w:rFonts w:hint="eastAsia" w:hAnsi="宋体" w:cs="宋体"/>
          <w:sz w:val="24"/>
          <w:szCs w:val="24"/>
        </w:rPr>
        <w:t xml:space="preserve">上述合同总价已包含乙方为完成本合同项下全部工作所需的一切费用，包括但不限于人工、开发、测试、</w:t>
      </w:r>
      <w:r>
        <w:rPr>
          <w:rFonts w:hint="eastAsia" w:hAnsi="宋体" w:cs="宋体"/>
          <w:sz w:val="24"/>
          <w:szCs w:val="24"/>
        </w:rPr>
        <w:t xml:space="preserve">修改、技术服务、软硬件材料、设备使用、交通差旅、会议、培训、保险、税金、利润，以及乙方日常运营所需的行政、管理、通讯等所有相关成本与费用，并已全面考虑了合同履行过程中的所有风险、责任及政策性费用。</w:t>
      </w:r>
      <w:r/>
    </w:p>
    <w:p>
      <w:pPr>
        <w:pStyle w:val="687"/>
        <w:ind w:left="412" w:hanging="412"/>
        <w:spacing w:before="120" w:after="120"/>
        <w:rPr>
          <w:rFonts w:ascii="宋体" w:hAnsi="宋体" w:cs="Courier New"/>
          <w:b/>
          <w:sz w:val="24"/>
          <w:szCs w:val="24"/>
        </w:rPr>
      </w:pPr>
      <w:r>
        <w:rPr>
          <w:rFonts w:ascii="宋体" w:hAnsi="宋体" w:cs="Courier New"/>
          <w:b/>
          <w:sz w:val="24"/>
          <w:szCs w:val="24"/>
        </w:rPr>
        <w:t xml:space="preserve">三、技术资料</w:t>
      </w:r>
      <w:r/>
    </w:p>
    <w:p>
      <w:pPr>
        <w:pStyle w:val="68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8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w:t>
      </w:r>
      <w:r>
        <w:rPr>
          <w:rFonts w:ascii="宋体" w:hAnsi="宋体" w:cs="Courier New"/>
          <w:sz w:val="24"/>
          <w:szCs w:val="24"/>
        </w:rPr>
        <w:t xml:space="preserve">并限于履行合同的必需范围。</w:t>
      </w:r>
      <w:r/>
    </w:p>
    <w:p>
      <w:pPr>
        <w:pStyle w:val="68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8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719"/>
        <w:rPr>
          <w:rFonts w:ascii="宋体" w:hAnsi="宋体" w:eastAsia="宋体" w:cs="宋体"/>
          <w:bCs/>
          <w:sz w:val="24"/>
          <w:szCs w:val="24"/>
        </w:rPr>
      </w:pPr>
      <w:r>
        <w:rPr>
          <w:rFonts w:hint="eastAsia" w:ascii="宋体" w:hAnsi="宋体" w:eastAsia="宋体" w:cs="Courier New"/>
          <w:sz w:val="24"/>
          <w:szCs w:val="24"/>
        </w:rPr>
        <w:t xml:space="preserve">4.2</w:t>
      </w:r>
      <w:r>
        <w:rPr>
          <w:rFonts w:hint="eastAsia" w:ascii="宋体" w:hAnsi="宋体" w:eastAsia="宋体" w:cs="宋体"/>
          <w:bCs/>
          <w:sz w:val="24"/>
          <w:szCs w:val="24"/>
        </w:rPr>
        <w:t xml:space="preserve">系统建设应满足适配主流国产化环境的要求（参照中国信息安全测评中心安全可靠测评名单  http://www.itsec.gov.cn/aqkkcp/），在甲方提供国产化环境后，无条件进行系统迁移。</w:t>
      </w:r>
      <w:r>
        <w:rPr>
          <w:rFonts w:ascii="宋体" w:hAnsi="宋体" w:eastAsia="宋体" w:cs="宋体"/>
          <w:bCs/>
          <w:sz w:val="24"/>
          <w:szCs w:val="24"/>
        </w:rPr>
      </w:r>
      <w:r/>
    </w:p>
    <w:p>
      <w:pPr>
        <w:pStyle w:val="768"/>
        <w:ind w:firstLine="0"/>
        <w:rPr>
          <w:rFonts w:ascii="宋体" w:hAnsi="宋体"/>
          <w:lang w:val="en-US"/>
        </w:rPr>
      </w:pPr>
      <w:r>
        <w:rPr>
          <w:rFonts w:ascii="宋体" w:hAnsi="宋体"/>
          <w:lang w:val="en-US"/>
        </w:rPr>
      </w:r>
      <w:r/>
    </w:p>
    <w:p>
      <w:pPr>
        <w:pStyle w:val="68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8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87"/>
        <w:ind w:left="410" w:hanging="410"/>
        <w:spacing w:before="120" w:after="120"/>
        <w:rPr>
          <w:rFonts w:ascii="宋体" w:hAnsi="宋体" w:cs="Courier New"/>
          <w:b/>
          <w:sz w:val="24"/>
          <w:szCs w:val="24"/>
        </w:rPr>
      </w:pPr>
      <w:r>
        <w:rPr>
          <w:rFonts w:ascii="宋体" w:hAnsi="宋体" w:cs="Courier New"/>
          <w:b/>
          <w:sz w:val="24"/>
          <w:szCs w:val="24"/>
        </w:rPr>
        <w:t xml:space="preserve">六、履约保证</w:t>
      </w:r>
      <w:r>
        <w:rPr>
          <w:rFonts w:ascii="宋体" w:hAnsi="宋体" w:cs="Courier New"/>
          <w:b/>
          <w:sz w:val="24"/>
          <w:szCs w:val="24"/>
        </w:rPr>
        <w:t xml:space="preserve">金</w:t>
      </w:r>
      <w:r/>
    </w:p>
    <w:p>
      <w:pPr>
        <w:pStyle w:val="687"/>
        <w:spacing w:before="120" w:after="120"/>
        <w:rPr>
          <w:rFonts w:ascii="宋体" w:hAnsi="宋体"/>
          <w:bCs/>
          <w:sz w:val="24"/>
          <w:szCs w:val="24"/>
        </w:rPr>
      </w:pPr>
      <w:r>
        <w:rPr>
          <w:rFonts w:hint="eastAsia" w:ascii="宋体" w:hAnsi="宋体"/>
          <w:bCs/>
          <w:sz w:val="24"/>
          <w:szCs w:val="24"/>
        </w:rPr>
        <w:t xml:space="preserve">6.1 本合同无履约保证金要求</w:t>
      </w:r>
      <w:r>
        <w:rPr>
          <w:rFonts w:ascii="宋体" w:hAnsi="宋体"/>
          <w:bCs/>
          <w:sz w:val="24"/>
          <w:szCs w:val="24"/>
        </w:rPr>
      </w:r>
      <w:r/>
    </w:p>
    <w:p>
      <w:pPr>
        <w:pStyle w:val="687"/>
        <w:spacing w:before="120" w:after="120"/>
        <w:rPr>
          <w:rFonts w:ascii="宋体" w:hAnsi="宋体"/>
          <w:b/>
          <w:sz w:val="24"/>
          <w:szCs w:val="24"/>
        </w:rPr>
      </w:pPr>
      <w:r>
        <w:rPr>
          <w:rFonts w:hint="eastAsia" w:ascii="宋体" w:hAnsi="宋体"/>
          <w:b/>
          <w:sz w:val="24"/>
          <w:szCs w:val="24"/>
        </w:rPr>
        <w:t xml:space="preserve">七、合同转包或分包</w:t>
      </w:r>
      <w:r>
        <w:rPr>
          <w:rFonts w:ascii="宋体" w:hAnsi="宋体"/>
          <w:b/>
          <w:sz w:val="24"/>
          <w:szCs w:val="24"/>
        </w:rPr>
      </w:r>
      <w:r/>
    </w:p>
    <w:p>
      <w:pPr>
        <w:pStyle w:val="687"/>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687"/>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87"/>
        <w:spacing w:before="120" w:after="120"/>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sz w:val="24"/>
          <w:szCs w:val="24"/>
        </w:rPr>
      </w:r>
      <w:r/>
    </w:p>
    <w:p>
      <w:pPr>
        <w:pStyle w:val="68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87"/>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87"/>
        <w:spacing w:before="120" w:after="120"/>
        <w:rPr>
          <w:rFonts w:hint="eastAsia" w:ascii="宋体" w:hAnsi="宋体" w:cs="Courier New"/>
          <w:bCs/>
          <w:sz w:val="24"/>
          <w:szCs w:val="24"/>
        </w:rPr>
      </w:pPr>
      <w:r>
        <w:rPr>
          <w:rFonts w:hint="eastAsia" w:ascii="宋体" w:hAnsi="宋体" w:cs="Courier New"/>
          <w:bCs/>
          <w:sz w:val="24"/>
          <w:szCs w:val="24"/>
        </w:rPr>
        <w:t xml:space="preserve">8.1.1 预付款  </w:t>
      </w:r>
      <w:r/>
    </w:p>
    <w:p>
      <w:pPr>
        <w:pStyle w:val="687"/>
        <w:spacing w:after="145" w:line="520" w:lineRule="exact"/>
        <w:tabs>
          <w:tab w:val="left" w:pos="900" w:leader="none"/>
        </w:tabs>
        <w:rPr>
          <w:rFonts w:hint="eastAsia" w:ascii="宋体" w:hAnsi="宋体"/>
          <w:sz w:val="24"/>
          <w:szCs w:val="24"/>
        </w:rPr>
      </w:pPr>
      <w:r>
        <w:rPr>
          <w:rFonts w:hint="eastAsia" w:ascii="宋体" w:hAnsi="宋体" w:cs="Courier New"/>
          <w:bCs/>
          <w:sz w:val="24"/>
          <w:szCs w:val="24"/>
        </w:rPr>
        <w:t xml:space="preserve">8.1.2 进度款  </w:t>
      </w:r>
      <w:r>
        <w:rPr>
          <w:rFonts w:hint="eastAsia" w:ascii="宋体" w:hAnsi="宋体"/>
          <w:sz w:val="24"/>
          <w:szCs w:val="24"/>
        </w:rPr>
      </w:r>
      <w:r/>
    </w:p>
    <w:p>
      <w:pPr>
        <w:pStyle w:val="687"/>
        <w:spacing w:before="120" w:after="120"/>
        <w:rPr>
          <w:rFonts w:ascii="宋体" w:hAnsi="宋体"/>
          <w:b/>
          <w:sz w:val="24"/>
          <w:szCs w:val="24"/>
        </w:rPr>
      </w:pPr>
      <w:r>
        <w:rPr>
          <w:rFonts w:hint="eastAsia" w:ascii="宋体" w:hAnsi="宋体" w:cs="Courier New"/>
          <w:bCs/>
          <w:sz w:val="24"/>
          <w:szCs w:val="24"/>
        </w:rPr>
        <w:t xml:space="preserve">8.1.3 尾款  </w:t>
      </w:r>
      <w:r>
        <w:rPr>
          <w:rFonts w:ascii="宋体" w:hAnsi="宋体"/>
          <w:b/>
          <w:sz w:val="24"/>
          <w:szCs w:val="24"/>
        </w:rPr>
      </w:r>
      <w:r/>
    </w:p>
    <w:p>
      <w:pPr>
        <w:pStyle w:val="687"/>
        <w:spacing w:before="120" w:after="120"/>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sz w:val="24"/>
          <w:szCs w:val="24"/>
        </w:rPr>
      </w:r>
      <w:r/>
    </w:p>
    <w:p>
      <w:pPr>
        <w:pStyle w:val="68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8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8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w:t>
      </w:r>
      <w:r>
        <w:rPr>
          <w:rFonts w:hint="eastAsia" w:ascii="宋体" w:hAnsi="宋体" w:cs="Courier New"/>
          <w:sz w:val="24"/>
          <w:szCs w:val="24"/>
        </w:rPr>
        <w:t xml:space="preserve">、方式、程序等内容，并可根据项目特点对服务期内的服务实施情况进行分期考核，综合考核情况和服务效果进行验收。乙方应根据验收方案内容做好相应配合工作。</w:t>
      </w:r>
      <w:r/>
    </w:p>
    <w:p>
      <w:pPr>
        <w:pStyle w:val="68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8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8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7"/>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8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8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1</w:t>
      </w:r>
      <w:r>
        <w:rPr>
          <w:rFonts w:ascii="宋体" w:hAnsi="宋体" w:cs="Courier New"/>
          <w:sz w:val="24"/>
          <w:szCs w:val="24"/>
        </w:rPr>
        <w:t xml:space="preserve">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w:t>
      </w:r>
      <w:r>
        <w:rPr>
          <w:rFonts w:ascii="宋体" w:hAnsi="宋体" w:cs="Courier New"/>
          <w:sz w:val="24"/>
          <w:szCs w:val="24"/>
        </w:rPr>
        <w:t xml:space="preserve">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pStyle w:val="68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2</w:t>
      </w:r>
      <w:r>
        <w:rPr>
          <w:rFonts w:ascii="宋体" w:hAnsi="宋体" w:cs="Courier New"/>
          <w:sz w:val="24"/>
          <w:szCs w:val="24"/>
        </w:rPr>
        <w:t xml:space="preserve">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8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8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8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8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8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8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87"/>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769"/>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pStyle w:val="687"/>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pStyle w:val="687"/>
        <w:spacing w:before="120" w:after="120"/>
        <w:rPr>
          <w:rFonts w:ascii="宋体" w:hAnsi="宋体" w:cs="Courier New"/>
          <w:sz w:val="24"/>
          <w:szCs w:val="24"/>
        </w:rPr>
      </w:pPr>
      <w:r>
        <w:rPr>
          <w:rFonts w:ascii="宋体" w:hAnsi="宋体" w:cs="Courier New"/>
          <w:sz w:val="24"/>
          <w:szCs w:val="24"/>
        </w:rPr>
        <w:t xml:space="preserve">14.1.1双方的技术情报</w:t>
      </w:r>
      <w:r>
        <w:rPr>
          <w:rFonts w:ascii="宋体" w:hAnsi="宋体" w:cs="Courier New"/>
          <w:sz w:val="24"/>
          <w:szCs w:val="24"/>
        </w:rPr>
        <w:t xml:space="preserve">、资料数据、商业秘密及所能接触到的任何信息。</w:t>
      </w:r>
      <w:r/>
    </w:p>
    <w:p>
      <w:pPr>
        <w:pStyle w:val="687"/>
        <w:spacing w:before="120" w:after="120"/>
        <w:rPr>
          <w:rFonts w:ascii="宋体" w:hAnsi="宋体" w:cs="Courier New"/>
          <w:sz w:val="24"/>
          <w:szCs w:val="24"/>
        </w:rPr>
      </w:pPr>
      <w:r>
        <w:rPr>
          <w:rFonts w:ascii="宋体" w:hAnsi="宋体" w:cs="Courier New"/>
          <w:sz w:val="24"/>
          <w:szCs w:val="24"/>
        </w:rPr>
        <w:t xml:space="preserve">14.2双方权利和义务</w:t>
      </w:r>
      <w:r/>
    </w:p>
    <w:p>
      <w:pPr>
        <w:pStyle w:val="687"/>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pStyle w:val="687"/>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pStyle w:val="687"/>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pStyle w:val="687"/>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pStyle w:val="687"/>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pStyle w:val="687"/>
        <w:spacing w:before="120" w:after="120"/>
        <w:rPr>
          <w:rFonts w:ascii="宋体" w:hAnsi="宋体" w:cs="Courier New"/>
          <w:sz w:val="24"/>
          <w:szCs w:val="24"/>
        </w:rPr>
      </w:pPr>
      <w:r>
        <w:rPr>
          <w:rFonts w:ascii="宋体" w:hAnsi="宋体" w:cs="Courier New"/>
          <w:sz w:val="24"/>
          <w:szCs w:val="24"/>
        </w:rPr>
        <w:t xml:space="preserve">14.3信息安全保密期限</w:t>
      </w:r>
      <w:r/>
    </w:p>
    <w:p>
      <w:pPr>
        <w:pStyle w:val="687"/>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pStyle w:val="687"/>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pStyle w:val="687"/>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pStyle w:val="68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pStyle w:val="68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8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8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w:t>
      </w:r>
      <w:r>
        <w:rPr>
          <w:rFonts w:ascii="宋体" w:hAnsi="宋体" w:cs="Courier New"/>
          <w:sz w:val="24"/>
          <w:szCs w:val="24"/>
        </w:rPr>
        <w:t xml:space="preserve">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68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8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8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87"/>
        <w:ind w:firstLine="240"/>
        <w:spacing w:before="120" w:after="120" w:line="0" w:lineRule="atLeast"/>
        <w:rPr>
          <w:rFonts w:hint="eastAsia" w:ascii="宋体" w:hAnsi="宋体" w:cs="Courier New"/>
          <w:szCs w:val="21"/>
        </w:rPr>
      </w:pPr>
      <w:r>
        <w:rPr>
          <w:rFonts w:hint="eastAsia" w:ascii="宋体" w:hAnsi="宋体" w:cs="Courier New"/>
          <w:sz w:val="24"/>
          <w:szCs w:val="24"/>
        </w:rPr>
        <w:t xml:space="preserve">联系电话：                    联系电话：          </w:t>
      </w:r>
      <w:r>
        <w:rPr>
          <w:rFonts w:hint="eastAsia" w:ascii="宋体" w:hAnsi="宋体" w:cs="Courier New"/>
          <w:szCs w:val="21"/>
        </w:rPr>
      </w:r>
      <w:r/>
    </w:p>
    <w:p>
      <w:pPr>
        <w:pStyle w:val="687"/>
        <w:ind w:firstLine="420"/>
        <w:spacing w:line="500" w:lineRule="exact"/>
        <w:rPr>
          <w:rFonts w:hint="eastAsia" w:ascii="宋体" w:hAnsi="宋体"/>
          <w:bCs/>
          <w:sz w:val="24"/>
          <w:szCs w:val="21"/>
        </w:rPr>
      </w:pPr>
      <w:r>
        <w:rPr>
          <w:rFonts w:hint="eastAsia" w:ascii="宋体" w:hAnsi="宋体"/>
          <w:szCs w:val="21"/>
        </w:rPr>
        <w:t xml:space="preserve">                                          </w:t>
      </w:r>
      <w:r>
        <w:rPr>
          <w:rFonts w:ascii="宋体" w:hAnsi="宋体"/>
          <w:szCs w:val="21"/>
        </w:rPr>
        <w:t xml:space="preserve">签订日期：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rPr>
          <w:rFonts w:hint="eastAsia" w:ascii="宋体" w:hAnsi="宋体"/>
          <w:bCs/>
          <w:sz w:val="24"/>
          <w:szCs w:val="21"/>
        </w:rPr>
      </w:r>
      <w:r/>
    </w:p>
    <w:p>
      <w:pPr>
        <w:pStyle w:val="687"/>
        <w:jc w:val="center"/>
        <w:spacing w:before="120" w:after="120" w:line="0" w:lineRule="atLeast"/>
        <w:rPr>
          <w:rFonts w:ascii="宋体" w:hAnsi="宋体" w:cs="Courier New"/>
          <w:bCs/>
          <w:sz w:val="44"/>
          <w:szCs w:val="21"/>
        </w:rPr>
      </w:pPr>
      <w:r/>
      <w:bookmarkEnd w:id="155"/>
      <w:r/>
      <w:bookmarkEnd w:id="156"/>
      <w:r/>
      <w:bookmarkEnd w:id="157"/>
      <w:r/>
      <w:bookmarkStart w:id="158" w:name="_Hlt16619369"/>
      <w:r/>
      <w:bookmarkEnd w:id="158"/>
      <w:r/>
      <w:bookmarkStart w:id="159" w:name="_Hlt16619350"/>
      <w:r/>
      <w:bookmarkStart w:id="160" w:name="_Toc120614244"/>
      <w:r/>
      <w:bookmarkStart w:id="161" w:name="_Toc16938590"/>
      <w:r/>
      <w:bookmarkStart w:id="162" w:name="_Toc20823346"/>
      <w:r/>
      <w:bookmarkStart w:id="163" w:name="_Toc479757211"/>
      <w:r/>
      <w:bookmarkStart w:id="164" w:name="_Toc462564139"/>
      <w:r>
        <w:rPr>
          <w:rFonts w:ascii="宋体" w:hAnsi="宋体" w:cs="Courier New"/>
          <w:bCs/>
          <w:sz w:val="44"/>
          <w:szCs w:val="21"/>
        </w:rPr>
      </w:r>
      <w:r/>
    </w:p>
    <w:p>
      <w:pPr>
        <w:pStyle w:val="687"/>
        <w:spacing w:line="500" w:lineRule="exact"/>
        <w:rPr>
          <w:rFonts w:ascii="宋体" w:hAnsi="宋体"/>
          <w:b/>
          <w:bCs/>
          <w:szCs w:val="21"/>
        </w:rPr>
      </w:pPr>
      <w:r>
        <w:rPr>
          <w:rFonts w:hint="eastAsia" w:ascii="宋体" w:hAnsi="宋体"/>
          <w:b/>
          <w:bCs/>
          <w:szCs w:val="21"/>
        </w:rPr>
        <w:t xml:space="preserve">合同附件：</w:t>
      </w:r>
      <w:r>
        <w:rPr>
          <w:rFonts w:ascii="宋体" w:hAnsi="宋体"/>
          <w:b/>
          <w:bCs/>
          <w:szCs w:val="21"/>
        </w:rPr>
      </w:r>
      <w:r/>
    </w:p>
    <w:p>
      <w:pPr>
        <w:pStyle w:val="687"/>
        <w:rPr>
          <w:rFonts w:hint="eastAsia" w:ascii="宋体" w:hAnsi="宋体"/>
        </w:rPr>
      </w:pPr>
      <w:r>
        <w:rPr>
          <w:rFonts w:hint="eastAsia" w:ascii="宋体" w:hAnsi="宋体"/>
        </w:rPr>
      </w:r>
      <w:r/>
    </w:p>
    <w:p>
      <w:pPr>
        <w:pStyle w:val="811"/>
        <w:ind w:firstLine="199"/>
        <w:jc w:val="center"/>
        <w:rPr>
          <w:b/>
          <w:bCs/>
          <w:sz w:val="32"/>
          <w:szCs w:val="28"/>
        </w:rPr>
      </w:pPr>
      <w:r>
        <w:rPr>
          <w:rFonts w:hint="eastAsia"/>
          <w:b/>
          <w:bCs/>
          <w:sz w:val="32"/>
          <w:szCs w:val="28"/>
        </w:rPr>
        <w:t xml:space="preserve">验收方案</w:t>
      </w:r>
      <w:r>
        <w:rPr>
          <w:b/>
          <w:bCs/>
          <w:sz w:val="32"/>
          <w:szCs w:val="28"/>
        </w:rPr>
      </w:r>
      <w:r/>
    </w:p>
    <w:p>
      <w:pPr>
        <w:pStyle w:val="687"/>
        <w:rPr>
          <w:rFonts w:hint="eastAsia" w:ascii="宋体" w:hAnsi="宋体"/>
        </w:rPr>
      </w:pPr>
      <w:r>
        <w:rPr>
          <w:rFonts w:hint="eastAsia" w:ascii="宋体" w:hAnsi="宋体"/>
        </w:rPr>
      </w:r>
      <w:r/>
    </w:p>
    <w:p>
      <w:pPr>
        <w:pStyle w:val="687"/>
        <w:spacing w:line="360"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、验收单位</w:t>
      </w:r>
      <w:r>
        <w:rPr>
          <w:rFonts w:hint="eastAsia" w:ascii="宋体" w:hAnsi="宋体"/>
          <w:b/>
          <w:bCs/>
          <w:sz w:val="24"/>
          <w:szCs w:val="24"/>
        </w:rPr>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苏州市吴江区数据局(具体人员另行安排</w:t>
      </w:r>
      <w:r>
        <w:rPr>
          <w:rFonts w:hint="eastAsia" w:ascii="宋体" w:hAnsi="宋体" w:cs="宋体"/>
          <w:sz w:val="24"/>
          <w:szCs w:val="24"/>
        </w:rPr>
        <w:t xml:space="preserve">)</w:t>
      </w:r>
      <w:r/>
    </w:p>
    <w:p>
      <w:pPr>
        <w:pStyle w:val="687"/>
        <w:spacing w:line="360" w:lineRule="auto"/>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、验收时间</w:t>
      </w:r>
      <w:r>
        <w:rPr>
          <w:rFonts w:hint="eastAsia" w:ascii="宋体" w:hAnsi="宋体"/>
          <w:b/>
          <w:bCs/>
          <w:sz w:val="24"/>
          <w:szCs w:val="24"/>
        </w:rPr>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具体验收时间另行通知</w:t>
      </w:r>
      <w:r/>
    </w:p>
    <w:p>
      <w:pPr>
        <w:pStyle w:val="687"/>
        <w:spacing w:line="360" w:lineRule="auto"/>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、验收依据</w:t>
      </w:r>
      <w:r>
        <w:rPr>
          <w:rFonts w:hint="eastAsia" w:ascii="宋体" w:hAnsi="宋体"/>
          <w:b/>
          <w:bCs/>
          <w:sz w:val="24"/>
          <w:szCs w:val="24"/>
        </w:rPr>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验收依据为本项目中标单位提供的服务（项目过程中依据项目需求，开发建设的软件系统平台。本投标文件提交的各技术方案以及招标文件的采购需求也是验收的依据之一)。</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具体依据如下:</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1)本项目招、投标书的所有文件，尤其是项目采购需求部分;</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2)确认收到的验收提交文档资料情况。</w:t>
      </w:r>
      <w:r/>
    </w:p>
    <w:p>
      <w:pPr>
        <w:pStyle w:val="687"/>
        <w:spacing w:line="360" w:lineRule="auto"/>
        <w:rPr>
          <w:rFonts w:hint="eastAsia"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、验收内容和标准</w:t>
      </w:r>
      <w:r>
        <w:rPr>
          <w:rFonts w:hint="eastAsia" w:ascii="宋体" w:hAnsi="宋体"/>
          <w:b/>
          <w:bCs/>
          <w:sz w:val="24"/>
          <w:szCs w:val="24"/>
        </w:rPr>
      </w:r>
      <w:r/>
    </w:p>
    <w:p>
      <w:pPr>
        <w:pStyle w:val="687"/>
        <w:spacing w:line="360" w:lineRule="auto"/>
        <w:rPr>
          <w:rFonts w:hint="eastAsia" w:ascii="宋体" w:hAnsi="宋体" w:cs="宋体"/>
          <w:sz w:val="24"/>
          <w:szCs w:val="24"/>
        </w:rPr>
      </w:pPr>
      <w:r>
        <w:rPr>
          <w:rFonts w:hint="eastAsia" w:ascii="宋体" w:hAnsi="宋体" w:cs="宋体"/>
          <w:sz w:val="24"/>
          <w:szCs w:val="24"/>
        </w:rPr>
        <w:t xml:space="preserve">4.1、验收相关标准</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根据项目具体的采购需求制定。验收内容一般包括资料评审、质量鉴定两部分。</w:t>
      </w:r>
      <w:r/>
    </w:p>
    <w:p>
      <w:pPr>
        <w:pStyle w:val="687"/>
        <w:spacing w:line="360" w:lineRule="auto"/>
        <w:rPr>
          <w:rFonts w:hint="eastAsia" w:ascii="宋体" w:hAnsi="宋体" w:cs="宋体"/>
          <w:sz w:val="24"/>
          <w:szCs w:val="24"/>
        </w:rPr>
      </w:pPr>
      <w:r>
        <w:rPr>
          <w:rFonts w:hint="eastAsia" w:ascii="宋体" w:hAnsi="宋体" w:cs="宋体"/>
          <w:sz w:val="24"/>
          <w:szCs w:val="24"/>
        </w:rPr>
        <w:t xml:space="preserve">4.2、需要验收的内容</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验收内容工作主要包括:按项目采购需</w:t>
      </w:r>
      <w:r>
        <w:rPr>
          <w:rFonts w:hint="eastAsia" w:ascii="宋体" w:hAnsi="宋体" w:cs="宋体"/>
          <w:sz w:val="24"/>
          <w:szCs w:val="24"/>
        </w:rPr>
        <w:t xml:space="preserve">求的服务能力，生成的各项服务阶段性交付文档。文档验收标准一般包括:文档完备性、内容针对性、内容充分性、内容一致性、文字明确性、图表详实性、易读性等。</w:t>
      </w:r>
      <w:r/>
    </w:p>
    <w:p>
      <w:pPr>
        <w:pStyle w:val="687"/>
        <w:spacing w:line="360" w:lineRule="auto"/>
        <w:rPr>
          <w:rFonts w:hint="eastAsia" w:ascii="宋体" w:hAnsi="宋体" w:cs="宋体"/>
          <w:sz w:val="24"/>
          <w:szCs w:val="24"/>
        </w:rPr>
      </w:pPr>
      <w:r>
        <w:rPr>
          <w:rFonts w:hint="eastAsia" w:ascii="宋体" w:hAnsi="宋体" w:cs="宋体"/>
          <w:sz w:val="24"/>
          <w:szCs w:val="24"/>
        </w:rPr>
        <w:t xml:space="preserve">5、验收结论</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由验收小组根据验收情况和相关资料得出结论，并进行确认签字。验收结果分为:验收合格和验收不合格两种情况。</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1.验收合格情况</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符合项目服务标准、任务按期保质完成，视为验收合格。</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2.验收不合格情况</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1)未按项目指标或合同要求达到所预定的指标的。</w:t>
      </w:r>
      <w:r/>
    </w:p>
    <w:p>
      <w:pPr>
        <w:pStyle w:val="687"/>
        <w:ind w:firstLine="480"/>
        <w:spacing w:line="360" w:lineRule="auto"/>
        <w:rPr>
          <w:rFonts w:hint="eastAsia" w:ascii="宋体" w:hAnsi="宋体" w:cs="宋体"/>
          <w:sz w:val="24"/>
          <w:szCs w:val="24"/>
        </w:rPr>
      </w:pPr>
      <w:r>
        <w:rPr>
          <w:rFonts w:hint="eastAsia" w:ascii="宋体" w:hAnsi="宋体" w:cs="宋体"/>
          <w:sz w:val="24"/>
          <w:szCs w:val="24"/>
        </w:rPr>
        <w:t xml:space="preserve">2)所提供材料不齐全或不真实的。</w:t>
      </w:r>
      <w:r/>
    </w:p>
    <w:p>
      <w:pPr>
        <w:pStyle w:val="766"/>
        <w:ind w:left="0" w:firstLine="0"/>
        <w:rPr>
          <w:rFonts w:eastAsia="宋体"/>
        </w:rPr>
      </w:pPr>
      <w:r>
        <w:rPr>
          <w:rFonts w:eastAsia="宋体"/>
        </w:rPr>
      </w:r>
      <w:r/>
    </w:p>
    <w:p>
      <w:pPr>
        <w:pStyle w:val="687"/>
        <w:ind w:firstLine="440"/>
        <w:spacing w:line="480" w:lineRule="auto"/>
        <w:rPr>
          <w:rFonts w:ascii="宋体" w:hAnsi="宋体"/>
          <w:sz w:val="22"/>
          <w:szCs w:val="24"/>
        </w:rPr>
      </w:pPr>
      <w:r>
        <w:rPr>
          <w:rFonts w:ascii="宋体" w:hAnsi="宋体"/>
          <w:sz w:val="22"/>
          <w:szCs w:val="24"/>
        </w:rPr>
      </w:r>
      <w:r/>
    </w:p>
    <w:p>
      <w:pPr>
        <w:pStyle w:val="687"/>
        <w:ind w:firstLine="440"/>
        <w:spacing w:line="480" w:lineRule="auto"/>
        <w:rPr>
          <w:rFonts w:hint="eastAsia" w:ascii="宋体" w:hAnsi="宋体"/>
          <w:sz w:val="22"/>
          <w:szCs w:val="24"/>
        </w:rPr>
      </w:pPr>
      <w:r>
        <w:rPr>
          <w:rFonts w:hint="eastAsia" w:ascii="宋体" w:hAnsi="宋体"/>
          <w:sz w:val="22"/>
          <w:szCs w:val="24"/>
        </w:rPr>
      </w:r>
      <w:r/>
    </w:p>
    <w:p>
      <w:pPr>
        <w:pStyle w:val="688"/>
        <w:rPr>
          <w:rFonts w:ascii="宋体" w:hAnsi="宋体" w:eastAsia="宋体"/>
          <w:b/>
          <w:bCs/>
          <w:sz w:val="40"/>
        </w:rPr>
      </w:pPr>
      <w:r>
        <w:rPr>
          <w:sz w:val="24"/>
          <w:szCs w:val="24"/>
        </w:rPr>
        <w:br w:type="page" w:clear="all"/>
      </w:r>
      <w:r>
        <w:rPr>
          <w:rFonts w:hint="eastAsia" w:ascii="宋体" w:hAnsi="宋体" w:eastAsia="宋体"/>
          <w:b/>
          <w:bCs/>
          <w:sz w:val="40"/>
          <w:szCs w:val="40"/>
        </w:rPr>
        <w:t xml:space="preserve">第四章  </w:t>
      </w:r>
      <w:bookmarkEnd w:id="159"/>
      <w:r>
        <w:rPr>
          <w:rFonts w:hint="eastAsia" w:ascii="宋体" w:hAnsi="宋体" w:eastAsia="宋体"/>
          <w:b/>
          <w:bCs/>
          <w:sz w:val="40"/>
        </w:rPr>
        <w:t xml:space="preserve">采购需求</w:t>
      </w:r>
      <w:bookmarkEnd w:id="160"/>
      <w:r/>
      <w:bookmarkEnd w:id="161"/>
      <w:r/>
      <w:bookmarkEnd w:id="162"/>
      <w:r/>
      <w:bookmarkStart w:id="165" w:name="_Toc26554093"/>
      <w:r/>
      <w:bookmarkStart w:id="166" w:name="_Toc49090575"/>
      <w:r>
        <w:rPr>
          <w:rFonts w:ascii="宋体" w:hAnsi="宋体" w:eastAsia="宋体"/>
          <w:b/>
          <w:bCs/>
          <w:sz w:val="40"/>
        </w:rPr>
      </w:r>
      <w:r/>
    </w:p>
    <w:p>
      <w:pPr>
        <w:pStyle w:val="766"/>
        <w:ind w:left="0" w:firstLine="0"/>
        <w:rPr>
          <w:rFonts w:hint="eastAsia" w:eastAsia="宋体"/>
        </w:rPr>
      </w:pPr>
      <w:r>
        <w:rPr>
          <w:rFonts w:hint="eastAsia" w:eastAsia="宋体"/>
        </w:rPr>
        <w:t xml:space="preserve">1、采购需求</w:t>
      </w:r>
      <w:r/>
    </w:p>
    <w:p>
      <w:pPr>
        <w:pStyle w:val="687"/>
        <w:numPr>
          <w:ilvl w:val="1"/>
          <w:numId w:val="5"/>
        </w:num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数据指标中心</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数据多源接入</w:t>
      </w:r>
      <w:r/>
    </w:p>
    <w:p>
      <w:pPr>
        <w:pStyle w:val="687"/>
        <w:ind w:firstLine="420"/>
        <w:jc w:val="left"/>
        <w:spacing w:line="360" w:lineRule="auto"/>
        <w:widowControl/>
        <w:tabs>
          <w:tab w:val="left" w:pos="2870" w:leader="none"/>
        </w:tabs>
        <w:rPr>
          <w:rFonts w:ascii="宋体" w:hAnsi="宋体" w:cs="宋体"/>
          <w:bCs/>
          <w:szCs w:val="21"/>
        </w:rPr>
      </w:pPr>
      <w:r>
        <w:rPr>
          <w:rFonts w:hint="eastAsia" w:ascii="宋体" w:hAnsi="宋体" w:cs="宋体"/>
          <w:bCs/>
          <w:szCs w:val="21"/>
        </w:rPr>
        <w:t xml:space="preserve">数据</w:t>
      </w:r>
      <w:r>
        <w:rPr>
          <w:rFonts w:hint="eastAsia" w:ascii="宋体" w:hAnsi="宋体" w:cs="宋体"/>
          <w:bCs/>
          <w:szCs w:val="21"/>
        </w:rPr>
        <w:t xml:space="preserve">多源接入功能是数据指标中心的基础输入枢纽，全面对接大数据平台数据以及自建数据源，包括API接口、数据库直连、FTP传输等多种方式高效实现数据汇聚。数据接入后，经过全链路的清洗与处理，为后续指标生成、计算、AI模型训练及能力中心场景化服务提供数据支撑。</w:t>
      </w:r>
      <w:r>
        <w:rPr>
          <w:rFonts w:ascii="宋体" w:hAnsi="宋体" w:cs="宋体"/>
          <w:bCs/>
          <w:szCs w:val="21"/>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指标配置管理</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数据指标中心的指标配置功能是平台核心的“数据翻译与资产化引擎”，通过维度建模定义标准化指标。支持实时计算与离线计算双模式，内置阈值预警规则，统一经济、民生、产业、治理多多种领域口径。</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多源数据接入后，通过指标配置管理功能实现指标“定义-计算-监</w:t>
      </w:r>
      <w:r>
        <w:rPr>
          <w:rFonts w:hint="eastAsia" w:ascii="宋体" w:hAnsi="宋体" w:cs="宋体"/>
          <w:bCs/>
          <w:szCs w:val="21"/>
        </w:rPr>
        <w:t xml:space="preserve">控-追溯”全链路管理，最终将基础数据转化为“可度量、可关联、可复用”的指标资产，支撑精准施策与降本增效。</w:t>
      </w:r>
      <w:r/>
    </w:p>
    <w:p>
      <w:pPr>
        <w:pStyle w:val="687"/>
        <w:numPr>
          <w:ilvl w:val="0"/>
          <w:numId w:val="6"/>
        </w:numPr>
        <w:jc w:val="left"/>
        <w:spacing w:line="360" w:lineRule="auto"/>
        <w:widowControl/>
        <w:rPr>
          <w:rFonts w:hint="eastAsia" w:ascii="宋体" w:hAnsi="宋体" w:cs="宋体"/>
          <w:bCs/>
          <w:szCs w:val="21"/>
        </w:rPr>
      </w:pPr>
      <w:r>
        <w:rPr>
          <w:rFonts w:hint="eastAsia" w:ascii="宋体" w:hAnsi="宋体" w:cs="宋体"/>
          <w:bCs/>
          <w:szCs w:val="21"/>
        </w:rPr>
        <w:t xml:space="preserve">指标定义与建模</w:t>
      </w:r>
      <w:r>
        <w:rPr>
          <w:bCs/>
          <w:szCs w:val="21"/>
        </w:rPr>
        <w:t xml:space="preserve">​</w:t>
      </w:r>
      <w:r>
        <w:rPr>
          <w:rFonts w:hint="eastAsia" w:ascii="宋体" w:hAnsi="宋体" w:cs="宋体"/>
          <w:bCs/>
          <w:szCs w:val="21"/>
        </w:rPr>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基础信息配置：定义指标名称、类型、业务含义、所属领域等元数据。</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计算逻辑建模：配置指标口径、依赖字段、聚合方式）。</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维度与颗粒度管理：设置时间维度、空间维度、业务维度，支持多维度组合。</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数据源绑定：关联底层数据表/数据集，明确取数范围，支持跨库/跨源取数。</w:t>
      </w:r>
      <w:r/>
    </w:p>
    <w:p>
      <w:pPr>
        <w:pStyle w:val="687"/>
        <w:numPr>
          <w:ilvl w:val="0"/>
          <w:numId w:val="6"/>
        </w:numPr>
        <w:jc w:val="left"/>
        <w:spacing w:line="360" w:lineRule="auto"/>
        <w:widowControl/>
        <w:rPr>
          <w:rFonts w:hint="eastAsia" w:ascii="宋体" w:hAnsi="宋体" w:cs="宋体"/>
          <w:bCs/>
          <w:szCs w:val="21"/>
        </w:rPr>
      </w:pPr>
      <w:r>
        <w:rPr>
          <w:rFonts w:hint="eastAsia" w:ascii="宋体" w:hAnsi="宋体" w:cs="宋体"/>
          <w:bCs/>
          <w:szCs w:val="21"/>
        </w:rPr>
        <w:t xml:space="preserve">配置模板与版本管理​</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模板库建设：预置通用指标模板，支持按行业/场景分类，降低重复配置成本。</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版本控制：记录指标配置的修改历史（如公式调整、维度增减），支持版本对比、</w:t>
      </w:r>
      <w:r>
        <w:rPr>
          <w:rFonts w:hint="eastAsia" w:ascii="宋体" w:hAnsi="宋体" w:cs="宋体"/>
          <w:bCs/>
          <w:szCs w:val="21"/>
        </w:rPr>
        <w:t xml:space="preserve">回滚至任意历史版本。</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差异校验：自动检测新旧版本间的逻辑变化（如公式参数修改、数据源切换），标记影响范围。</w:t>
      </w:r>
      <w:r/>
    </w:p>
    <w:p>
      <w:pPr>
        <w:pStyle w:val="687"/>
        <w:numPr>
          <w:ilvl w:val="0"/>
          <w:numId w:val="6"/>
        </w:numPr>
        <w:jc w:val="left"/>
        <w:spacing w:line="360" w:lineRule="auto"/>
        <w:widowControl/>
        <w:rPr>
          <w:rFonts w:hint="eastAsia" w:ascii="宋体" w:hAnsi="宋体" w:cs="宋体"/>
          <w:bCs/>
          <w:szCs w:val="21"/>
        </w:rPr>
      </w:pPr>
      <w:r>
        <w:rPr>
          <w:rFonts w:hint="eastAsia" w:ascii="宋体" w:hAnsi="宋体" w:cs="宋体"/>
          <w:bCs/>
          <w:szCs w:val="21"/>
        </w:rPr>
        <w:t xml:space="preserve">生命周期管理​</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流程化审批：设置指标创建/修改的审核节点，确保合规性。</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状态流转：定义指标状态（草稿/待审/已发布/已下线），限制不同状态下的操作权限（如已发布指标仅允许查看）。</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下线管理：标记冗余/失效指标，归档历史数据，清理关联计算任务，释放资源。</w:t>
      </w:r>
      <w:r/>
    </w:p>
    <w:p>
      <w:pPr>
        <w:pStyle w:val="687"/>
        <w:numPr>
          <w:ilvl w:val="0"/>
          <w:numId w:val="6"/>
        </w:numPr>
        <w:jc w:val="left"/>
        <w:spacing w:line="360" w:lineRule="auto"/>
        <w:widowControl/>
        <w:rPr>
          <w:rFonts w:hint="eastAsia" w:ascii="宋体" w:hAnsi="宋体" w:cs="宋体"/>
          <w:bCs/>
          <w:szCs w:val="21"/>
        </w:rPr>
      </w:pPr>
      <w:r>
        <w:rPr>
          <w:rFonts w:hint="eastAsia" w:ascii="宋体" w:hAnsi="宋体" w:cs="宋体"/>
          <w:bCs/>
          <w:szCs w:val="21"/>
        </w:rPr>
        <w:t xml:space="preserve">权限与安全管理​</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角色权限分级：按角色分配操作权限，限制敏感指标的访问范围。</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数据脱敏：对涉及隐私的指标配置脱敏规</w:t>
      </w:r>
      <w:r>
        <w:rPr>
          <w:rFonts w:hint="eastAsia" w:ascii="宋体" w:hAnsi="宋体" w:cs="宋体"/>
          <w:bCs/>
          <w:szCs w:val="21"/>
        </w:rPr>
        <w:t xml:space="preserve">则，仅授权角色可见原始值。</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操作审计：记录所有配置操作，生成审计日志，支持合规检查。</w:t>
      </w:r>
      <w:r/>
    </w:p>
    <w:p>
      <w:pPr>
        <w:pStyle w:val="687"/>
        <w:numPr>
          <w:ilvl w:val="0"/>
          <w:numId w:val="6"/>
        </w:numPr>
        <w:jc w:val="left"/>
        <w:spacing w:line="360" w:lineRule="auto"/>
        <w:widowControl/>
        <w:rPr>
          <w:rFonts w:hint="eastAsia" w:ascii="宋体" w:hAnsi="宋体" w:cs="宋体"/>
          <w:bCs/>
          <w:szCs w:val="21"/>
        </w:rPr>
      </w:pPr>
      <w:r>
        <w:rPr>
          <w:rFonts w:hint="eastAsia" w:ascii="宋体" w:hAnsi="宋体" w:cs="宋体"/>
          <w:bCs/>
          <w:szCs w:val="21"/>
        </w:rPr>
        <w:t xml:space="preserve">监控与异常告警​</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运行监控：实时监测指标计算状态、耗时、数据量波动，识别断更或延迟。</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异常检测：基于历史基线或自定义规则，自动标记异常指标。</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指标场景应用</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政务服务</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政务服务</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取叫号概况统计</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年度取号量、近15天取号趋势、乡镇板块取号量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好差评情况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整体好评率、好评率前四乡镇板块</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取叫号人群结构分析</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人群属地分析、年龄结构分析</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地图显示办事大厅分布</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办事大厅分布、今日取号量和一体机使用量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一体机概况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一体机总数量、分布情况、年度使用量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一体机板块年度使用情况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板块使用量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一体机年度使用排名</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使用次数排名</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交易服务</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公共资源交易情况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按周期的交易数量、金额和节约资金、对不同类型的公共资源交易进行分类统计，分析各领域的交易特点和趋势。</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投标保证金减免及担保情况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按周期进行保证金类型统计分析，优化投标保证金管理，降低企业负担。</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集采业务开展情况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交易笔数、金额、节约资金额、中小企业中标数、节约资金率、中小企业中标率</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公共资源交易概况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交易量、交易金额、节约资金额</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中介超市交易概况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中介机构数、交易数、交易金额、节约资金额</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中介机构</w:t>
      </w:r>
      <w:r>
        <w:rPr>
          <w:rFonts w:hint="eastAsia" w:ascii="宋体" w:hAnsi="宋体"/>
          <w:b/>
          <w:bCs/>
          <w:szCs w:val="24"/>
        </w:rPr>
        <w:t xml:space="preserve">参与情况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累积和近一年的机构名称、参与次数、成交次数：分析中介机构的活跃度和市场表现，促进中介服务市场的健康发展。</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中介机构分布情况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机构总数、省内省外分布、服务项目数、入驻机构数、服务项目金额、等级评价分布情况</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中介服务发布情况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累积和近一年情况展示、采购服务项目数、成交项目数、供需达成率</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为企服务</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新设经营主体</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8个乡镇板块的累积、本年、本月、上周的市场主体总量和同比量。</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市场主体总量：通过图表展示市场主体的增长情况，为区域经济发展提供数据支持。</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重点项目与企业诉求</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企业服务中心的述求数和已办结数：统计企业诉求，分析企业服务中心的办事效率</w:t>
      </w:r>
      <w:r>
        <w:rPr>
          <w:rFonts w:hint="eastAsia" w:ascii="宋体" w:hAnsi="宋体"/>
          <w:szCs w:val="24"/>
        </w:rPr>
        <w:t xml:space="preserve">和服务质量。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计划投资情况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年度和月度的立项办件数和计划投资额：统计计划投资情况，为区域经济发展提供决策依据。</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新设企业与个体工商户情况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累积、本年、本月、上周的数量和同比量：统计新设企业与个体工商户的数量和增长情况，分析市场主体的活跃度。</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企业诉求统计</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企业名称、受理时间、处办单位、企服中心点位。</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2025年重点投资项目</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省市区三级总数量、已开工数、未开工数及占比：统计重点投资项目的情况，分析项目的推进进度，为项目管理和调度提供数据支持。</w:t>
      </w:r>
      <w:r/>
    </w:p>
    <w:p>
      <w:pPr>
        <w:pStyle w:val="687"/>
        <w:contextualSpacing/>
        <w:jc w:val="center"/>
        <w:spacing w:after="160" w:line="360" w:lineRule="auto"/>
        <w:rPr>
          <w:rFonts w:hint="eastAsia" w:ascii="宋体" w:hAnsi="宋体"/>
        </w:rPr>
      </w:pPr>
      <w:r>
        <w:rPr>
          <w:rFonts w:hint="eastAsia" w:ascii="宋体" w:hAnsi="宋体"/>
        </w:rPr>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特色服务优化模块</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基层高频事</w:t>
      </w:r>
      <w:r>
        <w:rPr>
          <w:rFonts w:hint="eastAsia" w:ascii="宋体" w:hAnsi="宋体"/>
          <w:b/>
          <w:bCs/>
          <w:szCs w:val="24"/>
        </w:rPr>
        <w:t xml:space="preserve">项一平台办件概况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办件总量、办件趋势、板块办件占比：统计基层高频事项的办件情况，分析办件趋势和区域分布，优化服务资源配置。</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办件年龄分布和事项分布</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分析办理高频事项的群众年龄结构，将年龄分为若干区间（如18-30岁、31-50岁、51岁以上等），通过图表展示各年龄段的办件占比。</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跨域通办合作区域</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地图展示：在地图上标注跨域通办合作的7省63地区，通过不同颜色或图标区分合作深度（如协议签署、业务开展、数据共享等）。</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免证办事项数与免证办6大特色场景</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免证办事项数：详细列出支持免证办的事项数</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免证办6大特色场景展示：重点展示6大</w:t>
      </w:r>
      <w:r>
        <w:rPr>
          <w:rFonts w:hint="eastAsia" w:ascii="宋体" w:hAnsi="宋体"/>
          <w:szCs w:val="24"/>
        </w:rPr>
        <w:t xml:space="preserve">免证办特色场景（如企业投资备案、人防许可审批、道路货物运输运营车辆年审等）。</w:t>
      </w:r>
      <w:r/>
    </w:p>
    <w:p>
      <w:pPr>
        <w:pStyle w:val="687"/>
        <w:contextualSpacing/>
        <w:ind w:left="880"/>
        <w:jc w:val="center"/>
        <w:spacing w:after="160" w:line="360" w:lineRule="auto"/>
        <w:rPr>
          <w:rFonts w:hint="eastAsia" w:ascii="宋体" w:hAnsi="宋体"/>
          <w:b/>
          <w:bCs/>
        </w:rPr>
      </w:pPr>
      <w:r>
        <w:rPr>
          <w:rFonts w:hint="eastAsia" w:ascii="宋体" w:hAnsi="宋体"/>
          <w:b/>
          <w:bCs/>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实事项目</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主页展示</w:t>
      </w:r>
      <w:r/>
    </w:p>
    <w:p>
      <w:pPr>
        <w:pStyle w:val="687"/>
        <w:ind w:firstLine="420"/>
        <w:spacing w:line="360" w:lineRule="auto"/>
        <w:rPr>
          <w:rFonts w:hint="eastAsia" w:ascii="宋体" w:hAnsi="宋体"/>
        </w:rPr>
      </w:pPr>
      <w:r>
        <w:rPr>
          <w:rFonts w:hint="eastAsia" w:ascii="宋体" w:hAnsi="宋体"/>
        </w:rPr>
        <w:t xml:space="preserve">中间以复合饼状图展示2025年度十类民生实事项目，及细化的34个项目名称。</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本年度实事项目概况</w:t>
      </w:r>
      <w:r/>
    </w:p>
    <w:p>
      <w:pPr>
        <w:pStyle w:val="687"/>
        <w:ind w:firstLine="420"/>
        <w:spacing w:line="360" w:lineRule="auto"/>
        <w:rPr>
          <w:rFonts w:hint="eastAsia" w:ascii="宋体" w:hAnsi="宋体"/>
        </w:rPr>
      </w:pPr>
      <w:r>
        <w:rPr>
          <w:rFonts w:hint="eastAsia" w:ascii="宋体" w:hAnsi="宋体"/>
        </w:rPr>
        <w:t xml:space="preserve">展示实事项目数、已开工数、未开工数、开工率百分比、计划投资额、完成投资额、剩余投资额、投资完成率百分比。</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本年度项目分布情况</w:t>
      </w:r>
      <w:r/>
    </w:p>
    <w:p>
      <w:pPr>
        <w:pStyle w:val="687"/>
        <w:ind w:firstLine="420"/>
        <w:spacing w:line="360" w:lineRule="auto"/>
        <w:rPr>
          <w:rFonts w:hint="eastAsia" w:ascii="宋体" w:hAnsi="宋体"/>
        </w:rPr>
      </w:pPr>
      <w:r>
        <w:rPr>
          <w:rFonts w:hint="eastAsia" w:ascii="宋体" w:hAnsi="宋体"/>
        </w:rPr>
        <w:t xml:space="preserve">按照项目的数量进行局办排名滚动展示，包括局办名称、项目数和项目金额等。</w:t>
      </w:r>
      <w:r/>
    </w:p>
    <w:p>
      <w:pPr>
        <w:pStyle w:val="687"/>
        <w:numPr>
          <w:ilvl w:val="0"/>
          <w:numId w:val="7"/>
        </w:numPr>
        <w:contextualSpacing/>
        <w:jc w:val="left"/>
        <w:spacing w:after="160" w:line="360" w:lineRule="auto"/>
        <w:rPr>
          <w:rFonts w:ascii="宋体" w:hAnsi="宋体"/>
          <w:b/>
          <w:bCs/>
          <w:szCs w:val="24"/>
        </w:rPr>
      </w:pPr>
      <w:r>
        <w:rPr>
          <w:rFonts w:hint="eastAsia" w:ascii="宋体" w:hAnsi="宋体"/>
          <w:b/>
          <w:bCs/>
          <w:szCs w:val="24"/>
        </w:rPr>
        <w:t xml:space="preserve">本年度项目投资情况</w:t>
      </w:r>
      <w:r>
        <w:rPr>
          <w:rFonts w:ascii="宋体" w:hAnsi="宋体"/>
          <w:b/>
          <w:bCs/>
          <w:szCs w:val="24"/>
        </w:rPr>
      </w:r>
      <w:r/>
    </w:p>
    <w:p>
      <w:pPr>
        <w:pStyle w:val="687"/>
        <w:ind w:firstLine="420"/>
        <w:spacing w:line="360" w:lineRule="auto"/>
        <w:rPr>
          <w:rFonts w:hint="eastAsia" w:ascii="宋体" w:hAnsi="宋体"/>
        </w:rPr>
      </w:pPr>
      <w:r>
        <w:rPr>
          <w:rFonts w:hint="eastAsia" w:ascii="宋体" w:hAnsi="宋体"/>
        </w:rPr>
        <w:t xml:space="preserve">以柱状图展示本年度每月项目投资额，简洁直观。</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实事项目清单</w:t>
      </w:r>
      <w:r/>
    </w:p>
    <w:p>
      <w:pPr>
        <w:pStyle w:val="687"/>
        <w:ind w:firstLine="420"/>
        <w:spacing w:line="360" w:lineRule="auto"/>
        <w:rPr>
          <w:rFonts w:hint="eastAsia" w:ascii="宋体" w:hAnsi="宋体"/>
        </w:rPr>
      </w:pPr>
      <w:r>
        <w:rPr>
          <w:rFonts w:hint="eastAsia" w:ascii="宋体" w:hAnsi="宋体"/>
        </w:rPr>
        <w:t xml:space="preserve">按照全部、未开工、已</w:t>
      </w:r>
      <w:r>
        <w:rPr>
          <w:rFonts w:hint="eastAsia" w:ascii="宋体" w:hAnsi="宋体"/>
        </w:rPr>
        <w:t xml:space="preserve">开工分类展示所有实事项目的情况.</w:t>
      </w:r>
      <w:r/>
    </w:p>
    <w:p>
      <w:pPr>
        <w:pStyle w:val="687"/>
        <w:ind w:firstLine="420"/>
        <w:spacing w:line="360" w:lineRule="auto"/>
        <w:rPr>
          <w:rFonts w:hint="eastAsia" w:ascii="宋体" w:hAnsi="宋体"/>
        </w:rPr>
      </w:pPr>
      <w:r>
        <w:rPr>
          <w:rFonts w:hint="eastAsia" w:ascii="宋体" w:hAnsi="宋体"/>
        </w:rPr>
        <w:t xml:space="preserve">项目信息包括名称、责任单位、年度投资额、项目性质、已完成投资额、开工状态、完成率等内容。</w:t>
      </w:r>
      <w:r/>
    </w:p>
    <w:p>
      <w:pPr>
        <w:pStyle w:val="687"/>
        <w:spacing w:line="360" w:lineRule="auto"/>
        <w:rPr>
          <w:rFonts w:hint="eastAsia" w:ascii="宋体" w:hAnsi="宋体"/>
        </w:rPr>
      </w:pPr>
      <w:r>
        <w:rPr>
          <w:rFonts w:hint="eastAsia" w:ascii="宋体" w:hAnsi="宋体"/>
        </w:rPr>
      </w:r>
      <w:r/>
    </w:p>
    <w:p>
      <w:pPr>
        <w:pStyle w:val="687"/>
        <w:numPr>
          <w:ilvl w:val="3"/>
          <w:numId w:val="5"/>
        </w:numPr>
        <w:spacing w:line="360" w:lineRule="auto"/>
        <w:rPr>
          <w:rFonts w:ascii="宋体" w:hAnsi="宋体" w:cs="宋体"/>
          <w:b/>
          <w:bCs/>
          <w:sz w:val="28"/>
          <w:szCs w:val="28"/>
        </w:rPr>
        <w:outlineLvl w:val="3"/>
      </w:pPr>
      <w:r>
        <w:rPr>
          <w:rFonts w:hint="eastAsia" w:ascii="宋体" w:hAnsi="宋体" w:cs="宋体"/>
          <w:b/>
          <w:bCs/>
          <w:sz w:val="28"/>
          <w:szCs w:val="28"/>
        </w:rPr>
        <w:t xml:space="preserve">数据底座</w:t>
      </w:r>
      <w:r>
        <w:rPr>
          <w:rFonts w:ascii="宋体" w:hAnsi="宋体" w:cs="宋体"/>
          <w:b/>
          <w:bCs/>
          <w:sz w:val="28"/>
          <w:szCs w:val="28"/>
        </w:rPr>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数据资源</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数据归集情况</w:t>
      </w:r>
      <w:r/>
    </w:p>
    <w:p>
      <w:pPr>
        <w:pStyle w:val="687"/>
        <w:contextualSpacing/>
        <w:ind w:firstLine="420"/>
        <w:jc w:val="left"/>
        <w:spacing w:after="160" w:line="360" w:lineRule="auto"/>
        <w:rPr>
          <w:rFonts w:ascii="宋体" w:hAnsi="宋体"/>
          <w:szCs w:val="24"/>
        </w:rPr>
      </w:pPr>
      <w:r>
        <w:rPr>
          <w:rFonts w:hint="eastAsia" w:ascii="宋体" w:hAnsi="宋体"/>
          <w:szCs w:val="24"/>
        </w:rPr>
        <w:t xml:space="preserve">数据归集统计、数据资源归集部门Top1、数据资源归集方式统计</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数据共享情况</w:t>
      </w:r>
      <w:r/>
    </w:p>
    <w:p>
      <w:pPr>
        <w:pStyle w:val="687"/>
        <w:contextualSpacing/>
        <w:ind w:firstLine="420"/>
        <w:jc w:val="left"/>
        <w:spacing w:after="160" w:line="360" w:lineRule="auto"/>
        <w:rPr>
          <w:rFonts w:ascii="宋体" w:hAnsi="宋体"/>
          <w:szCs w:val="24"/>
        </w:rPr>
      </w:pPr>
      <w:r>
        <w:rPr>
          <w:rFonts w:hint="eastAsia" w:ascii="宋体" w:hAnsi="宋体"/>
          <w:szCs w:val="24"/>
        </w:rPr>
        <w:t xml:space="preserve">数据共享情况、数据共享流向图</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数据支撑情况</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数据资源调用统计、数据资源服务热度Top10、数据资源申请部门Top10</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视频资源</w:t>
      </w:r>
      <w:r/>
    </w:p>
    <w:p>
      <w:pPr>
        <w:pStyle w:val="687"/>
        <w:ind w:firstLine="420"/>
        <w:spacing w:line="360" w:lineRule="auto"/>
        <w:rPr>
          <w:rFonts w:ascii="宋体" w:hAnsi="宋体"/>
        </w:rPr>
      </w:pPr>
      <w:r>
        <w:rPr>
          <w:rFonts w:hint="eastAsia" w:ascii="宋体" w:hAnsi="宋体"/>
        </w:rPr>
        <w:t xml:space="preserve">主要包括视频资源汇聚、视频资源共享展示、视频资源存储情况、视频资源池、视频AI应用。</w:t>
      </w:r>
      <w:r>
        <w:rPr>
          <w:rFonts w:ascii="宋体" w:hAnsi="宋体"/>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视频资源汇聚</w:t>
      </w:r>
      <w:r/>
    </w:p>
    <w:p>
      <w:pPr>
        <w:pStyle w:val="687"/>
        <w:ind w:firstLine="420"/>
        <w:spacing w:line="360" w:lineRule="auto"/>
        <w:rPr>
          <w:rFonts w:hint="eastAsia" w:ascii="宋体" w:hAnsi="宋体"/>
        </w:rPr>
      </w:pPr>
      <w:r>
        <w:rPr>
          <w:rFonts w:hint="eastAsia" w:ascii="宋体" w:hAnsi="宋体"/>
        </w:rPr>
        <w:t xml:space="preserve">构建全域覆盖的视频资源网络。</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视频资源共享</w:t>
      </w:r>
      <w:r/>
    </w:p>
    <w:p>
      <w:pPr>
        <w:pStyle w:val="687"/>
        <w:ind w:firstLine="420"/>
        <w:spacing w:line="360" w:lineRule="auto"/>
        <w:rPr>
          <w:rFonts w:hint="eastAsia" w:ascii="宋体" w:hAnsi="宋体"/>
        </w:rPr>
      </w:pPr>
      <w:r>
        <w:rPr>
          <w:rFonts w:hint="eastAsia" w:ascii="宋体" w:hAnsi="宋体"/>
        </w:rPr>
        <w:t xml:space="preserve">基于现有</w:t>
      </w:r>
      <w:r>
        <w:rPr>
          <w:rFonts w:hint="eastAsia" w:ascii="宋体" w:hAnsi="宋体"/>
        </w:rPr>
        <w:t xml:space="preserve">的视频资源汇聚平台，为各部门从视频建设到 AI 应用都建立了共享机制。</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视频资源存储</w:t>
      </w:r>
      <w:r/>
    </w:p>
    <w:p>
      <w:pPr>
        <w:pStyle w:val="687"/>
        <w:ind w:firstLine="420"/>
        <w:spacing w:line="360" w:lineRule="auto"/>
        <w:rPr>
          <w:rFonts w:hint="eastAsia" w:ascii="宋体" w:hAnsi="宋体"/>
        </w:rPr>
      </w:pPr>
      <w:r>
        <w:rPr>
          <w:rFonts w:hint="eastAsia" w:ascii="宋体" w:hAnsi="宋体"/>
        </w:rPr>
        <w:t xml:space="preserve">安全高效的云存储保障。在视频资源存储方面，在全区建立8个视频存储节点，用于视频存储、调用和共享，并配备一定的计算资源进行视频AI分析。</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视频资源服务</w:t>
      </w:r>
      <w:r/>
    </w:p>
    <w:p>
      <w:pPr>
        <w:pStyle w:val="687"/>
        <w:ind w:firstLine="420"/>
        <w:spacing w:line="360" w:lineRule="auto"/>
        <w:rPr>
          <w:rFonts w:hint="eastAsia" w:ascii="宋体" w:hAnsi="宋体"/>
        </w:rPr>
      </w:pPr>
      <w:r>
        <w:rPr>
          <w:rFonts w:hint="eastAsia" w:ascii="宋体" w:hAnsi="宋体"/>
        </w:rPr>
        <w:t xml:space="preserve">基于视频级联汇聚平台，大力推进视频资源池的建设。通过建设标签系统和视频结构化数据，对采集到的视频数据进行深度治理。</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视频 AI 应用</w:t>
      </w:r>
      <w:r/>
    </w:p>
    <w:p>
      <w:pPr>
        <w:pStyle w:val="687"/>
        <w:ind w:firstLine="420"/>
        <w:spacing w:line="360" w:lineRule="auto"/>
        <w:rPr>
          <w:rFonts w:hint="eastAsia" w:ascii="宋体" w:hAnsi="宋体"/>
        </w:rPr>
      </w:pPr>
      <w:r>
        <w:rPr>
          <w:rFonts w:hint="eastAsia" w:ascii="宋体" w:hAnsi="宋体"/>
        </w:rPr>
        <w:t xml:space="preserve">基于标签和视频结构化数据，搭建 AI 应用支撑体系雏形。通过人工智能技术，能够对视频数据进行智能分析，实现如人脸识别、行为分析、事件预警等</w:t>
      </w:r>
      <w:r>
        <w:rPr>
          <w:rFonts w:hint="eastAsia" w:ascii="宋体" w:hAnsi="宋体"/>
        </w:rPr>
        <w:t xml:space="preserve">功能。</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政务云资源</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政务云物理机房监测</w:t>
      </w:r>
      <w:r/>
    </w:p>
    <w:p>
      <w:pPr>
        <w:pStyle w:val="687"/>
        <w:contextualSpacing/>
        <w:ind w:firstLine="480"/>
        <w:jc w:val="left"/>
        <w:spacing w:line="360" w:lineRule="auto"/>
        <w:rPr>
          <w:rFonts w:ascii="宋体" w:hAnsi="宋体"/>
          <w:szCs w:val="24"/>
        </w:rPr>
      </w:pPr>
      <w:r>
        <w:rPr>
          <w:rFonts w:hint="eastAsia" w:ascii="宋体" w:hAnsi="宋体"/>
          <w:szCs w:val="24"/>
        </w:rPr>
        <w:t xml:space="preserve">监测平台将每隔5分钟获取机房内物联网设备的相关参数进行记录分析，其中包含了机房的温度，湿度，电路数据。同时在该模块中记录了政务云正常运行的总时间参数。</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政务云运行参数监测 </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掌握政务云运行情况，监测关键数据，包含系统总数，虚拟机总数，CPU总量，使用量，内存总量，使用量，存储总量，使用量。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政务云架构</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展示政务云一个中心+两朵云+四张网的框架。依托区数据局为核心，分别建设吴江政务云（电信云）和吴江政务云（移动云），同时根据业务需要在两朵云中分别建设政务外网和互联网，电信云和移动云互联互通。</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政务云资源分配分析</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资源分配分析主要包含cpu，内存和存储三个参数，采用码表加数值的方式直观掌握已分配资源的占比情况。</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政务云服务器开通数量分析</w:t>
      </w:r>
      <w:r/>
    </w:p>
    <w:p>
      <w:pPr>
        <w:pStyle w:val="687"/>
        <w:contextualSpacing/>
        <w:ind w:firstLine="480"/>
        <w:jc w:val="left"/>
        <w:spacing w:line="360" w:lineRule="auto"/>
        <w:rPr>
          <w:rFonts w:ascii="宋体" w:hAnsi="宋体"/>
          <w:szCs w:val="24"/>
        </w:rPr>
      </w:pPr>
      <w:r>
        <w:rPr>
          <w:rFonts w:hint="eastAsia" w:ascii="宋体" w:hAnsi="宋体"/>
          <w:szCs w:val="24"/>
        </w:rPr>
        <w:t xml:space="preserve">通过折线图方便用户掌握数据情况，了解虚拟机变化趋势，掌握资源使用高峰期，方便资源的调度和使用。</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政务云虚拟机数量分析</w:t>
      </w:r>
      <w:r/>
    </w:p>
    <w:p>
      <w:pPr>
        <w:pStyle w:val="687"/>
        <w:contextualSpacing/>
        <w:ind w:firstLine="480"/>
        <w:jc w:val="left"/>
        <w:spacing w:line="360" w:lineRule="auto"/>
        <w:rPr>
          <w:rFonts w:ascii="宋体" w:hAnsi="宋体"/>
          <w:szCs w:val="24"/>
        </w:rPr>
      </w:pPr>
      <w:r>
        <w:rPr>
          <w:rFonts w:hint="eastAsia" w:ascii="宋体" w:hAnsi="宋体"/>
          <w:szCs w:val="24"/>
        </w:rPr>
        <w:t xml:space="preserve">虚拟机数量分析主要将从2个角度进行分析，部门角度和应用角度，监测平台将虚拟机进行数据划分，梳理虚拟机、系统、项目、部门之间的关系，通过数据分析汇总部门的虚拟机总数，取前TOP5进行数据展示。</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政务云云上安全分析</w:t>
      </w:r>
      <w:r/>
    </w:p>
    <w:p>
      <w:pPr>
        <w:pStyle w:val="687"/>
        <w:contextualSpacing/>
        <w:ind w:firstLine="480"/>
        <w:jc w:val="left"/>
        <w:spacing w:line="360" w:lineRule="auto"/>
        <w:rPr>
          <w:rFonts w:ascii="宋体" w:hAnsi="宋体"/>
          <w:szCs w:val="24"/>
        </w:rPr>
      </w:pPr>
      <w:r>
        <w:rPr>
          <w:rFonts w:hint="eastAsia" w:ascii="宋体" w:hAnsi="宋体"/>
          <w:szCs w:val="24"/>
        </w:rPr>
        <w:t xml:space="preserve">每周分析汇总</w:t>
      </w:r>
      <w:r>
        <w:rPr>
          <w:rFonts w:hint="eastAsia" w:ascii="宋体" w:hAnsi="宋体"/>
          <w:szCs w:val="24"/>
        </w:rPr>
        <w:t xml:space="preserve">原始攻击告警数量，采集告警事件，同时分析上周告警事件数量，进行同比分析，了解告警事件趋势情况。</w:t>
      </w:r>
      <w:r>
        <w:rPr>
          <w:rFonts w:ascii="宋体" w:hAnsi="宋体"/>
          <w:szCs w:val="24"/>
        </w:rPr>
      </w:r>
      <w:r/>
    </w:p>
    <w:p>
      <w:pPr>
        <w:pStyle w:val="687"/>
        <w:contextualSpacing/>
        <w:ind w:firstLine="480"/>
        <w:jc w:val="left"/>
        <w:spacing w:line="360" w:lineRule="auto"/>
        <w:rPr>
          <w:rFonts w:ascii="宋体" w:hAnsi="宋体"/>
          <w:szCs w:val="24"/>
        </w:rPr>
      </w:pPr>
      <w:r>
        <w:rPr>
          <w:rFonts w:hint="eastAsia" w:ascii="宋体" w:hAnsi="宋体"/>
          <w:szCs w:val="24"/>
        </w:rPr>
        <w:t xml:space="preserve">汇总外部攻击和恶意文件数量，与上周的对比情况，并根据政务云安全服务团队处理数据分析攻击处置率。</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信创云资源分析</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信创云是政务云的组成部分之一，主要用于部署信创类应用，监测平台将实现与信创云之间的数据对接，获取信创云资源数据情况。</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信创云架构</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展示信创云架构体系，以区数据局为核心，建设互联网区和政务外网区，两个区域互联互通。同时两个云互为灾备。</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信创云资源分配分析</w:t>
      </w:r>
      <w:r/>
    </w:p>
    <w:p>
      <w:pPr>
        <w:pStyle w:val="687"/>
        <w:contextualSpacing/>
        <w:ind w:firstLine="480"/>
        <w:jc w:val="left"/>
        <w:spacing w:line="360" w:lineRule="auto"/>
        <w:rPr>
          <w:rFonts w:ascii="宋体" w:hAnsi="宋体"/>
          <w:szCs w:val="24"/>
        </w:rPr>
      </w:pPr>
      <w:r>
        <w:rPr>
          <w:rFonts w:hint="eastAsia" w:ascii="宋体" w:hAnsi="宋体"/>
          <w:szCs w:val="24"/>
        </w:rPr>
        <w:t xml:space="preserve">通过接口方式获取信创云中已分配的虚拟机参数信息，清洗汇总虚拟机CPU分配量，内存分配量，存储分配量，</w:t>
      </w:r>
      <w:r>
        <w:rPr>
          <w:rFonts w:hint="eastAsia" w:ascii="宋体" w:hAnsi="宋体"/>
          <w:szCs w:val="24"/>
        </w:rPr>
        <w:t xml:space="preserve">同时汇总信创CPU，内存，存储总量，通过码表和数值的形式将CPU使用率，内存使用率，存储使用率直观展示给用户。</w:t>
      </w:r>
      <w:r>
        <w:rPr>
          <w:rFonts w:ascii="宋体" w:hAnsi="宋体"/>
          <w:szCs w:val="24"/>
        </w:rPr>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架构占比分析</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采集信创云中各虚拟机参数信息，根据芯片类型进行分类汇总，计算信创云中鲲鹏架构和海光架构的占比情况。</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数据对接服务</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本对接旨在实现与吴江区政务云、信创云、云资源管理平台以及云上安全设备的数据交互，以获取关键运行信息，为监测平台提供数据支撑服务。</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云运行参数信息获取：从吴江区政务云及信创云获取云运行参数信息，这些参数涵盖云服务器的 CPU</w:t>
      </w:r>
      <w:r>
        <w:rPr>
          <w:rFonts w:hint="eastAsia" w:ascii="宋体" w:hAnsi="宋体"/>
          <w:szCs w:val="24"/>
        </w:rPr>
        <w:t xml:space="preserve"> 使用率、内存占用、磁盘 I/O 读写速率、网络带宽利用率等关键指标，以实时掌握云平台的运行状态，为资源优化配置和性能调优提供数据依据。</w:t>
      </w:r>
      <w:r/>
    </w:p>
    <w:p>
      <w:pPr>
        <w:pStyle w:val="687"/>
        <w:contextualSpacing/>
        <w:ind w:firstLine="480"/>
        <w:jc w:val="left"/>
        <w:spacing w:line="360" w:lineRule="auto"/>
      </w:pPr>
      <w:r>
        <w:rPr>
          <w:rFonts w:hint="eastAsia" w:ascii="宋体" w:hAnsi="宋体"/>
          <w:szCs w:val="24"/>
        </w:rPr>
        <w:t xml:space="preserve">资源工单信息获取：与云资源管理平台对接，获取资源工单信息，包括但不限于新资源申请工单、资源变更工单、资源释放工单等。通过对工单信息的跟踪与分析，能够实现对云资源全生命周期的精细化管理。</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安全运行信息获取：对接云上安全设备（如 WAF、日志审计等），收集安全运行信息，例如 WAF 拦截的攻击请求数量、类型及来源，日志审计系统记录的各类操作日志、安全事件日志等，从而及时发现潜在的安全威胁，保障政务云环境的安全性和稳定性。</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对接方式说明：本次对接采用 API 调用方式，并基于 HTTP 协议进行数据传输。</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API 调用：具有良好的通用性和灵活性，能够方便地与不同类型的平台和设备进行交互。各个对接对象（吴江区政务云平台、云资源管理平台、WAF、日志审计设备等）通常都提供了相应的 API 接口，通过</w:t>
      </w:r>
      <w:r>
        <w:rPr>
          <w:rFonts w:hint="eastAsia" w:ascii="宋体" w:hAnsi="宋体"/>
          <w:szCs w:val="24"/>
        </w:rPr>
        <w:t xml:space="preserve">调用这些接口，可以准确地获取所需的数据信息。同时，API 调用可以实现高度的自动化和定制化，能够根据实际需求灵活调整请求参数和数据格式。</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HTTP 协议：是一种广泛应用于 Web 领域的标准协议，具有跨平台、跨网络的特点，能够在不同的操作系统和网络环境下稳定运行。基于 HTTP 协议的数据传输简单直观，易于理解和调试。并且，HTTP 协议支持多种请求方法（如 GET、POST 等），可以满足不同类型的数据获取和交互需求。在安全性方面，可通过 HTTPS 协议对数据传输进行加密，确保数据在传输过程中的保密性和完整性。</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数据采集服务</w:t>
      </w:r>
      <w:r/>
    </w:p>
    <w:p>
      <w:pPr>
        <w:pStyle w:val="687"/>
        <w:contextualSpacing/>
        <w:ind w:firstLine="480"/>
        <w:jc w:val="left"/>
        <w:spacing w:line="360" w:lineRule="auto"/>
        <w:rPr>
          <w:rFonts w:hint="eastAsia" w:ascii="宋体" w:hAnsi="宋体"/>
          <w:szCs w:val="24"/>
        </w:rPr>
      </w:pPr>
      <w:r>
        <w:rPr>
          <w:rFonts w:hint="eastAsia" w:ascii="宋体" w:hAnsi="宋体"/>
          <w:szCs w:val="24"/>
        </w:rPr>
        <w:t xml:space="preserve">构建一个分布式的数据采集服务架构，主要由采集用户端、数据传输通道和数据存储组成。采集用户端部署在各个对接对象所在的网络环境中，负责与目标系统的 API 进行交互，获取相应的数据。数据传输通道基于 HTTP 协议，保障数据在采集用户端和数据存储中心之间安全、稳定地传输。数据存储则选用高性能的数据库系统，用于存储采集到的各类数据，以便后续的分析和处理。</w:t>
      </w:r>
      <w:r/>
    </w:p>
    <w:p>
      <w:pPr>
        <w:pStyle w:val="687"/>
        <w:contextualSpacing/>
        <w:ind w:firstLine="480"/>
        <w:jc w:val="left"/>
        <w:spacing w:line="360" w:lineRule="auto"/>
        <w:rPr>
          <w:rFonts w:hint="eastAsia" w:ascii="宋体" w:hAnsi="宋体"/>
          <w:szCs w:val="24"/>
        </w:rPr>
      </w:pPr>
      <w:r>
        <w:rPr>
          <w:rFonts w:hint="eastAsia" w:ascii="宋体" w:hAnsi="宋体"/>
          <w:szCs w:val="24"/>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协同管理</w:t>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协同办公（电子政务综合分析平台）</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运行参数分析</w:t>
      </w:r>
      <w:r/>
    </w:p>
    <w:p>
      <w:pPr>
        <w:pStyle w:val="687"/>
        <w:ind w:firstLine="480"/>
        <w:spacing w:line="360" w:lineRule="auto"/>
        <w:rPr>
          <w:rFonts w:hint="eastAsia" w:ascii="宋体" w:hAnsi="宋体"/>
        </w:rPr>
      </w:pPr>
      <w:r>
        <w:rPr>
          <w:rFonts w:hint="eastAsia" w:ascii="宋体" w:hAnsi="宋体"/>
        </w:rPr>
        <w:t xml:space="preserve">为了详细掌握吴江区电子政务综合办公平台运行的主要参数，分析平台从实际业务出发</w:t>
      </w:r>
      <w:r>
        <w:rPr>
          <w:rFonts w:hint="eastAsia" w:ascii="宋体" w:hAnsi="宋体"/>
        </w:rPr>
        <w:t xml:space="preserve">，提取了7个重要指标，分别为总人数，在线人数，接入应用数，公文总数量，年度公文数量，覆盖率和使用部分数量。其中</w:t>
      </w:r>
      <w:r/>
    </w:p>
    <w:p>
      <w:pPr>
        <w:pStyle w:val="687"/>
        <w:numPr>
          <w:ilvl w:val="0"/>
          <w:numId w:val="8"/>
        </w:numPr>
        <w:ind w:left="900"/>
        <w:spacing w:line="360" w:lineRule="auto"/>
        <w:rPr>
          <w:rFonts w:hint="eastAsia" w:ascii="宋体" w:hAnsi="宋体"/>
        </w:rPr>
      </w:pPr>
      <w:r>
        <w:rPr>
          <w:rFonts w:hint="eastAsia" w:ascii="宋体" w:hAnsi="宋体"/>
        </w:rPr>
        <w:t xml:space="preserve">总人数：吴江区电子政务综合办公平台注册人数汇总</w:t>
      </w:r>
      <w:r/>
    </w:p>
    <w:p>
      <w:pPr>
        <w:pStyle w:val="687"/>
        <w:numPr>
          <w:ilvl w:val="0"/>
          <w:numId w:val="8"/>
        </w:numPr>
        <w:ind w:left="900"/>
        <w:spacing w:line="360" w:lineRule="auto"/>
        <w:rPr>
          <w:rFonts w:hint="eastAsia" w:ascii="宋体" w:hAnsi="宋体"/>
        </w:rPr>
      </w:pPr>
      <w:r>
        <w:rPr>
          <w:rFonts w:hint="eastAsia" w:ascii="宋体" w:hAnsi="宋体"/>
        </w:rPr>
        <w:t xml:space="preserve">在线人数：结合吴江区电子政务综合办公平台网页端和移动端，采集和汇总当日已登录系统的用户数量</w:t>
      </w:r>
      <w:r/>
    </w:p>
    <w:p>
      <w:pPr>
        <w:pStyle w:val="687"/>
        <w:numPr>
          <w:ilvl w:val="0"/>
          <w:numId w:val="8"/>
        </w:numPr>
        <w:ind w:left="900"/>
        <w:spacing w:line="360" w:lineRule="auto"/>
        <w:rPr>
          <w:rFonts w:hint="eastAsia" w:ascii="宋体" w:hAnsi="宋体"/>
        </w:rPr>
      </w:pPr>
      <w:r>
        <w:rPr>
          <w:rFonts w:hint="eastAsia" w:ascii="宋体" w:hAnsi="宋体"/>
        </w:rPr>
        <w:t xml:space="preserve">接入应用数：第三方系统在吴江区电子政务综合办公平台完成登记并根据标准的协议接入武平的应用数量，该数据侧面反应了平台作为内部办公统一门户的重要性</w:t>
      </w:r>
      <w:r/>
    </w:p>
    <w:p>
      <w:pPr>
        <w:pStyle w:val="687"/>
        <w:numPr>
          <w:ilvl w:val="0"/>
          <w:numId w:val="8"/>
        </w:numPr>
        <w:ind w:left="900"/>
        <w:spacing w:line="360" w:lineRule="auto"/>
        <w:rPr>
          <w:rFonts w:hint="eastAsia" w:ascii="宋体" w:hAnsi="宋体"/>
        </w:rPr>
      </w:pPr>
      <w:r>
        <w:rPr>
          <w:rFonts w:hint="eastAsia" w:ascii="宋体" w:hAnsi="宋体"/>
        </w:rPr>
        <w:t xml:space="preserve">总公文数量：汇总和计算历年来各个单位收发的公文数量，统计当前平台内已发公文的总量数据。</w:t>
      </w:r>
      <w:r/>
    </w:p>
    <w:p>
      <w:pPr>
        <w:pStyle w:val="687"/>
        <w:numPr>
          <w:ilvl w:val="0"/>
          <w:numId w:val="8"/>
        </w:numPr>
        <w:ind w:left="900"/>
        <w:spacing w:line="360" w:lineRule="auto"/>
        <w:rPr>
          <w:rFonts w:hint="eastAsia" w:ascii="宋体" w:hAnsi="宋体"/>
        </w:rPr>
      </w:pPr>
      <w:r>
        <w:rPr>
          <w:rFonts w:hint="eastAsia" w:ascii="宋体" w:hAnsi="宋体"/>
        </w:rPr>
        <w:t xml:space="preserve">年度公文数量：计算本年度公文数据</w:t>
      </w:r>
      <w:r/>
    </w:p>
    <w:p>
      <w:pPr>
        <w:pStyle w:val="687"/>
        <w:numPr>
          <w:ilvl w:val="0"/>
          <w:numId w:val="8"/>
        </w:numPr>
        <w:ind w:left="900"/>
        <w:spacing w:line="360" w:lineRule="auto"/>
        <w:rPr>
          <w:rFonts w:hint="eastAsia" w:ascii="宋体" w:hAnsi="宋体"/>
        </w:rPr>
      </w:pPr>
      <w:r>
        <w:rPr>
          <w:rFonts w:hint="eastAsia" w:ascii="宋体" w:hAnsi="宋体"/>
        </w:rPr>
        <w:t xml:space="preserve">覆盖率：汇总平台已使用的部门数量，将该数据与吴江区所有部门综合进行计算，得到平台覆盖率信息。</w:t>
      </w:r>
      <w:r/>
    </w:p>
    <w:p>
      <w:pPr>
        <w:pStyle w:val="687"/>
        <w:numPr>
          <w:ilvl w:val="0"/>
          <w:numId w:val="8"/>
        </w:numPr>
        <w:ind w:left="900"/>
        <w:spacing w:line="360" w:lineRule="auto"/>
        <w:rPr>
          <w:rFonts w:hint="eastAsia" w:ascii="宋体" w:hAnsi="宋体"/>
        </w:rPr>
      </w:pPr>
      <w:r>
        <w:rPr>
          <w:rFonts w:hint="eastAsia" w:ascii="宋体" w:hAnsi="宋体"/>
        </w:rPr>
        <w:t xml:space="preserve">使用部门：汇总使用平台并应用平台内网上办公模块进行公文流转的单位数量。</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公文数量分析</w:t>
      </w:r>
      <w:r/>
    </w:p>
    <w:p>
      <w:pPr>
        <w:pStyle w:val="687"/>
        <w:ind w:firstLine="480"/>
        <w:spacing w:line="360" w:lineRule="auto"/>
        <w:rPr>
          <w:rFonts w:hint="eastAsia" w:ascii="宋体" w:hAnsi="宋体"/>
        </w:rPr>
      </w:pPr>
      <w:r>
        <w:rPr>
          <w:rFonts w:hint="eastAsia" w:ascii="宋体" w:hAnsi="宋体"/>
        </w:rPr>
        <w:t xml:space="preserve">吴江区电子政务综合办公平台主要承载是吴江区各部门公文流转，平台内的公文数量直接反映了平台使用效果，也侧面展示了用户的粘性。</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用户类型分析</w:t>
      </w:r>
      <w:r/>
    </w:p>
    <w:p>
      <w:pPr>
        <w:pStyle w:val="687"/>
        <w:ind w:firstLine="480"/>
        <w:spacing w:line="360" w:lineRule="auto"/>
        <w:rPr>
          <w:rFonts w:hint="eastAsia" w:ascii="宋体" w:hAnsi="宋体"/>
        </w:rPr>
      </w:pPr>
      <w:r>
        <w:rPr>
          <w:rFonts w:hint="eastAsia" w:ascii="宋体" w:hAnsi="宋体"/>
        </w:rPr>
        <w:t xml:space="preserve">吴江区电子政务综合办公平台设计核心是“以人为本”，平台的用户是电子政务平台的价值体现，用户类型分析可以掌握用户整合分布情况。将用户根据类型分为：区委工作部门用户，区政府工作部门用户，区委直</w:t>
      </w:r>
      <w:r>
        <w:rPr>
          <w:rFonts w:hint="eastAsia" w:ascii="宋体" w:hAnsi="宋体"/>
        </w:rPr>
        <w:t xml:space="preserve">属用户，区政府直属用户，群团用户，区属企业用户，条线直属用户，直属公司用户，金融机构用户和区镇用户。</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移动端使用分析</w:t>
      </w:r>
      <w:r/>
    </w:p>
    <w:p>
      <w:pPr>
        <w:pStyle w:val="687"/>
        <w:ind w:firstLine="480"/>
        <w:spacing w:line="360" w:lineRule="auto"/>
        <w:rPr>
          <w:rFonts w:hint="eastAsia" w:ascii="宋体" w:hAnsi="宋体"/>
        </w:rPr>
      </w:pPr>
      <w:r>
        <w:rPr>
          <w:rFonts w:hint="eastAsia" w:ascii="宋体" w:hAnsi="宋体"/>
        </w:rPr>
        <w:t xml:space="preserve">吴江区电子政务综合办公平台由移动端和网页端组成，使用移动端能满足更高的政务场景需求，移动端根据设备类型分为android，IOS和鸿蒙，当前电子政务综合办公平台正在进行国产化适配，未来鸿蒙系统也将适配，考虑扩展性，本次分析将鸿蒙系统统一纳入分析。</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部门发文分析</w:t>
      </w:r>
      <w:r/>
    </w:p>
    <w:p>
      <w:pPr>
        <w:pStyle w:val="687"/>
        <w:ind w:firstLine="480"/>
        <w:spacing w:line="360" w:lineRule="auto"/>
        <w:rPr>
          <w:rFonts w:hint="eastAsia" w:ascii="宋体" w:hAnsi="宋体"/>
        </w:rPr>
      </w:pPr>
      <w:r>
        <w:rPr>
          <w:rFonts w:hint="eastAsia" w:ascii="宋体" w:hAnsi="宋体"/>
        </w:rPr>
        <w:t xml:space="preserve">部门发布分析是分析平台中的重点内容，通过部门发文分析可以侧面展现吴江区各单位政策文件情况。在部门中将抓取发文数量前20进行数据分析，根据发文单位对公文数量数据进行梳理分析，同时计算去年各个单位的发文数量，通过同比分析掌握政策文件变化情况。</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电子化归档分析</w:t>
      </w:r>
      <w:r/>
    </w:p>
    <w:p>
      <w:pPr>
        <w:pStyle w:val="687"/>
        <w:ind w:firstLine="480"/>
        <w:spacing w:line="360" w:lineRule="auto"/>
        <w:rPr>
          <w:rFonts w:hint="eastAsia" w:ascii="宋体" w:hAnsi="宋体"/>
        </w:rPr>
      </w:pPr>
      <w:r>
        <w:rPr>
          <w:rFonts w:hint="eastAsia" w:ascii="宋体" w:hAnsi="宋体"/>
        </w:rPr>
        <w:t xml:space="preserve">吴江区电子政务综合办公平台从2024年开始引入电子化归档，各委办局可通过接口方式将公文直接提交档案局进行电子化归档。</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应用分类分析</w:t>
      </w:r>
      <w:r/>
    </w:p>
    <w:p>
      <w:pPr>
        <w:pStyle w:val="687"/>
        <w:ind w:firstLine="480"/>
        <w:spacing w:line="360" w:lineRule="auto"/>
        <w:rPr>
          <w:rFonts w:hint="eastAsia" w:ascii="宋体" w:hAnsi="宋体"/>
        </w:rPr>
      </w:pPr>
      <w:r>
        <w:rPr>
          <w:rFonts w:hint="eastAsia" w:ascii="宋体" w:hAnsi="宋体"/>
        </w:rPr>
        <w:t xml:space="preserve">通过标签机制将已接入电子政务平台的引用进行分类计算和汇总，通过柱状图的形式将不同的应用分类情况展示出来。</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应用使用频率分析</w:t>
      </w:r>
      <w:r/>
    </w:p>
    <w:p>
      <w:pPr>
        <w:pStyle w:val="687"/>
        <w:ind w:firstLine="480"/>
        <w:spacing w:line="360" w:lineRule="auto"/>
        <w:rPr>
          <w:rFonts w:hint="eastAsia" w:ascii="宋体" w:hAnsi="宋体"/>
        </w:rPr>
      </w:pPr>
      <w:r>
        <w:rPr>
          <w:rFonts w:hint="eastAsia" w:ascii="宋体" w:hAnsi="宋体"/>
        </w:rPr>
        <w:t xml:space="preserve">接入平台的应用越来越多，这些应用的使用频率直观表现了该应用是否被充运用，在应用使用频率分析中分为高频应用和低频应用，分别根据每月的使</w:t>
      </w:r>
      <w:r>
        <w:rPr>
          <w:rFonts w:hint="eastAsia" w:ascii="宋体" w:hAnsi="宋体"/>
        </w:rPr>
        <w:t xml:space="preserve">用情况计算访问数量，高频应用将是平台的重点应用，相关的资源也可以进行适当的倾斜，低频应用则需要对应部门进行相关的优化，使其发挥真正的价值体现。</w:t>
      </w:r>
      <w:r/>
    </w:p>
    <w:p>
      <w:pPr>
        <w:pStyle w:val="687"/>
        <w:numPr>
          <w:ilvl w:val="0"/>
          <w:numId w:val="7"/>
        </w:numPr>
        <w:contextualSpacing/>
        <w:jc w:val="left"/>
        <w:spacing w:after="160" w:line="360" w:lineRule="auto"/>
        <w:rPr>
          <w:rFonts w:hint="eastAsia" w:ascii="宋体" w:hAnsi="宋体"/>
          <w:b/>
          <w:bCs/>
          <w:szCs w:val="24"/>
        </w:rPr>
      </w:pPr>
      <w:r>
        <w:rPr>
          <w:rFonts w:hint="eastAsia" w:ascii="宋体" w:hAnsi="宋体"/>
          <w:b/>
          <w:bCs/>
          <w:szCs w:val="24"/>
        </w:rPr>
        <w:t xml:space="preserve">公文热搜分析</w:t>
      </w:r>
      <w:r/>
    </w:p>
    <w:p>
      <w:pPr>
        <w:pStyle w:val="687"/>
        <w:ind w:firstLine="480"/>
        <w:spacing w:line="360" w:lineRule="auto"/>
        <w:rPr>
          <w:rFonts w:hint="eastAsia" w:ascii="宋体" w:hAnsi="宋体"/>
        </w:rPr>
      </w:pPr>
      <w:r>
        <w:rPr>
          <w:rFonts w:hint="eastAsia" w:ascii="宋体" w:hAnsi="宋体"/>
        </w:rPr>
        <w:t xml:space="preserve">公文热搜是分析平台对电子政务综合办公平台搜索引擎的深度定向分析。其核心是利用先进的分词技术，对平台内的公文进行全面且细致的拆解分析。分词技术就如同一位精准的 “文字解剖师”，能够将一篇篇结构复杂的公文，按照词语、短语等最小语义单元进行划分。通过这种方式，从海量的公文数据中提取出高频出现的词汇，这些词汇便是所谓的公文热词。</w:t>
      </w:r>
      <w:r/>
    </w:p>
    <w:p>
      <w:pPr>
        <w:pStyle w:val="687"/>
        <w:ind w:firstLine="480"/>
        <w:spacing w:line="360" w:lineRule="auto"/>
        <w:rPr>
          <w:rFonts w:hint="eastAsia" w:ascii="宋体" w:hAnsi="宋体"/>
        </w:rPr>
      </w:pPr>
      <w:r>
        <w:rPr>
          <w:rFonts w:hint="eastAsia" w:ascii="宋体" w:hAnsi="宋体"/>
        </w:rPr>
      </w:r>
      <w:r/>
    </w:p>
    <w:p>
      <w:pPr>
        <w:pStyle w:val="687"/>
        <w:numPr>
          <w:ilvl w:val="4"/>
          <w:numId w:val="5"/>
        </w:numPr>
        <w:spacing w:line="360" w:lineRule="auto"/>
        <w:rPr>
          <w:rFonts w:hint="eastAsia" w:ascii="宋体" w:hAnsi="宋体" w:cs="宋体"/>
          <w:b/>
          <w:bCs/>
          <w:sz w:val="28"/>
          <w:szCs w:val="28"/>
        </w:rPr>
        <w:outlineLvl w:val="4"/>
      </w:pPr>
      <w:r>
        <w:rPr>
          <w:rFonts w:hint="eastAsia" w:ascii="宋体" w:hAnsi="宋体" w:cs="宋体"/>
          <w:b/>
          <w:bCs/>
          <w:sz w:val="28"/>
          <w:szCs w:val="28"/>
        </w:rPr>
        <w:t xml:space="preserve">信息系统集约管理</w:t>
      </w:r>
      <w:r/>
    </w:p>
    <w:p>
      <w:pPr>
        <w:pStyle w:val="687"/>
        <w:ind w:firstLine="420"/>
        <w:jc w:val="left"/>
        <w:spacing w:line="360" w:lineRule="auto"/>
        <w:widowControl/>
        <w:tabs>
          <w:tab w:val="left" w:pos="2870" w:leader="none"/>
        </w:tabs>
        <w:rPr>
          <w:rFonts w:hint="eastAsia" w:ascii="宋体" w:hAnsi="宋体" w:cs="宋体"/>
          <w:bCs/>
          <w:szCs w:val="21"/>
        </w:rPr>
      </w:pPr>
      <w:r>
        <w:rPr>
          <w:rFonts w:hint="eastAsia" w:ascii="宋体" w:hAnsi="宋体" w:cs="宋体"/>
          <w:bCs/>
          <w:szCs w:val="21"/>
        </w:rPr>
        <w:t xml:space="preserve">信息系统集约管理是对全区信息系统情况以及信息化项目情况的分析展示，通过整合分散的系统平台数据和申报项目数据，基于可视化大屏实现全局监测、资源优化和科学决策，从而推动吴江区电子政务信息系统集约化、标准化管理。     </w:t>
      </w:r>
      <w:r/>
    </w:p>
    <w:p>
      <w:pPr>
        <w:pStyle w:val="687"/>
        <w:ind w:firstLine="420"/>
        <w:jc w:val="left"/>
        <w:spacing w:line="360" w:lineRule="auto"/>
        <w:widowControl/>
        <w:tabs>
          <w:tab w:val="left" w:pos="2870" w:leader="none"/>
        </w:tabs>
        <w:rPr>
          <w:rFonts w:ascii="宋体" w:hAnsi="宋体" w:cs="宋体"/>
          <w:bCs/>
          <w:szCs w:val="21"/>
        </w:rPr>
      </w:pPr>
      <w:r>
        <w:rPr>
          <w:rFonts w:hint="eastAsia" w:ascii="宋体" w:hAnsi="宋体" w:cs="宋体"/>
          <w:bCs/>
          <w:szCs w:val="21"/>
        </w:rPr>
        <w:t xml:space="preserve">分析平台将从多个维度进行分析，包括区级自建系统与上级条线系统分析，部门系统使用情况分析，信息化项目数据趋势分析，各部门申报项目预算与评审金额分析，以及不同类型项目的预算金额分析。</w:t>
      </w:r>
      <w:r>
        <w:rPr>
          <w:rFonts w:ascii="宋体" w:hAnsi="宋体" w:cs="宋体"/>
          <w:bCs/>
          <w:szCs w:val="21"/>
        </w:rPr>
      </w:r>
      <w:r/>
    </w:p>
    <w:p>
      <w:pPr>
        <w:pStyle w:val="766"/>
        <w:ind w:left="0" w:firstLine="0"/>
      </w:pPr>
      <w:r/>
      <w:r/>
    </w:p>
    <w:p>
      <w:pPr>
        <w:pStyle w:val="687"/>
        <w:numPr>
          <w:ilvl w:val="1"/>
          <w:numId w:val="5"/>
        </w:num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视频算法中心</w:t>
      </w:r>
      <w:r/>
    </w:p>
    <w:p>
      <w:pPr>
        <w:pStyle w:val="687"/>
        <w:ind w:firstLine="420"/>
        <w:spacing w:line="360" w:lineRule="auto"/>
        <w:rPr>
          <w:rFonts w:hint="eastAsia" w:ascii="宋体" w:hAnsi="宋体"/>
        </w:rPr>
      </w:pPr>
      <w:r>
        <w:rPr>
          <w:rFonts w:hint="eastAsia" w:ascii="宋体" w:hAnsi="宋体"/>
        </w:rPr>
        <w:t xml:space="preserve">视频算法中心是吴江区AI普惠化的核心引擎，定位为“开发工厂+迭代引擎+生态枢纽”，通过四层架构实现“低门槛开</w:t>
      </w:r>
      <w:r>
        <w:rPr>
          <w:rFonts w:hint="eastAsia" w:ascii="宋体" w:hAnsi="宋体"/>
        </w:rPr>
        <w:t xml:space="preserve">发、场景化适配、可持续迭代”：算力层以Kubernetes构建弹性GPU/CPU资源池，为模型训练提供算力保障；算法库整合通用算法与吴江产业专用算法，预置“开箱即用”模板；开发工具链依托低代码界面（拖拽建模）、自动特征工程降低开发门槛；模型管理通过MLflow（版本控制）、Prometheus（性能监控）、Kubeflow（流水线编排）实现“开发-训练-部署-监控”全生命周期管理，支持准确率低于阈值自动重训，从而成为支撑吴江区传统产业数字化转型的智能底座。</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可视化展示</w:t>
      </w:r>
      <w:r/>
    </w:p>
    <w:p>
      <w:pPr>
        <w:pStyle w:val="687"/>
        <w:ind w:firstLine="420"/>
        <w:spacing w:line="360" w:lineRule="auto"/>
        <w:widowControl/>
        <w:rPr>
          <w:rFonts w:hint="eastAsia" w:ascii="宋体" w:hAnsi="宋体"/>
        </w:rPr>
      </w:pPr>
      <w:r>
        <w:rPr>
          <w:rFonts w:hint="eastAsia" w:ascii="宋体" w:hAnsi="宋体"/>
        </w:rPr>
        <w:t xml:space="preserve">基于大屏视角与可视化方式，统计分析视频算法中心的整体数据情况与运行情况。包括：</w:t>
      </w:r>
      <w:r/>
    </w:p>
    <w:p>
      <w:pPr>
        <w:pStyle w:val="687"/>
        <w:ind w:firstLine="420"/>
        <w:spacing w:line="360" w:lineRule="auto"/>
        <w:widowControl/>
        <w:rPr>
          <w:rFonts w:hint="eastAsia" w:ascii="宋体" w:hAnsi="宋体"/>
        </w:rPr>
      </w:pPr>
      <w:r>
        <w:rPr>
          <w:rFonts w:hint="eastAsia" w:ascii="宋体" w:hAnsi="宋体"/>
        </w:rPr>
        <w:t xml:space="preserve">全局态势感知：核心指标汇总、运行状态总览。</w:t>
      </w:r>
      <w:r/>
    </w:p>
    <w:p>
      <w:pPr>
        <w:pStyle w:val="687"/>
        <w:ind w:firstLine="420"/>
        <w:spacing w:line="360" w:lineRule="auto"/>
        <w:widowControl/>
        <w:rPr>
          <w:rFonts w:hint="eastAsia" w:ascii="宋体" w:hAnsi="宋体"/>
        </w:rPr>
      </w:pPr>
      <w:r>
        <w:rPr>
          <w:rFonts w:hint="eastAsia" w:ascii="宋体" w:hAnsi="宋体"/>
        </w:rPr>
        <w:t xml:space="preserve">核心数据统计模块：视频数据画像、处理结果统计</w:t>
      </w:r>
      <w:r/>
    </w:p>
    <w:p>
      <w:pPr>
        <w:pStyle w:val="687"/>
        <w:ind w:firstLine="420"/>
        <w:spacing w:line="360" w:lineRule="auto"/>
        <w:widowControl/>
        <w:rPr>
          <w:rFonts w:hint="eastAsia" w:ascii="宋体" w:hAnsi="宋体"/>
        </w:rPr>
      </w:pPr>
      <w:r>
        <w:rPr>
          <w:rFonts w:hint="eastAsia" w:ascii="宋体" w:hAnsi="宋体"/>
        </w:rPr>
        <w:t xml:space="preserve">运行情况监控模块：推理任务监控、资源消耗监控</w:t>
      </w:r>
      <w:r/>
    </w:p>
    <w:p>
      <w:pPr>
        <w:pStyle w:val="687"/>
        <w:ind w:firstLine="420"/>
        <w:spacing w:line="360" w:lineRule="auto"/>
        <w:widowControl/>
        <w:rPr>
          <w:rFonts w:hint="eastAsia" w:ascii="宋体" w:hAnsi="宋体"/>
        </w:rPr>
      </w:pPr>
      <w:r>
        <w:rPr>
          <w:rFonts w:hint="eastAsia" w:ascii="宋体" w:hAnsi="宋体"/>
        </w:rPr>
        <w:t xml:space="preserve">算法性能评估模块：效果指标分析、场景化性能对比</w:t>
      </w:r>
      <w:r/>
    </w:p>
    <w:p>
      <w:pPr>
        <w:pStyle w:val="687"/>
        <w:ind w:firstLine="420"/>
        <w:spacing w:line="360" w:lineRule="auto"/>
        <w:widowControl/>
        <w:rPr>
          <w:rFonts w:ascii="宋体" w:hAnsi="宋体"/>
        </w:rPr>
      </w:pPr>
      <w:r>
        <w:rPr>
          <w:rFonts w:hint="eastAsia" w:ascii="宋体" w:hAnsi="宋体"/>
        </w:rPr>
        <w:t xml:space="preserve">异常与告警可视化模块：异常类型分布、告警实时推送、异常趋势分析</w:t>
      </w: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视频算法中心</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工作流管理</w:t>
      </w:r>
      <w:r/>
    </w:p>
    <w:p>
      <w:pPr>
        <w:pStyle w:val="687"/>
        <w:ind w:firstLine="420"/>
        <w:spacing w:line="360" w:lineRule="auto"/>
        <w:widowControl/>
        <w:rPr>
          <w:rFonts w:ascii="宋体" w:hAnsi="宋体"/>
        </w:rPr>
      </w:pPr>
      <w:r>
        <w:rPr>
          <w:rFonts w:hint="eastAsia" w:ascii="宋体" w:hAnsi="宋体"/>
        </w:rPr>
        <w:t xml:space="preserve">工作流是对所有工作流的节点配置管理。包括模型节点、输入节点、输出节点、工作流节点、处理节点、内置节点、外置API。例如：</w:t>
      </w:r>
      <w:r>
        <w:rPr>
          <w:rFonts w:ascii="宋体" w:hAnsi="宋体"/>
        </w:rPr>
      </w:r>
      <w:r/>
    </w:p>
    <w:p>
      <w:pPr>
        <w:pStyle w:val="687"/>
        <w:ind w:firstLine="420"/>
        <w:spacing w:line="360" w:lineRule="auto"/>
        <w:widowControl/>
        <w:rPr>
          <w:rFonts w:hint="eastAsia" w:ascii="宋体" w:hAnsi="宋体"/>
        </w:rPr>
      </w:pPr>
      <w:r>
        <w:rPr>
          <w:rFonts w:hint="eastAsia" w:ascii="宋体" w:hAnsi="宋体"/>
        </w:rPr>
        <w:t xml:space="preserve">模型节点：</w:t>
      </w:r>
      <w:r/>
    </w:p>
    <w:p>
      <w:pPr>
        <w:pStyle w:val="687"/>
        <w:numPr>
          <w:ilvl w:val="0"/>
          <w:numId w:val="9"/>
        </w:numPr>
        <w:spacing w:line="360" w:lineRule="auto"/>
        <w:widowControl/>
        <w:rPr>
          <w:rFonts w:hint="eastAsia" w:ascii="宋体" w:hAnsi="宋体"/>
        </w:rPr>
      </w:pPr>
      <w:r>
        <w:rPr>
          <w:rFonts w:hint="eastAsia" w:ascii="宋体" w:hAnsi="宋体"/>
        </w:rPr>
        <w:t xml:space="preserve">人物检测(YOLO)</w:t>
      </w:r>
      <w:r/>
    </w:p>
    <w:p>
      <w:pPr>
        <w:pStyle w:val="687"/>
        <w:ind w:firstLine="420"/>
        <w:spacing w:line="360" w:lineRule="auto"/>
        <w:widowControl/>
        <w:rPr>
          <w:rFonts w:hint="eastAsia" w:ascii="宋体" w:hAnsi="宋体"/>
        </w:rPr>
      </w:pPr>
      <w:r>
        <w:rPr>
          <w:rFonts w:hint="eastAsia" w:ascii="宋体" w:hAnsi="宋体"/>
        </w:rPr>
        <w:t xml:space="preserve">使用YOLO模型进行人物检测，输出检测框</w:t>
      </w:r>
      <w:r>
        <w:rPr>
          <w:rFonts w:hint="eastAsia" w:ascii="宋体" w:hAnsi="宋体"/>
        </w:rPr>
        <w:t xml:space="preserve">、数量与摘要。</w:t>
      </w:r>
      <w:r/>
    </w:p>
    <w:p>
      <w:pPr>
        <w:pStyle w:val="687"/>
        <w:numPr>
          <w:ilvl w:val="0"/>
          <w:numId w:val="9"/>
        </w:numPr>
        <w:spacing w:line="360" w:lineRule="auto"/>
        <w:widowControl/>
        <w:rPr>
          <w:rFonts w:hint="eastAsia" w:ascii="宋体" w:hAnsi="宋体"/>
        </w:rPr>
      </w:pPr>
      <w:r>
        <w:rPr>
          <w:rFonts w:hint="eastAsia" w:ascii="宋体" w:hAnsi="宋体"/>
        </w:rPr>
        <w:t xml:space="preserve">河湖治理识别</w:t>
      </w:r>
      <w:r/>
    </w:p>
    <w:p>
      <w:pPr>
        <w:pStyle w:val="687"/>
        <w:ind w:firstLine="420"/>
        <w:spacing w:line="360" w:lineRule="auto"/>
        <w:widowControl/>
        <w:rPr>
          <w:rFonts w:hint="eastAsia" w:ascii="宋体" w:hAnsi="宋体"/>
        </w:rPr>
      </w:pPr>
      <w:r>
        <w:rPr>
          <w:rFonts w:hint="eastAsia" w:ascii="宋体" w:hAnsi="宋体"/>
        </w:rPr>
        <w:t xml:space="preserve">专门用于河湖治理相关项目的目标识别，支持自定义模型文件路径进行识别。</w:t>
      </w:r>
      <w:r/>
    </w:p>
    <w:p>
      <w:pPr>
        <w:pStyle w:val="687"/>
        <w:numPr>
          <w:ilvl w:val="0"/>
          <w:numId w:val="9"/>
        </w:numPr>
        <w:spacing w:line="360" w:lineRule="auto"/>
        <w:widowControl/>
        <w:rPr>
          <w:rFonts w:hint="eastAsia" w:ascii="宋体" w:hAnsi="宋体"/>
        </w:rPr>
      </w:pPr>
      <w:r>
        <w:rPr>
          <w:rFonts w:hint="eastAsia" w:ascii="宋体" w:hAnsi="宋体"/>
        </w:rPr>
        <w:t xml:space="preserve">汽车种类识别</w:t>
      </w:r>
      <w:r/>
    </w:p>
    <w:p>
      <w:pPr>
        <w:pStyle w:val="687"/>
        <w:ind w:firstLine="420"/>
        <w:spacing w:line="360" w:lineRule="auto"/>
        <w:widowControl/>
        <w:rPr>
          <w:rFonts w:hint="eastAsia" w:ascii="宋体" w:hAnsi="宋体"/>
        </w:rPr>
      </w:pPr>
      <w:r>
        <w:rPr>
          <w:rFonts w:hint="eastAsia" w:ascii="宋体" w:hAnsi="宋体"/>
        </w:rPr>
        <w:t xml:space="preserve">基于Yolo11汽车种类识别。</w:t>
      </w:r>
      <w:r/>
    </w:p>
    <w:p>
      <w:pPr>
        <w:pStyle w:val="687"/>
        <w:numPr>
          <w:ilvl w:val="0"/>
          <w:numId w:val="9"/>
        </w:numPr>
        <w:spacing w:line="360" w:lineRule="auto"/>
        <w:widowControl/>
        <w:rPr>
          <w:rFonts w:hint="eastAsia" w:ascii="宋体" w:hAnsi="宋体"/>
        </w:rPr>
      </w:pPr>
      <w:r>
        <w:rPr>
          <w:rFonts w:hint="eastAsia" w:ascii="宋体" w:hAnsi="宋体"/>
        </w:rPr>
        <w:t xml:space="preserve">通用目标识别节点</w:t>
      </w:r>
      <w:r/>
    </w:p>
    <w:p>
      <w:pPr>
        <w:pStyle w:val="687"/>
        <w:ind w:firstLine="420"/>
        <w:spacing w:line="360" w:lineRule="auto"/>
        <w:widowControl/>
        <w:rPr>
          <w:rFonts w:hint="eastAsia" w:ascii="宋体" w:hAnsi="宋体"/>
        </w:rPr>
      </w:pPr>
      <w:r>
        <w:rPr>
          <w:rFonts w:hint="eastAsia" w:ascii="宋体" w:hAnsi="宋体"/>
        </w:rPr>
        <w:t xml:space="preserve">通用的矩形框目标识别节点。</w:t>
      </w:r>
      <w:r/>
    </w:p>
    <w:p>
      <w:pPr>
        <w:pStyle w:val="687"/>
        <w:numPr>
          <w:ilvl w:val="0"/>
          <w:numId w:val="9"/>
        </w:numPr>
        <w:spacing w:line="360" w:lineRule="auto"/>
        <w:widowControl/>
        <w:rPr>
          <w:rFonts w:hint="eastAsia" w:ascii="宋体" w:hAnsi="宋体"/>
        </w:rPr>
      </w:pPr>
      <w:r>
        <w:rPr>
          <w:rFonts w:hint="eastAsia" w:ascii="宋体" w:hAnsi="宋体"/>
        </w:rPr>
        <w:t xml:space="preserve">车牌识别(HyperLPR3)</w:t>
      </w:r>
      <w:r/>
    </w:p>
    <w:p>
      <w:pPr>
        <w:pStyle w:val="687"/>
        <w:ind w:firstLine="420"/>
        <w:spacing w:line="360" w:lineRule="auto"/>
        <w:widowControl/>
        <w:rPr>
          <w:rFonts w:hint="eastAsia" w:ascii="宋体" w:hAnsi="宋体"/>
        </w:rPr>
      </w:pPr>
      <w:r>
        <w:rPr>
          <w:rFonts w:hint="eastAsia" w:ascii="宋体" w:hAnsi="宋体"/>
        </w:rPr>
        <w:t xml:space="preserve">使用HyperLPR3进行车牌识别，输出识别结果、可视化图像与数量。</w:t>
      </w:r>
      <w:r/>
    </w:p>
    <w:p>
      <w:pPr>
        <w:pStyle w:val="687"/>
        <w:numPr>
          <w:ilvl w:val="0"/>
          <w:numId w:val="9"/>
        </w:numPr>
        <w:spacing w:line="360" w:lineRule="auto"/>
        <w:widowControl/>
        <w:rPr>
          <w:rFonts w:hint="eastAsia" w:ascii="宋体" w:hAnsi="宋体"/>
        </w:rPr>
      </w:pPr>
      <w:r>
        <w:rPr>
          <w:rFonts w:hint="eastAsia" w:ascii="宋体" w:hAnsi="宋体"/>
        </w:rPr>
        <w:t xml:space="preserve">OBB旋转目标检测节点</w:t>
      </w:r>
      <w:r/>
    </w:p>
    <w:p>
      <w:pPr>
        <w:pStyle w:val="687"/>
        <w:ind w:firstLine="420"/>
        <w:spacing w:line="360" w:lineRule="auto"/>
        <w:widowControl/>
        <w:rPr>
          <w:rFonts w:hint="eastAsia" w:ascii="宋体" w:hAnsi="宋体"/>
        </w:rPr>
      </w:pPr>
      <w:r>
        <w:rPr>
          <w:rFonts w:hint="eastAsia" w:ascii="宋体" w:hAnsi="宋体"/>
        </w:rPr>
        <w:t xml:space="preserve">通用OBB旋转目标框检测节点，精度更高。</w:t>
      </w:r>
      <w:r/>
    </w:p>
    <w:p>
      <w:pPr>
        <w:pStyle w:val="687"/>
        <w:numPr>
          <w:ilvl w:val="0"/>
          <w:numId w:val="9"/>
        </w:numPr>
        <w:spacing w:line="360" w:lineRule="auto"/>
        <w:widowControl/>
        <w:rPr>
          <w:rFonts w:hint="eastAsia" w:ascii="宋体" w:hAnsi="宋体"/>
        </w:rPr>
      </w:pPr>
      <w:r>
        <w:rPr>
          <w:rFonts w:hint="eastAsia" w:ascii="宋体" w:hAnsi="宋体"/>
        </w:rPr>
        <w:t xml:space="preserve">通用目标分割节点</w:t>
      </w:r>
      <w:r/>
    </w:p>
    <w:p>
      <w:pPr>
        <w:pStyle w:val="687"/>
        <w:ind w:firstLine="420"/>
        <w:spacing w:line="360" w:lineRule="auto"/>
        <w:widowControl/>
        <w:rPr>
          <w:rFonts w:hint="eastAsia" w:ascii="宋体" w:hAnsi="宋体"/>
        </w:rPr>
      </w:pPr>
      <w:r>
        <w:rPr>
          <w:rFonts w:hint="eastAsia" w:ascii="宋体" w:hAnsi="宋体"/>
        </w:rPr>
        <w:t xml:space="preserve">该节点可以用于需要精确分割的场景。</w:t>
      </w:r>
      <w:r/>
    </w:p>
    <w:p>
      <w:pPr>
        <w:pStyle w:val="687"/>
        <w:numPr>
          <w:ilvl w:val="0"/>
          <w:numId w:val="9"/>
        </w:numPr>
        <w:spacing w:line="360" w:lineRule="auto"/>
        <w:widowControl/>
        <w:rPr>
          <w:rFonts w:hint="eastAsia" w:ascii="宋体" w:hAnsi="宋体"/>
        </w:rPr>
      </w:pPr>
      <w:r>
        <w:rPr>
          <w:rFonts w:hint="eastAsia" w:ascii="宋体" w:hAnsi="宋体"/>
        </w:rPr>
        <w:t xml:space="preserve">人脸识别节点</w:t>
      </w:r>
      <w:r/>
    </w:p>
    <w:p>
      <w:pPr>
        <w:pStyle w:val="687"/>
        <w:ind w:firstLine="420"/>
        <w:spacing w:line="360" w:lineRule="auto"/>
        <w:widowControl/>
        <w:rPr>
          <w:rFonts w:hint="eastAsia" w:ascii="宋体" w:hAnsi="宋体"/>
        </w:rPr>
      </w:pPr>
      <w:r>
        <w:rPr>
          <w:rFonts w:hint="eastAsia" w:ascii="宋体" w:hAnsi="宋体"/>
        </w:rPr>
        <w:t xml:space="preserve">使用face_recognition库检测人脸并提取特征值。</w:t>
      </w:r>
      <w:r/>
    </w:p>
    <w:p>
      <w:pPr>
        <w:pStyle w:val="687"/>
        <w:numPr>
          <w:ilvl w:val="0"/>
          <w:numId w:val="9"/>
        </w:numPr>
        <w:spacing w:line="360" w:lineRule="auto"/>
        <w:widowControl/>
        <w:rPr>
          <w:rFonts w:hint="eastAsia" w:ascii="宋体" w:hAnsi="宋体"/>
        </w:rPr>
      </w:pPr>
      <w:r>
        <w:rPr>
          <w:rFonts w:hint="eastAsia" w:ascii="宋体" w:hAnsi="宋体"/>
        </w:rPr>
        <w:t xml:space="preserve">自行车检测(YOLO)</w:t>
      </w:r>
      <w:r/>
    </w:p>
    <w:p>
      <w:pPr>
        <w:pStyle w:val="687"/>
        <w:ind w:firstLine="420"/>
        <w:spacing w:line="360" w:lineRule="auto"/>
        <w:widowControl/>
        <w:rPr>
          <w:rFonts w:hint="eastAsia" w:ascii="宋体" w:hAnsi="宋体"/>
        </w:rPr>
      </w:pPr>
      <w:r>
        <w:rPr>
          <w:rFonts w:hint="eastAsia" w:ascii="宋体" w:hAnsi="宋体"/>
        </w:rPr>
        <w:t xml:space="preserve">使用YOLO模型进行自行车检测，支持区域限制，输出检测框与摘要。</w:t>
      </w:r>
      <w:r/>
    </w:p>
    <w:p>
      <w:pPr>
        <w:pStyle w:val="687"/>
        <w:numPr>
          <w:ilvl w:val="0"/>
          <w:numId w:val="9"/>
        </w:numPr>
        <w:spacing w:line="360" w:lineRule="auto"/>
        <w:widowControl/>
        <w:rPr>
          <w:rFonts w:hint="eastAsia" w:ascii="宋体" w:hAnsi="宋体"/>
        </w:rPr>
      </w:pPr>
      <w:r>
        <w:rPr>
          <w:rFonts w:hint="eastAsia" w:ascii="宋体" w:hAnsi="宋体"/>
        </w:rPr>
        <w:t xml:space="preserve">大模型使用</w:t>
      </w:r>
      <w:r/>
    </w:p>
    <w:p>
      <w:pPr>
        <w:pStyle w:val="687"/>
        <w:ind w:firstLine="420"/>
        <w:spacing w:line="360" w:lineRule="auto"/>
        <w:widowControl/>
        <w:rPr>
          <w:rFonts w:hint="eastAsia" w:ascii="宋体" w:hAnsi="宋体"/>
        </w:rPr>
      </w:pPr>
      <w:r>
        <w:rPr>
          <w:rFonts w:hint="eastAsia" w:ascii="宋体" w:hAnsi="宋体"/>
        </w:rPr>
        <w:t xml:space="preserve">调用大模型API，支持文本和图片输出，支持流式输出和自定义请求头。</w:t>
      </w:r>
      <w:r/>
    </w:p>
    <w:p>
      <w:pPr>
        <w:pStyle w:val="687"/>
        <w:numPr>
          <w:ilvl w:val="0"/>
          <w:numId w:val="9"/>
        </w:numPr>
        <w:spacing w:line="360" w:lineRule="auto"/>
        <w:widowControl/>
        <w:rPr>
          <w:rFonts w:hint="eastAsia" w:ascii="宋体" w:hAnsi="宋体"/>
        </w:rPr>
      </w:pPr>
      <w:r>
        <w:rPr>
          <w:rFonts w:hint="eastAsia" w:ascii="宋体" w:hAnsi="宋体"/>
        </w:rPr>
        <w:t xml:space="preserve">手部关键点检测</w:t>
      </w:r>
      <w:r/>
    </w:p>
    <w:p>
      <w:pPr>
        <w:pStyle w:val="687"/>
        <w:ind w:firstLine="420"/>
        <w:spacing w:line="360" w:lineRule="auto"/>
        <w:widowControl/>
        <w:rPr>
          <w:rFonts w:hint="eastAsia" w:ascii="宋体" w:hAnsi="宋体"/>
        </w:rPr>
      </w:pPr>
      <w:r>
        <w:rPr>
          <w:rFonts w:hint="eastAsia" w:ascii="宋体" w:hAnsi="宋体"/>
        </w:rPr>
        <w:t xml:space="preserve">检测手部21个关键点并输出骨架与可视化。</w:t>
      </w:r>
      <w:r/>
    </w:p>
    <w:p>
      <w:pPr>
        <w:pStyle w:val="687"/>
        <w:numPr>
          <w:ilvl w:val="0"/>
          <w:numId w:val="9"/>
        </w:numPr>
        <w:spacing w:line="360" w:lineRule="auto"/>
        <w:widowControl/>
        <w:rPr>
          <w:rFonts w:hint="eastAsia" w:ascii="宋体" w:hAnsi="宋体"/>
        </w:rPr>
      </w:pPr>
      <w:r>
        <w:rPr>
          <w:rFonts w:hint="eastAsia" w:ascii="宋体" w:hAnsi="宋体"/>
        </w:rPr>
        <w:t xml:space="preserve">可下载模型识别(YOLO)</w:t>
      </w:r>
      <w:r/>
    </w:p>
    <w:p>
      <w:pPr>
        <w:pStyle w:val="687"/>
        <w:ind w:firstLine="420"/>
        <w:spacing w:line="360" w:lineRule="auto"/>
        <w:widowControl/>
        <w:rPr>
          <w:rFonts w:hint="eastAsia" w:ascii="宋体" w:hAnsi="宋体"/>
        </w:rPr>
      </w:pPr>
      <w:r>
        <w:rPr>
          <w:rFonts w:hint="eastAsia" w:ascii="宋体" w:hAnsi="宋体"/>
        </w:rPr>
        <w:t xml:space="preserve">支持根据URL下载模型并进行通用目标检测，支持自定义阈值过滤和中英文映射接口调用。</w:t>
      </w:r>
      <w:r/>
    </w:p>
    <w:p>
      <w:pPr>
        <w:pStyle w:val="687"/>
        <w:ind w:firstLine="420"/>
        <w:spacing w:line="360" w:lineRule="auto"/>
        <w:widowControl/>
        <w:rPr>
          <w:rFonts w:hint="eastAsia" w:ascii="宋体" w:hAnsi="宋体"/>
        </w:rPr>
      </w:pPr>
      <w:r>
        <w:rPr>
          <w:rFonts w:hint="eastAsia" w:ascii="宋体" w:hAnsi="宋体"/>
        </w:rPr>
        <w:t xml:space="preserve">输入节点：</w:t>
      </w:r>
      <w:r/>
    </w:p>
    <w:p>
      <w:pPr>
        <w:pStyle w:val="687"/>
        <w:numPr>
          <w:ilvl w:val="0"/>
          <w:numId w:val="9"/>
        </w:numPr>
        <w:spacing w:line="360" w:lineRule="auto"/>
        <w:widowControl/>
        <w:rPr>
          <w:rFonts w:ascii="宋体" w:hAnsi="宋体"/>
        </w:rPr>
      </w:pPr>
      <w:r>
        <w:rPr>
          <w:rFonts w:ascii="宋体" w:hAnsi="宋体"/>
        </w:rPr>
        <w:t xml:space="preserve">批量选择图片</w:t>
      </w:r>
      <w:r/>
    </w:p>
    <w:p>
      <w:pPr>
        <w:pStyle w:val="687"/>
        <w:ind w:firstLine="420"/>
        <w:spacing w:line="360" w:lineRule="auto"/>
        <w:widowControl/>
        <w:rPr>
          <w:rFonts w:ascii="宋体" w:hAnsi="宋体"/>
        </w:rPr>
      </w:pPr>
      <w:r>
        <w:rPr>
          <w:rFonts w:ascii="宋体" w:hAnsi="宋体"/>
        </w:rPr>
        <w:t xml:space="preserve">从媒体库选择图片</w:t>
      </w:r>
      <w:r/>
    </w:p>
    <w:p>
      <w:pPr>
        <w:pStyle w:val="687"/>
        <w:numPr>
          <w:ilvl w:val="0"/>
          <w:numId w:val="9"/>
        </w:numPr>
        <w:spacing w:line="360" w:lineRule="auto"/>
        <w:widowControl/>
        <w:rPr>
          <w:rFonts w:ascii="宋体" w:hAnsi="宋体"/>
        </w:rPr>
      </w:pPr>
      <w:r>
        <w:rPr>
          <w:rFonts w:ascii="宋体" w:hAnsi="宋体"/>
        </w:rPr>
        <w:t xml:space="preserve">RTSP视频流输入</w:t>
      </w:r>
      <w:r/>
    </w:p>
    <w:p>
      <w:pPr>
        <w:pStyle w:val="687"/>
        <w:ind w:firstLine="420"/>
        <w:spacing w:line="360" w:lineRule="auto"/>
        <w:widowControl/>
        <w:rPr>
          <w:rFonts w:ascii="宋体" w:hAnsi="宋体"/>
        </w:rPr>
      </w:pPr>
      <w:r>
        <w:rPr>
          <w:rFonts w:ascii="宋体" w:hAnsi="宋体"/>
        </w:rPr>
        <w:t xml:space="preserve">RTSP视频流输入</w:t>
      </w:r>
      <w:r/>
    </w:p>
    <w:p>
      <w:pPr>
        <w:pStyle w:val="687"/>
        <w:numPr>
          <w:ilvl w:val="0"/>
          <w:numId w:val="9"/>
        </w:numPr>
        <w:spacing w:line="360" w:lineRule="auto"/>
        <w:widowControl/>
        <w:rPr>
          <w:rFonts w:ascii="宋体" w:hAnsi="宋体"/>
        </w:rPr>
      </w:pPr>
      <w:r>
        <w:rPr>
          <w:rFonts w:ascii="宋体" w:hAnsi="宋体"/>
        </w:rPr>
        <w:t xml:space="preserve">识别限制区域</w:t>
      </w:r>
      <w:r/>
    </w:p>
    <w:p>
      <w:pPr>
        <w:pStyle w:val="687"/>
        <w:ind w:firstLine="420"/>
        <w:spacing w:line="360" w:lineRule="auto"/>
        <w:widowControl/>
        <w:rPr>
          <w:rFonts w:ascii="宋体" w:hAnsi="宋体"/>
        </w:rPr>
      </w:pPr>
      <w:r>
        <w:rPr>
          <w:rFonts w:ascii="宋体" w:hAnsi="宋体"/>
        </w:rPr>
        <w:t xml:space="preserve">输出限制识别区</w:t>
      </w:r>
      <w:r/>
    </w:p>
    <w:p>
      <w:pPr>
        <w:pStyle w:val="687"/>
        <w:numPr>
          <w:ilvl w:val="0"/>
          <w:numId w:val="9"/>
        </w:numPr>
        <w:spacing w:line="360" w:lineRule="auto"/>
        <w:widowControl/>
        <w:rPr>
          <w:rFonts w:ascii="宋体" w:hAnsi="宋体"/>
        </w:rPr>
      </w:pPr>
      <w:r>
        <w:rPr>
          <w:rFonts w:ascii="宋体" w:hAnsi="宋体"/>
        </w:rPr>
        <w:t xml:space="preserve">运行时选择 (RuntimeSelector)</w:t>
      </w:r>
      <w:r/>
    </w:p>
    <w:p>
      <w:pPr>
        <w:pStyle w:val="687"/>
        <w:ind w:firstLine="420"/>
        <w:spacing w:line="360" w:lineRule="auto"/>
        <w:widowControl/>
        <w:rPr>
          <w:rFonts w:ascii="宋体" w:hAnsi="宋体"/>
        </w:rPr>
      </w:pPr>
      <w:r>
        <w:rPr>
          <w:rFonts w:ascii="宋体" w:hAnsi="宋体"/>
        </w:rPr>
        <w:t xml:space="preserve">选择 ONNX/TensorRT</w:t>
      </w:r>
      <w:r>
        <w:rPr>
          <w:rFonts w:ascii="宋体" w:hAnsi="宋体"/>
        </w:rPr>
        <w:t xml:space="preserve">/OpenVINO等运行时，输出标签供下游路由。</w:t>
      </w:r>
      <w:r/>
    </w:p>
    <w:p>
      <w:pPr>
        <w:pStyle w:val="687"/>
        <w:numPr>
          <w:ilvl w:val="0"/>
          <w:numId w:val="9"/>
        </w:numPr>
        <w:spacing w:line="360" w:lineRule="auto"/>
        <w:widowControl/>
        <w:rPr>
          <w:rFonts w:ascii="宋体" w:hAnsi="宋体"/>
        </w:rPr>
      </w:pPr>
      <w:r>
        <w:rPr>
          <w:rFonts w:ascii="宋体" w:hAnsi="宋体"/>
        </w:rPr>
        <w:t xml:space="preserve">文件输入(Filelnput)</w:t>
      </w:r>
      <w:r/>
    </w:p>
    <w:p>
      <w:pPr>
        <w:pStyle w:val="687"/>
        <w:ind w:firstLine="420"/>
        <w:spacing w:line="360" w:lineRule="auto"/>
        <w:widowControl/>
        <w:rPr>
          <w:rFonts w:ascii="宋体" w:hAnsi="宋体"/>
        </w:rPr>
      </w:pPr>
      <w:r>
        <w:rPr>
          <w:rFonts w:ascii="宋体" w:hAnsi="宋体"/>
        </w:rPr>
        <w:t xml:space="preserve">按目录与通配符扫描文件，逐个输出路径;可读图为numpy。</w:t>
      </w:r>
      <w:r/>
    </w:p>
    <w:p>
      <w:pPr>
        <w:pStyle w:val="687"/>
        <w:numPr>
          <w:ilvl w:val="0"/>
          <w:numId w:val="9"/>
        </w:numPr>
        <w:spacing w:line="360" w:lineRule="auto"/>
        <w:widowControl/>
        <w:rPr>
          <w:rFonts w:ascii="宋体" w:hAnsi="宋体"/>
        </w:rPr>
      </w:pPr>
      <w:r>
        <w:rPr>
          <w:rFonts w:ascii="宋体" w:hAnsi="宋体"/>
        </w:rPr>
        <w:t xml:space="preserve">规则引擎 (RuleEngine)</w:t>
      </w:r>
      <w:r/>
    </w:p>
    <w:p>
      <w:pPr>
        <w:pStyle w:val="687"/>
        <w:ind w:firstLine="420"/>
        <w:spacing w:line="360" w:lineRule="auto"/>
        <w:widowControl/>
        <w:rPr>
          <w:rFonts w:ascii="宋体" w:hAnsi="宋体"/>
        </w:rPr>
      </w:pPr>
      <w:r>
        <w:rPr>
          <w:rFonts w:ascii="宋体" w:hAnsi="宋体"/>
        </w:rPr>
        <w:t xml:space="preserve">使用受限表达式对输入上下文求值，输出布尔条件与可选值。</w:t>
      </w:r>
      <w:r/>
    </w:p>
    <w:p>
      <w:pPr>
        <w:pStyle w:val="687"/>
        <w:numPr>
          <w:ilvl w:val="0"/>
          <w:numId w:val="9"/>
        </w:numPr>
        <w:spacing w:line="360" w:lineRule="auto"/>
        <w:widowControl/>
        <w:rPr>
          <w:rFonts w:ascii="宋体" w:hAnsi="宋体"/>
        </w:rPr>
      </w:pPr>
      <w:r>
        <w:rPr>
          <w:rFonts w:ascii="宋体" w:hAnsi="宋体"/>
        </w:rPr>
        <w:t xml:space="preserve">定时调度(TimerScheduler)</w:t>
      </w:r>
      <w:r/>
    </w:p>
    <w:p>
      <w:pPr>
        <w:pStyle w:val="687"/>
        <w:ind w:firstLine="420"/>
        <w:spacing w:line="360" w:lineRule="auto"/>
        <w:widowControl/>
        <w:rPr>
          <w:rFonts w:ascii="宋体" w:hAnsi="宋体"/>
        </w:rPr>
      </w:pPr>
      <w:r>
        <w:rPr>
          <w:rFonts w:ascii="宋体" w:hAnsi="宋体"/>
        </w:rPr>
        <w:t xml:space="preserve">按固定间隔触发，输出时间戳与计数，可设置最大触发次数。</w:t>
      </w:r>
      <w:r/>
    </w:p>
    <w:p>
      <w:pPr>
        <w:pStyle w:val="687"/>
        <w:numPr>
          <w:ilvl w:val="0"/>
          <w:numId w:val="9"/>
        </w:numPr>
        <w:spacing w:line="360" w:lineRule="auto"/>
        <w:widowControl/>
        <w:rPr>
          <w:rFonts w:ascii="宋体" w:hAnsi="宋体"/>
        </w:rPr>
      </w:pPr>
      <w:r>
        <w:rPr>
          <w:rFonts w:ascii="宋体" w:hAnsi="宋体"/>
        </w:rPr>
        <w:t xml:space="preserve">通用媒体输入</w:t>
      </w:r>
      <w:r/>
    </w:p>
    <w:p>
      <w:pPr>
        <w:pStyle w:val="687"/>
        <w:ind w:firstLine="420"/>
        <w:spacing w:line="360" w:lineRule="auto"/>
        <w:widowControl/>
        <w:rPr>
          <w:rFonts w:ascii="宋体" w:hAnsi="宋体"/>
        </w:rPr>
      </w:pPr>
      <w:r>
        <w:rPr>
          <w:rFonts w:ascii="宋体" w:hAnsi="宋体"/>
        </w:rPr>
        <w:t xml:space="preserve">自动识别单个base64图片或视频URL;图片输出一次，视频拆分为逐帧输出。</w:t>
      </w:r>
      <w:r/>
    </w:p>
    <w:p>
      <w:pPr>
        <w:pStyle w:val="687"/>
        <w:numPr>
          <w:ilvl w:val="0"/>
          <w:numId w:val="9"/>
        </w:numPr>
        <w:spacing w:line="360" w:lineRule="auto"/>
        <w:widowControl/>
        <w:rPr>
          <w:rFonts w:ascii="宋体" w:hAnsi="宋体"/>
        </w:rPr>
      </w:pPr>
      <w:r>
        <w:rPr>
          <w:rFonts w:ascii="宋体" w:hAnsi="宋体"/>
        </w:rPr>
        <w:t xml:space="preserve">RTSP定时抽帧输入</w:t>
      </w:r>
      <w:r/>
    </w:p>
    <w:p>
      <w:pPr>
        <w:pStyle w:val="687"/>
        <w:ind w:firstLine="420"/>
        <w:spacing w:line="360" w:lineRule="auto"/>
        <w:widowControl/>
        <w:rPr>
          <w:rFonts w:hint="eastAsia" w:ascii="宋体" w:hAnsi="宋体"/>
        </w:rPr>
      </w:pPr>
      <w:r>
        <w:rPr>
          <w:rFonts w:ascii="宋体" w:hAnsi="宋体"/>
        </w:rPr>
        <w:t xml:space="preserve">通过内部设置的RTSP地址并且设置抽帧信息，定时抽取视频流图像输出</w:t>
      </w:r>
      <w:r>
        <w:rPr>
          <w:rFonts w:hint="eastAsia" w:ascii="宋体" w:hAnsi="宋体"/>
        </w:rPr>
        <w:t xml:space="preserve">。</w:t>
      </w:r>
      <w:r/>
    </w:p>
    <w:p>
      <w:pPr>
        <w:pStyle w:val="687"/>
        <w:ind w:firstLine="420"/>
        <w:spacing w:line="360" w:lineRule="auto"/>
        <w:widowControl/>
        <w:rPr>
          <w:rFonts w:hint="eastAsia" w:ascii="宋体" w:hAnsi="宋体"/>
        </w:rPr>
      </w:pPr>
      <w:r>
        <w:rPr>
          <w:rFonts w:hint="eastAsia" w:ascii="宋体" w:hAnsi="宋体"/>
        </w:rPr>
        <w:t xml:space="preserve">输出节点</w:t>
      </w:r>
      <w:r/>
    </w:p>
    <w:p>
      <w:pPr>
        <w:pStyle w:val="687"/>
        <w:numPr>
          <w:ilvl w:val="0"/>
          <w:numId w:val="9"/>
        </w:numPr>
        <w:spacing w:line="360" w:lineRule="auto"/>
        <w:widowControl/>
        <w:rPr>
          <w:rFonts w:hint="eastAsia" w:ascii="宋体" w:hAnsi="宋体"/>
        </w:rPr>
      </w:pPr>
      <w:r>
        <w:rPr>
          <w:rFonts w:hint="eastAsia" w:ascii="宋体" w:hAnsi="宋体"/>
        </w:rPr>
        <w:t xml:space="preserve">视频流输出节点</w:t>
      </w:r>
      <w:r/>
    </w:p>
    <w:p>
      <w:pPr>
        <w:pStyle w:val="687"/>
        <w:ind w:firstLine="420"/>
        <w:spacing w:line="360" w:lineRule="auto"/>
        <w:widowControl/>
        <w:rPr>
          <w:rFonts w:hint="eastAsia" w:ascii="宋体" w:hAnsi="宋体"/>
        </w:rPr>
      </w:pPr>
      <w:r>
        <w:rPr>
          <w:rFonts w:hint="eastAsia" w:ascii="宋体" w:hAnsi="宋体"/>
        </w:rPr>
        <w:t xml:space="preserve">视频流输出节点</w:t>
      </w:r>
      <w:r/>
    </w:p>
    <w:p>
      <w:pPr>
        <w:pStyle w:val="687"/>
        <w:numPr>
          <w:ilvl w:val="0"/>
          <w:numId w:val="9"/>
        </w:numPr>
        <w:spacing w:line="360" w:lineRule="auto"/>
        <w:widowControl/>
        <w:rPr>
          <w:rFonts w:hint="eastAsia" w:ascii="宋体" w:hAnsi="宋体"/>
        </w:rPr>
      </w:pPr>
      <w:r>
        <w:rPr>
          <w:rFonts w:hint="eastAsia" w:ascii="宋体" w:hAnsi="宋体"/>
        </w:rPr>
        <w:t xml:space="preserve">文件输出(FileOutput)</w:t>
      </w:r>
      <w:r/>
    </w:p>
    <w:p>
      <w:pPr>
        <w:pStyle w:val="687"/>
        <w:ind w:firstLine="420"/>
        <w:spacing w:line="360" w:lineRule="auto"/>
        <w:widowControl/>
        <w:rPr>
          <w:rFonts w:hint="eastAsia" w:ascii="宋体" w:hAnsi="宋体"/>
        </w:rPr>
      </w:pPr>
      <w:r>
        <w:rPr>
          <w:rFonts w:hint="eastAsia" w:ascii="宋体" w:hAnsi="宋体"/>
        </w:rPr>
        <w:t xml:space="preserve">将图像/JSON/CSV保存至本地，支持路径模板。</w:t>
      </w:r>
      <w:r/>
    </w:p>
    <w:p>
      <w:pPr>
        <w:pStyle w:val="687"/>
        <w:numPr>
          <w:ilvl w:val="0"/>
          <w:numId w:val="9"/>
        </w:numPr>
        <w:spacing w:line="360" w:lineRule="auto"/>
        <w:widowControl/>
        <w:rPr>
          <w:rFonts w:hint="eastAsia" w:ascii="宋体" w:hAnsi="宋体"/>
        </w:rPr>
      </w:pPr>
      <w:r>
        <w:rPr>
          <w:rFonts w:hint="eastAsia" w:ascii="宋体" w:hAnsi="宋体"/>
        </w:rPr>
        <w:t xml:space="preserve">文本输出</w:t>
      </w:r>
      <w:r/>
    </w:p>
    <w:p>
      <w:pPr>
        <w:pStyle w:val="687"/>
        <w:ind w:firstLine="420"/>
        <w:spacing w:line="360" w:lineRule="auto"/>
        <w:widowControl/>
        <w:rPr>
          <w:rFonts w:hint="eastAsia" w:ascii="宋体" w:hAnsi="宋体"/>
        </w:rPr>
      </w:pPr>
      <w:r>
        <w:rPr>
          <w:rFonts w:hint="eastAsia" w:ascii="宋体" w:hAnsi="宋体"/>
        </w:rPr>
        <w:t xml:space="preserve">接入文本或识别框数据并以文本形式输出，支持摘要。</w:t>
      </w:r>
      <w:r/>
    </w:p>
    <w:p>
      <w:pPr>
        <w:pStyle w:val="687"/>
        <w:numPr>
          <w:ilvl w:val="0"/>
          <w:numId w:val="9"/>
        </w:numPr>
        <w:spacing w:line="360" w:lineRule="auto"/>
        <w:widowControl/>
        <w:rPr>
          <w:rFonts w:hint="eastAsia" w:ascii="宋体" w:hAnsi="宋体"/>
        </w:rPr>
      </w:pPr>
      <w:r>
        <w:rPr>
          <w:rFonts w:hint="eastAsia" w:ascii="宋体" w:hAnsi="宋体"/>
        </w:rPr>
        <w:t xml:space="preserve">上传到媒体库</w:t>
      </w:r>
      <w:r/>
    </w:p>
    <w:p>
      <w:pPr>
        <w:pStyle w:val="687"/>
        <w:ind w:firstLine="420"/>
        <w:spacing w:line="360" w:lineRule="auto"/>
        <w:widowControl/>
        <w:rPr>
          <w:rFonts w:hint="eastAsia" w:ascii="宋体" w:hAnsi="宋体"/>
        </w:rPr>
      </w:pPr>
      <w:r>
        <w:rPr>
          <w:rFonts w:hint="eastAsia" w:ascii="宋体" w:hAnsi="宋体"/>
        </w:rPr>
        <w:t xml:space="preserve">将结果输出到指定媒体库目录</w:t>
      </w:r>
      <w:r/>
    </w:p>
    <w:p>
      <w:pPr>
        <w:pStyle w:val="687"/>
        <w:numPr>
          <w:ilvl w:val="0"/>
          <w:numId w:val="9"/>
        </w:numPr>
        <w:spacing w:line="360" w:lineRule="auto"/>
        <w:widowControl/>
        <w:rPr>
          <w:rFonts w:hint="eastAsia" w:ascii="宋体" w:hAnsi="宋体"/>
        </w:rPr>
      </w:pPr>
      <w:r>
        <w:rPr>
          <w:rFonts w:hint="eastAsia" w:ascii="宋体" w:hAnsi="宋体"/>
        </w:rPr>
        <w:t xml:space="preserve">HTTP Webhook输出</w:t>
      </w:r>
      <w:r/>
    </w:p>
    <w:p>
      <w:pPr>
        <w:pStyle w:val="687"/>
        <w:ind w:firstLine="420"/>
        <w:spacing w:line="360" w:lineRule="auto"/>
        <w:widowControl/>
        <w:rPr>
          <w:rFonts w:hint="eastAsia" w:ascii="宋体" w:hAnsi="宋体"/>
        </w:rPr>
      </w:pPr>
      <w:r>
        <w:rPr>
          <w:rFonts w:hint="eastAsia" w:ascii="宋体" w:hAnsi="宋体"/>
        </w:rPr>
        <w:t xml:space="preserve">将输入JSON/字典通过 HTTP POST 发送到指定 webhook。</w:t>
      </w:r>
      <w:r/>
    </w:p>
    <w:p>
      <w:pPr>
        <w:pStyle w:val="687"/>
        <w:numPr>
          <w:ilvl w:val="0"/>
          <w:numId w:val="9"/>
        </w:numPr>
        <w:spacing w:line="360" w:lineRule="auto"/>
        <w:widowControl/>
        <w:rPr>
          <w:rFonts w:hint="eastAsia" w:ascii="宋体" w:hAnsi="宋体"/>
        </w:rPr>
      </w:pPr>
      <w:r>
        <w:rPr>
          <w:rFonts w:hint="eastAsia" w:ascii="宋体" w:hAnsi="宋体"/>
        </w:rPr>
        <w:t xml:space="preserve">数字输出</w:t>
      </w:r>
      <w:r/>
    </w:p>
    <w:p>
      <w:pPr>
        <w:pStyle w:val="687"/>
        <w:ind w:firstLine="420"/>
        <w:spacing w:line="360" w:lineRule="auto"/>
        <w:widowControl/>
        <w:rPr>
          <w:rFonts w:hint="eastAsia" w:ascii="宋体" w:hAnsi="宋体"/>
        </w:rPr>
      </w:pPr>
      <w:r>
        <w:rPr>
          <w:rFonts w:hint="eastAsia" w:ascii="宋体" w:hAnsi="宋体"/>
        </w:rPr>
        <w:t xml:space="preserve">接入文本或识别框数据并以文本形式输出，支持摘要。</w:t>
      </w:r>
      <w:r/>
    </w:p>
    <w:p>
      <w:pPr>
        <w:pStyle w:val="687"/>
        <w:numPr>
          <w:ilvl w:val="0"/>
          <w:numId w:val="9"/>
        </w:numPr>
        <w:spacing w:line="360" w:lineRule="auto"/>
        <w:widowControl/>
        <w:rPr>
          <w:rFonts w:hint="eastAsia" w:ascii="宋体" w:hAnsi="宋体"/>
        </w:rPr>
      </w:pPr>
      <w:r>
        <w:rPr>
          <w:rFonts w:hint="eastAsia" w:ascii="宋体" w:hAnsi="宋体"/>
        </w:rPr>
        <w:t xml:space="preserve">视频流输出(RTSP)</w:t>
      </w:r>
      <w:r/>
    </w:p>
    <w:p>
      <w:pPr>
        <w:pStyle w:val="687"/>
        <w:ind w:firstLine="420"/>
        <w:spacing w:line="360" w:lineRule="auto"/>
        <w:widowControl/>
        <w:rPr>
          <w:rFonts w:hint="eastAsia" w:ascii="宋体" w:hAnsi="宋体"/>
        </w:rPr>
      </w:pPr>
      <w:r>
        <w:rPr>
          <w:rFonts w:hint="eastAsia" w:ascii="宋体" w:hAnsi="宋体"/>
        </w:rPr>
        <w:t xml:space="preserve">将输入图像以RTSP方式推流，返回RTSP播放地址与状态信息。</w:t>
      </w:r>
      <w:r/>
    </w:p>
    <w:p>
      <w:pPr>
        <w:pStyle w:val="687"/>
        <w:numPr>
          <w:ilvl w:val="0"/>
          <w:numId w:val="9"/>
        </w:numPr>
        <w:spacing w:line="360" w:lineRule="auto"/>
        <w:widowControl/>
        <w:rPr>
          <w:rFonts w:hint="eastAsia" w:ascii="宋体" w:hAnsi="宋体"/>
        </w:rPr>
      </w:pPr>
      <w:r>
        <w:rPr>
          <w:rFonts w:hint="eastAsia" w:ascii="宋体" w:hAnsi="宋体"/>
        </w:rPr>
        <w:t xml:space="preserve">WebSocket 输出</w:t>
      </w:r>
      <w:r>
        <w:rPr>
          <w:rFonts w:hint="eastAsia" w:ascii="宋体" w:hAnsi="宋体"/>
        </w:rPr>
      </w:r>
      <w:r/>
    </w:p>
    <w:p>
      <w:pPr>
        <w:pStyle w:val="687"/>
        <w:ind w:firstLine="420"/>
        <w:spacing w:line="360" w:lineRule="auto"/>
        <w:widowControl/>
        <w:rPr>
          <w:rFonts w:hint="eastAsia" w:ascii="宋体" w:hAnsi="宋体"/>
        </w:rPr>
      </w:pPr>
      <w:r>
        <w:rPr>
          <w:rFonts w:hint="eastAsia" w:ascii="宋体" w:hAnsi="宋体"/>
        </w:rPr>
        <w:t xml:space="preserve">向指定 ws_url推送一条JSON 文本消息。</w:t>
      </w:r>
      <w:r/>
    </w:p>
    <w:p>
      <w:pPr>
        <w:pStyle w:val="687"/>
        <w:numPr>
          <w:ilvl w:val="0"/>
          <w:numId w:val="9"/>
        </w:numPr>
        <w:spacing w:line="360" w:lineRule="auto"/>
        <w:widowControl/>
        <w:rPr>
          <w:rFonts w:hint="eastAsia" w:ascii="宋体" w:hAnsi="宋体"/>
        </w:rPr>
      </w:pPr>
      <w:r>
        <w:rPr>
          <w:rFonts w:hint="eastAsia" w:ascii="宋体" w:hAnsi="宋体"/>
        </w:rPr>
        <w:t xml:space="preserve">日志与性能 (LoggingProfiling)</w:t>
      </w:r>
      <w:r/>
    </w:p>
    <w:p>
      <w:pPr>
        <w:pStyle w:val="687"/>
        <w:ind w:firstLine="420"/>
        <w:spacing w:line="360" w:lineRule="auto"/>
        <w:widowControl/>
        <w:rPr>
          <w:rFonts w:hint="eastAsia" w:ascii="宋体" w:hAnsi="宋体"/>
        </w:rPr>
      </w:pPr>
      <w:r>
        <w:rPr>
          <w:rFonts w:hint="eastAsia" w:ascii="宋体" w:hAnsi="宋体"/>
        </w:rPr>
        <w:t xml:space="preserve">记录处理耗时与累计次数，支持输出到控制台与文件。</w:t>
      </w:r>
      <w:r/>
    </w:p>
    <w:p>
      <w:pPr>
        <w:pStyle w:val="687"/>
        <w:numPr>
          <w:ilvl w:val="0"/>
          <w:numId w:val="9"/>
        </w:numPr>
        <w:spacing w:line="360" w:lineRule="auto"/>
        <w:widowControl/>
        <w:rPr>
          <w:rFonts w:hint="eastAsia" w:ascii="宋体" w:hAnsi="宋体"/>
        </w:rPr>
      </w:pPr>
      <w:r>
        <w:rPr>
          <w:rFonts w:hint="eastAsia" w:ascii="宋体" w:hAnsi="宋体"/>
        </w:rPr>
        <w:t xml:space="preserve">OSS 输出 (OsSoutput)</w:t>
      </w:r>
      <w:r/>
    </w:p>
    <w:p>
      <w:pPr>
        <w:pStyle w:val="687"/>
        <w:ind w:firstLine="420"/>
        <w:spacing w:line="360" w:lineRule="auto"/>
        <w:widowControl/>
        <w:rPr>
          <w:rFonts w:hint="eastAsia" w:ascii="宋体" w:hAnsi="宋体"/>
        </w:rPr>
      </w:pPr>
      <w:r>
        <w:rPr>
          <w:rFonts w:hint="eastAsia" w:ascii="宋体" w:hAnsi="宋体"/>
        </w:rPr>
        <w:t xml:space="preserve">上传图像或视频到0SS，返回可访问URL。</w:t>
      </w:r>
      <w:r/>
    </w:p>
    <w:p>
      <w:pPr>
        <w:pStyle w:val="687"/>
        <w:numPr>
          <w:ilvl w:val="0"/>
          <w:numId w:val="9"/>
        </w:numPr>
        <w:spacing w:line="360" w:lineRule="auto"/>
        <w:widowControl/>
        <w:rPr>
          <w:rFonts w:hint="eastAsia" w:ascii="宋体" w:hAnsi="宋体"/>
        </w:rPr>
      </w:pPr>
      <w:r>
        <w:rPr>
          <w:rFonts w:hint="eastAsia" w:ascii="宋体" w:hAnsi="宋体"/>
        </w:rPr>
        <w:t xml:space="preserve">JSON输出</w:t>
      </w:r>
      <w:r/>
    </w:p>
    <w:p>
      <w:pPr>
        <w:pStyle w:val="687"/>
        <w:ind w:firstLine="420"/>
        <w:spacing w:line="360" w:lineRule="auto"/>
        <w:widowControl/>
        <w:rPr>
          <w:rFonts w:hint="eastAsia" w:ascii="宋体" w:hAnsi="宋体"/>
        </w:rPr>
      </w:pPr>
      <w:r>
        <w:rPr>
          <w:rFonts w:hint="eastAsia" w:ascii="宋体" w:hAnsi="宋体"/>
        </w:rPr>
        <w:t xml:space="preserve">接入文本或识别框等数据并以JSON结构输出</w:t>
      </w:r>
      <w:r/>
    </w:p>
    <w:p>
      <w:pPr>
        <w:pStyle w:val="687"/>
        <w:numPr>
          <w:ilvl w:val="0"/>
          <w:numId w:val="9"/>
        </w:numPr>
        <w:spacing w:line="360" w:lineRule="auto"/>
        <w:widowControl/>
        <w:rPr>
          <w:rFonts w:hint="eastAsia" w:ascii="宋体" w:hAnsi="宋体"/>
        </w:rPr>
      </w:pPr>
      <w:r>
        <w:rPr>
          <w:rFonts w:hint="eastAsia" w:ascii="宋体" w:hAnsi="宋体"/>
        </w:rPr>
        <w:t xml:space="preserve">重试Webhook </w:t>
      </w:r>
      <w:r/>
    </w:p>
    <w:p>
      <w:pPr>
        <w:pStyle w:val="687"/>
        <w:ind w:firstLine="420"/>
        <w:spacing w:line="360" w:lineRule="auto"/>
        <w:widowControl/>
        <w:rPr>
          <w:rFonts w:hint="eastAsia" w:ascii="宋体" w:hAnsi="宋体"/>
        </w:rPr>
      </w:pPr>
      <w:r>
        <w:rPr>
          <w:rFonts w:hint="eastAsia" w:ascii="宋体" w:hAnsi="宋体"/>
        </w:rPr>
        <w:t xml:space="preserve">发送 JSON到Webhook，支持超时、最大重试与指数退避。</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训练中心</w:t>
      </w:r>
      <w:r/>
    </w:p>
    <w:p>
      <w:pPr>
        <w:pStyle w:val="687"/>
        <w:ind w:firstLine="420"/>
        <w:spacing w:line="360" w:lineRule="auto"/>
        <w:widowControl/>
        <w:rPr>
          <w:rFonts w:ascii="宋体" w:hAnsi="宋体"/>
        </w:rPr>
      </w:pPr>
      <w:r>
        <w:rPr>
          <w:rFonts w:hint="eastAsia" w:ascii="宋体" w:hAnsi="宋体"/>
        </w:rPr>
        <w:t xml:space="preserve">训练中心是对各类视频算法提供模型训练功能，包括目标分类管理、训练任务、数据集管理、采集计划、媒体库与在线工作流等功能。</w:t>
      </w:r>
      <w:r>
        <w:rPr>
          <w:rFonts w:ascii="宋体" w:hAnsi="宋体"/>
        </w:rPr>
      </w:r>
      <w:r/>
    </w:p>
    <w:p>
      <w:pPr>
        <w:pStyle w:val="687"/>
        <w:spacing w:line="360" w:lineRule="auto"/>
        <w:widowControl/>
        <w:rPr>
          <w:rFonts w:ascii="宋体" w:hAnsi="宋体"/>
        </w:rPr>
      </w:pP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模型管理</w:t>
      </w:r>
      <w:r/>
    </w:p>
    <w:p>
      <w:pPr>
        <w:pStyle w:val="687"/>
        <w:ind w:firstLine="420"/>
        <w:spacing w:line="360" w:lineRule="auto"/>
        <w:widowControl/>
        <w:rPr>
          <w:rFonts w:ascii="宋体" w:hAnsi="宋体"/>
        </w:rPr>
      </w:pPr>
      <w:r>
        <w:rPr>
          <w:rFonts w:hint="eastAsia" w:ascii="宋体" w:hAnsi="宋体"/>
        </w:rPr>
        <w:t xml:space="preserve">模型管理是对所有模型的配置管理，包括模型列表管理、已有工作流管理与自定义节点管理。通过模型管理实现对模型的各个参数配置，属性配置以及工作流与工作节点的设置。</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算法推理</w:t>
      </w:r>
      <w:r/>
    </w:p>
    <w:p>
      <w:pPr>
        <w:pStyle w:val="687"/>
        <w:ind w:firstLine="420"/>
        <w:spacing w:line="360" w:lineRule="auto"/>
        <w:widowControl/>
        <w:rPr>
          <w:rFonts w:ascii="宋体" w:hAnsi="宋体" w:cs="宋体"/>
          <w:color w:val="000000"/>
          <w:sz w:val="20"/>
          <w:szCs w:val="20"/>
          <w:lang w:bidi="ar"/>
        </w:rPr>
      </w:pPr>
      <w:r>
        <w:rPr>
          <w:rFonts w:hint="eastAsia" w:ascii="宋体" w:hAnsi="宋体"/>
        </w:rPr>
        <w:t xml:space="preserve">视频算法推理是基于各类算法模型，对各类事件的算法推理情况。基于推理任务，通过配置各给规则模型进行推理计算，展现相关推理情况，从而支撑算法模型的持续优化与准确。包括已有工作流管理与自定义节点管理、基于各类视频算法模型，对各类事件的算法推理情况、推理执行引擎、输入预处理、结果后处理与输出、性能监控与优化等。</w:t>
      </w:r>
      <w:r>
        <w:rPr>
          <w:rFonts w:ascii="宋体" w:hAnsi="宋体" w:cs="宋体"/>
          <w:color w:val="000000"/>
          <w:sz w:val="20"/>
          <w:szCs w:val="20"/>
          <w:lang w:bidi="ar"/>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应用广场</w:t>
      </w:r>
      <w:r/>
    </w:p>
    <w:p>
      <w:pPr>
        <w:pStyle w:val="687"/>
        <w:ind w:firstLine="420"/>
        <w:spacing w:line="360" w:lineRule="auto"/>
        <w:widowControl/>
        <w:rPr>
          <w:rFonts w:hint="eastAsia" w:ascii="宋体" w:hAnsi="宋体"/>
        </w:rPr>
      </w:pPr>
      <w:r>
        <w:rPr>
          <w:rFonts w:hint="eastAsia" w:ascii="宋体" w:hAnsi="宋体"/>
        </w:rPr>
        <w:t xml:space="preserve">应用广场是对所有应用</w:t>
      </w:r>
      <w:r>
        <w:rPr>
          <w:rFonts w:hint="eastAsia" w:ascii="宋体" w:hAnsi="宋体"/>
        </w:rPr>
        <w:t xml:space="preserve">的配置管理，包括应用展示与发现、</w:t>
      </w:r>
      <w:r>
        <w:rPr>
          <w:rFonts w:ascii="宋体" w:hAnsi="宋体"/>
        </w:rPr>
        <w:t xml:space="preserve">应用上架与生命周期管理</w:t>
      </w:r>
      <w:r>
        <w:rPr>
          <w:rFonts w:hint="eastAsia" w:ascii="宋体" w:hAnsi="宋体"/>
        </w:rPr>
        <w:t xml:space="preserve">、</w:t>
      </w:r>
      <w:r>
        <w:rPr>
          <w:rFonts w:ascii="宋体" w:hAnsi="宋体"/>
        </w:rPr>
        <w:t xml:space="preserve">权限与使用管理</w:t>
      </w:r>
      <w:r>
        <w:rPr>
          <w:rFonts w:hint="eastAsia" w:ascii="宋体" w:hAnsi="宋体"/>
        </w:rPr>
        <w:t xml:space="preserve">、</w:t>
      </w:r>
      <w:r>
        <w:rPr>
          <w:rFonts w:ascii="宋体" w:hAnsi="宋体"/>
        </w:rPr>
        <w:t xml:space="preserve">集成与适配支持</w:t>
      </w:r>
      <w:r>
        <w:rPr>
          <w:rFonts w:hint="eastAsia" w:ascii="宋体" w:hAnsi="宋体"/>
        </w:rPr>
        <w:t xml:space="preserve">、</w:t>
      </w:r>
      <w:r>
        <w:rPr>
          <w:rFonts w:ascii="宋体" w:hAnsi="宋体"/>
        </w:rPr>
        <w:t xml:space="preserve">价与反馈机制</w:t>
      </w:r>
      <w:r>
        <w:rPr>
          <w:rFonts w:hint="eastAsia" w:ascii="宋体" w:hAnsi="宋体"/>
        </w:rPr>
        <w:t xml:space="preserve">等功能。</w:t>
      </w:r>
      <w:r/>
    </w:p>
    <w:p>
      <w:pPr>
        <w:pStyle w:val="687"/>
        <w:ind w:firstLine="420"/>
        <w:spacing w:line="360" w:lineRule="auto"/>
        <w:widowControl/>
        <w:rPr>
          <w:rFonts w:ascii="宋体" w:hAnsi="宋体"/>
        </w:rPr>
      </w:pPr>
      <w:r>
        <w:rPr>
          <w:rFonts w:hint="eastAsia" w:ascii="宋体" w:hAnsi="宋体"/>
        </w:rPr>
        <w:t xml:space="preserve">通过应用广场，可以直观看到当前所有应用情况，以及对所有应用的配置管理与启用管理。</w:t>
      </w: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配置中心</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设备管理</w:t>
      </w:r>
      <w:r/>
    </w:p>
    <w:p>
      <w:pPr>
        <w:pStyle w:val="687"/>
        <w:ind w:firstLine="420"/>
        <w:spacing w:line="360" w:lineRule="auto"/>
        <w:widowControl/>
        <w:rPr>
          <w:rFonts w:ascii="宋体" w:hAnsi="宋体"/>
        </w:rPr>
      </w:pPr>
      <w:r>
        <w:rPr>
          <w:rFonts w:hint="eastAsia" w:ascii="宋体" w:hAnsi="宋体"/>
        </w:rPr>
        <w:t xml:space="preserve">设备管理是对视频算法中心中所有相关设备的管理，包括采集计划管理、基础信息管理、设备参数配置管理等。</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服务器管理</w:t>
      </w:r>
      <w:r/>
    </w:p>
    <w:p>
      <w:pPr>
        <w:pStyle w:val="687"/>
        <w:ind w:firstLine="420"/>
        <w:spacing w:line="360" w:lineRule="auto"/>
        <w:widowControl/>
        <w:rPr>
          <w:rFonts w:ascii="宋体" w:hAnsi="宋体"/>
        </w:rPr>
      </w:pPr>
      <w:r>
        <w:rPr>
          <w:rFonts w:hint="eastAsia" w:ascii="宋体" w:hAnsi="宋体"/>
        </w:rPr>
        <w:t xml:space="preserve">服务器管理是对当前所有服务器的管理，包括服务器的参数配置管理、监控管理，以及当前所有服务器的数量、状态、以及运行情况统计分析。</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日志管理</w:t>
      </w:r>
      <w:r/>
    </w:p>
    <w:p>
      <w:pPr>
        <w:pStyle w:val="687"/>
        <w:ind w:firstLine="420"/>
        <w:spacing w:line="360" w:lineRule="auto"/>
        <w:widowControl/>
        <w:rPr>
          <w:rFonts w:ascii="宋体" w:hAnsi="宋体"/>
        </w:rPr>
      </w:pPr>
      <w:r>
        <w:rPr>
          <w:rFonts w:hint="eastAsia" w:ascii="宋体" w:hAnsi="宋体"/>
        </w:rPr>
        <w:t xml:space="preserve">日志管理是对系统所有日志的记录，包括操作日志与登录日志，分别统计了所有用户的操作情况与所有用户的登录情况。包括：</w:t>
      </w:r>
      <w:r>
        <w:rPr>
          <w:rFonts w:ascii="宋体" w:hAnsi="宋体"/>
        </w:rPr>
        <w:t xml:space="preserve">日志采集与接入</w:t>
      </w:r>
      <w:r>
        <w:rPr>
          <w:rFonts w:hint="eastAsia" w:ascii="宋体" w:hAnsi="宋体"/>
        </w:rPr>
        <w:t xml:space="preserve">、日志存储与管理、日志处理与分析、日志监控与告警、日志审计与合规等。</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系统管理</w:t>
      </w:r>
      <w:r/>
    </w:p>
    <w:p>
      <w:pPr>
        <w:pStyle w:val="687"/>
        <w:ind w:firstLine="420"/>
        <w:spacing w:line="360" w:lineRule="auto"/>
        <w:widowControl/>
        <w:rPr>
          <w:rFonts w:ascii="宋体" w:hAnsi="宋体"/>
        </w:rPr>
      </w:pPr>
      <w:r>
        <w:rPr>
          <w:rFonts w:hint="eastAsia" w:ascii="宋体" w:hAnsi="宋体"/>
        </w:rPr>
        <w:t xml:space="preserve">系统管理是视频算法中心的系统后台配置管理功能，包括基础设置、定时任务、用户管理、角色管理、菜单管理、 多平台支撑、 组织管理、岗位管理、字典管理、模型关系映射等功能。</w:t>
      </w:r>
      <w:r>
        <w:rPr>
          <w:rFonts w:ascii="宋体" w:hAnsi="宋体"/>
        </w:rPr>
      </w:r>
      <w:r/>
    </w:p>
    <w:p>
      <w:pPr>
        <w:pStyle w:val="687"/>
        <w:numPr>
          <w:ilvl w:val="1"/>
          <w:numId w:val="5"/>
        </w:num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能力中心</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多源能力接入</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能力中心的多源能力接入是其能力聚合的核心输入枢纽，通过API网关与服务管理，全面整合数据指标中心的指标API、</w:t>
      </w:r>
      <w:r>
        <w:rPr>
          <w:rFonts w:hint="eastAsia" w:ascii="宋体" w:hAnsi="宋体"/>
        </w:rPr>
        <w:t xml:space="preserve">视频算法中心</w:t>
      </w:r>
      <w:r>
        <w:rPr>
          <w:rFonts w:hint="eastAsia" w:ascii="宋体" w:hAnsi="宋体"/>
          <w:szCs w:val="24"/>
        </w:rPr>
        <w:t xml:space="preserve">的模型API、第三方服务API三大类异构能</w:t>
      </w:r>
      <w:r>
        <w:rPr>
          <w:rFonts w:hint="eastAsia" w:ascii="宋体" w:hAnsi="宋体"/>
          <w:szCs w:val="24"/>
        </w:rPr>
        <w:t xml:space="preserve">力。</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源类型与元数据管理：预置或自定义支持的源类型、明确每种类型的接入特性；</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连接配置与认证管理：针对不同源类型设置连接细节、支持动态参数；</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数据同步策略管理：</w:t>
      </w:r>
      <w:r>
        <w:rPr>
          <w:rFonts w:ascii="宋体" w:hAnsi="宋体"/>
          <w:szCs w:val="24"/>
        </w:rPr>
        <w:t xml:space="preserve">支持离线同步与实时同步</w:t>
      </w:r>
      <w:r>
        <w:rPr>
          <w:rFonts w:hint="eastAsia" w:ascii="宋体" w:hAnsi="宋体"/>
          <w:szCs w:val="24"/>
        </w:rPr>
        <w:t xml:space="preserve">。</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能力标准化处理</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能力标准化处理是对多源接入的异构能力（数据指标API、算法模型API、第三方服务API）进行规范化加工的核心环节，通过按OpenAPI 3.0规范统一接口文档、异构能力格式转换、服务注册与标签化管理，将分散、杂乱的能力转化为“定义清晰、调用一致、场景可溯”的标准化单元，经此处理后形成覆盖产业与治理场景的通用能力池，彻底解决“能力格式混乱、调用标准不一”痛点，为服务编排层的“能力积木”组合及开放层生态共享提供“即插即用”的标准化“能力原料”，支撑AI+数据融合的集约化赋能。</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标准化规范定义:明确能力的核心要素标准，包括输入/输出格式、通信协议、性能指标、错误处理规范，维护规范的版本说明；</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异构能力适配与转换:将非标准接口转换为标准接口、支持参数映射、方法封装，统一输入输出数据格式；</w:t>
      </w:r>
      <w:r/>
    </w:p>
    <w:p>
      <w:pPr>
        <w:pStyle w:val="687"/>
        <w:contextualSpacing/>
        <w:ind w:firstLine="420"/>
        <w:jc w:val="left"/>
        <w:spacing w:after="160" w:line="360" w:lineRule="auto"/>
        <w:rPr>
          <w:rFonts w:ascii="宋体" w:hAnsi="宋体"/>
          <w:szCs w:val="24"/>
        </w:rPr>
      </w:pPr>
      <w:r>
        <w:rPr>
          <w:rFonts w:hint="eastAsia" w:ascii="宋体" w:hAnsi="宋体"/>
          <w:szCs w:val="24"/>
        </w:rPr>
        <w:t xml:space="preserve">标准化验证与评估:自动检查能力是否符合规范，输出校验报告。</w:t>
      </w:r>
      <w:r>
        <w:rPr>
          <w:rFonts w:ascii="宋体" w:hAnsi="宋体"/>
          <w:szCs w:val="24"/>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能力管理</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能力管理是保障能力中心高效运转的核心支撑，通过对多源接入的数据</w:t>
      </w:r>
      <w:r>
        <w:rPr>
          <w:rFonts w:hint="eastAsia" w:ascii="宋体" w:hAnsi="宋体"/>
          <w:szCs w:val="24"/>
        </w:rPr>
        <w:t xml:space="preserve">指标API、</w:t>
      </w:r>
      <w:r>
        <w:rPr>
          <w:rFonts w:hint="eastAsia" w:ascii="宋体" w:hAnsi="宋体"/>
        </w:rPr>
        <w:t xml:space="preserve">视频</w:t>
      </w:r>
      <w:r>
        <w:rPr>
          <w:rFonts w:hint="eastAsia" w:ascii="宋体" w:hAnsi="宋体"/>
          <w:szCs w:val="24"/>
        </w:rPr>
        <w:t xml:space="preserve">算法模型API、第三方服务API进行全生命周期管理，实现“注册-分类-监控-维护-优化”闭环，通过服务注册发现工具完成能力入库与标签化管理，基于RBAC权限模型分级控制访问范围，借助Prometheus实时监控能力调用量、响应延迟、错误率等性能指标，利用MLflow进行版本控制与迭代追踪，结合AES-256加密、审计日志记录保障安全合规，并定期清理低效能力、优化热门能力资源配置，最终确保能力“可用、可信、可迭代”，为服务编排层的“能力积木”组合与开放层生态共享提供稳定高效的“能力原料”保障。</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元数据与资产登记：记录能力的基础信息、技术属性、业务价值；</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分类与标签体系：按功能、场景等打标签，支持多维检索；</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资产目录与地图：构建可视化能力目录，展示能力层级关系；</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创建与初始化：支持手动录入或自动同步新能力，配置初始属性；</w:t>
      </w:r>
      <w:r/>
    </w:p>
    <w:p>
      <w:pPr>
        <w:pStyle w:val="687"/>
        <w:contextualSpacing/>
        <w:ind w:firstLine="420"/>
        <w:jc w:val="left"/>
        <w:spacing w:after="160" w:line="360" w:lineRule="auto"/>
        <w:rPr>
          <w:rFonts w:hint="eastAsia" w:ascii="宋体" w:hAnsi="宋体"/>
          <w:szCs w:val="24"/>
        </w:rPr>
      </w:pPr>
      <w:r>
        <w:rPr>
          <w:rFonts w:hint="eastAsia" w:ascii="宋体" w:hAnsi="宋体"/>
          <w:szCs w:val="24"/>
        </w:rPr>
        <w:t xml:space="preserve">下线与归档：</w:t>
      </w:r>
      <w:r>
        <w:rPr>
          <w:rFonts w:ascii="宋体" w:hAnsi="宋体"/>
          <w:szCs w:val="24"/>
        </w:rPr>
        <w:t xml:space="preserve">标记冗余/失效能力</w:t>
      </w:r>
      <w:r>
        <w:rPr>
          <w:rFonts w:hint="eastAsia" w:ascii="宋体" w:hAnsi="宋体"/>
          <w:szCs w:val="24"/>
        </w:rPr>
        <w:t xml:space="preserve">，执行数据归档。</w:t>
      </w:r>
      <w:r/>
    </w:p>
    <w:p>
      <w:pPr>
        <w:pStyle w:val="687"/>
        <w:numPr>
          <w:ilvl w:val="1"/>
          <w:numId w:val="5"/>
        </w:num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预警中心</w:t>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可视化分析平台</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总体态势</w:t>
      </w:r>
      <w:r/>
    </w:p>
    <w:p>
      <w:pPr>
        <w:pStyle w:val="719"/>
        <w:ind w:firstLine="480"/>
        <w:spacing w:line="360" w:lineRule="auto"/>
        <w:rPr>
          <w:rFonts w:ascii="宋体" w:hAnsi="宋体" w:eastAsia="宋体"/>
          <w:sz w:val="21"/>
          <w:szCs w:val="21"/>
        </w:rPr>
      </w:pPr>
      <w:r>
        <w:rPr>
          <w:rFonts w:hint="eastAsia" w:ascii="宋体" w:hAnsi="宋体" w:eastAsia="宋体"/>
          <w:sz w:val="21"/>
          <w:szCs w:val="21"/>
        </w:rPr>
        <w:t xml:space="preserve">统计吴江区各板块接入的企业数量、接入监控数、接入传感器数、部署模型数的总体情况，今日预警数、累计预警数。</w:t>
      </w:r>
      <w:r>
        <w:rPr>
          <w:rFonts w:ascii="宋体" w:hAnsi="宋体" w:eastAsia="宋体"/>
          <w:sz w:val="21"/>
          <w:szCs w:val="21"/>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全域概况</w:t>
      </w:r>
      <w:r/>
    </w:p>
    <w:p>
      <w:pPr>
        <w:pStyle w:val="719"/>
        <w:ind w:firstLine="480"/>
        <w:spacing w:line="360" w:lineRule="auto"/>
        <w:rPr>
          <w:rFonts w:hint="eastAsia" w:ascii="宋体" w:hAnsi="宋体" w:eastAsia="宋体"/>
          <w:sz w:val="21"/>
          <w:szCs w:val="21"/>
        </w:rPr>
      </w:pPr>
      <w:r>
        <w:rPr>
          <w:rFonts w:hint="eastAsia" w:ascii="宋体" w:hAnsi="宋体" w:eastAsia="宋体"/>
          <w:sz w:val="21"/>
          <w:szCs w:val="21"/>
        </w:rPr>
        <w:t xml:space="preserve">地图首页展示吴江区各区镇板块接入企业的情况，地图放大后可以展示企业图层，点击企业</w:t>
      </w:r>
      <w:r>
        <w:rPr>
          <w:rFonts w:hint="eastAsia" w:ascii="宋体" w:hAnsi="宋体" w:eastAsia="宋体"/>
          <w:sz w:val="21"/>
          <w:szCs w:val="21"/>
        </w:rPr>
        <w:t xml:space="preserve">展示企业详细信息。</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平台预警情况</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展示平台今日预警和累计预警情况和一周的预警趋势。</w:t>
      </w:r>
      <w:r/>
    </w:p>
    <w:p>
      <w:pPr>
        <w:pStyle w:val="719"/>
        <w:ind w:firstLine="420"/>
        <w:spacing w:line="360" w:lineRule="auto"/>
        <w:rPr>
          <w:rFonts w:ascii="宋体" w:hAnsi="宋体" w:eastAsia="宋体"/>
          <w:sz w:val="21"/>
          <w:szCs w:val="21"/>
        </w:rPr>
      </w:pPr>
      <w:r>
        <w:rPr>
          <w:rFonts w:hint="eastAsia" w:ascii="宋体" w:hAnsi="宋体" w:eastAsia="宋体"/>
          <w:sz w:val="21"/>
          <w:szCs w:val="21"/>
        </w:rPr>
        <w:t xml:space="preserve">按行业统计预警数量并展示。</w:t>
      </w:r>
      <w:r>
        <w:rPr>
          <w:rFonts w:ascii="宋体" w:hAnsi="宋体" w:eastAsia="宋体"/>
          <w:sz w:val="21"/>
          <w:szCs w:val="21"/>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企业信息</w:t>
      </w:r>
      <w:r/>
    </w:p>
    <w:p>
      <w:pPr>
        <w:pStyle w:val="719"/>
        <w:ind w:firstLine="480"/>
        <w:spacing w:line="360" w:lineRule="auto"/>
        <w:rPr>
          <w:rFonts w:hint="eastAsia" w:ascii="宋体" w:hAnsi="宋体" w:eastAsia="宋体"/>
          <w:sz w:val="21"/>
          <w:szCs w:val="21"/>
        </w:rPr>
      </w:pPr>
      <w:r>
        <w:rPr>
          <w:rFonts w:hint="eastAsia" w:ascii="宋体" w:hAnsi="宋体" w:eastAsia="宋体"/>
          <w:sz w:val="21"/>
          <w:szCs w:val="21"/>
        </w:rPr>
        <w:t xml:space="preserve">企业列表：展示接入平台的企业情况，按企业分类展示，显示企业名称，地址、接入监控数、接入模型数、累计告警数、联系人、联系电话。</w:t>
      </w:r>
      <w:r/>
    </w:p>
    <w:p>
      <w:pPr>
        <w:pStyle w:val="719"/>
        <w:ind w:firstLine="480"/>
        <w:spacing w:line="360" w:lineRule="auto"/>
        <w:rPr>
          <w:rFonts w:hint="eastAsia" w:ascii="宋体" w:hAnsi="宋体" w:eastAsia="宋体"/>
          <w:sz w:val="21"/>
          <w:szCs w:val="21"/>
        </w:rPr>
      </w:pPr>
      <w:r>
        <w:rPr>
          <w:rFonts w:hint="eastAsia" w:ascii="宋体" w:hAnsi="宋体" w:eastAsia="宋体"/>
          <w:sz w:val="21"/>
          <w:szCs w:val="21"/>
        </w:rPr>
        <w:t xml:space="preserve">企业基本信息：展示企业名称、行业领域、所在板块、企业地址、联系人、联系电话、接入监控数量、接入传感器数量、部署的模型名称。</w:t>
      </w:r>
      <w:r/>
    </w:p>
    <w:p>
      <w:pPr>
        <w:pStyle w:val="719"/>
        <w:ind w:firstLine="480"/>
        <w:spacing w:line="360" w:lineRule="auto"/>
        <w:rPr>
          <w:rFonts w:ascii="宋体" w:hAnsi="宋体" w:eastAsia="宋体"/>
          <w:sz w:val="21"/>
          <w:szCs w:val="21"/>
        </w:rPr>
      </w:pPr>
      <w:r>
        <w:rPr>
          <w:rFonts w:hint="eastAsia" w:ascii="宋体" w:hAnsi="宋体" w:eastAsia="宋体"/>
          <w:sz w:val="21"/>
          <w:szCs w:val="21"/>
        </w:rPr>
        <w:t xml:space="preserve">告警情况（按预警类型）：展示算法类型、预警数量、识别位置，预警数量，方便掌握预警数量最多的问题，使企业有针对性的开展整改</w:t>
      </w:r>
      <w:r>
        <w:rPr>
          <w:rFonts w:ascii="宋体" w:hAnsi="宋体" w:eastAsia="宋体"/>
          <w:sz w:val="21"/>
          <w:szCs w:val="21"/>
        </w:rPr>
      </w:r>
      <w:r/>
    </w:p>
    <w:p>
      <w:pPr>
        <w:pStyle w:val="719"/>
        <w:ind w:firstLine="480"/>
        <w:spacing w:line="360" w:lineRule="auto"/>
        <w:rPr>
          <w:rFonts w:ascii="宋体" w:hAnsi="宋体" w:eastAsia="宋体"/>
          <w:sz w:val="21"/>
          <w:szCs w:val="21"/>
        </w:rPr>
      </w:pPr>
      <w:r>
        <w:rPr>
          <w:rFonts w:hint="eastAsia" w:ascii="宋体" w:hAnsi="宋体" w:eastAsia="宋体"/>
          <w:sz w:val="21"/>
          <w:szCs w:val="21"/>
        </w:rPr>
        <w:t xml:space="preserve">告警类型（按识别位置）：展示预警高发的识别位置，按识别位置、预警数量、算法类型、预警数量统计。</w:t>
      </w:r>
      <w:r>
        <w:rPr>
          <w:rFonts w:ascii="宋体" w:hAnsi="宋体" w:eastAsia="宋体"/>
          <w:sz w:val="21"/>
          <w:szCs w:val="21"/>
        </w:rPr>
      </w:r>
      <w:r/>
    </w:p>
    <w:p>
      <w:pPr>
        <w:pStyle w:val="719"/>
        <w:ind w:firstLine="480"/>
        <w:spacing w:line="360" w:lineRule="auto"/>
        <w:rPr>
          <w:rFonts w:ascii="宋体" w:hAnsi="宋体" w:eastAsia="宋体"/>
          <w:sz w:val="21"/>
          <w:szCs w:val="21"/>
        </w:rPr>
      </w:pPr>
      <w:r>
        <w:rPr>
          <w:rFonts w:hint="eastAsia" w:ascii="宋体" w:hAnsi="宋体" w:eastAsia="宋体"/>
          <w:sz w:val="21"/>
          <w:szCs w:val="21"/>
        </w:rPr>
        <w:t xml:space="preserve">告警列表：默认加载全面的预警信息，同时可以按预警类型进行分类展示，列表展示预警类型，识别位置，预警时间，预警图片，发送短信时间，处理时间，状态等。</w:t>
      </w:r>
      <w:r>
        <w:rPr>
          <w:rFonts w:ascii="宋体" w:hAnsi="宋体" w:eastAsia="宋体"/>
          <w:sz w:val="21"/>
          <w:szCs w:val="21"/>
        </w:rPr>
      </w:r>
      <w:r/>
    </w:p>
    <w:p>
      <w:pPr>
        <w:pStyle w:val="719"/>
        <w:ind w:firstLine="480"/>
        <w:spacing w:line="360" w:lineRule="auto"/>
        <w:rPr>
          <w:rFonts w:ascii="宋体" w:hAnsi="宋体" w:eastAsia="宋体"/>
          <w:sz w:val="21"/>
          <w:szCs w:val="21"/>
        </w:rPr>
      </w:pPr>
      <w:r>
        <w:rPr>
          <w:rFonts w:hint="eastAsia" w:ascii="宋体" w:hAnsi="宋体" w:eastAsia="宋体"/>
          <w:sz w:val="21"/>
          <w:szCs w:val="21"/>
        </w:rPr>
        <w:t xml:space="preserve">感知设备信息：显示当前企业的接入的视频，点击视频，可以播放当前的实时视频流数据。</w:t>
      </w:r>
      <w:r>
        <w:rPr>
          <w:rFonts w:ascii="宋体" w:hAnsi="宋体" w:eastAsia="宋体"/>
          <w:sz w:val="21"/>
          <w:szCs w:val="21"/>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企业预警排名</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展示累计预计数量最多的前20个企业。按企业名称和累计预警数排序。</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重点监控</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展示接入企业的部分视频监控的实时画面。</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今日预警统计</w:t>
      </w:r>
      <w:r/>
    </w:p>
    <w:p>
      <w:pPr>
        <w:pStyle w:val="687"/>
        <w:ind w:firstLine="420"/>
        <w:spacing w:line="360" w:lineRule="auto"/>
        <w:rPr>
          <w:rFonts w:hint="eastAsia" w:ascii="宋体" w:hAnsi="宋体"/>
        </w:rPr>
      </w:pPr>
      <w:r>
        <w:rPr>
          <w:rFonts w:hint="eastAsia" w:ascii="宋体" w:hAnsi="宋体"/>
        </w:rPr>
        <w:t xml:space="preserve">展示今日企业预警的情况。按预警时间滚动展示。主要展示预警类型</w:t>
      </w:r>
      <w:r>
        <w:rPr>
          <w:rFonts w:hint="eastAsia" w:ascii="宋体" w:hAnsi="宋体"/>
        </w:rPr>
        <w:t xml:space="preserve">，企业名称、识别位置、识别时间。</w:t>
      </w:r>
      <w:r/>
    </w:p>
    <w:p>
      <w:pPr>
        <w:pStyle w:val="687"/>
        <w:spacing w:line="360" w:lineRule="auto"/>
        <w:rPr>
          <w:rFonts w:ascii="宋体" w:hAnsi="宋体"/>
        </w:rPr>
      </w:pP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预警管理平台</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综合分析</w:t>
      </w:r>
      <w:r/>
    </w:p>
    <w:p>
      <w:pPr>
        <w:pStyle w:val="687"/>
        <w:ind w:firstLine="420"/>
        <w:spacing w:line="360" w:lineRule="auto"/>
        <w:rPr>
          <w:rFonts w:hint="eastAsia" w:ascii="宋体" w:hAnsi="宋体"/>
        </w:rPr>
      </w:pPr>
      <w:r>
        <w:rPr>
          <w:rFonts w:hint="eastAsia" w:ascii="宋体" w:hAnsi="宋体"/>
        </w:rPr>
        <w:t xml:space="preserve">按预警时间、预警类型，产业类型，区域板块多维度统计预警数量。</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企业管理</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企业信息查询</w:t>
      </w:r>
      <w:r/>
    </w:p>
    <w:p>
      <w:pPr>
        <w:pStyle w:val="687"/>
        <w:ind w:firstLine="480"/>
        <w:keepLines/>
        <w:keepNext/>
        <w:spacing w:line="360" w:lineRule="auto"/>
        <w:rPr>
          <w:rFonts w:hint="eastAsia" w:ascii="宋体" w:hAnsi="宋体"/>
          <w:sz w:val="24"/>
        </w:rPr>
      </w:pPr>
      <w:r>
        <w:rPr>
          <w:rFonts w:hint="eastAsia" w:ascii="宋体" w:hAnsi="宋体"/>
          <w:sz w:val="24"/>
        </w:rPr>
        <w:t xml:space="preserve">根据企业类型，企业名称、接入时间、接入渠道、所属区域统计接入的企业信息进行查询。</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企业基本管理</w:t>
      </w:r>
      <w:r/>
    </w:p>
    <w:p>
      <w:pPr>
        <w:pStyle w:val="719"/>
        <w:ind w:firstLine="420"/>
        <w:spacing w:line="360" w:lineRule="auto"/>
        <w:rPr>
          <w:rFonts w:ascii="宋体" w:hAnsi="宋体" w:eastAsia="宋体"/>
          <w:sz w:val="21"/>
          <w:szCs w:val="21"/>
        </w:rPr>
      </w:pPr>
      <w:r>
        <w:rPr>
          <w:rFonts w:hint="eastAsia" w:ascii="宋体" w:hAnsi="宋体" w:eastAsia="宋体"/>
          <w:sz w:val="21"/>
          <w:szCs w:val="21"/>
        </w:rPr>
        <w:t xml:space="preserve">维护企业的信息管理、查看企业信息</w:t>
      </w:r>
      <w:r>
        <w:rPr>
          <w:rFonts w:ascii="宋体" w:hAnsi="宋体" w:eastAsia="宋体"/>
          <w:sz w:val="21"/>
          <w:szCs w:val="21"/>
        </w:rPr>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企业感知设备管理</w:t>
      </w:r>
      <w:r/>
    </w:p>
    <w:p>
      <w:pPr>
        <w:pStyle w:val="687"/>
        <w:ind w:firstLine="420"/>
        <w:spacing w:line="360" w:lineRule="auto"/>
        <w:rPr>
          <w:rFonts w:hint="eastAsia" w:ascii="宋体" w:hAnsi="宋体"/>
        </w:rPr>
      </w:pPr>
      <w:r>
        <w:rPr>
          <w:rFonts w:hint="eastAsia" w:ascii="宋体" w:hAnsi="宋体"/>
        </w:rPr>
        <w:t xml:space="preserve">接入企业的视频感知设备，同时对接区视频共享平台的视频流，显示企业的实时监控画面。</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告警统计</w:t>
      </w:r>
      <w:r/>
    </w:p>
    <w:p>
      <w:pPr>
        <w:pStyle w:val="687"/>
        <w:ind w:firstLine="420"/>
        <w:spacing w:line="360" w:lineRule="auto"/>
        <w:rPr>
          <w:rFonts w:ascii="宋体" w:hAnsi="宋体"/>
        </w:rPr>
      </w:pPr>
      <w:r>
        <w:rPr>
          <w:rFonts w:hint="eastAsia" w:ascii="宋体" w:hAnsi="宋体"/>
        </w:rPr>
        <w:t xml:space="preserve">统计企业的今日告警、累计告警和部署模型数和模型详细信息，同时统计每类算法的今日告警和统计告警，并按今日告警数排序。</w:t>
      </w:r>
      <w:r>
        <w:rPr>
          <w:rFonts w:ascii="宋体" w:hAnsi="宋体"/>
        </w:rPr>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告警查询</w:t>
      </w:r>
      <w:r/>
    </w:p>
    <w:p>
      <w:pPr>
        <w:pStyle w:val="687"/>
        <w:ind w:firstLine="420"/>
        <w:spacing w:line="360" w:lineRule="auto"/>
        <w:rPr>
          <w:rFonts w:hint="eastAsia" w:ascii="宋体" w:hAnsi="宋体"/>
        </w:rPr>
      </w:pPr>
      <w:r>
        <w:rPr>
          <w:rFonts w:hint="eastAsia" w:ascii="宋体" w:hAnsi="宋体"/>
        </w:rPr>
        <w:t xml:space="preserve">根据预警类型、识别位置、处置状态、预警时间等查询预警信息，统计已发送短信和已处置、待处置的数据。</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导出</w:t>
      </w:r>
      <w:r/>
    </w:p>
    <w:p>
      <w:pPr>
        <w:pStyle w:val="687"/>
        <w:ind w:firstLine="420"/>
        <w:spacing w:line="360" w:lineRule="auto"/>
        <w:rPr>
          <w:rFonts w:ascii="宋体" w:hAnsi="宋体"/>
        </w:rPr>
      </w:pPr>
      <w:r>
        <w:rPr>
          <w:rFonts w:hint="eastAsia" w:ascii="宋体" w:hAnsi="宋体"/>
        </w:rPr>
        <w:t xml:space="preserve">按查询条件导出企业列表。按接入顺序，导出企业接入情况列表，展示所属区域，企业名称、接入数量、接入时间、预警数量，来源。</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预警管理</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预警查询</w:t>
      </w:r>
      <w:r/>
    </w:p>
    <w:p>
      <w:pPr>
        <w:pStyle w:val="687"/>
        <w:ind w:firstLine="420"/>
        <w:spacing w:line="360" w:lineRule="auto"/>
        <w:rPr>
          <w:rFonts w:ascii="宋体" w:hAnsi="宋体"/>
        </w:rPr>
      </w:pPr>
      <w:r>
        <w:rPr>
          <w:rFonts w:ascii="宋体" w:hAnsi="宋体"/>
        </w:rPr>
        <w:t xml:space="preserve">可以通过企业属地、企业类型、预警时间、企业名称、预警类型、处置状态等进行查询。</w:t>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预警统计</w:t>
      </w:r>
      <w:r/>
    </w:p>
    <w:p>
      <w:pPr>
        <w:pStyle w:val="687"/>
        <w:ind w:firstLine="420"/>
        <w:spacing w:line="360" w:lineRule="auto"/>
        <w:rPr>
          <w:rFonts w:ascii="宋体" w:hAnsi="宋体"/>
        </w:rPr>
      </w:pPr>
      <w:r>
        <w:rPr>
          <w:rFonts w:hint="eastAsia" w:ascii="宋体" w:hAnsi="宋体"/>
        </w:rPr>
        <w:t xml:space="preserve">统计累计预警数、已发送短信、已处置、待处置</w:t>
      </w:r>
      <w:r>
        <w:rPr>
          <w:rFonts w:ascii="宋体" w:hAnsi="宋体"/>
        </w:rPr>
      </w:r>
      <w:r/>
    </w:p>
    <w:p>
      <w:pPr>
        <w:pStyle w:val="687"/>
        <w:numPr>
          <w:ilvl w:val="0"/>
          <w:numId w:val="10"/>
        </w:numPr>
        <w:keepLines/>
        <w:keepNext/>
        <w:spacing w:line="360" w:lineRule="auto"/>
        <w:rPr>
          <w:rFonts w:hint="eastAsia" w:ascii="宋体" w:hAnsi="宋体"/>
          <w:b/>
          <w:bCs/>
          <w:sz w:val="24"/>
        </w:rPr>
      </w:pPr>
      <w:r>
        <w:rPr>
          <w:rFonts w:hint="eastAsia" w:ascii="宋体" w:hAnsi="宋体"/>
          <w:b/>
          <w:bCs/>
          <w:sz w:val="24"/>
        </w:rPr>
        <w:t xml:space="preserve"> 确认误报</w:t>
      </w:r>
      <w:r/>
    </w:p>
    <w:p>
      <w:pPr>
        <w:pStyle w:val="687"/>
        <w:ind w:firstLine="420"/>
        <w:spacing w:line="360" w:lineRule="auto"/>
        <w:rPr>
          <w:rFonts w:ascii="宋体" w:hAnsi="宋体"/>
        </w:rPr>
      </w:pPr>
      <w:r>
        <w:rPr>
          <w:rFonts w:hint="eastAsia" w:ascii="宋体" w:hAnsi="宋体"/>
        </w:rPr>
        <w:t xml:space="preserve">运营人员对平台的预警信息进行标注，对误报的数据打标签，同时将误报的数据集投入算法的提升训练中。</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安全员管理</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管理企业的安全员信息，一个企业可以配置多个安全员，同时可以随时修改人员和手机号码。</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短信管理</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将企业的预警信息，对接区短信平台，向企业发送预警信息。同时可以查询预警风险短信发送情况。</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系统管理</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部门管理、用户管理、角色管理、数据权限管理。</w:t>
      </w:r>
      <w:r/>
    </w:p>
    <w:p>
      <w:pPr>
        <w:pStyle w:val="687"/>
        <w:spacing w:line="360" w:lineRule="auto"/>
        <w:rPr>
          <w:rFonts w:ascii="宋体" w:hAnsi="宋体"/>
        </w:rPr>
      </w:pP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移动端处置平台</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短信通知</w:t>
      </w:r>
      <w:r/>
    </w:p>
    <w:p>
      <w:pPr>
        <w:pStyle w:val="719"/>
        <w:ind w:firstLine="420"/>
        <w:spacing w:line="360" w:lineRule="auto"/>
        <w:rPr>
          <w:rFonts w:ascii="宋体" w:hAnsi="宋体" w:eastAsia="宋体"/>
          <w:sz w:val="21"/>
          <w:szCs w:val="21"/>
        </w:rPr>
      </w:pPr>
      <w:r>
        <w:rPr>
          <w:rFonts w:hint="eastAsia" w:ascii="宋体" w:hAnsi="宋体" w:eastAsia="宋体"/>
          <w:sz w:val="21"/>
          <w:szCs w:val="21"/>
        </w:rPr>
        <w:t xml:space="preserve">对接OA系统，通过短信平台发送风险预警短信、对接短信平台，通过定制预警模版，发送预警短信。</w:t>
      </w:r>
      <w:r>
        <w:rPr>
          <w:rFonts w:ascii="宋体" w:hAnsi="宋体" w:eastAsia="宋体"/>
          <w:sz w:val="21"/>
          <w:szCs w:val="21"/>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平台登录</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通过手机号码和短信验证码登录平台。登录后显示当前企业或街道的名称，显示所有的风险预警情况。</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风险预警</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展示企业的预警情况和预警信息状态，按进入预警、未处理预警、已处理预警、全部预警等数据，同时展示详细的预警信息。</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预警处置</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对风险预警情况进行处置，填写处理说明和处理凭证，进行反馈。</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统计分析</w:t>
      </w:r>
      <w:r/>
    </w:p>
    <w:p>
      <w:pPr>
        <w:pStyle w:val="719"/>
        <w:ind w:firstLine="420"/>
        <w:spacing w:line="360" w:lineRule="auto"/>
        <w:rPr>
          <w:rFonts w:hint="eastAsia" w:ascii="宋体" w:hAnsi="宋体" w:eastAsia="宋体"/>
          <w:sz w:val="21"/>
          <w:szCs w:val="21"/>
        </w:rPr>
      </w:pPr>
      <w:r>
        <w:rPr>
          <w:rFonts w:hint="eastAsia" w:ascii="宋体" w:hAnsi="宋体" w:eastAsia="宋体"/>
          <w:sz w:val="21"/>
          <w:szCs w:val="21"/>
        </w:rPr>
        <w:t xml:space="preserve">按周显示当前企业的预警趋势和按预警类别预警分类统计。</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接入设备</w:t>
      </w:r>
      <w:r/>
    </w:p>
    <w:p>
      <w:pPr>
        <w:pStyle w:val="687"/>
        <w:spacing w:line="360" w:lineRule="auto"/>
        <w:rPr>
          <w:rFonts w:ascii="宋体" w:hAnsi="宋体"/>
        </w:rPr>
      </w:pPr>
      <w:r>
        <w:rPr>
          <w:rFonts w:hint="eastAsia" w:ascii="宋体" w:hAnsi="宋体"/>
        </w:rPr>
        <w:t xml:space="preserve">    显示当前企业接入的设备信息和识别位置。</w:t>
      </w:r>
      <w:r>
        <w:rPr>
          <w:rFonts w:ascii="宋体" w:hAnsi="宋体"/>
        </w:rPr>
      </w:r>
      <w:r/>
    </w:p>
    <w:p>
      <w:pPr>
        <w:pStyle w:val="687"/>
        <w:spacing w:line="360" w:lineRule="auto"/>
        <w:rPr>
          <w:rFonts w:ascii="宋体" w:hAnsi="宋体"/>
        </w:rPr>
      </w:pP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数据治理（数据治理服务）</w:t>
      </w:r>
      <w:r/>
    </w:p>
    <w:p>
      <w:pPr>
        <w:pStyle w:val="687"/>
        <w:ind w:left="420"/>
        <w:spacing w:line="360" w:lineRule="auto"/>
        <w:rPr>
          <w:rFonts w:hint="eastAsia" w:ascii="宋体" w:hAnsi="宋体"/>
        </w:rPr>
      </w:pPr>
      <w:r>
        <w:rPr>
          <w:rFonts w:hint="eastAsia" w:ascii="宋体" w:hAnsi="宋体"/>
        </w:rPr>
        <w:t xml:space="preserve">接入设备，根据接入的企业信息，完善企业的地理坐标、联系人、联系电话。</w:t>
      </w:r>
      <w:r/>
    </w:p>
    <w:p>
      <w:pPr>
        <w:pStyle w:val="687"/>
        <w:ind w:left="420"/>
        <w:spacing w:line="360" w:lineRule="auto"/>
        <w:rPr>
          <w:rFonts w:hint="eastAsia" w:ascii="宋体" w:hAnsi="宋体"/>
        </w:rPr>
      </w:pPr>
      <w:r>
        <w:rPr>
          <w:rFonts w:hint="eastAsia" w:ascii="宋体" w:hAnsi="宋体"/>
        </w:rPr>
        <w:t xml:space="preserve">为企业绑定安全员信息和手机号码。</w:t>
      </w:r>
      <w:r/>
    </w:p>
    <w:p>
      <w:pPr>
        <w:pStyle w:val="687"/>
        <w:ind w:left="420"/>
        <w:spacing w:line="360" w:lineRule="auto"/>
        <w:rPr>
          <w:rFonts w:ascii="宋体" w:hAnsi="宋体"/>
        </w:rPr>
      </w:pPr>
      <w:r>
        <w:rPr>
          <w:rFonts w:hint="eastAsia" w:ascii="宋体" w:hAnsi="宋体"/>
        </w:rPr>
        <w:t xml:space="preserve">提供上述数据治理服务，</w:t>
      </w:r>
      <w:r>
        <w:rPr>
          <w:rFonts w:hint="eastAsia"/>
          <w:color w:val="000000"/>
          <w:szCs w:val="21"/>
        </w:rPr>
        <w:t xml:space="preserve">根据企业接入的情况，完善信息。</w:t>
      </w:r>
      <w:r>
        <w:rPr>
          <w:rFonts w:ascii="宋体" w:hAnsi="宋体"/>
        </w:rPr>
      </w:r>
      <w:r/>
    </w:p>
    <w:p>
      <w:pPr>
        <w:pStyle w:val="687"/>
        <w:numPr>
          <w:ilvl w:val="2"/>
          <w:numId w:val="5"/>
        </w:numP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数据接口</w:t>
      </w:r>
      <w:r/>
    </w:p>
    <w:p>
      <w:pPr>
        <w:pStyle w:val="687"/>
        <w:ind w:firstLine="420"/>
        <w:spacing w:line="360" w:lineRule="auto"/>
        <w:rPr>
          <w:rFonts w:hint="eastAsia" w:ascii="宋体" w:hAnsi="宋体"/>
        </w:rPr>
      </w:pPr>
      <w:r>
        <w:rPr>
          <w:rFonts w:hint="eastAsia" w:ascii="宋体" w:hAnsi="宋体"/>
        </w:rPr>
        <w:t xml:space="preserve">对接电信、联通、广电、移动的企业数据和预警数据，对接</w:t>
      </w:r>
      <w:r>
        <w:rPr>
          <w:rFonts w:hint="eastAsia" w:ascii="宋体" w:hAnsi="宋体"/>
        </w:rPr>
        <w:t xml:space="preserve">各企业的视频流数据。对接区算法平台预警数据。</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电信</w:t>
      </w:r>
      <w:r/>
    </w:p>
    <w:p>
      <w:pPr>
        <w:pStyle w:val="687"/>
        <w:ind w:left="420"/>
        <w:spacing w:line="360" w:lineRule="auto"/>
        <w:rPr>
          <w:rFonts w:hint="eastAsia" w:ascii="宋体" w:hAnsi="宋体"/>
        </w:rPr>
      </w:pPr>
      <w:r>
        <w:rPr>
          <w:rFonts w:hint="eastAsia" w:ascii="宋体" w:hAnsi="宋体"/>
        </w:rPr>
        <w:t xml:space="preserve">对接盛泽安监平台企业数据和预警数据、对接电信的天翼视联平台，对接视频监控、传感器相关接口。</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联通</w:t>
      </w:r>
      <w:r/>
    </w:p>
    <w:p>
      <w:pPr>
        <w:pStyle w:val="687"/>
        <w:ind w:firstLine="420"/>
        <w:spacing w:line="360" w:lineRule="auto"/>
        <w:rPr>
          <w:rFonts w:ascii="宋体" w:hAnsi="宋体"/>
        </w:rPr>
      </w:pPr>
      <w:r>
        <w:rPr>
          <w:rFonts w:hint="eastAsia" w:ascii="宋体" w:hAnsi="宋体"/>
        </w:rPr>
        <w:t xml:space="preserve">对接联通AI安全生产平台。</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广电</w:t>
      </w:r>
      <w:r/>
    </w:p>
    <w:p>
      <w:pPr>
        <w:pStyle w:val="687"/>
        <w:ind w:firstLine="420"/>
        <w:spacing w:line="360" w:lineRule="auto"/>
        <w:rPr>
          <w:rFonts w:ascii="宋体" w:hAnsi="宋体"/>
        </w:rPr>
      </w:pPr>
      <w:r>
        <w:rPr>
          <w:rFonts w:hint="eastAsia" w:ascii="宋体" w:hAnsi="宋体"/>
        </w:rPr>
        <w:t xml:space="preserve">对接广电海康平台视频数据</w:t>
      </w:r>
      <w:r>
        <w:rPr>
          <w:rFonts w:ascii="宋体" w:hAnsi="宋体"/>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移动</w:t>
      </w:r>
      <w:r/>
    </w:p>
    <w:p>
      <w:pPr>
        <w:pStyle w:val="687"/>
        <w:ind w:firstLine="420"/>
        <w:spacing w:line="360" w:lineRule="auto"/>
        <w:rPr>
          <w:rFonts w:hint="eastAsia" w:ascii="宋体" w:hAnsi="宋体"/>
        </w:rPr>
      </w:pPr>
      <w:r>
        <w:rPr>
          <w:rFonts w:hint="eastAsia" w:ascii="宋体" w:hAnsi="宋体"/>
        </w:rPr>
        <w:t xml:space="preserve">对接移动的千里眼平台</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视频取流对接</w:t>
      </w:r>
      <w:r/>
    </w:p>
    <w:p>
      <w:pPr>
        <w:pStyle w:val="687"/>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对接区视频共享平台，对接安全生产主题下的所有视频监控信息。拉取视频流。</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短信对接</w:t>
      </w:r>
      <w:r/>
    </w:p>
    <w:p>
      <w:pPr>
        <w:pStyle w:val="719"/>
        <w:ind w:firstLine="420"/>
        <w:spacing w:line="360" w:lineRule="auto"/>
        <w:rPr>
          <w:rFonts w:hint="eastAsia" w:ascii="宋体" w:hAnsi="宋体" w:eastAsia="宋体"/>
        </w:rPr>
      </w:pPr>
      <w:r>
        <w:rPr>
          <w:rFonts w:hint="eastAsia" w:ascii="宋体" w:hAnsi="宋体" w:eastAsia="宋体" w:cs="宋体"/>
          <w:color w:val="000000"/>
          <w:sz w:val="21"/>
          <w:szCs w:val="21"/>
          <w:lang w:bidi="ar"/>
        </w:rPr>
        <w:t xml:space="preserve">对接区短信通道，通过通道向企业和监管部门发送预警短信</w:t>
      </w:r>
      <w:r>
        <w:rPr>
          <w:rFonts w:hint="eastAsia" w:ascii="宋体" w:hAnsi="宋体" w:eastAsia="宋体"/>
        </w:rPr>
      </w:r>
      <w:r/>
    </w:p>
    <w:p>
      <w:pPr>
        <w:pStyle w:val="687"/>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r>
      <w:r/>
    </w:p>
    <w:p>
      <w:pPr>
        <w:pStyle w:val="687"/>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r>
      <w:r/>
    </w:p>
    <w:p>
      <w:pPr>
        <w:pStyle w:val="687"/>
        <w:numPr>
          <w:ilvl w:val="1"/>
          <w:numId w:val="5"/>
        </w:num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法人高质量数据集</w:t>
      </w:r>
      <w:r/>
    </w:p>
    <w:p>
      <w:pPr>
        <w:pStyle w:val="687"/>
        <w:numPr>
          <w:ilvl w:val="2"/>
          <w:numId w:val="5"/>
        </w:numPr>
        <w:spacing w:line="360" w:lineRule="auto"/>
        <w:rPr>
          <w:rFonts w:hint="eastAsia" w:ascii="宋体" w:hAnsi="宋体" w:cs="宋体"/>
          <w:b/>
          <w:bCs/>
          <w:sz w:val="28"/>
          <w:szCs w:val="28"/>
        </w:rPr>
        <w:outlineLvl w:val="2"/>
      </w:pPr>
      <w:r/>
      <w:bookmarkStart w:id="167" w:name="_Toc23685"/>
      <w:r>
        <w:rPr>
          <w:rFonts w:hint="eastAsia" w:ascii="宋体" w:hAnsi="宋体" w:cs="宋体"/>
          <w:b/>
          <w:bCs/>
          <w:sz w:val="28"/>
          <w:szCs w:val="28"/>
        </w:rPr>
        <w:t xml:space="preserve">数据采集与对接</w:t>
      </w:r>
      <w:bookmarkEnd w:id="167"/>
      <w:r>
        <w:rPr>
          <w:rFonts w:hint="eastAsia" w:ascii="宋体" w:hAnsi="宋体" w:cs="宋体"/>
          <w:b/>
          <w:bCs/>
          <w:sz w:val="28"/>
          <w:szCs w:val="28"/>
        </w:rPr>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法人主体数据梳理</w:t>
      </w:r>
      <w:r/>
    </w:p>
    <w:p>
      <w:pPr>
        <w:pStyle w:val="687"/>
        <w:ind w:firstLine="420"/>
        <w:spacing w:line="360" w:lineRule="auto"/>
        <w:rPr>
          <w:rFonts w:hint="eastAsia" w:ascii="宋体" w:hAnsi="宋体"/>
        </w:rPr>
      </w:pPr>
      <w:r>
        <w:rPr>
          <w:rFonts w:hint="eastAsia" w:ascii="宋体" w:hAnsi="宋体"/>
        </w:rPr>
        <w:t xml:space="preserve">根据吴江区现有约16万多独立法人主体数据,以统一社会信用代码为唯一核心标识，梳理法人现有涉企数据（个体工商户档案、企业科创资质、行政处罚数据、企业人才数据等）。</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法人主体数据采集</w:t>
      </w:r>
      <w:r/>
    </w:p>
    <w:p>
      <w:pPr>
        <w:pStyle w:val="687"/>
        <w:ind w:firstLine="420"/>
        <w:spacing w:line="360" w:lineRule="auto"/>
        <w:rPr>
          <w:rFonts w:hint="eastAsia" w:ascii="宋体" w:hAnsi="宋体"/>
        </w:rPr>
      </w:pPr>
      <w:r>
        <w:rPr>
          <w:rFonts w:hint="eastAsia" w:ascii="宋体" w:hAnsi="宋体"/>
        </w:rPr>
        <w:t xml:space="preserve">建立数据来源台账，明确各部门数据字段、格式、更新频率，采集相关数据。</w:t>
      </w:r>
      <w:r/>
    </w:p>
    <w:p>
      <w:pPr>
        <w:pStyle w:val="687"/>
        <w:numPr>
          <w:ilvl w:val="2"/>
          <w:numId w:val="5"/>
        </w:numPr>
        <w:spacing w:line="360" w:lineRule="auto"/>
        <w:rPr>
          <w:rFonts w:hint="eastAsia" w:ascii="宋体" w:hAnsi="宋体" w:cs="宋体"/>
          <w:b/>
          <w:bCs/>
          <w:sz w:val="28"/>
          <w:szCs w:val="28"/>
        </w:rPr>
        <w:outlineLvl w:val="2"/>
      </w:pPr>
      <w:r/>
      <w:bookmarkStart w:id="168" w:name="_Toc25727"/>
      <w:r>
        <w:rPr>
          <w:rFonts w:hint="eastAsia" w:ascii="宋体" w:hAnsi="宋体" w:cs="宋体"/>
          <w:b/>
          <w:bCs/>
          <w:sz w:val="28"/>
          <w:szCs w:val="28"/>
        </w:rPr>
        <w:t xml:space="preserve">数据治理与标引</w:t>
      </w:r>
      <w:bookmarkEnd w:id="168"/>
      <w:r>
        <w:rPr>
          <w:rFonts w:hint="eastAsia" w:ascii="宋体" w:hAnsi="宋体" w:cs="宋体"/>
          <w:b/>
          <w:bCs/>
          <w:sz w:val="28"/>
          <w:szCs w:val="28"/>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数据清洗</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法人数据清洗</w:t>
      </w:r>
      <w:r/>
    </w:p>
    <w:p>
      <w:pPr>
        <w:pStyle w:val="687"/>
        <w:ind w:firstLine="420"/>
        <w:spacing w:line="360" w:lineRule="auto"/>
        <w:rPr>
          <w:rFonts w:hint="eastAsia" w:ascii="宋体" w:hAnsi="宋体"/>
        </w:rPr>
      </w:pPr>
      <w:r>
        <w:rPr>
          <w:rFonts w:hint="eastAsia" w:ascii="宋体" w:hAnsi="宋体"/>
        </w:rPr>
        <w:t xml:space="preserve">针对多源异构数据开展全流程清洗治理：完成重复数据去重、缺失值补全（关键字段通过跨部门核对补全）、异常值剔除（如逻辑错误的经营数据、无效行政处罚记录）、同义异名数据关联（如企业曾用名与现用名匹配），形成完整、唯一的法人主体档案。</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数据标准化</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法人数据标准化</w:t>
      </w:r>
      <w:r/>
    </w:p>
    <w:p>
      <w:pPr>
        <w:pStyle w:val="687"/>
        <w:ind w:firstLine="420"/>
        <w:spacing w:line="360" w:lineRule="auto"/>
        <w:rPr>
          <w:rFonts w:hint="eastAsia" w:ascii="宋体" w:hAnsi="宋体"/>
        </w:rPr>
      </w:pPr>
      <w:r>
        <w:rPr>
          <w:rFonts w:hint="eastAsia" w:ascii="宋体" w:hAnsi="宋体"/>
        </w:rPr>
        <w:t xml:space="preserve">严格遵循相关数标准，完成所有</w:t>
      </w:r>
      <w:r>
        <w:rPr>
          <w:rFonts w:hint="eastAsia" w:ascii="宋体" w:hAnsi="宋体"/>
        </w:rPr>
        <w:t xml:space="preserve">法人数据的标准化处理：统一字段命名、数据类型、格式（如日期YYYY-MM-DD、地址省市区乡镇四级划分）、计量单位，确保数据符合国标和行业规范。</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标签体系构建</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基础属性标签</w:t>
      </w:r>
      <w:r/>
    </w:p>
    <w:p>
      <w:pPr>
        <w:pStyle w:val="687"/>
        <w:ind w:firstLine="420"/>
        <w:spacing w:line="360" w:lineRule="auto"/>
        <w:rPr>
          <w:rFonts w:hint="eastAsia" w:ascii="宋体" w:hAnsi="宋体"/>
        </w:rPr>
      </w:pPr>
      <w:r>
        <w:rPr>
          <w:rFonts w:hint="eastAsia" w:ascii="宋体" w:hAnsi="宋体"/>
        </w:rPr>
        <w:t xml:space="preserve">构建企业基础属性标签体系，包含高新技术企业、专精特新、规上/规下企业等。</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动态业务标签</w:t>
      </w:r>
      <w:r/>
    </w:p>
    <w:p>
      <w:pPr>
        <w:pStyle w:val="687"/>
        <w:ind w:firstLine="420"/>
        <w:spacing w:line="360" w:lineRule="auto"/>
        <w:rPr>
          <w:rFonts w:hint="eastAsia" w:ascii="宋体" w:hAnsi="宋体"/>
        </w:rPr>
      </w:pPr>
      <w:r>
        <w:rPr>
          <w:rFonts w:hint="eastAsia" w:ascii="宋体" w:hAnsi="宋体"/>
        </w:rPr>
        <w:t xml:space="preserve">构建企业动态业务标签体系，包含潜在外迁风险、经营异常、创新能力强等，通过业务规则+AI模型预标注结合人工审核的方式，完成标签打标与更新。</w:t>
      </w:r>
      <w:r/>
    </w:p>
    <w:p>
      <w:pPr>
        <w:pStyle w:val="687"/>
        <w:numPr>
          <w:ilvl w:val="2"/>
          <w:numId w:val="5"/>
        </w:numPr>
        <w:spacing w:line="360" w:lineRule="auto"/>
        <w:rPr>
          <w:rFonts w:hint="eastAsia" w:ascii="宋体" w:hAnsi="宋体" w:cs="宋体"/>
          <w:b/>
          <w:bCs/>
          <w:sz w:val="28"/>
          <w:szCs w:val="28"/>
        </w:rPr>
        <w:outlineLvl w:val="2"/>
      </w:pPr>
      <w:r/>
      <w:bookmarkStart w:id="169" w:name="_Toc7087"/>
      <w:r>
        <w:rPr>
          <w:rFonts w:hint="eastAsia" w:ascii="宋体" w:hAnsi="宋体" w:cs="宋体"/>
          <w:b/>
          <w:bCs/>
          <w:sz w:val="28"/>
          <w:szCs w:val="28"/>
        </w:rPr>
        <w:t xml:space="preserve">平台开发（质量看板）</w:t>
      </w:r>
      <w:bookmarkEnd w:id="169"/>
      <w:r>
        <w:rPr>
          <w:rFonts w:hint="eastAsia" w:ascii="宋体" w:hAnsi="宋体" w:cs="宋体"/>
          <w:b/>
          <w:bCs/>
          <w:sz w:val="28"/>
          <w:szCs w:val="28"/>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数据质量监控看板</w:t>
      </w:r>
      <w:r/>
    </w:p>
    <w:p>
      <w:pPr>
        <w:pStyle w:val="687"/>
        <w:ind w:firstLine="420"/>
        <w:spacing w:line="360" w:lineRule="auto"/>
        <w:rPr>
          <w:rFonts w:hint="eastAsia" w:ascii="宋体" w:hAnsi="宋体"/>
        </w:rPr>
      </w:pPr>
      <w:r>
        <w:rPr>
          <w:rFonts w:hint="eastAsia" w:ascii="宋体" w:hAnsi="宋体"/>
        </w:rPr>
        <w:t xml:space="preserve">配置核心监控指标（如关键字段非空率、数据重复率、跨部门数据同步延迟时长、标签打标准确率等），设置指标阈值与异常告警规则。</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区数据局平台对接</w:t>
      </w:r>
      <w:r/>
    </w:p>
    <w:p>
      <w:pPr>
        <w:pStyle w:val="687"/>
        <w:ind w:firstLine="420"/>
        <w:spacing w:line="360" w:lineRule="auto"/>
        <w:rPr>
          <w:rFonts w:hint="eastAsia" w:ascii="宋体" w:hAnsi="宋体"/>
        </w:rPr>
      </w:pPr>
      <w:r>
        <w:rPr>
          <w:rFonts w:hint="eastAsia" w:ascii="宋体" w:hAnsi="宋体"/>
        </w:rPr>
        <w:t xml:space="preserve">区数据局现有平台对接调试，包含接口开发、数据联动测试、兼容性调试等。</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数据可视化展示</w:t>
      </w:r>
      <w:r/>
    </w:p>
    <w:p>
      <w:pPr>
        <w:pStyle w:val="687"/>
        <w:ind w:firstLine="420"/>
        <w:spacing w:line="360" w:lineRule="auto"/>
        <w:rPr>
          <w:rFonts w:hint="eastAsia" w:ascii="宋体" w:hAnsi="宋体"/>
        </w:rPr>
      </w:pPr>
      <w:r>
        <w:rPr>
          <w:rFonts w:hint="eastAsia" w:ascii="宋体" w:hAnsi="宋体"/>
        </w:rPr>
        <w:t xml:space="preserve">实现监控数据的可视化展示（柱状图、折线图、仪表盘）、历史数据追溯、异常数据处理流程对接，支持区相关部门对数据质量的实时把控和问题快速处置。</w:t>
      </w:r>
      <w:r/>
    </w:p>
    <w:p>
      <w:pPr>
        <w:pStyle w:val="687"/>
        <w:numPr>
          <w:ilvl w:val="2"/>
          <w:numId w:val="5"/>
        </w:numPr>
        <w:spacing w:line="360" w:lineRule="auto"/>
        <w:rPr>
          <w:rFonts w:hint="eastAsia" w:ascii="宋体" w:hAnsi="宋体" w:cs="宋体"/>
          <w:b/>
          <w:bCs/>
          <w:sz w:val="28"/>
          <w:szCs w:val="28"/>
        </w:rPr>
        <w:outlineLvl w:val="2"/>
      </w:pPr>
      <w:r/>
      <w:bookmarkStart w:id="170" w:name="_Toc20918"/>
      <w:r>
        <w:rPr>
          <w:rFonts w:hint="eastAsia" w:ascii="宋体" w:hAnsi="宋体" w:cs="宋体"/>
          <w:b/>
          <w:bCs/>
          <w:sz w:val="28"/>
          <w:szCs w:val="28"/>
        </w:rPr>
        <w:t xml:space="preserve">法人高质量数据集构建</w:t>
      </w:r>
      <w:bookmarkEnd w:id="170"/>
      <w:r>
        <w:rPr>
          <w:rFonts w:hint="eastAsia" w:ascii="宋体" w:hAnsi="宋体" w:cs="宋体"/>
          <w:b/>
          <w:bCs/>
          <w:sz w:val="28"/>
          <w:szCs w:val="28"/>
        </w:rPr>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企业法人基础数据</w:t>
      </w:r>
      <w:r/>
    </w:p>
    <w:p>
      <w:pPr>
        <w:pStyle w:val="687"/>
        <w:ind w:firstLine="420"/>
        <w:spacing w:line="360" w:lineRule="auto"/>
        <w:rPr>
          <w:rFonts w:hint="eastAsia" w:ascii="宋体" w:hAnsi="宋体"/>
        </w:rPr>
      </w:pPr>
      <w:r>
        <w:rPr>
          <w:rFonts w:hint="eastAsia" w:ascii="宋体" w:hAnsi="宋体"/>
        </w:rPr>
        <w:t xml:space="preserve">整合16万多法人主体基础信息、知识产权等数据，按主体建档。</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产业动态数据</w:t>
      </w:r>
      <w:r/>
    </w:p>
    <w:p>
      <w:pPr>
        <w:pStyle w:val="687"/>
        <w:ind w:firstLine="420"/>
        <w:spacing w:line="360" w:lineRule="auto"/>
        <w:rPr>
          <w:rFonts w:hint="eastAsia" w:ascii="宋体" w:hAnsi="宋体"/>
        </w:rPr>
      </w:pPr>
      <w:r>
        <w:rPr>
          <w:rFonts w:hint="eastAsia" w:ascii="宋体" w:hAnsi="宋体"/>
        </w:rPr>
        <w:t xml:space="preserve">按行业分类、产业标签等维度，聚合16万多法人相关指标，实现多维度统计。</w:t>
      </w:r>
      <w:r/>
    </w:p>
    <w:p>
      <w:pPr>
        <w:pStyle w:val="687"/>
        <w:numPr>
          <w:ilvl w:val="3"/>
          <w:numId w:val="5"/>
        </w:numPr>
        <w:spacing w:line="360" w:lineRule="auto"/>
        <w:rPr>
          <w:rFonts w:hint="eastAsia" w:ascii="宋体" w:hAnsi="宋体" w:cs="宋体"/>
          <w:b/>
          <w:bCs/>
          <w:sz w:val="28"/>
          <w:szCs w:val="28"/>
        </w:rPr>
        <w:outlineLvl w:val="3"/>
      </w:pPr>
      <w:r>
        <w:rPr>
          <w:rFonts w:hint="eastAsia" w:ascii="宋体" w:hAnsi="宋体" w:cs="宋体"/>
          <w:b/>
          <w:bCs/>
          <w:sz w:val="28"/>
          <w:szCs w:val="28"/>
        </w:rPr>
        <w:t xml:space="preserve">经营风险预警</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经营风险预警</w:t>
      </w:r>
      <w:r>
        <w:rPr>
          <w:rFonts w:hint="eastAsia" w:ascii="宋体" w:hAnsi="宋体"/>
          <w:b/>
          <w:bCs/>
          <w:sz w:val="24"/>
          <w:szCs w:val="24"/>
        </w:rPr>
        <w:t xml:space="preserve">数据集</w:t>
      </w:r>
      <w:r/>
    </w:p>
    <w:p>
      <w:pPr>
        <w:pStyle w:val="687"/>
        <w:ind w:firstLine="420"/>
        <w:spacing w:line="360" w:lineRule="auto"/>
        <w:rPr>
          <w:rFonts w:hint="eastAsia" w:ascii="宋体" w:hAnsi="宋体"/>
        </w:rPr>
      </w:pPr>
      <w:r>
        <w:rPr>
          <w:rFonts w:hint="eastAsia" w:ascii="宋体" w:hAnsi="宋体"/>
        </w:rPr>
        <w:t xml:space="preserve">聚合各行业企业数量、规模、经营能力、创新能力、抗风险能力、营收等指标，支持按时间、区域、行业维度的动态统计，精准反映产业发展趋势，整合行政处罚、司法诉讼等数据。</w:t>
      </w:r>
      <w:r/>
    </w:p>
    <w:p>
      <w:pPr>
        <w:pStyle w:val="687"/>
        <w:numPr>
          <w:ilvl w:val="0"/>
          <w:numId w:val="11"/>
        </w:numPr>
        <w:keepLines/>
        <w:keepNext/>
        <w:spacing w:before="120" w:after="120" w:line="360" w:lineRule="auto"/>
        <w:rPr>
          <w:rFonts w:hint="eastAsia" w:ascii="宋体" w:hAnsi="宋体"/>
          <w:b/>
          <w:bCs/>
          <w:sz w:val="24"/>
          <w:szCs w:val="24"/>
        </w:rPr>
      </w:pPr>
      <w:r>
        <w:rPr>
          <w:rFonts w:hint="eastAsia" w:ascii="宋体" w:hAnsi="宋体"/>
          <w:b/>
          <w:bCs/>
          <w:sz w:val="24"/>
          <w:szCs w:val="24"/>
        </w:rPr>
        <w:t xml:space="preserve"> 模型构建</w:t>
      </w:r>
      <w:r/>
    </w:p>
    <w:p>
      <w:pPr>
        <w:pStyle w:val="687"/>
        <w:ind w:firstLine="420"/>
        <w:spacing w:line="360" w:lineRule="auto"/>
        <w:rPr>
          <w:rFonts w:hint="eastAsia" w:ascii="宋体" w:hAnsi="宋体"/>
        </w:rPr>
      </w:pPr>
      <w:r>
        <w:rPr>
          <w:rFonts w:hint="eastAsia" w:ascii="宋体" w:hAnsi="宋体"/>
        </w:rPr>
        <w:t xml:space="preserve">构建吴江区本地化企业风险量化模型与预警指数，按风险等级（低/中/高）对企业进行分级标注，实现风险的量化评估和提前预警。</w:t>
      </w:r>
      <w:r/>
    </w:p>
    <w:p>
      <w:pPr>
        <w:pStyle w:val="687"/>
        <w:spacing w:before="120" w:after="120" w:line="0" w:lineRule="atLeast"/>
        <w:rPr>
          <w:rFonts w:hint="eastAsia" w:ascii="宋体" w:hAnsi="宋体"/>
          <w:b/>
          <w:bCs/>
          <w:sz w:val="24"/>
          <w:szCs w:val="24"/>
        </w:rPr>
      </w:pPr>
      <w:r>
        <w:rPr>
          <w:rFonts w:hint="eastAsia" w:ascii="宋体" w:hAnsi="宋体"/>
          <w:b/>
          <w:bCs/>
          <w:sz w:val="24"/>
          <w:szCs w:val="24"/>
        </w:rPr>
        <w:t xml:space="preserve">★2、售后服务：</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（1）投标人提供的软件系统开发部分终验完成后开始计算免费维护期，免费维护期一年。</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（2）所有保修服务方式均为投标人派人员到现场维护，由此产生的一切费用均由投标人承担。</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（3）投标人在免费运维期内保证提供 7×24 小时服务响应，系统出现故障时，应在1小时内响应，并按照不同的故障等级提供适当的对应服务。一般情况下，维护工程师应在2小时内到现场，并在 4小时内解决问题。</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（4）投标人必须提出保修期内的维护内容和范围（产品、技术、模块）。</w:t>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hint="eastAsia" w:ascii="宋体" w:hAnsi="宋体"/>
          <w:b/>
          <w:bCs/>
          <w:sz w:val="24"/>
          <w:szCs w:val="24"/>
        </w:rPr>
      </w:pPr>
      <w:r>
        <w:rPr>
          <w:rFonts w:hint="eastAsia" w:ascii="宋体" w:hAnsi="宋体"/>
          <w:b/>
          <w:bCs/>
          <w:sz w:val="24"/>
          <w:szCs w:val="24"/>
        </w:rPr>
        <w:t xml:space="preserve">★3、质保期：</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自项目验收之日算起，本次项目开发的应用软件中标人须为用户方提供至少一年的软件免费维护服务、终身的技术服务支持，免费维护包括系统维护、功能修订、性能优化、故障检测。</w:t>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hint="eastAsia" w:ascii="宋体" w:hAnsi="宋体"/>
          <w:sz w:val="24"/>
          <w:szCs w:val="24"/>
        </w:rPr>
      </w:pPr>
      <w:r>
        <w:rPr>
          <w:rFonts w:hint="eastAsia" w:ascii="宋体" w:hAnsi="宋体"/>
          <w:b/>
          <w:bCs/>
          <w:sz w:val="24"/>
          <w:szCs w:val="24"/>
        </w:rPr>
        <w:t xml:space="preserve">★</w:t>
      </w:r>
      <w:r>
        <w:rPr>
          <w:rFonts w:hint="eastAsia" w:ascii="宋体" w:hAnsi="宋体"/>
          <w:sz w:val="24"/>
          <w:szCs w:val="24"/>
        </w:rPr>
        <w:t xml:space="preserve">4、履约期限：</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履约期限为12个月，其中投标人须在合同签定的3个月内完成所有子系</w:t>
      </w:r>
      <w:r>
        <w:rPr>
          <w:rFonts w:hint="eastAsia" w:ascii="宋体" w:hAnsi="宋体"/>
          <w:sz w:val="24"/>
          <w:szCs w:val="24"/>
        </w:rPr>
        <w:t xml:space="preserve">统的开发，并成功上线，进入试运行，3个月试运行后，正式运行6个月。</w:t>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hint="eastAsia" w:ascii="宋体" w:hAnsi="宋体"/>
          <w:sz w:val="24"/>
          <w:szCs w:val="24"/>
        </w:rPr>
      </w:pPr>
      <w:r>
        <w:rPr>
          <w:rFonts w:hint="eastAsia" w:ascii="宋体" w:hAnsi="宋体"/>
          <w:sz w:val="24"/>
          <w:szCs w:val="24"/>
        </w:rPr>
        <w:t xml:space="preserve">5、合同付款方式：</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（1）第一笔款项支付时间：合同签订生效，并在甲方收到乙方开具发票后15个工作日内，支付合同总额的30%；</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（2）第二笔款项支付时间：项目由甲方对项目进行初验，在初验通过后，并在甲方收到乙方开具发票后15个工作日内，支付合同总额的30%；</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（3）第三笔款项支付时间：项目由甲方对项目进行终验，在终验通过后，并在甲方收到乙方开具发票后15个工作日内，支付合同剩余款项。</w:t>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hint="eastAsia" w:ascii="宋体" w:hAnsi="宋体"/>
          <w:sz w:val="24"/>
          <w:szCs w:val="24"/>
        </w:rPr>
      </w:pPr>
      <w:r>
        <w:rPr>
          <w:rFonts w:hint="eastAsia" w:ascii="宋体" w:hAnsi="宋体"/>
          <w:sz w:val="24"/>
          <w:szCs w:val="24"/>
        </w:rPr>
        <w:t xml:space="preserve">6、人员要求：</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   （1）组织机构</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为使工程按质、按量、按时及有序实施，中标人对本项目必须建立一个完善和稳定的管理组织机构。</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（2）核心人员要求</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在项目人员方面，建设期内资源梳理阶段投标人须至少提供6名技术人员常驻项目现场，其中必须包括1名项目经理、1名技术负责人。在建设期内，由项目经理负责现场处理问题或交流情况的整体协调工作。</w:t>
      </w:r>
      <w:r/>
    </w:p>
    <w:p>
      <w:pPr>
        <w:pStyle w:val="687"/>
        <w:spacing w:before="120" w:after="120" w:line="0" w:lineRule="atLeast"/>
        <w:rPr>
          <w:rFonts w:hint="eastAsia" w:ascii="宋体" w:hAnsi="宋体"/>
          <w:sz w:val="24"/>
          <w:szCs w:val="24"/>
        </w:rPr>
      </w:pPr>
      <w:r>
        <w:rPr>
          <w:rFonts w:hint="eastAsia" w:ascii="宋体" w:hAnsi="宋体"/>
          <w:sz w:val="24"/>
          <w:szCs w:val="24"/>
        </w:rPr>
        <w:t xml:space="preserve">（3）调整原则</w:t>
      </w:r>
      <w:r/>
    </w:p>
    <w:p>
      <w:pPr>
        <w:pStyle w:val="687"/>
        <w:spacing w:before="120" w:after="120" w:line="0" w:lineRule="atLeast"/>
        <w:rPr>
          <w:rFonts w:ascii="宋体" w:hAnsi="宋体"/>
          <w:sz w:val="24"/>
          <w:szCs w:val="24"/>
        </w:rPr>
      </w:pPr>
      <w:r>
        <w:rPr>
          <w:rFonts w:hint="eastAsia" w:ascii="宋体" w:hAnsi="宋体"/>
          <w:sz w:val="24"/>
          <w:szCs w:val="24"/>
        </w:rPr>
        <w:t xml:space="preserve">本项目的项目经理必须具体负责项目的实施，在系统建设期内，投标人承诺的项目经理和开发实施的主要人员未经用户同意不得调整；投标人如中途更换项目经理、技术负责人和主要开发技术人员，必须征得用户同意。</w:t>
      </w:r>
      <w:r>
        <w:rPr>
          <w:rFonts w:ascii="宋体" w:hAnsi="宋体"/>
          <w:sz w:val="24"/>
          <w:szCs w:val="24"/>
        </w:rPr>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ascii="宋体" w:hAnsi="宋体"/>
          <w:sz w:val="24"/>
          <w:szCs w:val="24"/>
        </w:rPr>
      </w:pPr>
      <w:r>
        <w:rPr>
          <w:rFonts w:ascii="宋体" w:hAnsi="宋体"/>
          <w:sz w:val="24"/>
          <w:szCs w:val="24"/>
        </w:rPr>
      </w:r>
      <w:r/>
    </w:p>
    <w:p>
      <w:pPr>
        <w:pStyle w:val="687"/>
        <w:spacing w:before="120" w:after="120" w:line="0" w:lineRule="atLeast"/>
        <w:rPr>
          <w:rFonts w:hint="eastAsia" w:ascii="宋体" w:hAnsi="宋体" w:cs="Courier New"/>
          <w:sz w:val="24"/>
          <w:szCs w:val="24"/>
        </w:rPr>
      </w:pPr>
      <w:r>
        <w:rPr>
          <w:rFonts w:hint="eastAsia" w:ascii="宋体" w:hAnsi="宋体" w:cs="Courier New"/>
          <w:sz w:val="24"/>
          <w:szCs w:val="24"/>
        </w:rPr>
      </w:r>
      <w:r/>
    </w:p>
    <w:p>
      <w:pPr>
        <w:pStyle w:val="687"/>
        <w:spacing w:line="0" w:lineRule="atLeast"/>
        <w:rPr>
          <w:rFonts w:hint="eastAsia" w:ascii="宋体" w:hAnsi="宋体"/>
          <w:sz w:val="24"/>
          <w:szCs w:val="24"/>
        </w:rPr>
      </w:pPr>
      <w:r>
        <w:rPr>
          <w:rFonts w:hint="eastAsia" w:ascii="宋体" w:hAnsi="宋体"/>
          <w:sz w:val="24"/>
          <w:szCs w:val="24"/>
        </w:rPr>
      </w:r>
      <w:r/>
    </w:p>
    <w:p>
      <w:pPr>
        <w:pStyle w:val="687"/>
        <w:jc w:val="center"/>
        <w:keepNext/>
        <w:rPr>
          <w:rFonts w:hint="eastAsia" w:ascii="宋体" w:hAnsi="宋体"/>
          <w:bCs/>
          <w:sz w:val="44"/>
          <w:szCs w:val="28"/>
        </w:rPr>
        <w:outlineLvl w:val="0"/>
      </w:pPr>
      <w:r/>
      <w:bookmarkStart w:id="171" w:name="_Toc120614281"/>
      <w:r>
        <w:rPr>
          <w:rFonts w:hint="eastAsia" w:ascii="宋体" w:hAnsi="宋体"/>
          <w:bCs/>
          <w:sz w:val="44"/>
          <w:szCs w:val="28"/>
        </w:rPr>
        <w:t xml:space="preserve">第五章  </w:t>
      </w:r>
      <w:r>
        <w:rPr>
          <w:rFonts w:hint="eastAsia" w:ascii="宋体" w:hAnsi="宋体"/>
          <w:b/>
          <w:bCs/>
          <w:sz w:val="44"/>
          <w:szCs w:val="28"/>
        </w:rPr>
        <w:t xml:space="preserve">评审方法与评审标准</w:t>
      </w:r>
      <w:r>
        <w:rPr>
          <w:rFonts w:hint="eastAsia" w:ascii="宋体" w:hAnsi="宋体"/>
          <w:bCs/>
          <w:sz w:val="44"/>
          <w:szCs w:val="28"/>
        </w:rPr>
      </w:r>
      <w:r/>
    </w:p>
    <w:p>
      <w:pPr>
        <w:pStyle w:val="687"/>
        <w:rPr>
          <w:rFonts w:hint="eastAsia" w:ascii="宋体" w:hAnsi="宋体"/>
          <w:szCs w:val="21"/>
        </w:rPr>
      </w:pPr>
      <w:r>
        <w:rPr>
          <w:rFonts w:hint="eastAsia" w:ascii="宋体" w:hAnsi="宋体"/>
          <w:szCs w:val="21"/>
        </w:rPr>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1.响应总报价低于或等于财政预算价格的，为有效响应报价。超财政预算的响应报价为无效响应报价。无效磋商响应报价的响应文件不进行评审，也不得成为成交供应商。</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2.价格分采用低价优先法计算，即满足磋商文件要求且响应价格最低的响应报价为评标基准价，其价格分为满分10分。其他磋商响应人的价格分统一按照下列公式计算：</w:t>
      </w:r>
      <w:r/>
    </w:p>
    <w:p>
      <w:pPr>
        <w:pStyle w:val="687"/>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响应报价得分=（评标基准价/响应报价）*价格权重*100，小数点后保留两位。</w:t>
      </w:r>
      <w:r/>
    </w:p>
    <w:p>
      <w:pPr>
        <w:pStyle w:val="687"/>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宋体" w:hAnsi="宋体"/>
          <w:sz w:val="24"/>
          <w:szCs w:val="24"/>
        </w:rPr>
        <w:t xml:space="preserve">   </w:t>
      </w:r>
      <w:r>
        <w:rPr>
          <w:rFonts w:hint="eastAsia" w:ascii="宋体" w:hAnsi="宋体"/>
          <w:b/>
          <w:sz w:val="36"/>
          <w:szCs w:val="36"/>
        </w:rPr>
      </w:r>
      <w:r/>
    </w:p>
    <w:p>
      <w:pPr>
        <w:pStyle w:val="687"/>
        <w:rPr>
          <w:rFonts w:hint="eastAsia" w:ascii="宋体" w:hAnsi="宋体"/>
          <w:szCs w:val="21"/>
        </w:rPr>
      </w:pPr>
      <w:r>
        <w:rPr>
          <w:rFonts w:hint="eastAsia" w:ascii="宋体" w:hAnsi="宋体"/>
          <w:szCs w:val="21"/>
        </w:rPr>
      </w:r>
      <w:r/>
    </w:p>
    <w:p>
      <w:pPr>
        <w:pStyle w:val="727"/>
        <w:ind w:firstLine="420"/>
        <w:spacing w:line="400" w:lineRule="exact"/>
        <w:rPr>
          <w:rFonts w:hAnsi="宋体"/>
        </w:rPr>
      </w:pPr>
      <w:r>
        <w:rPr>
          <w:rFonts w:hint="eastAsia" w:hAnsi="宋体"/>
        </w:rPr>
        <w:t xml:space="preserve">（二）技术与方案及其它（</w:t>
      </w:r>
      <w:r>
        <w:rPr>
          <w:rFonts w:hAnsi="宋体"/>
        </w:rPr>
        <w:t xml:space="preserve">90</w:t>
      </w:r>
      <w:r>
        <w:rPr>
          <w:rFonts w:hint="eastAsia" w:hAnsi="宋体"/>
        </w:rPr>
        <w:t xml:space="preserve">分）</w:t>
      </w:r>
      <w:r>
        <w:rPr>
          <w:rFonts w:hAnsi="宋体"/>
        </w:rPr>
      </w:r>
      <w:r/>
    </w:p>
    <w:tbl>
      <w:tblPr>
        <w:tblW w:w="86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250"/>
        <w:gridCol w:w="5857"/>
        <w:gridCol w:w="833"/>
      </w:tblGrid>
      <w:tr>
        <w:trPr>
          <w:trHeight w:val="502"/>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序号</w:t>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评分项</w:t>
            </w:r>
            <w:r/>
          </w:p>
        </w:tc>
        <w:tc>
          <w:tcPr>
            <w:tcW w:w="5857"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评分标准</w:t>
            </w:r>
            <w:r/>
          </w:p>
        </w:tc>
        <w:tc>
          <w:tcPr>
            <w:tcW w:w="833" w:type="dxa"/>
            <w:vAlign w:val="center"/>
            <w:textDirection w:val="lrTb"/>
            <w:noWrap w:val="false"/>
          </w:tcPr>
          <w:p>
            <w:pPr>
              <w:pStyle w:val="687"/>
              <w:rPr>
                <w:rFonts w:hint="eastAsia" w:ascii="宋体" w:hAnsi="宋体"/>
                <w:sz w:val="24"/>
                <w:szCs w:val="24"/>
              </w:rPr>
            </w:pPr>
            <w:r>
              <w:rPr>
                <w:rFonts w:hint="eastAsia" w:ascii="宋体" w:hAnsi="宋体"/>
                <w:sz w:val="24"/>
                <w:szCs w:val="24"/>
              </w:rPr>
              <w:t xml:space="preserve">分数</w:t>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w:t>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项目理解与现状分析</w:t>
            </w:r>
            <w:r>
              <w:rPr>
                <w:rFonts w:hint="eastAsia"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响应单位提供本项目的理解和现状分析方案，包括：①本项目的背景及目标、②业务现状、③需求分析。</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方案具有科学性、合理性、完整性以及符合需求度高的，每提供一项得 2分，每项内容里有一处内容不合理或不完整的得1分，出现三处及以上的此项不得分，最高分6分。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w:t>
            </w:r>
            <w:r>
              <w:rPr>
                <w:rFonts w:hint="eastAsia" w:ascii="宋体" w:hAnsi="宋体" w:cs="宋体"/>
                <w:bCs/>
                <w:sz w:val="24"/>
                <w:szCs w:val="24"/>
              </w:rPr>
              <w:t xml:space="preserve">及不满足采购文件要求的其他情况。</w:t>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6</w:t>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2</w:t>
            </w:r>
            <w:r/>
          </w:p>
        </w:tc>
        <w:tc>
          <w:tcPr>
            <w:tcW w:w="1250"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数据指标中心设计方案</w:t>
            </w:r>
            <w:r>
              <w:rPr>
                <w:rFonts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提供数据指标中心设计方案，需要包括①数据多源接入、②指标配置管理、③指标场景应用等功能的设计方案(最高</w:t>
            </w:r>
            <w:r>
              <w:rPr>
                <w:rFonts w:hint="eastAsia" w:ascii="宋体" w:hAnsi="宋体" w:cs="宋体"/>
                <w:bCs/>
                <w:sz w:val="24"/>
                <w:szCs w:val="24"/>
              </w:rPr>
              <w:t xml:space="preserve">6</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方案完整、符合本项目实际需求的，每提供一项得</w:t>
            </w:r>
            <w:r>
              <w:rPr>
                <w:rFonts w:hint="eastAsia" w:ascii="宋体" w:hAnsi="宋体" w:cs="宋体"/>
                <w:bCs/>
                <w:sz w:val="24"/>
                <w:szCs w:val="24"/>
              </w:rPr>
              <w:t xml:space="preserve">2</w:t>
            </w:r>
            <w:r>
              <w:rPr>
                <w:rFonts w:hint="eastAsia" w:ascii="宋体" w:hAnsi="宋体" w:cs="宋体"/>
                <w:bCs/>
                <w:sz w:val="24"/>
                <w:szCs w:val="24"/>
              </w:rPr>
              <w:t xml:space="preserve">分，每项内容里有一处内容不合理或不完整的得</w:t>
            </w:r>
            <w:r>
              <w:rPr>
                <w:rFonts w:hint="eastAsia" w:ascii="宋体" w:hAnsi="宋体" w:cs="宋体"/>
                <w:bCs/>
                <w:sz w:val="24"/>
                <w:szCs w:val="24"/>
              </w:rPr>
              <w:t xml:space="preserve">1</w:t>
            </w:r>
            <w:r>
              <w:rPr>
                <w:rFonts w:hint="eastAsia" w:ascii="宋体" w:hAnsi="宋体" w:cs="宋体"/>
                <w:bCs/>
                <w:sz w:val="24"/>
                <w:szCs w:val="24"/>
              </w:rPr>
              <w:t xml:space="preserve">分，出现三处及以上的此项不得分，最高分</w:t>
            </w:r>
            <w:r>
              <w:rPr>
                <w:rFonts w:hint="eastAsia" w:ascii="宋体" w:hAnsi="宋体" w:cs="宋体"/>
                <w:bCs/>
                <w:sz w:val="24"/>
                <w:szCs w:val="24"/>
              </w:rPr>
              <w:t xml:space="preserve">6</w:t>
            </w:r>
            <w:r>
              <w:rPr>
                <w:rFonts w:hint="eastAsia" w:ascii="宋体" w:hAnsi="宋体" w:cs="宋体"/>
                <w:bCs/>
                <w:sz w:val="24"/>
                <w:szCs w:val="24"/>
              </w:rPr>
              <w:t xml:space="preserve">分。</w:t>
            </w:r>
            <w:r/>
          </w:p>
          <w:p>
            <w:pPr>
              <w:pStyle w:val="687"/>
              <w:ind w:firstLine="480"/>
              <w:jc w:val="left"/>
              <w:spacing w:line="440" w:lineRule="exact"/>
              <w:rPr>
                <w:rFonts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ascii="宋体" w:hAnsi="宋体" w:cs="宋体"/>
                <w:bCs/>
                <w:sz w:val="24"/>
                <w:szCs w:val="24"/>
              </w:rPr>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3</w:t>
            </w:r>
            <w:r/>
          </w:p>
        </w:tc>
        <w:tc>
          <w:tcPr>
            <w:tcW w:w="1250" w:type="dxa"/>
            <w:vAlign w:val="center"/>
            <w:textDirection w:val="lrTb"/>
            <w:noWrap w:val="false"/>
          </w:tcPr>
          <w:p>
            <w:pPr>
              <w:pStyle w:val="687"/>
              <w:jc w:val="center"/>
              <w:rPr>
                <w:rFonts w:hint="eastAsia" w:ascii="宋体" w:hAnsi="宋体" w:cs="宋体"/>
                <w:sz w:val="24"/>
                <w:szCs w:val="24"/>
              </w:rPr>
            </w:pPr>
            <w:r>
              <w:rPr>
                <w:rFonts w:hint="eastAsia" w:ascii="宋体" w:hAnsi="宋体"/>
                <w:sz w:val="24"/>
                <w:szCs w:val="24"/>
              </w:rPr>
              <w:t xml:space="preserve">视频算法中心设计方案</w:t>
            </w:r>
            <w:r>
              <w:rPr>
                <w:rFonts w:hint="eastAsia" w:ascii="宋体" w:hAnsi="宋体" w:cs="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提供视频算法中心设计方案，需要包括①可视化展示、②视频算法中心、③配置中心等功能的设计方案(最高</w:t>
            </w:r>
            <w:r>
              <w:rPr>
                <w:rFonts w:hint="eastAsia" w:ascii="宋体" w:hAnsi="宋体" w:cs="宋体"/>
                <w:bCs/>
                <w:sz w:val="24"/>
                <w:szCs w:val="24"/>
              </w:rPr>
              <w:t xml:space="preserve">9</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方案完整、符合本项目实际需求的，每提供一项得</w:t>
            </w:r>
            <w:r>
              <w:rPr>
                <w:rFonts w:hint="eastAsia" w:ascii="宋体" w:hAnsi="宋体" w:cs="宋体"/>
                <w:bCs/>
                <w:sz w:val="24"/>
                <w:szCs w:val="24"/>
              </w:rPr>
              <w:t xml:space="preserve">3</w:t>
            </w:r>
            <w:r>
              <w:rPr>
                <w:rFonts w:hint="eastAsia" w:ascii="宋体" w:hAnsi="宋体" w:cs="宋体"/>
                <w:bCs/>
                <w:sz w:val="24"/>
                <w:szCs w:val="24"/>
              </w:rPr>
              <w:t xml:space="preserve">分，每项内容里有一处内容不合理或不完整的得</w:t>
            </w:r>
            <w:r>
              <w:rPr>
                <w:rFonts w:hint="eastAsia" w:ascii="宋体" w:hAnsi="宋体" w:cs="宋体"/>
                <w:bCs/>
                <w:sz w:val="24"/>
                <w:szCs w:val="24"/>
              </w:rPr>
              <w:t xml:space="preserve">1.5</w:t>
            </w:r>
            <w:r>
              <w:rPr>
                <w:rFonts w:hint="eastAsia" w:ascii="宋体" w:hAnsi="宋体" w:cs="宋体"/>
                <w:bCs/>
                <w:sz w:val="24"/>
                <w:szCs w:val="24"/>
              </w:rPr>
              <w:t xml:space="preserve">分，出现三处及以上的此项不得分，最高分</w:t>
            </w:r>
            <w:r>
              <w:rPr>
                <w:rFonts w:hint="eastAsia" w:ascii="宋体" w:hAnsi="宋体" w:cs="宋体"/>
                <w:bCs/>
                <w:sz w:val="24"/>
                <w:szCs w:val="24"/>
              </w:rPr>
              <w:t xml:space="preserve">9</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bCs/>
                <w:sz w:val="24"/>
                <w:szCs w:val="24"/>
              </w:rPr>
            </w:r>
            <w:r/>
          </w:p>
        </w:tc>
        <w:tc>
          <w:tcPr>
            <w:tcW w:w="833"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4</w:t>
            </w:r>
            <w:r/>
          </w:p>
        </w:tc>
        <w:tc>
          <w:tcPr>
            <w:tcW w:w="1250" w:type="dxa"/>
            <w:vAlign w:val="center"/>
            <w:textDirection w:val="lrTb"/>
            <w:noWrap w:val="false"/>
          </w:tcPr>
          <w:p>
            <w:pPr>
              <w:pStyle w:val="687"/>
              <w:jc w:val="center"/>
              <w:rPr>
                <w:rFonts w:hint="eastAsia" w:ascii="宋体" w:hAnsi="宋体" w:cs="宋体"/>
                <w:sz w:val="24"/>
                <w:szCs w:val="24"/>
              </w:rPr>
            </w:pPr>
            <w:r>
              <w:rPr>
                <w:rFonts w:hint="eastAsia" w:ascii="宋体" w:hAnsi="宋体"/>
                <w:sz w:val="24"/>
                <w:szCs w:val="24"/>
              </w:rPr>
              <w:t xml:space="preserve">能力中心设计方案</w:t>
            </w:r>
            <w:r>
              <w:rPr>
                <w:rFonts w:hint="eastAsia" w:ascii="宋体" w:hAnsi="宋体" w:cs="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提供能力中心设计方案，需要包括①多源能力接入、②能力标准化处理、③能力管理等功能的设计方</w:t>
            </w:r>
            <w:r>
              <w:rPr>
                <w:rFonts w:hint="eastAsia" w:ascii="宋体" w:hAnsi="宋体" w:cs="宋体"/>
                <w:bCs/>
                <w:sz w:val="24"/>
                <w:szCs w:val="24"/>
              </w:rPr>
              <w:t xml:space="preserve">案(最高</w:t>
            </w:r>
            <w:r>
              <w:rPr>
                <w:rFonts w:hint="eastAsia" w:ascii="宋体" w:hAnsi="宋体" w:cs="宋体"/>
                <w:bCs/>
                <w:sz w:val="24"/>
                <w:szCs w:val="24"/>
              </w:rPr>
              <w:t xml:space="preserve">6</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方案完整、符合本项目实际需求的，每提供一项得</w:t>
            </w:r>
            <w:r>
              <w:rPr>
                <w:rFonts w:hint="eastAsia" w:ascii="宋体" w:hAnsi="宋体" w:cs="宋体"/>
                <w:bCs/>
                <w:sz w:val="24"/>
                <w:szCs w:val="24"/>
              </w:rPr>
              <w:t xml:space="preserve">2</w:t>
            </w:r>
            <w:r>
              <w:rPr>
                <w:rFonts w:hint="eastAsia" w:ascii="宋体" w:hAnsi="宋体" w:cs="宋体"/>
                <w:bCs/>
                <w:sz w:val="24"/>
                <w:szCs w:val="24"/>
              </w:rPr>
              <w:t xml:space="preserve">分，每项内容里有一处内容不合理或不完整的得</w:t>
            </w:r>
            <w:r>
              <w:rPr>
                <w:rFonts w:hint="eastAsia" w:ascii="宋体" w:hAnsi="宋体" w:cs="宋体"/>
                <w:bCs/>
                <w:sz w:val="24"/>
                <w:szCs w:val="24"/>
              </w:rPr>
              <w:t xml:space="preserve">1</w:t>
            </w:r>
            <w:r>
              <w:rPr>
                <w:rFonts w:hint="eastAsia" w:ascii="宋体" w:hAnsi="宋体" w:cs="宋体"/>
                <w:bCs/>
                <w:sz w:val="24"/>
                <w:szCs w:val="24"/>
              </w:rPr>
              <w:t xml:space="preserve">分，出现三处及以上的此项不得分，最高分</w:t>
            </w:r>
            <w:r>
              <w:rPr>
                <w:rFonts w:hint="eastAsia" w:ascii="宋体" w:hAnsi="宋体" w:cs="宋体"/>
                <w:bCs/>
                <w:sz w:val="24"/>
                <w:szCs w:val="24"/>
              </w:rPr>
              <w:t xml:space="preserve">6</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bCs/>
                <w:sz w:val="24"/>
                <w:szCs w:val="24"/>
              </w:rPr>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5</w:t>
            </w:r>
            <w:r/>
          </w:p>
        </w:tc>
        <w:tc>
          <w:tcPr>
            <w:tcW w:w="1250" w:type="dxa"/>
            <w:vAlign w:val="center"/>
            <w:textDirection w:val="lrTb"/>
            <w:noWrap w:val="false"/>
          </w:tcPr>
          <w:p>
            <w:pPr>
              <w:pStyle w:val="687"/>
              <w:jc w:val="center"/>
              <w:rPr>
                <w:rFonts w:hint="eastAsia" w:ascii="宋体" w:hAnsi="宋体" w:cs="宋体"/>
                <w:sz w:val="24"/>
                <w:szCs w:val="24"/>
              </w:rPr>
            </w:pPr>
            <w:r>
              <w:rPr>
                <w:rFonts w:hint="eastAsia" w:ascii="宋体" w:hAnsi="宋体"/>
                <w:sz w:val="24"/>
                <w:szCs w:val="24"/>
              </w:rPr>
              <w:t xml:space="preserve">预警中心设计方案</w:t>
            </w:r>
            <w:r>
              <w:rPr>
                <w:rFonts w:hint="eastAsia" w:ascii="宋体" w:hAnsi="宋体" w:cs="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提供预警中心设计方案，需要包括①可视化分析平台、②预警管理平台、③移动端处置平台、④数据治理、⑤数据接口等功能的设计方案(最高10分)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方案完整、符合本项目实际需求的，每提供一项得2分，每项内容里有一处内容不合理或不完整的得1分，出现五处及以上的此项不得分，最高分10分。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bCs/>
                <w:sz w:val="24"/>
                <w:szCs w:val="24"/>
              </w:rPr>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10</w:t>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6</w:t>
            </w:r>
            <w:r/>
          </w:p>
        </w:tc>
        <w:tc>
          <w:tcPr>
            <w:tcW w:w="1250" w:type="dxa"/>
            <w:vAlign w:val="center"/>
            <w:textDirection w:val="lrTb"/>
            <w:noWrap w:val="false"/>
          </w:tcPr>
          <w:p>
            <w:pPr>
              <w:pStyle w:val="687"/>
              <w:jc w:val="center"/>
              <w:rPr>
                <w:rFonts w:hint="eastAsia" w:ascii="宋体" w:hAnsi="宋体" w:cs="宋体"/>
                <w:sz w:val="24"/>
                <w:szCs w:val="24"/>
              </w:rPr>
            </w:pPr>
            <w:r>
              <w:rPr>
                <w:rFonts w:hint="eastAsia" w:ascii="宋体" w:hAnsi="宋体"/>
                <w:sz w:val="24"/>
                <w:szCs w:val="24"/>
              </w:rPr>
              <w:t xml:space="preserve">法人高质量数据集设计方案</w:t>
            </w:r>
            <w:r>
              <w:rPr>
                <w:rFonts w:hint="eastAsia" w:ascii="宋体" w:hAnsi="宋体" w:cs="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w:t>
            </w:r>
            <w:r>
              <w:rPr>
                <w:rFonts w:hint="eastAsia" w:ascii="宋体" w:hAnsi="宋体"/>
                <w:sz w:val="24"/>
                <w:szCs w:val="24"/>
              </w:rPr>
              <w:t xml:space="preserve">法人高质量数据集</w:t>
            </w:r>
            <w:r>
              <w:rPr>
                <w:rFonts w:hint="eastAsia" w:ascii="宋体" w:hAnsi="宋体" w:cs="宋体"/>
                <w:bCs/>
                <w:sz w:val="24"/>
                <w:szCs w:val="24"/>
              </w:rPr>
              <w:t xml:space="preserve">设计方案，需要包括</w:t>
            </w:r>
            <w:r>
              <w:rPr>
                <w:rFonts w:hint="eastAsia" w:ascii="宋体" w:hAnsi="宋体" w:cs="宋体"/>
                <w:bCs/>
                <w:sz w:val="24"/>
                <w:szCs w:val="24"/>
              </w:rPr>
              <w:t xml:space="preserve">①</w:t>
            </w:r>
            <w:r>
              <w:rPr>
                <w:rFonts w:hint="eastAsia" w:ascii="宋体" w:hAnsi="宋体" w:cs="宋体"/>
                <w:bCs/>
                <w:sz w:val="24"/>
                <w:szCs w:val="24"/>
              </w:rPr>
              <w:t xml:space="preserve">数据采集与对接、</w:t>
            </w:r>
            <w:r>
              <w:rPr>
                <w:rFonts w:hint="eastAsia" w:ascii="宋体" w:hAnsi="宋体" w:cs="宋体"/>
                <w:bCs/>
                <w:sz w:val="24"/>
                <w:szCs w:val="24"/>
              </w:rPr>
              <w:t xml:space="preserve">②</w:t>
            </w:r>
            <w:r>
              <w:rPr>
                <w:rFonts w:hint="eastAsia" w:ascii="宋体" w:hAnsi="宋体" w:cs="宋体"/>
                <w:bCs/>
                <w:sz w:val="24"/>
                <w:szCs w:val="24"/>
              </w:rPr>
              <w:t xml:space="preserve">数据治理与标引、</w:t>
            </w:r>
            <w:r>
              <w:rPr>
                <w:rFonts w:hint="eastAsia" w:ascii="宋体" w:hAnsi="宋体" w:cs="宋体"/>
                <w:bCs/>
                <w:sz w:val="24"/>
                <w:szCs w:val="24"/>
              </w:rPr>
              <w:t xml:space="preserve">③</w:t>
            </w:r>
            <w:r>
              <w:rPr>
                <w:rFonts w:hint="eastAsia" w:ascii="宋体" w:hAnsi="宋体" w:cs="宋体"/>
                <w:bCs/>
                <w:sz w:val="24"/>
                <w:szCs w:val="24"/>
              </w:rPr>
              <w:t xml:space="preserve">质量看板、</w:t>
            </w:r>
            <w:r>
              <w:rPr>
                <w:rFonts w:hint="eastAsia" w:ascii="宋体" w:hAnsi="宋体" w:cs="宋体"/>
                <w:bCs/>
                <w:sz w:val="24"/>
                <w:szCs w:val="24"/>
              </w:rPr>
              <w:t xml:space="preserve">④</w:t>
            </w:r>
            <w:r>
              <w:rPr>
                <w:rFonts w:hint="eastAsia" w:ascii="宋体" w:hAnsi="宋体" w:cs="宋体"/>
                <w:bCs/>
                <w:sz w:val="24"/>
                <w:szCs w:val="24"/>
              </w:rPr>
              <w:t xml:space="preserve">数据集构建等功能的设计方案(最高8分)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 方案完整、符合本项目实际需求的，每提供一项得2分，每项内容里有一处内容不合理或不完</w:t>
            </w:r>
            <w:r>
              <w:rPr>
                <w:rFonts w:hint="eastAsia" w:ascii="宋体" w:hAnsi="宋体" w:cs="宋体"/>
                <w:bCs/>
                <w:sz w:val="24"/>
                <w:szCs w:val="24"/>
              </w:rPr>
              <w:t xml:space="preserve">整的得1分，出现五处及以上的此项不得分，最高分8分。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cs="宋体"/>
                <w:bCs/>
                <w:sz w:val="24"/>
                <w:szCs w:val="24"/>
              </w:rPr>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8</w:t>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7</w:t>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总体实施方案</w:t>
            </w:r>
            <w:r/>
          </w:p>
        </w:tc>
        <w:tc>
          <w:tcPr>
            <w:tcW w:w="5857" w:type="dxa"/>
            <w:vAlign w:val="center"/>
            <w:textDirection w:val="lrTb"/>
            <w:noWrap w:val="false"/>
          </w:tcPr>
          <w:p>
            <w:pPr>
              <w:pStyle w:val="687"/>
              <w:ind w:firstLine="480"/>
              <w:jc w:val="left"/>
              <w:spacing w:line="440" w:lineRule="exact"/>
              <w:rPr>
                <w:rFonts w:ascii="宋体" w:hAnsi="宋体" w:cs="宋体"/>
                <w:bCs/>
                <w:sz w:val="24"/>
                <w:szCs w:val="24"/>
              </w:rPr>
            </w:pPr>
            <w:r>
              <w:rPr>
                <w:rFonts w:hint="eastAsia" w:ascii="宋体" w:hAnsi="宋体" w:cs="宋体"/>
                <w:bCs/>
                <w:sz w:val="24"/>
                <w:szCs w:val="24"/>
              </w:rPr>
              <w:t xml:space="preserve">提供本项目的总体实施方案，包括：</w:t>
            </w:r>
            <w:r>
              <w:rPr>
                <w:rFonts w:hint="eastAsia" w:ascii="宋体" w:hAnsi="宋体" w:cs="宋体"/>
                <w:bCs/>
                <w:sz w:val="24"/>
                <w:szCs w:val="24"/>
              </w:rPr>
              <w:t xml:space="preserve">①</w:t>
            </w:r>
            <w:r>
              <w:rPr>
                <w:rFonts w:hint="eastAsia" w:ascii="宋体" w:hAnsi="宋体" w:cs="宋体"/>
                <w:bCs/>
                <w:sz w:val="24"/>
                <w:szCs w:val="24"/>
              </w:rPr>
              <w:t xml:space="preserve">实施策略、实施保障实施总计划和各阶段方案，</w:t>
            </w:r>
            <w:r>
              <w:rPr>
                <w:rFonts w:hint="eastAsia" w:ascii="宋体" w:hAnsi="宋体" w:cs="宋体"/>
                <w:bCs/>
                <w:sz w:val="24"/>
                <w:szCs w:val="24"/>
              </w:rPr>
              <w:t xml:space="preserve">②</w:t>
            </w:r>
            <w:r>
              <w:rPr>
                <w:rFonts w:hint="eastAsia" w:ascii="宋体" w:hAnsi="宋体" w:cs="宋体"/>
                <w:bCs/>
                <w:sz w:val="24"/>
                <w:szCs w:val="24"/>
              </w:rPr>
              <w:t xml:space="preserve">对项目实施各个流程关键问题阐述及应对方法，</w:t>
            </w:r>
            <w:r>
              <w:rPr>
                <w:rFonts w:hint="eastAsia" w:ascii="宋体" w:hAnsi="宋体" w:cs="宋体"/>
                <w:bCs/>
                <w:sz w:val="24"/>
                <w:szCs w:val="24"/>
              </w:rPr>
              <w:t xml:space="preserve">③</w:t>
            </w:r>
            <w:r>
              <w:rPr>
                <w:rFonts w:hint="eastAsia" w:ascii="宋体" w:hAnsi="宋体" w:cs="宋体"/>
                <w:bCs/>
                <w:sz w:val="24"/>
                <w:szCs w:val="24"/>
              </w:rPr>
              <w:t xml:space="preserve">项目建设各阶段成果输出进行阐述</w:t>
            </w:r>
            <w:r>
              <w:rPr>
                <w:rFonts w:ascii="宋体" w:hAnsi="宋体" w:cs="宋体"/>
                <w:bCs/>
                <w:sz w:val="24"/>
                <w:szCs w:val="24"/>
              </w:rPr>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方案具有科学性、合理性、完整性以及符合需求度高的，每提供一项得 2分，每项内容里有一处内容不合理或不完整的得1分，出现三处及以上的此项不得分，最高分6分。</w:t>
            </w:r>
            <w:r/>
          </w:p>
          <w:p>
            <w:pPr>
              <w:pStyle w:val="766"/>
              <w:ind w:left="0" w:firstLine="480"/>
              <w:rPr>
                <w:rFonts w:hint="eastAsia" w:eastAsia="宋体"/>
              </w:rPr>
            </w:pPr>
            <w:r>
              <w:rPr>
                <w:rFonts w:hint="eastAsia" w:eastAsia="宋体" w:cs="宋体"/>
                <w:bCs/>
                <w:sz w:val="24"/>
                <w:szCs w:val="24"/>
              </w:rPr>
              <w:t xml:space="preserve">注：以上内容“不合理”、“不完整”是指：存在不适用项目实际情况、套用其他无关内容、内容不完整、与本项目履约无关、逻辑存在漏洞以及不满足采购文件要求的其他情况。</w:t>
            </w:r>
            <w:r>
              <w:rPr>
                <w:rFonts w:hint="eastAsia" w:eastAsia="宋体"/>
              </w:rPr>
            </w:r>
            <w:r/>
          </w:p>
        </w:tc>
        <w:tc>
          <w:tcPr>
            <w:tcW w:w="833"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8</w:t>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售后服务方案</w:t>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提供本项目售后服务方案，需包括售①后服务规范制度和②售后服务体系设计</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方案具有科学性、合理性、完整性以及符合需求度高的，每提供一项得</w:t>
            </w:r>
            <w:r>
              <w:rPr>
                <w:rFonts w:hint="eastAsia" w:ascii="宋体" w:hAnsi="宋体" w:cs="宋体"/>
                <w:bCs/>
                <w:sz w:val="24"/>
                <w:szCs w:val="24"/>
              </w:rPr>
              <w:t xml:space="preserve">2</w:t>
            </w:r>
            <w:r>
              <w:rPr>
                <w:rFonts w:hint="eastAsia" w:ascii="宋体" w:hAnsi="宋体" w:cs="宋体"/>
                <w:bCs/>
                <w:sz w:val="24"/>
                <w:szCs w:val="24"/>
              </w:rPr>
              <w:t xml:space="preserve">分，每项内容里有一处内容不合理或不完整的得</w:t>
            </w:r>
            <w:r>
              <w:rPr>
                <w:rFonts w:hint="eastAsia" w:ascii="宋体" w:hAnsi="宋体" w:cs="宋体"/>
                <w:bCs/>
                <w:sz w:val="24"/>
                <w:szCs w:val="24"/>
              </w:rPr>
              <w:t xml:space="preserve">1</w:t>
            </w:r>
            <w:r>
              <w:rPr>
                <w:rFonts w:hint="eastAsia" w:ascii="宋体" w:hAnsi="宋体" w:cs="宋体"/>
                <w:bCs/>
                <w:sz w:val="24"/>
                <w:szCs w:val="24"/>
              </w:rPr>
              <w:t xml:space="preserve">分，出现两处及以上的此项不得分，最高分</w:t>
            </w:r>
            <w:r>
              <w:rPr>
                <w:rFonts w:hint="eastAsia" w:ascii="宋体" w:hAnsi="宋体" w:cs="宋体"/>
                <w:bCs/>
                <w:sz w:val="24"/>
                <w:szCs w:val="24"/>
              </w:rPr>
              <w:t xml:space="preserve">4</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注：以上内容“不合理”、“不完整”是指：存在不适用项目实际情况、套用</w:t>
            </w:r>
            <w:r>
              <w:rPr>
                <w:rFonts w:hint="eastAsia" w:ascii="宋体" w:hAnsi="宋体" w:cs="宋体"/>
                <w:bCs/>
                <w:sz w:val="24"/>
                <w:szCs w:val="24"/>
              </w:rPr>
              <w:t xml:space="preserve">其他无关内容、内容不完整、与本项目履约无关、逻辑存在漏洞以及不满足采购文件要求的其他情况。</w:t>
            </w:r>
            <w:r/>
          </w:p>
        </w:tc>
        <w:tc>
          <w:tcPr>
            <w:tcW w:w="833"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9</w:t>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项目团队人员构成</w:t>
            </w:r>
            <w:r>
              <w:rPr>
                <w:rFonts w:hint="eastAsia"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项目经理具有电子信息工程类中级及以上职称得2分；具备系统集成项目管理工程师证书或信息系统项目管理师证书得2分。最高得4分。（投标文件中需提供证书复印件或扫描件及该人员在响应单位最近一个月及以上缴纳的社保证明材料，并加盖投标单位公章，未按要求提供不得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2、技术负责人具有系统分析师证书得2分。（投标文件中需提供证书复印件或扫描件及该人员在响应单位最近一个月及以上缴纳的社保证明材料，并加盖投标单位公章，未按要求提供不得分。）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3、项目组成员中（除项目经理和技术负责人外）具有系统集成项目管理工程师证书或信息系统项目管理师证书得2分；具备电子信息工程类中级及以上证书得2分；具备注册信息安全工程师（CISE）或CISP-PTE证书或CISP-PTS证书或CISP-CSE证书或NISP-CCS证书或NISP-PT证书得2分。最高6分。（投标文件中需提供证书复印件或扫描件及该人员在响应单位最近一个月及以上缴纳的社保证明材料，并加盖投标单位公章，未按要求提供不得分。一人多证不可兼得，提供多个</w:t>
            </w:r>
            <w:r>
              <w:rPr>
                <w:rFonts w:hint="eastAsia" w:ascii="宋体" w:hAnsi="宋体" w:cs="宋体"/>
                <w:bCs/>
                <w:sz w:val="24"/>
                <w:szCs w:val="24"/>
              </w:rPr>
              <w:t xml:space="preserve">相同类型证书只计算一个）</w:t>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12</w:t>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投标单位综合实力</w:t>
            </w:r>
            <w:r>
              <w:rPr>
                <w:rFonts w:hint="eastAsia"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1、投标人具有有效期内的信息安全管理体系认证证书得2分；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2、投标人具有有效期内ITSS运行维护类三级及以上信息技术服务符合性证书得2分；ITSS运行维护类三级以下的得1分；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3、具备有效的质量管理体系认证证书的得1分；具备有效的信息技术服务管理体系认证证书的得</w:t>
            </w:r>
            <w:r>
              <w:rPr>
                <w:rFonts w:hint="eastAsia" w:ascii="宋体" w:hAnsi="宋体" w:cs="宋体"/>
                <w:bCs/>
                <w:sz w:val="24"/>
                <w:szCs w:val="24"/>
              </w:rPr>
              <w:t xml:space="preserve">1</w:t>
            </w:r>
            <w:r>
              <w:rPr>
                <w:rFonts w:hint="eastAsia" w:ascii="宋体" w:hAnsi="宋体" w:cs="宋体"/>
                <w:bCs/>
                <w:sz w:val="24"/>
                <w:szCs w:val="24"/>
              </w:rPr>
              <w:t xml:space="preserve">分。 </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4、具备有效的类似本项目软件著作权的，每提供1份得</w:t>
            </w:r>
            <w:r>
              <w:rPr>
                <w:rFonts w:hint="eastAsia" w:ascii="宋体" w:hAnsi="宋体" w:cs="宋体"/>
                <w:bCs/>
                <w:sz w:val="24"/>
                <w:szCs w:val="24"/>
              </w:rPr>
              <w:t xml:space="preserve">2</w:t>
            </w:r>
            <w:r>
              <w:rPr>
                <w:rFonts w:hint="eastAsia" w:ascii="宋体" w:hAnsi="宋体" w:cs="宋体"/>
                <w:bCs/>
                <w:sz w:val="24"/>
                <w:szCs w:val="24"/>
              </w:rPr>
              <w:t xml:space="preserve">分，最高得</w:t>
            </w:r>
            <w:r>
              <w:rPr>
                <w:rFonts w:hint="eastAsia" w:ascii="宋体" w:hAnsi="宋体" w:cs="宋体"/>
                <w:bCs/>
                <w:sz w:val="24"/>
                <w:szCs w:val="24"/>
              </w:rPr>
              <w:t xml:space="preserve">4</w:t>
            </w:r>
            <w:r>
              <w:rPr>
                <w:rFonts w:hint="eastAsia" w:ascii="宋体" w:hAnsi="宋体" w:cs="宋体"/>
                <w:bCs/>
                <w:sz w:val="24"/>
                <w:szCs w:val="24"/>
              </w:rPr>
              <w:t xml:space="preserve">分。</w:t>
            </w:r>
            <w:r/>
          </w:p>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（投标文件中需提供有效期内的证书复印件或扫描件，并加盖投标单位公章，未按要求提供不得分。）</w:t>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c>
          <w:tcPr>
            <w:tcW w:w="726"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r>
            <w:r/>
          </w:p>
        </w:tc>
        <w:tc>
          <w:tcPr>
            <w:tcW w:w="1250"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类似项目业绩</w:t>
            </w:r>
            <w:r>
              <w:rPr>
                <w:rFonts w:hint="eastAsia"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021年1月1日起至今（以合同签订之日起）投标单位具有类似项目业绩的，每提供一个得2分，最高得4分。（投标文件中需提供完整的合同及任意一期的发票复印件或扫描件，并加盖投标单位公章，未按要求提供不得分。）</w:t>
            </w:r>
            <w:r/>
          </w:p>
        </w:tc>
        <w:tc>
          <w:tcPr>
            <w:tcW w:w="83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4</w:t>
            </w:r>
            <w:r/>
          </w:p>
        </w:tc>
      </w:tr>
      <w:tr>
        <w:trPr/>
        <w:tc>
          <w:tcPr>
            <w:tcW w:w="726"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1250"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演示</w:t>
            </w:r>
            <w:r>
              <w:rPr>
                <w:rFonts w:ascii="宋体" w:hAnsi="宋体"/>
                <w:sz w:val="24"/>
                <w:szCs w:val="24"/>
              </w:rPr>
            </w:r>
            <w:r/>
          </w:p>
        </w:tc>
        <w:tc>
          <w:tcPr>
            <w:tcW w:w="5857" w:type="dxa"/>
            <w:vAlign w:val="center"/>
            <w:textDirection w:val="lrTb"/>
            <w:noWrap w:val="false"/>
          </w:tcPr>
          <w:p>
            <w:pPr>
              <w:pStyle w:val="687"/>
              <w:ind w:firstLine="480"/>
              <w:jc w:val="left"/>
              <w:spacing w:line="440" w:lineRule="exact"/>
              <w:rPr>
                <w:rFonts w:hint="eastAsia" w:ascii="宋体" w:hAnsi="宋体" w:cs="宋体"/>
                <w:bCs/>
                <w:sz w:val="24"/>
                <w:szCs w:val="24"/>
                <w:lang w:val="zh-CN"/>
              </w:rPr>
            </w:pPr>
            <w:r>
              <w:rPr>
                <w:rFonts w:ascii="宋体" w:hAnsi="宋体" w:cs="宋体"/>
                <w:bCs/>
                <w:sz w:val="24"/>
                <w:szCs w:val="24"/>
              </w:rPr>
              <w:t xml:space="preserve">统一采用录制真实软件或DEMO操作视频方式进行演示（视频画面须清晰），视频文件的格式为*.mp4或*.avi，供应商须将视频文件分段压缩为*.zip文件上传（单个文件不得大于50M，所有文件总共不得大于300M）。文件上传方式见《操作手册》规定，上传的演示视频将作为</w:t>
            </w:r>
            <w:r>
              <w:rPr>
                <w:rFonts w:ascii="宋体" w:hAnsi="宋体" w:cs="宋体"/>
                <w:bCs/>
                <w:sz w:val="24"/>
                <w:szCs w:val="24"/>
              </w:rPr>
              <w:t xml:space="preserve">响应文件的组成部分，视频时长总计不超过15分钟。未按要求提交的本项不得分。</w:t>
            </w:r>
            <w:r>
              <w:rPr>
                <w:rFonts w:hint="eastAsia" w:ascii="宋体" w:hAnsi="宋体" w:cs="宋体"/>
                <w:bCs/>
                <w:sz w:val="24"/>
                <w:szCs w:val="24"/>
                <w:lang w:val="zh-CN"/>
              </w:rPr>
              <w:t xml:space="preserve">每成功演示下述一项能力得</w:t>
            </w:r>
            <w:r>
              <w:rPr>
                <w:rFonts w:hint="eastAsia" w:ascii="宋体" w:hAnsi="宋体" w:cs="宋体"/>
                <w:bCs/>
                <w:sz w:val="24"/>
                <w:szCs w:val="24"/>
              </w:rPr>
              <w:t xml:space="preserve">3</w:t>
            </w:r>
            <w:r>
              <w:rPr>
                <w:rFonts w:hint="eastAsia" w:ascii="宋体" w:hAnsi="宋体" w:cs="宋体"/>
                <w:bCs/>
                <w:sz w:val="24"/>
                <w:szCs w:val="24"/>
                <w:lang w:val="zh-CN"/>
              </w:rPr>
              <w:t xml:space="preserve">分，功能不完整或缺项不得分，最高得</w:t>
            </w:r>
            <w:r>
              <w:rPr>
                <w:rFonts w:hint="eastAsia" w:ascii="宋体" w:hAnsi="宋体" w:cs="宋体"/>
                <w:bCs/>
                <w:sz w:val="24"/>
                <w:szCs w:val="24"/>
              </w:rPr>
              <w:t xml:space="preserve">9</w:t>
            </w:r>
            <w:r>
              <w:rPr>
                <w:rFonts w:hint="eastAsia" w:ascii="宋体" w:hAnsi="宋体" w:cs="宋体"/>
                <w:bCs/>
                <w:sz w:val="24"/>
                <w:szCs w:val="24"/>
                <w:lang w:val="zh-CN"/>
              </w:rPr>
              <w:t xml:space="preserve">分。</w:t>
            </w:r>
            <w:r/>
          </w:p>
          <w:p>
            <w:pPr>
              <w:pStyle w:val="687"/>
              <w:ind w:firstLine="480"/>
              <w:jc w:val="left"/>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主要演示内容：</w:t>
            </w:r>
            <w:r/>
          </w:p>
          <w:p>
            <w:pPr>
              <w:pStyle w:val="687"/>
              <w:ind w:firstLine="480"/>
              <w:jc w:val="left"/>
              <w:spacing w:line="440" w:lineRule="exact"/>
              <w:rPr>
                <w:rFonts w:ascii="宋体" w:hAnsi="宋体" w:cs="宋体"/>
                <w:bCs/>
                <w:sz w:val="24"/>
                <w:szCs w:val="24"/>
              </w:rPr>
            </w:pPr>
            <w:r>
              <w:rPr>
                <w:rFonts w:hint="eastAsia" w:ascii="宋体" w:hAnsi="宋体" w:cs="宋体"/>
                <w:bCs/>
                <w:sz w:val="24"/>
                <w:szCs w:val="24"/>
                <w:lang w:val="zh-CN"/>
              </w:rPr>
              <w:t xml:space="preserve">1、</w:t>
            </w:r>
            <w:r>
              <w:rPr>
                <w:rFonts w:hint="eastAsia" w:ascii="宋体" w:hAnsi="宋体" w:cs="宋体"/>
                <w:bCs/>
                <w:sz w:val="24"/>
                <w:szCs w:val="24"/>
              </w:rPr>
              <w:t xml:space="preserve">数据指标中心场景应用中数据底座功能</w:t>
            </w:r>
            <w:r>
              <w:rPr>
                <w:rFonts w:hint="eastAsia" w:ascii="宋体" w:hAnsi="宋体" w:cs="宋体"/>
                <w:bCs/>
                <w:sz w:val="24"/>
                <w:szCs w:val="24"/>
                <w:lang w:val="zh-CN"/>
              </w:rPr>
              <w:t xml:space="preserve">展示</w:t>
            </w:r>
            <w:r>
              <w:rPr>
                <w:rFonts w:hint="eastAsia" w:ascii="宋体" w:hAnsi="宋体" w:cs="宋体"/>
                <w:bCs/>
                <w:sz w:val="24"/>
                <w:szCs w:val="24"/>
              </w:rPr>
              <w:t xml:space="preserve">3</w:t>
            </w:r>
            <w:r>
              <w:rPr>
                <w:rFonts w:hint="eastAsia" w:ascii="宋体" w:hAnsi="宋体" w:cs="宋体"/>
                <w:bCs/>
                <w:sz w:val="24"/>
                <w:szCs w:val="24"/>
                <w:lang w:val="zh-CN"/>
              </w:rPr>
              <w:t xml:space="preserve">分，包括</w:t>
            </w:r>
            <w:r>
              <w:rPr>
                <w:rFonts w:hint="eastAsia" w:ascii="宋体" w:hAnsi="宋体" w:cs="宋体"/>
                <w:bCs/>
                <w:sz w:val="24"/>
                <w:szCs w:val="24"/>
              </w:rPr>
              <w:t xml:space="preserve">交易服务分析、实事项目分析以及数据资源场景分析</w:t>
            </w:r>
            <w:r>
              <w:rPr>
                <w:rFonts w:hint="eastAsia" w:ascii="宋体" w:hAnsi="宋体" w:cs="宋体"/>
                <w:bCs/>
                <w:sz w:val="24"/>
                <w:szCs w:val="24"/>
                <w:lang w:val="zh-CN"/>
              </w:rPr>
              <w:t xml:space="preserve">。</w:t>
            </w:r>
            <w:r>
              <w:rPr>
                <w:rFonts w:ascii="宋体" w:hAnsi="宋体" w:cs="宋体"/>
                <w:bCs/>
                <w:sz w:val="24"/>
                <w:szCs w:val="24"/>
              </w:rPr>
            </w:r>
            <w:r/>
          </w:p>
          <w:p>
            <w:pPr>
              <w:pStyle w:val="687"/>
              <w:ind w:firstLine="480"/>
              <w:jc w:val="left"/>
              <w:spacing w:line="440" w:lineRule="exact"/>
              <w:rPr>
                <w:rFonts w:hint="eastAsia" w:ascii="宋体" w:hAnsi="宋体" w:cs="宋体"/>
                <w:bCs/>
                <w:sz w:val="24"/>
                <w:szCs w:val="24"/>
                <w:lang w:val="zh-CN"/>
              </w:rPr>
            </w:pPr>
            <w:r>
              <w:rPr>
                <w:rFonts w:hint="eastAsia" w:ascii="宋体" w:hAnsi="宋体" w:cs="宋体"/>
                <w:bCs/>
                <w:sz w:val="24"/>
                <w:szCs w:val="24"/>
                <w:lang w:val="zh-CN"/>
              </w:rPr>
              <w:t xml:space="preserve">2、</w:t>
            </w:r>
            <w:r>
              <w:rPr>
                <w:rFonts w:hint="eastAsia" w:ascii="宋体" w:hAnsi="宋体" w:cs="宋体"/>
                <w:bCs/>
                <w:sz w:val="24"/>
                <w:szCs w:val="24"/>
              </w:rPr>
              <w:t xml:space="preserve">视频算法中心工作流配置功能</w:t>
            </w:r>
            <w:r>
              <w:rPr>
                <w:rFonts w:hint="eastAsia" w:ascii="宋体" w:hAnsi="宋体" w:cs="宋体"/>
                <w:bCs/>
                <w:sz w:val="24"/>
                <w:szCs w:val="24"/>
                <w:lang w:val="zh-CN"/>
              </w:rPr>
              <w:t xml:space="preserve">展示</w:t>
            </w:r>
            <w:r>
              <w:rPr>
                <w:rFonts w:hint="eastAsia" w:ascii="宋体" w:hAnsi="宋体" w:cs="宋体"/>
                <w:bCs/>
                <w:sz w:val="24"/>
                <w:szCs w:val="24"/>
              </w:rPr>
              <w:t xml:space="preserve">3</w:t>
            </w:r>
            <w:r>
              <w:rPr>
                <w:rFonts w:hint="eastAsia" w:ascii="宋体" w:hAnsi="宋体" w:cs="宋体"/>
                <w:bCs/>
                <w:sz w:val="24"/>
                <w:szCs w:val="24"/>
                <w:lang w:val="zh-CN"/>
              </w:rPr>
              <w:t xml:space="preserve">分，包括</w:t>
            </w:r>
            <w:r>
              <w:rPr>
                <w:rFonts w:hint="eastAsia" w:ascii="宋体" w:hAnsi="宋体"/>
              </w:rPr>
              <w:t xml:space="preserve">模型节点、输入节点、输出节点、工作流节点、处理节点、内置节点等配置</w:t>
            </w:r>
            <w:r>
              <w:rPr>
                <w:rFonts w:hint="eastAsia" w:ascii="宋体" w:hAnsi="宋体" w:cs="宋体"/>
                <w:bCs/>
                <w:sz w:val="24"/>
                <w:szCs w:val="24"/>
                <w:lang w:val="zh-CN"/>
              </w:rPr>
              <w:t xml:space="preserve">。</w:t>
            </w:r>
            <w:r/>
          </w:p>
          <w:p>
            <w:pPr>
              <w:pStyle w:val="687"/>
              <w:ind w:firstLine="480"/>
              <w:jc w:val="left"/>
              <w:spacing w:line="440" w:lineRule="exact"/>
              <w:rPr>
                <w:rFonts w:hint="eastAsia" w:ascii="宋体" w:hAnsi="宋体"/>
                <w:sz w:val="24"/>
                <w:szCs w:val="24"/>
              </w:rPr>
            </w:pPr>
            <w:r>
              <w:rPr>
                <w:rFonts w:hint="eastAsia" w:ascii="宋体" w:hAnsi="宋体" w:cs="宋体"/>
                <w:bCs/>
                <w:sz w:val="24"/>
                <w:szCs w:val="24"/>
                <w:lang w:val="zh-CN"/>
              </w:rPr>
              <w:t xml:space="preserve">3、</w:t>
            </w:r>
            <w:r>
              <w:rPr>
                <w:rFonts w:hint="eastAsia" w:ascii="宋体" w:hAnsi="宋体" w:cs="宋体"/>
                <w:bCs/>
                <w:sz w:val="24"/>
                <w:szCs w:val="24"/>
              </w:rPr>
              <w:t xml:space="preserve">预警中心可视化分析总体态势</w:t>
            </w:r>
            <w:r>
              <w:rPr>
                <w:rFonts w:hint="eastAsia" w:ascii="宋体" w:hAnsi="宋体" w:cs="宋体"/>
                <w:bCs/>
                <w:sz w:val="24"/>
                <w:szCs w:val="24"/>
                <w:lang w:val="zh-CN"/>
              </w:rPr>
              <w:t xml:space="preserve">展示</w:t>
            </w:r>
            <w:r>
              <w:rPr>
                <w:rFonts w:hint="eastAsia" w:ascii="宋体" w:hAnsi="宋体" w:cs="宋体"/>
                <w:bCs/>
                <w:sz w:val="24"/>
                <w:szCs w:val="24"/>
              </w:rPr>
              <w:t xml:space="preserve">3</w:t>
            </w:r>
            <w:r>
              <w:rPr>
                <w:rFonts w:hint="eastAsia" w:ascii="宋体" w:hAnsi="宋体" w:cs="宋体"/>
                <w:bCs/>
                <w:sz w:val="24"/>
                <w:szCs w:val="24"/>
                <w:lang w:val="zh-CN"/>
              </w:rPr>
              <w:t xml:space="preserve">分，包括</w:t>
            </w:r>
            <w:r>
              <w:rPr>
                <w:rFonts w:hint="eastAsia" w:ascii="宋体" w:hAnsi="宋体"/>
              </w:rPr>
              <w:t xml:space="preserve">各板块接入的企业数量、接入监控数、部署模型数等情况</w:t>
            </w:r>
            <w:r>
              <w:rPr>
                <w:rFonts w:hint="eastAsia" w:ascii="宋体" w:hAnsi="宋体" w:cs="宋体"/>
                <w:bCs/>
                <w:sz w:val="24"/>
                <w:szCs w:val="24"/>
                <w:lang w:val="zh-CN"/>
              </w:rPr>
              <w:t xml:space="preserve">。</w:t>
            </w:r>
            <w:r>
              <w:rPr>
                <w:rFonts w:hint="eastAsia" w:ascii="宋体" w:hAnsi="宋体"/>
                <w:sz w:val="24"/>
                <w:szCs w:val="24"/>
              </w:rPr>
            </w:r>
            <w:r/>
          </w:p>
        </w:tc>
        <w:tc>
          <w:tcPr>
            <w:tcW w:w="833" w:type="dxa"/>
            <w:vAlign w:val="center"/>
            <w:textDirection w:val="lrTb"/>
            <w:noWrap w:val="false"/>
          </w:tcPr>
          <w:p>
            <w:pPr>
              <w:pStyle w:val="687"/>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r>
    </w:tbl>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ascii="宋体" w:hAnsi="宋体"/>
          <w:szCs w:val="21"/>
        </w:rPr>
      </w:pPr>
      <w:r>
        <w:rPr>
          <w:rFonts w:ascii="宋体" w:hAnsi="宋体"/>
          <w:szCs w:val="21"/>
        </w:rPr>
      </w:r>
      <w:r/>
    </w:p>
    <w:p>
      <w:pPr>
        <w:pStyle w:val="687"/>
        <w:rPr>
          <w:rFonts w:ascii="宋体" w:hAnsi="宋体"/>
          <w:szCs w:val="21"/>
        </w:rPr>
      </w:pPr>
      <w:r>
        <w:rPr>
          <w:rFonts w:ascii="宋体" w:hAnsi="宋体"/>
          <w:szCs w:val="21"/>
        </w:rPr>
      </w:r>
      <w:r/>
    </w:p>
    <w:p>
      <w:pPr>
        <w:pStyle w:val="687"/>
        <w:rPr>
          <w:rFonts w:ascii="宋体" w:hAnsi="宋体"/>
          <w:szCs w:val="21"/>
        </w:rPr>
      </w:pPr>
      <w:r>
        <w:rPr>
          <w:rFonts w:ascii="宋体" w:hAnsi="宋体"/>
          <w:szCs w:val="21"/>
        </w:rPr>
      </w:r>
      <w:r/>
    </w:p>
    <w:p>
      <w:pPr>
        <w:pStyle w:val="687"/>
        <w:rPr>
          <w:rFonts w:ascii="宋体" w:hAnsi="宋体"/>
          <w:szCs w:val="21"/>
        </w:rPr>
      </w:pPr>
      <w:r>
        <w:rPr>
          <w:rFonts w:ascii="宋体" w:hAnsi="宋体"/>
          <w:szCs w:val="21"/>
        </w:rPr>
      </w:r>
      <w:r/>
    </w:p>
    <w:p>
      <w:pPr>
        <w:pStyle w:val="687"/>
        <w:rPr>
          <w:rFonts w:ascii="宋体" w:hAnsi="宋体"/>
          <w:szCs w:val="21"/>
        </w:rPr>
      </w:pPr>
      <w:r>
        <w:rPr>
          <w:rFonts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hint="eastAsia" w:ascii="宋体" w:hAnsi="宋体"/>
          <w:szCs w:val="21"/>
        </w:rPr>
      </w:pPr>
      <w:r>
        <w:rPr>
          <w:rFonts w:hint="eastAsia" w:ascii="宋体" w:hAnsi="宋体"/>
          <w:szCs w:val="21"/>
        </w:rPr>
      </w:r>
      <w:r/>
    </w:p>
    <w:p>
      <w:pPr>
        <w:pStyle w:val="687"/>
        <w:rPr>
          <w:rFonts w:ascii="宋体" w:hAnsi="宋体"/>
        </w:rPr>
      </w:pPr>
      <w:r>
        <w:rPr>
          <w:rFonts w:ascii="宋体" w:hAnsi="宋体"/>
        </w:rPr>
      </w:r>
      <w:r/>
    </w:p>
    <w:p>
      <w:pPr>
        <w:pStyle w:val="687"/>
        <w:jc w:val="center"/>
        <w:keepNext/>
        <w:rPr>
          <w:rFonts w:hint="eastAsia" w:ascii="宋体" w:hAnsi="宋体"/>
          <w:bCs/>
          <w:sz w:val="44"/>
          <w:szCs w:val="28"/>
        </w:rPr>
        <w:outlineLvl w:val="0"/>
      </w:pPr>
      <w:r>
        <w:rPr>
          <w:rFonts w:hint="eastAsia" w:ascii="宋体" w:hAnsi="宋体"/>
          <w:bCs/>
          <w:sz w:val="44"/>
          <w:szCs w:val="28"/>
        </w:rPr>
        <w:t xml:space="preserve">第六章  </w:t>
      </w:r>
      <w:bookmarkEnd w:id="165"/>
      <w:r/>
      <w:bookmarkEnd w:id="166"/>
      <w:r/>
      <w:bookmarkEnd w:id="171"/>
      <w:r>
        <w:rPr>
          <w:rFonts w:hint="eastAsia" w:ascii="宋体" w:hAnsi="宋体"/>
          <w:bCs/>
          <w:sz w:val="44"/>
          <w:szCs w:val="28"/>
        </w:rPr>
        <w:t xml:space="preserve">响应文件格式 </w:t>
      </w:r>
      <w:r/>
    </w:p>
    <w:p>
      <w:pPr>
        <w:pStyle w:val="687"/>
        <w:jc w:val="center"/>
        <w:rPr>
          <w:rFonts w:hint="eastAsia" w:ascii="宋体" w:hAnsi="宋体"/>
          <w:b/>
          <w:sz w:val="72"/>
          <w:szCs w:val="21"/>
        </w:rPr>
      </w:pPr>
      <w:r/>
      <w:bookmarkStart w:id="172" w:name="_Hlt26955039"/>
      <w:r/>
      <w:bookmarkEnd w:id="172"/>
      <w:r/>
      <w:bookmarkStart w:id="173" w:name="_Hlt26671244"/>
      <w:r/>
      <w:bookmarkEnd w:id="173"/>
      <w:r/>
      <w:bookmarkStart w:id="174" w:name="_Toc120614282"/>
      <w:r/>
      <w:bookmarkStart w:id="175" w:name="_Toc49090576"/>
      <w:r/>
      <w:bookmarkStart w:id="176" w:name="_Toc26554094"/>
      <w:r>
        <w:rPr>
          <w:rFonts w:hint="eastAsia" w:ascii="宋体" w:hAnsi="宋体"/>
          <w:b/>
          <w:sz w:val="72"/>
          <w:szCs w:val="21"/>
        </w:rPr>
      </w:r>
      <w:r/>
    </w:p>
    <w:p>
      <w:pPr>
        <w:pStyle w:val="687"/>
        <w:jc w:val="center"/>
        <w:rPr>
          <w:rFonts w:hint="eastAsia" w:ascii="宋体" w:hAnsi="宋体"/>
          <w:b/>
          <w:sz w:val="72"/>
          <w:szCs w:val="21"/>
        </w:rPr>
      </w:pPr>
      <w:r>
        <w:rPr>
          <w:rFonts w:hint="eastAsia" w:ascii="宋体" w:hAnsi="宋体"/>
          <w:b/>
          <w:sz w:val="72"/>
          <w:szCs w:val="21"/>
        </w:rPr>
        <w:t xml:space="preserve">响  应  文  件</w:t>
      </w:r>
      <w:r/>
    </w:p>
    <w:p>
      <w:pPr>
        <w:pStyle w:val="687"/>
        <w:jc w:val="center"/>
        <w:rPr>
          <w:rFonts w:hint="eastAsia" w:ascii="宋体" w:hAnsi="宋体"/>
          <w:b/>
          <w:sz w:val="72"/>
          <w:szCs w:val="21"/>
        </w:rPr>
      </w:pPr>
      <w:r>
        <w:rPr>
          <w:rFonts w:hint="eastAsia" w:ascii="宋体" w:hAnsi="宋体"/>
          <w:b/>
          <w:sz w:val="72"/>
          <w:szCs w:val="21"/>
        </w:rPr>
      </w:r>
      <w:r/>
    </w:p>
    <w:p>
      <w:pPr>
        <w:pStyle w:val="687"/>
        <w:jc w:val="center"/>
        <w:rPr>
          <w:rFonts w:hint="eastAsia" w:ascii="宋体" w:hAnsi="宋体"/>
          <w:b/>
          <w:sz w:val="72"/>
          <w:szCs w:val="21"/>
        </w:rPr>
      </w:pPr>
      <w:r>
        <w:rPr>
          <w:rFonts w:hint="eastAsia" w:ascii="宋体" w:hAnsi="宋体"/>
          <w:b/>
          <w:sz w:val="72"/>
          <w:szCs w:val="21"/>
        </w:rPr>
      </w:r>
      <w:r/>
    </w:p>
    <w:p>
      <w:pPr>
        <w:pStyle w:val="687"/>
        <w:jc w:val="center"/>
        <w:rPr>
          <w:rFonts w:hint="eastAsia" w:ascii="宋体" w:hAnsi="宋体"/>
          <w:b/>
          <w:sz w:val="36"/>
          <w:szCs w:val="21"/>
        </w:rPr>
      </w:pPr>
      <w:r>
        <w:rPr>
          <w:rFonts w:hint="eastAsia" w:ascii="宋体" w:hAnsi="宋体"/>
          <w:b/>
          <w:sz w:val="36"/>
          <w:szCs w:val="21"/>
        </w:rPr>
      </w:r>
      <w:r/>
    </w:p>
    <w:p>
      <w:pPr>
        <w:pStyle w:val="687"/>
        <w:jc w:val="center"/>
        <w:rPr>
          <w:rFonts w:hint="eastAsia" w:ascii="宋体" w:hAnsi="宋体"/>
          <w:b/>
          <w:sz w:val="36"/>
          <w:szCs w:val="21"/>
        </w:rPr>
      </w:pPr>
      <w:r>
        <w:rPr>
          <w:rFonts w:hint="eastAsia" w:ascii="宋体" w:hAnsi="宋体"/>
          <w:b/>
          <w:sz w:val="36"/>
          <w:szCs w:val="21"/>
        </w:rPr>
      </w:r>
      <w:r/>
    </w:p>
    <w:p>
      <w:pPr>
        <w:pStyle w:val="687"/>
        <w:jc w:val="center"/>
        <w:rPr>
          <w:rFonts w:hint="eastAsia" w:ascii="宋体" w:hAnsi="宋体"/>
          <w:b/>
          <w:sz w:val="36"/>
          <w:szCs w:val="21"/>
        </w:rPr>
      </w:pPr>
      <w:r>
        <w:rPr>
          <w:rFonts w:hint="eastAsia" w:ascii="宋体" w:hAnsi="宋体"/>
          <w:b/>
          <w:sz w:val="36"/>
          <w:szCs w:val="21"/>
        </w:rPr>
      </w:r>
      <w:r/>
    </w:p>
    <w:p>
      <w:pPr>
        <w:pStyle w:val="68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8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8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8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87"/>
        <w:jc w:val="center"/>
        <w:spacing w:line="440" w:lineRule="exact"/>
        <w:rPr>
          <w:rFonts w:hint="eastAsia" w:ascii="宋体" w:hAnsi="宋体"/>
          <w:b/>
          <w:bCs/>
          <w:sz w:val="32"/>
          <w:szCs w:val="32"/>
        </w:rPr>
      </w:pPr>
      <w:r>
        <w:rPr>
          <w:rFonts w:hint="eastAsia" w:ascii="宋体" w:hAnsi="宋体"/>
          <w:b/>
          <w:bCs/>
          <w:sz w:val="32"/>
          <w:szCs w:val="32"/>
        </w:rPr>
      </w:r>
      <w:r/>
    </w:p>
    <w:p>
      <w:pPr>
        <w:pStyle w:val="687"/>
        <w:spacing w:line="440" w:lineRule="exact"/>
        <w:rPr>
          <w:rFonts w:ascii="宋体" w:hAnsi="宋体"/>
          <w:szCs w:val="21"/>
        </w:rPr>
      </w:pPr>
      <w:r>
        <w:rPr>
          <w:rFonts w:ascii="宋体" w:hAnsi="宋体"/>
          <w:szCs w:val="21"/>
        </w:rPr>
      </w:r>
      <w:r/>
    </w:p>
    <w:p>
      <w:pPr>
        <w:pStyle w:val="687"/>
        <w:rPr>
          <w:rFonts w:ascii="宋体" w:hAnsi="宋体"/>
          <w:iCs/>
          <w:sz w:val="32"/>
          <w:szCs w:val="32"/>
        </w:rPr>
      </w:pPr>
      <w:r>
        <w:rPr>
          <w:rFonts w:ascii="宋体" w:hAnsi="宋体"/>
          <w:b/>
          <w:sz w:val="36"/>
          <w:szCs w:val="21"/>
          <w:u w:val="single"/>
        </w:rPr>
        <w:br w:type="page" w:clear="all"/>
      </w:r>
      <w:bookmarkEnd w:id="163"/>
      <w:r/>
      <w:bookmarkEnd w:id="164"/>
      <w:r/>
      <w:bookmarkEnd w:id="174"/>
      <w:r/>
      <w:bookmarkEnd w:id="175"/>
      <w:r/>
      <w:bookmarkEnd w:id="176"/>
      <w:r>
        <w:rPr>
          <w:rFonts w:hint="eastAsia" w:ascii="宋体" w:hAnsi="宋体"/>
          <w:bCs/>
          <w:iCs/>
          <w:sz w:val="24"/>
        </w:rPr>
        <w:t xml:space="preserve">★</w:t>
      </w:r>
      <w:r>
        <w:rPr>
          <w:rFonts w:hint="eastAsia" w:ascii="宋体" w:hAnsi="宋体"/>
          <w:iCs/>
          <w:sz w:val="32"/>
          <w:szCs w:val="32"/>
        </w:rPr>
        <w:t xml:space="preserve">一、法人或者其他组织的营业执照等证明文件，自然人的身份证明</w:t>
      </w:r>
      <w:r>
        <w:rPr>
          <w:rFonts w:ascii="宋体" w:hAnsi="宋体"/>
          <w:iCs/>
          <w:sz w:val="32"/>
          <w:szCs w:val="32"/>
        </w:rPr>
      </w:r>
      <w:r/>
    </w:p>
    <w:p>
      <w:pPr>
        <w:pStyle w:val="687"/>
        <w:ind w:firstLine="480"/>
        <w:spacing w:line="440" w:lineRule="exact"/>
        <w:rPr>
          <w:rFonts w:hint="eastAsia" w:ascii="宋体" w:hAnsi="宋体"/>
          <w:sz w:val="24"/>
          <w:szCs w:val="21"/>
        </w:rPr>
      </w:pPr>
      <w:r>
        <w:rPr>
          <w:rFonts w:hint="eastAsia" w:ascii="宋体" w:hAnsi="宋体"/>
          <w:sz w:val="24"/>
          <w:szCs w:val="21"/>
        </w:rPr>
      </w:r>
      <w:r/>
    </w:p>
    <w:p>
      <w:pPr>
        <w:pStyle w:val="687"/>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二、具有良好的商业信誉和健全的财务会计制度证明。提供2025年度经审计的财务报告或投标截止前六个月内银行金融机构出具的资信证明。</w:t>
      </w:r>
      <w:r/>
    </w:p>
    <w:p>
      <w:pPr>
        <w:pStyle w:val="687"/>
        <w:rPr>
          <w:rFonts w:hint="eastAsia" w:ascii="宋体" w:hAnsi="宋体"/>
          <w:i/>
          <w:sz w:val="32"/>
          <w:szCs w:val="32"/>
          <w:u w:val="single"/>
        </w:rPr>
      </w:pPr>
      <w:r>
        <w:rPr>
          <w:rFonts w:hint="eastAsia" w:ascii="宋体" w:hAnsi="宋体"/>
          <w:i/>
          <w:sz w:val="32"/>
          <w:szCs w:val="32"/>
          <w:u w:val="single"/>
        </w:rPr>
      </w:r>
      <w:r/>
    </w:p>
    <w:p>
      <w:pPr>
        <w:pStyle w:val="687"/>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三、依法缴纳税收和社会保障资金的相关</w:t>
      </w:r>
      <w:r>
        <w:rPr>
          <w:rFonts w:hint="eastAsia" w:ascii="宋体" w:hAnsi="宋体"/>
          <w:iCs/>
          <w:sz w:val="32"/>
          <w:szCs w:val="32"/>
        </w:rPr>
        <w:t xml:space="preserve">材料</w:t>
      </w:r>
      <w:r/>
    </w:p>
    <w:p>
      <w:pPr>
        <w:pStyle w:val="687"/>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687"/>
        <w:rPr>
          <w:rFonts w:hint="eastAsia" w:ascii="宋体" w:hAnsi="宋体"/>
          <w:i/>
          <w:sz w:val="32"/>
          <w:szCs w:val="32"/>
          <w:u w:val="single"/>
        </w:rPr>
      </w:pPr>
      <w:r>
        <w:rPr>
          <w:rFonts w:hint="eastAsia" w:ascii="宋体" w:hAnsi="宋体"/>
          <w:i/>
          <w:sz w:val="32"/>
          <w:szCs w:val="32"/>
          <w:u w:val="single"/>
        </w:rPr>
      </w:r>
      <w:r/>
    </w:p>
    <w:p>
      <w:pPr>
        <w:pStyle w:val="687"/>
        <w:rPr>
          <w:rFonts w:hint="eastAsia"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四、具备履行合同所必需的设备和专业技术能力的书面声明</w:t>
      </w:r>
      <w:r>
        <w:rPr>
          <w:rFonts w:hint="eastAsia" w:ascii="宋体" w:hAnsi="宋体"/>
          <w:i/>
          <w:sz w:val="32"/>
          <w:szCs w:val="32"/>
          <w:u w:val="single"/>
        </w:rPr>
      </w:r>
      <w:r/>
    </w:p>
    <w:p>
      <w:pPr>
        <w:pStyle w:val="687"/>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687"/>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87"/>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87"/>
        <w:spacing w:line="460" w:lineRule="exact"/>
        <w:rPr>
          <w:rFonts w:hint="eastAsia" w:ascii="宋体" w:hAnsi="宋体"/>
          <w:bCs/>
          <w:sz w:val="24"/>
          <w:szCs w:val="21"/>
        </w:rPr>
      </w:pPr>
      <w:r>
        <w:rPr>
          <w:rFonts w:hint="eastAsia" w:ascii="宋体" w:hAnsi="宋体"/>
          <w:bCs/>
          <w:sz w:val="24"/>
          <w:szCs w:val="21"/>
        </w:rPr>
        <w:t xml:space="preserve">                                     </w:t>
      </w:r>
      <w:r/>
    </w:p>
    <w:p>
      <w:pPr>
        <w:pStyle w:val="687"/>
        <w:rPr>
          <w:rFonts w:hint="eastAsia" w:ascii="宋体" w:hAnsi="宋体"/>
          <w:szCs w:val="21"/>
        </w:rPr>
      </w:pPr>
      <w:r>
        <w:rPr>
          <w:rFonts w:hint="eastAsia" w:ascii="宋体" w:hAnsi="宋体"/>
          <w:szCs w:val="21"/>
        </w:rPr>
      </w:r>
      <w:r/>
    </w:p>
    <w:p>
      <w:pPr>
        <w:pStyle w:val="687"/>
        <w:rPr>
          <w:rFonts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五、参加政府采购活动前 3 年内在经营活动中没有重大违法记录的书面声明</w:t>
      </w:r>
      <w:r>
        <w:rPr>
          <w:rFonts w:ascii="宋体" w:hAnsi="宋体"/>
          <w:i/>
          <w:sz w:val="32"/>
          <w:szCs w:val="32"/>
          <w:u w:val="single"/>
        </w:rPr>
      </w:r>
      <w:r/>
    </w:p>
    <w:p>
      <w:pPr>
        <w:pStyle w:val="687"/>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687"/>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87"/>
        <w:ind w:left="420" w:firstLine="527"/>
        <w:spacing w:before="120" w:line="360" w:lineRule="auto"/>
        <w:tabs>
          <w:tab w:val="left" w:pos="5250" w:leader="none"/>
        </w:tabs>
        <w:rPr>
          <w:rFonts w:hint="eastAsia" w:ascii="宋体" w:hAnsi="宋体"/>
          <w:sz w:val="28"/>
          <w:szCs w:val="28"/>
        </w:rPr>
      </w:pPr>
      <w:r>
        <w:rPr>
          <w:rFonts w:hint="eastAsia" w:ascii="宋体" w:hAnsi="宋体"/>
          <w:sz w:val="28"/>
          <w:szCs w:val="28"/>
        </w:rPr>
      </w:r>
      <w:r/>
    </w:p>
    <w:p>
      <w:pPr>
        <w:pStyle w:val="687"/>
        <w:rPr>
          <w:rFonts w:hint="eastAsia" w:ascii="宋体" w:hAnsi="宋体"/>
          <w:i/>
          <w:sz w:val="32"/>
          <w:szCs w:val="32"/>
          <w:u w:val="single"/>
        </w:rPr>
      </w:pPr>
      <w:r>
        <w:rPr>
          <w:rFonts w:hint="eastAsia" w:ascii="宋体" w:hAnsi="宋体"/>
          <w:i/>
          <w:sz w:val="32"/>
          <w:szCs w:val="32"/>
          <w:u w:val="single"/>
        </w:rPr>
      </w:r>
      <w:r/>
    </w:p>
    <w:p>
      <w:pPr>
        <w:pStyle w:val="687"/>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六、特定资格要求的证明文件</w:t>
      </w:r>
      <w:r/>
    </w:p>
    <w:p>
      <w:pPr>
        <w:pStyle w:val="687"/>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87"/>
        <w:spacing w:line="460" w:lineRule="exact"/>
        <w:rPr>
          <w:rFonts w:hint="eastAsia" w:ascii="宋体" w:hAnsi="宋体"/>
          <w:bCs/>
          <w:sz w:val="24"/>
          <w:szCs w:val="21"/>
        </w:rPr>
      </w:pPr>
      <w:r/>
      <w:bookmarkStart w:id="177" w:name="_Toc120614284"/>
      <w:r>
        <w:rPr>
          <w:rFonts w:hint="eastAsia" w:ascii="宋体" w:hAnsi="宋体"/>
          <w:bCs/>
          <w:sz w:val="24"/>
          <w:szCs w:val="21"/>
        </w:rPr>
      </w:r>
      <w:r/>
    </w:p>
    <w:p>
      <w:pPr>
        <w:pStyle w:val="687"/>
        <w:jc w:val="center"/>
        <w:rPr>
          <w:rFonts w:hint="eastAsia"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七、法人授权书</w:t>
      </w:r>
      <w:r>
        <w:rPr>
          <w:rFonts w:hint="eastAsia" w:ascii="宋体" w:hAnsi="宋体"/>
          <w:i/>
          <w:sz w:val="32"/>
          <w:szCs w:val="32"/>
          <w:u w:val="single"/>
        </w:rPr>
      </w:r>
      <w:r/>
    </w:p>
    <w:p>
      <w:pPr>
        <w:pStyle w:val="687"/>
        <w:ind w:firstLine="480"/>
        <w:tabs>
          <w:tab w:val="left" w:pos="360" w:leader="none"/>
        </w:tabs>
        <w:rPr>
          <w:rFonts w:hint="eastAsia" w:ascii="宋体" w:hAnsi="宋体"/>
          <w:sz w:val="24"/>
          <w:szCs w:val="24"/>
        </w:rPr>
      </w:pPr>
      <w:r>
        <w:rPr>
          <w:rFonts w:hint="eastAsia" w:ascii="宋体" w:hAnsi="宋体"/>
          <w:sz w:val="24"/>
          <w:szCs w:val="24"/>
        </w:rPr>
        <w:t xml:space="preserve">本授权书声明：</w:t>
      </w:r>
      <w:r>
        <w:rPr>
          <w:rFonts w:ascii="宋体" w:hAnsi="宋体"/>
          <w:sz w:val="24"/>
          <w:szCs w:val="24"/>
        </w:rPr>
        <w:t xml:space="preserve">____________</w:t>
      </w:r>
      <w:r>
        <w:rPr>
          <w:rFonts w:hint="eastAsia" w:ascii="宋体" w:hAnsi="宋体"/>
          <w:sz w:val="24"/>
          <w:szCs w:val="24"/>
        </w:rPr>
        <w:t xml:space="preserve">（供应商名称）授权</w:t>
      </w:r>
      <w:r>
        <w:rPr>
          <w:rFonts w:ascii="宋体" w:hAnsi="宋体"/>
          <w:sz w:val="24"/>
          <w:szCs w:val="24"/>
        </w:rPr>
        <w:t xml:space="preserve">________________</w:t>
      </w:r>
      <w:r>
        <w:rPr>
          <w:rFonts w:hint="eastAsia" w:ascii="宋体" w:hAnsi="宋体"/>
          <w:sz w:val="24"/>
          <w:szCs w:val="24"/>
        </w:rPr>
        <w:t xml:space="preserve">（被授权人的姓名）为我方就</w:t>
      </w:r>
      <w:r>
        <w:rPr>
          <w:rFonts w:ascii="宋体" w:hAnsi="宋体"/>
          <w:sz w:val="24"/>
          <w:szCs w:val="24"/>
        </w:rPr>
        <w:t xml:space="preserve">JSZC-</w:t>
      </w:r>
      <w:r>
        <w:rPr>
          <w:rFonts w:ascii="宋体" w:hAnsi="宋体"/>
          <w:sz w:val="24"/>
          <w:szCs w:val="24"/>
          <w:u w:val="single"/>
        </w:rPr>
        <w:t xml:space="preserve">        </w:t>
      </w:r>
      <w:r>
        <w:rPr>
          <w:rFonts w:hint="eastAsia" w:ascii="宋体" w:hAnsi="宋体"/>
          <w:sz w:val="24"/>
          <w:szCs w:val="24"/>
        </w:rPr>
        <w:t xml:space="preserve">号项目采购活动的合法代理</w:t>
      </w:r>
      <w:r>
        <w:rPr>
          <w:rFonts w:hint="eastAsia" w:ascii="宋体" w:hAnsi="宋体"/>
          <w:sz w:val="24"/>
          <w:szCs w:val="24"/>
        </w:rPr>
        <w:t xml:space="preserve">人，以本单位名义全权处理一切与该项目采购有关的事务。</w:t>
      </w:r>
      <w:r/>
    </w:p>
    <w:p>
      <w:pPr>
        <w:pStyle w:val="687"/>
        <w:ind w:firstLine="480"/>
        <w:tabs>
          <w:tab w:val="left" w:pos="360" w:leader="none"/>
        </w:tabs>
        <w:rPr>
          <w:rFonts w:ascii="宋体" w:hAnsi="宋体"/>
          <w:sz w:val="24"/>
          <w:szCs w:val="24"/>
        </w:rPr>
      </w:pPr>
      <w:r>
        <w:rPr>
          <w:rFonts w:hint="eastAsia" w:ascii="宋体" w:hAnsi="宋体"/>
          <w:sz w:val="24"/>
          <w:szCs w:val="24"/>
        </w:rPr>
        <w:t xml:space="preserve">本授权书于</w:t>
      </w:r>
      <w:r>
        <w:rPr>
          <w:rFonts w:ascii="宋体" w:hAnsi="宋体"/>
          <w:sz w:val="24"/>
          <w:szCs w:val="24"/>
        </w:rPr>
        <w:t xml:space="preserve">______</w:t>
      </w:r>
      <w:r>
        <w:rPr>
          <w:rFonts w:hint="eastAsia" w:ascii="宋体" w:hAnsi="宋体"/>
          <w:sz w:val="24"/>
          <w:szCs w:val="24"/>
        </w:rPr>
        <w:t xml:space="preserve">年</w:t>
      </w:r>
      <w:r>
        <w:rPr>
          <w:rFonts w:ascii="宋体" w:hAnsi="宋体"/>
          <w:sz w:val="24"/>
          <w:szCs w:val="24"/>
        </w:rPr>
        <w:t xml:space="preserve">____</w:t>
      </w:r>
      <w:r>
        <w:rPr>
          <w:rFonts w:hint="eastAsia" w:ascii="宋体" w:hAnsi="宋体"/>
          <w:sz w:val="24"/>
          <w:szCs w:val="24"/>
        </w:rPr>
        <w:t xml:space="preserve">月</w:t>
      </w:r>
      <w:r>
        <w:rPr>
          <w:rFonts w:ascii="宋体" w:hAnsi="宋体"/>
          <w:sz w:val="24"/>
          <w:szCs w:val="24"/>
        </w:rPr>
        <w:t xml:space="preserve">____</w:t>
      </w:r>
      <w:r>
        <w:rPr>
          <w:rFonts w:hint="eastAsia" w:ascii="宋体" w:hAnsi="宋体"/>
          <w:sz w:val="24"/>
          <w:szCs w:val="24"/>
        </w:rPr>
        <w:t xml:space="preserve">日起生效，特此声明。</w:t>
      </w:r>
      <w:r>
        <w:rPr>
          <w:rFonts w:ascii="宋体" w:hAnsi="宋体"/>
          <w:sz w:val="24"/>
          <w:szCs w:val="24"/>
        </w:rPr>
      </w:r>
      <w:r/>
    </w:p>
    <w:p>
      <w:pPr>
        <w:pStyle w:val="687"/>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被授权人身份证号码：</w:t>
      </w:r>
      <w:r>
        <w:rPr>
          <w:rFonts w:ascii="宋体" w:hAnsi="宋体"/>
          <w:sz w:val="24"/>
          <w:szCs w:val="24"/>
          <w:u w:val="single"/>
        </w:rPr>
        <w:t xml:space="preserve">                              </w:t>
      </w:r>
      <w:r/>
    </w:p>
    <w:p>
      <w:pPr>
        <w:pStyle w:val="687"/>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被授权人联系电话：（手机）</w:t>
      </w:r>
      <w:r>
        <w:rPr>
          <w:rFonts w:ascii="宋体" w:hAnsi="宋体"/>
          <w:sz w:val="24"/>
          <w:szCs w:val="24"/>
          <w:u w:val="single"/>
        </w:rPr>
        <w:t xml:space="preserve">                          </w:t>
      </w:r>
      <w:r/>
    </w:p>
    <w:p>
      <w:pPr>
        <w:pStyle w:val="687"/>
        <w:ind w:firstLine="1200"/>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w:t>
      </w:r>
      <w:r>
        <w:rPr>
          <w:rFonts w:ascii="宋体" w:hAnsi="宋体"/>
          <w:sz w:val="24"/>
          <w:szCs w:val="24"/>
          <w:u w:val="single"/>
        </w:rPr>
        <w:t xml:space="preserve">CA</w:t>
      </w:r>
      <w:r>
        <w:rPr>
          <w:rFonts w:hint="eastAsia" w:ascii="宋体" w:hAnsi="宋体"/>
          <w:sz w:val="24"/>
          <w:szCs w:val="24"/>
          <w:u w:val="single"/>
        </w:rPr>
        <w:t xml:space="preserve">电子公章）</w:t>
      </w:r>
      <w:r>
        <w:rPr>
          <w:rFonts w:ascii="宋体" w:hAnsi="宋体"/>
          <w:sz w:val="24"/>
          <w:szCs w:val="24"/>
        </w:rPr>
      </w:r>
      <w:r/>
    </w:p>
    <w:p>
      <w:pPr>
        <w:pStyle w:val="687"/>
        <w:ind w:firstLine="48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单位地址：</w:t>
      </w:r>
      <w:r>
        <w:rPr>
          <w:rFonts w:ascii="宋体" w:hAnsi="宋体"/>
          <w:sz w:val="24"/>
          <w:szCs w:val="24"/>
          <w:u w:val="single"/>
        </w:rPr>
        <w:t xml:space="preserve">                                         </w:t>
      </w:r>
      <w:r/>
    </w:p>
    <w:p>
      <w:pPr>
        <w:pStyle w:val="687"/>
        <w:ind w:firstLine="48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日期：</w:t>
      </w:r>
      <w:bookmarkStart w:id="178" w:name="_格式3__银行出具的资信证明"/>
      <w:r/>
      <w:bookmarkEnd w:id="178"/>
      <w:r/>
      <w:bookmarkStart w:id="179" w:name="_Hlt26671380"/>
      <w:r/>
      <w:bookmarkEnd w:id="179"/>
      <w:r/>
      <w:bookmarkStart w:id="180" w:name="_Hlt26955070"/>
      <w:r/>
      <w:bookmarkEnd w:id="180"/>
      <w:r>
        <w:rPr>
          <w:rFonts w:ascii="宋体" w:hAnsi="宋体"/>
          <w:sz w:val="24"/>
          <w:szCs w:val="24"/>
          <w:u w:val="single"/>
        </w:rPr>
        <w:t xml:space="preserve">                                         </w:t>
      </w:r>
      <w:r/>
    </w:p>
    <w:p>
      <w:pPr>
        <w:pStyle w:val="687"/>
        <w:ind w:firstLine="480"/>
        <w:tabs>
          <w:tab w:val="left" w:pos="360" w:leader="none"/>
        </w:tabs>
        <w:rPr>
          <w:rFonts w:ascii="宋体" w:hAnsi="宋体"/>
          <w:sz w:val="24"/>
          <w:szCs w:val="24"/>
          <w:u w:val="single"/>
        </w:rPr>
      </w:pPr>
      <w:r>
        <w:rPr>
          <w:rFonts w:ascii="宋体" w:hAnsi="宋体"/>
          <w:sz w:val="24"/>
          <w:szCs w:val="24"/>
          <w:u w:val="single"/>
        </w:rPr>
      </w:r>
      <w:r/>
    </w:p>
    <w:p>
      <w:pPr>
        <w:pStyle w:val="687"/>
        <w:ind w:firstLine="480"/>
        <w:tabs>
          <w:tab w:val="left" w:pos="360" w:leader="none"/>
        </w:tabs>
        <w:rPr>
          <w:rFonts w:ascii="宋体" w:hAnsi="宋体"/>
          <w:sz w:val="24"/>
          <w:szCs w:val="24"/>
        </w:rPr>
      </w:pPr>
      <w:r>
        <w:rPr>
          <w:rFonts w:ascii="宋体" w:hAnsi="宋体"/>
          <w:sz w:val="24"/>
          <w:szCs w:val="24"/>
        </w:rPr>
      </w:r>
      <w:r/>
    </w:p>
    <w:p>
      <w:pPr>
        <w:pStyle w:val="687"/>
        <w:ind w:firstLine="420"/>
        <w:rPr>
          <w:rFonts w:ascii="宋体" w:hAnsi="宋体"/>
          <w:i/>
          <w:sz w:val="24"/>
          <w:szCs w:val="24"/>
          <w:u w:val="single"/>
        </w:rPr>
      </w:pPr>
      <w:r>
        <w:rPr>
          <w:rFonts w:ascii="宋体" w:hAnsi="宋体"/>
          <w:i/>
          <w:sz w:val="24"/>
          <w:szCs w:val="24"/>
          <w:u w:val="single"/>
        </w:rPr>
      </w:r>
      <w:r/>
    </w:p>
    <w:p>
      <w:pPr>
        <w:pStyle w:val="687"/>
        <w:rPr>
          <w:rFonts w:ascii="宋体" w:hAnsi="宋体"/>
          <w:szCs w:val="21"/>
        </w:rPr>
      </w:pPr>
      <w:r>
        <w:rPr>
          <w:rFonts w:ascii="宋体" w:hAnsi="宋体"/>
          <w:szCs w:val="21"/>
        </w:rPr>
      </w:r>
      <w:r/>
    </w:p>
    <w:p>
      <w:pPr>
        <w:pStyle w:val="687"/>
        <w:jc w:val="center"/>
        <w:rPr>
          <w:rFonts w:ascii="宋体" w:hAnsi="宋体"/>
          <w:iCs/>
          <w:sz w:val="32"/>
          <w:szCs w:val="32"/>
        </w:rPr>
      </w:pPr>
      <w:r>
        <w:rPr>
          <w:rFonts w:hint="eastAsia" w:ascii="宋体" w:hAnsi="宋体" w:cs="Arial"/>
          <w:b/>
          <w:sz w:val="24"/>
          <w:szCs w:val="44"/>
        </w:rPr>
        <w:br w:type="page" w:clear="all"/>
      </w:r>
      <w:r>
        <w:rPr>
          <w:rFonts w:hint="eastAsia" w:ascii="宋体" w:hAnsi="宋体"/>
          <w:iCs/>
          <w:sz w:val="32"/>
          <w:szCs w:val="32"/>
        </w:rPr>
        <w:t xml:space="preserve">★八、磋商响应函</w:t>
      </w:r>
      <w:r>
        <w:rPr>
          <w:rFonts w:ascii="宋体" w:hAnsi="宋体"/>
          <w:iCs/>
          <w:sz w:val="32"/>
          <w:szCs w:val="32"/>
        </w:rPr>
      </w:r>
      <w:r/>
    </w:p>
    <w:p>
      <w:pPr>
        <w:pStyle w:val="687"/>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w:t>
      </w:r>
      <w:r>
        <w:rPr>
          <w:rFonts w:hint="eastAsia" w:ascii="宋体" w:hAnsi="宋体"/>
          <w:sz w:val="24"/>
          <w:szCs w:val="21"/>
        </w:rPr>
        <w:t xml:space="preserve">部磋商文件及其有效补充文件，我们知道必须放弃提出含糊不清或误解问题的权利。</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687"/>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687"/>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8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8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7"/>
        <w:spacing w:line="460" w:lineRule="exact"/>
        <w:rPr>
          <w:rFonts w:hint="eastAsia" w:ascii="宋体" w:hAnsi="宋体"/>
          <w:b/>
          <w:sz w:val="32"/>
          <w:szCs w:val="32"/>
        </w:rPr>
      </w:pPr>
      <w:r>
        <w:rPr>
          <w:rFonts w:hint="eastAsia" w:ascii="宋体" w:hAnsi="宋体"/>
          <w:b/>
          <w:sz w:val="32"/>
          <w:szCs w:val="32"/>
        </w:rPr>
      </w:r>
      <w:r/>
    </w:p>
    <w:p>
      <w:pPr>
        <w:pStyle w:val="687"/>
        <w:spacing w:line="460" w:lineRule="exact"/>
        <w:rPr>
          <w:rFonts w:hint="eastAsia" w:ascii="宋体" w:hAnsi="宋体"/>
          <w:b/>
          <w:sz w:val="32"/>
          <w:szCs w:val="32"/>
        </w:rPr>
      </w:pPr>
      <w:r>
        <w:rPr>
          <w:rFonts w:hint="eastAsia" w:ascii="宋体" w:hAnsi="宋体"/>
          <w:b/>
          <w:sz w:val="32"/>
          <w:szCs w:val="32"/>
        </w:rPr>
      </w:r>
      <w:r/>
    </w:p>
    <w:p>
      <w:pPr>
        <w:pStyle w:val="687"/>
        <w:jc w:val="center"/>
        <w:spacing w:line="460" w:lineRule="exact"/>
        <w:rPr>
          <w:rFonts w:hint="eastAsia" w:ascii="宋体" w:hAnsi="宋体"/>
          <w:b/>
          <w:sz w:val="32"/>
          <w:szCs w:val="32"/>
        </w:rPr>
      </w:pPr>
      <w:r>
        <w:rPr>
          <w:rFonts w:hint="eastAsia" w:ascii="宋体" w:hAnsi="宋体"/>
          <w:b/>
          <w:sz w:val="32"/>
          <w:szCs w:val="32"/>
        </w:rPr>
        <w:t xml:space="preserve">九、中小企业声明函（服务）</w:t>
      </w:r>
      <w:r/>
    </w:p>
    <w:p>
      <w:pPr>
        <w:pStyle w:val="687"/>
        <w:ind w:firstLine="420"/>
        <w:spacing w:line="400" w:lineRule="atLeast"/>
        <w:rPr>
          <w:rFonts w:hint="eastAsia" w:ascii="宋体" w:hAnsi="宋体"/>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w:t>
      </w:r>
      <w:r>
        <w:rPr>
          <w:rFonts w:hint="eastAsia" w:ascii="宋体" w:hAnsi="宋体" w:cs="宋体"/>
          <w:sz w:val="22"/>
        </w:rPr>
        <w:t xml:space="preserve">中小企业、签订分包意向协议的中小企业）的具体情况如下：</w:t>
      </w:r>
      <w:r>
        <w:rPr>
          <w:rFonts w:hint="eastAsia" w:ascii="宋体" w:hAnsi="宋体"/>
        </w:rPr>
      </w:r>
      <w:r/>
    </w:p>
    <w:p>
      <w:pPr>
        <w:pStyle w:val="687"/>
        <w:ind w:firstLine="420"/>
        <w:spacing w:line="400" w:lineRule="atLeast"/>
        <w:rPr>
          <w:rFonts w:ascii="宋体" w:hAnsi="宋体"/>
        </w:rPr>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Pr>
          <w:rFonts w:ascii="宋体" w:hAnsi="宋体"/>
        </w:rPr>
      </w:r>
      <w:r/>
    </w:p>
    <w:p>
      <w:pPr>
        <w:pStyle w:val="687"/>
        <w:ind w:firstLine="420"/>
        <w:spacing w:line="400" w:lineRule="atLeast"/>
        <w:rPr>
          <w:rFonts w:ascii="宋体" w:hAnsi="宋体"/>
        </w:rPr>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Pr>
          <w:rFonts w:ascii="宋体" w:hAnsi="宋体"/>
        </w:rPr>
      </w:r>
      <w:r/>
    </w:p>
    <w:p>
      <w:pPr>
        <w:pStyle w:val="687"/>
        <w:ind w:firstLine="420"/>
        <w:spacing w:line="400" w:lineRule="atLeast"/>
        <w:rPr>
          <w:rFonts w:ascii="宋体" w:hAnsi="宋体"/>
        </w:rPr>
      </w:pPr>
      <w:r>
        <w:rPr>
          <w:rFonts w:hint="eastAsia" w:ascii="宋体" w:hAnsi="宋体" w:cs="宋体"/>
          <w:sz w:val="22"/>
        </w:rPr>
        <w:t xml:space="preserve">……</w:t>
      </w:r>
      <w:r>
        <w:rPr>
          <w:rFonts w:ascii="宋体" w:hAnsi="宋体"/>
        </w:rPr>
      </w:r>
      <w:r/>
    </w:p>
    <w:p>
      <w:pPr>
        <w:pStyle w:val="687"/>
        <w:ind w:firstLine="420"/>
        <w:spacing w:line="400" w:lineRule="atLeast"/>
        <w:rPr>
          <w:rFonts w:ascii="宋体" w:hAnsi="宋体"/>
        </w:rPr>
      </w:pPr>
      <w:r>
        <w:rPr>
          <w:rFonts w:hint="eastAsia" w:ascii="宋体" w:hAnsi="宋体" w:cs="宋体"/>
          <w:sz w:val="22"/>
        </w:rPr>
        <w:t xml:space="preserve">以上企业，不属于大企业的分支机构，不存在控股股东为大企业的情形，也不存在与大企业的负责人为同一人的情形。</w:t>
      </w:r>
      <w:r>
        <w:rPr>
          <w:rFonts w:ascii="宋体" w:hAnsi="宋体"/>
        </w:rPr>
      </w:r>
      <w:r/>
    </w:p>
    <w:p>
      <w:pPr>
        <w:pStyle w:val="687"/>
        <w:ind w:firstLine="420"/>
        <w:spacing w:line="400" w:lineRule="atLeast"/>
        <w:rPr>
          <w:rFonts w:ascii="宋体" w:hAnsi="宋体"/>
        </w:rPr>
      </w:pPr>
      <w:r>
        <w:rPr>
          <w:rFonts w:hint="eastAsia" w:ascii="宋体" w:hAnsi="宋体" w:cs="宋体"/>
          <w:sz w:val="22"/>
        </w:rPr>
        <w:t xml:space="preserve">本企业对上述声明内容的真实性负责。如有虚假，将依法承担相应责任。</w:t>
      </w:r>
      <w:r>
        <w:rPr>
          <w:rFonts w:ascii="宋体" w:hAnsi="宋体"/>
        </w:rPr>
      </w:r>
      <w:r/>
    </w:p>
    <w:p>
      <w:pPr>
        <w:pStyle w:val="687"/>
        <w:ind w:firstLine="360"/>
        <w:spacing w:line="560" w:lineRule="exact"/>
        <w:rPr>
          <w:rFonts w:ascii="宋体" w:hAnsi="宋体"/>
          <w:sz w:val="24"/>
          <w:szCs w:val="24"/>
        </w:rPr>
      </w:pPr>
      <w:r>
        <w:rPr>
          <w:rFonts w:ascii="宋体" w:hAnsi="宋体"/>
          <w:sz w:val="24"/>
          <w:szCs w:val="24"/>
        </w:rPr>
      </w:r>
      <w:r/>
    </w:p>
    <w:p>
      <w:pPr>
        <w:pStyle w:val="687"/>
        <w:ind w:right="720"/>
        <w:spacing w:line="560" w:lineRule="exact"/>
        <w:rPr>
          <w:rFonts w:hint="eastAsia" w:ascii="宋体" w:hAnsi="宋体"/>
          <w:sz w:val="24"/>
          <w:szCs w:val="24"/>
        </w:rPr>
      </w:pPr>
      <w:r>
        <w:rPr>
          <w:rFonts w:hint="eastAsia" w:ascii="宋体" w:hAnsi="宋体"/>
          <w:sz w:val="24"/>
          <w:szCs w:val="24"/>
        </w:rPr>
      </w:r>
      <w:r/>
    </w:p>
    <w:p>
      <w:pPr>
        <w:pStyle w:val="68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8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87"/>
        <w:ind w:firstLine="240"/>
        <w:spacing w:line="560" w:lineRule="exact"/>
        <w:rPr>
          <w:rFonts w:hint="eastAsia" w:ascii="宋体" w:hAnsi="宋体"/>
          <w:sz w:val="24"/>
          <w:szCs w:val="24"/>
        </w:rPr>
      </w:pPr>
      <w:r>
        <w:rPr>
          <w:rFonts w:hint="eastAsia" w:ascii="宋体" w:hAnsi="宋体"/>
          <w:sz w:val="24"/>
          <w:szCs w:val="24"/>
        </w:rPr>
      </w:r>
      <w:r/>
    </w:p>
    <w:p>
      <w:pPr>
        <w:pStyle w:val="68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87"/>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pStyle w:val="687"/>
        <w:jc w:val="center"/>
        <w:spacing w:line="460" w:lineRule="exact"/>
        <w:rPr>
          <w:rFonts w:hint="eastAsia" w:ascii="宋体" w:hAnsi="宋体"/>
          <w:b/>
          <w:sz w:val="32"/>
          <w:szCs w:val="32"/>
        </w:rPr>
      </w:pPr>
      <w:r>
        <w:rPr>
          <w:rFonts w:hint="eastAsia" w:ascii="宋体" w:hAnsi="宋体"/>
          <w:b/>
          <w:sz w:val="32"/>
          <w:szCs w:val="32"/>
        </w:rPr>
        <w:br w:type="page" w:clear="all"/>
        <w:t xml:space="preserve">十、残疾人福利性单位声明函</w:t>
      </w:r>
      <w:r/>
    </w:p>
    <w:p>
      <w:pPr>
        <w:pStyle w:val="687"/>
        <w:ind w:firstLine="480"/>
        <w:spacing w:line="588" w:lineRule="exact"/>
        <w:rPr>
          <w:rFonts w:hint="eastAsia" w:ascii="宋体" w:hAnsi="宋体"/>
          <w:sz w:val="24"/>
          <w:szCs w:val="21"/>
        </w:rPr>
      </w:pPr>
      <w:r>
        <w:rPr>
          <w:rFonts w:hint="eastAsia" w:ascii="宋体" w:hAnsi="宋体"/>
          <w:sz w:val="24"/>
          <w:szCs w:val="21"/>
        </w:rPr>
        <w:t xml:space="preserve">本单位郑重声明，根据《财</w:t>
      </w:r>
      <w:r>
        <w:rPr>
          <w:rFonts w:hint="eastAsia" w:ascii="宋体" w:hAnsi="宋体"/>
          <w:sz w:val="24"/>
          <w:szCs w:val="21"/>
        </w:rPr>
        <w:t xml:space="preserve">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w:t>
      </w:r>
      <w:r>
        <w:rPr>
          <w:rFonts w:ascii="宋体" w:hAnsi="宋体"/>
          <w:sz w:val="24"/>
          <w:szCs w:val="21"/>
        </w:rPr>
        <w:t xml:space="preserve">采购活动提供本单位制造的货物（由本单位承担工程/提供服务），</w:t>
      </w:r>
      <w:r>
        <w:rPr>
          <w:rFonts w:hint="eastAsia" w:ascii="宋体" w:hAnsi="宋体"/>
          <w:sz w:val="24"/>
          <w:szCs w:val="21"/>
        </w:rPr>
        <w:t xml:space="preserve">或者提供其他残疾人福利性单位制造的货物（不包括使用非残疾人福利性单位注册商标的货物）。</w:t>
      </w:r>
      <w:r/>
    </w:p>
    <w:p>
      <w:pPr>
        <w:pStyle w:val="687"/>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87"/>
        <w:ind w:firstLine="480"/>
        <w:spacing w:line="588" w:lineRule="exact"/>
        <w:rPr>
          <w:rFonts w:hint="eastAsia" w:ascii="宋体" w:hAnsi="宋体"/>
          <w:sz w:val="24"/>
          <w:szCs w:val="21"/>
        </w:rPr>
      </w:pPr>
      <w:r>
        <w:rPr>
          <w:rFonts w:hint="eastAsia" w:ascii="宋体" w:hAnsi="宋体"/>
          <w:sz w:val="24"/>
          <w:szCs w:val="21"/>
        </w:rPr>
      </w:r>
      <w:r/>
    </w:p>
    <w:p>
      <w:pPr>
        <w:pStyle w:val="687"/>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pStyle w:val="687"/>
        <w:ind w:firstLine="624"/>
        <w:spacing w:line="588" w:lineRule="exact"/>
        <w:rPr>
          <w:rFonts w:hint="eastAsia" w:ascii="宋体" w:hAnsi="宋体"/>
          <w:spacing w:val="6"/>
          <w:sz w:val="30"/>
          <w:szCs w:val="30"/>
        </w:rPr>
      </w:pPr>
      <w:r>
        <w:rPr>
          <w:rFonts w:hint="eastAsia" w:ascii="宋体" w:hAnsi="宋体"/>
          <w:spacing w:val="6"/>
          <w:sz w:val="30"/>
          <w:szCs w:val="30"/>
        </w:rPr>
      </w:r>
      <w:r/>
    </w:p>
    <w:p>
      <w:pPr>
        <w:pStyle w:val="687"/>
        <w:ind w:right="1560" w:firstLine="624"/>
        <w:jc w:val="center"/>
        <w:spacing w:line="588" w:lineRule="exact"/>
        <w:tabs>
          <w:tab w:val="left" w:pos="4860" w:leader="none"/>
        </w:tabs>
        <w:rPr>
          <w:rFonts w:hint="eastAsia"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供应商全称（加盖CA电子公章）：</w:t>
      </w:r>
      <w:r/>
    </w:p>
    <w:p>
      <w:pPr>
        <w:pStyle w:val="687"/>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jc w:val="center"/>
        <w:spacing w:line="560" w:lineRule="exact"/>
        <w:rPr>
          <w:rFonts w:hint="eastAsia" w:ascii="宋体" w:hAnsi="宋体"/>
          <w:b/>
          <w:sz w:val="32"/>
          <w:szCs w:val="32"/>
        </w:rPr>
      </w:pPr>
      <w:r>
        <w:rPr>
          <w:rFonts w:hint="eastAsia" w:ascii="宋体" w:hAnsi="宋体"/>
          <w:b/>
          <w:sz w:val="32"/>
          <w:szCs w:val="32"/>
        </w:rPr>
      </w:r>
      <w:r/>
    </w:p>
    <w:p>
      <w:pPr>
        <w:pStyle w:val="687"/>
        <w:rPr>
          <w:rFonts w:hint="eastAsia" w:ascii="宋体" w:hAnsi="宋体"/>
          <w:szCs w:val="21"/>
        </w:rPr>
      </w:pPr>
      <w:r>
        <w:rPr>
          <w:rFonts w:hint="eastAsia" w:ascii="宋体" w:hAnsi="宋体"/>
          <w:szCs w:val="21"/>
        </w:rPr>
      </w:r>
      <w:r/>
    </w:p>
    <w:p>
      <w:pPr>
        <w:pStyle w:val="687"/>
        <w:ind w:left="420" w:firstLine="527"/>
        <w:spacing w:before="120" w:line="360" w:lineRule="auto"/>
        <w:tabs>
          <w:tab w:val="left" w:pos="5250" w:leader="none"/>
        </w:tabs>
        <w:rPr>
          <w:rFonts w:ascii="宋体" w:hAnsi="宋体"/>
          <w:sz w:val="28"/>
          <w:szCs w:val="21"/>
        </w:rPr>
      </w:pPr>
      <w:r>
        <w:rPr>
          <w:rFonts w:ascii="宋体" w:hAnsi="宋体"/>
          <w:sz w:val="28"/>
          <w:szCs w:val="21"/>
        </w:rPr>
      </w:r>
      <w:r/>
    </w:p>
    <w:p>
      <w:pPr>
        <w:pStyle w:val="687"/>
        <w:rPr>
          <w:rFonts w:ascii="宋体" w:hAnsi="宋体"/>
          <w:szCs w:val="21"/>
        </w:rPr>
      </w:pPr>
      <w:r>
        <w:rPr>
          <w:rFonts w:ascii="宋体" w:hAnsi="宋体"/>
          <w:szCs w:val="21"/>
        </w:rPr>
      </w:r>
      <w:r/>
    </w:p>
    <w:p>
      <w:pPr>
        <w:pStyle w:val="687"/>
        <w:ind w:left="420" w:firstLine="527"/>
        <w:spacing w:before="120" w:line="360" w:lineRule="auto"/>
        <w:tabs>
          <w:tab w:val="left" w:pos="5250" w:leader="none"/>
        </w:tabs>
        <w:rPr>
          <w:rFonts w:ascii="宋体" w:hAnsi="宋体"/>
          <w:sz w:val="28"/>
          <w:szCs w:val="28"/>
        </w:rPr>
      </w:pPr>
      <w:r>
        <w:rPr>
          <w:rFonts w:ascii="宋体" w:hAnsi="宋体"/>
          <w:sz w:val="28"/>
          <w:szCs w:val="28"/>
        </w:rPr>
      </w:r>
      <w:r/>
    </w:p>
    <w:p>
      <w:pPr>
        <w:pStyle w:val="687"/>
        <w:rPr>
          <w:rFonts w:hint="eastAsia" w:ascii="宋体" w:hAnsi="宋体"/>
          <w:sz w:val="24"/>
          <w:szCs w:val="24"/>
        </w:rPr>
      </w:pPr>
      <w:r>
        <w:rPr>
          <w:rFonts w:hint="eastAsia" w:ascii="宋体" w:hAnsi="宋体"/>
          <w:sz w:val="24"/>
          <w:szCs w:val="24"/>
        </w:rPr>
      </w:r>
      <w:r/>
    </w:p>
    <w:p>
      <w:pPr>
        <w:pStyle w:val="687"/>
        <w:jc w:val="center"/>
        <w:rPr>
          <w:rFonts w:hint="eastAsia" w:ascii="宋体" w:hAnsi="宋体" w:cs="宋体"/>
          <w:szCs w:val="21"/>
          <w:lang w:val="zh-CN"/>
        </w:rPr>
      </w:pPr>
      <w:r>
        <w:rPr>
          <w:rFonts w:hint="eastAsia" w:ascii="宋体" w:hAnsi="宋体"/>
          <w:b/>
          <w:sz w:val="32"/>
          <w:szCs w:val="32"/>
        </w:rPr>
        <w:t xml:space="preserve">十一、响应单位情况表</w:t>
      </w:r>
      <w:r>
        <w:rPr>
          <w:rFonts w:hint="eastAsia" w:ascii="宋体" w:hAnsi="宋体" w:cs="宋体"/>
          <w:szCs w:val="21"/>
          <w:lang w:val="zh-CN"/>
        </w:rPr>
      </w:r>
      <w:r/>
    </w:p>
    <w:p>
      <w:pPr>
        <w:pStyle w:val="687"/>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7"/>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7"/>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7"/>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687"/>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7"/>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7"/>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pStyle w:val="687"/>
              <w:spacing w:line="440" w:lineRule="exact"/>
              <w:rPr>
                <w:rFonts w:hint="eastAsia" w:ascii="宋体" w:hAnsi="宋体" w:cs="宋体"/>
                <w:szCs w:val="21"/>
              </w:rPr>
            </w:pPr>
            <w:r>
              <w:rPr>
                <w:rFonts w:hint="eastAsia" w:ascii="宋体" w:hAnsi="宋体" w:cs="宋体"/>
                <w:szCs w:val="21"/>
              </w:rPr>
              <w:t xml:space="preserve"> 年       </w:t>
            </w: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pStyle w:val="687"/>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687"/>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自有面积     平方米</w:t>
            </w:r>
            <w:r/>
          </w:p>
          <w:p>
            <w:pPr>
              <w:pStyle w:val="687"/>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pStyle w:val="687"/>
              <w:jc w:val="left"/>
              <w:spacing w:line="440" w:lineRule="exact"/>
              <w:rPr>
                <w:rFonts w:hint="eastAsia" w:ascii="宋体" w:hAnsi="宋体" w:cs="宋体"/>
                <w:szCs w:val="21"/>
              </w:rPr>
            </w:pPr>
            <w:r>
              <w:rPr>
                <w:rFonts w:hint="eastAsia" w:ascii="宋体" w:hAnsi="宋体" w:cs="宋体"/>
                <w:szCs w:val="21"/>
              </w:rPr>
            </w:r>
            <w:r/>
          </w:p>
        </w:tc>
      </w:tr>
    </w:tbl>
    <w:p>
      <w:pPr>
        <w:pStyle w:val="687"/>
        <w:rPr>
          <w:rFonts w:hint="eastAsia" w:ascii="宋体" w:hAnsi="宋体"/>
          <w:sz w:val="24"/>
          <w:szCs w:val="24"/>
        </w:rPr>
      </w:pPr>
      <w:r>
        <w:rPr>
          <w:rFonts w:hint="eastAsia" w:ascii="宋体" w:hAnsi="宋体"/>
          <w:sz w:val="24"/>
          <w:szCs w:val="24"/>
        </w:rPr>
      </w:r>
      <w:r/>
    </w:p>
    <w:p>
      <w:pPr>
        <w:pStyle w:val="687"/>
        <w:jc w:val="center"/>
        <w:rPr>
          <w:rFonts w:hint="eastAsia" w:ascii="宋体" w:hAnsi="宋体"/>
          <w:b/>
          <w:sz w:val="32"/>
          <w:szCs w:val="32"/>
        </w:rPr>
      </w:pPr>
      <w:r>
        <w:rPr>
          <w:rFonts w:hint="eastAsia" w:ascii="宋体" w:hAnsi="宋体" w:cs="宋体"/>
          <w:b/>
          <w:szCs w:val="21"/>
        </w:rPr>
        <w:t xml:space="preserve">★</w:t>
      </w:r>
      <w:r>
        <w:rPr>
          <w:rFonts w:hint="eastAsia" w:ascii="宋体" w:hAnsi="宋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pStyle w:val="687"/>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7"/>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7"/>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687"/>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pStyle w:val="687"/>
              <w:spacing w:line="0" w:lineRule="atLeast"/>
              <w:rPr>
                <w:rFonts w:hint="eastAsia" w:ascii="宋体" w:hAnsi="宋体"/>
                <w:sz w:val="24"/>
                <w:szCs w:val="24"/>
              </w:rPr>
            </w:pPr>
            <w:r>
              <w:rPr>
                <w:rFonts w:hint="eastAsia" w:ascii="宋体" w:hAnsi="宋体"/>
                <w:sz w:val="24"/>
                <w:szCs w:val="24"/>
              </w:rPr>
            </w:r>
            <w:r/>
          </w:p>
        </w:tc>
      </w:tr>
    </w:tbl>
    <w:p>
      <w:pPr>
        <w:pStyle w:val="687"/>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w:t>
      </w:r>
      <w:r>
        <w:rPr>
          <w:rFonts w:hint="eastAsia" w:ascii="宋体" w:hAnsi="宋体"/>
          <w:sz w:val="24"/>
          <w:szCs w:val="24"/>
        </w:rPr>
        <w:t xml:space="preserve">有费用。</w:t>
      </w:r>
      <w:r/>
    </w:p>
    <w:p>
      <w:pPr>
        <w:pStyle w:val="687"/>
        <w:rPr>
          <w:rFonts w:hint="eastAsia" w:ascii="宋体" w:hAnsi="宋体"/>
        </w:rPr>
      </w:pPr>
      <w:r>
        <w:rPr>
          <w:rFonts w:hint="eastAsia"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rPr>
      </w:pPr>
      <w:r>
        <w:rPr>
          <w:rFonts w:ascii="宋体" w:hAnsi="宋体"/>
        </w:rPr>
      </w:r>
      <w:r/>
    </w:p>
    <w:p>
      <w:pPr>
        <w:pStyle w:val="687"/>
        <w:rPr>
          <w:rFonts w:ascii="宋体" w:hAnsi="宋体"/>
          <w:sz w:val="32"/>
          <w:szCs w:val="21"/>
        </w:rPr>
      </w:pPr>
      <w:r>
        <w:rPr>
          <w:rFonts w:ascii="宋体" w:hAnsi="宋体"/>
          <w:sz w:val="32"/>
          <w:szCs w:val="21"/>
        </w:rPr>
      </w:r>
      <w:r/>
    </w:p>
    <w:p>
      <w:pPr>
        <w:pStyle w:val="687"/>
        <w:jc w:val="center"/>
        <w:rPr>
          <w:rFonts w:hint="eastAsia" w:ascii="宋体" w:hAnsi="宋体"/>
          <w:b/>
          <w:sz w:val="32"/>
          <w:szCs w:val="32"/>
        </w:rPr>
      </w:pPr>
      <w:r/>
      <w:bookmarkEnd w:id="177"/>
      <w:r/>
      <w:bookmarkStart w:id="181" w:name="_Hlt26955054"/>
      <w:r/>
      <w:bookmarkEnd w:id="181"/>
      <w:r>
        <w:rPr>
          <w:rFonts w:hint="eastAsia" w:ascii="宋体" w:hAnsi="宋体"/>
          <w:bCs/>
          <w:iCs/>
          <w:sz w:val="24"/>
        </w:rPr>
        <w:t xml:space="preserve">★</w:t>
      </w:r>
      <w:r>
        <w:rPr>
          <w:rFonts w:hint="eastAsia" w:ascii="宋体" w:hAnsi="宋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响应文件要求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证明</w:t>
            </w:r>
            <w:r/>
          </w:p>
          <w:p>
            <w:pPr>
              <w:pStyle w:val="68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bl>
    <w:p>
      <w:pPr>
        <w:pStyle w:val="687"/>
        <w:rPr>
          <w:rFonts w:hint="eastAsia" w:ascii="宋体" w:hAnsi="宋体"/>
          <w:sz w:val="24"/>
          <w:szCs w:val="24"/>
        </w:rPr>
      </w:pPr>
      <w:r>
        <w:rPr>
          <w:rFonts w:hint="eastAsia" w:ascii="宋体" w:hAnsi="宋体"/>
          <w:sz w:val="24"/>
          <w:szCs w:val="24"/>
        </w:rPr>
        <w:t xml:space="preserve">注： 行数不够，可自行添加。</w:t>
      </w:r>
      <w:r/>
    </w:p>
    <w:p>
      <w:pPr>
        <w:pStyle w:val="687"/>
        <w:jc w:val="center"/>
        <w:rPr>
          <w:rFonts w:hint="eastAsia" w:ascii="宋体" w:hAnsi="宋体"/>
          <w:b/>
          <w:sz w:val="32"/>
          <w:szCs w:val="32"/>
        </w:rPr>
      </w:pPr>
      <w:r>
        <w:rPr>
          <w:rFonts w:hint="eastAsia" w:ascii="宋体" w:hAnsi="宋体"/>
          <w:b/>
          <w:sz w:val="32"/>
          <w:szCs w:val="32"/>
        </w:rPr>
      </w:r>
      <w:r/>
    </w:p>
    <w:p>
      <w:pPr>
        <w:pStyle w:val="687"/>
        <w:rPr>
          <w:rFonts w:hint="eastAsia" w:ascii="宋体" w:hAnsi="宋体"/>
          <w:sz w:val="24"/>
          <w:szCs w:val="24"/>
        </w:rPr>
      </w:pPr>
      <w:r>
        <w:rPr>
          <w:rFonts w:hint="eastAsia" w:ascii="宋体" w:hAnsi="宋体"/>
          <w:sz w:val="24"/>
          <w:szCs w:val="24"/>
        </w:rPr>
      </w:r>
      <w:r/>
    </w:p>
    <w:p>
      <w:pPr>
        <w:pStyle w:val="687"/>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687"/>
        <w:rPr>
          <w:rFonts w:hint="eastAsia" w:ascii="宋体" w:hAnsi="宋体"/>
          <w:b/>
          <w:sz w:val="32"/>
          <w:szCs w:val="32"/>
        </w:rPr>
      </w:pPr>
      <w:r>
        <w:rPr>
          <w:rFonts w:hint="eastAsia" w:ascii="宋体" w:hAnsi="宋体"/>
          <w:b/>
          <w:sz w:val="32"/>
          <w:szCs w:val="32"/>
        </w:rPr>
      </w:r>
      <w:r/>
    </w:p>
    <w:p>
      <w:pPr>
        <w:pStyle w:val="687"/>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687"/>
        <w:rPr>
          <w:rFonts w:hint="eastAsia" w:ascii="宋体" w:hAnsi="宋体"/>
          <w:b/>
          <w:sz w:val="32"/>
          <w:szCs w:val="32"/>
        </w:rPr>
      </w:pPr>
      <w:r>
        <w:rPr>
          <w:rFonts w:hint="eastAsia" w:ascii="宋体" w:hAnsi="宋体"/>
          <w:b/>
          <w:sz w:val="32"/>
          <w:szCs w:val="32"/>
        </w:rPr>
      </w:r>
      <w:r/>
    </w:p>
    <w:p>
      <w:pPr>
        <w:pStyle w:val="687"/>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687"/>
        <w:rPr>
          <w:rFonts w:hint="eastAsia" w:ascii="宋体" w:hAnsi="宋体"/>
          <w:b/>
          <w:sz w:val="32"/>
          <w:szCs w:val="32"/>
        </w:rPr>
      </w:pPr>
      <w:r>
        <w:rPr>
          <w:rFonts w:hint="eastAsia" w:ascii="宋体" w:hAnsi="宋体"/>
          <w:b/>
          <w:sz w:val="32"/>
          <w:szCs w:val="32"/>
        </w:rPr>
      </w:r>
      <w:r/>
    </w:p>
    <w:p>
      <w:pPr>
        <w:pStyle w:val="687"/>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687"/>
        <w:rPr>
          <w:rFonts w:hint="eastAsia" w:ascii="宋体" w:hAnsi="宋体"/>
          <w:b/>
          <w:sz w:val="32"/>
          <w:szCs w:val="32"/>
        </w:rPr>
      </w:pPr>
      <w:r>
        <w:rPr>
          <w:rFonts w:hint="eastAsia" w:ascii="宋体" w:hAnsi="宋体"/>
          <w:b/>
          <w:sz w:val="32"/>
          <w:szCs w:val="32"/>
        </w:rPr>
      </w:r>
      <w:r/>
    </w:p>
    <w:p>
      <w:pPr>
        <w:pStyle w:val="687"/>
        <w:ind w:left="420" w:firstLine="527"/>
        <w:spacing w:before="120" w:line="360" w:lineRule="auto"/>
        <w:tabs>
          <w:tab w:val="left" w:pos="5250" w:leader="none"/>
        </w:tabs>
        <w:rPr>
          <w:rFonts w:hint="eastAsia" w:ascii="宋体" w:hAnsi="宋体"/>
          <w:sz w:val="28"/>
          <w:szCs w:val="28"/>
        </w:rPr>
      </w:pPr>
      <w:r>
        <w:rPr>
          <w:rFonts w:hint="eastAsia" w:ascii="宋体" w:hAnsi="宋体"/>
          <w:sz w:val="28"/>
          <w:szCs w:val="28"/>
        </w:rPr>
      </w:r>
      <w:r/>
    </w:p>
    <w:p>
      <w:pPr>
        <w:pStyle w:val="687"/>
        <w:jc w:val="center"/>
        <w:rPr>
          <w:rFonts w:hint="eastAsia" w:ascii="宋体" w:hAnsi="宋体"/>
          <w:b/>
          <w:sz w:val="32"/>
          <w:szCs w:val="32"/>
        </w:rPr>
      </w:pPr>
      <w:r>
        <w:rPr>
          <w:rFonts w:hint="eastAsia" w:ascii="宋体" w:hAnsi="宋体"/>
          <w:bCs/>
          <w:iCs/>
          <w:sz w:val="24"/>
        </w:rPr>
        <w:t xml:space="preserve">★</w:t>
      </w:r>
      <w:r>
        <w:rPr>
          <w:rFonts w:hint="eastAsia" w:ascii="宋体" w:hAnsi="宋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87"/>
              <w:jc w:val="center"/>
              <w:rPr>
                <w:rFonts w:hint="eastAsia" w:ascii="宋体" w:hAnsi="宋体"/>
                <w:sz w:val="24"/>
                <w:szCs w:val="24"/>
              </w:rPr>
            </w:pPr>
            <w:r/>
            <w:bookmarkStart w:id="182" w:name="_Hlt24879081"/>
            <w:r/>
            <w:bookmarkEnd w:id="182"/>
            <w:r/>
            <w:bookmarkStart w:id="183" w:name="_Hlt26955056"/>
            <w:r/>
            <w:bookmarkEnd w:id="183"/>
            <w:r/>
            <w:bookmarkStart w:id="184" w:name="_Hlt26671372"/>
            <w:r/>
            <w:bookmarkEnd w:id="184"/>
            <w:r/>
            <w:bookmarkStart w:id="185" w:name="_Hlt26955064"/>
            <w:r/>
            <w:bookmarkEnd w:id="185"/>
            <w:r/>
            <w:bookmarkStart w:id="186" w:name="_Hlt26609391"/>
            <w:r/>
            <w:bookmarkEnd w:id="186"/>
            <w:r/>
            <w:bookmarkStart w:id="187" w:name="_Hlt26671343"/>
            <w:r/>
            <w:bookmarkEnd w:id="187"/>
            <w:r/>
            <w:bookmarkStart w:id="188" w:name="_Hlt26580838"/>
            <w:r/>
            <w:bookmarkEnd w:id="188"/>
            <w:r/>
            <w:bookmarkStart w:id="189" w:name="_Hlt26782999"/>
            <w:r/>
            <w:bookmarkEnd w:id="189"/>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响应文件要求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87"/>
              <w:jc w:val="center"/>
              <w:rPr>
                <w:rFonts w:hint="eastAsia" w:ascii="宋体" w:hAnsi="宋体"/>
                <w:sz w:val="24"/>
                <w:szCs w:val="24"/>
              </w:rPr>
            </w:pPr>
            <w:r>
              <w:rPr>
                <w:rFonts w:hint="eastAsia" w:ascii="宋体" w:hAnsi="宋体"/>
                <w:sz w:val="24"/>
                <w:szCs w:val="24"/>
              </w:rPr>
              <w:t xml:space="preserve">证明</w:t>
            </w:r>
            <w:r/>
          </w:p>
          <w:p>
            <w:pPr>
              <w:pStyle w:val="68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pStyle w:val="687"/>
              <w:jc w:val="center"/>
              <w:rPr>
                <w:rFonts w:hint="eastAsia" w:ascii="宋体" w:hAnsi="宋体"/>
                <w:sz w:val="24"/>
                <w:szCs w:val="24"/>
              </w:rPr>
            </w:pPr>
            <w:r>
              <w:rPr>
                <w:rFonts w:hint="eastAsia" w:ascii="宋体" w:hAnsi="宋体"/>
                <w:sz w:val="24"/>
                <w:szCs w:val="24"/>
              </w:rPr>
            </w:r>
            <w:r/>
          </w:p>
        </w:tc>
      </w:tr>
    </w:tbl>
    <w:p>
      <w:pPr>
        <w:pStyle w:val="687"/>
        <w:rPr>
          <w:rFonts w:hint="eastAsia" w:ascii="宋体" w:hAnsi="宋体"/>
          <w:sz w:val="24"/>
          <w:szCs w:val="24"/>
        </w:rPr>
      </w:pPr>
      <w:r>
        <w:rPr>
          <w:rFonts w:hint="eastAsia" w:ascii="宋体" w:hAnsi="宋体"/>
          <w:sz w:val="24"/>
          <w:szCs w:val="24"/>
        </w:rPr>
        <w:t xml:space="preserve">注： 行数不够，可自行添加。</w:t>
      </w:r>
      <w:r/>
    </w:p>
    <w:p>
      <w:pPr>
        <w:pStyle w:val="687"/>
        <w:spacing w:line="480" w:lineRule="auto"/>
        <w:rPr>
          <w:rFonts w:hint="eastAsia" w:ascii="宋体" w:hAnsi="宋体"/>
          <w:sz w:val="24"/>
          <w:szCs w:val="21"/>
        </w:rPr>
      </w:pPr>
      <w:r>
        <w:rPr>
          <w:rFonts w:hint="eastAsia" w:ascii="宋体" w:hAnsi="宋体"/>
          <w:sz w:val="24"/>
          <w:szCs w:val="21"/>
        </w:rPr>
      </w:r>
      <w:r/>
    </w:p>
    <w:p>
      <w:pPr>
        <w:pStyle w:val="687"/>
        <w:spacing w:line="480" w:lineRule="auto"/>
        <w:rPr>
          <w:rFonts w:hint="eastAsia" w:ascii="宋体" w:hAnsi="宋体"/>
          <w:sz w:val="30"/>
          <w:szCs w:val="21"/>
        </w:rPr>
      </w:pPr>
      <w:r>
        <w:rPr>
          <w:rFonts w:hint="eastAsia" w:ascii="宋体" w:hAnsi="宋体"/>
          <w:sz w:val="30"/>
          <w:szCs w:val="21"/>
        </w:rPr>
      </w:r>
      <w:r/>
    </w:p>
    <w:p>
      <w:pPr>
        <w:pStyle w:val="687"/>
        <w:rPr>
          <w:rFonts w:hint="eastAsia" w:ascii="宋体" w:hAnsi="宋体"/>
          <w:sz w:val="24"/>
          <w:szCs w:val="21"/>
        </w:rPr>
      </w:pPr>
      <w:r/>
      <w:bookmarkStart w:id="190" w:name="_Hlt26955066"/>
      <w:r/>
      <w:bookmarkEnd w:id="190"/>
      <w:r/>
      <w:bookmarkStart w:id="191" w:name="_Hlt26671374"/>
      <w:r/>
      <w:bookmarkEnd w:id="191"/>
      <w:r/>
      <w:bookmarkStart w:id="192" w:name="_Hlt26609389"/>
      <w:r/>
      <w:bookmarkEnd w:id="192"/>
      <w:r/>
      <w:bookmarkStart w:id="193" w:name="_Toc462564146"/>
      <w:r>
        <w:rPr>
          <w:rFonts w:hint="eastAsia" w:ascii="宋体" w:hAnsi="宋体"/>
          <w:sz w:val="24"/>
          <w:szCs w:val="21"/>
        </w:rPr>
      </w:r>
      <w:r/>
    </w:p>
    <w:p>
      <w:pPr>
        <w:pStyle w:val="687"/>
        <w:jc w:val="center"/>
        <w:rPr>
          <w:rFonts w:hint="eastAsia" w:ascii="宋体" w:hAnsi="宋体"/>
          <w:b/>
          <w:sz w:val="32"/>
          <w:szCs w:val="32"/>
        </w:rPr>
      </w:pPr>
      <w:r/>
      <w:bookmarkEnd w:id="193"/>
      <w:r/>
      <w:bookmarkStart w:id="194" w:name="_格式2__法定代表人授权书"/>
      <w:r/>
      <w:bookmarkEnd w:id="194"/>
      <w:r>
        <w:rPr>
          <w:rFonts w:hint="eastAsia" w:ascii="宋体" w:hAnsi="宋体"/>
          <w:b/>
          <w:sz w:val="32"/>
          <w:szCs w:val="32"/>
        </w:rPr>
      </w:r>
      <w:r/>
    </w:p>
    <w:p>
      <w:pPr>
        <w:pStyle w:val="687"/>
        <w:jc w:val="center"/>
        <w:rPr>
          <w:rFonts w:hint="eastAsia" w:ascii="宋体" w:hAnsi="宋体"/>
          <w:b/>
          <w:sz w:val="32"/>
          <w:szCs w:val="32"/>
        </w:rPr>
      </w:pPr>
      <w:r>
        <w:rPr>
          <w:rFonts w:hint="eastAsia" w:ascii="宋体" w:hAnsi="宋体"/>
          <w:b/>
          <w:sz w:val="32"/>
          <w:szCs w:val="32"/>
        </w:rPr>
      </w:r>
      <w:r/>
    </w:p>
    <w:p>
      <w:pPr>
        <w:pStyle w:val="687"/>
        <w:jc w:val="center"/>
        <w:rPr>
          <w:rFonts w:hint="eastAsia" w:ascii="宋体" w:hAnsi="宋体"/>
          <w:b/>
          <w:sz w:val="32"/>
          <w:szCs w:val="32"/>
        </w:rPr>
      </w:pPr>
      <w:r>
        <w:rPr>
          <w:rFonts w:hint="eastAsia" w:ascii="宋体" w:hAnsi="宋体"/>
          <w:b/>
          <w:sz w:val="32"/>
          <w:szCs w:val="32"/>
        </w:rPr>
      </w:r>
      <w:r/>
    </w:p>
    <w:p>
      <w:pPr>
        <w:pStyle w:val="687"/>
        <w:jc w:val="center"/>
        <w:rPr>
          <w:rFonts w:hint="eastAsia" w:ascii="宋体" w:hAnsi="宋体"/>
          <w:b/>
          <w:sz w:val="32"/>
          <w:szCs w:val="32"/>
        </w:rPr>
      </w:pPr>
      <w:r>
        <w:rPr>
          <w:rFonts w:hint="eastAsia" w:ascii="宋体" w:hAnsi="宋体"/>
          <w:b/>
          <w:sz w:val="32"/>
          <w:szCs w:val="32"/>
        </w:rPr>
      </w:r>
      <w:r/>
    </w:p>
    <w:p>
      <w:pPr>
        <w:pStyle w:val="687"/>
        <w:jc w:val="center"/>
        <w:rPr>
          <w:rFonts w:hint="eastAsia" w:ascii="宋体" w:hAnsi="宋体"/>
          <w:b/>
          <w:sz w:val="32"/>
          <w:szCs w:val="32"/>
        </w:rPr>
      </w:pPr>
      <w:r>
        <w:rPr>
          <w:rFonts w:hint="eastAsia" w:ascii="宋体" w:hAnsi="宋体"/>
          <w:b/>
          <w:sz w:val="32"/>
          <w:szCs w:val="32"/>
        </w:rPr>
      </w:r>
      <w:r/>
    </w:p>
    <w:p>
      <w:pPr>
        <w:pStyle w:val="687"/>
        <w:jc w:val="left"/>
        <w:widowControl/>
        <w:rPr>
          <w:rFonts w:hint="eastAsia" w:ascii="宋体" w:hAnsi="宋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宋体" w:hAnsi="宋体"/>
          <w:b/>
          <w:sz w:val="32"/>
          <w:szCs w:val="32"/>
        </w:rPr>
      </w:r>
      <w:r/>
    </w:p>
    <w:p>
      <w:pPr>
        <w:pStyle w:val="687"/>
        <w:rPr>
          <w:rFonts w:hint="eastAsia" w:ascii="宋体" w:hAnsi="宋体"/>
          <w:iCs/>
          <w:sz w:val="24"/>
          <w:szCs w:val="20"/>
        </w:rPr>
      </w:pPr>
      <w:r>
        <w:rPr>
          <w:rFonts w:hint="eastAsia" w:ascii="宋体" w:hAnsi="宋体"/>
          <w:bCs/>
          <w:iCs/>
          <w:sz w:val="24"/>
        </w:rPr>
        <w:t xml:space="preserve">★</w:t>
      </w:r>
      <w:r>
        <w:rPr>
          <w:rFonts w:hint="eastAsia" w:ascii="宋体" w:hAnsi="宋体"/>
          <w:b/>
          <w:iCs/>
          <w:sz w:val="32"/>
          <w:szCs w:val="32"/>
        </w:rPr>
        <w:t xml:space="preserve">十五、开标一览表</w:t>
      </w:r>
      <w:r>
        <w:rPr>
          <w:rFonts w:hint="eastAsia" w:ascii="宋体" w:hAnsi="宋体"/>
          <w:iCs/>
          <w:sz w:val="24"/>
          <w:szCs w:val="20"/>
        </w:rPr>
      </w:r>
      <w:r/>
    </w:p>
    <w:p>
      <w:pPr>
        <w:pStyle w:val="687"/>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87"/>
        <w:ind w:firstLine="480"/>
        <w:rPr>
          <w:rFonts w:hint="eastAsia" w:ascii="宋体" w:hAnsi="宋体"/>
          <w:sz w:val="24"/>
          <w:szCs w:val="24"/>
        </w:rPr>
      </w:pPr>
      <w:r>
        <w:rPr>
          <w:rFonts w:hint="eastAsia" w:ascii="宋体" w:hAnsi="宋体"/>
          <w:sz w:val="24"/>
          <w:szCs w:val="24"/>
        </w:rPr>
        <w:t xml:space="preserve">项目名称：</w:t>
      </w:r>
      <w:r/>
    </w:p>
    <w:p>
      <w:pPr>
        <w:pStyle w:val="687"/>
        <w:ind w:firstLine="480"/>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687"/>
        <w:rPr>
          <w:rFonts w:hint="eastAsia" w:ascii="宋体" w:hAnsi="宋体"/>
          <w:sz w:val="24"/>
          <w:szCs w:val="24"/>
        </w:rPr>
      </w:pPr>
      <w:r>
        <w:rPr>
          <w:rFonts w:hint="eastAsia" w:ascii="宋体" w:hAnsi="宋体"/>
          <w:sz w:val="24"/>
          <w:szCs w:val="24"/>
        </w:rPr>
      </w:r>
      <w:r/>
    </w:p>
    <w:p>
      <w:pPr>
        <w:pStyle w:val="68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87"/>
        <w:jc w:val="left"/>
        <w:spacing w:line="360" w:lineRule="auto"/>
        <w:widowControl/>
        <w:rPr>
          <w:rFonts w:hint="eastAsia" w:ascii="宋体" w:hAnsi="宋体"/>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sz w:val="28"/>
          <w:szCs w:val="28"/>
        </w:rPr>
      </w:r>
      <w:r/>
    </w:p>
    <w:p>
      <w:pPr>
        <w:pStyle w:val="687"/>
        <w:rPr>
          <w:rFonts w:hint="eastAsia" w:ascii="宋体" w:hAnsi="宋体"/>
        </w:rPr>
      </w:pPr>
      <w:r>
        <w:rPr>
          <w:rFonts w:hint="eastAsia" w:ascii="宋体" w:hAnsi="宋体"/>
        </w:rPr>
      </w:r>
      <w:r/>
    </w:p>
    <w:p>
      <w:pPr>
        <w:pStyle w:val="687"/>
        <w:rPr>
          <w:rFonts w:ascii="宋体" w:hAnsi="宋体"/>
          <w:b/>
          <w:iCs/>
          <w:sz w:val="32"/>
          <w:szCs w:val="32"/>
        </w:rPr>
      </w:pPr>
      <w:r>
        <w:rPr>
          <w:rFonts w:hint="eastAsia" w:ascii="宋体" w:hAnsi="宋体"/>
          <w:bCs/>
          <w:iCs/>
          <w:sz w:val="24"/>
        </w:rPr>
        <w:t xml:space="preserve">★</w:t>
      </w:r>
      <w:r>
        <w:rPr>
          <w:rFonts w:hint="eastAsia" w:ascii="宋体" w:hAnsi="宋体"/>
          <w:b/>
          <w:iCs/>
          <w:sz w:val="32"/>
          <w:szCs w:val="32"/>
        </w:rPr>
        <w:t xml:space="preserve">十六：人员配置表</w:t>
      </w:r>
      <w:r>
        <w:rPr>
          <w:rFonts w:ascii="宋体" w:hAnsi="宋体"/>
          <w:b/>
          <w:iCs/>
          <w:sz w:val="32"/>
          <w:szCs w:val="32"/>
        </w:rPr>
      </w:r>
      <w:r/>
    </w:p>
    <w:p>
      <w:pPr>
        <w:pStyle w:val="687"/>
        <w:ind w:firstLine="480"/>
        <w:spacing w:line="360" w:lineRule="auto"/>
        <w:rPr>
          <w:rFonts w:hint="eastAsia" w:ascii="宋体" w:hAnsi="宋体"/>
          <w:sz w:val="24"/>
          <w:szCs w:val="24"/>
        </w:rPr>
      </w:pPr>
      <w:r>
        <w:rPr>
          <w:rFonts w:hint="eastAsia" w:ascii="宋体" w:hAnsi="宋体"/>
          <w:sz w:val="24"/>
          <w:szCs w:val="24"/>
        </w:rPr>
      </w:r>
      <w:r/>
    </w:p>
    <w:p>
      <w:pPr>
        <w:pStyle w:val="687"/>
        <w:jc w:val="center"/>
        <w:spacing w:line="360" w:lineRule="auto"/>
        <w:rPr>
          <w:rFonts w:hint="eastAsia" w:ascii="宋体" w:hAnsi="宋体"/>
          <w:sz w:val="24"/>
          <w:szCs w:val="24"/>
        </w:rPr>
      </w:pPr>
      <w:r>
        <w:rPr>
          <w:rFonts w:hint="eastAsia" w:ascii="宋体" w:hAnsi="宋体"/>
          <w:sz w:val="24"/>
          <w:szCs w:val="24"/>
        </w:rPr>
        <w:t xml:space="preserve">人员配置表</w:t>
      </w:r>
      <w:r/>
    </w:p>
    <w:p>
      <w:pPr>
        <w:pStyle w:val="687"/>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t xml:space="preserve">                       </w:t>
      </w:r>
      <w:r/>
    </w:p>
    <w:p>
      <w:pPr>
        <w:pStyle w:val="687"/>
        <w:jc w:val="left"/>
        <w:spacing w:line="360" w:lineRule="auto"/>
        <w:rPr>
          <w:rFonts w:hint="eastAsia" w:ascii="宋体" w:hAnsi="宋体"/>
          <w:sz w:val="24"/>
          <w:szCs w:val="24"/>
        </w:rPr>
      </w:pPr>
      <w:r>
        <w:rPr>
          <w:rFonts w:hint="eastAsia"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87"/>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7"/>
              <w:spacing w:line="360" w:lineRule="auto"/>
              <w:rPr>
                <w:rFonts w:hint="eastAsia" w:ascii="宋体" w:hAnsi="宋体" w:cs="宋体"/>
              </w:rPr>
            </w:pPr>
            <w:r>
              <w:rPr>
                <w:rFonts w:hint="eastAsia" w:ascii="宋体" w:hAnsi="宋体" w:cs="宋体"/>
              </w:rPr>
            </w:r>
            <w:r/>
          </w:p>
        </w:tc>
      </w:tr>
    </w:tbl>
    <w:p>
      <w:pPr>
        <w:pStyle w:val="687"/>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pStyle w:val="687"/>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pStyle w:val="687"/>
        <w:ind w:firstLine="480"/>
        <w:spacing w:line="360" w:lineRule="auto"/>
        <w:rPr>
          <w:rFonts w:hint="eastAsia" w:ascii="宋体" w:hAnsi="宋体"/>
          <w:sz w:val="24"/>
          <w:szCs w:val="24"/>
        </w:rPr>
      </w:pPr>
      <w:r>
        <w:rPr>
          <w:rFonts w:hint="eastAsia" w:ascii="宋体" w:hAnsi="宋体"/>
          <w:sz w:val="24"/>
          <w:szCs w:val="24"/>
        </w:rPr>
      </w:r>
      <w:r/>
    </w:p>
    <w:p>
      <w:pPr>
        <w:pStyle w:val="687"/>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pStyle w:val="687"/>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pStyle w:val="687"/>
        <w:ind w:firstLine="480"/>
        <w:spacing w:line="360" w:lineRule="auto"/>
        <w:rPr>
          <w:rFonts w:hint="eastAsia" w:ascii="宋体" w:hAnsi="宋体"/>
          <w:b/>
          <w:sz w:val="32"/>
          <w:szCs w:val="32"/>
        </w:rPr>
      </w:pPr>
      <w:r>
        <w:rPr>
          <w:rFonts w:hint="eastAsia" w:ascii="宋体" w:hAnsi="宋体"/>
          <w:sz w:val="24"/>
          <w:szCs w:val="24"/>
        </w:rPr>
        <w:t xml:space="preserve">日期：         年         月       日</w:t>
      </w:r>
      <w:r>
        <w:rPr>
          <w:rFonts w:hint="eastAsia" w:ascii="宋体" w:hAnsi="宋体"/>
          <w:b/>
          <w:sz w:val="32"/>
          <w:szCs w:val="32"/>
        </w:rPr>
      </w:r>
      <w:r/>
    </w:p>
    <w:p>
      <w:pPr>
        <w:pStyle w:val="687"/>
        <w:jc w:val="left"/>
        <w:spacing w:line="360" w:lineRule="auto"/>
        <w:widowControl/>
        <w:rPr>
          <w:rFonts w:hint="eastAsia" w:ascii="宋体" w:hAnsi="宋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b/>
          <w:sz w:val="32"/>
          <w:szCs w:val="32"/>
        </w:rPr>
      </w:r>
      <w:r/>
    </w:p>
    <w:p>
      <w:pPr>
        <w:pStyle w:val="687"/>
        <w:jc w:val="left"/>
        <w:rPr>
          <w:rFonts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pStyle w:val="687"/>
        <w:ind w:left="420" w:firstLine="527"/>
        <w:spacing w:before="120" w:line="360" w:lineRule="auto"/>
        <w:rPr>
          <w:rFonts w:ascii="宋体" w:hAnsi="宋体"/>
          <w:szCs w:val="21"/>
        </w:rPr>
      </w:pPr>
      <w:r>
        <w:rPr>
          <w:rFonts w:ascii="宋体" w:hAnsi="宋体"/>
          <w:szCs w:val="21"/>
        </w:rPr>
      </w:r>
      <w:r/>
    </w:p>
    <w:p>
      <w:pPr>
        <w:pStyle w:val="687"/>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p>
    <w:p>
      <w:pPr>
        <w:pStyle w:val="687"/>
        <w:ind w:left="420" w:firstLine="527"/>
        <w:spacing w:before="120" w:line="360" w:lineRule="auto"/>
        <w:rPr>
          <w:rFonts w:ascii="宋体" w:hAnsi="宋体"/>
          <w:szCs w:val="21"/>
        </w:rPr>
      </w:pPr>
      <w:r>
        <w:rPr>
          <w:rFonts w:ascii="宋体" w:hAnsi="宋体"/>
          <w:szCs w:val="21"/>
        </w:rPr>
      </w:r>
      <w:r/>
    </w:p>
    <w:p>
      <w:pPr>
        <w:pStyle w:val="687"/>
        <w:ind w:right="731" w:firstLine="420"/>
        <w:jc w:val="left"/>
        <w:spacing w:line="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w:t>
      </w:r>
      <w:r>
        <w:rPr>
          <w:rFonts w:hint="eastAsia" w:ascii="宋体" w:hAnsi="宋体" w:cs="方正魏碑_GBK"/>
          <w:sz w:val="24"/>
          <w:szCs w:val="24"/>
        </w:rPr>
        <w:t xml:space="preserve">单位）提供的以下产品属于本国产品。具体情况如下：</w:t>
      </w:r>
      <w:r/>
    </w:p>
    <w:p>
      <w:pPr>
        <w:pStyle w:val="687"/>
        <w:ind w:right="731" w:firstLine="420"/>
        <w:jc w:val="left"/>
        <w:spacing w:before="30" w:after="30" w:line="0" w:lineRule="atLeast"/>
        <w:widowControl/>
        <w:rPr>
          <w:rFonts w:hint="eastAsia" w:ascii="宋体" w:hAnsi="宋体" w:cs="方正魏碑_GBK"/>
          <w:sz w:val="24"/>
          <w:szCs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（规定</w:t>
      </w:r>
      <w:r>
        <w:rPr>
          <w:rFonts w:ascii="宋体" w:hAnsi="宋体" w:cs="方正魏碑_GBK"/>
          <w:sz w:val="24"/>
          <w:szCs w:val="24"/>
          <w:u w:val="single"/>
          <w:shd w:val="clear" w:color="auto" w:fill="ffffff"/>
        </w:rPr>
        <w:t xml:space="preserve">比例</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w:t>
      </w:r>
      <w:r>
        <w:rPr>
          <w:rFonts w:ascii="宋体" w:hAnsi="宋体" w:cs="方正魏碑_GBK"/>
          <w:sz w:val="24"/>
          <w:szCs w:val="24"/>
          <w:u w:val="single"/>
          <w:shd w:val="clear" w:color="auto" w:fill="ffffff"/>
        </w:rPr>
        <w:t xml:space="preserve">组件</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（关键工序）</w:t>
      </w:r>
      <w:r>
        <w:rPr>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rPr>
          <w:rFonts w:hint="eastAsia" w:ascii="宋体" w:hAnsi="宋体" w:cs="方正魏碑_GBK"/>
          <w:sz w:val="24"/>
          <w:szCs w:val="24"/>
        </w:rPr>
      </w:r>
      <w:r/>
    </w:p>
    <w:p>
      <w:pPr>
        <w:pStyle w:val="687"/>
        <w:ind w:right="731" w:firstLine="420"/>
        <w:jc w:val="left"/>
        <w:spacing w:before="30" w:after="30" w:line="0" w:lineRule="atLeast"/>
        <w:widowControl/>
        <w:rPr>
          <w:rFonts w:hint="eastAsia" w:ascii="宋体" w:hAnsi="宋体" w:cs="方正魏碑_GBK"/>
          <w:sz w:val="24"/>
          <w:szCs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（规定</w:t>
      </w:r>
      <w:r>
        <w:rPr>
          <w:rFonts w:ascii="宋体" w:hAnsi="宋体" w:cs="方正魏碑_GBK"/>
          <w:sz w:val="24"/>
          <w:szCs w:val="24"/>
          <w:u w:val="single"/>
          <w:shd w:val="clear" w:color="auto" w:fill="ffffff"/>
        </w:rPr>
        <w:t xml:space="preserve">比例</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w:t>
      </w:r>
      <w:r>
        <w:rPr>
          <w:rFonts w:ascii="宋体" w:hAnsi="宋体" w:cs="方正魏碑_GBK"/>
          <w:sz w:val="24"/>
          <w:szCs w:val="24"/>
          <w:u w:val="single"/>
          <w:shd w:val="clear" w:color="auto" w:fill="ffffff"/>
        </w:rPr>
        <w:t xml:space="preserve">组件</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rPr>
          <w:rFonts w:hint="eastAsia" w:ascii="宋体" w:hAnsi="宋体" w:cs="方正魏碑_GBK"/>
          <w:sz w:val="24"/>
          <w:szCs w:val="24"/>
        </w:rPr>
      </w:r>
      <w:r/>
    </w:p>
    <w:p>
      <w:pPr>
        <w:pStyle w:val="687"/>
        <w:ind w:right="731" w:firstLine="420"/>
        <w:jc w:val="left"/>
        <w:spacing w:before="30" w:after="30" w:line="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rPr>
          <w:rFonts w:hint="eastAsia" w:ascii="宋体" w:hAnsi="宋体" w:cs="方正魏碑_GBK"/>
          <w:sz w:val="24"/>
          <w:szCs w:val="24"/>
        </w:rPr>
      </w:r>
      <w:r/>
    </w:p>
    <w:p>
      <w:pPr>
        <w:pStyle w:val="687"/>
        <w:ind w:right="731" w:firstLine="420"/>
        <w:jc w:val="left"/>
        <w:spacing w:before="30" w:after="30" w:line="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rPr>
          <w:rFonts w:hint="eastAsia" w:ascii="宋体" w:hAnsi="宋体" w:cs="方正魏碑_GBK"/>
          <w:sz w:val="24"/>
          <w:szCs w:val="24"/>
        </w:rPr>
      </w:r>
      <w:r/>
    </w:p>
    <w:p>
      <w:pPr>
        <w:pStyle w:val="687"/>
        <w:jc w:val="left"/>
        <w:spacing w:before="30" w:after="30" w:line="0" w:lineRule="atLeast"/>
        <w:widowControl/>
        <w:rPr>
          <w:rFonts w:hint="eastAsia" w:ascii="宋体" w:hAnsi="宋体" w:cs="方正魏碑_GBK"/>
          <w:sz w:val="24"/>
          <w:szCs w:val="24"/>
        </w:rPr>
      </w:pPr>
      <w:r>
        <w:rPr>
          <w:rFonts w:hint="eastAsia" w:ascii="宋体" w:hAnsi="宋体" w:cs="方正魏碑_GBK"/>
          <w:sz w:val="24"/>
          <w:szCs w:val="24"/>
        </w:rPr>
      </w:r>
      <w:r/>
    </w:p>
    <w:p>
      <w:pPr>
        <w:pStyle w:val="687"/>
        <w:jc w:val="left"/>
        <w:spacing w:before="30" w:after="30" w:line="0" w:lineRule="atLeast"/>
        <w:widowControl/>
        <w:rPr>
          <w:rFonts w:ascii="宋体" w:hAnsi="宋体"/>
          <w:sz w:val="24"/>
          <w:szCs w:val="24"/>
        </w:rPr>
      </w:pPr>
      <w:r>
        <w:rPr>
          <w:rFonts w:ascii="宋体" w:hAnsi="宋体"/>
          <w:sz w:val="24"/>
          <w:szCs w:val="24"/>
        </w:rPr>
      </w:r>
      <w:r/>
    </w:p>
    <w:p>
      <w:pPr>
        <w:pStyle w:val="687"/>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p>
    <w:p>
      <w:pPr>
        <w:pStyle w:val="687"/>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pStyle w:val="687"/>
        <w:jc w:val="left"/>
        <w:spacing w:before="30" w:after="30" w:line="0" w:lineRule="atLeast"/>
        <w:widowControl/>
        <w:rPr>
          <w:rFonts w:ascii="宋体" w:hAnsi="宋体"/>
          <w:sz w:val="24"/>
          <w:szCs w:val="24"/>
        </w:rPr>
      </w:pPr>
      <w:r>
        <w:rPr>
          <w:rFonts w:ascii="宋体" w:hAnsi="宋体"/>
          <w:sz w:val="24"/>
          <w:szCs w:val="24"/>
        </w:rPr>
        <w:t xml:space="preserve">__________________</w:t>
      </w:r>
      <w:r/>
    </w:p>
    <w:p>
      <w:pPr>
        <w:pStyle w:val="687"/>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p>
    <w:p>
      <w:pPr>
        <w:pStyle w:val="687"/>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p>
    <w:p>
      <w:pPr>
        <w:pStyle w:val="687"/>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p>
    <w:p>
      <w:pPr>
        <w:pStyle w:val="687"/>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w:t>
      </w:r>
      <w:r>
        <w:rPr>
          <w:rFonts w:ascii="宋体" w:hAnsi="宋体"/>
          <w:sz w:val="24"/>
          <w:szCs w:val="24"/>
        </w:rPr>
        <w:t xml:space="preserve">组件”栏可不填，下同。</w:t>
      </w:r>
      <w:r/>
    </w:p>
    <w:p>
      <w:pPr>
        <w:pStyle w:val="687"/>
        <w:jc w:val="left"/>
        <w:spacing w:before="30" w:after="30" w:line="0" w:lineRule="atLeast"/>
        <w:widowControl/>
        <w:rPr>
          <w:rFonts w:ascii="宋体" w:hAnsi="宋体"/>
          <w:sz w:val="24"/>
          <w:szCs w:val="24"/>
        </w:rPr>
      </w:pPr>
      <w:r>
        <w:rPr>
          <w:rFonts w:ascii="宋体" w:hAnsi="宋体"/>
          <w:sz w:val="24"/>
          <w:szCs w:val="24"/>
        </w:rPr>
        <w:t xml:space="preserve">5.该产品的关键工序要求实施前，“关键工序”栏可不填，下同。</w:t>
      </w:r>
      <w:r/>
    </w:p>
    <w:p>
      <w:pPr>
        <w:pStyle w:val="687"/>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p>
    <w:p>
      <w:pPr>
        <w:pStyle w:val="687"/>
        <w:rPr>
          <w:rFonts w:ascii="宋体" w:hAnsi="宋体" w:cs="仿宋"/>
          <w:b/>
          <w:bCs/>
          <w:sz w:val="32"/>
          <w:szCs w:val="32"/>
        </w:rPr>
      </w:pPr>
      <w:r>
        <w:rPr>
          <w:rFonts w:ascii="宋体" w:hAnsi="宋体" w:cs="仿宋"/>
          <w:b/>
          <w:bCs/>
          <w:sz w:val="32"/>
          <w:szCs w:val="32"/>
        </w:rPr>
      </w:r>
      <w:r/>
    </w:p>
    <w:p>
      <w:pPr>
        <w:pStyle w:val="766"/>
        <w:rPr>
          <w:rFonts w:eastAsia="宋体"/>
        </w:rPr>
      </w:pPr>
      <w:r>
        <w:rPr>
          <w:rFonts w:eastAsia="宋体"/>
        </w:rPr>
      </w:r>
      <w:r/>
    </w:p>
    <w:p>
      <w:pPr>
        <w:pStyle w:val="687"/>
        <w:rPr>
          <w:rFonts w:ascii="宋体" w:hAnsi="宋体"/>
        </w:rPr>
      </w:pPr>
      <w:r>
        <w:rPr>
          <w:rFonts w:ascii="宋体" w:hAnsi="宋体"/>
        </w:rPr>
      </w:r>
      <w:r/>
    </w:p>
    <w:p>
      <w:pPr>
        <w:pStyle w:val="766"/>
        <w:rPr>
          <w:rFonts w:hint="eastAsia" w:eastAsia="宋体"/>
        </w:rPr>
      </w:pPr>
      <w:r>
        <w:rPr>
          <w:rFonts w:hint="eastAsia" w:eastAsia="宋体"/>
        </w:rPr>
      </w:r>
      <w:r/>
    </w:p>
    <w:p>
      <w:pPr>
        <w:pStyle w:val="687"/>
        <w:rPr>
          <w:rFonts w:hint="eastAsia" w:ascii="宋体" w:hAnsi="宋体"/>
        </w:rPr>
      </w:pPr>
      <w:r>
        <w:rPr>
          <w:rFonts w:hint="eastAsia" w:ascii="宋体" w:hAnsi="宋体"/>
        </w:rPr>
      </w:r>
      <w:r/>
    </w:p>
    <w:p>
      <w:pPr>
        <w:pStyle w:val="687"/>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687"/>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bCs/>
          <w:sz w:val="24"/>
          <w:szCs w:val="24"/>
        </w:rPr>
      </w:pPr>
      <w:r>
        <w:rPr>
          <w:rFonts w:hint="eastAsia" w:ascii="宋体" w:hAnsi="宋体" w:cs="仿宋"/>
          <w:bCs/>
          <w:sz w:val="24"/>
          <w:szCs w:val="24"/>
        </w:rPr>
        <w:t xml:space="preserve">二、质疑项目基本</w:t>
      </w:r>
      <w:r>
        <w:rPr>
          <w:rFonts w:hint="eastAsia" w:ascii="宋体" w:hAnsi="宋体" w:cs="仿宋"/>
          <w:bCs/>
          <w:sz w:val="24"/>
          <w:szCs w:val="24"/>
        </w:rPr>
        <w:t xml:space="preserve">情况</w:t>
      </w:r>
      <w:r/>
    </w:p>
    <w:p>
      <w:pPr>
        <w:pStyle w:val="687"/>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87"/>
        <w:spacing w:line="360" w:lineRule="auto"/>
        <w:rPr>
          <w:rFonts w:hint="eastAsia" w:ascii="宋体" w:hAnsi="宋体" w:cs="仿宋"/>
          <w:sz w:val="24"/>
          <w:szCs w:val="24"/>
        </w:rPr>
      </w:pPr>
      <w:r>
        <w:rPr>
          <w:rFonts w:hint="eastAsia" w:ascii="宋体" w:hAnsi="宋体" w:cs="仿宋"/>
          <w:sz w:val="24"/>
          <w:szCs w:val="24"/>
        </w:rPr>
        <w:t xml:space="preserve">……</w:t>
      </w:r>
      <w:r/>
    </w:p>
    <w:p>
      <w:pPr>
        <w:pStyle w:val="687"/>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687"/>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687"/>
        <w:rPr>
          <w:rFonts w:hint="eastAsia" w:ascii="宋体" w:hAnsi="宋体"/>
          <w:sz w:val="24"/>
          <w:szCs w:val="24"/>
        </w:rPr>
      </w:pPr>
      <w:r>
        <w:rPr>
          <w:rFonts w:hint="eastAsia" w:ascii="宋体" w:hAnsi="宋体"/>
          <w:sz w:val="24"/>
          <w:szCs w:val="24"/>
        </w:rPr>
        <w:t xml:space="preserve">签字(签章)：                   公章：                      </w:t>
      </w:r>
      <w:r/>
    </w:p>
    <w:p>
      <w:pPr>
        <w:pStyle w:val="687"/>
        <w:rPr>
          <w:rFonts w:hint="eastAsia" w:ascii="宋体" w:hAnsi="宋体"/>
          <w:sz w:val="24"/>
          <w:szCs w:val="24"/>
        </w:rPr>
      </w:pPr>
      <w:r>
        <w:rPr>
          <w:rFonts w:hint="eastAsia" w:ascii="宋体" w:hAnsi="宋体"/>
          <w:sz w:val="24"/>
          <w:szCs w:val="24"/>
        </w:rPr>
        <w:t xml:space="preserve">日期：    </w:t>
      </w:r>
      <w:r/>
    </w:p>
    <w:p>
      <w:pPr>
        <w:pStyle w:val="687"/>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687"/>
        <w:ind w:firstLine="480"/>
        <w:jc w:val="left"/>
        <w:spacing w:line="400" w:lineRule="exact"/>
        <w:widowControl/>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687"/>
        <w:ind w:firstLine="630"/>
        <w:rPr>
          <w:rFonts w:hint="eastAsia" w:ascii="宋体" w:hAnsi="宋体"/>
        </w:rPr>
      </w:pPr>
      <w:r>
        <w:rPr>
          <w:rFonts w:hint="eastAsia" w:ascii="宋体" w:hAnsi="宋体"/>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３９</w:t>
    </w:r>
    <w:r>
      <w:rPr>
        <w:rFonts w:ascii="宋体" w:hAnsi="宋体"/>
      </w:rPr>
      <w:fldChar w:fldCharType="end"/>
    </w:r>
    <w:r>
      <w:rPr>
        <w:rStyle w:val="762"/>
        <w:rFonts w:ascii="宋体" w:hAnsi="宋体"/>
      </w:rPr>
    </w:r>
    <w:r/>
  </w:p>
  <w:p>
    <w:pPr>
      <w:pStyle w:val="736"/>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rPr>
        <w:rStyle w:val="762"/>
      </w:rPr>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73"/>
      <w:isLgl w:val="false"/>
      <w:suff w:val="tab"/>
      <w:lvlText w:val="附录%1."/>
      <w:lvlJc w:val="left"/>
      <w:pPr>
        <w:pStyle w:val="6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87"/>
        <w:ind w:left="425" w:hanging="425"/>
      </w:pPr>
    </w:lvl>
    <w:lvl w:ilvl="1">
      <w:start w:val="1"/>
      <w:numFmt w:val="decimal"/>
      <w:isLgl w:val="false"/>
      <w:suff w:val="tab"/>
      <w:lvlText w:val="%1.%2."/>
      <w:lvlJc w:val="left"/>
      <w:pPr>
        <w:pStyle w:val="687"/>
        <w:ind w:left="567" w:hanging="567"/>
      </w:pPr>
    </w:lvl>
    <w:lvl w:ilvl="2">
      <w:start w:val="1"/>
      <w:numFmt w:val="decimal"/>
      <w:isLgl w:val="false"/>
      <w:suff w:val="tab"/>
      <w:lvlText w:val="%1.%2.%3."/>
      <w:lvlJc w:val="left"/>
      <w:pPr>
        <w:pStyle w:val="687"/>
        <w:ind w:left="709" w:hanging="709"/>
      </w:pPr>
    </w:lvl>
    <w:lvl w:ilvl="3">
      <w:start w:val="1"/>
      <w:numFmt w:val="decimal"/>
      <w:isLgl w:val="false"/>
      <w:suff w:val="tab"/>
      <w:lvlText w:val="%1.%2.%3.%4."/>
      <w:lvlJc w:val="left"/>
      <w:pPr>
        <w:pStyle w:val="687"/>
        <w:ind w:left="851" w:hanging="851"/>
      </w:pPr>
    </w:lvl>
    <w:lvl w:ilvl="4">
      <w:start w:val="1"/>
      <w:numFmt w:val="decimal"/>
      <w:isLgl w:val="false"/>
      <w:suff w:val="tab"/>
      <w:lvlText w:val="%1.%2.%3.%4.%5."/>
      <w:lvlJc w:val="left"/>
      <w:pPr>
        <w:pStyle w:val="687"/>
        <w:ind w:left="992" w:hanging="992"/>
      </w:pPr>
    </w:lvl>
    <w:lvl w:ilvl="5">
      <w:start w:val="1"/>
      <w:numFmt w:val="decimal"/>
      <w:isLgl w:val="false"/>
      <w:suff w:val="tab"/>
      <w:lvlText w:val="%1.%2.%3.%4.%5.%6."/>
      <w:lvlJc w:val="left"/>
      <w:pPr>
        <w:pStyle w:val="687"/>
        <w:ind w:left="1134" w:hanging="1134"/>
      </w:pPr>
    </w:lvl>
    <w:lvl w:ilvl="6">
      <w:start w:val="1"/>
      <w:numFmt w:val="decimal"/>
      <w:isLgl w:val="false"/>
      <w:suff w:val="tab"/>
      <w:lvlText w:val="%1.%2.%3.%4.%5.%6.%7."/>
      <w:lvlJc w:val="left"/>
      <w:pPr>
        <w:pStyle w:val="687"/>
        <w:ind w:left="1276" w:hanging="1276"/>
      </w:pPr>
    </w:lvl>
    <w:lvl w:ilvl="7">
      <w:start w:val="1"/>
      <w:numFmt w:val="decimal"/>
      <w:isLgl w:val="false"/>
      <w:suff w:val="tab"/>
      <w:lvlText w:val="%1.%2.%3.%4.%5.%6.%7.%8."/>
      <w:lvlJc w:val="left"/>
      <w:pPr>
        <w:pStyle w:val="687"/>
        <w:ind w:left="1418" w:hanging="1418"/>
      </w:pPr>
    </w:lvl>
    <w:lvl w:ilvl="8">
      <w:start w:val="1"/>
      <w:numFmt w:val="decimal"/>
      <w:isLgl w:val="false"/>
      <w:suff w:val="tab"/>
      <w:lvlText w:val="%1.%2.%3.%4.%5.%6.%7.%8.%9."/>
      <w:lvlJc w:val="left"/>
      <w:pPr>
        <w:pStyle w:val="687"/>
        <w:ind w:left="1559" w:hanging="1559"/>
      </w:pPr>
    </w:lvl>
  </w:abstractNum>
  <w:abstractNum w:abstractNumId="7">
    <w:multiLevelType w:val="hybridMultilevel"/>
    <w:lvl w:ilvl="0">
      <w:start w:val="1"/>
      <w:numFmt w:val="decimal"/>
      <w:pStyle w:val="790"/>
      <w:isLgl w:val="false"/>
      <w:suff w:val="tab"/>
      <w:lvlText w:val="%1."/>
      <w:lvlJc w:val="left"/>
      <w:pPr>
        <w:pStyle w:val="687"/>
        <w:ind w:left="709" w:hanging="709"/>
        <w:tabs>
          <w:tab w:val="num" w:pos="709" w:leader="none"/>
        </w:tabs>
      </w:pPr>
      <w:rPr>
        <w:rFonts w:hint="eastAsia"/>
      </w:rPr>
    </w:lvl>
    <w:lvl w:ilvl="1">
      <w:start w:val="1"/>
      <w:numFmt w:val="decimal"/>
      <w:isLgl w:val="false"/>
      <w:suff w:val="tab"/>
      <w:lvlText w:val="%1.%2"/>
      <w:lvlJc w:val="left"/>
      <w:pPr>
        <w:pStyle w:val="687"/>
        <w:ind w:left="709" w:hanging="709"/>
        <w:tabs>
          <w:tab w:val="num" w:pos="709" w:leader="none"/>
        </w:tabs>
      </w:pPr>
      <w:rPr>
        <w:rFonts w:hint="eastAsia"/>
      </w:rPr>
    </w:lvl>
    <w:lvl w:ilvl="2">
      <w:start w:val="1"/>
      <w:numFmt w:val="decimal"/>
      <w:isLgl w:val="false"/>
      <w:suff w:val="tab"/>
      <w:lvlText w:val="%1.%2.%3."/>
      <w:lvlJc w:val="left"/>
      <w:pPr>
        <w:pStyle w:val="687"/>
        <w:ind w:left="425" w:hanging="425"/>
        <w:tabs>
          <w:tab w:val="num" w:pos="425" w:leader="none"/>
        </w:tabs>
      </w:pPr>
      <w:rPr>
        <w:rFonts w:hint="eastAsia"/>
      </w:rPr>
    </w:lvl>
    <w:lvl w:ilvl="3">
      <w:start w:val="1"/>
      <w:numFmt w:val="decimal"/>
      <w:isLgl w:val="false"/>
      <w:suff w:val="tab"/>
      <w:lvlText w:val="%1.%2.%3.%4."/>
      <w:lvlJc w:val="left"/>
      <w:pPr>
        <w:pStyle w:val="687"/>
        <w:ind w:left="851" w:hanging="851"/>
        <w:tabs>
          <w:tab w:val="num" w:pos="851" w:leader="none"/>
        </w:tabs>
      </w:pPr>
      <w:rPr>
        <w:rFonts w:hint="eastAsia"/>
      </w:rPr>
    </w:lvl>
    <w:lvl w:ilvl="4">
      <w:start w:val="1"/>
      <w:numFmt w:val="decimal"/>
      <w:isLgl w:val="false"/>
      <w:suff w:val="tab"/>
      <w:lvlText w:val="%1.%2.%3.%4.%5."/>
      <w:lvlJc w:val="left"/>
      <w:pPr>
        <w:pStyle w:val="687"/>
        <w:ind w:left="992" w:hanging="992"/>
        <w:tabs>
          <w:tab w:val="num" w:pos="992" w:leader="none"/>
        </w:tabs>
      </w:pPr>
      <w:rPr>
        <w:rFonts w:hint="eastAsia"/>
      </w:rPr>
    </w:lvl>
    <w:lvl w:ilvl="5">
      <w:start w:val="1"/>
      <w:numFmt w:val="decimal"/>
      <w:isLgl w:val="false"/>
      <w:suff w:val="tab"/>
      <w:lvlText w:val="%1.%2.%3.%4.%5.%6."/>
      <w:lvlJc w:val="left"/>
      <w:pPr>
        <w:pStyle w:val="687"/>
        <w:ind w:left="1134" w:hanging="1134"/>
        <w:tabs>
          <w:tab w:val="num" w:pos="1134" w:leader="none"/>
        </w:tabs>
      </w:pPr>
      <w:rPr>
        <w:rFonts w:hint="eastAsia"/>
      </w:rPr>
    </w:lvl>
    <w:lvl w:ilvl="6">
      <w:start w:val="1"/>
      <w:numFmt w:val="decimal"/>
      <w:isLgl w:val="false"/>
      <w:suff w:val="tab"/>
      <w:lvlText w:val="%1.%2.%3.%4.%5.%6.%7."/>
      <w:lvlJc w:val="left"/>
      <w:pPr>
        <w:pStyle w:val="687"/>
        <w:ind w:left="1276" w:hanging="1276"/>
        <w:tabs>
          <w:tab w:val="num" w:pos="1276" w:leader="none"/>
        </w:tabs>
      </w:pPr>
      <w:rPr>
        <w:rFonts w:hint="eastAsia"/>
      </w:rPr>
    </w:lvl>
    <w:lvl w:ilvl="7">
      <w:start w:val="1"/>
      <w:numFmt w:val="decimal"/>
      <w:isLgl w:val="false"/>
      <w:suff w:val="tab"/>
      <w:lvlText w:val="%1.%2.%3.%4.%5.%6.%7.%8."/>
      <w:lvlJc w:val="left"/>
      <w:pPr>
        <w:pStyle w:val="687"/>
        <w:ind w:left="1418" w:hanging="1418"/>
        <w:tabs>
          <w:tab w:val="num" w:pos="1418" w:leader="none"/>
        </w:tabs>
      </w:pPr>
      <w:rPr>
        <w:rFonts w:hint="eastAsia"/>
      </w:rPr>
    </w:lvl>
    <w:lvl w:ilvl="8">
      <w:start w:val="1"/>
      <w:numFmt w:val="decimal"/>
      <w:isLgl w:val="false"/>
      <w:suff w:val="tab"/>
      <w:lvlText w:val="%1.%2.%3.%4.%5.%6.%7.%8.%9."/>
      <w:lvlJc w:val="left"/>
      <w:pPr>
        <w:pStyle w:val="687"/>
        <w:ind w:left="1559" w:hanging="1559"/>
        <w:tabs>
          <w:tab w:val="num" w:pos="1559" w:leader="none"/>
        </w:tabs>
      </w:pPr>
      <w:rPr>
        <w:rFonts w:hint="eastAsia"/>
      </w:rPr>
    </w:lvl>
  </w:abstractNum>
  <w:abstractNum w:abstractNumId="8">
    <w:multiLevelType w:val="hybridMultilevel"/>
    <w:lvl w:ilvl="0">
      <w:start w:val="1"/>
      <w:numFmt w:val="bullet"/>
      <w:isLgl w:val="false"/>
      <w:suff w:val="tab"/>
      <w:lvlText w:val=""/>
      <w:lvlJc w:val="left"/>
      <w:pPr>
        <w:pStyle w:val="6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687"/>
        <w:ind w:left="0" w:firstLine="0"/>
      </w:pPr>
      <w:rPr>
        <w:rFonts w:hint="eastAsia"/>
      </w:rPr>
    </w:lvl>
    <w:lvl w:ilvl="1">
      <w:start w:val="1"/>
      <w:numFmt w:val="decimal"/>
      <w:isLgl w:val="false"/>
      <w:suff w:val="nothing"/>
      <w:lvlText w:val="%2、"/>
      <w:lvlJc w:val="left"/>
      <w:pPr>
        <w:pStyle w:val="687"/>
        <w:ind w:left="0" w:firstLine="0"/>
      </w:pPr>
      <w:rPr>
        <w:rFonts w:hint="eastAsia"/>
      </w:rPr>
    </w:lvl>
    <w:lvl w:ilvl="2">
      <w:start w:val="1"/>
      <w:numFmt w:val="decimal"/>
      <w:isLgl w:val="false"/>
      <w:suff w:val="nothing"/>
      <w:lvlText w:val="%2.%3 "/>
      <w:lvlJc w:val="left"/>
      <w:pPr>
        <w:pStyle w:val="687"/>
        <w:ind w:left="0" w:firstLine="0"/>
      </w:pPr>
      <w:rPr>
        <w:rFonts w:hint="eastAsia"/>
      </w:rPr>
    </w:lvl>
    <w:lvl w:ilvl="3">
      <w:start w:val="1"/>
      <w:numFmt w:val="decimal"/>
      <w:isLgl w:val="false"/>
      <w:suff w:val="nothing"/>
      <w:lvlText w:val="%2.%3.%4 "/>
      <w:lvlJc w:val="left"/>
      <w:pPr>
        <w:pStyle w:val="687"/>
        <w:ind w:left="0" w:firstLine="0"/>
      </w:pPr>
      <w:rPr>
        <w:rFonts w:hint="eastAsia"/>
      </w:rPr>
    </w:lvl>
    <w:lvl w:ilvl="4">
      <w:start w:val="1"/>
      <w:numFmt w:val="decimal"/>
      <w:isLgl w:val="false"/>
      <w:suff w:val="nothing"/>
      <w:lvlText w:val="%2.%3.%4.%5 "/>
      <w:lvlJc w:val="left"/>
      <w:pPr>
        <w:pStyle w:val="687"/>
        <w:ind w:left="0" w:firstLine="0"/>
      </w:pPr>
      <w:rPr>
        <w:rFonts w:hint="eastAsia"/>
      </w:rPr>
    </w:lvl>
    <w:lvl w:ilvl="5">
      <w:start w:val="1"/>
      <w:numFmt w:val="decimal"/>
      <w:pStyle w:val="693"/>
      <w:isLgl w:val="false"/>
      <w:suff w:val="nothing"/>
      <w:lvlText w:val=""/>
      <w:lvlJc w:val="left"/>
      <w:pPr>
        <w:pStyle w:val="687"/>
        <w:ind w:left="0" w:firstLine="0"/>
      </w:pPr>
      <w:rPr>
        <w:rFonts w:hint="eastAsia"/>
      </w:rPr>
    </w:lvl>
    <w:lvl w:ilvl="6">
      <w:start w:val="1"/>
      <w:numFmt w:val="decimal"/>
      <w:pStyle w:val="694"/>
      <w:isLgl w:val="false"/>
      <w:suff w:val="nothing"/>
      <w:lvlText w:val=""/>
      <w:lvlJc w:val="left"/>
      <w:pPr>
        <w:pStyle w:val="687"/>
        <w:ind w:left="0" w:firstLine="0"/>
      </w:pPr>
      <w:rPr>
        <w:rFonts w:hint="eastAsia"/>
      </w:rPr>
    </w:lvl>
    <w:lvl w:ilvl="7">
      <w:start w:val="1"/>
      <w:numFmt w:val="decimal"/>
      <w:pStyle w:val="695"/>
      <w:isLgl w:val="false"/>
      <w:suff w:val="nothing"/>
      <w:lvlText w:val=""/>
      <w:lvlJc w:val="left"/>
      <w:pPr>
        <w:pStyle w:val="687"/>
        <w:ind w:left="0" w:firstLine="0"/>
      </w:pPr>
      <w:rPr>
        <w:rFonts w:hint="eastAsia"/>
      </w:rPr>
    </w:lvl>
    <w:lvl w:ilvl="8">
      <w:start w:val="1"/>
      <w:numFmt w:val="decimal"/>
      <w:pStyle w:val="696"/>
      <w:isLgl w:val="false"/>
      <w:suff w:val="nothing"/>
      <w:lvlText w:val=""/>
      <w:lvlJc w:val="left"/>
      <w:pPr>
        <w:pStyle w:val="687"/>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6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7"/>
  </w:num>
  <w:num w:numId="4">
    <w:abstractNumId w:val="10"/>
  </w:num>
  <w:num w:numId="5">
    <w:abstractNumId w:val="6"/>
  </w:num>
  <w:num w:numId="6">
    <w:abstractNumId w:val="2"/>
  </w:num>
  <w:num w:numId="7">
    <w:abstractNumId w:val="3"/>
  </w:num>
  <w:num w:numId="8">
    <w:abstractNumId w:val="1"/>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sz w:val="21"/>
      <w:szCs w:val="22"/>
      <w:lang w:val="en-US" w:eastAsia="zh-CN" w:bidi="ar-SA"/>
    </w:rPr>
  </w:style>
  <w:style w:type="paragraph" w:styleId="688">
    <w:name w:val="标题 1"/>
    <w:basedOn w:val="687"/>
    <w:next w:val="687"/>
    <w:link w:val="700"/>
    <w:qFormat/>
    <w:pPr>
      <w:jc w:val="center"/>
      <w:keepNext/>
      <w:outlineLvl w:val="0"/>
    </w:pPr>
    <w:rPr>
      <w:rFonts w:ascii="楷体_GB2312" w:hAnsi="Times New Roman" w:eastAsia="楷体_GB2312" w:cs="Times New Roman"/>
      <w:sz w:val="28"/>
      <w:szCs w:val="28"/>
    </w:rPr>
  </w:style>
  <w:style w:type="paragraph" w:styleId="689">
    <w:name w:val="标题 2"/>
    <w:basedOn w:val="687"/>
    <w:next w:val="687"/>
    <w:link w:val="701"/>
    <w:qFormat/>
    <w:pPr>
      <w:jc w:val="center"/>
      <w:keepLines/>
      <w:keepNext/>
      <w:spacing w:before="260" w:after="260" w:line="416" w:lineRule="auto"/>
      <w:outlineLvl w:val="1"/>
    </w:pPr>
    <w:rPr>
      <w:rFonts w:ascii="Arial" w:hAnsi="Arial" w:eastAsia="幼圆" w:cs="Arial"/>
      <w:b/>
      <w:bCs/>
      <w:sz w:val="44"/>
      <w:szCs w:val="44"/>
    </w:rPr>
  </w:style>
  <w:style w:type="paragraph" w:styleId="690">
    <w:name w:val="标题 3"/>
    <w:basedOn w:val="687"/>
    <w:next w:val="687"/>
    <w:link w:val="7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1">
    <w:name w:val="标题 4"/>
    <w:basedOn w:val="687"/>
    <w:next w:val="687"/>
    <w:link w:val="703"/>
    <w:qFormat/>
    <w:pPr>
      <w:keepLines/>
      <w:keepNext/>
      <w:spacing w:before="280" w:after="290" w:line="376" w:lineRule="auto"/>
      <w:outlineLvl w:val="3"/>
    </w:pPr>
    <w:rPr>
      <w:rFonts w:ascii="Arial" w:hAnsi="Arial" w:eastAsia="黑体" w:cs="Arial"/>
      <w:b/>
      <w:bCs/>
      <w:sz w:val="28"/>
      <w:szCs w:val="28"/>
    </w:rPr>
  </w:style>
  <w:style w:type="paragraph" w:styleId="692">
    <w:name w:val="标题 5"/>
    <w:basedOn w:val="687"/>
    <w:next w:val="687"/>
    <w:link w:val="704"/>
    <w:qFormat/>
    <w:pPr>
      <w:keepNext/>
      <w:outlineLvl w:val="4"/>
    </w:pPr>
    <w:rPr>
      <w:rFonts w:ascii="宋体" w:hAnsi="Times New Roman" w:eastAsia="宋体" w:cs="Times New Roman"/>
      <w:color w:val="000000"/>
      <w:sz w:val="28"/>
      <w:szCs w:val="28"/>
    </w:rPr>
  </w:style>
  <w:style w:type="paragraph" w:styleId="693">
    <w:name w:val="标题 6"/>
    <w:basedOn w:val="687"/>
    <w:next w:val="687"/>
    <w:link w:val="70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4">
    <w:name w:val="标题 7"/>
    <w:basedOn w:val="687"/>
    <w:next w:val="687"/>
    <w:link w:val="7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5">
    <w:name w:val="标题 8"/>
    <w:basedOn w:val="687"/>
    <w:next w:val="687"/>
    <w:link w:val="70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6">
    <w:name w:val="标题 9"/>
    <w:basedOn w:val="687"/>
    <w:next w:val="687"/>
    <w:link w:val="708"/>
    <w:qFormat/>
    <w:pPr>
      <w:numPr>
        <w:ilvl w:val="8"/>
        <w:numId w:val="1"/>
      </w:numPr>
      <w:keepLines/>
      <w:keepNext/>
      <w:spacing w:before="240" w:after="64" w:line="320" w:lineRule="auto"/>
      <w:outlineLvl w:val="8"/>
    </w:pPr>
    <w:rPr>
      <w:rFonts w:ascii="Arial" w:hAnsi="Arial" w:eastAsia="黑体" w:cs="Times New Roman"/>
      <w:szCs w:val="21"/>
    </w:rPr>
  </w:style>
  <w:style w:type="character" w:styleId="697">
    <w:name w:val="默认段落字体"/>
    <w:next w:val="697"/>
    <w:link w:val="687"/>
    <w:uiPriority w:val="1"/>
    <w:unhideWhenUsed/>
  </w:style>
  <w:style w:type="table" w:styleId="698">
    <w:name w:val="普通表格"/>
    <w:next w:val="698"/>
    <w:link w:val="687"/>
    <w:uiPriority w:val="99"/>
    <w:unhideWhenUsed/>
    <w:tblPr/>
  </w:style>
  <w:style w:type="numbering" w:styleId="699">
    <w:name w:val="无列表"/>
    <w:next w:val="699"/>
    <w:link w:val="687"/>
    <w:uiPriority w:val="99"/>
    <w:semiHidden/>
    <w:unhideWhenUsed/>
  </w:style>
  <w:style w:type="character" w:styleId="700">
    <w:name w:val="标题 1 字符"/>
    <w:next w:val="700"/>
    <w:link w:val="688"/>
    <w:rPr>
      <w:rFonts w:ascii="楷体_GB2312" w:hAnsi="Times New Roman" w:eastAsia="楷体_GB2312" w:cs="Times New Roman"/>
      <w:sz w:val="28"/>
      <w:szCs w:val="28"/>
    </w:rPr>
  </w:style>
  <w:style w:type="character" w:styleId="701">
    <w:name w:val="标题 2 字符"/>
    <w:next w:val="701"/>
    <w:link w:val="689"/>
    <w:rPr>
      <w:rFonts w:ascii="Arial" w:hAnsi="Arial" w:eastAsia="幼圆" w:cs="Arial"/>
      <w:b/>
      <w:bCs/>
      <w:sz w:val="44"/>
      <w:szCs w:val="44"/>
    </w:rPr>
  </w:style>
  <w:style w:type="character" w:styleId="702">
    <w:name w:val="标题 3 字符"/>
    <w:next w:val="702"/>
    <w:link w:val="690"/>
    <w:rPr>
      <w:rFonts w:ascii="Times New Roman" w:hAnsi="Times New Roman" w:eastAsia="宋体" w:cs="Times New Roman"/>
      <w:b/>
      <w:bCs/>
      <w:sz w:val="32"/>
      <w:szCs w:val="32"/>
    </w:rPr>
  </w:style>
  <w:style w:type="character" w:styleId="703">
    <w:name w:val="标题 4 字符"/>
    <w:next w:val="703"/>
    <w:link w:val="691"/>
    <w:rPr>
      <w:rFonts w:ascii="Arial" w:hAnsi="Arial" w:eastAsia="黑体" w:cs="Arial"/>
      <w:b/>
      <w:bCs/>
      <w:sz w:val="28"/>
      <w:szCs w:val="28"/>
    </w:rPr>
  </w:style>
  <w:style w:type="character" w:styleId="704">
    <w:name w:val="标题 5 字符"/>
    <w:next w:val="704"/>
    <w:link w:val="692"/>
    <w:rPr>
      <w:rFonts w:ascii="宋体" w:hAnsi="Times New Roman" w:eastAsia="宋体" w:cs="Times New Roman"/>
      <w:color w:val="000000"/>
      <w:sz w:val="28"/>
      <w:szCs w:val="28"/>
    </w:rPr>
  </w:style>
  <w:style w:type="character" w:styleId="705">
    <w:name w:val="标题 6 字符"/>
    <w:next w:val="705"/>
    <w:link w:val="693"/>
    <w:rPr>
      <w:rFonts w:ascii="Arial" w:hAnsi="Arial" w:eastAsia="黑体" w:cs="Times New Roman"/>
      <w:b/>
      <w:bCs/>
      <w:sz w:val="24"/>
      <w:szCs w:val="24"/>
    </w:rPr>
  </w:style>
  <w:style w:type="character" w:styleId="706">
    <w:name w:val="标题 7 字符"/>
    <w:next w:val="706"/>
    <w:link w:val="694"/>
    <w:rPr>
      <w:rFonts w:ascii="Times New Roman" w:hAnsi="Times New Roman" w:eastAsia="宋体" w:cs="Times New Roman"/>
      <w:b/>
      <w:bCs/>
      <w:sz w:val="24"/>
      <w:szCs w:val="24"/>
    </w:rPr>
  </w:style>
  <w:style w:type="character" w:styleId="707">
    <w:name w:val="标题 8 字符"/>
    <w:next w:val="707"/>
    <w:link w:val="695"/>
    <w:rPr>
      <w:rFonts w:ascii="Arial" w:hAnsi="Arial" w:eastAsia="黑体" w:cs="Times New Roman"/>
      <w:sz w:val="24"/>
      <w:szCs w:val="24"/>
    </w:rPr>
  </w:style>
  <w:style w:type="character" w:styleId="708">
    <w:name w:val="标题 9 字符"/>
    <w:next w:val="708"/>
    <w:link w:val="696"/>
    <w:rPr>
      <w:rFonts w:ascii="Arial" w:hAnsi="Arial" w:eastAsia="黑体" w:cs="Times New Roman"/>
      <w:szCs w:val="21"/>
    </w:rPr>
  </w:style>
  <w:style w:type="paragraph" w:styleId="709">
    <w:name w:val="列表 3"/>
    <w:basedOn w:val="687"/>
    <w:next w:val="709"/>
    <w:link w:val="687"/>
    <w:pPr>
      <w:ind w:left="100" w:hanging="200"/>
    </w:pPr>
    <w:rPr>
      <w:rFonts w:ascii="Times New Roman" w:hAnsi="Times New Roman" w:eastAsia="宋体" w:cs="Times New Roman"/>
      <w:szCs w:val="21"/>
    </w:rPr>
  </w:style>
  <w:style w:type="paragraph" w:styleId="710">
    <w:name w:val="toc 7"/>
    <w:basedOn w:val="687"/>
    <w:next w:val="687"/>
    <w:link w:val="687"/>
    <w:semiHidden/>
    <w:pPr>
      <w:ind w:left="1260"/>
      <w:jc w:val="left"/>
    </w:pPr>
    <w:rPr>
      <w:rFonts w:ascii="Times New Roman" w:hAnsi="Times New Roman" w:eastAsia="宋体" w:cs="Times New Roman"/>
      <w:szCs w:val="21"/>
    </w:rPr>
  </w:style>
  <w:style w:type="paragraph" w:styleId="711">
    <w:name w:val="正文缩进"/>
    <w:basedOn w:val="687"/>
    <w:next w:val="711"/>
    <w:link w:val="712"/>
    <w:pPr>
      <w:ind w:firstLine="420"/>
    </w:pPr>
    <w:rPr>
      <w:szCs w:val="21"/>
    </w:rPr>
  </w:style>
  <w:style w:type="character" w:styleId="712">
    <w:name w:val="正文缩进 字符"/>
    <w:next w:val="712"/>
    <w:link w:val="711"/>
    <w:rPr>
      <w:szCs w:val="21"/>
    </w:rPr>
  </w:style>
  <w:style w:type="paragraph" w:styleId="713">
    <w:name w:val="文档结构图"/>
    <w:basedOn w:val="687"/>
    <w:next w:val="713"/>
    <w:link w:val="714"/>
    <w:semiHidden/>
    <w:pPr>
      <w:shd w:val="clear" w:color="auto" w:fill="000080"/>
    </w:pPr>
    <w:rPr>
      <w:rFonts w:ascii="Times New Roman" w:hAnsi="Times New Roman" w:eastAsia="宋体" w:cs="Times New Roman"/>
      <w:szCs w:val="21"/>
    </w:rPr>
  </w:style>
  <w:style w:type="character" w:styleId="714">
    <w:name w:val="文档结构图 字符"/>
    <w:next w:val="714"/>
    <w:link w:val="713"/>
    <w:semiHidden/>
    <w:rPr>
      <w:rFonts w:ascii="Times New Roman" w:hAnsi="Times New Roman" w:eastAsia="宋体" w:cs="Times New Roman"/>
      <w:szCs w:val="21"/>
      <w:shd w:val="clear" w:color="auto" w:fill="000080"/>
    </w:rPr>
  </w:style>
  <w:style w:type="paragraph" w:styleId="715">
    <w:name w:val="批注文字"/>
    <w:basedOn w:val="687"/>
    <w:next w:val="715"/>
    <w:link w:val="716"/>
    <w:unhideWhenUsed/>
    <w:pPr>
      <w:jc w:val="left"/>
    </w:pPr>
  </w:style>
  <w:style w:type="character" w:styleId="716">
    <w:name w:val="批注文字 字符"/>
    <w:next w:val="716"/>
    <w:link w:val="715"/>
    <w:uiPriority w:val="99"/>
    <w:semiHidden/>
  </w:style>
  <w:style w:type="paragraph" w:styleId="717">
    <w:name w:val="正文文本 3"/>
    <w:basedOn w:val="687"/>
    <w:next w:val="717"/>
    <w:link w:val="718"/>
    <w:rPr>
      <w:rFonts w:ascii="仿宋_GB2312" w:hAnsi="Arial" w:eastAsia="仿宋_GB2312" w:cs="Times New Roman"/>
      <w:sz w:val="32"/>
      <w:szCs w:val="32"/>
    </w:rPr>
  </w:style>
  <w:style w:type="character" w:styleId="718">
    <w:name w:val="正文文本 3 字符"/>
    <w:next w:val="718"/>
    <w:link w:val="717"/>
    <w:rPr>
      <w:rFonts w:ascii="仿宋_GB2312" w:hAnsi="Arial" w:eastAsia="仿宋_GB2312" w:cs="Times New Roman"/>
      <w:sz w:val="32"/>
      <w:szCs w:val="32"/>
    </w:rPr>
  </w:style>
  <w:style w:type="paragraph" w:styleId="719">
    <w:name w:val="正文文本"/>
    <w:basedOn w:val="687"/>
    <w:next w:val="719"/>
    <w:link w:val="720"/>
    <w:rPr>
      <w:rFonts w:ascii="楷体_GB2312" w:hAnsi="Arial" w:eastAsia="楷体_GB2312" w:cs="Times New Roman"/>
      <w:sz w:val="28"/>
      <w:szCs w:val="28"/>
    </w:rPr>
  </w:style>
  <w:style w:type="character" w:styleId="720">
    <w:name w:val="正文文本 字符"/>
    <w:next w:val="720"/>
    <w:link w:val="719"/>
    <w:rPr>
      <w:rFonts w:ascii="楷体_GB2312" w:hAnsi="Arial" w:eastAsia="楷体_GB2312" w:cs="Times New Roman"/>
      <w:sz w:val="28"/>
      <w:szCs w:val="28"/>
    </w:rPr>
  </w:style>
  <w:style w:type="paragraph" w:styleId="721">
    <w:name w:val="正文文本缩进"/>
    <w:basedOn w:val="687"/>
    <w:next w:val="723"/>
    <w:link w:val="722"/>
    <w:unhideWhenUsed/>
    <w:pPr>
      <w:ind w:left="420"/>
      <w:spacing w:after="120"/>
    </w:pPr>
  </w:style>
  <w:style w:type="character" w:styleId="722">
    <w:name w:val="正文文本缩进 字符"/>
    <w:next w:val="722"/>
    <w:link w:val="721"/>
    <w:uiPriority w:val="99"/>
    <w:semiHidden/>
  </w:style>
  <w:style w:type="paragraph" w:styleId="723">
    <w:name w:val="寄信人地址"/>
    <w:basedOn w:val="687"/>
    <w:next w:val="723"/>
    <w:link w:val="687"/>
    <w:qFormat/>
    <w:rPr>
      <w:rFonts w:ascii="Arial" w:hAnsi="Arial" w:cs="宋体"/>
    </w:rPr>
  </w:style>
  <w:style w:type="paragraph" w:styleId="724">
    <w:name w:val="列表 2"/>
    <w:basedOn w:val="687"/>
    <w:next w:val="724"/>
    <w:link w:val="687"/>
    <w:pPr>
      <w:ind w:left="100" w:hanging="200"/>
    </w:pPr>
    <w:rPr>
      <w:rFonts w:ascii="Times New Roman" w:hAnsi="Times New Roman" w:eastAsia="宋体" w:cs="Times New Roman"/>
      <w:szCs w:val="21"/>
    </w:rPr>
  </w:style>
  <w:style w:type="paragraph" w:styleId="725">
    <w:name w:val="toc 5"/>
    <w:basedOn w:val="687"/>
    <w:next w:val="687"/>
    <w:link w:val="687"/>
    <w:semiHidden/>
    <w:pPr>
      <w:ind w:left="840"/>
      <w:jc w:val="left"/>
    </w:pPr>
    <w:rPr>
      <w:rFonts w:ascii="Times New Roman" w:hAnsi="Times New Roman" w:eastAsia="宋体" w:cs="Times New Roman"/>
      <w:szCs w:val="21"/>
    </w:rPr>
  </w:style>
  <w:style w:type="paragraph" w:styleId="726">
    <w:name w:val="toc 3"/>
    <w:basedOn w:val="687"/>
    <w:next w:val="687"/>
    <w:link w:val="687"/>
    <w:semiHidden/>
    <w:pPr>
      <w:ind w:left="420"/>
      <w:jc w:val="left"/>
    </w:pPr>
    <w:rPr>
      <w:rFonts w:ascii="Times New Roman" w:hAnsi="Times New Roman" w:eastAsia="宋体" w:cs="Times New Roman"/>
      <w:i/>
      <w:iCs/>
      <w:szCs w:val="24"/>
    </w:rPr>
  </w:style>
  <w:style w:type="paragraph" w:styleId="727">
    <w:name w:val="纯文本"/>
    <w:basedOn w:val="687"/>
    <w:next w:val="727"/>
    <w:link w:val="728"/>
    <w:rPr>
      <w:rFonts w:ascii="宋体" w:hAnsi="Courier New" w:eastAsia="宋体" w:cs="Courier New"/>
      <w:szCs w:val="21"/>
    </w:rPr>
  </w:style>
  <w:style w:type="character" w:styleId="728">
    <w:name w:val="纯文本 字符"/>
    <w:next w:val="728"/>
    <w:link w:val="727"/>
    <w:rPr>
      <w:rFonts w:ascii="宋体" w:hAnsi="Courier New" w:eastAsia="宋体" w:cs="Courier New"/>
      <w:szCs w:val="21"/>
    </w:rPr>
  </w:style>
  <w:style w:type="paragraph" w:styleId="729">
    <w:name w:val="toc 8"/>
    <w:basedOn w:val="687"/>
    <w:next w:val="687"/>
    <w:link w:val="687"/>
    <w:semiHidden/>
    <w:pPr>
      <w:ind w:left="1470"/>
      <w:jc w:val="left"/>
    </w:pPr>
    <w:rPr>
      <w:rFonts w:ascii="Times New Roman" w:hAnsi="Times New Roman" w:eastAsia="宋体" w:cs="Times New Roman"/>
      <w:szCs w:val="21"/>
    </w:rPr>
  </w:style>
  <w:style w:type="paragraph" w:styleId="730">
    <w:name w:val="日期"/>
    <w:basedOn w:val="687"/>
    <w:next w:val="687"/>
    <w:link w:val="731"/>
    <w:rPr>
      <w:rFonts w:ascii="Times New Roman" w:hAnsi="Times New Roman" w:eastAsia="宋体" w:cs="Times New Roman"/>
      <w:sz w:val="24"/>
      <w:szCs w:val="24"/>
    </w:rPr>
  </w:style>
  <w:style w:type="character" w:styleId="731">
    <w:name w:val="日期 字符"/>
    <w:next w:val="731"/>
    <w:link w:val="730"/>
    <w:rPr>
      <w:rFonts w:ascii="Times New Roman" w:hAnsi="Times New Roman" w:eastAsia="宋体" w:cs="Times New Roman"/>
      <w:sz w:val="24"/>
      <w:szCs w:val="24"/>
    </w:rPr>
  </w:style>
  <w:style w:type="paragraph" w:styleId="732">
    <w:name w:val="正文文本缩进 2"/>
    <w:basedOn w:val="687"/>
    <w:next w:val="732"/>
    <w:link w:val="733"/>
    <w:pPr>
      <w:ind w:left="630" w:firstLine="645"/>
    </w:pPr>
    <w:rPr>
      <w:rFonts w:ascii="Arial" w:hAnsi="Arial" w:eastAsia="仿宋_GB2312" w:cs="Arial"/>
      <w:sz w:val="32"/>
      <w:szCs w:val="32"/>
    </w:rPr>
  </w:style>
  <w:style w:type="character" w:styleId="733">
    <w:name w:val="正文文本缩进 2 字符"/>
    <w:next w:val="733"/>
    <w:link w:val="732"/>
    <w:rPr>
      <w:rFonts w:ascii="Arial" w:hAnsi="Arial" w:eastAsia="仿宋_GB2312" w:cs="Arial"/>
      <w:sz w:val="32"/>
      <w:szCs w:val="32"/>
    </w:rPr>
  </w:style>
  <w:style w:type="paragraph" w:styleId="734">
    <w:name w:val="批注框文本"/>
    <w:basedOn w:val="687"/>
    <w:next w:val="734"/>
    <w:link w:val="735"/>
    <w:semiHidden/>
    <w:rPr>
      <w:rFonts w:ascii="Times New Roman" w:hAnsi="Times New Roman" w:eastAsia="宋体" w:cs="Times New Roman"/>
      <w:sz w:val="18"/>
      <w:szCs w:val="18"/>
    </w:rPr>
  </w:style>
  <w:style w:type="character" w:styleId="735">
    <w:name w:val="批注框文本 字符"/>
    <w:next w:val="735"/>
    <w:link w:val="734"/>
    <w:semiHidden/>
    <w:rPr>
      <w:rFonts w:ascii="Times New Roman" w:hAnsi="Times New Roman" w:eastAsia="宋体" w:cs="Times New Roman"/>
      <w:sz w:val="18"/>
      <w:szCs w:val="18"/>
    </w:rPr>
  </w:style>
  <w:style w:type="paragraph" w:styleId="736">
    <w:name w:val="页脚"/>
    <w:basedOn w:val="687"/>
    <w:next w:val="738"/>
    <w:link w:val="73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7">
    <w:name w:val="页脚 字符"/>
    <w:next w:val="737"/>
    <w:link w:val="736"/>
    <w:uiPriority w:val="99"/>
    <w:rPr>
      <w:rFonts w:ascii="Times New Roman" w:hAnsi="Times New Roman" w:eastAsia="宋体" w:cs="Times New Roman"/>
      <w:sz w:val="18"/>
      <w:szCs w:val="18"/>
    </w:rPr>
  </w:style>
  <w:style w:type="paragraph" w:styleId="738">
    <w:name w:val="TOC Heading1"/>
    <w:next w:val="687"/>
    <w:link w:val="687"/>
    <w:qFormat/>
    <w:rPr>
      <w:sz w:val="32"/>
      <w:lang w:val="en-US" w:eastAsia="zh-CN" w:bidi="ar-SA"/>
    </w:rPr>
  </w:style>
  <w:style w:type="paragraph" w:styleId="739">
    <w:name w:val="页眉"/>
    <w:basedOn w:val="687"/>
    <w:next w:val="739"/>
    <w:link w:val="7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0">
    <w:name w:val="页眉 字符"/>
    <w:next w:val="740"/>
    <w:link w:val="739"/>
    <w:rPr>
      <w:rFonts w:ascii="Times New Roman" w:hAnsi="Times New Roman" w:eastAsia="宋体" w:cs="Times New Roman"/>
      <w:sz w:val="18"/>
      <w:szCs w:val="18"/>
    </w:rPr>
  </w:style>
  <w:style w:type="paragraph" w:styleId="741">
    <w:name w:val="toc 1"/>
    <w:basedOn w:val="687"/>
    <w:next w:val="687"/>
    <w:link w:val="68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2">
    <w:name w:val="toc 4"/>
    <w:basedOn w:val="687"/>
    <w:next w:val="687"/>
    <w:link w:val="687"/>
    <w:semiHidden/>
    <w:pPr>
      <w:ind w:left="630"/>
      <w:jc w:val="left"/>
    </w:pPr>
    <w:rPr>
      <w:rFonts w:ascii="Times New Roman" w:hAnsi="Times New Roman" w:eastAsia="宋体" w:cs="Times New Roman"/>
      <w:szCs w:val="21"/>
    </w:rPr>
  </w:style>
  <w:style w:type="paragraph" w:styleId="743">
    <w:name w:val="列表"/>
    <w:basedOn w:val="687"/>
    <w:next w:val="743"/>
    <w:link w:val="687"/>
    <w:pPr>
      <w:ind w:left="200" w:hanging="200"/>
    </w:pPr>
    <w:rPr>
      <w:rFonts w:ascii="Times New Roman" w:hAnsi="Times New Roman" w:eastAsia="宋体" w:cs="Times New Roman"/>
      <w:szCs w:val="21"/>
    </w:rPr>
  </w:style>
  <w:style w:type="paragraph" w:styleId="744">
    <w:name w:val="toc 6"/>
    <w:basedOn w:val="687"/>
    <w:next w:val="687"/>
    <w:link w:val="687"/>
    <w:semiHidden/>
    <w:pPr>
      <w:ind w:left="1050"/>
      <w:jc w:val="left"/>
    </w:pPr>
    <w:rPr>
      <w:rFonts w:ascii="Times New Roman" w:hAnsi="Times New Roman" w:eastAsia="宋体" w:cs="Times New Roman"/>
      <w:szCs w:val="21"/>
    </w:rPr>
  </w:style>
  <w:style w:type="paragraph" w:styleId="745">
    <w:name w:val="正文文本缩进 3"/>
    <w:basedOn w:val="687"/>
    <w:next w:val="745"/>
    <w:link w:val="746"/>
    <w:pPr>
      <w:ind w:left="645" w:firstLine="645"/>
    </w:pPr>
    <w:rPr>
      <w:rFonts w:ascii="Arial" w:hAnsi="Arial" w:eastAsia="仿宋_GB2312" w:cs="Arial"/>
      <w:color w:val="ffff00"/>
      <w:sz w:val="32"/>
      <w:szCs w:val="32"/>
    </w:rPr>
  </w:style>
  <w:style w:type="character" w:styleId="746">
    <w:name w:val="正文文本缩进 3 字符"/>
    <w:next w:val="746"/>
    <w:link w:val="745"/>
    <w:rPr>
      <w:rFonts w:ascii="Arial" w:hAnsi="Arial" w:eastAsia="仿宋_GB2312" w:cs="Arial"/>
      <w:color w:val="ffff00"/>
      <w:sz w:val="32"/>
      <w:szCs w:val="32"/>
    </w:rPr>
  </w:style>
  <w:style w:type="paragraph" w:styleId="747">
    <w:name w:val="图表目录"/>
    <w:basedOn w:val="687"/>
    <w:next w:val="687"/>
    <w:link w:val="687"/>
    <w:semiHidden/>
    <w:pPr>
      <w:ind w:left="840" w:hanging="420"/>
    </w:pPr>
    <w:rPr>
      <w:rFonts w:ascii="Times New Roman" w:hAnsi="Times New Roman" w:eastAsia="宋体" w:cs="Times New Roman"/>
      <w:szCs w:val="21"/>
    </w:rPr>
  </w:style>
  <w:style w:type="paragraph" w:styleId="748">
    <w:name w:val="toc 2"/>
    <w:basedOn w:val="687"/>
    <w:next w:val="687"/>
    <w:link w:val="687"/>
    <w:semiHidden/>
    <w:pPr>
      <w:ind w:left="210"/>
      <w:jc w:val="left"/>
    </w:pPr>
    <w:rPr>
      <w:rFonts w:ascii="Times New Roman" w:hAnsi="Times New Roman" w:eastAsia="宋体" w:cs="Times New Roman"/>
      <w:smallCaps/>
      <w:szCs w:val="24"/>
    </w:rPr>
  </w:style>
  <w:style w:type="paragraph" w:styleId="749">
    <w:name w:val="toc 9"/>
    <w:basedOn w:val="687"/>
    <w:next w:val="687"/>
    <w:link w:val="687"/>
    <w:semiHidden/>
    <w:pPr>
      <w:ind w:left="1680"/>
      <w:jc w:val="left"/>
    </w:pPr>
    <w:rPr>
      <w:rFonts w:ascii="Times New Roman" w:hAnsi="Times New Roman" w:eastAsia="宋体" w:cs="Times New Roman"/>
      <w:szCs w:val="21"/>
    </w:rPr>
  </w:style>
  <w:style w:type="paragraph" w:styleId="750">
    <w:name w:val="正文文本 2"/>
    <w:basedOn w:val="687"/>
    <w:next w:val="750"/>
    <w:link w:val="751"/>
    <w:pPr>
      <w:jc w:val="center"/>
      <w:widowControl/>
    </w:pPr>
    <w:rPr>
      <w:rFonts w:ascii="楷体_GB2312" w:hAnsi="Times New Roman" w:eastAsia="楷体_GB2312" w:cs="Times New Roman"/>
      <w:sz w:val="28"/>
      <w:szCs w:val="28"/>
    </w:rPr>
  </w:style>
  <w:style w:type="character" w:styleId="751">
    <w:name w:val="正文文本 2 字符"/>
    <w:next w:val="751"/>
    <w:link w:val="750"/>
    <w:rPr>
      <w:rFonts w:ascii="楷体_GB2312" w:hAnsi="Times New Roman" w:eastAsia="楷体_GB2312" w:cs="Times New Roman"/>
      <w:sz w:val="28"/>
      <w:szCs w:val="28"/>
    </w:rPr>
  </w:style>
  <w:style w:type="paragraph" w:styleId="752">
    <w:name w:val="普通(网站)"/>
    <w:basedOn w:val="687"/>
    <w:next w:val="752"/>
    <w:link w:val="687"/>
    <w:uiPriority w:val="99"/>
    <w:pPr>
      <w:jc w:val="left"/>
      <w:spacing w:before="100" w:beforeAutospacing="1" w:after="100" w:afterAutospacing="1"/>
      <w:widowControl/>
    </w:pPr>
    <w:rPr>
      <w:rFonts w:ascii="宋体" w:hAnsi="宋体" w:eastAsia="宋体" w:cs="宋体"/>
      <w:sz w:val="24"/>
      <w:szCs w:val="24"/>
    </w:rPr>
  </w:style>
  <w:style w:type="paragraph" w:styleId="753">
    <w:name w:val="索引 1"/>
    <w:basedOn w:val="687"/>
    <w:next w:val="687"/>
    <w:link w:val="687"/>
    <w:semiHidden/>
    <w:pPr>
      <w:spacing w:line="240" w:lineRule="atLeast"/>
    </w:pPr>
    <w:rPr>
      <w:rFonts w:ascii="Times New Roman" w:hAnsi="Times New Roman" w:eastAsia="宋体" w:cs="Times New Roman"/>
      <w:b/>
      <w:bCs/>
      <w:szCs w:val="21"/>
    </w:rPr>
  </w:style>
  <w:style w:type="paragraph" w:styleId="754">
    <w:name w:val="批注主题"/>
    <w:basedOn w:val="715"/>
    <w:next w:val="715"/>
    <w:link w:val="755"/>
    <w:semiHidden/>
    <w:rPr>
      <w:rFonts w:ascii="Times New Roman" w:hAnsi="Times New Roman" w:eastAsia="宋体" w:cs="Times New Roman"/>
      <w:b/>
      <w:bCs/>
      <w:szCs w:val="21"/>
    </w:rPr>
  </w:style>
  <w:style w:type="character" w:styleId="755">
    <w:name w:val="批注主题 字符"/>
    <w:next w:val="755"/>
    <w:link w:val="754"/>
    <w:semiHidden/>
    <w:rPr>
      <w:rFonts w:ascii="Times New Roman" w:hAnsi="Times New Roman" w:eastAsia="宋体" w:cs="Times New Roman"/>
      <w:b/>
      <w:bCs/>
      <w:szCs w:val="21"/>
    </w:rPr>
  </w:style>
  <w:style w:type="paragraph" w:styleId="756">
    <w:name w:val="正文文本首行缩进"/>
    <w:basedOn w:val="687"/>
    <w:next w:val="756"/>
    <w:link w:val="757"/>
    <w:pPr>
      <w:ind w:firstLine="200"/>
      <w:spacing w:line="360" w:lineRule="auto"/>
    </w:pPr>
    <w:rPr>
      <w:rFonts w:ascii="仿宋_GB2312" w:hAnsi="Times New Roman" w:eastAsia="仿宋_GB2312" w:cs="Times New Roman"/>
      <w:sz w:val="30"/>
      <w:szCs w:val="30"/>
    </w:rPr>
  </w:style>
  <w:style w:type="character" w:styleId="757">
    <w:name w:val="正文文本首行缩进 字符"/>
    <w:next w:val="757"/>
    <w:link w:val="756"/>
    <w:rPr>
      <w:rFonts w:ascii="仿宋_GB2312" w:hAnsi="Times New Roman" w:eastAsia="仿宋_GB2312" w:cs="Times New Roman"/>
      <w:sz w:val="30"/>
      <w:szCs w:val="30"/>
    </w:rPr>
  </w:style>
  <w:style w:type="paragraph" w:styleId="758">
    <w:name w:val="正文文本首行缩进 2"/>
    <w:basedOn w:val="721"/>
    <w:next w:val="687"/>
    <w:link w:val="759"/>
    <w:pPr>
      <w:ind w:left="0" w:firstLine="420"/>
      <w:spacing w:after="0" w:line="360" w:lineRule="auto"/>
    </w:pPr>
    <w:rPr>
      <w:rFonts w:ascii="宋体" w:hAnsi="宋体" w:eastAsia="宋体" w:cs="Times New Roman"/>
      <w:szCs w:val="20"/>
    </w:rPr>
  </w:style>
  <w:style w:type="character" w:styleId="759">
    <w:name w:val="正文文本首行缩进 2 字符"/>
    <w:next w:val="759"/>
    <w:link w:val="758"/>
    <w:rPr>
      <w:rFonts w:ascii="宋体" w:hAnsi="宋体" w:eastAsia="宋体" w:cs="Times New Roman"/>
      <w:szCs w:val="20"/>
    </w:rPr>
  </w:style>
  <w:style w:type="table" w:styleId="760">
    <w:name w:val="网格型"/>
    <w:basedOn w:val="698"/>
    <w:next w:val="760"/>
    <w:link w:val="687"/>
    <w:pPr>
      <w:jc w:val="both"/>
      <w:widowControl w:val="off"/>
    </w:pPr>
    <w:rPr>
      <w:rFonts w:ascii="Times New Roman" w:hAnsi="Times New Roman" w:eastAsia="宋体" w:cs="Times New Roman"/>
      <w:sz w:val="20"/>
      <w:szCs w:val="20"/>
    </w:rPr>
    <w:tblPr/>
  </w:style>
  <w:style w:type="character" w:styleId="761">
    <w:name w:val="要点"/>
    <w:next w:val="761"/>
    <w:link w:val="687"/>
    <w:qFormat/>
    <w:rPr>
      <w:b/>
      <w:bCs/>
    </w:rPr>
  </w:style>
  <w:style w:type="character" w:styleId="762">
    <w:name w:val="页码"/>
    <w:next w:val="762"/>
    <w:link w:val="687"/>
  </w:style>
  <w:style w:type="character" w:styleId="763">
    <w:name w:val="访问过的超链接"/>
    <w:next w:val="763"/>
    <w:link w:val="687"/>
    <w:rPr>
      <w:color w:val="800080"/>
      <w:u w:val="single"/>
    </w:rPr>
  </w:style>
  <w:style w:type="character" w:styleId="764">
    <w:name w:val="超链接"/>
    <w:next w:val="764"/>
    <w:link w:val="687"/>
    <w:rPr>
      <w:color w:val="0000ff"/>
      <w:u w:val="single"/>
    </w:rPr>
  </w:style>
  <w:style w:type="character" w:styleId="765">
    <w:name w:val="批注引用"/>
    <w:next w:val="765"/>
    <w:link w:val="687"/>
    <w:semiHidden/>
    <w:rPr>
      <w:sz w:val="21"/>
      <w:szCs w:val="21"/>
    </w:rPr>
  </w:style>
  <w:style w:type="paragraph" w:styleId="766">
    <w:name w:val="正文1"/>
    <w:basedOn w:val="767"/>
    <w:next w:val="687"/>
    <w:link w:val="687"/>
    <w:qFormat/>
    <w:pPr>
      <w:ind w:left="420" w:firstLine="527"/>
      <w:spacing w:before="120" w:line="360" w:lineRule="auto"/>
      <w:tabs>
        <w:tab w:val="left" w:pos="5250" w:leader="none"/>
      </w:tabs>
    </w:pPr>
    <w:rPr>
      <w:rFonts w:ascii="宋体" w:hAnsi="宋体"/>
    </w:rPr>
  </w:style>
  <w:style w:type="paragraph" w:styleId="767">
    <w:name w:val="正文文本11"/>
    <w:basedOn w:val="687"/>
    <w:next w:val="767"/>
    <w:link w:val="687"/>
    <w:rPr>
      <w:rFonts w:ascii="楷体_GB2312" w:hAnsi="Arial" w:eastAsia="楷体_GB2312" w:cs="Times New Roman"/>
      <w:sz w:val="28"/>
      <w:szCs w:val="28"/>
    </w:rPr>
  </w:style>
  <w:style w:type="paragraph" w:styleId="768">
    <w:name w:val="首行缩进"/>
    <w:basedOn w:val="687"/>
    <w:next w:val="768"/>
    <w:link w:val="687"/>
    <w:qFormat/>
    <w:pPr>
      <w:ind w:firstLine="480"/>
      <w:jc w:val="left"/>
      <w:widowControl/>
    </w:pPr>
    <w:rPr>
      <w:sz w:val="24"/>
      <w:szCs w:val="20"/>
      <w:lang w:val="zh-CN"/>
    </w:rPr>
  </w:style>
  <w:style w:type="paragraph" w:styleId="769">
    <w:name w:val="段"/>
    <w:basedOn w:val="770"/>
    <w:next w:val="687"/>
    <w:link w:val="687"/>
    <w:qFormat/>
    <w:pPr>
      <w:ind w:firstLine="200"/>
      <w:jc w:val="both"/>
    </w:pPr>
    <w:rPr>
      <w:rFonts w:ascii="宋体" w:hAnsi="Calibri"/>
      <w:sz w:val="21"/>
      <w:lang w:val="en-US" w:eastAsia="zh-CN" w:bidi="ar-SA"/>
    </w:rPr>
  </w:style>
  <w:style w:type="paragraph" w:styleId="770">
    <w:name w:val="正文_6"/>
    <w:next w:val="770"/>
    <w:link w:val="687"/>
    <w:qFormat/>
    <w:pPr>
      <w:jc w:val="both"/>
      <w:widowControl w:val="off"/>
    </w:pPr>
    <w:rPr>
      <w:rFonts w:ascii="Calibri" w:hAnsi="Calibri"/>
      <w:sz w:val="21"/>
      <w:szCs w:val="22"/>
      <w:lang w:val="en-US" w:eastAsia="zh-CN" w:bidi="ar-SA"/>
    </w:rPr>
  </w:style>
  <w:style w:type="character" w:styleId="771">
    <w:name w:val="font5 Char"/>
    <w:next w:val="771"/>
    <w:link w:val="687"/>
    <w:rPr>
      <w:rFonts w:ascii="宋体" w:hAnsi="宋体" w:eastAsia="宋体"/>
      <w:sz w:val="28"/>
      <w:szCs w:val="28"/>
      <w:lang w:val="en-US" w:eastAsia="zh-CN" w:bidi="ar-SA"/>
    </w:rPr>
  </w:style>
  <w:style w:type="character" w:styleId="772">
    <w:name w:val="二级目录 Char"/>
    <w:next w:val="772"/>
    <w:link w:val="773"/>
    <w:rPr>
      <w:b/>
      <w:sz w:val="30"/>
      <w:szCs w:val="28"/>
    </w:rPr>
  </w:style>
  <w:style w:type="paragraph" w:styleId="773">
    <w:name w:val="二级目录"/>
    <w:next w:val="687"/>
    <w:link w:val="772"/>
    <w:pPr>
      <w:numPr>
        <w:ilvl w:val="0"/>
        <w:numId w:val="2"/>
      </w:numPr>
      <w:tabs>
        <w:tab w:val="left" w:pos="907" w:leader="none"/>
        <w:tab w:val="left" w:pos="1145" w:leader="none"/>
      </w:tabs>
      <w:outlineLvl w:val="1"/>
    </w:pPr>
    <w:rPr>
      <w:b/>
      <w:sz w:val="30"/>
      <w:szCs w:val="28"/>
      <w:lang w:val="en-US" w:eastAsia="zh-CN" w:bidi="ar-SA"/>
    </w:rPr>
  </w:style>
  <w:style w:type="character" w:styleId="774">
    <w:name w:val="列出段落 Char,Bullet List Char,numbered Char,FooterText Char,List Paragraph1 Char,Paragraphe de liste1 Char"/>
    <w:next w:val="774"/>
    <w:link w:val="775"/>
    <w:rPr>
      <w:rFonts w:ascii="Calibri" w:hAnsi="Calibri"/>
      <w:sz w:val="24"/>
      <w:szCs w:val="24"/>
      <w:lang w:eastAsia="en-US" w:bidi="en-US"/>
    </w:rPr>
  </w:style>
  <w:style w:type="paragraph" w:styleId="775">
    <w:name w:val="列出段落1"/>
    <w:basedOn w:val="687"/>
    <w:next w:val="775"/>
    <w:link w:val="774"/>
    <w:qFormat/>
    <w:pPr>
      <w:contextualSpacing/>
      <w:ind w:left="720"/>
      <w:jc w:val="left"/>
      <w:widowControl/>
    </w:pPr>
    <w:rPr>
      <w:rFonts w:ascii="Calibri" w:hAnsi="Calibri"/>
      <w:sz w:val="24"/>
      <w:szCs w:val="24"/>
      <w:lang w:eastAsia="en-US" w:bidi="en-US"/>
    </w:rPr>
  </w:style>
  <w:style w:type="paragraph" w:styleId="776">
    <w:name w:val="Body Text(ch)"/>
    <w:basedOn w:val="687"/>
    <w:next w:val="719"/>
    <w:link w:val="687"/>
    <w:pPr>
      <w:spacing w:after="120"/>
    </w:pPr>
    <w:rPr>
      <w:rFonts w:ascii="宋体" w:hAnsi="Arial" w:eastAsia="宋体" w:cs="Times New Roman"/>
      <w:bCs/>
      <w:iCs/>
      <w:szCs w:val="24"/>
    </w:rPr>
  </w:style>
  <w:style w:type="paragraph" w:styleId="777">
    <w:name w:val="xl27"/>
    <w:basedOn w:val="687"/>
    <w:next w:val="777"/>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xl26"/>
    <w:basedOn w:val="687"/>
    <w:next w:val="778"/>
    <w:link w:val="6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Char"/>
    <w:basedOn w:val="687"/>
    <w:next w:val="779"/>
    <w:link w:val="687"/>
    <w:pPr>
      <w:ind w:firstLine="200"/>
      <w:tabs>
        <w:tab w:val="left" w:pos="360" w:leader="none"/>
      </w:tabs>
    </w:pPr>
    <w:rPr>
      <w:rFonts w:ascii="Times New Roman" w:hAnsi="Times New Roman" w:eastAsia="宋体" w:cs="Times New Roman"/>
      <w:sz w:val="28"/>
      <w:szCs w:val="30"/>
    </w:rPr>
  </w:style>
  <w:style w:type="paragraph" w:styleId="780">
    <w:name w:val=" Char"/>
    <w:basedOn w:val="713"/>
    <w:next w:val="780"/>
    <w:link w:val="687"/>
    <w:rPr>
      <w:rFonts w:ascii="Tahoma" w:hAnsi="Tahoma"/>
      <w:sz w:val="24"/>
      <w:szCs w:val="24"/>
    </w:rPr>
  </w:style>
  <w:style w:type="paragraph" w:styleId="781">
    <w:name w:val="普通正文"/>
    <w:basedOn w:val="687"/>
    <w:next w:val="781"/>
    <w:link w:val="687"/>
    <w:pPr>
      <w:ind w:firstLine="480"/>
      <w:jc w:val="left"/>
      <w:spacing w:before="120" w:after="120" w:line="360" w:lineRule="auto"/>
    </w:pPr>
    <w:rPr>
      <w:rFonts w:ascii="Arial" w:hAnsi="Arial" w:eastAsia="宋体" w:cs="Times New Roman"/>
      <w:sz w:val="24"/>
      <w:szCs w:val="24"/>
    </w:rPr>
  </w:style>
  <w:style w:type="paragraph" w:styleId="782">
    <w:name w:val="table_lines"/>
    <w:basedOn w:val="687"/>
    <w:next w:val="782"/>
    <w:link w:val="687"/>
    <w:pPr>
      <w:jc w:val="left"/>
      <w:widowControl/>
    </w:pPr>
    <w:rPr>
      <w:rFonts w:ascii="Times New Roman" w:hAnsi="Times New Roman" w:eastAsia="宋体" w:cs="Times New Roman"/>
      <w:sz w:val="20"/>
      <w:szCs w:val="20"/>
      <w:lang w:val="de-DE" w:eastAsia="de-DE"/>
    </w:rPr>
  </w:style>
  <w:style w:type="paragraph" w:styleId="783">
    <w:name w:val="附录1"/>
    <w:next w:val="783"/>
    <w:link w:val="687"/>
    <w:pPr>
      <w:numPr>
        <w:ilvl w:val="0"/>
        <w:numId w:val="2"/>
      </w:numPr>
      <w:spacing w:before="240" w:line="600" w:lineRule="atLeast"/>
      <w:tabs>
        <w:tab w:val="left" w:pos="907" w:leader="none"/>
      </w:tabs>
    </w:pPr>
    <w:rPr>
      <w:b/>
      <w:i/>
      <w:sz w:val="28"/>
      <w:lang w:val="en-US" w:eastAsia="zh-CN" w:bidi="ar-SA"/>
    </w:rPr>
  </w:style>
  <w:style w:type="paragraph" w:styleId="784">
    <w:name w:val="font7"/>
    <w:basedOn w:val="687"/>
    <w:next w:val="784"/>
    <w:link w:val="687"/>
    <w:pPr>
      <w:jc w:val="left"/>
      <w:spacing w:before="100" w:beforeAutospacing="1" w:after="100" w:afterAutospacing="1"/>
      <w:widowControl/>
    </w:pPr>
    <w:rPr>
      <w:rFonts w:hint="eastAsia" w:ascii="宋体" w:hAnsi="宋体" w:eastAsia="宋体" w:cs="Times New Roman"/>
      <w:sz w:val="18"/>
      <w:szCs w:val="18"/>
    </w:rPr>
  </w:style>
  <w:style w:type="paragraph" w:styleId="785">
    <w:name w:val=" Char Char Char Char"/>
    <w:basedOn w:val="713"/>
    <w:next w:val="785"/>
    <w:link w:val="687"/>
    <w:pPr>
      <w:spacing w:line="360" w:lineRule="auto"/>
    </w:pPr>
    <w:rPr>
      <w:rFonts w:ascii="Tahoma" w:hAnsi="Tahoma"/>
      <w:sz w:val="24"/>
      <w:szCs w:val="24"/>
    </w:rPr>
  </w:style>
  <w:style w:type="paragraph" w:styleId="786">
    <w:name w:val="列表段落"/>
    <w:basedOn w:val="687"/>
    <w:next w:val="786"/>
    <w:link w:val="687"/>
    <w:qFormat/>
    <w:pPr>
      <w:contextualSpacing/>
      <w:ind w:left="720"/>
      <w:jc w:val="left"/>
      <w:widowControl/>
    </w:pPr>
    <w:rPr>
      <w:rFonts w:ascii="Calibri" w:hAnsi="Calibri" w:eastAsia="宋体" w:cs="Times New Roman"/>
      <w:sz w:val="24"/>
      <w:szCs w:val="24"/>
      <w:lang w:eastAsia="en-US" w:bidi="en-US"/>
    </w:rPr>
  </w:style>
  <w:style w:type="paragraph" w:styleId="787">
    <w:name w:val="4"/>
    <w:basedOn w:val="687"/>
    <w:next w:val="745"/>
    <w:link w:val="687"/>
    <w:pPr>
      <w:ind w:firstLine="420"/>
      <w:spacing w:line="360" w:lineRule="auto"/>
    </w:pPr>
    <w:rPr>
      <w:rFonts w:ascii="Times New Roman" w:hAnsi="Times New Roman" w:eastAsia="宋体" w:cs="Times New Roman"/>
      <w:color w:val="ff0000"/>
      <w:sz w:val="24"/>
      <w:szCs w:val="24"/>
    </w:rPr>
  </w:style>
  <w:style w:type="paragraph" w:styleId="788">
    <w:name w:val="普通 (Web)"/>
    <w:basedOn w:val="687"/>
    <w:next w:val="788"/>
    <w:link w:val="687"/>
    <w:pPr>
      <w:jc w:val="left"/>
      <w:spacing w:before="100" w:beforeAutospacing="1" w:after="100" w:afterAutospacing="1"/>
      <w:widowControl/>
    </w:pPr>
    <w:rPr>
      <w:rFonts w:ascii="宋体" w:hAnsi="宋体" w:eastAsia="宋体" w:cs="Times New Roman"/>
      <w:sz w:val="24"/>
      <w:szCs w:val="24"/>
    </w:rPr>
  </w:style>
  <w:style w:type="paragraph" w:styleId="789">
    <w:name w:val=" Char Char Char Char Char Char Char Char Char Char"/>
    <w:basedOn w:val="687"/>
    <w:next w:val="789"/>
    <w:link w:val="687"/>
    <w:pPr>
      <w:spacing w:line="360" w:lineRule="auto"/>
    </w:pPr>
    <w:rPr>
      <w:rFonts w:ascii="Times New Roman" w:hAnsi="Times New Roman" w:eastAsia="宋体" w:cs="Times New Roman"/>
      <w:sz w:val="24"/>
      <w:szCs w:val="20"/>
    </w:rPr>
  </w:style>
  <w:style w:type="paragraph" w:styleId="790">
    <w:name w:val="样式1"/>
    <w:basedOn w:val="687"/>
    <w:next w:val="790"/>
    <w:link w:val="687"/>
    <w:pPr>
      <w:numPr>
        <w:ilvl w:val="0"/>
        <w:numId w:val="3"/>
      </w:numPr>
      <w:tabs>
        <w:tab w:val="left" w:pos="709" w:leader="none"/>
      </w:tabs>
    </w:pPr>
    <w:rPr>
      <w:rFonts w:ascii="宋体" w:hAnsi="宋体" w:eastAsia="宋体" w:cs="Times New Roman"/>
      <w:szCs w:val="21"/>
    </w:rPr>
  </w:style>
  <w:style w:type="paragraph" w:styleId="791">
    <w:name w:val="font6"/>
    <w:basedOn w:val="687"/>
    <w:next w:val="791"/>
    <w:link w:val="687"/>
    <w:pPr>
      <w:jc w:val="left"/>
      <w:spacing w:before="100" w:beforeAutospacing="1" w:after="100" w:afterAutospacing="1"/>
      <w:widowControl/>
    </w:pPr>
    <w:rPr>
      <w:rFonts w:hint="eastAsia" w:ascii="宋体" w:hAnsi="宋体" w:eastAsia="宋体" w:cs="Times New Roman"/>
      <w:sz w:val="28"/>
      <w:szCs w:val="28"/>
      <w:u w:val="single"/>
    </w:rPr>
  </w:style>
  <w:style w:type="paragraph" w:styleId="792">
    <w:name w:val="xl25"/>
    <w:basedOn w:val="687"/>
    <w:next w:val="792"/>
    <w:link w:val="6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name w:val="图标"/>
    <w:basedOn w:val="687"/>
    <w:next w:val="687"/>
    <w:link w:val="68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4">
    <w:name w:val="标题3"/>
    <w:basedOn w:val="687"/>
    <w:next w:val="687"/>
    <w:link w:val="687"/>
    <w:pPr>
      <w:ind w:firstLine="624"/>
      <w:spacing w:line="590" w:lineRule="atLeast"/>
    </w:pPr>
    <w:rPr>
      <w:rFonts w:ascii="方正黑体_GBK" w:hAnsi="Times New Roman" w:eastAsia="方正黑体_GBK" w:cs="Times New Roman"/>
      <w:sz w:val="32"/>
      <w:szCs w:val="32"/>
    </w:rPr>
  </w:style>
  <w:style w:type="paragraph" w:styleId="795">
    <w:name w:val="xl24"/>
    <w:basedOn w:val="687"/>
    <w:next w:val="795"/>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6">
    <w:name w:val="xl29"/>
    <w:basedOn w:val="687"/>
    <w:next w:val="796"/>
    <w:link w:val="68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7">
    <w:name w:val="Char Char Char Char Char Char Char Char"/>
    <w:basedOn w:val="687"/>
    <w:next w:val="797"/>
    <w:link w:val="687"/>
    <w:pPr>
      <w:jc w:val="left"/>
      <w:spacing w:after="160" w:line="240" w:lineRule="exact"/>
      <w:widowControl/>
    </w:pPr>
    <w:rPr>
      <w:rFonts w:ascii="Verdana" w:hAnsi="Verdana" w:eastAsia="宋体" w:cs="Times New Roman"/>
      <w:sz w:val="20"/>
      <w:szCs w:val="20"/>
      <w:lang w:eastAsia="en-US"/>
    </w:rPr>
  </w:style>
  <w:style w:type="paragraph" w:styleId="798">
    <w:name w:val="xl28"/>
    <w:basedOn w:val="687"/>
    <w:next w:val="798"/>
    <w:link w:val="6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9">
    <w:name w:val=" Char Char Char Char Char Char Char Char"/>
    <w:basedOn w:val="687"/>
    <w:next w:val="799"/>
    <w:link w:val="687"/>
    <w:pPr>
      <w:jc w:val="left"/>
      <w:spacing w:after="160" w:line="240" w:lineRule="exact"/>
      <w:widowControl/>
    </w:pPr>
    <w:rPr>
      <w:rFonts w:ascii="Verdana" w:hAnsi="Verdana" w:eastAsia="宋体" w:cs="Times New Roman"/>
      <w:sz w:val="20"/>
      <w:szCs w:val="20"/>
      <w:lang w:eastAsia="en-US"/>
    </w:rPr>
  </w:style>
  <w:style w:type="paragraph" w:styleId="800">
    <w:name w:val="xl30"/>
    <w:basedOn w:val="687"/>
    <w:next w:val="800"/>
    <w:link w:val="687"/>
    <w:pPr>
      <w:jc w:val="center"/>
      <w:spacing w:before="100" w:beforeAutospacing="1" w:after="100" w:afterAutospacing="1"/>
      <w:widowControl/>
    </w:pPr>
    <w:rPr>
      <w:rFonts w:ascii="宋体" w:hAnsi="宋体" w:eastAsia="宋体" w:cs="Times New Roman"/>
      <w:b/>
      <w:bCs/>
      <w:sz w:val="36"/>
      <w:szCs w:val="36"/>
    </w:rPr>
  </w:style>
  <w:style w:type="paragraph" w:styleId="801">
    <w:name w:val="Char Char Char Char"/>
    <w:basedOn w:val="713"/>
    <w:next w:val="801"/>
    <w:link w:val="687"/>
    <w:pPr>
      <w:spacing w:line="360" w:lineRule="auto"/>
    </w:pPr>
    <w:rPr>
      <w:rFonts w:ascii="Tahoma" w:hAnsi="Tahoma"/>
      <w:sz w:val="24"/>
      <w:szCs w:val="24"/>
    </w:rPr>
  </w:style>
  <w:style w:type="paragraph" w:styleId="802">
    <w:name w:val="table_1stline"/>
    <w:basedOn w:val="687"/>
    <w:next w:val="802"/>
    <w:link w:val="687"/>
    <w:pPr>
      <w:jc w:val="left"/>
      <w:spacing w:before="120"/>
      <w:widowControl/>
    </w:pPr>
    <w:rPr>
      <w:rFonts w:ascii="Times New Roman" w:hAnsi="Times New Roman" w:eastAsia="宋体" w:cs="Times New Roman"/>
      <w:bCs/>
      <w:sz w:val="20"/>
      <w:szCs w:val="20"/>
      <w:lang w:val="de-DE" w:eastAsia="de-DE"/>
    </w:rPr>
  </w:style>
  <w:style w:type="paragraph" w:styleId="803">
    <w:name w:val="font5"/>
    <w:basedOn w:val="687"/>
    <w:next w:val="803"/>
    <w:link w:val="687"/>
    <w:pPr>
      <w:jc w:val="left"/>
      <w:spacing w:before="100" w:beforeAutospacing="1" w:after="100" w:afterAutospacing="1"/>
      <w:widowControl/>
    </w:pPr>
    <w:rPr>
      <w:rFonts w:hint="eastAsia" w:ascii="宋体" w:hAnsi="宋体" w:eastAsia="宋体" w:cs="Times New Roman"/>
      <w:sz w:val="28"/>
      <w:szCs w:val="28"/>
    </w:rPr>
  </w:style>
  <w:style w:type="paragraph" w:styleId="804">
    <w:name w:val="标题1"/>
    <w:basedOn w:val="687"/>
    <w:next w:val="687"/>
    <w:link w:val="68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5">
    <w:name w:val="修订"/>
    <w:next w:val="805"/>
    <w:link w:val="687"/>
    <w:uiPriority w:val="99"/>
    <w:semiHidden/>
    <w:rPr>
      <w:sz w:val="21"/>
      <w:szCs w:val="21"/>
      <w:lang w:val="en-US" w:eastAsia="zh-CN" w:bidi="ar-SA"/>
    </w:rPr>
  </w:style>
  <w:style w:type="paragraph" w:styleId="806">
    <w:name w:val="无间隔"/>
    <w:next w:val="806"/>
    <w:link w:val="687"/>
    <w:uiPriority w:val="99"/>
    <w:qFormat/>
    <w:pPr>
      <w:jc w:val="both"/>
      <w:widowControl w:val="off"/>
    </w:pPr>
    <w:rPr>
      <w:sz w:val="21"/>
      <w:szCs w:val="21"/>
      <w:lang w:val="en-US" w:eastAsia="zh-CN" w:bidi="ar-SA"/>
    </w:rPr>
  </w:style>
  <w:style w:type="paragraph" w:styleId="807">
    <w:name w:val="Body text|2"/>
    <w:basedOn w:val="687"/>
    <w:next w:val="807"/>
    <w:link w:val="687"/>
    <w:qFormat/>
    <w:pPr>
      <w:ind w:firstLine="540"/>
      <w:spacing w:line="487" w:lineRule="exact"/>
    </w:pPr>
    <w:rPr>
      <w:lang w:val="zh-TW" w:eastAsia="zh-TW" w:bidi="zh-TW"/>
    </w:rPr>
  </w:style>
  <w:style w:type="paragraph" w:styleId="808">
    <w:name w:val="纯文本5"/>
    <w:basedOn w:val="687"/>
    <w:next w:val="808"/>
    <w:link w:val="687"/>
    <w:qFormat/>
    <w:rPr>
      <w:rFonts w:ascii="宋体" w:hAnsi="Courier New" w:eastAsia="楷体_GB2312"/>
      <w:sz w:val="26"/>
    </w:rPr>
  </w:style>
  <w:style w:type="character" w:styleId="809">
    <w:name w:val="未处理的提及"/>
    <w:next w:val="809"/>
    <w:link w:val="687"/>
    <w:uiPriority w:val="99"/>
    <w:unhideWhenUsed/>
    <w:rPr>
      <w:color w:val="605e5c"/>
      <w:shd w:val="clear" w:color="auto" w:fill="e1dfdd"/>
    </w:rPr>
  </w:style>
  <w:style w:type="character" w:styleId="810">
    <w:name w:val="+正文 Char3"/>
    <w:next w:val="810"/>
    <w:link w:val="811"/>
    <w:qFormat/>
    <w:rPr>
      <w:rFonts w:ascii="宋体" w:hAnsi="宋体"/>
      <w:sz w:val="24"/>
      <w:szCs w:val="22"/>
    </w:rPr>
  </w:style>
  <w:style w:type="paragraph" w:styleId="811">
    <w:name w:val="+正文"/>
    <w:basedOn w:val="687"/>
    <w:next w:val="811"/>
    <w:link w:val="810"/>
    <w:qFormat/>
    <w:pPr>
      <w:ind w:firstLine="200"/>
      <w:spacing w:line="360" w:lineRule="auto"/>
    </w:pPr>
    <w:rPr>
      <w:rFonts w:ascii="宋体" w:hAnsi="宋体"/>
      <w:sz w:val="24"/>
      <w:szCs w:val="22"/>
    </w:rPr>
  </w:style>
  <w:style w:type="paragraph" w:styleId="812">
    <w:name w:val="正文首行缩进 21"/>
    <w:basedOn w:val="721"/>
    <w:next w:val="687"/>
    <w:link w:val="687"/>
    <w:qFormat/>
    <w:pPr>
      <w:ind w:firstLine="420"/>
      <w:spacing w:line="360" w:lineRule="auto"/>
    </w:pPr>
    <w:rPr>
      <w:rFonts w:ascii="宋体" w:hAnsi="宋体" w:eastAsia="宋体"/>
      <w:sz w:val="21"/>
      <w:szCs w:val="20"/>
    </w:rPr>
  </w:style>
  <w:style w:type="paragraph" w:styleId="813">
    <w:name w:val="_Style 13"/>
    <w:next w:val="813"/>
    <w:link w:val="687"/>
    <w:qFormat/>
    <w:pPr>
      <w:spacing w:before="120" w:after="120" w:line="288" w:lineRule="auto"/>
    </w:pPr>
    <w:rPr>
      <w:rFonts w:ascii="Arial" w:hAnsi="Arial" w:eastAsia="等线" w:cs="Arial"/>
      <w:sz w:val="22"/>
      <w:szCs w:val="22"/>
      <w:lang w:val="en-US" w:eastAsia="zh-CN" w:bidi="ar-SA"/>
    </w:rPr>
  </w:style>
  <w:style w:type="character" w:styleId="10561" w:default="1">
    <w:name w:val="Default Paragraph Font"/>
    <w:uiPriority w:val="1"/>
    <w:semiHidden/>
    <w:unhideWhenUsed/>
  </w:style>
  <w:style w:type="numbering" w:styleId="10562" w:default="1">
    <w:name w:val="No List"/>
    <w:uiPriority w:val="99"/>
    <w:semiHidden/>
    <w:unhideWhenUsed/>
  </w:style>
  <w:style w:type="table" w:styleId="105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5</cp:revision>
  <dcterms:created xsi:type="dcterms:W3CDTF">2026-07-17T02:09:00Z</dcterms:created>
  <dcterms:modified xsi:type="dcterms:W3CDTF">2026-07-31T08:32:16Z</dcterms:modified>
  <cp:version>1048576</cp:version>
</cp:coreProperties>
</file>