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60" w:lineRule="exact"/>
        <w:rPr>
          <w:rFonts w:ascii="仿宋_GB2312" w:hAnsi="仿宋_GB2312" w:eastAsia="仿宋_GB2312" w:cs="仿宋_GB2312"/>
          <w:b/>
          <w:sz w:val="32"/>
          <w:szCs w:val="32"/>
        </w:rPr>
      </w:pPr>
      <w:r>
        <w:rPr>
          <w:rFonts w:ascii="仿宋_GB2312" w:hAnsi="仿宋_GB2312" w:eastAsia="仿宋_GB2312" w:cs="仿宋_GB2312"/>
          <w:b/>
          <w:sz w:val="32"/>
          <w:szCs w:val="32"/>
        </w:rPr>
      </w:r>
      <w:r/>
    </w:p>
    <w:p>
      <w:pPr>
        <w:pStyle w:val="944"/>
      </w:pPr>
      <w:r/>
      <w:r/>
    </w:p>
    <w:p>
      <w:pPr>
        <w:pStyle w:val="945"/>
      </w:pPr>
      <w:r/>
      <w:r/>
    </w:p>
    <w:p>
      <w:pPr>
        <w:jc w:val="center"/>
        <w:spacing w:line="560" w:lineRule="exact"/>
        <w:rPr>
          <w:rFonts w:ascii="方正小标宋_GBK" w:hAnsi="方正小标宋_GBK" w:eastAsia="方正小标宋_GBK" w:cs="方正小标宋_GBK"/>
          <w:bCs/>
          <w:sz w:val="44"/>
          <w:szCs w:val="44"/>
        </w:rPr>
      </w:pPr>
      <w:r>
        <w:rPr>
          <w:rFonts w:hint="eastAsia" w:ascii="方正小标宋_GBK" w:hAnsi="方正小标宋_GBK" w:eastAsia="方正小标宋_GBK" w:cs="方正小标宋_GBK"/>
          <w:bCs/>
          <w:sz w:val="44"/>
          <w:szCs w:val="44"/>
        </w:rPr>
        <w:t xml:space="preserve">苏州市政府采购封闭式框架协议征集文件</w:t>
      </w:r>
      <w:r/>
    </w:p>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p>
      <w:pPr>
        <w:pStyle w:val="944"/>
        <w:rPr>
          <w:rFonts w:ascii="仿宋_GB2312" w:hAnsi="仿宋_GB2312" w:eastAsia="仿宋_GB2312" w:cs="仿宋_GB2312"/>
          <w:sz w:val="32"/>
          <w:szCs w:val="32"/>
        </w:rPr>
      </w:pPr>
      <w:r>
        <w:rPr>
          <w:rFonts w:ascii="仿宋_GB2312" w:hAnsi="仿宋_GB2312" w:eastAsia="仿宋_GB2312" w:cs="仿宋_GB2312"/>
          <w:sz w:val="32"/>
          <w:szCs w:val="32"/>
        </w:rPr>
      </w:r>
      <w:r/>
    </w:p>
    <w:p>
      <w:pPr>
        <w:pStyle w:val="945"/>
      </w:pPr>
      <w:r/>
      <w:r/>
    </w:p>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p>
      <w:pPr>
        <w:ind w:left="1934"/>
        <w:jc w:val="left"/>
        <w:spacing w:line="560" w:lineRule="exact"/>
        <w:widowControl/>
        <w:rPr>
          <w:rFonts w:ascii="仿宋_GB2312" w:hAnsi="仿宋_GB2312" w:eastAsia="仿宋_GB2312" w:cs="仿宋_GB2312"/>
          <w:b/>
          <w:sz w:val="32"/>
          <w:szCs w:val="32"/>
        </w:rPr>
      </w:pPr>
      <w:r>
        <w:rPr>
          <w:rFonts w:hint="eastAsia" w:ascii="黑体" w:hAnsi="黑体" w:eastAsia="黑体" w:cs="黑体"/>
          <w:bCs/>
          <w:sz w:val="32"/>
          <w:szCs w:val="32"/>
        </w:rPr>
        <w:t xml:space="preserve">项目编号</w:t>
      </w:r>
      <w:r>
        <w:rPr>
          <w:rFonts w:hint="eastAsia" w:ascii="仿宋_GB2312" w:hAnsi="仿宋_GB2312" w:eastAsia="仿宋_GB2312" w:cs="仿宋_GB2312"/>
          <w:b/>
          <w:sz w:val="32"/>
          <w:szCs w:val="32"/>
        </w:rPr>
        <w:t xml:space="preserve">：</w:t>
      </w:r>
      <w:r>
        <w:rPr>
          <w:rFonts w:ascii="仿宋_GB2312" w:hAnsi="仿宋_GB2312" w:eastAsia="仿宋_GB2312" w:cs="仿宋_GB2312"/>
          <w:b/>
          <w:sz w:val="32"/>
          <w:szCs w:val="32"/>
        </w:rPr>
        <w:t xml:space="preserve">JSZC-320500-JZCG-K2026-0239</w:t>
      </w:r>
      <w:r/>
    </w:p>
    <w:p>
      <w:pPr>
        <w:ind w:left="1934"/>
        <w:jc w:val="left"/>
        <w:spacing w:line="560" w:lineRule="exact"/>
        <w:widowControl/>
        <w:rPr>
          <w:rFonts w:ascii="仿宋_GB2312" w:hAnsi="仿宋_GB2312" w:eastAsia="仿宋_GB2312" w:cs="仿宋_GB2312"/>
          <w:b/>
          <w:sz w:val="32"/>
          <w:szCs w:val="32"/>
        </w:rPr>
      </w:pPr>
      <w:r>
        <w:rPr>
          <w:rFonts w:hint="eastAsia" w:ascii="黑体" w:hAnsi="黑体" w:eastAsia="黑体" w:cs="黑体"/>
          <w:bCs/>
          <w:sz w:val="32"/>
          <w:szCs w:val="32"/>
        </w:rPr>
        <w:t xml:space="preserve">征 集 人：</w:t>
      </w:r>
      <w:r>
        <w:rPr>
          <w:rFonts w:hint="eastAsia" w:ascii="仿宋_GB2312" w:hAnsi="仿宋_GB2312" w:eastAsia="仿宋_GB2312" w:cs="仿宋_GB2312"/>
          <w:bCs/>
          <w:sz w:val="32"/>
          <w:szCs w:val="32"/>
        </w:rPr>
        <w:t xml:space="preserve">苏州市财政局</w:t>
      </w:r>
      <w:r/>
    </w:p>
    <w:p>
      <w:pPr>
        <w:ind w:left="1934"/>
        <w:jc w:val="left"/>
        <w:spacing w:line="560" w:lineRule="exact"/>
        <w:widowControl/>
        <w:rPr>
          <w:rFonts w:ascii="仿宋_GB2312" w:hAnsi="仿宋_GB2312" w:eastAsia="仿宋_GB2312" w:cs="仿宋_GB2312"/>
          <w:bCs/>
          <w:sz w:val="32"/>
          <w:szCs w:val="32"/>
        </w:rPr>
      </w:pPr>
      <w:r>
        <w:rPr>
          <w:rFonts w:hint="eastAsia" w:ascii="黑体" w:hAnsi="黑体" w:eastAsia="黑体" w:cs="黑体"/>
          <w:bCs/>
          <w:sz w:val="32"/>
          <w:szCs w:val="32"/>
        </w:rPr>
        <w:t xml:space="preserve">项目名称：</w:t>
      </w:r>
      <w:r>
        <w:rPr>
          <w:rFonts w:hint="eastAsia" w:ascii="仿宋_GB2312" w:hAnsi="仿宋_GB2312" w:eastAsia="仿宋_GB2312" w:cs="仿宋_GB2312"/>
          <w:bCs/>
          <w:sz w:val="32"/>
          <w:szCs w:val="32"/>
        </w:rPr>
        <w:t xml:space="preserve">苏州市政策性农业保险承保机构遴选</w:t>
      </w:r>
      <w:r/>
    </w:p>
    <w:p>
      <w:pPr>
        <w:ind w:left="1934"/>
        <w:jc w:val="left"/>
        <w:spacing w:line="560" w:lineRule="exact"/>
        <w:widowControl/>
        <w:tabs>
          <w:tab w:val="center" w:pos="5786" w:leader="none"/>
        </w:tabs>
        <w:rPr>
          <w:rFonts w:ascii="仿宋_GB2312" w:hAnsi="仿宋_GB2312" w:eastAsia="仿宋_GB2312" w:cs="仿宋_GB2312"/>
          <w:b/>
          <w:sz w:val="32"/>
          <w:szCs w:val="32"/>
        </w:rPr>
      </w:pPr>
      <w:r>
        <w:rPr>
          <w:rFonts w:hint="eastAsia" w:ascii="黑体" w:hAnsi="黑体" w:eastAsia="黑体" w:cs="黑体"/>
          <w:bCs/>
          <w:sz w:val="32"/>
          <w:szCs w:val="32"/>
        </w:rPr>
        <w:t xml:space="preserve">项目类别：</w:t>
      </w:r>
      <w:r>
        <w:rPr>
          <w:rFonts w:hint="eastAsia" w:ascii="仿宋_GB2312" w:hAnsi="仿宋_GB2312" w:eastAsia="仿宋_GB2312" w:cs="仿宋_GB2312"/>
          <w:bCs/>
          <w:sz w:val="32"/>
          <w:szCs w:val="32"/>
        </w:rPr>
        <w:t xml:space="preserve">服务类</w:t>
      </w:r>
      <w:r>
        <w:rPr>
          <w:rFonts w:hint="eastAsia" w:ascii="仿宋_GB2312" w:hAnsi="仿宋_GB2312" w:eastAsia="仿宋_GB2312" w:cs="仿宋_GB2312"/>
          <w:b/>
          <w:sz w:val="32"/>
          <w:szCs w:val="32"/>
        </w:rPr>
        <w:tab/>
      </w:r>
      <w:r/>
    </w:p>
    <w:p>
      <w:pP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p>
      <w:pP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p>
      <w:pPr>
        <w:pStyle w:val="944"/>
        <w:rPr>
          <w:rFonts w:ascii="仿宋_GB2312" w:hAnsi="仿宋_GB2312" w:eastAsia="仿宋_GB2312" w:cs="仿宋_GB2312"/>
          <w:sz w:val="32"/>
          <w:szCs w:val="32"/>
        </w:rPr>
      </w:pPr>
      <w:r>
        <w:rPr>
          <w:rFonts w:ascii="仿宋_GB2312" w:hAnsi="仿宋_GB2312" w:eastAsia="仿宋_GB2312" w:cs="仿宋_GB2312"/>
          <w:sz w:val="32"/>
          <w:szCs w:val="32"/>
        </w:rPr>
      </w:r>
      <w:r/>
    </w:p>
    <w:p>
      <w:pPr>
        <w:pStyle w:val="945"/>
      </w:pPr>
      <w:r/>
      <w:r/>
    </w:p>
    <w:p>
      <w:r/>
      <w:r/>
    </w:p>
    <w:p>
      <w:pPr>
        <w:pStyle w:val="944"/>
      </w:pPr>
      <w:r/>
      <w:r/>
    </w:p>
    <w:p>
      <w:pPr>
        <w:pStyle w:val="945"/>
      </w:pPr>
      <w:r/>
      <w:r/>
    </w:p>
    <w:p>
      <w:r/>
      <w:r/>
    </w:p>
    <w:p>
      <w:pPr>
        <w:pStyle w:val="944"/>
      </w:pPr>
      <w:r/>
      <w:r/>
    </w:p>
    <w:p>
      <w:pP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p>
      <w:pPr>
        <w:jc w:val="center"/>
        <w:spacing w:line="560" w:lineRule="exact"/>
        <w:tabs>
          <w:tab w:val="center" w:pos="5901" w:leader="none"/>
        </w:tabs>
        <w:rPr>
          <w:rFonts w:ascii="仿宋_GB2312" w:hAnsi="仿宋_GB2312" w:eastAsia="仿宋_GB2312" w:cs="仿宋_GB2312"/>
          <w:bCs/>
          <w:spacing w:val="-6"/>
          <w:sz w:val="32"/>
          <w:szCs w:val="32"/>
        </w:rPr>
      </w:pPr>
      <w:r>
        <w:rPr>
          <w:rFonts w:hint="eastAsia" w:ascii="仿宋_GB2312" w:hAnsi="仿宋_GB2312" w:eastAsia="仿宋_GB2312" w:cs="仿宋_GB2312"/>
          <w:bCs/>
          <w:spacing w:val="-6"/>
          <w:sz w:val="32"/>
          <w:szCs w:val="32"/>
        </w:rPr>
        <w:t xml:space="preserve">苏州市政府集中采购中心</w:t>
      </w:r>
      <w:r/>
    </w:p>
    <w:p>
      <w:pPr>
        <w:jc w:val="center"/>
        <w:spacing w:line="560" w:lineRule="exact"/>
        <w:rPr>
          <w:rFonts w:ascii="仿宋_GB2312" w:hAnsi="仿宋_GB2312" w:eastAsia="仿宋_GB2312" w:cs="仿宋_GB2312"/>
          <w:bCs/>
          <w:spacing w:val="-6"/>
          <w:sz w:val="32"/>
          <w:szCs w:val="32"/>
        </w:rPr>
      </w:pPr>
      <w:r>
        <w:rPr>
          <w:rFonts w:hint="eastAsia" w:ascii="仿宋_GB2312" w:hAnsi="仿宋_GB2312" w:eastAsia="仿宋_GB2312" w:cs="仿宋_GB2312"/>
          <w:bCs/>
          <w:spacing w:val="-6"/>
          <w:sz w:val="32"/>
          <w:szCs w:val="32"/>
        </w:rPr>
        <w:t xml:space="preserve">2026年8月</w:t>
      </w:r>
      <w:r/>
    </w:p>
    <w:p>
      <w:pP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p>
      <w:pPr>
        <w:jc w:val="center"/>
        <w:spacing w:line="560" w:lineRule="exact"/>
        <w:widowControl/>
        <w:tabs>
          <w:tab w:val="center" w:pos="5444" w:leader="none"/>
          <w:tab w:val="left" w:pos="8076" w:leader="none"/>
        </w:tabs>
        <w:rPr>
          <w:rFonts w:ascii="黑体" w:hAnsi="黑体" w:eastAsia="黑体" w:cs="黑体"/>
          <w:bCs/>
          <w:sz w:val="32"/>
          <w:szCs w:val="32"/>
        </w:rPr>
      </w:pPr>
      <w:r>
        <w:rPr>
          <w:rFonts w:hint="eastAsia" w:ascii="黑体" w:hAnsi="黑体" w:eastAsia="黑体" w:cs="黑体"/>
          <w:bCs/>
          <w:sz w:val="32"/>
          <w:szCs w:val="32"/>
        </w:rPr>
        <w:t xml:space="preserve">总目录</w:t>
      </w:r>
      <w:r/>
    </w:p>
    <w:p>
      <w:pP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p>
      <w:pPr>
        <w:pStyle w:val="950"/>
        <w:spacing w:line="560" w:lineRule="exact"/>
        <w:tabs>
          <w:tab w:val="right" w:pos="9628" w:leader="dot"/>
        </w:tabs>
        <w:rPr>
          <w:rFonts w:ascii="仿宋_GB2312" w:hAnsi="仿宋_GB2312" w:eastAsia="仿宋_GB2312" w:cs="仿宋_GB2312"/>
          <w:sz w:val="32"/>
          <w:szCs w:val="32"/>
        </w:rPr>
      </w:pPr>
      <w:r>
        <w:rPr>
          <w:rFonts w:hint="eastAsia" w:ascii="仿宋_GB2312" w:hAnsi="仿宋_GB2312" w:eastAsia="仿宋_GB2312" w:cs="仿宋_GB2312"/>
          <w:caps/>
          <w:sz w:val="32"/>
          <w:szCs w:val="32"/>
        </w:rPr>
        <w:fldChar w:fldCharType="begin"/>
      </w:r>
      <w:r>
        <w:rPr>
          <w:rFonts w:hint="eastAsia" w:ascii="仿宋_GB2312" w:hAnsi="仿宋_GB2312" w:eastAsia="仿宋_GB2312" w:cs="仿宋_GB2312"/>
          <w:caps/>
          <w:sz w:val="32"/>
          <w:szCs w:val="32"/>
        </w:rPr>
        <w:instrText xml:space="preserve"> TOC \o "1-2" \h \z \u </w:instrText>
      </w:r>
      <w:r>
        <w:rPr>
          <w:rFonts w:hint="eastAsia" w:ascii="仿宋_GB2312" w:hAnsi="仿宋_GB2312" w:eastAsia="仿宋_GB2312" w:cs="仿宋_GB2312"/>
          <w:caps/>
          <w:sz w:val="32"/>
          <w:szCs w:val="32"/>
        </w:rPr>
        <w:fldChar w:fldCharType="separate"/>
      </w:r>
      <w:hyperlink w:tooltip="#_Toc212815964" w:anchor="_Toc212815964" w:history="1">
        <w:r>
          <w:rPr>
            <w:rStyle w:val="959"/>
            <w:rFonts w:hint="eastAsia" w:ascii="仿宋_GB2312" w:hAnsi="仿宋_GB2312" w:eastAsia="仿宋_GB2312" w:cs="仿宋_GB2312"/>
            <w:color w:val="auto"/>
            <w:sz w:val="32"/>
            <w:szCs w:val="32"/>
          </w:rPr>
          <w:t xml:space="preserve">第一章 征集邀请函</w:t>
        </w:r>
        <w:r>
          <w:rPr>
            <w:rFonts w:hint="eastAsia" w:ascii="仿宋_GB2312" w:hAnsi="仿宋_GB2312" w:eastAsia="仿宋_GB2312" w:cs="仿宋_GB2312"/>
            <w:sz w:val="32"/>
            <w:szCs w:val="32"/>
          </w:rPr>
          <w:tab/>
          <w:t xml:space="preserve">1</w:t>
        </w:r>
      </w:hyperlink>
      <w:r/>
      <w:r/>
    </w:p>
    <w:p>
      <w:pPr>
        <w:pStyle w:val="950"/>
        <w:spacing w:line="560" w:lineRule="exact"/>
        <w:tabs>
          <w:tab w:val="right" w:pos="9628" w:leader="dot"/>
        </w:tabs>
        <w:rPr>
          <w:rFonts w:ascii="仿宋_GB2312" w:hAnsi="仿宋_GB2312" w:eastAsia="仿宋_GB2312" w:cs="仿宋_GB2312"/>
          <w:sz w:val="32"/>
          <w:szCs w:val="32"/>
        </w:rPr>
      </w:pPr>
      <w:r/>
      <w:hyperlink w:tooltip="#_Toc212815965" w:anchor="_Toc212815965" w:history="1">
        <w:r>
          <w:rPr>
            <w:rStyle w:val="959"/>
            <w:rFonts w:hint="eastAsia" w:ascii="仿宋_GB2312" w:hAnsi="仿宋_GB2312" w:eastAsia="仿宋_GB2312" w:cs="仿宋_GB2312"/>
            <w:color w:val="auto"/>
            <w:sz w:val="32"/>
            <w:szCs w:val="32"/>
          </w:rPr>
          <w:t xml:space="preserve">第二章 供应商须知</w:t>
        </w:r>
        <w:r>
          <w:rPr>
            <w:rFonts w:hint="eastAsia" w:ascii="仿宋_GB2312" w:hAnsi="仿宋_GB2312" w:eastAsia="仿宋_GB2312" w:cs="仿宋_GB2312"/>
            <w:sz w:val="32"/>
            <w:szCs w:val="32"/>
          </w:rPr>
          <w:tab/>
          <w:t xml:space="preserve">7</w:t>
        </w:r>
      </w:hyperlink>
      <w:r/>
      <w:r/>
    </w:p>
    <w:p>
      <w:pPr>
        <w:pStyle w:val="950"/>
        <w:spacing w:line="560" w:lineRule="exact"/>
        <w:tabs>
          <w:tab w:val="right" w:pos="9628" w:leader="dot"/>
        </w:tabs>
        <w:rPr>
          <w:rFonts w:ascii="仿宋_GB2312" w:hAnsi="仿宋_GB2312" w:eastAsia="仿宋_GB2312" w:cs="仿宋_GB2312"/>
          <w:sz w:val="32"/>
          <w:szCs w:val="32"/>
        </w:rPr>
      </w:pPr>
      <w:r/>
      <w:hyperlink w:tooltip="#_Toc212815966" w:anchor="_Toc212815966" w:history="1">
        <w:r>
          <w:rPr>
            <w:rStyle w:val="959"/>
            <w:rFonts w:hint="eastAsia" w:ascii="仿宋_GB2312" w:hAnsi="仿宋_GB2312" w:eastAsia="仿宋_GB2312" w:cs="仿宋_GB2312"/>
            <w:color w:val="auto"/>
            <w:sz w:val="32"/>
            <w:szCs w:val="32"/>
          </w:rPr>
          <w:t xml:space="preserve">第三章 响应文件格式</w:t>
        </w:r>
        <w:r>
          <w:rPr>
            <w:rFonts w:hint="eastAsia" w:ascii="仿宋_GB2312" w:hAnsi="仿宋_GB2312" w:eastAsia="仿宋_GB2312" w:cs="仿宋_GB2312"/>
            <w:sz w:val="32"/>
            <w:szCs w:val="32"/>
          </w:rPr>
          <w:tab/>
          <w:t xml:space="preserve">2</w:t>
        </w:r>
      </w:hyperlink>
      <w:r>
        <w:rPr>
          <w:rFonts w:hint="eastAsia" w:ascii="仿宋_GB2312" w:hAnsi="仿宋_GB2312" w:eastAsia="仿宋_GB2312" w:cs="仿宋_GB2312"/>
          <w:sz w:val="32"/>
          <w:szCs w:val="32"/>
        </w:rPr>
        <w:t xml:space="preserve">2</w:t>
      </w:r>
      <w:r/>
    </w:p>
    <w:p>
      <w:pPr>
        <w:pStyle w:val="950"/>
        <w:spacing w:line="560" w:lineRule="exact"/>
        <w:tabs>
          <w:tab w:val="right" w:pos="9628" w:leader="dot"/>
        </w:tabs>
        <w:rPr>
          <w:rFonts w:ascii="仿宋_GB2312" w:hAnsi="仿宋_GB2312" w:eastAsia="仿宋_GB2312" w:cs="仿宋_GB2312"/>
          <w:sz w:val="32"/>
          <w:szCs w:val="32"/>
        </w:rPr>
      </w:pPr>
      <w:r/>
      <w:hyperlink w:tooltip="#_Toc212815975" w:anchor="_Toc212815975" w:history="1">
        <w:r>
          <w:rPr>
            <w:rStyle w:val="959"/>
            <w:rFonts w:hint="eastAsia" w:ascii="仿宋_GB2312" w:hAnsi="仿宋_GB2312" w:eastAsia="仿宋_GB2312" w:cs="仿宋_GB2312"/>
            <w:color w:val="auto"/>
            <w:sz w:val="32"/>
            <w:szCs w:val="32"/>
          </w:rPr>
          <w:t xml:space="preserve">第四章 采购需求</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PAGEREF _Toc212815975 \h </w:instrText>
        </w:r>
        <w:r>
          <w:rPr>
            <w:rFonts w:hint="eastAsia" w:ascii="仿宋_GB2312" w:hAnsi="仿宋_GB2312" w:eastAsia="仿宋_GB2312" w:cs="仿宋_GB2312"/>
            <w:sz w:val="32"/>
            <w:szCs w:val="32"/>
          </w:rPr>
        </w:r>
        <w:r>
          <w:rPr>
            <w:rFonts w:hint="eastAsia" w:ascii="仿宋_GB2312" w:hAnsi="仿宋_GB2312" w:eastAsia="仿宋_GB2312" w:cs="仿宋_GB2312"/>
            <w:sz w:val="32"/>
            <w:szCs w:val="32"/>
          </w:rPr>
          <w:fldChar w:fldCharType="separate"/>
        </w:r>
        <w:r>
          <w:rPr>
            <w:rFonts w:ascii="仿宋_GB2312" w:hAnsi="仿宋_GB2312" w:eastAsia="仿宋_GB2312" w:cs="仿宋_GB2312"/>
            <w:sz w:val="32"/>
            <w:szCs w:val="32"/>
          </w:rPr>
          <w:t xml:space="preserve">40</w:t>
        </w:r>
        <w:r>
          <w:rPr>
            <w:rFonts w:hint="eastAsia" w:ascii="仿宋_GB2312" w:hAnsi="仿宋_GB2312" w:eastAsia="仿宋_GB2312" w:cs="仿宋_GB2312"/>
            <w:sz w:val="32"/>
            <w:szCs w:val="32"/>
          </w:rPr>
          <w:fldChar w:fldCharType="end"/>
        </w:r>
      </w:hyperlink>
      <w:r/>
      <w:r/>
    </w:p>
    <w:p>
      <w:pPr>
        <w:pStyle w:val="950"/>
        <w:spacing w:line="560" w:lineRule="exact"/>
        <w:tabs>
          <w:tab w:val="right" w:pos="9628" w:leader="dot"/>
        </w:tabs>
        <w:rPr>
          <w:rFonts w:ascii="仿宋_GB2312" w:hAnsi="仿宋_GB2312" w:eastAsia="仿宋_GB2312" w:cs="仿宋_GB2312"/>
          <w:sz w:val="32"/>
          <w:szCs w:val="32"/>
        </w:rPr>
      </w:pPr>
      <w:r/>
      <w:hyperlink w:tooltip="#_Toc212815976" w:anchor="_Toc212815976" w:history="1">
        <w:r>
          <w:rPr>
            <w:rStyle w:val="959"/>
            <w:rFonts w:hint="eastAsia" w:ascii="仿宋_GB2312" w:hAnsi="仿宋_GB2312" w:eastAsia="仿宋_GB2312" w:cs="仿宋_GB2312"/>
            <w:color w:val="auto"/>
            <w:sz w:val="32"/>
            <w:szCs w:val="32"/>
          </w:rPr>
          <w:t xml:space="preserve">第五章 框架协议文本</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PAGEREF _Toc212815976 \h </w:instrText>
        </w:r>
        <w:r>
          <w:rPr>
            <w:rFonts w:hint="eastAsia" w:ascii="仿宋_GB2312" w:hAnsi="仿宋_GB2312" w:eastAsia="仿宋_GB2312" w:cs="仿宋_GB2312"/>
            <w:sz w:val="32"/>
            <w:szCs w:val="32"/>
          </w:rPr>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 xml:space="preserve">4</w:t>
        </w:r>
        <w:r>
          <w:rPr>
            <w:rFonts w:ascii="仿宋_GB2312" w:hAnsi="仿宋_GB2312" w:eastAsia="仿宋_GB2312" w:cs="仿宋_GB2312"/>
            <w:sz w:val="32"/>
            <w:szCs w:val="32"/>
          </w:rPr>
          <w:t xml:space="preserve">7</w:t>
        </w:r>
        <w:r>
          <w:rPr>
            <w:rFonts w:hint="eastAsia" w:ascii="仿宋_GB2312" w:hAnsi="仿宋_GB2312" w:eastAsia="仿宋_GB2312" w:cs="仿宋_GB2312"/>
            <w:sz w:val="32"/>
            <w:szCs w:val="32"/>
          </w:rPr>
          <w:fldChar w:fldCharType="end"/>
        </w:r>
      </w:hyperlink>
      <w:r/>
      <w:r/>
    </w:p>
    <w:p>
      <w:pPr>
        <w:pStyle w:val="950"/>
        <w:spacing w:line="560" w:lineRule="exact"/>
        <w:tabs>
          <w:tab w:val="right" w:pos="9628" w:leader="dot"/>
        </w:tabs>
        <w:rPr>
          <w:rFonts w:ascii="仿宋_GB2312" w:hAnsi="仿宋_GB2312" w:eastAsia="仿宋_GB2312" w:cs="仿宋_GB2312"/>
          <w:sz w:val="32"/>
          <w:szCs w:val="32"/>
        </w:rPr>
      </w:pPr>
      <w:r/>
      <w:hyperlink w:tooltip="#_Toc212815977" w:anchor="_Toc212815977" w:history="1">
        <w:r>
          <w:rPr>
            <w:rStyle w:val="959"/>
            <w:rFonts w:hint="eastAsia" w:ascii="仿宋_GB2312" w:hAnsi="仿宋_GB2312" w:eastAsia="仿宋_GB2312" w:cs="仿宋_GB2312"/>
            <w:color w:val="auto"/>
            <w:sz w:val="32"/>
            <w:szCs w:val="32"/>
          </w:rPr>
          <w:t xml:space="preserve">第六章 确定入围及成交供应商</w:t>
        </w:r>
        <w:r>
          <w:rPr>
            <w:rFonts w:hint="eastAsia" w:ascii="仿宋_GB2312" w:hAnsi="仿宋_GB2312" w:eastAsia="仿宋_GB2312" w:cs="仿宋_GB2312"/>
            <w:sz w:val="32"/>
            <w:szCs w:val="32"/>
          </w:rPr>
          <w:tab/>
        </w:r>
        <w:r>
          <w:rPr>
            <w:rFonts w:ascii="仿宋_GB2312" w:hAnsi="仿宋_GB2312" w:eastAsia="仿宋_GB2312" w:cs="仿宋_GB2312"/>
            <w:sz w:val="32"/>
            <w:szCs w:val="32"/>
          </w:rPr>
          <w:t xml:space="preserve">5</w:t>
        </w:r>
      </w:hyperlink>
      <w:r>
        <w:rPr>
          <w:rFonts w:ascii="仿宋_GB2312" w:hAnsi="仿宋_GB2312" w:eastAsia="仿宋_GB2312" w:cs="仿宋_GB2312"/>
          <w:sz w:val="32"/>
          <w:szCs w:val="32"/>
        </w:rPr>
        <w:t xml:space="preserve">8</w:t>
      </w:r>
      <w:r/>
    </w:p>
    <w:p>
      <w:pPr>
        <w:pStyle w:val="950"/>
        <w:spacing w:line="560" w:lineRule="exact"/>
        <w:tabs>
          <w:tab w:val="right" w:pos="9628" w:leader="dot"/>
        </w:tabs>
        <w:rPr>
          <w:rFonts w:ascii="仿宋_GB2312" w:hAnsi="仿宋_GB2312" w:eastAsia="仿宋_GB2312" w:cs="仿宋_GB2312"/>
          <w:sz w:val="32"/>
          <w:szCs w:val="32"/>
        </w:rPr>
      </w:pPr>
      <w:r>
        <w:rPr>
          <w:rFonts w:ascii="仿宋_GB2312" w:hAnsi="仿宋_GB2312" w:eastAsia="仿宋_GB2312" w:cs="仿宋_GB2312"/>
          <w:sz w:val="32"/>
          <w:szCs w:val="32"/>
        </w:rPr>
      </w:r>
      <w:r/>
    </w:p>
    <w:p>
      <w:pPr>
        <w:jc w:val="center"/>
        <w:pageBreakBefore/>
        <w:spacing w:line="560" w:lineRule="exact"/>
        <w:rPr>
          <w:rFonts w:ascii="仿宋_GB2312" w:hAnsi="仿宋_GB2312" w:eastAsia="仿宋_GB2312" w:cs="仿宋_GB2312"/>
          <w:sz w:val="32"/>
          <w:szCs w:val="32"/>
        </w:rPr>
        <w:sectPr>
          <w:footerReference w:type="default" r:id="rId8"/>
          <w:footnotePr/>
          <w:endnotePr/>
          <w:type w:val="nextPage"/>
          <w:pgSz w:w="11906" w:h="16838" w:orient="portrait"/>
          <w:pgMar w:top="2098" w:right="1474" w:bottom="1984" w:left="1587" w:header="851" w:footer="992" w:gutter="0"/>
          <w:pgNumType w:start="1"/>
          <w:cols w:num="1" w:sep="0" w:space="425" w:equalWidth="1"/>
          <w:docGrid w:linePitch="360"/>
        </w:sectPr>
        <w:outlineLvl w:val="0"/>
      </w:pPr>
      <w:r>
        <w:rPr>
          <w:rFonts w:ascii="仿宋_GB2312" w:hAnsi="仿宋_GB2312" w:eastAsia="仿宋_GB2312" w:cs="仿宋_GB2312"/>
          <w:sz w:val="32"/>
          <w:szCs w:val="32"/>
        </w:rPr>
      </w:r>
      <w:r/>
    </w:p>
    <w:p>
      <w:pPr>
        <w:jc w:val="center"/>
        <w:pageBreakBefore/>
        <w:spacing w:line="560" w:lineRule="exact"/>
        <w:rPr>
          <w:rFonts w:ascii="仿宋_GB2312" w:hAnsi="仿宋_GB2312" w:eastAsia="仿宋_GB2312" w:cs="仿宋_GB2312"/>
          <w:sz w:val="32"/>
          <w:szCs w:val="32"/>
        </w:rPr>
        <w:outlineLvl w:val="0"/>
      </w:pPr>
      <w:r>
        <w:rPr>
          <w:rFonts w:hint="eastAsia" w:ascii="仿宋_GB2312" w:hAnsi="仿宋_GB2312" w:eastAsia="仿宋_GB2312" w:cs="仿宋_GB2312"/>
          <w:sz w:val="32"/>
          <w:szCs w:val="32"/>
        </w:rPr>
        <w:fldChar w:fldCharType="end"/>
      </w:r>
      <w:bookmarkStart w:id="0" w:name="_Toc16571"/>
      <w:r/>
      <w:bookmarkStart w:id="1" w:name="_Toc65593807"/>
      <w:r/>
      <w:bookmarkStart w:id="2" w:name="_Toc212815964"/>
      <w:r/>
      <w:bookmarkStart w:id="3" w:name="_Toc74050519"/>
      <w:r/>
      <w:bookmarkStart w:id="4" w:name="_Toc3644"/>
      <w:r>
        <w:rPr>
          <w:rFonts w:hint="eastAsia" w:ascii="黑体" w:hAnsi="黑体" w:eastAsia="黑体" w:cs="黑体"/>
          <w:bCs/>
          <w:sz w:val="32"/>
          <w:szCs w:val="32"/>
        </w:rPr>
        <w:t xml:space="preserve">第一章 征集邀请函</w:t>
      </w:r>
      <w:bookmarkEnd w:id="0"/>
      <w:r/>
      <w:bookmarkEnd w:id="1"/>
      <w:r/>
      <w:bookmarkEnd w:id="2"/>
      <w:r/>
      <w:bookmarkEnd w:id="3"/>
      <w:r/>
      <w:bookmarkEnd w:id="4"/>
      <w:r/>
      <w:r/>
    </w:p>
    <w:p>
      <w:pPr>
        <w:ind w:firstLine="640"/>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项目概况：</w:t>
      </w:r>
      <w:r>
        <w:rPr>
          <w:rFonts w:hint="eastAsia" w:ascii="仿宋_GB2312" w:hAnsi="仿宋_GB2312" w:eastAsia="仿宋_GB2312" w:cs="仿宋_GB2312"/>
          <w:sz w:val="32"/>
          <w:szCs w:val="32"/>
          <w:u w:val="single"/>
        </w:rPr>
        <w:t xml:space="preserve">苏州市政策性农业保险承保机构遴选</w:t>
      </w:r>
      <w:r>
        <w:rPr>
          <w:rFonts w:hint="eastAsia" w:ascii="仿宋_GB2312" w:hAnsi="仿宋_GB2312" w:eastAsia="仿宋_GB2312" w:cs="仿宋_GB2312"/>
          <w:sz w:val="32"/>
          <w:szCs w:val="32"/>
        </w:rPr>
        <w:t xml:space="preserve">项目的潜在供应商应在</w:t>
      </w:r>
      <w:r>
        <w:rPr>
          <w:rFonts w:hint="eastAsia" w:ascii="仿宋_GB2312" w:hAnsi="仿宋_GB2312" w:eastAsia="仿宋_GB2312" w:cs="仿宋_GB2312"/>
          <w:sz w:val="32"/>
          <w:szCs w:val="32"/>
          <w:u w:val="single"/>
        </w:rPr>
        <w:t xml:space="preserve">“苏采云”系统（网址：</w:t>
      </w:r>
      <w:hyperlink r:id="rId12" w:tooltip="http://jszfcg.jsczt.cn/））获取征集文件，并于2026年" w:history="1">
        <w:r>
          <w:rPr>
            <w:rStyle w:val="959"/>
            <w:rFonts w:hint="eastAsia" w:ascii="仿宋_GB2312" w:hAnsi="仿宋_GB2312" w:eastAsia="仿宋_GB2312" w:cs="仿宋_GB2312"/>
            <w:sz w:val="32"/>
            <w:szCs w:val="32"/>
            <w:u w:val="single"/>
          </w:rPr>
          <w:t xml:space="preserve">http://jszfcg.jsczt.cn/）</w:t>
        </w:r>
        <w:r>
          <w:rPr>
            <w:rStyle w:val="959"/>
            <w:rFonts w:hint="eastAsia" w:ascii="仿宋_GB2312" w:hAnsi="仿宋_GB2312" w:eastAsia="仿宋_GB2312" w:cs="仿宋_GB2312"/>
            <w:sz w:val="32"/>
            <w:szCs w:val="32"/>
          </w:rPr>
          <w:t xml:space="preserve">获取征集文件，并于2026年</w:t>
        </w:r>
      </w:hyperlink>
      <w:r>
        <w:rPr>
          <w:rFonts w:hint="eastAsia" w:ascii="仿宋_GB2312" w:hAnsi="仿宋_GB2312" w:eastAsia="仿宋_GB2312" w:cs="仿宋_GB2312"/>
          <w:sz w:val="32"/>
          <w:szCs w:val="32"/>
          <w:u w:val="single"/>
        </w:rPr>
        <w:t xml:space="preserve">9月  8日9点30分</w:t>
      </w:r>
      <w:r>
        <w:rPr>
          <w:rFonts w:hint="eastAsia" w:ascii="仿宋_GB2312" w:hAnsi="仿宋_GB2312" w:eastAsia="仿宋_GB2312" w:cs="仿宋_GB2312"/>
          <w:sz w:val="32"/>
          <w:szCs w:val="32"/>
        </w:rPr>
        <w:t xml:space="preserve">（北京时间）前递交响应文件。</w:t>
      </w:r>
      <w:r/>
    </w:p>
    <w:p>
      <w:pPr>
        <w:ind w:firstLine="640"/>
        <w:spacing w:line="560" w:lineRule="exact"/>
        <w:widowControl/>
        <w:rPr>
          <w:rFonts w:ascii="楷体_GB2312" w:hAnsi="楷体_GB2312" w:eastAsia="楷体_GB2312" w:cs="楷体_GB2312"/>
          <w:bCs/>
          <w:sz w:val="32"/>
          <w:szCs w:val="32"/>
        </w:rPr>
      </w:pPr>
      <w:r>
        <w:rPr>
          <w:rFonts w:hint="eastAsia" w:ascii="楷体_GB2312" w:hAnsi="楷体_GB2312" w:eastAsia="楷体_GB2312" w:cs="楷体_GB2312"/>
          <w:bCs/>
          <w:sz w:val="32"/>
          <w:szCs w:val="32"/>
        </w:rPr>
        <w:t xml:space="preserve">一、项目基本情况</w:t>
      </w:r>
      <w:r/>
    </w:p>
    <w:p>
      <w:pPr>
        <w:ind w:firstLine="641"/>
        <w:spacing w:line="560" w:lineRule="exact"/>
        <w:rPr>
          <w:rFonts w:ascii="仿宋_GB2312" w:hAnsi="仿宋_GB2312" w:eastAsia="仿宋_GB2312" w:cs="仿宋_GB2312"/>
          <w:b/>
          <w:sz w:val="32"/>
          <w:szCs w:val="32"/>
        </w:rPr>
      </w:pPr>
      <w:r>
        <w:rPr>
          <w:rFonts w:hint="eastAsia" w:ascii="仿宋_GB2312" w:hAnsi="仿宋_GB2312" w:eastAsia="仿宋_GB2312" w:cs="仿宋_GB2312"/>
          <w:b/>
          <w:sz w:val="32"/>
          <w:szCs w:val="32"/>
        </w:rPr>
        <w:t xml:space="preserve">1.项目编号：</w:t>
      </w:r>
      <w:r>
        <w:rPr>
          <w:rFonts w:ascii="仿宋_GB2312" w:hAnsi="仿宋_GB2312" w:eastAsia="仿宋_GB2312" w:cs="仿宋_GB2312"/>
          <w:b/>
          <w:sz w:val="32"/>
          <w:szCs w:val="32"/>
        </w:rPr>
        <w:t xml:space="preserve">JSZC-320500-JZCG-K2026-0239</w:t>
      </w:r>
      <w:r/>
    </w:p>
    <w:p>
      <w:pPr>
        <w:ind w:firstLine="641"/>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b/>
          <w:sz w:val="32"/>
          <w:szCs w:val="32"/>
        </w:rPr>
        <w:t xml:space="preserve">2.项目名称：</w:t>
      </w:r>
      <w:bookmarkStart w:id="5" w:name="_GoBack"/>
      <w:r>
        <w:rPr>
          <w:rFonts w:hint="eastAsia" w:ascii="仿宋_GB2312" w:hAnsi="仿宋_GB2312" w:eastAsia="仿宋_GB2312" w:cs="仿宋_GB2312"/>
          <w:sz w:val="32"/>
          <w:szCs w:val="32"/>
        </w:rPr>
        <w:t xml:space="preserve">苏州市政策性农业保险承保机构遴选</w:t>
      </w:r>
      <w:bookmarkEnd w:id="5"/>
      <w:r/>
      <w:r/>
    </w:p>
    <w:p>
      <w:pPr>
        <w:ind w:firstLine="641"/>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b/>
          <w:sz w:val="32"/>
          <w:szCs w:val="32"/>
        </w:rPr>
        <w:t xml:space="preserve">3.采购方式：</w:t>
      </w:r>
      <w:r>
        <w:rPr>
          <w:rFonts w:hint="eastAsia" w:ascii="仿宋_GB2312" w:hAnsi="仿宋_GB2312" w:eastAsia="仿宋_GB2312" w:cs="仿宋_GB2312"/>
          <w:sz w:val="32"/>
          <w:szCs w:val="32"/>
        </w:rPr>
        <w:t xml:space="preserve">封闭式框架协议</w:t>
      </w:r>
      <w:r/>
    </w:p>
    <w:p>
      <w:pPr>
        <w:ind w:firstLine="641"/>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b/>
          <w:sz w:val="32"/>
          <w:szCs w:val="32"/>
        </w:rPr>
        <w:t xml:space="preserve">4.预算金额：</w:t>
      </w:r>
      <w:r>
        <w:rPr>
          <w:rFonts w:hint="eastAsia" w:ascii="仿宋_GB2312" w:hAnsi="仿宋_GB2312" w:eastAsia="仿宋_GB2312" w:cs="仿宋_GB2312"/>
          <w:sz w:val="32"/>
          <w:szCs w:val="32"/>
        </w:rPr>
        <w:t xml:space="preserve">人民币壹元整（¥1.00）</w:t>
      </w:r>
      <w:r/>
    </w:p>
    <w:p>
      <w:pPr>
        <w:ind w:firstLine="641"/>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b/>
          <w:sz w:val="32"/>
          <w:szCs w:val="32"/>
        </w:rPr>
        <w:t xml:space="preserve">5.框架协议期限：</w:t>
      </w:r>
      <w:r>
        <w:rPr>
          <w:rFonts w:hint="eastAsia" w:ascii="仿宋_GB2312" w:hAnsi="仿宋_GB2312" w:eastAsia="仿宋_GB2312" w:cs="仿宋_GB2312"/>
          <w:sz w:val="32"/>
          <w:szCs w:val="32"/>
        </w:rPr>
        <w:t xml:space="preserve">自2027年1月1日起，承保服务期限为3年，理赔服务期限至全部保险合同的保险责任终止。</w:t>
      </w:r>
      <w:r/>
    </w:p>
    <w:p>
      <w:pPr>
        <w:ind w:firstLine="641"/>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b/>
          <w:sz w:val="32"/>
          <w:szCs w:val="32"/>
        </w:rPr>
        <w:t xml:space="preserve">6.采购需求：</w:t>
      </w:r>
      <w:r>
        <w:rPr>
          <w:rFonts w:hint="eastAsia" w:ascii="仿宋_GB2312" w:hAnsi="仿宋_GB2312" w:eastAsia="仿宋_GB2312" w:cs="仿宋_GB2312"/>
          <w:sz w:val="32"/>
          <w:szCs w:val="32"/>
        </w:rPr>
        <w:t xml:space="preserve">详见征集文件第四章。</w:t>
      </w:r>
      <w:r/>
    </w:p>
    <w:p>
      <w:pPr>
        <w:ind w:firstLine="640"/>
        <w:spacing w:line="560" w:lineRule="exact"/>
        <w:widowControl/>
        <w:rPr>
          <w:rFonts w:ascii="楷体_GB2312" w:hAnsi="楷体_GB2312" w:eastAsia="楷体_GB2312" w:cs="楷体_GB2312"/>
          <w:bCs/>
          <w:sz w:val="32"/>
          <w:szCs w:val="32"/>
        </w:rPr>
      </w:pPr>
      <w:r>
        <w:rPr>
          <w:rFonts w:hint="eastAsia" w:ascii="楷体_GB2312" w:hAnsi="楷体_GB2312" w:eastAsia="楷体_GB2312" w:cs="楷体_GB2312"/>
          <w:bCs/>
          <w:sz w:val="32"/>
          <w:szCs w:val="32"/>
        </w:rPr>
        <w:t xml:space="preserve">二、供应商的资格要求</w:t>
      </w:r>
      <w:r/>
    </w:p>
    <w:p>
      <w:pPr>
        <w:ind w:firstLine="641"/>
        <w:spacing w:line="560" w:lineRule="exact"/>
        <w:rPr>
          <w:rFonts w:ascii="仿宋_GB2312" w:hAnsi="仿宋_GB2312" w:eastAsia="仿宋_GB2312" w:cs="仿宋_GB2312"/>
          <w:b/>
          <w:sz w:val="32"/>
          <w:szCs w:val="32"/>
        </w:rPr>
      </w:pPr>
      <w:r>
        <w:rPr>
          <w:rFonts w:hint="eastAsia" w:ascii="仿宋_GB2312" w:hAnsi="仿宋_GB2312" w:eastAsia="仿宋_GB2312" w:cs="仿宋_GB2312"/>
          <w:b/>
          <w:sz w:val="32"/>
          <w:szCs w:val="32"/>
        </w:rPr>
        <w:t xml:space="preserve">1.满足《中华人民共和国政府采购法》第二十二条规定；</w:t>
      </w:r>
      <w:r/>
    </w:p>
    <w:p>
      <w:pPr>
        <w:ind w:firstLine="420"/>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供应商应当具备下列条件：</w:t>
      </w:r>
      <w:r/>
    </w:p>
    <w:p>
      <w:pPr>
        <w:ind w:firstLine="640"/>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（1）具有独立承担民事责任的能力；</w:t>
      </w:r>
      <w:r/>
    </w:p>
    <w:p>
      <w:pPr>
        <w:ind w:firstLine="640"/>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（2）具有良好的商业信誉和健全的财务会计制度；</w:t>
      </w:r>
      <w:r/>
    </w:p>
    <w:p>
      <w:pPr>
        <w:ind w:firstLine="640"/>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（3）具有履行合同所必需的设备和专业技术能力；</w:t>
      </w:r>
      <w:r/>
    </w:p>
    <w:p>
      <w:pPr>
        <w:ind w:firstLine="640"/>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（4）有依法缴纳税收和社会保障资金的良好记录；</w:t>
      </w:r>
      <w:r/>
    </w:p>
    <w:p>
      <w:pPr>
        <w:ind w:firstLine="640"/>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（5）参加政府采购活动前三年内，在经营活动中没有重大违法记录；</w:t>
      </w:r>
      <w:r/>
    </w:p>
    <w:p>
      <w:pPr>
        <w:ind w:firstLine="640"/>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（6）法律、行政法规规定的其他条件。</w:t>
      </w:r>
      <w:r/>
    </w:p>
    <w:p>
      <w:pPr>
        <w:ind w:firstLine="641"/>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b/>
          <w:sz w:val="32"/>
          <w:szCs w:val="32"/>
        </w:rPr>
        <w:t xml:space="preserve">2.落实政府采购政策需满足的资格要求：</w:t>
      </w:r>
      <w:r>
        <w:rPr>
          <w:rFonts w:hint="eastAsia" w:ascii="仿宋_GB2312" w:hAnsi="仿宋_GB2312" w:eastAsia="仿宋_GB2312" w:cs="仿宋_GB2312"/>
          <w:sz w:val="32"/>
          <w:szCs w:val="32"/>
        </w:rPr>
        <w:t xml:space="preserve">无</w:t>
      </w:r>
      <w:r/>
    </w:p>
    <w:p>
      <w:pPr>
        <w:ind w:firstLine="641"/>
        <w:spacing w:line="560" w:lineRule="exact"/>
        <w:rPr>
          <w:rFonts w:ascii="仿宋_GB2312" w:hAnsi="仿宋_GB2312" w:eastAsia="仿宋_GB2312" w:cs="仿宋_GB2312"/>
          <w:b/>
          <w:sz w:val="32"/>
          <w:szCs w:val="32"/>
        </w:rPr>
      </w:pPr>
      <w:r>
        <w:rPr>
          <w:rFonts w:hint="eastAsia" w:ascii="仿宋_GB2312" w:hAnsi="仿宋_GB2312" w:eastAsia="仿宋_GB2312" w:cs="仿宋_GB2312"/>
          <w:b/>
          <w:sz w:val="32"/>
          <w:szCs w:val="32"/>
        </w:rPr>
        <w:t xml:space="preserve">3.本项目的特定资格要求：</w:t>
      </w:r>
      <w:r/>
    </w:p>
    <w:p>
      <w:pPr>
        <w:ind w:firstLine="641"/>
        <w:spacing w:line="560" w:lineRule="exact"/>
        <w:widowControl/>
        <w:rPr>
          <w:rFonts w:ascii="仿宋_GB2312" w:hAnsi="仿宋_GB2312" w:eastAsia="仿宋_GB2312" w:cs="仿宋_GB2312"/>
          <w:b/>
          <w:sz w:val="32"/>
          <w:szCs w:val="32"/>
        </w:rPr>
      </w:pPr>
      <w:r>
        <w:rPr>
          <w:rFonts w:hint="eastAsia" w:ascii="仿宋_GB2312" w:hAnsi="仿宋_GB2312" w:eastAsia="仿宋_GB2312" w:cs="仿宋_GB2312"/>
          <w:b/>
          <w:sz w:val="32"/>
          <w:szCs w:val="32"/>
        </w:rPr>
        <w:t xml:space="preserve">（1）具备保险监督管理机构颁发的保险许可证，且符合农业保险经营条件；</w:t>
      </w:r>
      <w:r/>
    </w:p>
    <w:p>
      <w:pPr>
        <w:pStyle w:val="945"/>
        <w:ind w:left="0" w:firstLine="641"/>
        <w:spacing w:line="560" w:lineRule="exact"/>
        <w:rPr>
          <w:rFonts w:ascii="仿宋_GB2312" w:hAnsi="仿宋_GB2312" w:eastAsia="仿宋_GB2312" w:cs="仿宋_GB2312"/>
          <w:b/>
          <w:sz w:val="32"/>
          <w:szCs w:val="32"/>
        </w:rPr>
      </w:pPr>
      <w:r>
        <w:rPr>
          <w:rFonts w:hint="eastAsia" w:ascii="仿宋_GB2312" w:hAnsi="仿宋_GB2312" w:eastAsia="仿宋_GB2312" w:cs="仿宋_GB2312"/>
          <w:b/>
          <w:sz w:val="32"/>
          <w:szCs w:val="32"/>
        </w:rPr>
        <w:t xml:space="preserve">（2）本项目接受分支机构投标，分支机构参加投标的需提供保险总公司或符合农业保险经营条件的上级公司的授权，保险总公司或符合农业保险经营条件的上级公司和分支机构不能同时参与投标；同一保险总公司或符合农业保险经营条件的上级公司只允许自身或授权一家分支机构参与本项目投标。</w:t>
      </w:r>
      <w:r/>
    </w:p>
    <w:p>
      <w:pPr>
        <w:ind w:firstLine="641"/>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b/>
          <w:bCs/>
          <w:sz w:val="32"/>
          <w:szCs w:val="32"/>
        </w:rPr>
        <w:t xml:space="preserve">4.联合体及转包、分包：</w:t>
      </w:r>
      <w:r>
        <w:rPr>
          <w:rFonts w:hint="eastAsia" w:ascii="仿宋_GB2312" w:hAnsi="仿宋_GB2312" w:eastAsia="仿宋_GB2312" w:cs="仿宋_GB2312"/>
          <w:sz w:val="32"/>
          <w:szCs w:val="32"/>
        </w:rPr>
        <w:t xml:space="preserve">本项目不接受联合体，不得转包、分包本项目。</w:t>
      </w:r>
      <w:r/>
    </w:p>
    <w:p>
      <w:pPr>
        <w:ind w:firstLine="641"/>
        <w:spacing w:line="560" w:lineRule="exact"/>
        <w:widowControl/>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 xml:space="preserve">5.拒绝下述供应商参加本次征集活动：</w:t>
      </w:r>
      <w:r/>
    </w:p>
    <w:p>
      <w:pPr>
        <w:ind w:firstLine="640"/>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（1）单位负责人为同一人或者存在直接控股、管理关系的不同供应商，不得参加同一合同项下的政府采购活动。</w:t>
      </w:r>
      <w:r/>
    </w:p>
    <w:p>
      <w:pPr>
        <w:ind w:firstLine="640"/>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（2）</w:t>
      </w:r>
      <w:r>
        <w:rPr>
          <w:rFonts w:hint="eastAsia" w:ascii="仿宋_GB2312" w:hAnsi="仿宋_GB2312" w:eastAsia="仿宋_GB2312" w:cs="仿宋_GB2312"/>
          <w:sz w:val="32"/>
          <w:szCs w:val="32"/>
        </w:rPr>
        <w:t xml:space="preserve">对列入失信被执行人、重大税收违法案件当事人名单、政府采购严重违法失信行为记录名单及其他不符合《中华人民共和国政府采购法》第二十二条规定条件的供应商，拒绝其参与政府采购活动。</w:t>
      </w:r>
      <w:r/>
    </w:p>
    <w:p>
      <w:pPr>
        <w:ind w:firstLine="640"/>
        <w:spacing w:line="560" w:lineRule="exact"/>
        <w:widowControl/>
        <w:rPr>
          <w:rFonts w:ascii="楷体_GB2312" w:hAnsi="楷体_GB2312" w:eastAsia="楷体_GB2312" w:cs="楷体_GB2312"/>
          <w:bCs/>
          <w:sz w:val="32"/>
          <w:szCs w:val="32"/>
        </w:rPr>
      </w:pPr>
      <w:r>
        <w:rPr>
          <w:rFonts w:hint="eastAsia" w:ascii="楷体_GB2312" w:hAnsi="楷体_GB2312" w:eastAsia="楷体_GB2312" w:cs="楷体_GB2312"/>
          <w:bCs/>
          <w:sz w:val="32"/>
          <w:szCs w:val="32"/>
        </w:rPr>
        <w:t xml:space="preserve">三、获取征集文件</w:t>
      </w:r>
      <w:r/>
    </w:p>
    <w:p>
      <w:pPr>
        <w:ind w:firstLine="641"/>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b/>
          <w:bCs/>
          <w:sz w:val="32"/>
          <w:szCs w:val="32"/>
        </w:rPr>
        <w:t xml:space="preserve">1.时间：</w:t>
      </w:r>
      <w:r>
        <w:rPr>
          <w:rFonts w:hint="eastAsia" w:ascii="仿宋_GB2312" w:hAnsi="仿宋_GB2312" w:eastAsia="仿宋_GB2312" w:cs="仿宋_GB2312"/>
          <w:sz w:val="32"/>
          <w:szCs w:val="32"/>
        </w:rPr>
        <w:t xml:space="preserve">自公告发布之日起5个工作日</w:t>
      </w:r>
      <w:r/>
    </w:p>
    <w:p>
      <w:pPr>
        <w:ind w:firstLine="641"/>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b/>
          <w:bCs/>
          <w:sz w:val="32"/>
          <w:szCs w:val="32"/>
        </w:rPr>
        <w:t xml:space="preserve">2.地点：</w:t>
      </w:r>
      <w:r>
        <w:rPr>
          <w:rFonts w:hint="eastAsia" w:ascii="仿宋_GB2312" w:hAnsi="仿宋_GB2312" w:eastAsia="仿宋_GB2312" w:cs="仿宋_GB2312"/>
          <w:sz w:val="32"/>
          <w:szCs w:val="32"/>
        </w:rPr>
        <w:t xml:space="preserve">“苏采云”系统自行下载征集文件</w:t>
      </w:r>
      <w:r/>
    </w:p>
    <w:p>
      <w:pPr>
        <w:ind w:firstLine="641"/>
        <w:spacing w:line="560" w:lineRule="exact"/>
        <w:widowControl/>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 xml:space="preserve">3.方式：</w:t>
      </w:r>
      <w:r/>
    </w:p>
    <w:p>
      <w:pPr>
        <w:ind w:firstLine="640"/>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（1）CA证书办理</w:t>
      </w:r>
      <w:r/>
    </w:p>
    <w:p>
      <w:pPr>
        <w:ind w:firstLine="640"/>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ind w:firstLine="640"/>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（2）依法获取征集文件</w:t>
      </w:r>
      <w:r/>
    </w:p>
    <w:p>
      <w:pPr>
        <w:ind w:firstLine="640"/>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供应商插入CA证书登陆“苏采云”系统后选择具体项目，点击“我要参与”并签章提交《投标供应商确认函》，确认参与后自行免费下载征集文件，提交《投标供应商确认函》日期视同为依法获取征集文件日期。供应商须打印、保留《投标供应商确认函》，质疑时《投标供应商确认函》与质疑函一并提交；未依照征集公告要求获取征集文件的供应商，视为未参与该项政府采购活动，不具备对该政府采购项目提出质疑的法定权利，但因供应商资格条件或获取征集文件时间设定不符合有关法律法规规定等原因使供应商权益受损的除外。</w:t>
      </w:r>
      <w:r/>
    </w:p>
    <w:p>
      <w:pPr>
        <w:ind w:firstLine="640"/>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（3）在系统操作过程中如有疑问，请按以下方式联系：</w:t>
      </w:r>
      <w:r/>
    </w:p>
    <w:p>
      <w:pPr>
        <w:ind w:firstLine="640"/>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注册咨询：13914088964；</w:t>
      </w:r>
      <w:r/>
    </w:p>
    <w:p>
      <w:pPr>
        <w:ind w:firstLine="640"/>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CA技术咨询电话：400-608-6099；</w:t>
      </w:r>
      <w:r/>
    </w:p>
    <w:p>
      <w:pPr>
        <w:ind w:firstLine="640"/>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签章使用问题：025-83633811、025-83633812、15380932027、15371015030；</w:t>
      </w:r>
      <w:r/>
    </w:p>
    <w:p>
      <w:pPr>
        <w:ind w:firstLine="640"/>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系统使用指导与咨询：联系电话：13914088964、0512-69820854；智能客服：登录苏采云系统后，联系系统右下方智能客服图标进行咨询。</w:t>
      </w:r>
      <w:r/>
    </w:p>
    <w:p>
      <w:pPr>
        <w:ind w:firstLine="641"/>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b/>
          <w:bCs/>
          <w:sz w:val="32"/>
          <w:szCs w:val="32"/>
        </w:rPr>
        <w:t xml:space="preserve">4.售价：</w:t>
      </w:r>
      <w:r>
        <w:rPr>
          <w:rFonts w:hint="eastAsia" w:ascii="仿宋_GB2312" w:hAnsi="仿宋_GB2312" w:eastAsia="仿宋_GB2312" w:cs="仿宋_GB2312"/>
          <w:sz w:val="32"/>
          <w:szCs w:val="32"/>
        </w:rPr>
        <w:t xml:space="preserve">免费</w:t>
      </w:r>
      <w:r/>
    </w:p>
    <w:p>
      <w:pPr>
        <w:ind w:firstLine="640"/>
        <w:spacing w:line="560" w:lineRule="exact"/>
        <w:widowControl/>
        <w:rPr>
          <w:rFonts w:ascii="楷体_GB2312" w:hAnsi="楷体_GB2312" w:eastAsia="楷体_GB2312" w:cs="楷体_GB2312"/>
          <w:bCs/>
          <w:sz w:val="32"/>
          <w:szCs w:val="32"/>
        </w:rPr>
      </w:pPr>
      <w:r>
        <w:rPr>
          <w:rFonts w:hint="eastAsia" w:ascii="楷体_GB2312" w:hAnsi="楷体_GB2312" w:eastAsia="楷体_GB2312" w:cs="楷体_GB2312"/>
          <w:bCs/>
          <w:sz w:val="32"/>
          <w:szCs w:val="32"/>
        </w:rPr>
        <w:t xml:space="preserve">四、响应文件提交及开启</w:t>
      </w:r>
      <w:r/>
    </w:p>
    <w:p>
      <w:pPr>
        <w:ind w:firstLine="641"/>
        <w:spacing w:line="560" w:lineRule="exact"/>
        <w:widowControl/>
        <w:rPr>
          <w:rFonts w:ascii="仿宋_GB2312" w:hAnsi="仿宋_GB2312" w:eastAsia="仿宋_GB2312" w:cs="仿宋_GB2312"/>
          <w:b/>
          <w:sz w:val="32"/>
          <w:szCs w:val="32"/>
        </w:rPr>
      </w:pPr>
      <w:r>
        <w:rPr>
          <w:rFonts w:hint="eastAsia" w:ascii="仿宋_GB2312" w:hAnsi="仿宋_GB2312" w:eastAsia="仿宋_GB2312" w:cs="仿宋_GB2312"/>
          <w:b/>
          <w:bCs/>
          <w:sz w:val="32"/>
          <w:szCs w:val="32"/>
        </w:rPr>
        <w:t xml:space="preserve">1.提交响应文件截止时间：</w:t>
      </w:r>
      <w:r>
        <w:rPr>
          <w:rFonts w:hint="eastAsia" w:ascii="仿宋_GB2312" w:hAnsi="仿宋_GB2312" w:eastAsia="仿宋_GB2312" w:cs="仿宋_GB2312"/>
          <w:sz w:val="32"/>
          <w:szCs w:val="32"/>
        </w:rPr>
        <w:t xml:space="preserve">2026年9月8日9点30分（北京时间）；</w:t>
      </w:r>
      <w:r/>
    </w:p>
    <w:p>
      <w:pPr>
        <w:ind w:firstLine="641"/>
        <w:spacing w:line="560" w:lineRule="exact"/>
        <w:widowControl/>
        <w:rPr>
          <w:rFonts w:ascii="仿宋_GB2312" w:hAnsi="仿宋_GB2312" w:eastAsia="仿宋_GB2312" w:cs="仿宋_GB2312"/>
          <w:b/>
          <w:sz w:val="32"/>
          <w:szCs w:val="32"/>
        </w:rPr>
      </w:pPr>
      <w:r>
        <w:rPr>
          <w:rFonts w:hint="eastAsia" w:ascii="仿宋_GB2312" w:hAnsi="仿宋_GB2312" w:eastAsia="仿宋_GB2312" w:cs="仿宋_GB2312"/>
          <w:b/>
          <w:bCs/>
          <w:sz w:val="32"/>
          <w:szCs w:val="32"/>
        </w:rPr>
        <w:t xml:space="preserve">2.开启时间：</w:t>
      </w:r>
      <w:r>
        <w:rPr>
          <w:rFonts w:hint="eastAsia" w:ascii="仿宋_GB2312" w:hAnsi="仿宋_GB2312" w:eastAsia="仿宋_GB2312" w:cs="仿宋_GB2312"/>
          <w:sz w:val="32"/>
          <w:szCs w:val="32"/>
        </w:rPr>
        <w:t xml:space="preserve">2026年9月8日9点30分（北京时间）；</w:t>
      </w:r>
      <w:r/>
    </w:p>
    <w:p>
      <w:pPr>
        <w:ind w:firstLine="641"/>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b/>
          <w:bCs/>
          <w:sz w:val="32"/>
          <w:szCs w:val="32"/>
        </w:rPr>
        <w:t xml:space="preserve">3.地点：“苏采云”系统</w:t>
      </w:r>
      <w:r>
        <w:rPr>
          <w:rFonts w:hint="eastAsia" w:ascii="仿宋_GB2312" w:hAnsi="仿宋_GB2312" w:eastAsia="仿宋_GB2312" w:cs="仿宋_GB2312"/>
          <w:sz w:val="32"/>
          <w:szCs w:val="32"/>
        </w:rPr>
        <w:t xml:space="preserve">（网址：</w:t>
      </w:r>
      <w:hyperlink r:id="rId13" w:tooltip="http://jszfcg.jsczt.cn/" w:history="1">
        <w:r>
          <w:rPr>
            <w:rFonts w:hint="eastAsia" w:ascii="仿宋_GB2312" w:hAnsi="仿宋_GB2312" w:eastAsia="仿宋_GB2312" w:cs="仿宋_GB2312"/>
            <w:sz w:val="32"/>
            <w:szCs w:val="32"/>
            <w:u w:val="single"/>
          </w:rPr>
          <w:t xml:space="preserve">http://jszfcg.jsczt.cn/</w:t>
        </w:r>
      </w:hyperlink>
      <w:r>
        <w:rPr>
          <w:rFonts w:hint="eastAsia" w:ascii="仿宋_GB2312" w:hAnsi="仿宋_GB2312" w:eastAsia="仿宋_GB2312" w:cs="仿宋_GB2312"/>
          <w:sz w:val="32"/>
          <w:szCs w:val="32"/>
        </w:rPr>
        <w:t xml:space="preserve">）</w:t>
      </w:r>
      <w:r/>
    </w:p>
    <w:p>
      <w:pPr>
        <w:ind w:firstLine="641"/>
        <w:spacing w:line="560" w:lineRule="exact"/>
        <w:widowControl/>
        <w:rPr>
          <w:rFonts w:ascii="仿宋_GB2312" w:hAnsi="仿宋_GB2312" w:eastAsia="仿宋_GB2312" w:cs="仿宋_GB2312"/>
          <w:b/>
          <w:sz w:val="32"/>
          <w:szCs w:val="32"/>
        </w:rPr>
      </w:pPr>
      <w:r>
        <w:rPr>
          <w:rFonts w:hint="eastAsia" w:ascii="仿宋_GB2312" w:hAnsi="仿宋_GB2312" w:eastAsia="仿宋_GB2312" w:cs="仿宋_GB2312"/>
          <w:b/>
          <w:bCs/>
          <w:sz w:val="32"/>
          <w:szCs w:val="32"/>
        </w:rPr>
        <w:t xml:space="preserve">4.本项目采用电子招投标形式，</w:t>
      </w:r>
      <w:r>
        <w:rPr>
          <w:rFonts w:hint="eastAsia" w:ascii="仿宋_GB2312" w:hAnsi="仿宋_GB2312" w:eastAsia="仿宋_GB2312" w:cs="仿宋_GB2312"/>
          <w:sz w:val="32"/>
          <w:szCs w:val="32"/>
        </w:rPr>
        <w:t xml:space="preserve">请供应商插入CA 证书登陆“苏采云”系统在线编制电子响应文件，操作步骤详见“苏采云”系统页面提示。电子响应文件制作完成后请于响应文件递交截止时间前上传成功，否则视为放弃参加该采购项目。</w:t>
      </w:r>
      <w:r>
        <w:rPr>
          <w:rFonts w:hint="eastAsia" w:ascii="仿宋_GB2312" w:hAnsi="仿宋_GB2312" w:eastAsia="仿宋_GB2312" w:cs="仿宋_GB2312"/>
          <w:b/>
          <w:sz w:val="32"/>
          <w:szCs w:val="32"/>
        </w:rPr>
        <w:t xml:space="preserve">供应商应充分考虑到网络环境、网络带宽等风险因素，如因供应商自身原因造成的电子响应文件上传不成功由供应商自行承担全部责任。</w:t>
      </w:r>
      <w:r/>
    </w:p>
    <w:p>
      <w:pPr>
        <w:ind w:firstLine="641"/>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b/>
          <w:bCs/>
          <w:sz w:val="32"/>
          <w:szCs w:val="32"/>
        </w:rPr>
        <w:t xml:space="preserve">5.线上参加开标（开启）会方式：</w:t>
      </w:r>
      <w:r>
        <w:rPr>
          <w:rFonts w:hint="eastAsia" w:ascii="仿宋_GB2312" w:hAnsi="仿宋_GB2312" w:eastAsia="仿宋_GB2312" w:cs="仿宋_GB2312"/>
          <w:sz w:val="32"/>
          <w:szCs w:val="32"/>
        </w:rPr>
        <w:t xml:space="preserve">供应商登录“苏采云”系统在平台首页点击“开标大厅”，进入江苏省政府采购一体化不见面开标（采购）大厅，在今日项目列表，点击项目，进入不见</w:t>
      </w:r>
      <w:r>
        <w:rPr>
          <w:rFonts w:hint="eastAsia" w:ascii="仿宋_GB2312" w:hAnsi="仿宋_GB2312" w:eastAsia="仿宋_GB2312" w:cs="仿宋_GB2312"/>
          <w:sz w:val="32"/>
          <w:szCs w:val="32"/>
        </w:rPr>
        <w:t xml:space="preserve">面开标系统。</w:t>
      </w:r>
      <w:r>
        <w:rPr>
          <w:rFonts w:hint="eastAsia" w:ascii="仿宋_GB2312" w:hAnsi="仿宋_GB2312" w:eastAsia="仿宋_GB2312" w:cs="仿宋_GB2312"/>
          <w:b/>
          <w:sz w:val="32"/>
          <w:szCs w:val="32"/>
        </w:rPr>
        <w:t xml:space="preserve">本项目为不见面交易项目，开启阶段供应商在【供应商解密】环节必须使用 CA证书解密电子响应文件，如在系统规定的解密时间（响应文件提交截止时间后 30 分钟)内未能完成解密的视为放弃参与本项目。</w:t>
      </w:r>
      <w:r/>
    </w:p>
    <w:p>
      <w:pPr>
        <w:ind w:firstLine="640"/>
        <w:spacing w:line="560" w:lineRule="exact"/>
        <w:widowControl/>
        <w:rPr>
          <w:rFonts w:ascii="楷体_GB2312" w:hAnsi="楷体_GB2312" w:eastAsia="楷体_GB2312" w:cs="楷体_GB2312"/>
          <w:bCs/>
          <w:sz w:val="32"/>
          <w:szCs w:val="32"/>
        </w:rPr>
      </w:pPr>
      <w:r>
        <w:rPr>
          <w:rFonts w:hint="eastAsia" w:ascii="楷体_GB2312" w:hAnsi="楷体_GB2312" w:eastAsia="楷体_GB2312" w:cs="楷体_GB2312"/>
          <w:bCs/>
          <w:sz w:val="32"/>
          <w:szCs w:val="32"/>
        </w:rPr>
        <w:t xml:space="preserve">五、公告期限</w:t>
      </w:r>
      <w:r/>
    </w:p>
    <w:p>
      <w:pPr>
        <w:ind w:firstLine="420"/>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自本公告发布之日起 5 个工作日</w:t>
      </w:r>
      <w:r/>
    </w:p>
    <w:p>
      <w:pPr>
        <w:ind w:firstLine="640"/>
        <w:spacing w:line="560" w:lineRule="exact"/>
        <w:widowControl/>
        <w:rPr>
          <w:rFonts w:ascii="楷体_GB2312" w:hAnsi="楷体_GB2312" w:eastAsia="楷体_GB2312" w:cs="楷体_GB2312"/>
          <w:bCs/>
          <w:sz w:val="32"/>
          <w:szCs w:val="32"/>
        </w:rPr>
      </w:pPr>
      <w:r>
        <w:rPr>
          <w:rFonts w:hint="eastAsia" w:ascii="楷体_GB2312" w:hAnsi="楷体_GB2312" w:eastAsia="楷体_GB2312" w:cs="楷体_GB2312"/>
          <w:bCs/>
          <w:sz w:val="32"/>
          <w:szCs w:val="32"/>
        </w:rPr>
        <w:t xml:space="preserve">六、其他补充事宜</w:t>
      </w:r>
      <w:r/>
    </w:p>
    <w:p>
      <w:pPr>
        <w:ind w:firstLine="640"/>
        <w:spacing w:line="560" w:lineRule="exact"/>
        <w:tabs>
          <w:tab w:val="left" w:pos="567" w:leader="none"/>
        </w:tabs>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jc w:val="center"/>
          <w:trHeight w:val="2424"/>
        </w:trPr>
        <w:tc>
          <w:tcPr>
            <w:tcW w:w="9918" w:type="dxa"/>
            <w:textDirection w:val="lrTb"/>
            <w:noWrap w:val="false"/>
          </w:tcPr>
          <w:p>
            <w:pPr>
              <w:jc w:val="center"/>
              <w:spacing w:line="560" w:lineRule="exact"/>
              <w:rPr>
                <w:rFonts w:ascii="仿宋_GB2312" w:hAnsi="仿宋_GB2312" w:eastAsia="仿宋_GB2312" w:cs="仿宋_GB2312"/>
                <w:b/>
                <w:sz w:val="32"/>
                <w:szCs w:val="32"/>
              </w:rPr>
            </w:pPr>
            <w:r>
              <w:rPr>
                <w:rFonts w:hint="eastAsia" w:ascii="仿宋_GB2312" w:hAnsi="仿宋_GB2312" w:eastAsia="仿宋_GB2312" w:cs="仿宋_GB2312"/>
                <w:b/>
                <w:sz w:val="32"/>
                <w:szCs w:val="32"/>
              </w:rPr>
              <w:t xml:space="preserve">政府采购合同信用融资政策告知函</w:t>
            </w:r>
            <w:r/>
          </w:p>
          <w:p>
            <w:pPr>
              <w:spacing w:line="560" w:lineRule="exact"/>
              <w:rPr>
                <w:rFonts w:ascii="仿宋_GB2312" w:hAnsi="仿宋_GB2312" w:eastAsia="仿宋_GB2312" w:cs="仿宋_GB2312"/>
                <w:b/>
                <w:sz w:val="32"/>
                <w:szCs w:val="32"/>
              </w:rPr>
            </w:pPr>
            <w:r>
              <w:rPr>
                <w:rFonts w:hint="eastAsia" w:ascii="仿宋_GB2312" w:hAnsi="仿宋_GB2312" w:eastAsia="仿宋_GB2312" w:cs="仿宋_GB2312"/>
                <w:b/>
                <w:sz w:val="32"/>
                <w:szCs w:val="32"/>
              </w:rPr>
              <w:t xml:space="preserve">各政府采购供应商：</w:t>
            </w:r>
            <w:r/>
          </w:p>
          <w:p>
            <w:pPr>
              <w:ind w:firstLine="42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欢迎贵公司参加苏州市政府采购活动！</w:t>
            </w:r>
            <w:r/>
          </w:p>
          <w:p>
            <w:pPr>
              <w:ind w:firstLine="42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ind w:firstLine="640"/>
        <w:spacing w:line="560" w:lineRule="exact"/>
        <w:widowControl/>
        <w:rPr>
          <w:rFonts w:ascii="楷体_GB2312" w:hAnsi="楷体_GB2312" w:eastAsia="楷体_GB2312" w:cs="楷体_GB2312"/>
          <w:bCs/>
          <w:sz w:val="32"/>
          <w:szCs w:val="32"/>
        </w:rPr>
      </w:pPr>
      <w:r>
        <w:rPr>
          <w:rFonts w:hint="eastAsia" w:ascii="楷体_GB2312" w:hAnsi="楷体_GB2312" w:eastAsia="楷体_GB2312" w:cs="楷体_GB2312"/>
          <w:bCs/>
          <w:sz w:val="32"/>
          <w:szCs w:val="32"/>
        </w:rPr>
        <w:t xml:space="preserve">七、对本次征集提出询问，请按以下方式联系</w:t>
      </w:r>
      <w:r/>
    </w:p>
    <w:p>
      <w:pPr>
        <w:ind w:firstLine="640"/>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征集人信息</w:t>
      </w:r>
      <w:r/>
    </w:p>
    <w:p>
      <w:pPr>
        <w:ind w:firstLine="640"/>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名称：苏州市财政局</w:t>
      </w:r>
      <w:r/>
    </w:p>
    <w:p>
      <w:pPr>
        <w:ind w:firstLine="640"/>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地址：苏州三香路998号</w:t>
      </w:r>
      <w:r/>
    </w:p>
    <w:p>
      <w:pPr>
        <w:ind w:firstLine="640"/>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项目联系人：贡先生</w:t>
      </w:r>
      <w:r/>
    </w:p>
    <w:p>
      <w:pPr>
        <w:ind w:firstLine="640"/>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电话：0512-68616639</w:t>
      </w:r>
      <w:r/>
    </w:p>
    <w:p>
      <w:pPr>
        <w:jc w:val="center"/>
        <w:pageBreakBefore/>
        <w:spacing w:line="560" w:lineRule="exact"/>
        <w:rPr>
          <w:rFonts w:ascii="黑体" w:hAnsi="黑体" w:eastAsia="黑体" w:cs="黑体"/>
          <w:bCs/>
          <w:sz w:val="32"/>
          <w:szCs w:val="32"/>
        </w:rPr>
        <w:outlineLvl w:val="0"/>
      </w:pPr>
      <w:r/>
      <w:bookmarkStart w:id="6" w:name="_Toc25840"/>
      <w:r/>
      <w:bookmarkStart w:id="7" w:name="_Toc41641136"/>
      <w:r/>
      <w:bookmarkStart w:id="8" w:name="_Toc74050520"/>
      <w:r/>
      <w:bookmarkStart w:id="9" w:name="_Toc65593808"/>
      <w:r/>
      <w:bookmarkStart w:id="10" w:name="_Toc212815965"/>
      <w:r>
        <w:rPr>
          <w:rFonts w:hint="eastAsia" w:ascii="黑体" w:hAnsi="黑体" w:eastAsia="黑体" w:cs="黑体"/>
          <w:bCs/>
          <w:sz w:val="32"/>
          <w:szCs w:val="32"/>
        </w:rPr>
        <w:t xml:space="preserve">第二章 供应商须知</w:t>
      </w:r>
      <w:bookmarkEnd w:id="6"/>
      <w:r/>
      <w:bookmarkEnd w:id="7"/>
      <w:r/>
      <w:bookmarkEnd w:id="8"/>
      <w:r/>
      <w:bookmarkEnd w:id="9"/>
      <w:r/>
      <w:bookmarkEnd w:id="10"/>
      <w:r/>
      <w:r/>
    </w:p>
    <w:p>
      <w:pPr>
        <w:ind w:firstLine="640"/>
        <w:spacing w:line="560" w:lineRule="exact"/>
        <w:rPr>
          <w:rFonts w:ascii="楷体_GB2312" w:hAnsi="楷体_GB2312" w:eastAsia="楷体_GB2312" w:cs="楷体_GB2312"/>
          <w:bCs/>
          <w:sz w:val="32"/>
          <w:szCs w:val="32"/>
        </w:rPr>
      </w:pPr>
      <w:r>
        <w:rPr>
          <w:rFonts w:hint="eastAsia" w:ascii="楷体_GB2312" w:hAnsi="楷体_GB2312" w:eastAsia="楷体_GB2312" w:cs="楷体_GB2312"/>
          <w:bCs/>
          <w:sz w:val="32"/>
          <w:szCs w:val="32"/>
        </w:rPr>
        <w:t xml:space="preserve">一、总则</w:t>
      </w:r>
      <w:r/>
    </w:p>
    <w:p>
      <w:pPr>
        <w:ind w:firstLine="641"/>
        <w:spacing w:line="560" w:lineRule="exact"/>
        <w:rPr>
          <w:rFonts w:ascii="仿宋_GB2312" w:hAnsi="仿宋_GB2312" w:eastAsia="仿宋_GB2312" w:cs="仿宋_GB2312"/>
          <w:b/>
          <w:sz w:val="32"/>
          <w:szCs w:val="32"/>
        </w:rPr>
      </w:pPr>
      <w:r>
        <w:rPr>
          <w:rFonts w:hint="eastAsia" w:ascii="仿宋_GB2312" w:hAnsi="仿宋_GB2312" w:eastAsia="仿宋_GB2312" w:cs="仿宋_GB2312"/>
          <w:b/>
          <w:sz w:val="32"/>
          <w:szCs w:val="32"/>
        </w:rPr>
        <w:t xml:space="preserve">1.采购方式</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1.1本次项目采用封闭式框架协议采购方式，本征集文件仅适用于征集公告中所述项目。</w:t>
      </w:r>
      <w:r/>
    </w:p>
    <w:p>
      <w:pPr>
        <w:ind w:firstLine="640"/>
        <w:spacing w:line="560" w:lineRule="exact"/>
        <w:rPr>
          <w:rFonts w:ascii="仿宋_GB2312" w:hAnsi="仿宋_GB2312" w:eastAsia="仿宋_GB2312" w:cs="仿宋_GB2312"/>
          <w:bCs/>
          <w:sz w:val="32"/>
          <w:szCs w:val="32"/>
        </w:rPr>
      </w:pPr>
      <w:r>
        <w:rPr>
          <w:rFonts w:hint="eastAsia" w:ascii="仿宋_GB2312" w:hAnsi="仿宋_GB2312" w:eastAsia="仿宋_GB2312" w:cs="仿宋_GB2312"/>
          <w:bCs/>
          <w:sz w:val="32"/>
          <w:szCs w:val="32"/>
        </w:rPr>
        <w:t xml:space="preserve">2.合格的供应商</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2.1满足征集公告中供应商资格要求的规定。</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2.2满足本征集文件实质性条款的规定。</w:t>
      </w:r>
      <w:r/>
    </w:p>
    <w:p>
      <w:pPr>
        <w:ind w:firstLine="641"/>
        <w:spacing w:line="560" w:lineRule="exact"/>
        <w:rPr>
          <w:rFonts w:ascii="仿宋_GB2312" w:hAnsi="仿宋_GB2312" w:eastAsia="仿宋_GB2312" w:cs="仿宋_GB2312"/>
          <w:b/>
          <w:sz w:val="32"/>
          <w:szCs w:val="32"/>
        </w:rPr>
      </w:pPr>
      <w:r>
        <w:rPr>
          <w:rFonts w:hint="eastAsia" w:ascii="仿宋_GB2312" w:hAnsi="仿宋_GB2312" w:eastAsia="仿宋_GB2312" w:cs="仿宋_GB2312"/>
          <w:b/>
          <w:sz w:val="32"/>
          <w:szCs w:val="32"/>
        </w:rPr>
        <w:t xml:space="preserve">3.适用法律</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3.1本次封闭式框架协议采购活动（以下简称采购活动）及由此产生的框架协议文本和采购合同文本受中华人民共和国有关的法律法规制约和保护。</w:t>
      </w:r>
      <w:r/>
    </w:p>
    <w:p>
      <w:pPr>
        <w:ind w:firstLine="641"/>
        <w:spacing w:line="560" w:lineRule="exact"/>
        <w:rPr>
          <w:rFonts w:ascii="仿宋_GB2312" w:hAnsi="仿宋_GB2312" w:eastAsia="仿宋_GB2312" w:cs="仿宋_GB2312"/>
          <w:b/>
          <w:sz w:val="32"/>
          <w:szCs w:val="32"/>
        </w:rPr>
      </w:pPr>
      <w:r>
        <w:rPr>
          <w:rFonts w:hint="eastAsia" w:ascii="仿宋_GB2312" w:hAnsi="仿宋_GB2312" w:eastAsia="仿宋_GB2312" w:cs="仿宋_GB2312"/>
          <w:b/>
          <w:sz w:val="32"/>
          <w:szCs w:val="32"/>
        </w:rPr>
        <w:t xml:space="preserve">4.参加采购活动的费用</w:t>
      </w:r>
      <w:r/>
    </w:p>
    <w:p>
      <w:pPr>
        <w:ind w:firstLine="640"/>
        <w:spacing w:line="560" w:lineRule="exact"/>
        <w:rPr>
          <w:rFonts w:ascii="仿宋_GB2312" w:hAnsi="仿宋_GB2312" w:eastAsia="仿宋_GB2312" w:cs="仿宋_GB2312"/>
          <w:b/>
          <w:sz w:val="32"/>
          <w:szCs w:val="32"/>
        </w:rPr>
      </w:pPr>
      <w:r>
        <w:rPr>
          <w:rFonts w:hint="eastAsia" w:ascii="仿宋_GB2312" w:hAnsi="仿宋_GB2312" w:eastAsia="仿宋_GB2312" w:cs="仿宋_GB2312"/>
          <w:sz w:val="32"/>
          <w:szCs w:val="32"/>
        </w:rPr>
        <w:t xml:space="preserve">4.1无论采购过程中的做法和结果如何，供应商自行承担所有与参加采购活动有关的全部费用。</w:t>
      </w:r>
      <w:r/>
    </w:p>
    <w:p>
      <w:pPr>
        <w:ind w:firstLine="640"/>
        <w:spacing w:line="560" w:lineRule="exact"/>
        <w:rPr>
          <w:rFonts w:ascii="仿宋_GB2312" w:hAnsi="仿宋_GB2312" w:eastAsia="仿宋_GB2312" w:cs="仿宋_GB2312"/>
          <w:b/>
          <w:sz w:val="32"/>
          <w:szCs w:val="32"/>
        </w:rPr>
      </w:pPr>
      <w:r>
        <w:rPr>
          <w:rFonts w:hint="eastAsia" w:ascii="仿宋_GB2312" w:hAnsi="仿宋_GB2312" w:eastAsia="仿宋_GB2312" w:cs="仿宋_GB2312"/>
          <w:sz w:val="32"/>
          <w:szCs w:val="32"/>
        </w:rPr>
        <w:t xml:space="preserve">4.2本次采购活动苏州市政府集中采购中心不收取代理服务费。</w:t>
      </w:r>
      <w:r/>
    </w:p>
    <w:p>
      <w:pPr>
        <w:ind w:firstLine="640"/>
        <w:spacing w:line="560" w:lineRule="exact"/>
        <w:rPr>
          <w:rFonts w:ascii="楷体_GB2312" w:hAnsi="楷体_GB2312" w:eastAsia="楷体_GB2312" w:cs="楷体_GB2312"/>
          <w:bCs/>
          <w:sz w:val="32"/>
          <w:szCs w:val="32"/>
        </w:rPr>
      </w:pPr>
      <w:r>
        <w:rPr>
          <w:rFonts w:hint="eastAsia" w:ascii="楷体_GB2312" w:hAnsi="楷体_GB2312" w:eastAsia="楷体_GB2312" w:cs="楷体_GB2312"/>
          <w:bCs/>
          <w:sz w:val="32"/>
          <w:szCs w:val="32"/>
        </w:rPr>
        <w:t xml:space="preserve">二、征集文件</w:t>
      </w:r>
      <w:r/>
    </w:p>
    <w:p>
      <w:pPr>
        <w:ind w:firstLine="641"/>
        <w:spacing w:line="560" w:lineRule="exact"/>
        <w:widowControl/>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 xml:space="preserve">1.征集文件的说明</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1.1征集文件包括本文件目录所列全部内容及相关补充、澄清和修正文件，供应商应仔细阅读，并在响应文件中充分反映征集文件的所有要求。</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1.2供应商应领取征集文件及有关资料，按征集文件要求提交资料并对征集文件各项内容做出实质性响应，供应商应自行承担责任，并可能导致其响应被拒绝。</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1.3供应商一旦参加本项目，即被认为接受了本征集文件中的所有条件和规定。</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1.4征集文件仅作为本次采购使用。</w:t>
      </w:r>
      <w:r/>
    </w:p>
    <w:p>
      <w:pPr>
        <w:ind w:firstLine="641"/>
        <w:spacing w:line="560" w:lineRule="exact"/>
        <w:rPr>
          <w:rFonts w:ascii="仿宋_GB2312" w:hAnsi="仿宋_GB2312" w:eastAsia="仿宋_GB2312" w:cs="仿宋_GB2312"/>
          <w:b/>
          <w:sz w:val="32"/>
          <w:szCs w:val="32"/>
        </w:rPr>
      </w:pPr>
      <w:r>
        <w:rPr>
          <w:rFonts w:hint="eastAsia" w:ascii="仿宋_GB2312" w:hAnsi="仿宋_GB2312" w:eastAsia="仿宋_GB2312" w:cs="仿宋_GB2312"/>
          <w:b/>
          <w:sz w:val="32"/>
          <w:szCs w:val="32"/>
        </w:rPr>
        <w:t xml:space="preserve">2.征集文件的澄清和修正</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2.1在响应文件提交截止时间前无论出于何种原因征集人可对已发出的征集文件用补充通知（包括更正公告）的方式进行澄清或者修改，并通过苏州市政府采购网对外进行发布。澄清或者修改的内容为征集文件的组成部分。</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2.2澄清或者修改的内容可能影响响应文件编制的，可酌情延长响应文件提交截止时间。</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2.3对于补充通知（包括更正公告），报名成功的供应商通过“苏州市政府采购网”的“采购公告”自行查看所报项目的补充通知（包括更正公告）。补充通知（包括更正公告）将作为征集文件的组成部分，对所有供应商有约束力。</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2.4征集文件的澄清、修改、补充等内容均以苏州市政府采购网上发布的内容为准。</w:t>
      </w:r>
      <w:r/>
    </w:p>
    <w:p>
      <w:pPr>
        <w:ind w:firstLine="640"/>
        <w:spacing w:line="560" w:lineRule="exact"/>
        <w:rPr>
          <w:rFonts w:ascii="楷体_GB2312" w:hAnsi="楷体_GB2312" w:eastAsia="楷体_GB2312" w:cs="楷体_GB2312"/>
          <w:bCs/>
          <w:sz w:val="32"/>
          <w:szCs w:val="32"/>
        </w:rPr>
      </w:pPr>
      <w:r>
        <w:rPr>
          <w:rFonts w:hint="eastAsia" w:ascii="楷体_GB2312" w:hAnsi="楷体_GB2312" w:eastAsia="楷体_GB2312" w:cs="楷体_GB2312"/>
          <w:bCs/>
          <w:sz w:val="32"/>
          <w:szCs w:val="32"/>
        </w:rPr>
        <w:t xml:space="preserve">三、响应文件的组成（所有标段通用）</w:t>
      </w:r>
      <w:r/>
    </w:p>
    <w:p>
      <w:pPr>
        <w:ind w:firstLine="641"/>
        <w:spacing w:line="560" w:lineRule="exact"/>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 xml:space="preserve">1.封面</w:t>
      </w:r>
      <w:r/>
    </w:p>
    <w:p>
      <w:pPr>
        <w:ind w:firstLine="641"/>
        <w:spacing w:line="560" w:lineRule="exact"/>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 xml:space="preserve">2.开标一览表</w:t>
      </w:r>
      <w:r/>
    </w:p>
    <w:p>
      <w:pPr>
        <w:ind w:firstLine="641"/>
        <w:spacing w:line="560" w:lineRule="exact"/>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 xml:space="preserve">3.资格审查文件</w:t>
      </w:r>
      <w:r/>
    </w:p>
    <w:p>
      <w:pPr>
        <w:ind w:firstLine="640"/>
        <w:spacing w:line="560" w:lineRule="exact"/>
        <w:rPr>
          <w:rFonts w:ascii="仿宋_GB2312" w:hAnsi="仿宋_GB2312" w:eastAsia="仿宋_GB2312" w:cs="仿宋_GB2312"/>
          <w:bCs/>
          <w:sz w:val="32"/>
          <w:szCs w:val="32"/>
        </w:rPr>
      </w:pPr>
      <w:r>
        <w:rPr>
          <w:rFonts w:hint="eastAsia" w:ascii="仿宋_GB2312" w:hAnsi="仿宋_GB2312" w:eastAsia="仿宋_GB2312" w:cs="仿宋_GB2312"/>
          <w:bCs/>
          <w:sz w:val="32"/>
          <w:szCs w:val="32"/>
        </w:rPr>
        <w:t xml:space="preserve">3.1合格投标人资格证明材料：</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（1）具有独立承担民事责任的能力证明。包括法人或者其他组织的营业执照等证明文件，自然人的身份证明；</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color w:val="000000"/>
          <w:sz w:val="32"/>
          <w:szCs w:val="32"/>
        </w:rPr>
        <w:t xml:space="preserve">根据《&lt;政府采购实施条例&gt;释义》，银行、保险、石油石化、电力、电信等有行业特殊情况的，取得营业执照的分支机构可以以分公司名义参与投标，采购文件中涉及的“法定代表人”在前述特殊行业中即对应为“分支机构负责人”；本项目允许有行业特殊情况的法人分支机构参加投标。如分支机构投标的，同属一个保险集团的，只能由一个分支机构参加，同一保险公司的不同分公司或支（子）公司，不得同时参加本项目投标。</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（2）具有良好的商业信誉和健全的财务会计制度证明</w:t>
      </w:r>
      <w:r>
        <w:rPr>
          <w:rFonts w:hint="eastAsia" w:ascii="仿宋_GB2312" w:hAnsi="仿宋_GB2312" w:eastAsia="仿宋_GB2312" w:cs="仿宋_GB2312"/>
          <w:b/>
          <w:sz w:val="32"/>
          <w:szCs w:val="32"/>
        </w:rPr>
        <w:t xml:space="preserve">（法人应提供最近一期经会计师事务所审计的财务报告，其他组织、自然人及成立未满一年的法人应提供银行出具的资信证明）</w:t>
      </w:r>
      <w:r>
        <w:rPr>
          <w:rFonts w:hint="eastAsia" w:ascii="仿宋_GB2312" w:hAnsi="仿宋_GB2312" w:eastAsia="仿宋_GB2312" w:cs="仿宋_GB2312"/>
          <w:sz w:val="32"/>
          <w:szCs w:val="32"/>
        </w:rPr>
        <w:t xml:space="preserve">；</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（3）具备履行合同所必需的设备和专业技术能力的证明材料或承诺；</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（4）依法缴纳税收和社会保障资金的相关资料</w:t>
      </w:r>
      <w:r>
        <w:rPr>
          <w:rFonts w:hint="eastAsia" w:ascii="仿宋_GB2312" w:hAnsi="仿宋_GB2312" w:eastAsia="仿宋_GB2312" w:cs="仿宋_GB2312"/>
          <w:b/>
          <w:sz w:val="32"/>
          <w:szCs w:val="32"/>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仿宋_GB2312" w:hAnsi="仿宋_GB2312" w:eastAsia="仿宋_GB2312" w:cs="仿宋_GB2312"/>
          <w:sz w:val="32"/>
          <w:szCs w:val="32"/>
        </w:rPr>
        <w:t xml:space="preserve">；</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（5）参加政府采购活动前三年内在经营活动中没有重大违</w:t>
      </w:r>
      <w:r>
        <w:rPr>
          <w:rFonts w:hint="eastAsia" w:ascii="仿宋_GB2312" w:hAnsi="仿宋_GB2312" w:eastAsia="仿宋_GB2312" w:cs="仿宋_GB2312"/>
          <w:sz w:val="32"/>
          <w:szCs w:val="32"/>
        </w:rPr>
        <w:t xml:space="preserve">法记录的书面声明函。</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3.2供应商法定代表人身份证复印件；</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3.3法人或者其他组织的营业执照等证明文件复印件；</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3.4法定代表人授权委托书（如有授权，格式见第三章）；</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3.5供应商代理人身份证复印件（如有授权）；</w:t>
      </w:r>
      <w:r/>
    </w:p>
    <w:p>
      <w:pPr>
        <w:ind w:firstLine="640"/>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3.6本项目的特定资格要求：</w:t>
      </w:r>
      <w:r/>
    </w:p>
    <w:p>
      <w:pPr>
        <w:ind w:firstLine="641"/>
        <w:spacing w:line="560" w:lineRule="exact"/>
        <w:widowControl/>
        <w:rPr>
          <w:rFonts w:ascii="仿宋_GB2312" w:hAnsi="仿宋_GB2312" w:eastAsia="仿宋_GB2312" w:cs="仿宋_GB2312"/>
          <w:b/>
          <w:sz w:val="32"/>
          <w:szCs w:val="32"/>
        </w:rPr>
      </w:pPr>
      <w:r>
        <w:rPr>
          <w:rFonts w:hint="eastAsia" w:ascii="仿宋_GB2312" w:hAnsi="仿宋_GB2312" w:eastAsia="仿宋_GB2312" w:cs="仿宋_GB2312"/>
          <w:b/>
          <w:sz w:val="32"/>
          <w:szCs w:val="32"/>
        </w:rPr>
        <w:t xml:space="preserve">（1）具备保险监督管理机构颁发的保险许可证，且符合农业保险经营条件；</w:t>
      </w:r>
      <w:r/>
    </w:p>
    <w:p>
      <w:pPr>
        <w:ind w:firstLine="641"/>
        <w:spacing w:line="560" w:lineRule="exact"/>
        <w:rPr>
          <w:rFonts w:ascii="仿宋_GB2312" w:hAnsi="仿宋_GB2312" w:eastAsia="仿宋_GB2312" w:cs="仿宋_GB2312"/>
          <w:sz w:val="32"/>
          <w:szCs w:val="32"/>
        </w:rPr>
      </w:pPr>
      <w:r>
        <w:rPr>
          <w:rFonts w:hint="eastAsia" w:ascii="仿宋_GB2312" w:hAnsi="仿宋_GB2312" w:eastAsia="仿宋_GB2312" w:cs="仿宋_GB2312"/>
          <w:b/>
          <w:sz w:val="32"/>
          <w:szCs w:val="32"/>
        </w:rPr>
        <w:t xml:space="preserve">（2）本项目接受分支机构投标，分支机构参加投标的需提供保险总公司或符合农业保险经营条件的上级公司的授权，保险总公司或符合农业保险经营条件的上级公司和分支机构不能同时参与投标；同一保险总公司或符合农业保险经营条件的上级公司只允许自身或授权一家分支机构参与本项目投标。</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3.7其它有关资格证明的文件；</w:t>
      </w:r>
      <w:r/>
    </w:p>
    <w:p>
      <w:pPr>
        <w:ind w:firstLine="641"/>
        <w:spacing w:line="560" w:lineRule="exact"/>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 xml:space="preserve">4、符合性审查文件</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4.1响应函（格式见第三章）；</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4.2报价一览表（格式见第三章）；</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4.3投标分项报价表（格式见第三章）；</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4.4服务人员规范用工承诺函（格式见第三章）；</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4.5业务联系人配置（格式见第三章）；</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4.6报价的合理性说明（格式自拟，自行声明报价未低于经营成本)；</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4.7</w:t>
      </w:r>
      <w:r>
        <w:rPr>
          <w:rFonts w:hint="eastAsia" w:ascii="仿宋_GB2312" w:hAnsi="仿宋_GB2312" w:eastAsia="仿宋_GB2312" w:cs="仿宋_GB2312"/>
          <w:b/>
          <w:sz w:val="32"/>
          <w:szCs w:val="32"/>
        </w:rPr>
        <w:t xml:space="preserve">实质性响应内容（供应商根据采购文件中实质性响应内容制作）</w:t>
      </w:r>
      <w:r>
        <w:rPr>
          <w:rFonts w:hint="eastAsia" w:ascii="仿宋_GB2312" w:hAnsi="仿宋_GB2312" w:eastAsia="仿宋_GB2312" w:cs="仿宋_GB2312"/>
          <w:sz w:val="32"/>
          <w:szCs w:val="32"/>
        </w:rPr>
        <w:t xml:space="preserve">；</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4.8其他有关符合性证明的文件；</w:t>
      </w:r>
      <w:r/>
    </w:p>
    <w:p>
      <w:pPr>
        <w:ind w:firstLine="641"/>
        <w:spacing w:line="560" w:lineRule="exact"/>
        <w:rPr>
          <w:rFonts w:ascii="仿宋_GB2312" w:hAnsi="仿宋_GB2312" w:eastAsia="仿宋_GB2312" w:cs="仿宋_GB2312"/>
          <w:b/>
          <w:sz w:val="32"/>
          <w:szCs w:val="32"/>
        </w:rPr>
      </w:pPr>
      <w:r>
        <w:rPr>
          <w:rFonts w:hint="eastAsia" w:ascii="仿宋_GB2312" w:hAnsi="仿宋_GB2312" w:eastAsia="仿宋_GB2312" w:cs="仿宋_GB2312"/>
          <w:b/>
          <w:bCs/>
          <w:sz w:val="32"/>
          <w:szCs w:val="32"/>
        </w:rPr>
        <w:t xml:space="preserve">5.</w:t>
      </w:r>
      <w:r>
        <w:rPr>
          <w:rFonts w:hint="eastAsia" w:ascii="仿宋_GB2312" w:hAnsi="仿宋_GB2312" w:eastAsia="仿宋_GB2312" w:cs="仿宋_GB2312"/>
          <w:b/>
          <w:sz w:val="32"/>
          <w:szCs w:val="32"/>
        </w:rPr>
        <w:t xml:space="preserve">综合评审文件（供应商根据评分标准制作）</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6.对属于《节能产品政府采购品目清单》政府强制采购产品的，需提供该产品有效期内的认证等相关证明材料（如有）。</w:t>
      </w:r>
      <w:r/>
    </w:p>
    <w:p>
      <w:pPr>
        <w:ind w:firstLine="641"/>
        <w:spacing w:line="560" w:lineRule="exact"/>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 xml:space="preserve">注：（1）以上3.1-3.7为资格审查要求提供的材料，是作为对供应商资格审查、质疑身份认定的依据，响应供应商必须提供并加盖电子公章。否则，响应文件将被认定为不符合资格审查要求。</w:t>
      </w:r>
      <w:r/>
    </w:p>
    <w:p>
      <w:pPr>
        <w:ind w:firstLine="641"/>
        <w:spacing w:line="560" w:lineRule="exact"/>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 xml:space="preserve">（2）以上4.1-4.8为符合性审查须提供的资料，响应供应商必须提供并加盖电子公章。否则，响应文件将被认定为未实质性响应。</w:t>
      </w:r>
      <w:r/>
    </w:p>
    <w:p>
      <w:pPr>
        <w:ind w:firstLine="641"/>
        <w:spacing w:line="560" w:lineRule="exact"/>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 xml:space="preserve">（3）制作电子响应文件时必须与响应文件制作软件目录一一对应，将相关资料上传至相应模块。</w:t>
      </w:r>
      <w:r/>
    </w:p>
    <w:p>
      <w:pPr>
        <w:ind w:firstLine="641"/>
        <w:spacing w:line="560" w:lineRule="exact"/>
        <w:rPr>
          <w:rFonts w:ascii="仿宋_GB2312" w:hAnsi="仿宋_GB2312" w:eastAsia="仿宋_GB2312" w:cs="仿宋_GB2312"/>
          <w:b/>
          <w:sz w:val="32"/>
          <w:szCs w:val="32"/>
          <w:lang w:val="zh-CN"/>
        </w:rPr>
      </w:pPr>
      <w:r>
        <w:rPr>
          <w:rFonts w:hint="eastAsia" w:ascii="仿宋_GB2312" w:hAnsi="仿宋_GB2312" w:eastAsia="仿宋_GB2312" w:cs="仿宋_GB2312"/>
          <w:b/>
          <w:bCs/>
          <w:sz w:val="32"/>
          <w:szCs w:val="32"/>
        </w:rPr>
        <w:t xml:space="preserve">（4）响应文件编制要求：</w:t>
      </w:r>
      <w:r>
        <w:rPr>
          <w:rFonts w:hint="eastAsia" w:ascii="仿宋_GB2312" w:hAnsi="仿宋_GB2312" w:eastAsia="仿宋_GB2312" w:cs="仿宋_GB2312"/>
          <w:sz w:val="32"/>
          <w:szCs w:val="32"/>
          <w:lang w:val="zh-CN"/>
        </w:rPr>
        <w:t xml:space="preserve">本项目采用电子招投标形式，请供应商插入CA 证书登陆“苏采云”系统在线编制电子响应文件，操作步骤详见“苏采云”系统页面提示。电子响应文件制作完成后请于响应文件递交截止时间前上传成功，否则视为放弃参加该采购项目。</w:t>
      </w:r>
      <w:r>
        <w:rPr>
          <w:rFonts w:hint="eastAsia" w:ascii="仿宋_GB2312" w:hAnsi="仿宋_GB2312" w:eastAsia="仿宋_GB2312" w:cs="仿宋_GB2312"/>
          <w:b/>
          <w:sz w:val="32"/>
          <w:szCs w:val="32"/>
          <w:lang w:val="zh-CN"/>
        </w:rPr>
        <w:t xml:space="preserve">供应商应充分考虑到网络环境、网络带宽等风险因素，如因供应商自身原因造成的电子响应文件上传不成功由供应商自行承担全部责任。</w:t>
      </w:r>
      <w:r/>
    </w:p>
    <w:p>
      <w:pPr>
        <w:ind w:firstLine="640"/>
        <w:spacing w:line="560" w:lineRule="exact"/>
        <w:rPr>
          <w:rFonts w:ascii="仿宋_GB2312" w:hAnsi="仿宋_GB2312" w:eastAsia="仿宋_GB2312" w:cs="仿宋_GB2312"/>
          <w:b/>
          <w:sz w:val="32"/>
          <w:szCs w:val="32"/>
          <w:lang w:val="zh-CN"/>
        </w:rPr>
      </w:pPr>
      <w:r>
        <w:rPr>
          <w:rFonts w:hint="eastAsia" w:ascii="仿宋_GB2312" w:hAnsi="仿宋_GB2312" w:eastAsia="仿宋_GB2312" w:cs="仿宋_GB2312"/>
          <w:sz w:val="32"/>
          <w:szCs w:val="32"/>
          <w:lang w:val="zh-CN"/>
        </w:rPr>
        <w:t xml:space="preserve">（5）在评审过程中如有问题采购代理机构工作人员会及时通过《响应供应商信息确认函》留存的手机号与供应商联系。</w:t>
      </w:r>
      <w:r>
        <w:rPr>
          <w:rFonts w:hint="eastAsia" w:ascii="仿宋_GB2312" w:hAnsi="仿宋_GB2312" w:eastAsia="仿宋_GB2312" w:cs="仿宋_GB2312"/>
          <w:b/>
          <w:sz w:val="32"/>
          <w:szCs w:val="32"/>
          <w:lang w:val="zh-CN"/>
        </w:rPr>
        <w:t xml:space="preserve">请供应商确保该手机号通讯畅通，否则导致的不利后果由供应商自行承担。</w:t>
      </w:r>
      <w:r/>
    </w:p>
    <w:p>
      <w:pPr>
        <w:ind w:firstLine="641"/>
        <w:spacing w:line="560" w:lineRule="exact"/>
        <w:rPr>
          <w:rFonts w:ascii="仿宋_GB2312" w:hAnsi="仿宋_GB2312" w:eastAsia="仿宋_GB2312" w:cs="仿宋_GB2312"/>
          <w:bCs/>
          <w:sz w:val="32"/>
          <w:szCs w:val="32"/>
        </w:rPr>
      </w:pPr>
      <w:r>
        <w:rPr>
          <w:rFonts w:hint="eastAsia" w:ascii="仿宋_GB2312" w:hAnsi="仿宋_GB2312" w:eastAsia="仿宋_GB2312" w:cs="仿宋_GB2312"/>
          <w:b/>
          <w:bCs/>
          <w:sz w:val="32"/>
          <w:szCs w:val="32"/>
        </w:rPr>
        <w:t xml:space="preserve">6.落实政府采购政策需满足的资格要求</w:t>
      </w:r>
      <w:r>
        <w:rPr>
          <w:rFonts w:hint="eastAsia" w:ascii="仿宋_GB2312" w:hAnsi="仿宋_GB2312" w:eastAsia="仿宋_GB2312" w:cs="仿宋_GB2312"/>
          <w:sz w:val="32"/>
          <w:szCs w:val="32"/>
        </w:rPr>
        <w:t xml:space="preserve">：</w:t>
      </w:r>
      <w:r>
        <w:rPr>
          <w:rFonts w:hint="eastAsia" w:ascii="仿宋_GB2312" w:hAnsi="仿宋_GB2312" w:eastAsia="仿宋_GB2312" w:cs="仿宋_GB2312"/>
          <w:bCs/>
          <w:sz w:val="32"/>
          <w:szCs w:val="32"/>
        </w:rPr>
        <w:t xml:space="preserve">无。</w:t>
      </w:r>
      <w:r/>
    </w:p>
    <w:p>
      <w:pPr>
        <w:ind w:firstLine="641"/>
        <w:spacing w:line="560" w:lineRule="exact"/>
        <w:widowControl/>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 xml:space="preserve">7.本项目的特定资格要求：</w:t>
      </w:r>
      <w:r/>
    </w:p>
    <w:p>
      <w:pPr>
        <w:ind w:firstLine="641"/>
        <w:spacing w:line="560" w:lineRule="exact"/>
        <w:widowControl/>
        <w:rPr>
          <w:rFonts w:ascii="仿宋_GB2312" w:hAnsi="仿宋_GB2312" w:eastAsia="仿宋_GB2312" w:cs="仿宋_GB2312"/>
          <w:b/>
          <w:sz w:val="32"/>
          <w:szCs w:val="32"/>
        </w:rPr>
      </w:pPr>
      <w:r>
        <w:rPr>
          <w:rFonts w:hint="eastAsia" w:ascii="仿宋_GB2312" w:hAnsi="仿宋_GB2312" w:eastAsia="仿宋_GB2312" w:cs="仿宋_GB2312"/>
          <w:b/>
          <w:sz w:val="32"/>
          <w:szCs w:val="32"/>
        </w:rPr>
        <w:t xml:space="preserve">（1）具备保险监督管理机构颁发的保险许可证，且符合农业保险经营条件；</w:t>
      </w:r>
      <w:r/>
    </w:p>
    <w:p>
      <w:pPr>
        <w:pStyle w:val="945"/>
        <w:ind w:left="0" w:firstLine="641"/>
        <w:spacing w:line="560" w:lineRule="exact"/>
        <w:rPr>
          <w:rFonts w:ascii="仿宋_GB2312" w:hAnsi="仿宋_GB2312" w:eastAsia="仿宋_GB2312" w:cs="仿宋_GB2312"/>
          <w:b/>
          <w:sz w:val="32"/>
          <w:szCs w:val="32"/>
        </w:rPr>
      </w:pPr>
      <w:r>
        <w:rPr>
          <w:rFonts w:hint="eastAsia" w:ascii="仿宋_GB2312" w:hAnsi="仿宋_GB2312" w:eastAsia="仿宋_GB2312" w:cs="仿宋_GB2312"/>
          <w:b/>
          <w:sz w:val="32"/>
          <w:szCs w:val="32"/>
        </w:rPr>
        <w:t xml:space="preserve">（2）本项目接受分支机构投标，分支机构参加投标的需提供保险总公司或符合农业保险经营条件的上级公司的授权，保险总公司或符合农业保险经营条件的上级公司和分支机构不能同时参与投标；同一保险总公司或符合农业保险经营条件的上级公司只允许自身或授权一家分支机构参与本项目投标。</w:t>
      </w:r>
      <w:r/>
    </w:p>
    <w:p>
      <w:pPr>
        <w:ind w:firstLine="641"/>
        <w:spacing w:line="560" w:lineRule="exact"/>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 xml:space="preserve">8.联合体及转包、分包：</w:t>
      </w:r>
      <w:r>
        <w:rPr>
          <w:rFonts w:hint="eastAsia" w:ascii="仿宋_GB2312" w:hAnsi="仿宋_GB2312" w:eastAsia="仿宋_GB2312" w:cs="仿宋_GB2312"/>
          <w:sz w:val="32"/>
          <w:szCs w:val="32"/>
        </w:rPr>
        <w:t xml:space="preserve">本项目不接受联合体，不得转包、分包本项目。</w:t>
      </w:r>
      <w:r/>
    </w:p>
    <w:p>
      <w:pPr>
        <w:ind w:firstLine="640"/>
        <w:spacing w:line="560" w:lineRule="exact"/>
        <w:rPr>
          <w:rFonts w:ascii="楷体_GB2312" w:hAnsi="楷体_GB2312" w:eastAsia="楷体_GB2312" w:cs="楷体_GB2312"/>
          <w:bCs/>
          <w:sz w:val="32"/>
          <w:szCs w:val="32"/>
          <w:lang w:val="zh-CN"/>
        </w:rPr>
      </w:pPr>
      <w:r>
        <w:rPr>
          <w:rFonts w:hint="eastAsia" w:ascii="楷体_GB2312" w:hAnsi="楷体_GB2312" w:eastAsia="楷体_GB2312" w:cs="楷体_GB2312"/>
          <w:bCs/>
          <w:sz w:val="32"/>
          <w:szCs w:val="32"/>
          <w:lang w:val="zh-CN"/>
        </w:rPr>
        <w:t xml:space="preserve">四、响应文件的开启与评审</w:t>
      </w:r>
      <w:r/>
    </w:p>
    <w:p>
      <w:pPr>
        <w:ind w:firstLine="641"/>
        <w:spacing w:line="560" w:lineRule="exact"/>
        <w:rPr>
          <w:rFonts w:ascii="仿宋_GB2312" w:hAnsi="仿宋_GB2312" w:eastAsia="仿宋_GB2312" w:cs="仿宋_GB2312"/>
          <w:b/>
          <w:bCs/>
          <w:sz w:val="32"/>
          <w:szCs w:val="32"/>
          <w:lang w:val="zh-CN"/>
        </w:rPr>
      </w:pPr>
      <w:r>
        <w:rPr>
          <w:rFonts w:hint="eastAsia" w:ascii="仿宋_GB2312" w:hAnsi="仿宋_GB2312" w:eastAsia="仿宋_GB2312" w:cs="仿宋_GB2312"/>
          <w:b/>
          <w:bCs/>
          <w:sz w:val="32"/>
          <w:szCs w:val="32"/>
          <w:lang w:val="zh-CN"/>
        </w:rPr>
        <w:t xml:space="preserve">1.响应文件的开启</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1.1采购代理机构将在征集公告中规定的时间和地点组织开启响应文件。</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1.2供应商通过“苏采云”系统在线参加开启活动。供应商应当按照《苏采云系统供应商操作手册》规定在“苏采云”系统规定的时间内对响应文件进行解密。</w:t>
      </w:r>
      <w:r/>
    </w:p>
    <w:p>
      <w:pPr>
        <w:ind w:firstLine="641"/>
        <w:spacing w:line="560" w:lineRule="exact"/>
        <w:rPr>
          <w:rFonts w:ascii="仿宋_GB2312" w:hAnsi="仿宋_GB2312" w:eastAsia="仿宋_GB2312" w:cs="仿宋_GB2312"/>
          <w:b/>
          <w:bCs/>
          <w:sz w:val="32"/>
          <w:szCs w:val="32"/>
          <w:lang w:val="zh-CN"/>
        </w:rPr>
      </w:pPr>
      <w:r>
        <w:rPr>
          <w:rFonts w:hint="eastAsia" w:ascii="仿宋_GB2312" w:hAnsi="仿宋_GB2312" w:eastAsia="仿宋_GB2312" w:cs="仿宋_GB2312"/>
          <w:b/>
          <w:bCs/>
          <w:sz w:val="32"/>
          <w:szCs w:val="32"/>
          <w:lang w:val="zh-CN"/>
        </w:rPr>
        <w:t xml:space="preserve">2.响应文件的评审</w:t>
      </w:r>
      <w:r/>
    </w:p>
    <w:p>
      <w:pPr>
        <w:ind w:firstLine="640"/>
        <w:spacing w:line="560" w:lineRule="exact"/>
        <w:rPr>
          <w:rFonts w:ascii="仿宋_GB2312" w:hAnsi="仿宋_GB2312" w:eastAsia="仿宋_GB2312" w:cs="仿宋_GB2312"/>
          <w:bCs/>
          <w:sz w:val="32"/>
          <w:szCs w:val="32"/>
          <w:lang w:val="zh-CN"/>
        </w:rPr>
      </w:pPr>
      <w:r>
        <w:rPr>
          <w:rFonts w:hint="eastAsia" w:ascii="仿宋_GB2312" w:hAnsi="仿宋_GB2312" w:eastAsia="仿宋_GB2312" w:cs="仿宋_GB2312"/>
          <w:bCs/>
          <w:sz w:val="32"/>
          <w:szCs w:val="32"/>
          <w:lang w:val="zh-CN"/>
        </w:rPr>
        <w:t xml:space="preserve">2.1响应文件开启后，采购代理机构将立即组织评审小组进行项目评审。</w:t>
      </w:r>
      <w:r/>
    </w:p>
    <w:p>
      <w:pPr>
        <w:ind w:firstLine="640"/>
        <w:spacing w:line="560" w:lineRule="exact"/>
        <w:rPr>
          <w:rFonts w:ascii="仿宋_GB2312" w:hAnsi="仿宋_GB2312" w:eastAsia="仿宋_GB2312" w:cs="仿宋_GB2312"/>
          <w:bCs/>
          <w:sz w:val="32"/>
          <w:szCs w:val="32"/>
          <w:lang w:val="zh-CN"/>
        </w:rPr>
      </w:pPr>
      <w:r>
        <w:rPr>
          <w:rFonts w:hint="eastAsia" w:ascii="仿宋_GB2312" w:hAnsi="仿宋_GB2312" w:eastAsia="仿宋_GB2312" w:cs="仿宋_GB2312"/>
          <w:sz w:val="32"/>
          <w:szCs w:val="32"/>
        </w:rPr>
        <w:t xml:space="preserve">2.2采购代理机构组织评审小</w:t>
      </w:r>
      <w:r>
        <w:rPr>
          <w:rFonts w:hint="eastAsia" w:ascii="仿宋_GB2312" w:hAnsi="仿宋_GB2312" w:eastAsia="仿宋_GB2312" w:cs="仿宋_GB2312"/>
          <w:bCs/>
          <w:sz w:val="32"/>
          <w:szCs w:val="32"/>
          <w:lang w:val="zh-CN"/>
        </w:rPr>
        <w:t xml:space="preserve">组对供应商递交的响应文件进行资格审查和符合性审查。</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2.3评审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640"/>
        <w:spacing w:line="560" w:lineRule="exact"/>
        <w:rPr>
          <w:rFonts w:ascii="仿宋_GB2312" w:hAnsi="仿宋_GB2312" w:eastAsia="仿宋_GB2312" w:cs="仿宋_GB2312"/>
          <w:b/>
          <w:sz w:val="32"/>
          <w:szCs w:val="32"/>
          <w:lang w:val="zh-CN"/>
        </w:rPr>
      </w:pPr>
      <w:r>
        <w:rPr>
          <w:rFonts w:hint="eastAsia" w:ascii="仿宋_GB2312" w:hAnsi="仿宋_GB2312" w:eastAsia="仿宋_GB2312" w:cs="仿宋_GB2312"/>
          <w:sz w:val="32"/>
          <w:szCs w:val="32"/>
          <w:lang w:val="zh-CN"/>
        </w:rPr>
        <w:t xml:space="preserve">2.4评审小组要求供应商澄清、说明或者更正响应文件应当以书面形式做出。供应商的澄清、说明或者更正应当由法定代表人或其授权代表签字或者加盖公章。</w:t>
      </w:r>
      <w:r>
        <w:rPr>
          <w:rFonts w:hint="eastAsia" w:ascii="仿宋_GB2312" w:hAnsi="仿宋_GB2312" w:eastAsia="仿宋_GB2312" w:cs="仿宋_GB2312"/>
          <w:b/>
          <w:sz w:val="32"/>
          <w:szCs w:val="32"/>
          <w:lang w:val="zh-CN"/>
        </w:rPr>
        <w:t xml:space="preserve">本项目供应商的澄清、说明或者补正采用线上澄清：评审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2.5响应文件报价出现前后不一致的，除征集文件另有规定外，按照下列规定修正：</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2.5.1响应文件中开标一览表内容与响应文件中相应内容不一致的，以开标一览表为准；</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2.5.2大写金额和小写金额不一致的，以大写金额为准；</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2.5.3单价金额小数点或者百分比有明显错位的，以开标一览表的总价为准，并修改单价；</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2.5.4总价金额与按单价汇总金额不一致的，以单价金额计算结果为准。</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同时出现两种以上不一致的，按照前款规定的顺序修正。修正后的报价按照征集文件规定经供应商确认后产生约束力，供应商不确认的，其响应无效。</w:t>
      </w:r>
      <w:r/>
    </w:p>
    <w:p>
      <w:pPr>
        <w:ind w:firstLine="641"/>
        <w:spacing w:line="560" w:lineRule="exact"/>
        <w:rPr>
          <w:rFonts w:ascii="仿宋_GB2312" w:hAnsi="仿宋_GB2312" w:eastAsia="仿宋_GB2312" w:cs="仿宋_GB2312"/>
          <w:b/>
          <w:sz w:val="32"/>
          <w:szCs w:val="32"/>
          <w:lang w:val="zh-CN"/>
        </w:rPr>
      </w:pPr>
      <w:r>
        <w:rPr>
          <w:rFonts w:hint="eastAsia" w:ascii="仿宋_GB2312" w:hAnsi="仿宋_GB2312" w:eastAsia="仿宋_GB2312" w:cs="仿宋_GB2312"/>
          <w:b/>
          <w:sz w:val="32"/>
          <w:szCs w:val="32"/>
          <w:lang w:val="zh-CN"/>
        </w:rPr>
        <w:t xml:space="preserve">2.6异常低价响应审查</w:t>
      </w:r>
      <w:r/>
    </w:p>
    <w:p>
      <w:pPr>
        <w:ind w:firstLine="641"/>
        <w:spacing w:line="560" w:lineRule="exact"/>
        <w:rPr>
          <w:rFonts w:ascii="仿宋_GB2312" w:hAnsi="仿宋_GB2312" w:eastAsia="仿宋_GB2312" w:cs="仿宋_GB2312"/>
          <w:b/>
          <w:sz w:val="32"/>
          <w:szCs w:val="32"/>
          <w:lang w:val="zh-CN"/>
        </w:rPr>
      </w:pPr>
      <w:r>
        <w:rPr>
          <w:rFonts w:hint="eastAsia" w:ascii="仿宋_GB2312" w:hAnsi="仿宋_GB2312" w:eastAsia="仿宋_GB2312" w:cs="仿宋_GB2312"/>
          <w:b/>
          <w:sz w:val="32"/>
          <w:szCs w:val="32"/>
          <w:lang w:val="zh-CN"/>
        </w:rPr>
        <w:t xml:space="preserve">2.6.1评审过程中出现下列情形之一的，评审小组应当启动异常低价响应审查程序：</w:t>
      </w:r>
      <w:r/>
    </w:p>
    <w:p>
      <w:pPr>
        <w:ind w:firstLine="641"/>
        <w:spacing w:line="560" w:lineRule="exact"/>
        <w:rPr>
          <w:rFonts w:ascii="仿宋_GB2312" w:hAnsi="仿宋_GB2312" w:eastAsia="仿宋_GB2312" w:cs="仿宋_GB2312"/>
          <w:b/>
          <w:sz w:val="32"/>
          <w:szCs w:val="32"/>
          <w:lang w:val="zh-CN"/>
        </w:rPr>
      </w:pPr>
      <w:r>
        <w:rPr>
          <w:rFonts w:hint="eastAsia" w:ascii="仿宋_GB2312" w:hAnsi="仿宋_GB2312" w:eastAsia="仿宋_GB2312" w:cs="仿宋_GB2312"/>
          <w:b/>
          <w:sz w:val="32"/>
          <w:szCs w:val="32"/>
          <w:lang w:val="zh-CN"/>
        </w:rPr>
        <w:t xml:space="preserve">（1）响应报价低于全部通过符合性审查供应商投标报价平均值50%的，即投标报价&lt;全部通过符合性审查供应商投标报价平均值×50%；</w:t>
      </w:r>
      <w:r/>
    </w:p>
    <w:p>
      <w:pPr>
        <w:ind w:firstLine="641"/>
        <w:spacing w:line="560" w:lineRule="exact"/>
        <w:rPr>
          <w:rFonts w:ascii="仿宋_GB2312" w:hAnsi="仿宋_GB2312" w:eastAsia="仿宋_GB2312" w:cs="仿宋_GB2312"/>
          <w:b/>
          <w:sz w:val="32"/>
          <w:szCs w:val="32"/>
          <w:lang w:val="zh-CN"/>
        </w:rPr>
      </w:pPr>
      <w:r>
        <w:rPr>
          <w:rFonts w:hint="eastAsia" w:ascii="仿宋_GB2312" w:hAnsi="仿宋_GB2312" w:eastAsia="仿宋_GB2312" w:cs="仿宋_GB2312"/>
          <w:b/>
          <w:sz w:val="32"/>
          <w:szCs w:val="32"/>
          <w:lang w:val="zh-CN"/>
        </w:rPr>
        <w:t xml:space="preserve">（2）响应报价低于通过符合性审查的次低报价供应商投标报价50%的，即投标报价&lt;通过符合性审查的次低报价供应商投标报价×50%；</w:t>
      </w:r>
      <w:r/>
    </w:p>
    <w:p>
      <w:pPr>
        <w:ind w:firstLine="641"/>
        <w:spacing w:line="560" w:lineRule="exact"/>
        <w:rPr>
          <w:rFonts w:ascii="仿宋_GB2312" w:hAnsi="仿宋_GB2312" w:eastAsia="仿宋_GB2312" w:cs="仿宋_GB2312"/>
          <w:b/>
          <w:sz w:val="32"/>
          <w:szCs w:val="32"/>
          <w:lang w:val="zh-CN"/>
        </w:rPr>
      </w:pPr>
      <w:r>
        <w:rPr>
          <w:rFonts w:hint="eastAsia" w:ascii="仿宋_GB2312" w:hAnsi="仿宋_GB2312" w:eastAsia="仿宋_GB2312" w:cs="仿宋_GB2312"/>
          <w:b/>
          <w:sz w:val="32"/>
          <w:szCs w:val="32"/>
          <w:lang w:val="zh-CN"/>
        </w:rPr>
        <w:t xml:space="preserve">（3）响应报价低于采购项目最高限价45%的，即投标报价&lt;采购项目最高限价×45%；</w:t>
      </w:r>
      <w:r/>
    </w:p>
    <w:p>
      <w:pPr>
        <w:ind w:firstLine="641"/>
        <w:spacing w:line="560" w:lineRule="exact"/>
        <w:rPr>
          <w:rFonts w:ascii="仿宋_GB2312" w:hAnsi="仿宋_GB2312" w:eastAsia="仿宋_GB2312" w:cs="仿宋_GB2312"/>
          <w:b/>
          <w:sz w:val="32"/>
          <w:szCs w:val="32"/>
          <w:lang w:val="zh-CN"/>
        </w:rPr>
      </w:pPr>
      <w:r>
        <w:rPr>
          <w:rFonts w:hint="eastAsia" w:ascii="仿宋_GB2312" w:hAnsi="仿宋_GB2312" w:eastAsia="仿宋_GB2312" w:cs="仿宋_GB2312"/>
          <w:b/>
          <w:sz w:val="32"/>
          <w:szCs w:val="32"/>
          <w:lang w:val="zh-CN"/>
        </w:rPr>
        <w:t xml:space="preserve">（4）评审小组基于专业判断，认为供应商报价过低，有可</w:t>
      </w:r>
      <w:r>
        <w:rPr>
          <w:rFonts w:hint="eastAsia" w:ascii="仿宋_GB2312" w:hAnsi="仿宋_GB2312" w:eastAsia="仿宋_GB2312" w:cs="仿宋_GB2312"/>
          <w:b/>
          <w:sz w:val="32"/>
          <w:szCs w:val="32"/>
          <w:lang w:val="zh-CN"/>
        </w:rPr>
        <w:t xml:space="preserve">能影响产品质量或者不能诚信履约的其他情形。</w:t>
      </w:r>
      <w:r/>
    </w:p>
    <w:p>
      <w:pPr>
        <w:ind w:firstLine="641"/>
        <w:spacing w:line="560" w:lineRule="exact"/>
        <w:rPr>
          <w:rFonts w:ascii="仿宋_GB2312" w:hAnsi="仿宋_GB2312" w:eastAsia="仿宋_GB2312" w:cs="仿宋_GB2312"/>
          <w:b/>
          <w:sz w:val="32"/>
          <w:szCs w:val="32"/>
          <w:lang w:val="zh-CN"/>
        </w:rPr>
      </w:pPr>
      <w:r>
        <w:rPr>
          <w:rFonts w:hint="eastAsia" w:ascii="仿宋_GB2312" w:hAnsi="仿宋_GB2312" w:eastAsia="仿宋_GB2312" w:cs="仿宋_GB2312"/>
          <w:b/>
          <w:sz w:val="32"/>
          <w:szCs w:val="32"/>
          <w:lang w:val="zh-CN"/>
        </w:rPr>
        <w:t xml:space="preserve">2.6.2启动异常低价响应审查后，评审小组应当要求相关供应商在评审现场合理的时间内，提供项目具体成本测算等与报价合理性相关的书面说明及相关证明材料，对响应价格作出解释，由评审小组结合同类产品在主要电商平台的价格、该行业当地薪资水平等情况，依据专业经验对供应商报价合理性进行判断。响应供应商不提供书面说明、证明材料，或者提供的书面说明、证明材料不能证明其报价合理性的，评审小组应当将其作为无效响应处理。审查相关情况应当在评审报告中进行记录。</w:t>
      </w:r>
      <w:r/>
    </w:p>
    <w:p>
      <w:pPr>
        <w:ind w:firstLine="640"/>
        <w:spacing w:line="560" w:lineRule="exact"/>
        <w:rPr>
          <w:rFonts w:ascii="仿宋_GB2312" w:hAnsi="仿宋_GB2312" w:eastAsia="仿宋_GB2312" w:cs="仿宋_GB2312"/>
          <w:sz w:val="32"/>
          <w:szCs w:val="32"/>
          <w:lang w:val="zh-CN"/>
        </w:rPr>
      </w:pPr>
      <w:r>
        <w:rPr>
          <w:rFonts w:hint="eastAsia" w:ascii="仿宋_GB2312" w:hAnsi="仿宋_GB2312" w:eastAsia="仿宋_GB2312" w:cs="仿宋_GB2312"/>
          <w:sz w:val="32"/>
          <w:szCs w:val="32"/>
        </w:rPr>
        <w:t xml:space="preserve">2.7评审小组根据成交原则确定入围供应商，并将结果通知所有参加采购活动未入围的供应商。</w:t>
      </w:r>
      <w:r/>
    </w:p>
    <w:p>
      <w:pPr>
        <w:ind w:firstLine="640"/>
        <w:spacing w:line="560" w:lineRule="exact"/>
        <w:rPr>
          <w:rFonts w:ascii="仿宋_GB2312" w:hAnsi="仿宋_GB2312" w:eastAsia="仿宋_GB2312" w:cs="仿宋_GB2312"/>
          <w:sz w:val="32"/>
          <w:szCs w:val="32"/>
          <w:lang w:val="zh-CN"/>
        </w:rPr>
      </w:pPr>
      <w:r>
        <w:rPr>
          <w:rFonts w:hint="eastAsia" w:ascii="仿宋_GB2312" w:hAnsi="仿宋_GB2312" w:eastAsia="仿宋_GB2312" w:cs="仿宋_GB2312"/>
          <w:sz w:val="32"/>
          <w:szCs w:val="32"/>
        </w:rPr>
        <w:t xml:space="preserve">2.8</w:t>
      </w:r>
      <w:r>
        <w:rPr>
          <w:rFonts w:hint="eastAsia" w:ascii="仿宋_GB2312" w:hAnsi="仿宋_GB2312" w:eastAsia="仿宋_GB2312" w:cs="仿宋_GB2312"/>
          <w:sz w:val="32"/>
          <w:szCs w:val="32"/>
          <w:lang w:val="zh-CN"/>
        </w:rPr>
        <w:t xml:space="preserve">如审核过程中出现本征集文件未尽事宜，由评审小组根据有关法律、法规讨论决定。</w:t>
      </w:r>
      <w:r/>
    </w:p>
    <w:p>
      <w:pPr>
        <w:ind w:firstLine="641"/>
        <w:spacing w:line="560" w:lineRule="exact"/>
        <w:rPr>
          <w:rFonts w:ascii="仿宋_GB2312" w:hAnsi="仿宋_GB2312" w:eastAsia="仿宋_GB2312" w:cs="仿宋_GB2312"/>
          <w:b/>
          <w:bCs/>
          <w:sz w:val="32"/>
          <w:szCs w:val="32"/>
          <w:lang w:val="zh-CN"/>
        </w:rPr>
      </w:pPr>
      <w:r>
        <w:rPr>
          <w:rFonts w:hint="eastAsia" w:ascii="仿宋_GB2312" w:hAnsi="仿宋_GB2312" w:eastAsia="仿宋_GB2312" w:cs="仿宋_GB2312"/>
          <w:b/>
          <w:bCs/>
          <w:sz w:val="32"/>
          <w:szCs w:val="32"/>
          <w:lang w:val="zh-CN"/>
        </w:rPr>
        <w:t xml:space="preserve">3.响应文件无效的情形</w:t>
      </w:r>
      <w:r/>
    </w:p>
    <w:p>
      <w:pPr>
        <w:ind w:firstLine="42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出现下列情形之一的，供应商的响应文件无效：</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3.1供应商在苏采云系统规定的时间内未成功解密电子响应文件的；</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3.2供应商不具备征集文件中规定的资格要求的；</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3.3报价超过征集文件中规定的预算金额或者最高限价的；</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3.4响应文件未按征集文件要求签署、盖章的；</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3.5响应文件含有征集人不能接受的附加条件的；</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3.6机器码检查中，出现不同供应商响应文件机器码一致情</w:t>
      </w:r>
      <w:r>
        <w:rPr>
          <w:rFonts w:hint="eastAsia" w:ascii="仿宋_GB2312" w:hAnsi="仿宋_GB2312" w:eastAsia="仿宋_GB2312" w:cs="仿宋_GB2312"/>
          <w:sz w:val="32"/>
          <w:szCs w:val="32"/>
        </w:rPr>
        <w:t xml:space="preserve">形的；</w:t>
      </w:r>
      <w:r/>
    </w:p>
    <w:p>
      <w:pPr>
        <w:ind w:firstLine="640"/>
        <w:spacing w:line="560" w:lineRule="exact"/>
        <w:rPr>
          <w:rFonts w:ascii="仿宋_GB2312" w:hAnsi="仿宋_GB2312" w:eastAsia="仿宋_GB2312" w:cs="仿宋_GB2312"/>
          <w:b/>
          <w:bCs/>
          <w:sz w:val="32"/>
          <w:szCs w:val="32"/>
        </w:rPr>
      </w:pPr>
      <w:r>
        <w:rPr>
          <w:rFonts w:hint="eastAsia" w:ascii="仿宋_GB2312" w:hAnsi="仿宋_GB2312" w:eastAsia="仿宋_GB2312" w:cs="仿宋_GB2312"/>
          <w:sz w:val="32"/>
          <w:szCs w:val="32"/>
        </w:rPr>
        <w:t xml:space="preserve">3.7不符合国家法律法规及征集文件中规定的其他实质性要求的。</w:t>
      </w:r>
      <w:r/>
    </w:p>
    <w:p>
      <w:pPr>
        <w:ind w:firstLine="640"/>
        <w:spacing w:line="560" w:lineRule="exact"/>
        <w:rPr>
          <w:rFonts w:ascii="楷体_GB2312" w:hAnsi="楷体_GB2312" w:eastAsia="楷体_GB2312" w:cs="楷体_GB2312"/>
          <w:bCs/>
          <w:sz w:val="32"/>
          <w:szCs w:val="32"/>
          <w:lang w:val="zh-CN"/>
        </w:rPr>
      </w:pPr>
      <w:r>
        <w:rPr>
          <w:rFonts w:hint="eastAsia" w:ascii="楷体_GB2312" w:hAnsi="楷体_GB2312" w:eastAsia="楷体_GB2312" w:cs="楷体_GB2312"/>
          <w:bCs/>
          <w:sz w:val="32"/>
          <w:szCs w:val="32"/>
          <w:lang w:val="zh-CN"/>
        </w:rPr>
        <w:t xml:space="preserve">五、质疑</w:t>
      </w:r>
      <w:r/>
    </w:p>
    <w:p>
      <w:pPr>
        <w:ind w:firstLine="640"/>
        <w:spacing w:line="560" w:lineRule="exact"/>
        <w:widowControl/>
        <w:rPr>
          <w:rFonts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 xml:space="preserve">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firstLine="640"/>
        <w:spacing w:line="560" w:lineRule="exact"/>
        <w:widowControl/>
        <w:rPr>
          <w:rFonts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 xml:space="preserve">2.本次采购文件要求供应商在法定质疑期内一次性提出针对同一采购程序环节的质疑，否则不予受理。</w:t>
      </w:r>
      <w:r/>
    </w:p>
    <w:p>
      <w:pPr>
        <w:ind w:firstLine="640"/>
        <w:spacing w:line="560" w:lineRule="exact"/>
        <w:widowControl/>
        <w:rPr>
          <w:rFonts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 xml:space="preserve">3.供应商提出质疑应当提交质疑函和必要的证明材料，质疑函应当包括下列内容：</w:t>
      </w:r>
      <w:r/>
    </w:p>
    <w:p>
      <w:pPr>
        <w:ind w:firstLine="640"/>
        <w:spacing w:line="560" w:lineRule="exact"/>
        <w:widowControl/>
        <w:rPr>
          <w:rFonts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 xml:space="preserve">3.1供应商的姓名或者名称（以提供的营业执照副本复印件为准）、地址、邮编、联系人及联系电话；</w:t>
      </w:r>
      <w:r/>
    </w:p>
    <w:p>
      <w:pPr>
        <w:ind w:firstLine="640"/>
        <w:spacing w:line="560" w:lineRule="exact"/>
        <w:widowControl/>
        <w:rPr>
          <w:rFonts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 xml:space="preserve">3.2质疑项目的名称、编号；</w:t>
      </w:r>
      <w:r/>
    </w:p>
    <w:p>
      <w:pPr>
        <w:ind w:firstLine="640"/>
        <w:spacing w:line="560" w:lineRule="exact"/>
        <w:widowControl/>
        <w:rPr>
          <w:rFonts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 xml:space="preserve">3.3具体、明确的质疑事项和与质疑事项相关的请求；</w:t>
      </w:r>
      <w:r/>
    </w:p>
    <w:p>
      <w:pPr>
        <w:ind w:firstLine="640"/>
        <w:spacing w:line="560" w:lineRule="exact"/>
        <w:widowControl/>
        <w:rPr>
          <w:rFonts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 xml:space="preserve">3.4事实依据；</w:t>
      </w:r>
      <w:r/>
    </w:p>
    <w:p>
      <w:pPr>
        <w:ind w:firstLine="640"/>
        <w:spacing w:line="560" w:lineRule="exact"/>
        <w:widowControl/>
        <w:rPr>
          <w:rFonts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 xml:space="preserve">3.1必要的法律依据；</w:t>
      </w:r>
      <w:r/>
    </w:p>
    <w:p>
      <w:pPr>
        <w:ind w:firstLine="640"/>
        <w:spacing w:line="560" w:lineRule="exact"/>
        <w:widowControl/>
        <w:rPr>
          <w:rFonts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 xml:space="preserve">3.1提出质疑的日期。</w:t>
      </w:r>
      <w:r/>
    </w:p>
    <w:p>
      <w:pPr>
        <w:ind w:firstLine="640"/>
        <w:spacing w:line="560" w:lineRule="exact"/>
        <w:widowControl/>
        <w:rPr>
          <w:rFonts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仿宋_GB2312" w:hAnsi="仿宋_GB2312" w:eastAsia="仿宋_GB2312" w:cs="仿宋_GB2312"/>
          <w:b/>
          <w:sz w:val="32"/>
          <w:szCs w:val="32"/>
          <w:lang w:val="zh-CN"/>
        </w:rPr>
        <w:t xml:space="preserve">授权</w:t>
      </w:r>
      <w:r>
        <w:rPr>
          <w:rFonts w:hint="eastAsia" w:ascii="仿宋_GB2312" w:hAnsi="仿宋_GB2312" w:eastAsia="仿宋_GB2312" w:cs="仿宋_GB2312"/>
          <w:b/>
          <w:sz w:val="32"/>
          <w:szCs w:val="32"/>
          <w:lang w:val="zh-CN"/>
        </w:rPr>
        <w:t xml:space="preserve">委托书</w:t>
      </w:r>
      <w:r>
        <w:rPr>
          <w:rFonts w:hint="eastAsia" w:ascii="仿宋_GB2312" w:hAnsi="仿宋_GB2312" w:eastAsia="仿宋_GB2312" w:cs="仿宋_GB2312"/>
          <w:sz w:val="32"/>
          <w:szCs w:val="32"/>
          <w:lang w:val="zh-CN"/>
        </w:rPr>
        <w:t xml:space="preserve">上应当载明代理人的姓名或者名称、代理事项、具体权限、期限和相关事项。</w:t>
      </w:r>
      <w:r/>
    </w:p>
    <w:p>
      <w:pPr>
        <w:ind w:firstLine="641"/>
        <w:spacing w:line="560" w:lineRule="exact"/>
        <w:widowControl/>
        <w:rPr>
          <w:rFonts w:ascii="仿宋_GB2312" w:hAnsi="仿宋_GB2312" w:eastAsia="仿宋_GB2312" w:cs="仿宋_GB2312"/>
          <w:sz w:val="32"/>
          <w:szCs w:val="32"/>
          <w:lang w:val="zh-CN"/>
        </w:rPr>
      </w:pPr>
      <w:r>
        <w:rPr>
          <w:rFonts w:hint="eastAsia" w:ascii="仿宋_GB2312" w:hAnsi="仿宋_GB2312" w:eastAsia="仿宋_GB2312" w:cs="仿宋_GB2312"/>
          <w:b/>
          <w:sz w:val="32"/>
          <w:szCs w:val="32"/>
          <w:lang w:val="zh-CN"/>
        </w:rPr>
        <w:t xml:space="preserve">供应商提交的质疑函必须按照《政府采购供应商质疑函范本》要求的格式和内容进行填写，质疑函范本下载网址详见链接：https://czju.suzhou.gov.cn/zfcg/html/content/20180305093615738.shtml</w:t>
      </w:r>
      <w:r>
        <w:rPr>
          <w:rFonts w:hint="eastAsia" w:ascii="仿宋_GB2312" w:hAnsi="仿宋_GB2312" w:eastAsia="仿宋_GB2312" w:cs="仿宋_GB2312"/>
          <w:sz w:val="32"/>
          <w:szCs w:val="32"/>
          <w:lang w:val="zh-CN"/>
        </w:rPr>
        <w:t xml:space="preserve">。</w:t>
      </w:r>
      <w:r/>
    </w:p>
    <w:p>
      <w:pPr>
        <w:ind w:firstLine="640"/>
        <w:spacing w:line="560" w:lineRule="exact"/>
        <w:widowControl/>
        <w:rPr>
          <w:rFonts w:ascii="仿宋_GB2312" w:hAnsi="仿宋_GB2312" w:eastAsia="仿宋_GB2312" w:cs="仿宋_GB2312"/>
          <w:b/>
          <w:sz w:val="32"/>
          <w:szCs w:val="32"/>
          <w:lang w:val="zh-CN"/>
        </w:rPr>
      </w:pPr>
      <w:r>
        <w:rPr>
          <w:rFonts w:hint="eastAsia" w:ascii="仿宋_GB2312" w:hAnsi="仿宋_GB2312" w:eastAsia="仿宋_GB2312" w:cs="仿宋_GB2312"/>
          <w:sz w:val="32"/>
          <w:szCs w:val="32"/>
          <w:lang w:val="zh-CN"/>
        </w:rPr>
        <w:t xml:space="preserve">4.</w:t>
      </w:r>
      <w:r>
        <w:rPr>
          <w:rFonts w:hint="eastAsia"/>
        </w:rPr>
        <w:t xml:space="preserve"> </w:t>
      </w:r>
      <w:r>
        <w:rPr>
          <w:rFonts w:hint="eastAsia" w:ascii="仿宋_GB2312" w:hAnsi="仿宋_GB2312" w:eastAsia="仿宋_GB2312" w:cs="仿宋_GB2312"/>
          <w:sz w:val="32"/>
          <w:szCs w:val="32"/>
          <w:lang w:val="zh-CN"/>
        </w:rPr>
        <w:t xml:space="preserve">根据《政府采购质疑和投诉办法》（财政部第94号令）第十一条规定，提出质疑的供应商应当是参与所质疑项目采购活动的供应商。因此凡是对招标文件提出质疑的供应商，必须是依法获取招标文件，</w:t>
      </w:r>
      <w:r>
        <w:rPr>
          <w:rFonts w:hint="eastAsia" w:ascii="仿宋_GB2312" w:hAnsi="仿宋_GB2312" w:eastAsia="仿宋_GB2312" w:cs="仿宋_GB2312"/>
          <w:b/>
          <w:sz w:val="32"/>
          <w:szCs w:val="32"/>
          <w:lang w:val="zh-CN"/>
        </w:rPr>
        <w:t xml:space="preserve">请将合法获取招标文件的证明材料（即《投标供应商确认函》）、供应商营业执照复印件、法定代表人身份证正反面复印件、授权代表身份证正反面复印件（如有）、授权委托书（如有）与质疑函一起递交，否则不予受理</w:t>
      </w:r>
      <w:r>
        <w:rPr>
          <w:rFonts w:hint="eastAsia" w:ascii="仿宋_GB2312" w:hAnsi="仿宋_GB2312" w:eastAsia="仿宋_GB2312" w:cs="仿宋_GB2312"/>
          <w:sz w:val="32"/>
          <w:szCs w:val="32"/>
          <w:lang w:val="zh-CN"/>
        </w:rPr>
        <w:t xml:space="preserve">。</w:t>
      </w:r>
      <w:r/>
    </w:p>
    <w:p>
      <w:pPr>
        <w:pStyle w:val="945"/>
        <w:ind w:left="0"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lang w:val="zh-CN"/>
        </w:rPr>
        <w:t xml:space="preserve">5.</w:t>
      </w:r>
      <w:r>
        <w:rPr>
          <w:rFonts w:hint="eastAsia" w:ascii="仿宋_GB2312" w:hAnsi="仿宋_GB2312" w:eastAsia="仿宋_GB2312" w:cs="仿宋_GB2312"/>
          <w:sz w:val="32"/>
          <w:szCs w:val="32"/>
        </w:rPr>
        <w:t xml:space="preserve">接收质疑函的方式：书面形式（当场送达或邮寄方式）。</w:t>
      </w:r>
      <w:r/>
    </w:p>
    <w:p>
      <w:pPr>
        <w:pStyle w:val="945"/>
        <w:ind w:left="0" w:firstLine="640"/>
        <w:spacing w:line="560" w:lineRule="exact"/>
        <w:rPr>
          <w:rFonts w:ascii="仿宋_GB2312" w:hAnsi="仿宋_GB2312" w:eastAsia="仿宋_GB2312" w:cs="仿宋_GB2312"/>
          <w:bCs/>
          <w:sz w:val="32"/>
          <w:szCs w:val="32"/>
        </w:rPr>
      </w:pPr>
      <w:r>
        <w:rPr>
          <w:rFonts w:hint="eastAsia" w:ascii="仿宋_GB2312" w:hAnsi="仿宋_GB2312" w:eastAsia="仿宋_GB2312" w:cs="仿宋_GB2312"/>
          <w:bCs/>
          <w:sz w:val="32"/>
          <w:szCs w:val="32"/>
        </w:rPr>
        <w:t xml:space="preserve">质疑联系人：金工</w:t>
      </w:r>
      <w:r/>
    </w:p>
    <w:p>
      <w:pPr>
        <w:pStyle w:val="945"/>
        <w:ind w:left="0" w:firstLine="640"/>
        <w:spacing w:line="560" w:lineRule="exact"/>
        <w:rPr>
          <w:rFonts w:ascii="仿宋_GB2312" w:hAnsi="仿宋_GB2312" w:eastAsia="仿宋_GB2312" w:cs="仿宋_GB2312"/>
          <w:bCs/>
          <w:sz w:val="32"/>
          <w:szCs w:val="32"/>
        </w:rPr>
      </w:pPr>
      <w:r>
        <w:rPr>
          <w:rFonts w:hint="eastAsia" w:ascii="仿宋_GB2312" w:hAnsi="仿宋_GB2312" w:eastAsia="仿宋_GB2312" w:cs="仿宋_GB2312"/>
          <w:bCs/>
          <w:sz w:val="32"/>
          <w:szCs w:val="32"/>
        </w:rPr>
        <w:t xml:space="preserve">联系电话：0512-69826795</w:t>
      </w:r>
      <w:r/>
    </w:p>
    <w:p>
      <w:pPr>
        <w:pStyle w:val="945"/>
        <w:ind w:left="638" w:firstLine="0"/>
        <w:spacing w:line="560" w:lineRule="exact"/>
        <w:rPr>
          <w:rFonts w:ascii="仿宋_GB2312" w:hAnsi="仿宋_GB2312" w:eastAsia="仿宋_GB2312" w:cs="仿宋_GB2312"/>
          <w:b/>
          <w:sz w:val="32"/>
          <w:szCs w:val="32"/>
        </w:rPr>
      </w:pPr>
      <w:r>
        <w:rPr>
          <w:rFonts w:hint="eastAsia" w:ascii="仿宋_GB2312" w:hAnsi="仿宋_GB2312" w:eastAsia="仿宋_GB2312" w:cs="仿宋_GB2312"/>
          <w:bCs/>
          <w:sz w:val="32"/>
          <w:szCs w:val="32"/>
        </w:rPr>
        <w:t xml:space="preserve">联系地址：苏州高新区邓尉路105号狮山科技馆7楼717室</w:t>
      </w:r>
      <w:r>
        <w:rPr>
          <w:rFonts w:hint="eastAsia" w:ascii="楷体_GB2312" w:hAnsi="楷体_GB2312" w:eastAsia="楷体_GB2312" w:cs="楷体_GB2312"/>
          <w:bCs/>
          <w:sz w:val="32"/>
          <w:szCs w:val="32"/>
        </w:rPr>
        <w:t xml:space="preserve">六、项目的终止</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lang w:val="zh-CN"/>
        </w:rPr>
        <w:t xml:space="preserve">出现下列情形之一的，征集人将发布项目终止公告并说明原因，重新开展采购活动：</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1.出现影响采购公正的违法、违规行为的；</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2.因重大变故，采购任务取消的；</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3.提交响应文件和通过资格审查、符合性审查的供应商数量少于2家。</w:t>
      </w:r>
      <w:r/>
    </w:p>
    <w:p>
      <w:pPr>
        <w:ind w:firstLine="640"/>
        <w:spacing w:line="560" w:lineRule="exact"/>
        <w:rPr>
          <w:rFonts w:ascii="楷体_GB2312" w:hAnsi="楷体_GB2312" w:eastAsia="楷体_GB2312" w:cs="楷体_GB2312"/>
          <w:bCs/>
          <w:sz w:val="32"/>
          <w:szCs w:val="32"/>
        </w:rPr>
      </w:pPr>
      <w:r/>
      <w:bookmarkStart w:id="11" w:name="_Toc436599782"/>
      <w:r/>
      <w:bookmarkStart w:id="12" w:name="_Toc453509220"/>
      <w:r>
        <w:rPr>
          <w:rFonts w:hint="eastAsia" w:ascii="楷体_GB2312" w:hAnsi="楷体_GB2312" w:eastAsia="楷体_GB2312" w:cs="楷体_GB2312"/>
          <w:bCs/>
          <w:sz w:val="32"/>
          <w:szCs w:val="32"/>
        </w:rPr>
        <w:t xml:space="preserve">七、确定</w:t>
      </w:r>
      <w:bookmarkEnd w:id="11"/>
      <w:r/>
      <w:bookmarkEnd w:id="12"/>
      <w:r>
        <w:rPr>
          <w:rFonts w:hint="eastAsia" w:ascii="楷体_GB2312" w:hAnsi="楷体_GB2312" w:eastAsia="楷体_GB2312" w:cs="楷体_GB2312"/>
          <w:bCs/>
          <w:sz w:val="32"/>
          <w:szCs w:val="32"/>
        </w:rPr>
        <w:t xml:space="preserve">入围供应商</w:t>
      </w:r>
      <w:r/>
    </w:p>
    <w:p>
      <w:pPr>
        <w:ind w:firstLine="641"/>
        <w:spacing w:line="560" w:lineRule="exact"/>
        <w:rPr>
          <w:rFonts w:ascii="仿宋_GB2312" w:hAnsi="仿宋_GB2312" w:eastAsia="仿宋_GB2312" w:cs="仿宋_GB2312"/>
          <w:b/>
          <w:sz w:val="32"/>
          <w:szCs w:val="32"/>
        </w:rPr>
      </w:pPr>
      <w:r>
        <w:rPr>
          <w:rFonts w:hint="eastAsia" w:ascii="仿宋_GB2312" w:hAnsi="仿宋_GB2312" w:eastAsia="仿宋_GB2312" w:cs="仿宋_GB2312"/>
          <w:b/>
          <w:sz w:val="32"/>
          <w:szCs w:val="32"/>
        </w:rPr>
        <w:t xml:space="preserve">1.确定入围供应商</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确定第一阶段、第二阶段入围供应商选取原则及标准，详见第六章。</w:t>
      </w:r>
      <w:r/>
    </w:p>
    <w:p>
      <w:pPr>
        <w:ind w:firstLine="641"/>
        <w:spacing w:line="560" w:lineRule="exact"/>
        <w:rPr>
          <w:rFonts w:ascii="仿宋_GB2312" w:hAnsi="仿宋_GB2312" w:eastAsia="仿宋_GB2312" w:cs="仿宋_GB2312"/>
          <w:b/>
          <w:sz w:val="32"/>
          <w:szCs w:val="32"/>
        </w:rPr>
      </w:pPr>
      <w:r>
        <w:rPr>
          <w:rFonts w:hint="eastAsia" w:ascii="仿宋_GB2312" w:hAnsi="仿宋_GB2312" w:eastAsia="仿宋_GB2312" w:cs="仿宋_GB2312"/>
          <w:b/>
          <w:sz w:val="32"/>
          <w:szCs w:val="32"/>
        </w:rPr>
        <w:t xml:space="preserve">2.入围结果公告</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征集人应当自入围供应商确定之日起2个工作日内，在相关媒体上公告入围结果，入围通知书将同时发出，入围结果公告期限为1个工作日。</w:t>
      </w:r>
      <w:r/>
    </w:p>
    <w:p>
      <w:pPr>
        <w:ind w:firstLine="641"/>
        <w:spacing w:line="560" w:lineRule="exact"/>
        <w:rPr>
          <w:rFonts w:ascii="仿宋_GB2312" w:hAnsi="仿宋_GB2312" w:eastAsia="仿宋_GB2312" w:cs="仿宋_GB2312"/>
          <w:b/>
          <w:sz w:val="32"/>
          <w:szCs w:val="32"/>
        </w:rPr>
      </w:pPr>
      <w:r>
        <w:rPr>
          <w:rFonts w:hint="eastAsia" w:ascii="仿宋_GB2312" w:hAnsi="仿宋_GB2312" w:eastAsia="仿宋_GB2312" w:cs="仿宋_GB2312"/>
          <w:b/>
          <w:sz w:val="32"/>
          <w:szCs w:val="32"/>
        </w:rPr>
        <w:t xml:space="preserve">3.入围通知书</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在公告入围结果的同时发出入围通知书，请入围供应商使用CA证书登录“苏采云”系统及时下载入围通知书。因系统存储空间有限，自入围结果公告发布之日起30日后，“苏采云”系统不再保证提供下载入围通知书服务。入围供应商因未及时下载而造成的一切后果由其自负。</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入围通知书将是框架协议的一个组成部分。对征集人和入围供应商均具有法律效力。入围通知书发出后，入围供应商无正当理由，不得主动放弃入围资格或者退出框架协议，否则应当依法承担法律责任。</w:t>
      </w:r>
      <w:r/>
    </w:p>
    <w:p>
      <w:pPr>
        <w:ind w:firstLine="641"/>
        <w:spacing w:line="560" w:lineRule="exact"/>
        <w:rPr>
          <w:rFonts w:ascii="仿宋_GB2312" w:hAnsi="仿宋_GB2312" w:eastAsia="仿宋_GB2312" w:cs="仿宋_GB2312"/>
          <w:b/>
          <w:sz w:val="32"/>
          <w:szCs w:val="32"/>
        </w:rPr>
      </w:pPr>
      <w:r>
        <w:rPr>
          <w:rFonts w:hint="eastAsia" w:ascii="仿宋_GB2312" w:hAnsi="仿宋_GB2312" w:eastAsia="仿宋_GB2312" w:cs="仿宋_GB2312"/>
          <w:b/>
          <w:sz w:val="32"/>
          <w:szCs w:val="32"/>
        </w:rPr>
        <w:t xml:space="preserve">4.框架协议的签订</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4.1征集人在入围通知书发出之日起30日内和入围供应商</w:t>
      </w:r>
      <w:r>
        <w:rPr>
          <w:rFonts w:hint="eastAsia" w:ascii="仿宋_GB2312" w:hAnsi="仿宋_GB2312" w:eastAsia="仿宋_GB2312" w:cs="仿宋_GB2312"/>
          <w:sz w:val="32"/>
          <w:szCs w:val="32"/>
        </w:rPr>
        <w:t xml:space="preserve">签订电子框架协议，入围供应商在接到征集人通知后需及时使用CA数字证书登录苏采云系统完成电子框架协议的签订工作，框架协议不得对征集文件确定的事项以及入围供应商的响应文件作实质性修改。入围供应商如无正当理由不及时签订框架协议的，应承担《中华人民共和国政府采购法实施条例》第七十二条第一款第（二）项规定的法律责任。</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4.2征集公告、入围供应商的响应文件及评审过程中有关澄清、承诺文件均应作为框架协议的附件。</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4.3入围供应商非因不可抗力未履行征集公告、响应文件和合同规定的义务，一经查实，征集人将根据具体情况提请市政府采购监督管理部门作出相应处理。</w:t>
      </w:r>
      <w:r/>
    </w:p>
    <w:p>
      <w:pPr>
        <w:ind w:firstLine="641"/>
        <w:spacing w:line="560" w:lineRule="exact"/>
        <w:rPr>
          <w:rFonts w:ascii="仿宋_GB2312" w:hAnsi="仿宋_GB2312" w:eastAsia="仿宋_GB2312" w:cs="仿宋_GB2312"/>
          <w:b/>
          <w:sz w:val="32"/>
          <w:szCs w:val="32"/>
        </w:rPr>
      </w:pPr>
      <w:r>
        <w:rPr>
          <w:rFonts w:hint="eastAsia" w:ascii="仿宋_GB2312" w:hAnsi="仿宋_GB2312" w:eastAsia="仿宋_GB2312" w:cs="仿宋_GB2312"/>
          <w:b/>
          <w:sz w:val="32"/>
          <w:szCs w:val="32"/>
        </w:rPr>
        <w:t xml:space="preserve">5.入围的取消和协议的解除</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根据中华人民共和国财政部令第110号《政府采购框架协议采购方式管理暂行办法》</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第十九条入围供应商有下列情形之一，尚未签订框架协议的，取消其入围资格；已经签订框架协议的，解除与其签订的框架协议：</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（一）恶意串通谋取入围或者合同成交的；</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（二）提供虚假材料谋取入围或者合同成交的；</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（三）无正当理由拒不接受合同授予的；</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（四）不履行合同义务或者履行合同义务不符合约定，经采购人请求履行后仍不履行或者仍未按约定履行的；</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（五）框架协议有效期内，因违法行为被禁止或限制参加政府采购活动的；</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（六）框架协议约定的其他情形（即未按要求与）。</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被取消入围资格或者被解除框架协议的供应商不得参加同一封闭式框架协议补充征集，或者重新申请加入同一开放式框架协议。</w:t>
      </w:r>
      <w:r/>
    </w:p>
    <w:p>
      <w:pPr>
        <w:ind w:firstLine="640"/>
        <w:spacing w:line="560" w:lineRule="exact"/>
        <w:rPr>
          <w:rFonts w:ascii="楷体_GB2312" w:hAnsi="楷体_GB2312" w:eastAsia="楷体_GB2312" w:cs="楷体_GB2312"/>
          <w:bCs/>
          <w:sz w:val="32"/>
          <w:szCs w:val="32"/>
        </w:rPr>
      </w:pPr>
      <w:r>
        <w:rPr>
          <w:rFonts w:hint="eastAsia" w:ascii="楷体_GB2312" w:hAnsi="楷体_GB2312" w:eastAsia="楷体_GB2312" w:cs="楷体_GB2312"/>
          <w:bCs/>
          <w:sz w:val="32"/>
          <w:szCs w:val="32"/>
        </w:rPr>
        <w:t xml:space="preserve">八、用户反馈和评价机制</w:t>
      </w:r>
      <w:r/>
    </w:p>
    <w:p>
      <w:pPr>
        <w:ind w:firstLine="640"/>
        <w:spacing w:line="560" w:lineRule="exact"/>
        <w:rPr>
          <w:rFonts w:ascii="仿宋_GB2312" w:hAnsi="仿宋_GB2312" w:eastAsia="仿宋_GB2312" w:cs="仿宋_GB2312"/>
          <w:color w:val="ff0000"/>
          <w:sz w:val="32"/>
          <w:szCs w:val="32"/>
        </w:rPr>
      </w:pPr>
      <w:r>
        <w:rPr>
          <w:rFonts w:hint="eastAsia" w:ascii="仿宋_GB2312" w:hAnsi="仿宋_GB2312" w:eastAsia="仿宋_GB2312" w:cs="仿宋_GB2312"/>
          <w:sz w:val="32"/>
          <w:szCs w:val="32"/>
        </w:rPr>
        <w:t xml:space="preserve">1.征集人将建立用户反馈和评价机制，接受采购人和服务对象对入围供应商履行框架协议和采购合同情况的反馈与评价。</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2.入围供应商按照框架协议约定接受征集人合同授予，并履行采购合同。</w:t>
      </w:r>
      <w:r/>
    </w:p>
    <w:p>
      <w:pPr>
        <w:ind w:firstLine="640"/>
        <w:spacing w:line="560" w:lineRule="exact"/>
        <w:rPr>
          <w:rFonts w:ascii="楷体_GB2312" w:hAnsi="楷体_GB2312" w:eastAsia="楷体_GB2312" w:cs="楷体_GB2312"/>
          <w:bCs/>
          <w:sz w:val="32"/>
          <w:szCs w:val="32"/>
        </w:rPr>
      </w:pPr>
      <w:r>
        <w:rPr>
          <w:rFonts w:hint="eastAsia" w:ascii="楷体_GB2312" w:hAnsi="楷体_GB2312" w:eastAsia="楷体_GB2312" w:cs="楷体_GB2312"/>
          <w:bCs/>
          <w:sz w:val="32"/>
          <w:szCs w:val="32"/>
        </w:rPr>
        <w:t xml:space="preserve">九、入围供应商的清退和补充规则</w:t>
      </w:r>
      <w:r/>
    </w:p>
    <w:p>
      <w:pPr>
        <w:ind w:firstLine="641"/>
        <w:spacing w:line="560" w:lineRule="exact"/>
        <w:rPr>
          <w:rFonts w:ascii="仿宋_GB2312" w:hAnsi="仿宋_GB2312" w:eastAsia="仿宋_GB2312" w:cs="仿宋_GB2312"/>
          <w:b/>
          <w:sz w:val="32"/>
          <w:szCs w:val="32"/>
        </w:rPr>
      </w:pPr>
      <w:r>
        <w:rPr>
          <w:rFonts w:hint="eastAsia" w:ascii="仿宋_GB2312" w:hAnsi="仿宋_GB2312" w:eastAsia="仿宋_GB2312" w:cs="仿宋_GB2312"/>
          <w:b/>
          <w:sz w:val="32"/>
          <w:szCs w:val="32"/>
        </w:rPr>
        <w:t xml:space="preserve">1.清退规则</w:t>
      </w:r>
      <w:r/>
    </w:p>
    <w:p>
      <w:pPr>
        <w:ind w:firstLine="640"/>
        <w:spacing w:line="560" w:lineRule="exact"/>
        <w:tabs>
          <w:tab w:val="left" w:pos="900" w:leader="none"/>
          <w:tab w:val="left" w:pos="1780" w:leader="none"/>
        </w:tabs>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入围供应商有下列情形之一，尚未签订框架协议的，取消其入围资格；已经签订框架协议的，解除与其签订的框架协议：</w:t>
      </w:r>
      <w:r/>
    </w:p>
    <w:p>
      <w:pPr>
        <w:ind w:firstLine="640"/>
        <w:spacing w:line="560" w:lineRule="exact"/>
        <w:tabs>
          <w:tab w:val="left" w:pos="900" w:leader="none"/>
          <w:tab w:val="left" w:pos="1780" w:leader="none"/>
        </w:tabs>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（1）恶意串通谋取入围或者合同成交的；</w:t>
      </w:r>
      <w:r/>
    </w:p>
    <w:p>
      <w:pPr>
        <w:ind w:firstLine="640"/>
        <w:spacing w:line="560" w:lineRule="exact"/>
        <w:tabs>
          <w:tab w:val="left" w:pos="900" w:leader="none"/>
          <w:tab w:val="left" w:pos="1780" w:leader="none"/>
        </w:tabs>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（2）提供虚假材料谋取入围或者合同成交的；</w:t>
      </w:r>
      <w:r/>
    </w:p>
    <w:p>
      <w:pPr>
        <w:ind w:firstLine="640"/>
        <w:spacing w:line="560" w:lineRule="exact"/>
        <w:tabs>
          <w:tab w:val="left" w:pos="900" w:leader="none"/>
          <w:tab w:val="left" w:pos="1780" w:leader="none"/>
        </w:tabs>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（3）无正当理由拒不接受合同授予的；</w:t>
      </w:r>
      <w:r/>
    </w:p>
    <w:p>
      <w:pPr>
        <w:ind w:firstLine="640"/>
        <w:spacing w:line="560" w:lineRule="exact"/>
        <w:tabs>
          <w:tab w:val="left" w:pos="900" w:leader="none"/>
          <w:tab w:val="left" w:pos="1780" w:leader="none"/>
        </w:tabs>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（4）不履行合同义务或者履行合同义务不符合约定，经采购人请求履行后仍不履行或者仍未按约定履行的；</w:t>
      </w:r>
      <w:r/>
    </w:p>
    <w:p>
      <w:pPr>
        <w:ind w:firstLine="640"/>
        <w:spacing w:line="560" w:lineRule="exact"/>
        <w:tabs>
          <w:tab w:val="left" w:pos="900" w:leader="none"/>
          <w:tab w:val="left" w:pos="1780" w:leader="none"/>
        </w:tabs>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（5）框架协议有效期内，因违法行为被禁止或限制参加政府采购活动的；</w:t>
      </w:r>
      <w:r/>
    </w:p>
    <w:p>
      <w:pPr>
        <w:ind w:firstLine="640"/>
        <w:spacing w:line="560" w:lineRule="exact"/>
        <w:tabs>
          <w:tab w:val="left" w:pos="900" w:leader="none"/>
          <w:tab w:val="left" w:pos="1780" w:leader="none"/>
        </w:tabs>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（6）框架协议约定的其他情形。</w:t>
      </w:r>
      <w:r/>
    </w:p>
    <w:p>
      <w:pPr>
        <w:ind w:firstLine="640"/>
        <w:spacing w:line="560" w:lineRule="exact"/>
        <w:tabs>
          <w:tab w:val="left" w:pos="900" w:leader="none"/>
          <w:tab w:val="left" w:pos="1780" w:leader="none"/>
        </w:tabs>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被取消入围资格或者被解除框架协议的供应商不得参加同一封闭式框架协议补充征集，或者重新申请加入同一开放式框架协议。供应商有上述第（1）至（3）项情形之一的，依照政府采购法等有关法律、行政法规处理，其他按相关规定处理。</w:t>
      </w:r>
      <w:r/>
    </w:p>
    <w:p>
      <w:pPr>
        <w:ind w:firstLine="641"/>
        <w:spacing w:line="560" w:lineRule="exact"/>
        <w:rPr>
          <w:rFonts w:ascii="仿宋_GB2312" w:hAnsi="仿宋_GB2312" w:eastAsia="仿宋_GB2312" w:cs="仿宋_GB2312"/>
          <w:b/>
          <w:sz w:val="32"/>
          <w:szCs w:val="32"/>
        </w:rPr>
      </w:pPr>
      <w:r>
        <w:rPr>
          <w:rFonts w:hint="eastAsia" w:ascii="仿宋_GB2312" w:hAnsi="仿宋_GB2312" w:eastAsia="仿宋_GB2312" w:cs="仿宋_GB2312"/>
          <w:b/>
          <w:sz w:val="32"/>
          <w:szCs w:val="32"/>
        </w:rPr>
        <w:t xml:space="preserve">2.补充规则</w:t>
      </w:r>
      <w:r/>
    </w:p>
    <w:p>
      <w:pPr>
        <w:ind w:firstLine="640"/>
        <w:spacing w:line="560" w:lineRule="exact"/>
        <w:rPr>
          <w:rFonts w:ascii="仿宋_GB2312" w:hAnsi="仿宋_GB2312" w:eastAsia="仿宋_GB2312" w:cs="仿宋_GB2312"/>
          <w:b/>
          <w:sz w:val="32"/>
          <w:szCs w:val="32"/>
        </w:rPr>
      </w:pPr>
      <w:r>
        <w:rPr>
          <w:rFonts w:hint="eastAsia" w:ascii="仿宋_GB2312" w:hAnsi="仿宋_GB2312" w:eastAsia="仿宋_GB2312" w:cs="仿宋_GB2312"/>
          <w:sz w:val="32"/>
          <w:szCs w:val="32"/>
        </w:rPr>
        <w:t xml:space="preserve">如出现剩余入围供应商不足入围供应商总数80%且影响框架协议执行的情形时，征集人报财政部门同意后，将进行补充征集供应商。补充征集的条件、程序、评审方法和淘汰比例与初次征集相同。补充征集遵守原框架协议的有效期。补充征集期间，原框架协议继续履行。</w:t>
      </w:r>
      <w:r/>
    </w:p>
    <w:p>
      <w:pPr>
        <w:ind w:firstLine="640"/>
        <w:spacing w:line="560" w:lineRule="exact"/>
        <w:rPr>
          <w:rFonts w:ascii="楷体_GB2312" w:hAnsi="楷体_GB2312" w:eastAsia="楷体_GB2312" w:cs="楷体_GB2312"/>
          <w:bCs/>
          <w:sz w:val="32"/>
          <w:szCs w:val="32"/>
        </w:rPr>
      </w:pPr>
      <w:r>
        <w:rPr>
          <w:rFonts w:hint="eastAsia" w:ascii="楷体_GB2312" w:hAnsi="楷体_GB2312" w:eastAsia="楷体_GB2312" w:cs="楷体_GB2312"/>
          <w:bCs/>
          <w:sz w:val="32"/>
          <w:szCs w:val="32"/>
        </w:rPr>
        <w:t xml:space="preserve">十、确定第二阶段成交供应商的方式</w:t>
      </w:r>
      <w:r/>
    </w:p>
    <w:p>
      <w:pPr>
        <w:ind w:firstLine="641"/>
        <w:spacing w:line="560" w:lineRule="exact"/>
        <w:rPr>
          <w:rFonts w:ascii="仿宋_GB2312" w:hAnsi="仿宋_GB2312" w:eastAsia="仿宋_GB2312" w:cs="仿宋_GB2312"/>
          <w:b/>
          <w:sz w:val="32"/>
          <w:szCs w:val="32"/>
        </w:rPr>
      </w:pPr>
      <w:r>
        <w:rPr>
          <w:rFonts w:hint="eastAsia" w:ascii="仿宋_GB2312" w:hAnsi="仿宋_GB2312" w:eastAsia="仿宋_GB2312" w:cs="仿宋_GB2312"/>
          <w:b/>
          <w:bCs/>
          <w:sz w:val="32"/>
          <w:szCs w:val="32"/>
        </w:rPr>
        <w:t xml:space="preserve">确定第二阶段成交供应商的方式采用按得分高低直接选定服务供应商。</w:t>
      </w:r>
      <w:r/>
    </w:p>
    <w:p>
      <w:pPr>
        <w:ind w:firstLine="640"/>
        <w:spacing w:line="560" w:lineRule="exact"/>
        <w:rPr>
          <w:rFonts w:ascii="楷体_GB2312" w:hAnsi="楷体_GB2312" w:eastAsia="楷体_GB2312" w:cs="楷体_GB2312"/>
          <w:bCs/>
          <w:sz w:val="32"/>
          <w:szCs w:val="32"/>
        </w:rPr>
      </w:pPr>
      <w:r>
        <w:rPr>
          <w:rFonts w:hint="eastAsia" w:ascii="楷体_GB2312" w:hAnsi="楷体_GB2312" w:eastAsia="楷体_GB2312" w:cs="楷体_GB2312"/>
          <w:bCs/>
          <w:sz w:val="32"/>
          <w:szCs w:val="32"/>
          <w:lang w:val="zh-CN"/>
        </w:rPr>
        <w:t xml:space="preserve">十一、</w:t>
      </w:r>
      <w:r>
        <w:rPr>
          <w:rFonts w:hint="eastAsia" w:ascii="楷体_GB2312" w:hAnsi="楷体_GB2312" w:eastAsia="楷体_GB2312" w:cs="楷体_GB2312"/>
          <w:bCs/>
          <w:sz w:val="32"/>
          <w:szCs w:val="32"/>
        </w:rPr>
        <w:t xml:space="preserve">未尽事宜</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按《中华人民共和国政府采购法》及其他有关的法律法规的规定执行。</w:t>
      </w:r>
      <w:r/>
    </w:p>
    <w:p>
      <w:pPr>
        <w:jc w:val="center"/>
        <w:pageBreakBefore/>
        <w:spacing w:line="560" w:lineRule="exact"/>
        <w:rPr>
          <w:rFonts w:ascii="黑体" w:hAnsi="黑体" w:eastAsia="黑体" w:cs="黑体"/>
          <w:bCs/>
          <w:sz w:val="32"/>
          <w:szCs w:val="32"/>
        </w:rPr>
        <w:outlineLvl w:val="0"/>
      </w:pPr>
      <w:r/>
      <w:bookmarkStart w:id="13" w:name="_Toc385"/>
      <w:r/>
      <w:bookmarkStart w:id="14" w:name="_Toc65593809"/>
      <w:r/>
      <w:bookmarkStart w:id="15" w:name="_Toc74050521"/>
      <w:r/>
      <w:bookmarkStart w:id="16" w:name="_Toc41641137"/>
      <w:r/>
      <w:bookmarkStart w:id="17" w:name="_Toc212815966"/>
      <w:r>
        <w:rPr>
          <w:rFonts w:hint="eastAsia" w:ascii="黑体" w:hAnsi="黑体" w:eastAsia="黑体" w:cs="黑体"/>
          <w:bCs/>
          <w:sz w:val="32"/>
          <w:szCs w:val="32"/>
        </w:rPr>
        <w:t xml:space="preserve">第三章 响应文件格式</w:t>
      </w:r>
      <w:bookmarkEnd w:id="13"/>
      <w:r/>
      <w:bookmarkEnd w:id="14"/>
      <w:r/>
      <w:bookmarkEnd w:id="15"/>
      <w:r/>
      <w:bookmarkEnd w:id="16"/>
      <w:r/>
      <w:bookmarkEnd w:id="17"/>
      <w:r/>
      <w:r/>
    </w:p>
    <w:p>
      <w:pPr>
        <w:jc w:val="left"/>
        <w:spacing w:line="560" w:lineRule="exact"/>
        <w:rPr>
          <w:rFonts w:ascii="仿宋_GB2312" w:hAnsi="仿宋_GB2312" w:eastAsia="仿宋_GB2312" w:cs="仿宋_GB2312"/>
          <w:b/>
          <w:sz w:val="32"/>
          <w:szCs w:val="32"/>
        </w:rPr>
      </w:pPr>
      <w:r>
        <w:rPr>
          <w:rFonts w:hint="eastAsia" w:ascii="仿宋_GB2312" w:hAnsi="仿宋_GB2312" w:eastAsia="仿宋_GB2312" w:cs="仿宋_GB2312"/>
          <w:b/>
          <w:sz w:val="32"/>
          <w:szCs w:val="32"/>
        </w:rPr>
        <w:t xml:space="preserve">说明：</w:t>
      </w:r>
      <w:r/>
    </w:p>
    <w:p>
      <w:pPr>
        <w:ind w:firstLine="490"/>
        <w:jc w:val="left"/>
        <w:spacing w:line="560" w:lineRule="exact"/>
        <w:rPr>
          <w:rFonts w:ascii="仿宋_GB2312" w:hAnsi="仿宋_GB2312" w:eastAsia="仿宋_GB2312" w:cs="仿宋_GB2312"/>
          <w:b/>
          <w:sz w:val="32"/>
          <w:szCs w:val="32"/>
        </w:rPr>
      </w:pPr>
      <w:r>
        <w:rPr>
          <w:rFonts w:hint="eastAsia" w:ascii="仿宋_GB2312" w:hAnsi="仿宋_GB2312" w:eastAsia="仿宋_GB2312" w:cs="仿宋_GB2312"/>
          <w:b/>
          <w:sz w:val="32"/>
          <w:szCs w:val="32"/>
        </w:rPr>
        <w:t xml:space="preserve">对本章所有的格式，供应商可根据自身情况进行补充和修改，但补充和修改不得造成与本格式内容有实质性的违背。</w:t>
      </w:r>
      <w:r/>
    </w:p>
    <w:p>
      <w:pPr>
        <w:ind w:firstLine="490"/>
        <w:spacing w:line="560" w:lineRule="exact"/>
        <w:rPr>
          <w:rFonts w:ascii="仿宋_GB2312" w:hAnsi="仿宋_GB2312" w:eastAsia="仿宋_GB2312" w:cs="仿宋_GB2312"/>
          <w:b/>
          <w:sz w:val="32"/>
          <w:szCs w:val="32"/>
        </w:rPr>
      </w:pPr>
      <w:r>
        <w:rPr>
          <w:rFonts w:ascii="仿宋_GB2312" w:hAnsi="仿宋_GB2312" w:eastAsia="仿宋_GB2312" w:cs="仿宋_GB2312"/>
          <w:b/>
          <w:sz w:val="32"/>
          <w:szCs w:val="32"/>
        </w:rPr>
      </w:r>
      <w:r/>
    </w:p>
    <w:p>
      <w:pPr>
        <w:jc w:val="left"/>
        <w:spacing w:line="560" w:lineRule="exact"/>
        <w:rPr>
          <w:rFonts w:ascii="仿宋_GB2312" w:hAnsi="仿宋_GB2312" w:eastAsia="仿宋_GB2312" w:cs="仿宋_GB2312"/>
          <w:b/>
          <w:sz w:val="32"/>
          <w:szCs w:val="32"/>
        </w:rPr>
        <w:outlineLvl w:val="1"/>
      </w:pPr>
      <w:r/>
      <w:bookmarkStart w:id="18" w:name="_Toc180678073"/>
      <w:r/>
      <w:bookmarkStart w:id="19" w:name="_Toc150436635"/>
      <w:r/>
      <w:bookmarkStart w:id="20" w:name="_Toc212815967"/>
      <w:r/>
      <w:bookmarkStart w:id="21" w:name="_Toc141368801"/>
      <w:r>
        <w:rPr>
          <w:rFonts w:hint="eastAsia" w:ascii="仿宋_GB2312" w:hAnsi="仿宋_GB2312" w:eastAsia="仿宋_GB2312" w:cs="仿宋_GB2312"/>
          <w:b/>
          <w:sz w:val="32"/>
          <w:szCs w:val="32"/>
        </w:rPr>
        <w:t xml:space="preserve">附件1  报价一览表</w:t>
      </w:r>
      <w:bookmarkEnd w:id="18"/>
      <w:r/>
      <w:bookmarkEnd w:id="19"/>
      <w:r/>
      <w:bookmarkEnd w:id="20"/>
      <w:r/>
      <w:bookmarkEnd w:id="21"/>
      <w:r/>
      <w:r/>
    </w:p>
    <w:p>
      <w:pPr>
        <w:ind w:firstLine="482"/>
        <w:spacing w:line="560" w:lineRule="exact"/>
        <w:rPr>
          <w:rFonts w:ascii="仿宋_GB2312" w:hAnsi="仿宋_GB2312" w:eastAsia="仿宋_GB2312" w:cs="仿宋_GB2312"/>
          <w:sz w:val="32"/>
          <w:szCs w:val="32"/>
        </w:rPr>
      </w:pPr>
      <w:r/>
      <w:bookmarkStart w:id="22" w:name="_Toc74050548"/>
      <w:r/>
      <w:bookmarkStart w:id="23" w:name="_Toc65593817"/>
      <w:r>
        <w:rPr>
          <w:rFonts w:hint="eastAsia" w:ascii="仿宋_GB2312" w:hAnsi="仿宋_GB2312" w:eastAsia="仿宋_GB2312" w:cs="仿宋_GB2312"/>
          <w:sz w:val="32"/>
          <w:szCs w:val="32"/>
        </w:rPr>
        <w:t xml:space="preserve">供应商全称（加盖公章）：</w:t>
      </w:r>
      <w:r/>
    </w:p>
    <w:p>
      <w:pPr>
        <w:ind w:firstLine="482"/>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项目编号：</w:t>
      </w:r>
      <w:r/>
    </w:p>
    <w:p>
      <w:pPr>
        <w:ind w:firstLine="482"/>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采购包号：</w:t>
      </w:r>
      <w:r/>
    </w:p>
    <w:tbl>
      <w:tblPr>
        <w:tblStyle w:val="965"/>
        <w:tblW w:w="8866" w:type="dxa"/>
        <w:tblInd w:w="13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2231"/>
        <w:gridCol w:w="6635"/>
      </w:tblGrid>
      <w:tr>
        <w:trPr>
          <w:trHeight w:val="108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31" w:type="dxa"/>
            <w:vAlign w:val="center"/>
            <w:textDirection w:val="lrTb"/>
            <w:noWrap w:val="false"/>
          </w:tcPr>
          <w:p>
            <w:pPr>
              <w:jc w:val="center"/>
              <w:spacing w:line="560" w:lineRule="exact"/>
              <w:widowControl/>
              <w:rPr>
                <w:rFonts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35" w:type="dxa"/>
            <w:vAlign w:val="center"/>
            <w:textDirection w:val="lrTb"/>
            <w:noWrap w:val="false"/>
          </w:tcPr>
          <w:p>
            <w:pPr>
              <w:jc w:val="center"/>
              <w:spacing w:line="560" w:lineRule="exact"/>
              <w:widowControl/>
              <w:tabs>
                <w:tab w:val="left" w:pos="3095" w:leader="none"/>
              </w:tabs>
              <w:rPr>
                <w:rFonts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32"/>
                <w:szCs w:val="32"/>
              </w:rPr>
              <w:t xml:space="preserve">综合报价</w:t>
            </w:r>
            <w:r/>
          </w:p>
        </w:tc>
      </w:tr>
      <w:tr>
        <w:trPr>
          <w:trHeight w:val="16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1" w:type="dxa"/>
            <w:vAlign w:val="center"/>
            <w:textDirection w:val="lrTb"/>
            <w:noWrap w:val="false"/>
          </w:tcPr>
          <w:p>
            <w:pPr>
              <w:ind w:firstLine="420"/>
              <w:spacing w:line="560" w:lineRule="exact"/>
              <w:widowControl/>
              <w:rPr>
                <w:rFonts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ascii="仿宋_GB2312" w:hAnsi="仿宋_GB2312" w:eastAsia="仿宋_GB2312" w:cs="仿宋_GB2312"/>
                <w:sz w:val="32"/>
                <w:szCs w:val="32"/>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35" w:type="dxa"/>
            <w:vAlign w:val="center"/>
            <w:textDirection w:val="lrTb"/>
            <w:noWrap w:val="false"/>
          </w:tcPr>
          <w:p>
            <w:pPr>
              <w:jc w:val="left"/>
              <w:spacing w:line="560" w:lineRule="exact"/>
              <w:widowControl/>
              <w:rPr>
                <w:rFonts w:ascii="仿宋_GB2312" w:hAnsi="仿宋_GB2312" w:eastAsia="仿宋_GB2312" w:cs="仿宋_GB2312"/>
                <w:sz w:val="32"/>
                <w:szCs w:val="32"/>
              </w:rPr>
              <w:pBdr>
                <w:top w:val="none" w:color="000000" w:sz="0" w:space="0"/>
                <w:left w:val="none" w:color="000000" w:sz="0" w:space="0"/>
                <w:bottom w:val="none" w:color="000000" w:sz="0" w:space="0"/>
                <w:right w:val="none" w:color="000000" w:sz="0" w:space="0"/>
              </w:pBdr>
            </w:pPr>
            <w:r>
              <w:rPr>
                <w:rFonts w:ascii="仿宋_GB2312" w:hAnsi="仿宋_GB2312" w:eastAsia="仿宋_GB2312" w:cs="仿宋_GB2312"/>
                <w:sz w:val="32"/>
                <w:szCs w:val="32"/>
              </w:rPr>
            </w:r>
            <w:r/>
          </w:p>
        </w:tc>
      </w:tr>
    </w:tbl>
    <w:p>
      <w:pP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p>
      <w:pPr>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备注：</w:t>
      </w:r>
      <w:r/>
    </w:p>
    <w:p>
      <w:pPr>
        <w:ind w:firstLine="641"/>
        <w:spacing w:line="560" w:lineRule="exact"/>
        <w:rPr>
          <w:rFonts w:ascii="仿宋_GB2312" w:hAnsi="仿宋_GB2312" w:eastAsia="仿宋_GB2312" w:cs="仿宋_GB2312"/>
          <w:b/>
          <w:sz w:val="32"/>
          <w:szCs w:val="32"/>
          <w:lang w:val="zh-CN"/>
        </w:rPr>
      </w:pPr>
      <w:r>
        <w:rPr>
          <w:rFonts w:hint="eastAsia" w:ascii="仿宋_GB2312" w:hAnsi="仿宋_GB2312" w:eastAsia="仿宋_GB2312" w:cs="仿宋_GB2312"/>
          <w:b/>
          <w:sz w:val="32"/>
          <w:szCs w:val="32"/>
          <w:lang w:val="zh-CN"/>
        </w:rPr>
        <w:t xml:space="preserve">1.本项目价格不列为评审因素。</w:t>
      </w:r>
      <w:r/>
    </w:p>
    <w:p>
      <w:pPr>
        <w:ind w:firstLine="641"/>
        <w:spacing w:line="560" w:lineRule="exact"/>
        <w:widowControl/>
        <w:rPr>
          <w:rFonts w:ascii="仿宋_GB2312" w:hAnsi="仿宋_GB2312" w:eastAsia="仿宋_GB2312" w:cs="仿宋_GB2312"/>
          <w:b/>
          <w:sz w:val="32"/>
          <w:szCs w:val="32"/>
          <w:lang w:val="zh-CN"/>
        </w:rPr>
      </w:pPr>
      <w:r>
        <w:rPr>
          <w:rFonts w:hint="eastAsia" w:ascii="仿宋_GB2312" w:hAnsi="仿宋_GB2312" w:eastAsia="仿宋_GB2312" w:cs="仿宋_GB2312"/>
          <w:b/>
          <w:sz w:val="32"/>
          <w:szCs w:val="32"/>
          <w:lang w:val="zh-CN"/>
        </w:rPr>
        <w:t xml:space="preserve">2.综合报价直接填写</w:t>
      </w:r>
      <w:r>
        <w:rPr>
          <w:rFonts w:hint="eastAsia" w:ascii="仿宋_GB2312" w:hAnsi="仿宋_GB2312" w:eastAsia="仿宋_GB2312" w:cs="仿宋_GB2312"/>
          <w:b/>
          <w:sz w:val="32"/>
          <w:szCs w:val="32"/>
        </w:rPr>
        <w:t xml:space="preserve">预算</w:t>
      </w:r>
      <w:r>
        <w:rPr>
          <w:rFonts w:hint="eastAsia" w:ascii="仿宋_GB2312" w:hAnsi="仿宋_GB2312" w:eastAsia="仿宋_GB2312" w:cs="仿宋_GB2312"/>
          <w:b/>
          <w:sz w:val="32"/>
          <w:szCs w:val="32"/>
          <w:lang w:val="zh-CN"/>
        </w:rPr>
        <w:t xml:space="preserve">金额，否则视为无效投标响应。</w:t>
      </w:r>
      <w:r/>
    </w:p>
    <w:p>
      <w:pPr>
        <w:spacing w:line="560" w:lineRule="exact"/>
        <w:rPr>
          <w:rFonts w:ascii="仿宋_GB2312" w:hAnsi="仿宋_GB2312" w:eastAsia="仿宋_GB2312" w:cs="仿宋_GB2312"/>
          <w:b/>
          <w:sz w:val="32"/>
          <w:szCs w:val="32"/>
        </w:rPr>
      </w:pPr>
      <w:r/>
      <w:bookmarkStart w:id="24" w:name="_Toc180678074"/>
      <w:r/>
      <w:bookmarkStart w:id="25" w:name="_Toc141368803"/>
      <w:r/>
      <w:bookmarkStart w:id="26" w:name="_Toc150436637"/>
      <w:r>
        <w:rPr>
          <w:rFonts w:hint="eastAsia" w:ascii="仿宋_GB2312" w:hAnsi="仿宋_GB2312" w:eastAsia="仿宋_GB2312" w:cs="仿宋_GB2312"/>
          <w:b/>
          <w:sz w:val="32"/>
          <w:szCs w:val="32"/>
        </w:rPr>
        <w:br w:type="page" w:clear="all"/>
      </w:r>
      <w:r/>
    </w:p>
    <w:p>
      <w:pPr>
        <w:jc w:val="left"/>
        <w:spacing w:line="560" w:lineRule="exact"/>
        <w:rPr>
          <w:rFonts w:ascii="仿宋_GB2312" w:hAnsi="仿宋_GB2312" w:eastAsia="仿宋_GB2312" w:cs="仿宋_GB2312"/>
          <w:b/>
          <w:sz w:val="32"/>
          <w:szCs w:val="32"/>
        </w:rPr>
        <w:outlineLvl w:val="1"/>
      </w:pPr>
      <w:r/>
      <w:bookmarkStart w:id="27" w:name="_Toc212815968"/>
      <w:r>
        <w:rPr>
          <w:rFonts w:hint="eastAsia" w:ascii="仿宋_GB2312" w:hAnsi="仿宋_GB2312" w:eastAsia="仿宋_GB2312" w:cs="仿宋_GB2312"/>
          <w:b/>
          <w:sz w:val="32"/>
          <w:szCs w:val="32"/>
        </w:rPr>
        <w:t xml:space="preserve">附件2</w:t>
      </w:r>
      <w:bookmarkEnd w:id="24"/>
      <w:r/>
      <w:bookmarkEnd w:id="27"/>
      <w:r>
        <w:rPr>
          <w:rFonts w:hint="eastAsia" w:ascii="仿宋_GB2312" w:hAnsi="仿宋_GB2312" w:eastAsia="仿宋_GB2312" w:cs="仿宋_GB2312"/>
          <w:b/>
          <w:sz w:val="32"/>
          <w:szCs w:val="32"/>
        </w:rPr>
        <w:t xml:space="preserve">  </w:t>
      </w:r>
      <w:r>
        <w:rPr>
          <w:rFonts w:hint="eastAsia" w:ascii="仿宋_GB2312" w:hAnsi="仿宋_GB2312" w:eastAsia="仿宋_GB2312" w:cs="仿宋_GB2312"/>
          <w:b/>
          <w:sz w:val="32"/>
          <w:szCs w:val="32"/>
        </w:rPr>
        <w:t xml:space="preserve">法定代表人授权委托书</w:t>
      </w:r>
      <w:r/>
    </w:p>
    <w:p>
      <w:pP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p>
      <w:pPr>
        <w:jc w:val="center"/>
        <w:spacing w:line="560" w:lineRule="exact"/>
        <w:rPr>
          <w:rFonts w:ascii="仿宋_GB2312" w:hAnsi="仿宋_GB2312" w:eastAsia="仿宋_GB2312" w:cs="仿宋_GB2312"/>
          <w:b/>
          <w:sz w:val="32"/>
          <w:szCs w:val="32"/>
        </w:rPr>
      </w:pPr>
      <w:r>
        <w:rPr>
          <w:rFonts w:hint="eastAsia" w:ascii="仿宋_GB2312" w:hAnsi="仿宋_GB2312" w:eastAsia="仿宋_GB2312" w:cs="仿宋_GB2312"/>
          <w:b/>
          <w:sz w:val="32"/>
          <w:szCs w:val="32"/>
        </w:rPr>
        <w:t xml:space="preserve">法定代表人授权委托书</w:t>
      </w:r>
      <w:r/>
    </w:p>
    <w:p>
      <w:pPr>
        <w:ind w:firstLine="420"/>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42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本授权委托书声明：我</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 xml:space="preserve">（姓名）系</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 xml:space="preserve">（供应商名称）的法定代表人，现授权委托 </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 xml:space="preserve">（姓名）为我公司授权代表（即代理人），以本公司的名义参加</w:t>
      </w:r>
      <w:r>
        <w:rPr>
          <w:rFonts w:hint="eastAsia" w:ascii="仿宋_GB2312" w:hAnsi="仿宋_GB2312" w:eastAsia="仿宋_GB2312" w:cs="仿宋_GB2312"/>
          <w:sz w:val="32"/>
          <w:szCs w:val="32"/>
          <w:u w:val="single"/>
        </w:rPr>
        <w:t xml:space="preserve">苏州市政府集中采购中心</w:t>
      </w:r>
      <w:r>
        <w:rPr>
          <w:rFonts w:hint="eastAsia" w:ascii="仿宋_GB2312" w:hAnsi="仿宋_GB2312" w:eastAsia="仿宋_GB2312" w:cs="仿宋_GB2312"/>
          <w:sz w:val="32"/>
          <w:szCs w:val="32"/>
        </w:rPr>
        <w:t xml:space="preserve">组织实施的编号为</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 xml:space="preserve">号（项目编号）的采购活动。</w:t>
      </w:r>
      <w:r/>
    </w:p>
    <w:p>
      <w:pPr>
        <w:ind w:firstLine="42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代理人在采购活动过程中所签署的一切文件和处理与这有关的一切事务，我均予以承认。代理人在授权委托书有效期内签署的所有文件不因授权委托的撤销而失效，除非有撤销授权委托的书面通知，本授权委托书自采购活动开始至合同履行完毕止。</w:t>
      </w:r>
      <w:r/>
    </w:p>
    <w:p>
      <w:pPr>
        <w:ind w:firstLine="42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代理人无转委托权。特此委托。</w:t>
      </w:r>
      <w:r/>
    </w:p>
    <w:p>
      <w:pPr>
        <w:ind w:firstLine="480"/>
        <w:jc w:val="right"/>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480"/>
        <w:jc w:val="right"/>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p>
      <w:pPr>
        <w:pStyle w:val="944"/>
      </w:pPr>
      <w:r/>
      <w:r/>
    </w:p>
    <w:p>
      <w:pPr>
        <w:ind w:right="840" w:firstLine="480"/>
        <w:jc w:val="center"/>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供应商名称（</w:t>
      </w:r>
      <w:r>
        <w:rPr>
          <w:rFonts w:hint="eastAsia" w:ascii="仿宋_GB2312" w:hAnsi="仿宋_GB2312" w:eastAsia="仿宋_GB2312" w:cs="仿宋_GB2312"/>
          <w:sz w:val="32"/>
          <w:szCs w:val="32"/>
          <w:lang w:val="zh-CN"/>
        </w:rPr>
        <w:t xml:space="preserve">电子签章</w:t>
      </w:r>
      <w:r>
        <w:rPr>
          <w:rFonts w:hint="eastAsia" w:ascii="仿宋_GB2312" w:hAnsi="仿宋_GB2312" w:eastAsia="仿宋_GB2312" w:cs="仿宋_GB2312"/>
          <w:sz w:val="32"/>
          <w:szCs w:val="32"/>
        </w:rPr>
        <w:t xml:space="preserve">）：</w:t>
      </w:r>
      <w:r/>
    </w:p>
    <w:p>
      <w:pPr>
        <w:ind w:right="840" w:firstLine="480"/>
        <w:jc w:val="center"/>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val="zh-CN"/>
        </w:rPr>
        <w:t xml:space="preserve">法定代表人</w:t>
      </w:r>
      <w:r>
        <w:rPr>
          <w:rFonts w:hint="eastAsia" w:ascii="仿宋_GB2312" w:hAnsi="仿宋_GB2312" w:eastAsia="仿宋_GB2312" w:cs="仿宋_GB2312"/>
          <w:sz w:val="32"/>
          <w:szCs w:val="32"/>
        </w:rPr>
        <w:t xml:space="preserve">（</w:t>
      </w:r>
      <w:r>
        <w:rPr>
          <w:rFonts w:hint="eastAsia" w:ascii="仿宋_GB2312" w:hAnsi="仿宋_GB2312" w:eastAsia="仿宋_GB2312" w:cs="仿宋_GB2312"/>
          <w:sz w:val="32"/>
          <w:szCs w:val="32"/>
          <w:lang w:val="zh-CN"/>
        </w:rPr>
        <w:t xml:space="preserve">负责人</w:t>
      </w:r>
      <w:r>
        <w:rPr>
          <w:rFonts w:hint="eastAsia" w:ascii="仿宋_GB2312" w:hAnsi="仿宋_GB2312" w:eastAsia="仿宋_GB2312" w:cs="仿宋_GB2312"/>
          <w:sz w:val="32"/>
          <w:szCs w:val="32"/>
        </w:rPr>
        <w:t xml:space="preserve">）</w:t>
      </w:r>
      <w:r>
        <w:rPr>
          <w:rFonts w:hint="eastAsia" w:ascii="仿宋_GB2312" w:hAnsi="仿宋_GB2312" w:eastAsia="仿宋_GB2312" w:cs="仿宋_GB2312"/>
          <w:sz w:val="32"/>
          <w:szCs w:val="32"/>
          <w:lang w:val="zh-CN"/>
        </w:rPr>
        <w:t xml:space="preserve">（电子签章）：</w:t>
      </w:r>
      <w:r/>
    </w:p>
    <w:p>
      <w:pPr>
        <w:ind w:right="1260" w:firstLine="480"/>
        <w:jc w:val="center"/>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          日期：　　　　年　　月　　日</w:t>
      </w:r>
      <w:r/>
    </w:p>
    <w:p>
      <w:pPr>
        <w:jc w:val="left"/>
        <w:spacing w:line="560" w:lineRule="exact"/>
        <w:rPr>
          <w:rFonts w:ascii="仿宋_GB2312" w:hAnsi="仿宋_GB2312" w:eastAsia="仿宋_GB2312" w:cs="仿宋_GB2312"/>
          <w:sz w:val="32"/>
          <w:szCs w:val="32"/>
        </w:rPr>
        <w:outlineLvl w:val="1"/>
      </w:pPr>
      <w:r>
        <w:rPr>
          <w:rFonts w:hint="eastAsia" w:ascii="仿宋_GB2312" w:hAnsi="仿宋_GB2312" w:eastAsia="仿宋_GB2312" w:cs="仿宋_GB2312"/>
          <w:sz w:val="32"/>
          <w:szCs w:val="32"/>
        </w:rPr>
        <w:br w:type="page" w:clear="all"/>
      </w:r>
      <w:r/>
    </w:p>
    <w:p>
      <w:pPr>
        <w:spacing w:line="560" w:lineRule="exact"/>
        <w:rPr>
          <w:rFonts w:ascii="仿宋_GB2312" w:hAnsi="仿宋_GB2312" w:eastAsia="仿宋_GB2312" w:cs="仿宋_GB2312"/>
          <w:b/>
          <w:sz w:val="32"/>
          <w:szCs w:val="32"/>
        </w:rPr>
        <w:outlineLvl w:val="1"/>
      </w:pPr>
      <w:r/>
      <w:bookmarkStart w:id="28" w:name="OLE_LINK3"/>
      <w:r/>
      <w:bookmarkStart w:id="29" w:name="_Toc150436640"/>
      <w:r/>
      <w:bookmarkStart w:id="30" w:name="_Toc212815969"/>
      <w:r/>
      <w:bookmarkStart w:id="31" w:name="_Toc180678075"/>
      <w:r>
        <w:rPr>
          <w:rFonts w:hint="eastAsia" w:ascii="仿宋_GB2312" w:hAnsi="仿宋_GB2312" w:eastAsia="仿宋_GB2312" w:cs="仿宋_GB2312"/>
          <w:b/>
          <w:sz w:val="32"/>
          <w:szCs w:val="32"/>
        </w:rPr>
        <w:t xml:space="preserve">附件3</w:t>
      </w:r>
      <w:bookmarkStart w:id="32" w:name="_Toc141368805"/>
      <w:r/>
      <w:bookmarkStart w:id="33" w:name="_Toc74050542"/>
      <w:r/>
      <w:bookmarkStart w:id="34" w:name="_Toc212815970"/>
      <w:r/>
      <w:bookmarkStart w:id="35" w:name="_Toc65593811"/>
      <w:r/>
      <w:bookmarkStart w:id="36" w:name="_Toc150436639"/>
      <w:r/>
      <w:bookmarkStart w:id="37" w:name="_Toc180678076"/>
      <w:r/>
      <w:bookmarkEnd w:id="22"/>
      <w:r/>
      <w:bookmarkEnd w:id="23"/>
      <w:r/>
      <w:bookmarkEnd w:id="25"/>
      <w:r/>
      <w:bookmarkEnd w:id="26"/>
      <w:r/>
      <w:bookmarkEnd w:id="28"/>
      <w:r/>
      <w:bookmarkEnd w:id="29"/>
      <w:r/>
      <w:bookmarkEnd w:id="30"/>
      <w:r/>
      <w:bookmarkEnd w:id="31"/>
      <w:r>
        <w:rPr>
          <w:rFonts w:hint="eastAsia" w:ascii="仿宋_GB2312" w:hAnsi="仿宋_GB2312" w:eastAsia="仿宋_GB2312" w:cs="仿宋_GB2312"/>
          <w:b/>
          <w:sz w:val="32"/>
          <w:szCs w:val="32"/>
        </w:rPr>
        <w:t xml:space="preserve"> </w:t>
      </w:r>
      <w:r>
        <w:rPr>
          <w:rFonts w:hint="eastAsia" w:ascii="仿宋_GB2312" w:hAnsi="仿宋_GB2312" w:eastAsia="仿宋_GB2312" w:cs="仿宋_GB2312"/>
          <w:b/>
          <w:sz w:val="32"/>
          <w:szCs w:val="32"/>
        </w:rPr>
        <w:t xml:space="preserve"> 响应函</w:t>
      </w:r>
      <w:r/>
    </w:p>
    <w:p>
      <w:pPr>
        <w:jc w:val="center"/>
        <w:spacing w:line="560" w:lineRule="exact"/>
        <w:rPr>
          <w:rFonts w:ascii="仿宋_GB2312" w:hAnsi="仿宋_GB2312" w:eastAsia="仿宋_GB2312" w:cs="仿宋_GB2312"/>
          <w:b/>
          <w:sz w:val="32"/>
          <w:szCs w:val="32"/>
        </w:rPr>
      </w:pPr>
      <w:r>
        <w:rPr>
          <w:rFonts w:hint="eastAsia" w:ascii="仿宋_GB2312" w:hAnsi="仿宋_GB2312" w:eastAsia="仿宋_GB2312" w:cs="仿宋_GB2312"/>
          <w:b/>
          <w:sz w:val="32"/>
          <w:szCs w:val="32"/>
        </w:rPr>
        <w:t xml:space="preserve">响应函</w:t>
      </w:r>
      <w:r/>
    </w:p>
    <w:p>
      <w:pPr>
        <w:jc w:val="center"/>
        <w:spacing w:line="560" w:lineRule="exact"/>
        <w:rPr>
          <w:rFonts w:ascii="仿宋_GB2312" w:hAnsi="仿宋_GB2312" w:eastAsia="仿宋_GB2312" w:cs="仿宋_GB2312"/>
          <w:b/>
          <w:sz w:val="32"/>
          <w:szCs w:val="32"/>
        </w:rPr>
      </w:pPr>
      <w:r>
        <w:rPr>
          <w:rFonts w:ascii="仿宋_GB2312" w:hAnsi="仿宋_GB2312" w:eastAsia="仿宋_GB2312" w:cs="仿宋_GB2312"/>
          <w:b/>
          <w:sz w:val="32"/>
          <w:szCs w:val="32"/>
        </w:rPr>
      </w:r>
      <w:r/>
    </w:p>
    <w:p>
      <w:pPr>
        <w:spacing w:line="560" w:lineRule="exact"/>
        <w:rPr>
          <w:rFonts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 xml:space="preserve">致：</w:t>
      </w:r>
      <w:r>
        <w:rPr>
          <w:rFonts w:hint="eastAsia" w:ascii="仿宋_GB2312" w:hAnsi="仿宋_GB2312" w:eastAsia="仿宋_GB2312" w:cs="仿宋_GB2312"/>
          <w:sz w:val="32"/>
          <w:szCs w:val="32"/>
          <w:u w:val="single"/>
          <w:lang w:val="zh-CN"/>
        </w:rPr>
        <w:t xml:space="preserve">苏州市政府集中采购中心</w:t>
      </w:r>
      <w:r/>
    </w:p>
    <w:p>
      <w:pPr>
        <w:ind w:firstLine="640"/>
        <w:spacing w:line="560" w:lineRule="exact"/>
        <w:rPr>
          <w:rFonts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 xml:space="preserve">我方收到贵中心</w:t>
      </w:r>
      <w:r>
        <w:rPr>
          <w:rFonts w:hint="eastAsia" w:ascii="仿宋_GB2312" w:hAnsi="仿宋_GB2312" w:eastAsia="仿宋_GB2312" w:cs="仿宋_GB2312"/>
          <w:sz w:val="32"/>
          <w:szCs w:val="32"/>
          <w:u w:val="single"/>
          <w:lang w:val="zh-CN"/>
        </w:rPr>
        <w:t xml:space="preserve"> </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zh-CN"/>
        </w:rPr>
        <w:t xml:space="preserve"> </w:t>
      </w:r>
      <w:r>
        <w:rPr>
          <w:rFonts w:hint="eastAsia" w:ascii="仿宋_GB2312" w:hAnsi="仿宋_GB2312" w:eastAsia="仿宋_GB2312" w:cs="仿宋_GB2312"/>
          <w:sz w:val="32"/>
          <w:szCs w:val="32"/>
          <w:lang w:val="zh-CN"/>
        </w:rPr>
        <w:t xml:space="preserve">（项目编号）征集文件，经仔细阅读和研究，我方决定参加</w:t>
      </w:r>
      <w:r>
        <w:rPr>
          <w:rFonts w:hint="eastAsia" w:ascii="仿宋_GB2312" w:hAnsi="仿宋_GB2312" w:eastAsia="仿宋_GB2312" w:cs="仿宋_GB2312"/>
          <w:sz w:val="32"/>
          <w:szCs w:val="32"/>
        </w:rPr>
        <w:t xml:space="preserve">采购</w:t>
      </w:r>
      <w:r>
        <w:rPr>
          <w:rFonts w:hint="eastAsia" w:ascii="仿宋_GB2312" w:hAnsi="仿宋_GB2312" w:eastAsia="仿宋_GB2312" w:cs="仿宋_GB2312"/>
          <w:sz w:val="32"/>
          <w:szCs w:val="32"/>
          <w:lang w:val="zh-CN"/>
        </w:rPr>
        <w:t xml:space="preserve">活动，并向贵中心作出如下承诺：</w:t>
      </w:r>
      <w:r/>
    </w:p>
    <w:p>
      <w:pPr>
        <w:ind w:firstLine="640"/>
        <w:spacing w:line="560" w:lineRule="exact"/>
        <w:rPr>
          <w:rFonts w:ascii="仿宋_GB2312" w:hAnsi="仿宋_GB2312" w:eastAsia="仿宋_GB2312" w:cs="仿宋_GB2312"/>
          <w:sz w:val="32"/>
          <w:szCs w:val="32"/>
          <w:lang w:val="zh-CN"/>
        </w:rPr>
      </w:pPr>
      <w:r>
        <w:rPr>
          <w:rFonts w:hint="eastAsia" w:ascii="仿宋_GB2312" w:hAnsi="仿宋_GB2312" w:eastAsia="仿宋_GB2312" w:cs="仿宋_GB2312"/>
          <w:sz w:val="32"/>
          <w:szCs w:val="32"/>
        </w:rPr>
        <w:t xml:space="preserve">1.</w:t>
      </w:r>
      <w:r>
        <w:rPr>
          <w:rFonts w:hint="eastAsia" w:ascii="仿宋_GB2312" w:hAnsi="仿宋_GB2312" w:eastAsia="仿宋_GB2312" w:cs="仿宋_GB2312"/>
          <w:sz w:val="32"/>
          <w:szCs w:val="32"/>
          <w:lang w:val="zh-CN"/>
        </w:rPr>
        <w:t xml:space="preserve">我方愿意按照征集文件的一切要求，提供本项目的所有内容，我方的报价包括完成本项工作所需的一切应有费用。</w:t>
      </w:r>
      <w:r/>
    </w:p>
    <w:p>
      <w:pPr>
        <w:ind w:firstLine="640"/>
        <w:spacing w:line="560" w:lineRule="exact"/>
        <w:rPr>
          <w:rFonts w:ascii="仿宋_GB2312" w:hAnsi="仿宋_GB2312" w:eastAsia="仿宋_GB2312" w:cs="仿宋_GB2312"/>
          <w:sz w:val="32"/>
          <w:szCs w:val="32"/>
          <w:lang w:val="zh-CN"/>
        </w:rPr>
      </w:pPr>
      <w:r>
        <w:rPr>
          <w:rFonts w:hint="eastAsia" w:ascii="仿宋_GB2312" w:hAnsi="仿宋_GB2312" w:eastAsia="仿宋_GB2312" w:cs="仿宋_GB2312"/>
          <w:sz w:val="32"/>
          <w:szCs w:val="32"/>
        </w:rPr>
        <w:t xml:space="preserve">2.</w:t>
      </w:r>
      <w:r>
        <w:rPr>
          <w:rFonts w:hint="eastAsia" w:ascii="仿宋_GB2312" w:hAnsi="仿宋_GB2312" w:eastAsia="仿宋_GB2312" w:cs="仿宋_GB2312"/>
          <w:sz w:val="32"/>
          <w:szCs w:val="32"/>
          <w:lang w:val="zh-CN"/>
        </w:rPr>
        <w:t xml:space="preserve">如果我方的响应文件被接受，我方将严格履行征集文件中规定的每一项要求，严格履行合同的责任和义务，保证按期、按质履行合同，完成合同所规定的全部内容。</w:t>
      </w:r>
      <w:r/>
    </w:p>
    <w:p>
      <w:pPr>
        <w:ind w:firstLine="640"/>
        <w:spacing w:line="560" w:lineRule="exact"/>
        <w:rPr>
          <w:rFonts w:ascii="仿宋_GB2312" w:hAnsi="仿宋_GB2312" w:eastAsia="仿宋_GB2312" w:cs="仿宋_GB2312"/>
          <w:sz w:val="32"/>
          <w:szCs w:val="32"/>
          <w:lang w:val="zh-CN"/>
        </w:rPr>
      </w:pPr>
      <w:r>
        <w:rPr>
          <w:rFonts w:hint="eastAsia" w:ascii="仿宋_GB2312" w:hAnsi="仿宋_GB2312" w:eastAsia="仿宋_GB2312" w:cs="仿宋_GB2312"/>
          <w:sz w:val="32"/>
          <w:szCs w:val="32"/>
        </w:rPr>
        <w:t xml:space="preserve">3.</w:t>
      </w:r>
      <w:r>
        <w:rPr>
          <w:rFonts w:hint="eastAsia" w:ascii="仿宋_GB2312" w:hAnsi="仿宋_GB2312" w:eastAsia="仿宋_GB2312" w:cs="仿宋_GB2312"/>
          <w:sz w:val="32"/>
          <w:szCs w:val="32"/>
          <w:lang w:val="zh-CN"/>
        </w:rPr>
        <w:t xml:space="preserve">我方已详细审查并同意征集文件及更正文件（若有）中的规定。我方完全理解并同意放弃对这方面有不明及误解的权利。</w:t>
      </w:r>
      <w:r/>
    </w:p>
    <w:p>
      <w:pPr>
        <w:ind w:firstLine="640"/>
        <w:spacing w:line="560" w:lineRule="exact"/>
        <w:rPr>
          <w:rFonts w:ascii="仿宋_GB2312" w:hAnsi="仿宋_GB2312" w:eastAsia="仿宋_GB2312" w:cs="仿宋_GB2312"/>
          <w:sz w:val="32"/>
          <w:szCs w:val="32"/>
          <w:lang w:val="zh-CN"/>
        </w:rPr>
      </w:pPr>
      <w:r>
        <w:rPr>
          <w:rFonts w:hint="eastAsia" w:ascii="仿宋_GB2312" w:hAnsi="仿宋_GB2312" w:eastAsia="仿宋_GB2312" w:cs="仿宋_GB2312"/>
          <w:sz w:val="32"/>
          <w:szCs w:val="32"/>
        </w:rPr>
        <w:t xml:space="preserve">4.</w:t>
      </w:r>
      <w:r>
        <w:rPr>
          <w:rFonts w:hint="eastAsia" w:ascii="仿宋_GB2312" w:hAnsi="仿宋_GB2312" w:eastAsia="仿宋_GB2312" w:cs="仿宋_GB2312"/>
          <w:sz w:val="32"/>
          <w:szCs w:val="32"/>
          <w:lang w:val="zh-CN"/>
        </w:rPr>
        <w:t xml:space="preserve">本响应文件的有效期限为</w:t>
      </w:r>
      <w:r>
        <w:rPr>
          <w:rFonts w:hint="eastAsia" w:ascii="仿宋_GB2312" w:hAnsi="仿宋_GB2312" w:eastAsia="仿宋_GB2312" w:cs="仿宋_GB2312"/>
          <w:sz w:val="32"/>
          <w:szCs w:val="32"/>
        </w:rPr>
        <w:t xml:space="preserve">响应文件</w:t>
      </w:r>
      <w:r>
        <w:rPr>
          <w:rFonts w:hint="eastAsia" w:ascii="仿宋_GB2312" w:hAnsi="仿宋_GB2312" w:eastAsia="仿宋_GB2312" w:cs="仿宋_GB2312"/>
          <w:sz w:val="32"/>
          <w:szCs w:val="32"/>
          <w:lang w:val="zh-CN"/>
        </w:rPr>
        <w:t xml:space="preserve">接收截止时间之日起90天。</w:t>
      </w:r>
      <w:r/>
    </w:p>
    <w:p>
      <w:pPr>
        <w:ind w:firstLine="640"/>
        <w:spacing w:line="560" w:lineRule="exact"/>
        <w:rPr>
          <w:rFonts w:ascii="仿宋_GB2312" w:hAnsi="仿宋_GB2312" w:eastAsia="仿宋_GB2312" w:cs="仿宋_GB2312"/>
          <w:sz w:val="32"/>
          <w:szCs w:val="32"/>
          <w:lang w:val="zh-CN"/>
        </w:rPr>
      </w:pPr>
      <w:r>
        <w:rPr>
          <w:rFonts w:hint="eastAsia" w:ascii="仿宋_GB2312" w:hAnsi="仿宋_GB2312" w:eastAsia="仿宋_GB2312" w:cs="仿宋_GB2312"/>
          <w:sz w:val="32"/>
          <w:szCs w:val="32"/>
        </w:rPr>
        <w:t xml:space="preserve">5.</w:t>
      </w:r>
      <w:r>
        <w:rPr>
          <w:rFonts w:hint="eastAsia" w:ascii="仿宋_GB2312" w:hAnsi="仿宋_GB2312" w:eastAsia="仿宋_GB2312" w:cs="仿宋_GB2312"/>
          <w:sz w:val="32"/>
          <w:szCs w:val="32"/>
          <w:lang w:val="zh-CN"/>
        </w:rPr>
        <w:t xml:space="preserve">我方保证所提交的响应文件中所有资料均是真实的、准确的。若与真实情况不符，我方愿意承担由此而产生的一切后果。</w:t>
      </w:r>
      <w:r/>
    </w:p>
    <w:p>
      <w:pPr>
        <w:ind w:firstLine="640"/>
        <w:spacing w:line="560" w:lineRule="exact"/>
        <w:rPr>
          <w:rFonts w:ascii="仿宋_GB2312" w:hAnsi="仿宋_GB2312" w:eastAsia="仿宋_GB2312" w:cs="仿宋_GB2312"/>
          <w:sz w:val="32"/>
          <w:szCs w:val="32"/>
          <w:lang w:val="zh-CN"/>
        </w:rPr>
      </w:pPr>
      <w:r>
        <w:rPr>
          <w:rFonts w:hint="eastAsia" w:ascii="仿宋_GB2312" w:hAnsi="仿宋_GB2312" w:eastAsia="仿宋_GB2312" w:cs="仿宋_GB2312"/>
          <w:sz w:val="32"/>
          <w:szCs w:val="32"/>
        </w:rPr>
        <w:t xml:space="preserve">6.</w:t>
      </w:r>
      <w:r>
        <w:rPr>
          <w:rFonts w:hint="eastAsia" w:ascii="仿宋_GB2312" w:hAnsi="仿宋_GB2312" w:eastAsia="仿宋_GB2312" w:cs="仿宋_GB2312"/>
          <w:sz w:val="32"/>
          <w:szCs w:val="32"/>
          <w:lang w:val="zh-CN"/>
        </w:rPr>
        <w:t xml:space="preserve">我方承诺响应文件在开始后的全过程中保持有效，不作任何更改和变动。</w:t>
      </w:r>
      <w:r/>
    </w:p>
    <w:p>
      <w:pPr>
        <w:ind w:firstLine="640"/>
        <w:jc w:val="left"/>
        <w:spacing w:line="560" w:lineRule="exact"/>
        <w:rPr>
          <w:rFonts w:ascii="仿宋_GB2312" w:hAnsi="仿宋_GB2312" w:eastAsia="仿宋_GB2312" w:cs="仿宋_GB2312"/>
          <w:sz w:val="32"/>
          <w:szCs w:val="32"/>
          <w:lang w:val="zh-CN"/>
        </w:rPr>
      </w:pPr>
      <w:r>
        <w:rPr>
          <w:rFonts w:hint="eastAsia" w:ascii="仿宋_GB2312" w:hAnsi="仿宋_GB2312" w:eastAsia="仿宋_GB2312" w:cs="仿宋_GB2312"/>
          <w:sz w:val="32"/>
          <w:szCs w:val="32"/>
        </w:rPr>
        <w:t xml:space="preserve">7.</w:t>
      </w:r>
      <w:r>
        <w:rPr>
          <w:rFonts w:hint="eastAsia" w:ascii="仿宋_GB2312" w:hAnsi="仿宋_GB2312" w:eastAsia="仿宋_GB2312" w:cs="仿宋_GB2312"/>
          <w:sz w:val="32"/>
          <w:szCs w:val="32"/>
          <w:lang w:val="zh-CN"/>
        </w:rPr>
        <w:t xml:space="preserve">我方承诺满足《中华人民共和国政府采购法》第二十二条规定的所有条件。</w:t>
      </w:r>
      <w:r/>
    </w:p>
    <w:p>
      <w:pPr>
        <w:ind w:firstLine="640"/>
        <w:jc w:val="left"/>
        <w:spacing w:line="560" w:lineRule="exact"/>
        <w:rPr>
          <w:rFonts w:ascii="仿宋_GB2312" w:hAnsi="仿宋_GB2312" w:eastAsia="仿宋_GB2312" w:cs="仿宋_GB2312"/>
          <w:sz w:val="32"/>
          <w:szCs w:val="32"/>
          <w:lang w:val="zh-CN"/>
        </w:rPr>
      </w:pPr>
      <w:r>
        <w:rPr>
          <w:rFonts w:hint="eastAsia" w:ascii="仿宋_GB2312" w:hAnsi="仿宋_GB2312" w:eastAsia="仿宋_GB2312" w:cs="仿宋_GB2312"/>
          <w:sz w:val="32"/>
          <w:szCs w:val="32"/>
        </w:rPr>
        <w:t xml:space="preserve">8.</w:t>
      </w:r>
      <w:r>
        <w:rPr>
          <w:rFonts w:hint="eastAsia" w:ascii="仿宋_GB2312" w:hAnsi="仿宋_GB2312" w:eastAsia="仿宋_GB2312" w:cs="仿宋_GB2312"/>
          <w:sz w:val="32"/>
          <w:szCs w:val="32"/>
          <w:lang w:val="zh-CN"/>
        </w:rPr>
        <w:t xml:space="preserve">与本相应文件有关的通讯地址：</w:t>
      </w:r>
      <w:r/>
    </w:p>
    <w:p>
      <w:pPr>
        <w:ind w:firstLine="640"/>
        <w:jc w:val="left"/>
        <w:spacing w:line="560" w:lineRule="exact"/>
        <w:rPr>
          <w:rFonts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 xml:space="preserve">单   位：               联 系 人：</w:t>
      </w:r>
      <w:r/>
    </w:p>
    <w:p>
      <w:pPr>
        <w:ind w:firstLine="640"/>
        <w:jc w:val="left"/>
        <w:spacing w:line="560" w:lineRule="exact"/>
        <w:rPr>
          <w:rFonts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 xml:space="preserve">地   址：               邮政编码：</w:t>
      </w:r>
      <w:r/>
    </w:p>
    <w:p>
      <w:pPr>
        <w:ind w:firstLine="640"/>
        <w:jc w:val="left"/>
        <w:spacing w:line="560" w:lineRule="exact"/>
        <w:rPr>
          <w:rFonts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 xml:space="preserve">联系电话：              电子邮箱：</w:t>
      </w:r>
      <w:r/>
    </w:p>
    <w:p>
      <w:pPr>
        <w:ind w:right="840" w:firstLine="210"/>
        <w:jc w:val="center"/>
        <w:spacing w:line="560" w:lineRule="exact"/>
        <w:rPr>
          <w:rFonts w:ascii="仿宋_GB2312" w:hAnsi="仿宋_GB2312" w:eastAsia="仿宋_GB2312" w:cs="仿宋_GB2312"/>
          <w:sz w:val="32"/>
          <w:szCs w:val="32"/>
          <w:lang w:val="zh-CN"/>
        </w:rPr>
      </w:pPr>
      <w:r>
        <w:rPr>
          <w:rFonts w:ascii="仿宋_GB2312" w:hAnsi="仿宋_GB2312" w:eastAsia="仿宋_GB2312" w:cs="仿宋_GB2312"/>
          <w:sz w:val="32"/>
          <w:szCs w:val="32"/>
          <w:lang w:val="zh-CN"/>
        </w:rPr>
      </w:r>
      <w:r/>
    </w:p>
    <w:p>
      <w:pPr>
        <w:ind w:right="-210"/>
        <w:jc w:val="right"/>
        <w:spacing w:line="560" w:lineRule="exact"/>
        <w:rPr>
          <w:rFonts w:ascii="仿宋_GB2312" w:hAnsi="仿宋_GB2312" w:eastAsia="仿宋_GB2312" w:cs="仿宋_GB2312"/>
          <w:sz w:val="32"/>
          <w:szCs w:val="32"/>
          <w:lang w:val="zh-CN"/>
        </w:rPr>
      </w:pPr>
      <w:r>
        <w:rPr>
          <w:rFonts w:ascii="仿宋_GB2312" w:hAnsi="仿宋_GB2312" w:eastAsia="仿宋_GB2312" w:cs="仿宋_GB2312"/>
          <w:sz w:val="32"/>
          <w:szCs w:val="32"/>
          <w:lang w:val="zh-CN"/>
        </w:rPr>
      </w:r>
      <w:r/>
    </w:p>
    <w:p>
      <w:pPr>
        <w:ind w:right="-210"/>
        <w:jc w:val="right"/>
        <w:spacing w:line="560" w:lineRule="exact"/>
        <w:rPr>
          <w:rFonts w:ascii="仿宋_GB2312" w:hAnsi="仿宋_GB2312" w:eastAsia="仿宋_GB2312" w:cs="仿宋_GB2312"/>
          <w:sz w:val="32"/>
          <w:szCs w:val="32"/>
          <w:lang w:val="zh-CN"/>
        </w:rPr>
      </w:pPr>
      <w:r>
        <w:rPr>
          <w:rFonts w:ascii="仿宋_GB2312" w:hAnsi="仿宋_GB2312" w:eastAsia="仿宋_GB2312" w:cs="仿宋_GB2312"/>
          <w:sz w:val="32"/>
          <w:szCs w:val="32"/>
          <w:lang w:val="zh-CN"/>
        </w:rPr>
      </w:r>
      <w:r/>
    </w:p>
    <w:p>
      <w:pPr>
        <w:ind w:right="840" w:firstLine="480"/>
        <w:jc w:val="center"/>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                 供应商名称（</w:t>
      </w:r>
      <w:r>
        <w:rPr>
          <w:rFonts w:hint="eastAsia" w:ascii="仿宋_GB2312" w:hAnsi="仿宋_GB2312" w:eastAsia="仿宋_GB2312" w:cs="仿宋_GB2312"/>
          <w:sz w:val="32"/>
          <w:szCs w:val="32"/>
          <w:lang w:val="zh-CN"/>
        </w:rPr>
        <w:t xml:space="preserve">电子签章</w:t>
      </w:r>
      <w:r>
        <w:rPr>
          <w:rFonts w:hint="eastAsia" w:ascii="仿宋_GB2312" w:hAnsi="仿宋_GB2312" w:eastAsia="仿宋_GB2312" w:cs="仿宋_GB2312"/>
          <w:sz w:val="32"/>
          <w:szCs w:val="32"/>
        </w:rPr>
        <w:t xml:space="preserve">）：</w:t>
      </w:r>
      <w:r/>
    </w:p>
    <w:p>
      <w:pPr>
        <w:ind w:right="840" w:firstLine="480"/>
        <w:jc w:val="center"/>
        <w:spacing w:line="560" w:lineRule="exact"/>
        <w:rPr>
          <w:rFonts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 xml:space="preserve">法定代表人</w:t>
      </w:r>
      <w:r>
        <w:rPr>
          <w:rFonts w:hint="eastAsia" w:ascii="仿宋_GB2312" w:hAnsi="仿宋_GB2312" w:eastAsia="仿宋_GB2312" w:cs="仿宋_GB2312"/>
          <w:sz w:val="32"/>
          <w:szCs w:val="32"/>
        </w:rPr>
        <w:t xml:space="preserve">（</w:t>
      </w:r>
      <w:r>
        <w:rPr>
          <w:rFonts w:hint="eastAsia" w:ascii="仿宋_GB2312" w:hAnsi="仿宋_GB2312" w:eastAsia="仿宋_GB2312" w:cs="仿宋_GB2312"/>
          <w:sz w:val="32"/>
          <w:szCs w:val="32"/>
          <w:lang w:val="zh-CN"/>
        </w:rPr>
        <w:t xml:space="preserve">负责人</w:t>
      </w:r>
      <w:r>
        <w:rPr>
          <w:rFonts w:hint="eastAsia" w:ascii="仿宋_GB2312" w:hAnsi="仿宋_GB2312" w:eastAsia="仿宋_GB2312" w:cs="仿宋_GB2312"/>
          <w:sz w:val="32"/>
          <w:szCs w:val="32"/>
        </w:rPr>
        <w:t xml:space="preserve">）</w:t>
      </w:r>
      <w:r>
        <w:rPr>
          <w:rFonts w:hint="eastAsia" w:ascii="仿宋_GB2312" w:hAnsi="仿宋_GB2312" w:eastAsia="仿宋_GB2312" w:cs="仿宋_GB2312"/>
          <w:sz w:val="32"/>
          <w:szCs w:val="32"/>
          <w:lang w:val="zh-CN"/>
        </w:rPr>
        <w:t xml:space="preserve">或</w:t>
      </w:r>
      <w:r>
        <w:rPr>
          <w:rFonts w:hint="eastAsia" w:ascii="仿宋_GB2312" w:hAnsi="仿宋_GB2312" w:eastAsia="仿宋_GB2312" w:cs="仿宋_GB2312"/>
          <w:sz w:val="32"/>
          <w:szCs w:val="32"/>
        </w:rPr>
        <w:t xml:space="preserve">代理人</w:t>
      </w:r>
      <w:r>
        <w:rPr>
          <w:rFonts w:hint="eastAsia" w:ascii="仿宋_GB2312" w:hAnsi="仿宋_GB2312" w:eastAsia="仿宋_GB2312" w:cs="仿宋_GB2312"/>
          <w:sz w:val="32"/>
          <w:szCs w:val="32"/>
          <w:lang w:val="zh-CN"/>
        </w:rPr>
        <w:t xml:space="preserve">（电子签章）：</w:t>
      </w:r>
      <w:r/>
    </w:p>
    <w:p>
      <w:pPr>
        <w:ind w:right="1575" w:firstLine="480"/>
        <w:jc w:val="right"/>
        <w:spacing w:line="560" w:lineRule="exact"/>
        <w:rPr>
          <w:rFonts w:ascii="仿宋_GB2312" w:hAnsi="仿宋_GB2312" w:eastAsia="仿宋_GB2312" w:cs="仿宋_GB2312"/>
          <w:b/>
          <w:sz w:val="32"/>
          <w:szCs w:val="32"/>
        </w:rPr>
      </w:pPr>
      <w:r>
        <w:rPr>
          <w:rFonts w:hint="eastAsia" w:ascii="仿宋_GB2312" w:hAnsi="仿宋_GB2312" w:eastAsia="仿宋_GB2312" w:cs="仿宋_GB2312"/>
          <w:sz w:val="32"/>
          <w:szCs w:val="32"/>
        </w:rPr>
        <w:t xml:space="preserve">日期：　　　　年　　月　　日</w:t>
      </w:r>
      <w:r>
        <w:rPr>
          <w:rFonts w:hint="eastAsia" w:ascii="仿宋_GB2312" w:hAnsi="仿宋_GB2312" w:eastAsia="仿宋_GB2312" w:cs="仿宋_GB2312"/>
          <w:b/>
          <w:sz w:val="32"/>
          <w:szCs w:val="32"/>
        </w:rPr>
        <w:br w:type="page" w:clear="all"/>
      </w:r>
      <w:r/>
    </w:p>
    <w:p>
      <w:pPr>
        <w:spacing w:line="560" w:lineRule="exact"/>
        <w:rPr>
          <w:rFonts w:ascii="仿宋_GB2312" w:hAnsi="仿宋_GB2312" w:eastAsia="仿宋_GB2312" w:cs="仿宋_GB2312"/>
          <w:sz w:val="32"/>
          <w:szCs w:val="32"/>
        </w:rPr>
        <w:outlineLvl w:val="1"/>
      </w:pPr>
      <w:r>
        <w:rPr>
          <w:rFonts w:hint="eastAsia" w:ascii="仿宋_GB2312" w:hAnsi="仿宋_GB2312" w:eastAsia="仿宋_GB2312" w:cs="仿宋_GB2312"/>
          <w:b/>
          <w:sz w:val="32"/>
          <w:szCs w:val="32"/>
        </w:rPr>
        <w:t xml:space="preserve">附件4</w:t>
      </w:r>
      <w:bookmarkStart w:id="38" w:name="_Toc150436644"/>
      <w:r/>
      <w:bookmarkStart w:id="39" w:name="_Toc65593819"/>
      <w:r/>
      <w:bookmarkStart w:id="40" w:name="_Toc74050550"/>
      <w:r/>
      <w:bookmarkStart w:id="41" w:name="_Toc141368809"/>
      <w:r/>
      <w:bookmarkStart w:id="42" w:name="_Toc180678079"/>
      <w:r/>
      <w:bookmarkStart w:id="43" w:name="_Toc212815973"/>
      <w:r/>
      <w:bookmarkStart w:id="44" w:name="_Toc103258858"/>
      <w:r/>
      <w:bookmarkStart w:id="45" w:name="_Toc150436643"/>
      <w:r/>
      <w:bookmarkStart w:id="46" w:name="_Toc74050544"/>
      <w:r/>
      <w:bookmarkStart w:id="47" w:name="_Toc65593813"/>
      <w:r/>
      <w:bookmarkStart w:id="48" w:name="_Toc141368808"/>
      <w:r/>
      <w:bookmarkEnd w:id="32"/>
      <w:r/>
      <w:bookmarkEnd w:id="33"/>
      <w:r/>
      <w:bookmarkEnd w:id="34"/>
      <w:r/>
      <w:bookmarkEnd w:id="35"/>
      <w:r/>
      <w:bookmarkEnd w:id="36"/>
      <w:r/>
      <w:bookmarkEnd w:id="37"/>
      <w:r>
        <w:rPr>
          <w:rFonts w:hint="eastAsia" w:ascii="仿宋_GB2312" w:hAnsi="仿宋_GB2312" w:eastAsia="仿宋_GB2312" w:cs="仿宋_GB2312"/>
          <w:b/>
          <w:sz w:val="32"/>
          <w:szCs w:val="32"/>
        </w:rPr>
        <w:t xml:space="preserve">  中小企业声明函</w:t>
      </w:r>
      <w:bookmarkEnd w:id="38"/>
      <w:r/>
      <w:bookmarkEnd w:id="39"/>
      <w:r/>
      <w:bookmarkEnd w:id="40"/>
      <w:r/>
      <w:bookmarkEnd w:id="41"/>
      <w:r/>
      <w:bookmarkEnd w:id="42"/>
      <w:r/>
      <w:bookmarkEnd w:id="43"/>
      <w:r/>
      <w:r/>
    </w:p>
    <w:p>
      <w:pPr>
        <w:jc w:val="center"/>
        <w:spacing w:line="560" w:lineRule="exact"/>
        <w:widowControl/>
        <w:rPr>
          <w:rFonts w:ascii="仿宋_GB2312" w:hAnsi="仿宋_GB2312" w:eastAsia="仿宋_GB2312" w:cs="仿宋_GB2312"/>
          <w:b/>
          <w:sz w:val="32"/>
          <w:szCs w:val="32"/>
        </w:rPr>
      </w:pPr>
      <w:r>
        <w:rPr>
          <w:rFonts w:ascii="仿宋_GB2312" w:hAnsi="仿宋_GB2312" w:eastAsia="仿宋_GB2312" w:cs="仿宋_GB2312"/>
          <w:b/>
          <w:sz w:val="32"/>
          <w:szCs w:val="32"/>
        </w:rPr>
      </w:r>
      <w:r/>
    </w:p>
    <w:p>
      <w:pPr>
        <w:jc w:val="center"/>
        <w:spacing w:line="560" w:lineRule="exact"/>
        <w:widowControl/>
        <w:rPr>
          <w:rFonts w:ascii="仿宋_GB2312" w:hAnsi="仿宋_GB2312" w:eastAsia="仿宋_GB2312" w:cs="仿宋_GB2312"/>
          <w:sz w:val="32"/>
          <w:szCs w:val="32"/>
          <w:u w:val="single"/>
        </w:rPr>
      </w:pPr>
      <w:r>
        <w:rPr>
          <w:rFonts w:hint="eastAsia" w:ascii="仿宋_GB2312" w:hAnsi="仿宋_GB2312" w:eastAsia="仿宋_GB2312" w:cs="仿宋_GB2312"/>
          <w:b/>
          <w:sz w:val="32"/>
          <w:szCs w:val="32"/>
        </w:rPr>
        <w:t xml:space="preserve">中小企业声明函（服务）</w:t>
      </w:r>
      <w:r/>
    </w:p>
    <w:p>
      <w:pPr>
        <w:jc w:val="left"/>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u w:val="single"/>
        </w:rPr>
        <w:t xml:space="preserve">苏州市政府集中采购中心：</w:t>
      </w:r>
      <w:r/>
    </w:p>
    <w:p>
      <w:pPr>
        <w:ind w:firstLine="420"/>
        <w:jc w:val="left"/>
        <w:spacing w:line="560" w:lineRule="exact"/>
        <w:rPr>
          <w:rFonts w:ascii="仿宋_GB2312" w:hAnsi="仿宋_GB2312" w:eastAsia="仿宋_GB2312" w:cs="仿宋_GB2312"/>
          <w:sz w:val="32"/>
          <w:szCs w:val="32"/>
          <w:u w:val="single"/>
        </w:rPr>
      </w:pPr>
      <w:r>
        <w:rPr>
          <w:rFonts w:hint="eastAsia" w:ascii="仿宋_GB2312" w:hAnsi="仿宋_GB2312" w:eastAsia="仿宋_GB2312" w:cs="仿宋_GB2312"/>
          <w:sz w:val="32"/>
          <w:szCs w:val="32"/>
        </w:rPr>
        <w:t xml:space="preserve">本公司郑重声明，根据《政府采购促进中小企业发展管理办法》（财库[2020]46号）的规定，本公司参加</w:t>
      </w:r>
      <w:r>
        <w:rPr>
          <w:rFonts w:hint="eastAsia" w:ascii="仿宋_GB2312" w:hAnsi="仿宋_GB2312" w:eastAsia="仿宋_GB2312" w:cs="仿宋_GB2312"/>
          <w:sz w:val="32"/>
          <w:szCs w:val="32"/>
          <w:u w:val="single"/>
        </w:rPr>
        <w:t xml:space="preserve">（苏州市政府集中采购中心）</w:t>
      </w:r>
      <w:r>
        <w:rPr>
          <w:rFonts w:hint="eastAsia" w:ascii="仿宋_GB2312" w:hAnsi="仿宋_GB2312" w:eastAsia="仿宋_GB2312" w:cs="仿宋_GB2312"/>
          <w:sz w:val="32"/>
          <w:szCs w:val="32"/>
        </w:rPr>
        <w:t xml:space="preserve">的</w:t>
      </w:r>
      <w:r>
        <w:rPr>
          <w:rFonts w:hint="eastAsia" w:ascii="仿宋_GB2312" w:hAnsi="仿宋_GB2312" w:eastAsia="仿宋_GB2312" w:cs="仿宋_GB2312"/>
          <w:sz w:val="32"/>
          <w:szCs w:val="32"/>
          <w:u w:val="single"/>
        </w:rPr>
        <w:t xml:space="preserve">（苏州市政策性农业保险承保机构遴选）</w:t>
      </w:r>
      <w:r>
        <w:rPr>
          <w:rFonts w:hint="eastAsia" w:ascii="仿宋_GB2312" w:hAnsi="仿宋_GB2312" w:eastAsia="仿宋_GB2312" w:cs="仿宋_GB2312"/>
          <w:sz w:val="32"/>
          <w:szCs w:val="32"/>
        </w:rPr>
        <w:t xml:space="preserve">采购活动，服务全部由符合政策要求的中小企业承接。相关企业的具体情况如下：</w:t>
      </w:r>
      <w:r/>
    </w:p>
    <w:p>
      <w:pPr>
        <w:ind w:firstLine="640"/>
        <w:jc w:val="left"/>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w:t>
      </w:r>
      <w:r>
        <w:rPr>
          <w:rFonts w:hint="eastAsia" w:ascii="仿宋_GB2312" w:hAnsi="仿宋_GB2312" w:eastAsia="仿宋_GB2312" w:cs="仿宋_GB2312"/>
          <w:sz w:val="32"/>
          <w:szCs w:val="32"/>
          <w:u w:val="single"/>
        </w:rPr>
        <w:t xml:space="preserve">（苏州市政策性农业保险承保机构遴选）</w:t>
      </w:r>
      <w:r>
        <w:rPr>
          <w:rFonts w:hint="eastAsia" w:ascii="仿宋_GB2312" w:hAnsi="仿宋_GB2312" w:eastAsia="仿宋_GB2312" w:cs="仿宋_GB2312"/>
          <w:sz w:val="32"/>
          <w:szCs w:val="32"/>
        </w:rPr>
        <w:t xml:space="preserve">，属于</w:t>
      </w:r>
      <w:r>
        <w:rPr>
          <w:rFonts w:hint="eastAsia" w:ascii="仿宋_GB2312" w:hAnsi="仿宋_GB2312" w:eastAsia="仿宋_GB2312" w:cs="仿宋_GB2312"/>
          <w:sz w:val="32"/>
          <w:szCs w:val="32"/>
          <w:u w:val="single"/>
        </w:rPr>
        <w:t xml:space="preserve">租赁和商务服务业</w:t>
      </w:r>
      <w:r>
        <w:rPr>
          <w:rFonts w:hint="eastAsia" w:ascii="仿宋_GB2312" w:hAnsi="仿宋_GB2312" w:eastAsia="仿宋_GB2312" w:cs="仿宋_GB2312"/>
          <w:sz w:val="32"/>
          <w:szCs w:val="32"/>
        </w:rPr>
        <w:t xml:space="preserve">；承接企业为</w:t>
      </w:r>
      <w:r>
        <w:rPr>
          <w:rFonts w:hint="eastAsia" w:ascii="仿宋_GB2312" w:hAnsi="仿宋_GB2312" w:eastAsia="仿宋_GB2312" w:cs="仿宋_GB2312"/>
          <w:sz w:val="32"/>
          <w:szCs w:val="32"/>
          <w:u w:val="single"/>
        </w:rPr>
        <w:t xml:space="preserve">（企业名称）</w:t>
      </w:r>
      <w:r>
        <w:rPr>
          <w:rFonts w:hint="eastAsia" w:ascii="仿宋_GB2312" w:hAnsi="仿宋_GB2312" w:eastAsia="仿宋_GB2312" w:cs="仿宋_GB2312"/>
          <w:sz w:val="32"/>
          <w:szCs w:val="32"/>
        </w:rPr>
        <w:t xml:space="preserve">，从业人员</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 xml:space="preserve">人，营业收入为</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 xml:space="preserve">万元，资产总额为</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 xml:space="preserve">万元</w:t>
      </w:r>
      <w:r>
        <w:rPr>
          <w:rFonts w:hint="eastAsia" w:ascii="仿宋_GB2312" w:hAnsi="仿宋_GB2312" w:eastAsia="仿宋_GB2312" w:cs="仿宋_GB2312"/>
          <w:sz w:val="32"/>
          <w:szCs w:val="32"/>
          <w:vertAlign w:val="superscript"/>
        </w:rPr>
        <w:footnoteReference w:id="2"/>
      </w:r>
      <w:r>
        <w:rPr>
          <w:rFonts w:hint="eastAsia" w:ascii="仿宋_GB2312" w:hAnsi="仿宋_GB2312" w:eastAsia="仿宋_GB2312" w:cs="仿宋_GB2312"/>
          <w:sz w:val="32"/>
          <w:szCs w:val="32"/>
        </w:rPr>
        <w:t xml:space="preserve">，属于</w:t>
      </w:r>
      <w:r>
        <w:rPr>
          <w:rFonts w:hint="eastAsia" w:ascii="仿宋_GB2312" w:hAnsi="仿宋_GB2312" w:eastAsia="仿宋_GB2312" w:cs="仿宋_GB2312"/>
          <w:sz w:val="32"/>
          <w:szCs w:val="32"/>
          <w:u w:val="single"/>
        </w:rPr>
        <w:t xml:space="preserve">（□中型企业、□小型企业、□微型企业）</w:t>
      </w:r>
      <w:r>
        <w:rPr>
          <w:rFonts w:hint="eastAsia" w:ascii="仿宋_GB2312" w:hAnsi="仿宋_GB2312" w:eastAsia="仿宋_GB2312" w:cs="仿宋_GB2312"/>
          <w:sz w:val="32"/>
          <w:szCs w:val="32"/>
        </w:rPr>
        <w:t xml:space="preserve">；</w:t>
      </w:r>
      <w:r/>
    </w:p>
    <w:p>
      <w:pPr>
        <w:ind w:firstLine="420"/>
        <w:jc w:val="left"/>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以上企业，不属于大企业的分支机构，不存在控股股东为大企业的情形，也不存在与大企业的负责人为同一人的情形。</w:t>
      </w:r>
      <w:r/>
    </w:p>
    <w:p>
      <w:pPr>
        <w:ind w:firstLine="420"/>
        <w:jc w:val="left"/>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本企业对上述声明内容的真实性负责。如有虚假，将依法承担相应责任。</w:t>
      </w:r>
      <w:r/>
    </w:p>
    <w:p>
      <w:pPr>
        <w:jc w:val="left"/>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352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lang w:val="zh-CN"/>
        </w:rPr>
        <w:t xml:space="preserve">企业名称（电子签章）：</w:t>
      </w:r>
      <w:r/>
    </w:p>
    <w:p>
      <w:pPr>
        <w:ind w:right="2500" w:firstLine="3840"/>
        <w:spacing w:line="560" w:lineRule="exact"/>
        <w:rPr>
          <w:rFonts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 xml:space="preserve">日 期： 年 月 日</w:t>
      </w:r>
      <w:r/>
    </w:p>
    <w:p>
      <w:pPr>
        <w:spacing w:line="560" w:lineRule="exact"/>
        <w:rPr>
          <w:rFonts w:ascii="仿宋_GB2312" w:hAnsi="仿宋_GB2312" w:eastAsia="仿宋_GB2312" w:cs="仿宋_GB2312"/>
          <w:b/>
          <w:sz w:val="32"/>
          <w:szCs w:val="32"/>
        </w:rPr>
      </w:pPr>
      <w:r>
        <w:rPr>
          <w:rFonts w:ascii="仿宋_GB2312" w:hAnsi="仿宋_GB2312" w:eastAsia="仿宋_GB2312" w:cs="仿宋_GB2312"/>
          <w:b/>
          <w:sz w:val="32"/>
          <w:szCs w:val="32"/>
        </w:rPr>
      </w:r>
      <w:r/>
    </w:p>
    <w:p>
      <w:pPr>
        <w:spacing w:line="560" w:lineRule="exact"/>
        <w:rPr>
          <w:rFonts w:ascii="仿宋_GB2312" w:hAnsi="仿宋_GB2312" w:eastAsia="仿宋_GB2312" w:cs="仿宋_GB2312"/>
          <w:b/>
          <w:sz w:val="32"/>
          <w:szCs w:val="32"/>
        </w:rPr>
      </w:pPr>
      <w:r>
        <w:rPr>
          <w:rFonts w:hint="eastAsia" w:ascii="仿宋_GB2312" w:hAnsi="仿宋_GB2312" w:eastAsia="仿宋_GB2312" w:cs="仿宋_GB2312"/>
          <w:b/>
          <w:sz w:val="32"/>
          <w:szCs w:val="32"/>
        </w:rPr>
        <w:t xml:space="preserve">附：中小企业划型标准规定</w:t>
      </w:r>
      <w:r/>
    </w:p>
    <w:p>
      <w:pPr>
        <w:ind w:firstLine="402"/>
        <w:spacing w:line="560" w:lineRule="exact"/>
        <w:rPr>
          <w:rFonts w:ascii="仿宋_GB2312" w:hAnsi="仿宋_GB2312" w:eastAsia="仿宋_GB2312" w:cs="仿宋_GB2312"/>
          <w:sz w:val="32"/>
          <w:szCs w:val="32"/>
        </w:rPr>
      </w:pPr>
      <w:r>
        <w:rPr>
          <w:rFonts w:hint="eastAsia" w:ascii="仿宋_GB2312" w:hAnsi="仿宋_GB2312" w:eastAsia="仿宋_GB2312" w:cs="仿宋_GB2312"/>
          <w:b/>
          <w:sz w:val="32"/>
          <w:szCs w:val="32"/>
        </w:rPr>
        <w:t xml:space="preserve">（一）农、林、牧、渔业。</w:t>
      </w:r>
      <w:r>
        <w:rPr>
          <w:rFonts w:hint="eastAsia" w:ascii="仿宋_GB2312" w:hAnsi="仿宋_GB2312" w:eastAsia="仿宋_GB2312" w:cs="仿宋_GB2312"/>
          <w:sz w:val="32"/>
          <w:szCs w:val="32"/>
        </w:rPr>
        <w:t xml:space="preserve">营业收入20000万元以下的为中小微型企业。其中，营业收入500万元及以上的为中型企业，营业收入50万元及以上的为小型企业，营业收入50万元以下的为微型企业。</w:t>
      </w:r>
      <w:r/>
    </w:p>
    <w:p>
      <w:pPr>
        <w:ind w:firstLine="402"/>
        <w:spacing w:line="560" w:lineRule="exact"/>
        <w:rPr>
          <w:rFonts w:ascii="仿宋_GB2312" w:hAnsi="仿宋_GB2312" w:eastAsia="仿宋_GB2312" w:cs="仿宋_GB2312"/>
          <w:sz w:val="32"/>
          <w:szCs w:val="32"/>
        </w:rPr>
      </w:pPr>
      <w:r>
        <w:rPr>
          <w:rFonts w:hint="eastAsia" w:ascii="仿宋_GB2312" w:hAnsi="仿宋_GB2312" w:eastAsia="仿宋_GB2312" w:cs="仿宋_GB2312"/>
          <w:b/>
          <w:sz w:val="32"/>
          <w:szCs w:val="32"/>
        </w:rPr>
        <w:t xml:space="preserve">（二）工业。</w:t>
      </w:r>
      <w:r>
        <w:rPr>
          <w:rFonts w:hint="eastAsia" w:ascii="仿宋_GB2312" w:hAnsi="仿宋_GB2312" w:eastAsia="仿宋_GB2312" w:cs="仿宋_GB2312"/>
          <w:sz w:val="32"/>
          <w:szCs w:val="32"/>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560" w:lineRule="exact"/>
        <w:rPr>
          <w:rFonts w:ascii="仿宋_GB2312" w:hAnsi="仿宋_GB2312" w:eastAsia="仿宋_GB2312" w:cs="仿宋_GB2312"/>
          <w:sz w:val="32"/>
          <w:szCs w:val="32"/>
        </w:rPr>
      </w:pPr>
      <w:r>
        <w:rPr>
          <w:rFonts w:hint="eastAsia" w:ascii="仿宋_GB2312" w:hAnsi="仿宋_GB2312" w:eastAsia="仿宋_GB2312" w:cs="仿宋_GB2312"/>
          <w:b/>
          <w:sz w:val="32"/>
          <w:szCs w:val="32"/>
        </w:rPr>
        <w:t xml:space="preserve">（三）建筑业。</w:t>
      </w:r>
      <w:r>
        <w:rPr>
          <w:rFonts w:hint="eastAsia" w:ascii="仿宋_GB2312" w:hAnsi="仿宋_GB2312" w:eastAsia="仿宋_GB2312" w:cs="仿宋_GB2312"/>
          <w:sz w:val="32"/>
          <w:szCs w:val="32"/>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w:t>
      </w:r>
      <w:r>
        <w:rPr>
          <w:rFonts w:hint="eastAsia" w:ascii="仿宋_GB2312" w:hAnsi="仿宋_GB2312" w:eastAsia="仿宋_GB2312" w:cs="仿宋_GB2312"/>
          <w:sz w:val="32"/>
          <w:szCs w:val="32"/>
        </w:rPr>
        <w:t xml:space="preserve">300万元以下或资产总额300万元以下的为微型企业。</w:t>
      </w:r>
      <w:r/>
    </w:p>
    <w:p>
      <w:pPr>
        <w:ind w:firstLine="402"/>
        <w:spacing w:line="560" w:lineRule="exact"/>
        <w:rPr>
          <w:rFonts w:ascii="仿宋_GB2312" w:hAnsi="仿宋_GB2312" w:eastAsia="仿宋_GB2312" w:cs="仿宋_GB2312"/>
          <w:sz w:val="32"/>
          <w:szCs w:val="32"/>
        </w:rPr>
      </w:pPr>
      <w:r>
        <w:rPr>
          <w:rFonts w:hint="eastAsia" w:ascii="仿宋_GB2312" w:hAnsi="仿宋_GB2312" w:eastAsia="仿宋_GB2312" w:cs="仿宋_GB2312"/>
          <w:b/>
          <w:sz w:val="32"/>
          <w:szCs w:val="32"/>
        </w:rPr>
        <w:t xml:space="preserve">（四）批发业。</w:t>
      </w:r>
      <w:r>
        <w:rPr>
          <w:rFonts w:hint="eastAsia" w:ascii="仿宋_GB2312" w:hAnsi="仿宋_GB2312" w:eastAsia="仿宋_GB2312" w:cs="仿宋_GB2312"/>
          <w:sz w:val="32"/>
          <w:szCs w:val="32"/>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560" w:lineRule="exact"/>
        <w:rPr>
          <w:rFonts w:ascii="仿宋_GB2312" w:hAnsi="仿宋_GB2312" w:eastAsia="仿宋_GB2312" w:cs="仿宋_GB2312"/>
          <w:sz w:val="32"/>
          <w:szCs w:val="32"/>
        </w:rPr>
      </w:pPr>
      <w:r>
        <w:rPr>
          <w:rFonts w:hint="eastAsia" w:ascii="仿宋_GB2312" w:hAnsi="仿宋_GB2312" w:eastAsia="仿宋_GB2312" w:cs="仿宋_GB2312"/>
          <w:b/>
          <w:sz w:val="32"/>
          <w:szCs w:val="32"/>
        </w:rPr>
        <w:t xml:space="preserve">（五）零售业。</w:t>
      </w:r>
      <w:r>
        <w:rPr>
          <w:rFonts w:hint="eastAsia" w:ascii="仿宋_GB2312" w:hAnsi="仿宋_GB2312" w:eastAsia="仿宋_GB2312" w:cs="仿宋_GB2312"/>
          <w:sz w:val="32"/>
          <w:szCs w:val="32"/>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560" w:lineRule="exact"/>
        <w:rPr>
          <w:rFonts w:ascii="仿宋_GB2312" w:hAnsi="仿宋_GB2312" w:eastAsia="仿宋_GB2312" w:cs="仿宋_GB2312"/>
          <w:sz w:val="32"/>
          <w:szCs w:val="32"/>
        </w:rPr>
      </w:pPr>
      <w:r>
        <w:rPr>
          <w:rFonts w:hint="eastAsia" w:ascii="仿宋_GB2312" w:hAnsi="仿宋_GB2312" w:eastAsia="仿宋_GB2312" w:cs="仿宋_GB2312"/>
          <w:b/>
          <w:sz w:val="32"/>
          <w:szCs w:val="32"/>
        </w:rPr>
        <w:t xml:space="preserve">（六）交通运输业。</w:t>
      </w:r>
      <w:r>
        <w:rPr>
          <w:rFonts w:hint="eastAsia" w:ascii="仿宋_GB2312" w:hAnsi="仿宋_GB2312" w:eastAsia="仿宋_GB2312" w:cs="仿宋_GB2312"/>
          <w:sz w:val="32"/>
          <w:szCs w:val="32"/>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560" w:lineRule="exact"/>
        <w:rPr>
          <w:rFonts w:ascii="仿宋_GB2312" w:hAnsi="仿宋_GB2312" w:eastAsia="仿宋_GB2312" w:cs="仿宋_GB2312"/>
          <w:sz w:val="32"/>
          <w:szCs w:val="32"/>
        </w:rPr>
      </w:pPr>
      <w:r>
        <w:rPr>
          <w:rFonts w:hint="eastAsia" w:ascii="仿宋_GB2312" w:hAnsi="仿宋_GB2312" w:eastAsia="仿宋_GB2312" w:cs="仿宋_GB2312"/>
          <w:b/>
          <w:sz w:val="32"/>
          <w:szCs w:val="32"/>
        </w:rPr>
        <w:t xml:space="preserve">（七）仓储业。</w:t>
      </w:r>
      <w:r>
        <w:rPr>
          <w:rFonts w:hint="eastAsia" w:ascii="仿宋_GB2312" w:hAnsi="仿宋_GB2312" w:eastAsia="仿宋_GB2312" w:cs="仿宋_GB2312"/>
          <w:sz w:val="32"/>
          <w:szCs w:val="32"/>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560" w:lineRule="exact"/>
        <w:rPr>
          <w:rFonts w:ascii="仿宋_GB2312" w:hAnsi="仿宋_GB2312" w:eastAsia="仿宋_GB2312" w:cs="仿宋_GB2312"/>
          <w:sz w:val="32"/>
          <w:szCs w:val="32"/>
        </w:rPr>
      </w:pPr>
      <w:r>
        <w:rPr>
          <w:rFonts w:hint="eastAsia" w:ascii="仿宋_GB2312" w:hAnsi="仿宋_GB2312" w:eastAsia="仿宋_GB2312" w:cs="仿宋_GB2312"/>
          <w:b/>
          <w:sz w:val="32"/>
          <w:szCs w:val="32"/>
        </w:rPr>
        <w:t xml:space="preserve">（八）邮政业。</w:t>
      </w:r>
      <w:r>
        <w:rPr>
          <w:rFonts w:hint="eastAsia" w:ascii="仿宋_GB2312" w:hAnsi="仿宋_GB2312" w:eastAsia="仿宋_GB2312" w:cs="仿宋_GB2312"/>
          <w:sz w:val="32"/>
          <w:szCs w:val="32"/>
        </w:rPr>
        <w:t xml:space="preserve">从业人员1000人以下或营业收入30000万元</w:t>
      </w:r>
      <w:r>
        <w:rPr>
          <w:rFonts w:hint="eastAsia" w:ascii="仿宋_GB2312" w:hAnsi="仿宋_GB2312" w:eastAsia="仿宋_GB2312" w:cs="仿宋_GB2312"/>
          <w:sz w:val="32"/>
          <w:szCs w:val="32"/>
        </w:rPr>
        <w:t xml:space="preserve">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560" w:lineRule="exact"/>
        <w:rPr>
          <w:rFonts w:ascii="仿宋_GB2312" w:hAnsi="仿宋_GB2312" w:eastAsia="仿宋_GB2312" w:cs="仿宋_GB2312"/>
          <w:sz w:val="32"/>
          <w:szCs w:val="32"/>
        </w:rPr>
      </w:pPr>
      <w:r>
        <w:rPr>
          <w:rFonts w:hint="eastAsia" w:ascii="仿宋_GB2312" w:hAnsi="仿宋_GB2312" w:eastAsia="仿宋_GB2312" w:cs="仿宋_GB2312"/>
          <w:b/>
          <w:sz w:val="32"/>
          <w:szCs w:val="32"/>
        </w:rPr>
        <w:t xml:space="preserve">（九）住宿业。</w:t>
      </w:r>
      <w:r>
        <w:rPr>
          <w:rFonts w:hint="eastAsia" w:ascii="仿宋_GB2312" w:hAnsi="仿宋_GB2312" w:eastAsia="仿宋_GB2312" w:cs="仿宋_GB2312"/>
          <w:sz w:val="32"/>
          <w:szCs w:val="32"/>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560" w:lineRule="exact"/>
        <w:rPr>
          <w:rFonts w:ascii="仿宋_GB2312" w:hAnsi="仿宋_GB2312" w:eastAsia="仿宋_GB2312" w:cs="仿宋_GB2312"/>
          <w:sz w:val="32"/>
          <w:szCs w:val="32"/>
        </w:rPr>
      </w:pPr>
      <w:r>
        <w:rPr>
          <w:rFonts w:hint="eastAsia" w:ascii="仿宋_GB2312" w:hAnsi="仿宋_GB2312" w:eastAsia="仿宋_GB2312" w:cs="仿宋_GB2312"/>
          <w:b/>
          <w:sz w:val="32"/>
          <w:szCs w:val="32"/>
        </w:rPr>
        <w:t xml:space="preserve">（十）餐饮业。</w:t>
      </w:r>
      <w:r>
        <w:rPr>
          <w:rFonts w:hint="eastAsia" w:ascii="仿宋_GB2312" w:hAnsi="仿宋_GB2312" w:eastAsia="仿宋_GB2312" w:cs="仿宋_GB2312"/>
          <w:sz w:val="32"/>
          <w:szCs w:val="32"/>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560" w:lineRule="exact"/>
        <w:rPr>
          <w:rFonts w:ascii="仿宋_GB2312" w:hAnsi="仿宋_GB2312" w:eastAsia="仿宋_GB2312" w:cs="仿宋_GB2312"/>
          <w:sz w:val="32"/>
          <w:szCs w:val="32"/>
        </w:rPr>
      </w:pPr>
      <w:r>
        <w:rPr>
          <w:rFonts w:hint="eastAsia" w:ascii="仿宋_GB2312" w:hAnsi="仿宋_GB2312" w:eastAsia="仿宋_GB2312" w:cs="仿宋_GB2312"/>
          <w:b/>
          <w:sz w:val="32"/>
          <w:szCs w:val="32"/>
        </w:rPr>
        <w:t xml:space="preserve">（十一）信息传输业。</w:t>
      </w:r>
      <w:r>
        <w:rPr>
          <w:rFonts w:hint="eastAsia" w:ascii="仿宋_GB2312" w:hAnsi="仿宋_GB2312" w:eastAsia="仿宋_GB2312" w:cs="仿宋_GB2312"/>
          <w:sz w:val="32"/>
          <w:szCs w:val="32"/>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560" w:lineRule="exact"/>
        <w:rPr>
          <w:rFonts w:ascii="仿宋_GB2312" w:hAnsi="仿宋_GB2312" w:eastAsia="仿宋_GB2312" w:cs="仿宋_GB2312"/>
          <w:sz w:val="32"/>
          <w:szCs w:val="32"/>
        </w:rPr>
      </w:pPr>
      <w:r>
        <w:rPr>
          <w:rFonts w:hint="eastAsia" w:ascii="仿宋_GB2312" w:hAnsi="仿宋_GB2312" w:eastAsia="仿宋_GB2312" w:cs="仿宋_GB2312"/>
          <w:b/>
          <w:sz w:val="32"/>
          <w:szCs w:val="32"/>
        </w:rPr>
        <w:t xml:space="preserve">（十二）软件和信息技术服务业。</w:t>
      </w:r>
      <w:r>
        <w:rPr>
          <w:rFonts w:hint="eastAsia" w:ascii="仿宋_GB2312" w:hAnsi="仿宋_GB2312" w:eastAsia="仿宋_GB2312" w:cs="仿宋_GB2312"/>
          <w:sz w:val="32"/>
          <w:szCs w:val="32"/>
        </w:rPr>
        <w:t xml:space="preserve">从业人员300人以下或营业收入10000万元以下的为中小微型企业。其中，从业人员100人及以上，且营业收入1000万元及以上的为中型企业；从业人</w:t>
      </w:r>
      <w:r>
        <w:rPr>
          <w:rFonts w:hint="eastAsia" w:ascii="仿宋_GB2312" w:hAnsi="仿宋_GB2312" w:eastAsia="仿宋_GB2312" w:cs="仿宋_GB2312"/>
          <w:sz w:val="32"/>
          <w:szCs w:val="32"/>
        </w:rPr>
        <w:t xml:space="preserve">员10人及以上，且营业收入50万元及以上的为小型企业；从业人员10人以下或营业收入50万元以下的为微型企业。</w:t>
      </w:r>
      <w:r/>
    </w:p>
    <w:p>
      <w:pPr>
        <w:ind w:firstLine="402"/>
        <w:spacing w:line="560" w:lineRule="exact"/>
        <w:rPr>
          <w:rFonts w:ascii="仿宋_GB2312" w:hAnsi="仿宋_GB2312" w:eastAsia="仿宋_GB2312" w:cs="仿宋_GB2312"/>
          <w:sz w:val="32"/>
          <w:szCs w:val="32"/>
        </w:rPr>
      </w:pPr>
      <w:r>
        <w:rPr>
          <w:rFonts w:hint="eastAsia" w:ascii="仿宋_GB2312" w:hAnsi="仿宋_GB2312" w:eastAsia="仿宋_GB2312" w:cs="仿宋_GB2312"/>
          <w:b/>
          <w:sz w:val="32"/>
          <w:szCs w:val="32"/>
        </w:rPr>
        <w:t xml:space="preserve">（十三）房地产开发经营。</w:t>
      </w:r>
      <w:r>
        <w:rPr>
          <w:rFonts w:hint="eastAsia" w:ascii="仿宋_GB2312" w:hAnsi="仿宋_GB2312" w:eastAsia="仿宋_GB2312" w:cs="仿宋_GB2312"/>
          <w:sz w:val="32"/>
          <w:szCs w:val="32"/>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560" w:lineRule="exact"/>
        <w:rPr>
          <w:rFonts w:ascii="仿宋_GB2312" w:hAnsi="仿宋_GB2312" w:eastAsia="仿宋_GB2312" w:cs="仿宋_GB2312"/>
          <w:sz w:val="32"/>
          <w:szCs w:val="32"/>
        </w:rPr>
      </w:pPr>
      <w:r>
        <w:rPr>
          <w:rFonts w:hint="eastAsia" w:ascii="仿宋_GB2312" w:hAnsi="仿宋_GB2312" w:eastAsia="仿宋_GB2312" w:cs="仿宋_GB2312"/>
          <w:b/>
          <w:sz w:val="32"/>
          <w:szCs w:val="32"/>
        </w:rPr>
        <w:t xml:space="preserve">（十四）物业管理。</w:t>
      </w:r>
      <w:r>
        <w:rPr>
          <w:rFonts w:hint="eastAsia" w:ascii="仿宋_GB2312" w:hAnsi="仿宋_GB2312" w:eastAsia="仿宋_GB2312" w:cs="仿宋_GB2312"/>
          <w:sz w:val="32"/>
          <w:szCs w:val="32"/>
        </w:rPr>
        <w:t xml:space="preserve">从业人员1000人以下或营业收入5000万元以下的为中小微型企业。其中，从业人员</w:t>
      </w:r>
      <w:r/>
    </w:p>
    <w:p>
      <w:pPr>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560" w:lineRule="exact"/>
        <w:rPr>
          <w:rFonts w:ascii="仿宋_GB2312" w:hAnsi="仿宋_GB2312" w:eastAsia="仿宋_GB2312" w:cs="仿宋_GB2312"/>
          <w:sz w:val="32"/>
          <w:szCs w:val="32"/>
        </w:rPr>
      </w:pPr>
      <w:r>
        <w:rPr>
          <w:rFonts w:hint="eastAsia" w:ascii="仿宋_GB2312" w:hAnsi="仿宋_GB2312" w:eastAsia="仿宋_GB2312" w:cs="仿宋_GB2312"/>
          <w:b/>
          <w:sz w:val="32"/>
          <w:szCs w:val="32"/>
        </w:rPr>
        <w:t xml:space="preserve">（十五）租赁和商务服务业。</w:t>
      </w:r>
      <w:r>
        <w:rPr>
          <w:rFonts w:hint="eastAsia" w:ascii="仿宋_GB2312" w:hAnsi="仿宋_GB2312" w:eastAsia="仿宋_GB2312" w:cs="仿宋_GB2312"/>
          <w:sz w:val="32"/>
          <w:szCs w:val="32"/>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560" w:lineRule="exact"/>
        <w:rPr>
          <w:rFonts w:ascii="仿宋_GB2312" w:hAnsi="仿宋_GB2312" w:eastAsia="仿宋_GB2312" w:cs="仿宋_GB2312"/>
          <w:sz w:val="32"/>
          <w:szCs w:val="32"/>
        </w:rPr>
      </w:pPr>
      <w:r>
        <w:rPr>
          <w:rFonts w:hint="eastAsia" w:ascii="仿宋_GB2312" w:hAnsi="仿宋_GB2312" w:eastAsia="仿宋_GB2312" w:cs="仿宋_GB2312"/>
          <w:b/>
          <w:sz w:val="32"/>
          <w:szCs w:val="32"/>
        </w:rPr>
        <w:t xml:space="preserve">（十六）其他未列明行业。</w:t>
      </w:r>
      <w:r>
        <w:rPr>
          <w:rFonts w:hint="eastAsia" w:ascii="仿宋_GB2312" w:hAnsi="仿宋_GB2312" w:eastAsia="仿宋_GB2312" w:cs="仿宋_GB2312"/>
          <w:sz w:val="32"/>
          <w:szCs w:val="32"/>
        </w:rPr>
        <w:t xml:space="preserve">从业人员300人以下的为中小微型企业。其中，从业人员100人及以上的为中型企业；从业人员10人及以上的为小型企业；从业人员10人以下的为微型企业。</w:t>
      </w:r>
      <w:r/>
    </w:p>
    <w:p>
      <w:pPr>
        <w:spacing w:line="560" w:lineRule="exact"/>
        <w:rPr>
          <w:rFonts w:ascii="仿宋_GB2312" w:hAnsi="仿宋_GB2312" w:eastAsia="仿宋_GB2312" w:cs="仿宋_GB2312"/>
          <w:b/>
          <w:bCs/>
          <w:sz w:val="32"/>
          <w:szCs w:val="32"/>
        </w:rPr>
      </w:pPr>
      <w:r/>
      <w:bookmarkStart w:id="51" w:name="_Toc180678080"/>
      <w:r/>
      <w:bookmarkStart w:id="52" w:name="_Toc212815974"/>
      <w:r>
        <w:rPr>
          <w:rFonts w:hint="eastAsia" w:ascii="仿宋_GB2312" w:hAnsi="仿宋_GB2312" w:eastAsia="仿宋_GB2312" w:cs="仿宋_GB2312"/>
          <w:b/>
          <w:sz w:val="32"/>
          <w:szCs w:val="32"/>
        </w:rPr>
        <w:t xml:space="preserve">附件5</w:t>
      </w:r>
      <w:bookmarkEnd w:id="44"/>
      <w:r/>
      <w:bookmarkEnd w:id="45"/>
      <w:r/>
      <w:bookmarkEnd w:id="46"/>
      <w:r/>
      <w:bookmarkEnd w:id="47"/>
      <w:r/>
      <w:bookmarkEnd w:id="48"/>
      <w:r>
        <w:rPr>
          <w:rFonts w:hint="eastAsia" w:ascii="仿宋_GB2312" w:hAnsi="仿宋_GB2312" w:eastAsia="仿宋_GB2312" w:cs="仿宋_GB2312"/>
          <w:b/>
          <w:sz w:val="32"/>
          <w:szCs w:val="32"/>
        </w:rPr>
        <w:t xml:space="preserve">  残疾人福利性单位声明函</w:t>
      </w:r>
      <w:bookmarkEnd w:id="51"/>
      <w:r/>
      <w:bookmarkEnd w:id="52"/>
      <w:r/>
      <w:r/>
    </w:p>
    <w:p>
      <w:pPr>
        <w:jc w:val="center"/>
        <w:spacing w:line="560" w:lineRule="exact"/>
        <w:widowControl/>
        <w:rPr>
          <w:rFonts w:ascii="仿宋_GB2312" w:hAnsi="仿宋_GB2312" w:eastAsia="仿宋_GB2312" w:cs="仿宋_GB2312"/>
          <w:b/>
          <w:sz w:val="32"/>
          <w:szCs w:val="32"/>
        </w:rPr>
      </w:pPr>
      <w:r>
        <w:rPr>
          <w:rFonts w:hint="eastAsia" w:ascii="仿宋_GB2312" w:hAnsi="仿宋_GB2312" w:eastAsia="仿宋_GB2312" w:cs="仿宋_GB2312"/>
          <w:b/>
          <w:sz w:val="32"/>
          <w:szCs w:val="32"/>
        </w:rPr>
        <w:t xml:space="preserve">残疾人福利性单位声明函</w:t>
      </w:r>
      <w:r/>
    </w:p>
    <w:p>
      <w:pPr>
        <w:spacing w:line="560" w:lineRule="exact"/>
        <w:widowControl/>
        <w:rPr>
          <w:rFonts w:ascii="仿宋_GB2312" w:hAnsi="仿宋_GB2312" w:eastAsia="仿宋_GB2312" w:cs="仿宋_GB2312"/>
          <w:sz w:val="32"/>
          <w:szCs w:val="32"/>
          <w:lang w:val="zh-CN"/>
        </w:rPr>
      </w:pPr>
      <w:r/>
      <w:bookmarkStart w:id="53" w:name="OLE_LINK38"/>
      <w:r/>
      <w:bookmarkStart w:id="54" w:name="OLE_LINK37"/>
      <w:r/>
      <w:bookmarkStart w:id="55" w:name="_Toc15378"/>
      <w:r/>
      <w:bookmarkStart w:id="56" w:name="_Toc32206"/>
      <w:r/>
      <w:bookmarkStart w:id="57" w:name="_Toc3869"/>
      <w:r>
        <w:rPr>
          <w:rFonts w:hint="eastAsia" w:ascii="仿宋_GB2312" w:hAnsi="仿宋_GB2312" w:eastAsia="仿宋_GB2312" w:cs="仿宋_GB2312"/>
          <w:sz w:val="32"/>
          <w:szCs w:val="32"/>
          <w:u w:val="single"/>
          <w:lang w:val="zh-CN"/>
        </w:rPr>
        <w:t xml:space="preserve">苏州市政府集中采购中心</w:t>
      </w:r>
      <w:bookmarkEnd w:id="53"/>
      <w:r/>
      <w:bookmarkEnd w:id="54"/>
      <w:r>
        <w:rPr>
          <w:rFonts w:hint="eastAsia" w:ascii="仿宋_GB2312" w:hAnsi="仿宋_GB2312" w:eastAsia="仿宋_GB2312" w:cs="仿宋_GB2312"/>
          <w:sz w:val="32"/>
          <w:szCs w:val="32"/>
          <w:lang w:val="zh-CN"/>
        </w:rPr>
        <w:t xml:space="preserve">：</w:t>
      </w:r>
      <w:bookmarkEnd w:id="55"/>
      <w:r/>
      <w:bookmarkEnd w:id="56"/>
      <w:r/>
      <w:bookmarkEnd w:id="57"/>
      <w:r/>
      <w:r/>
    </w:p>
    <w:p>
      <w:pPr>
        <w:ind w:firstLine="640"/>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_GB2312" w:hAnsi="仿宋_GB2312" w:eastAsia="仿宋_GB2312" w:cs="仿宋_GB2312"/>
          <w:sz w:val="32"/>
          <w:szCs w:val="32"/>
          <w:lang w:val="zh-CN"/>
        </w:rPr>
        <w:t xml:space="preserve">贵中心组织实施的编号为</w:t>
      </w:r>
      <w:r>
        <w:rPr>
          <w:rFonts w:hint="eastAsia" w:ascii="仿宋_GB2312" w:hAnsi="仿宋_GB2312" w:eastAsia="仿宋_GB2312" w:cs="仿宋_GB2312"/>
          <w:sz w:val="32"/>
          <w:szCs w:val="32"/>
          <w:u w:val="single"/>
          <w:lang w:val="zh-CN"/>
        </w:rPr>
        <w:t xml:space="preserve">               </w:t>
      </w:r>
      <w:r>
        <w:rPr>
          <w:rFonts w:hint="eastAsia" w:ascii="仿宋_GB2312" w:hAnsi="仿宋_GB2312" w:eastAsia="仿宋_GB2312" w:cs="仿宋_GB2312"/>
          <w:sz w:val="32"/>
          <w:szCs w:val="32"/>
          <w:lang w:val="zh-CN"/>
        </w:rPr>
        <w:t xml:space="preserve">号的招标活动</w:t>
      </w:r>
      <w:r>
        <w:rPr>
          <w:rFonts w:hint="eastAsia" w:ascii="仿宋_GB2312" w:hAnsi="仿宋_GB2312" w:eastAsia="仿宋_GB2312" w:cs="仿宋_GB2312"/>
          <w:sz w:val="32"/>
          <w:szCs w:val="32"/>
        </w:rPr>
        <w:t xml:space="preserve">提供本单位制造的货物（由本单位承担工程/提供服务），或者提供其他残疾人福利性单位制造的货物（不包括使用非残疾人福利性单位注册商标的货物）。</w:t>
      </w:r>
      <w:r/>
    </w:p>
    <w:p>
      <w:pPr>
        <w:ind w:firstLine="640"/>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本单位对上述声明的真实性负责。如有虚假，将依法承担相应责任。</w:t>
      </w:r>
      <w:r/>
    </w:p>
    <w:p>
      <w:pPr>
        <w:ind w:left="1024"/>
        <w:spacing w:line="560" w:lineRule="exact"/>
        <w:widowControl/>
        <w:rPr>
          <w:rFonts w:ascii="仿宋_GB2312" w:hAnsi="仿宋_GB2312" w:eastAsia="仿宋_GB2312" w:cs="仿宋_GB2312"/>
          <w:sz w:val="32"/>
          <w:szCs w:val="32"/>
        </w:rPr>
      </w:pPr>
      <w:r>
        <w:rPr>
          <w:rFonts w:ascii="仿宋_GB2312" w:hAnsi="仿宋_GB2312" w:eastAsia="仿宋_GB2312" w:cs="仿宋_GB2312"/>
          <w:sz w:val="32"/>
          <w:szCs w:val="32"/>
        </w:rPr>
      </w:r>
      <w:r/>
    </w:p>
    <w:p>
      <w:pPr>
        <w:ind w:left="1024"/>
        <w:spacing w:line="560" w:lineRule="exact"/>
        <w:widowControl/>
        <w:rPr>
          <w:rFonts w:ascii="仿宋_GB2312" w:hAnsi="仿宋_GB2312" w:eastAsia="仿宋_GB2312" w:cs="仿宋_GB2312"/>
          <w:b/>
          <w:sz w:val="32"/>
          <w:szCs w:val="32"/>
        </w:rPr>
      </w:pPr>
      <w:r>
        <w:rPr>
          <w:rFonts w:ascii="仿宋_GB2312" w:hAnsi="仿宋_GB2312" w:eastAsia="仿宋_GB2312" w:cs="仿宋_GB2312"/>
          <w:b/>
          <w:sz w:val="32"/>
          <w:szCs w:val="32"/>
        </w:rPr>
      </w:r>
      <w:r/>
    </w:p>
    <w:p>
      <w:pPr>
        <w:ind w:left="1024"/>
        <w:spacing w:line="560" w:lineRule="exact"/>
        <w:widowControl/>
        <w:rPr>
          <w:rFonts w:ascii="仿宋_GB2312" w:hAnsi="仿宋_GB2312" w:eastAsia="仿宋_GB2312" w:cs="仿宋_GB2312"/>
          <w:b/>
          <w:sz w:val="32"/>
          <w:szCs w:val="32"/>
        </w:rPr>
      </w:pPr>
      <w:r>
        <w:rPr>
          <w:rFonts w:ascii="仿宋_GB2312" w:hAnsi="仿宋_GB2312" w:eastAsia="仿宋_GB2312" w:cs="仿宋_GB2312"/>
          <w:b/>
          <w:sz w:val="32"/>
          <w:szCs w:val="32"/>
        </w:rPr>
      </w:r>
      <w:r/>
    </w:p>
    <w:p>
      <w:pPr>
        <w:ind w:firstLine="2560"/>
        <w:jc w:val="left"/>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供应商名称（电子签章）：</w:t>
      </w:r>
      <w:r/>
    </w:p>
    <w:p>
      <w:pPr>
        <w:ind w:firstLine="1280"/>
        <w:jc w:val="left"/>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法定代表人或代理人（</w:t>
      </w:r>
      <w:r>
        <w:rPr>
          <w:rFonts w:hint="eastAsia" w:ascii="仿宋_GB2312" w:hAnsi="仿宋_GB2312" w:eastAsia="仿宋_GB2312" w:cs="仿宋_GB2312"/>
          <w:sz w:val="32"/>
          <w:szCs w:val="32"/>
          <w:lang w:val="zh-CN"/>
        </w:rPr>
        <w:t xml:space="preserve">电子签章</w:t>
      </w:r>
      <w:r>
        <w:rPr>
          <w:rFonts w:hint="eastAsia" w:ascii="仿宋_GB2312" w:hAnsi="仿宋_GB2312" w:eastAsia="仿宋_GB2312" w:cs="仿宋_GB2312"/>
          <w:sz w:val="32"/>
          <w:szCs w:val="32"/>
        </w:rPr>
        <w:t xml:space="preserve">）：</w:t>
      </w:r>
      <w:r/>
    </w:p>
    <w:p>
      <w:pPr>
        <w:ind w:firstLine="2560"/>
        <w:jc w:val="left"/>
        <w:spacing w:line="560" w:lineRule="exact"/>
        <w:widowControl/>
        <w:rPr>
          <w:rFonts w:ascii="仿宋_GB2312" w:hAnsi="仿宋_GB2312" w:eastAsia="仿宋_GB2312" w:cs="仿宋_GB2312"/>
          <w:b/>
          <w:sz w:val="32"/>
          <w:szCs w:val="32"/>
          <w:lang w:val="zh-CN"/>
        </w:rPr>
      </w:pPr>
      <w:r>
        <w:rPr>
          <w:rFonts w:hint="eastAsia" w:ascii="仿宋_GB2312" w:hAnsi="仿宋_GB2312" w:eastAsia="仿宋_GB2312" w:cs="仿宋_GB2312"/>
          <w:sz w:val="32"/>
          <w:szCs w:val="32"/>
        </w:rPr>
        <w:t xml:space="preserve">日期:    年  月  日</w:t>
      </w:r>
      <w:r/>
    </w:p>
    <w:p>
      <w:pPr>
        <w:ind w:firstLine="641"/>
        <w:spacing w:line="560" w:lineRule="exact"/>
        <w:widowControl/>
        <w:rPr>
          <w:rFonts w:ascii="仿宋_GB2312" w:hAnsi="仿宋_GB2312" w:eastAsia="仿宋_GB2312" w:cs="仿宋_GB2312"/>
          <w:b/>
          <w:sz w:val="32"/>
          <w:szCs w:val="32"/>
          <w:lang w:val="zh-CN"/>
        </w:rPr>
      </w:pPr>
      <w:r>
        <w:rPr>
          <w:rFonts w:ascii="仿宋_GB2312" w:hAnsi="仿宋_GB2312" w:eastAsia="仿宋_GB2312" w:cs="仿宋_GB2312"/>
          <w:b/>
          <w:sz w:val="32"/>
          <w:szCs w:val="32"/>
          <w:lang w:val="zh-CN"/>
        </w:rPr>
      </w:r>
      <w:r/>
    </w:p>
    <w:p>
      <w:pPr>
        <w:ind w:firstLine="641"/>
        <w:spacing w:line="560" w:lineRule="exact"/>
        <w:widowControl/>
        <w:rPr>
          <w:rFonts w:ascii="仿宋_GB2312" w:hAnsi="仿宋_GB2312" w:eastAsia="仿宋_GB2312" w:cs="仿宋_GB2312"/>
          <w:b/>
          <w:sz w:val="32"/>
          <w:szCs w:val="32"/>
          <w:lang w:val="zh-CN"/>
        </w:rPr>
      </w:pPr>
      <w:r>
        <w:rPr>
          <w:rFonts w:ascii="仿宋_GB2312" w:hAnsi="仿宋_GB2312" w:eastAsia="仿宋_GB2312" w:cs="仿宋_GB2312"/>
          <w:b/>
          <w:sz w:val="32"/>
          <w:szCs w:val="32"/>
          <w:lang w:val="zh-CN"/>
        </w:rPr>
      </w:r>
      <w:r/>
    </w:p>
    <w:p>
      <w:pPr>
        <w:ind w:firstLine="641"/>
        <w:spacing w:line="560" w:lineRule="exact"/>
        <w:widowControl/>
        <w:rPr>
          <w:rFonts w:ascii="仿宋_GB2312" w:hAnsi="仿宋_GB2312" w:eastAsia="仿宋_GB2312" w:cs="仿宋_GB2312"/>
          <w:b/>
          <w:sz w:val="32"/>
          <w:szCs w:val="32"/>
          <w:lang w:val="zh-CN"/>
        </w:rPr>
      </w:pPr>
      <w:r>
        <w:rPr>
          <w:rFonts w:ascii="仿宋_GB2312" w:hAnsi="仿宋_GB2312" w:eastAsia="仿宋_GB2312" w:cs="仿宋_GB2312"/>
          <w:b/>
          <w:sz w:val="32"/>
          <w:szCs w:val="32"/>
          <w:lang w:val="zh-CN"/>
        </w:rPr>
      </w:r>
      <w:r/>
    </w:p>
    <w:p>
      <w:pPr>
        <w:ind w:firstLine="641"/>
        <w:spacing w:line="560" w:lineRule="exact"/>
        <w:widowControl/>
        <w:rPr>
          <w:rFonts w:ascii="仿宋_GB2312" w:hAnsi="仿宋_GB2312" w:eastAsia="仿宋_GB2312" w:cs="仿宋_GB2312"/>
          <w:b/>
          <w:sz w:val="32"/>
          <w:szCs w:val="32"/>
          <w:shd w:val="clear" w:color="auto" w:fill="ffffff"/>
        </w:rPr>
      </w:pPr>
      <w:r>
        <w:rPr>
          <w:rFonts w:hint="eastAsia" w:ascii="仿宋_GB2312" w:hAnsi="仿宋_GB2312" w:eastAsia="仿宋_GB2312" w:cs="仿宋_GB2312"/>
          <w:b/>
          <w:sz w:val="32"/>
          <w:szCs w:val="32"/>
          <w:lang w:val="zh-CN"/>
        </w:rPr>
        <w:t xml:space="preserve">备注：1.</w:t>
      </w:r>
      <w:r>
        <w:rPr>
          <w:rFonts w:hint="eastAsia" w:ascii="仿宋_GB2312" w:hAnsi="仿宋_GB2312" w:eastAsia="仿宋_GB2312" w:cs="仿宋_GB2312"/>
          <w:b/>
          <w:sz w:val="32"/>
          <w:szCs w:val="32"/>
          <w:shd w:val="clear" w:color="auto" w:fill="ffffff"/>
        </w:rPr>
        <w:t xml:space="preserve">享受政府采购支持政策的残疾人福利性单位应当同时满足以下条件：</w:t>
      </w:r>
      <w:r/>
    </w:p>
    <w:p>
      <w:pPr>
        <w:ind w:firstLine="640"/>
        <w:spacing w:line="560" w:lineRule="exact"/>
        <w:widowControl/>
        <w:rPr>
          <w:rFonts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lang w:val="zh-CN"/>
        </w:rPr>
        <w:fldChar w:fldCharType="begin"/>
      </w:r>
      <w:r>
        <w:rPr>
          <w:rFonts w:hint="eastAsia" w:ascii="仿宋_GB2312" w:hAnsi="仿宋_GB2312" w:eastAsia="仿宋_GB2312" w:cs="仿宋_GB2312"/>
          <w:sz w:val="32"/>
          <w:szCs w:val="32"/>
          <w:lang w:val="zh-CN"/>
        </w:rPr>
        <w:instrText xml:space="preserve"> = 1 \* GB3 </w:instrText>
      </w:r>
      <w:r>
        <w:rPr>
          <w:rFonts w:hint="eastAsia" w:ascii="仿宋_GB2312" w:hAnsi="仿宋_GB2312" w:eastAsia="仿宋_GB2312" w:cs="仿宋_GB2312"/>
          <w:sz w:val="32"/>
          <w:szCs w:val="32"/>
          <w:lang w:val="zh-CN"/>
        </w:rPr>
        <w:fldChar w:fldCharType="separate"/>
      </w:r>
      <w:r>
        <w:rPr>
          <w:rFonts w:hint="eastAsia" w:ascii="仿宋_GB2312" w:hAnsi="仿宋_GB2312" w:eastAsia="仿宋_GB2312" w:cs="仿宋_GB2312"/>
          <w:sz w:val="32"/>
          <w:szCs w:val="32"/>
          <w:lang w:val="zh-CN"/>
        </w:rPr>
        <w:t xml:space="preserve">①</w:t>
      </w:r>
      <w:r>
        <w:rPr>
          <w:rFonts w:hint="eastAsia" w:ascii="仿宋_GB2312" w:hAnsi="仿宋_GB2312" w:eastAsia="仿宋_GB2312" w:cs="仿宋_GB2312"/>
          <w:sz w:val="32"/>
          <w:szCs w:val="32"/>
          <w:lang w:val="zh-CN"/>
        </w:rPr>
        <w:fldChar w:fldCharType="end"/>
      </w:r>
      <w:r>
        <w:rPr>
          <w:rFonts w:hint="eastAsia" w:ascii="仿宋_GB2312" w:hAnsi="仿宋_GB2312" w:eastAsia="仿宋_GB2312" w:cs="仿宋_GB2312"/>
          <w:sz w:val="32"/>
          <w:szCs w:val="32"/>
          <w:lang w:val="zh-CN"/>
        </w:rPr>
        <w:t xml:space="preserve">安置的残疾人占本单位在职职工人数的比例不低于25%（含25%），并且安置的残疾人人数不少于10人（含10人）；</w:t>
      </w:r>
      <w:r/>
    </w:p>
    <w:p>
      <w:pPr>
        <w:ind w:firstLine="640"/>
        <w:spacing w:line="560" w:lineRule="exact"/>
        <w:widowControl/>
        <w:rPr>
          <w:rFonts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fldChar w:fldCharType="begin"/>
      </w:r>
      <w:r>
        <w:rPr>
          <w:rFonts w:hint="eastAsia" w:ascii="仿宋_GB2312" w:hAnsi="仿宋_GB2312" w:eastAsia="仿宋_GB2312" w:cs="仿宋_GB2312"/>
          <w:sz w:val="32"/>
          <w:szCs w:val="32"/>
          <w:lang w:val="zh-CN"/>
        </w:rPr>
        <w:instrText xml:space="preserve"> = 2 \* GB3 </w:instrText>
      </w:r>
      <w:r>
        <w:rPr>
          <w:rFonts w:hint="eastAsia" w:ascii="仿宋_GB2312" w:hAnsi="仿宋_GB2312" w:eastAsia="仿宋_GB2312" w:cs="仿宋_GB2312"/>
          <w:sz w:val="32"/>
          <w:szCs w:val="32"/>
          <w:lang w:val="zh-CN"/>
        </w:rPr>
        <w:fldChar w:fldCharType="separate"/>
      </w:r>
      <w:r>
        <w:rPr>
          <w:rFonts w:hint="eastAsia" w:ascii="仿宋_GB2312" w:hAnsi="仿宋_GB2312" w:eastAsia="仿宋_GB2312" w:cs="仿宋_GB2312"/>
          <w:sz w:val="32"/>
          <w:szCs w:val="32"/>
          <w:lang w:val="zh-CN"/>
        </w:rPr>
        <w:t xml:space="preserve">②</w:t>
      </w:r>
      <w:r>
        <w:rPr>
          <w:rFonts w:hint="eastAsia" w:ascii="仿宋_GB2312" w:hAnsi="仿宋_GB2312" w:eastAsia="仿宋_GB2312" w:cs="仿宋_GB2312"/>
          <w:sz w:val="32"/>
          <w:szCs w:val="32"/>
          <w:lang w:val="zh-CN"/>
        </w:rPr>
        <w:fldChar w:fldCharType="end"/>
      </w:r>
      <w:r>
        <w:rPr>
          <w:rFonts w:hint="eastAsia" w:ascii="仿宋_GB2312" w:hAnsi="仿宋_GB2312" w:eastAsia="仿宋_GB2312" w:cs="仿宋_GB2312"/>
          <w:sz w:val="32"/>
          <w:szCs w:val="32"/>
          <w:lang w:val="zh-CN"/>
        </w:rPr>
        <w:t xml:space="preserve">依法与安置的每位残疾人签订了一年以上（含一年）的劳动合同或服务协议；</w:t>
      </w:r>
      <w:r/>
    </w:p>
    <w:p>
      <w:pPr>
        <w:ind w:firstLine="640"/>
        <w:spacing w:line="560" w:lineRule="exact"/>
        <w:widowControl/>
        <w:rPr>
          <w:rFonts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fldChar w:fldCharType="begin"/>
      </w:r>
      <w:r>
        <w:rPr>
          <w:rFonts w:hint="eastAsia" w:ascii="仿宋_GB2312" w:hAnsi="仿宋_GB2312" w:eastAsia="仿宋_GB2312" w:cs="仿宋_GB2312"/>
          <w:sz w:val="32"/>
          <w:szCs w:val="32"/>
          <w:lang w:val="zh-CN"/>
        </w:rPr>
        <w:instrText xml:space="preserve"> = 3 \* GB3 </w:instrText>
      </w:r>
      <w:r>
        <w:rPr>
          <w:rFonts w:hint="eastAsia" w:ascii="仿宋_GB2312" w:hAnsi="仿宋_GB2312" w:eastAsia="仿宋_GB2312" w:cs="仿宋_GB2312"/>
          <w:sz w:val="32"/>
          <w:szCs w:val="32"/>
          <w:lang w:val="zh-CN"/>
        </w:rPr>
        <w:fldChar w:fldCharType="separate"/>
      </w:r>
      <w:r>
        <w:rPr>
          <w:rFonts w:hint="eastAsia" w:ascii="仿宋_GB2312" w:hAnsi="仿宋_GB2312" w:eastAsia="仿宋_GB2312" w:cs="仿宋_GB2312"/>
          <w:sz w:val="32"/>
          <w:szCs w:val="32"/>
          <w:lang w:val="zh-CN"/>
        </w:rPr>
        <w:t xml:space="preserve">③</w:t>
      </w:r>
      <w:r>
        <w:rPr>
          <w:rFonts w:hint="eastAsia" w:ascii="仿宋_GB2312" w:hAnsi="仿宋_GB2312" w:eastAsia="仿宋_GB2312" w:cs="仿宋_GB2312"/>
          <w:sz w:val="32"/>
          <w:szCs w:val="32"/>
          <w:lang w:val="zh-CN"/>
        </w:rPr>
        <w:fldChar w:fldCharType="end"/>
      </w:r>
      <w:r>
        <w:rPr>
          <w:rFonts w:hint="eastAsia" w:ascii="仿宋_GB2312" w:hAnsi="仿宋_GB2312" w:eastAsia="仿宋_GB2312" w:cs="仿宋_GB2312"/>
          <w:sz w:val="32"/>
          <w:szCs w:val="32"/>
          <w:lang w:val="zh-CN"/>
        </w:rPr>
        <w:t xml:space="preserve">为安置的每位残疾人按月足额缴纳了基本养老保险、基本医疗保险、失业保险、工伤保险和生育保险等社会保险费；</w:t>
      </w:r>
      <w:r/>
    </w:p>
    <w:p>
      <w:pPr>
        <w:ind w:firstLine="640"/>
        <w:spacing w:line="560" w:lineRule="exact"/>
        <w:widowControl/>
        <w:rPr>
          <w:rFonts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fldChar w:fldCharType="begin"/>
      </w:r>
      <w:r>
        <w:rPr>
          <w:rFonts w:hint="eastAsia" w:ascii="仿宋_GB2312" w:hAnsi="仿宋_GB2312" w:eastAsia="仿宋_GB2312" w:cs="仿宋_GB2312"/>
          <w:sz w:val="32"/>
          <w:szCs w:val="32"/>
          <w:lang w:val="zh-CN"/>
        </w:rPr>
        <w:instrText xml:space="preserve"> = 4 \* GB3 </w:instrText>
      </w:r>
      <w:r>
        <w:rPr>
          <w:rFonts w:hint="eastAsia" w:ascii="仿宋_GB2312" w:hAnsi="仿宋_GB2312" w:eastAsia="仿宋_GB2312" w:cs="仿宋_GB2312"/>
          <w:sz w:val="32"/>
          <w:szCs w:val="32"/>
          <w:lang w:val="zh-CN"/>
        </w:rPr>
        <w:fldChar w:fldCharType="separate"/>
      </w:r>
      <w:r>
        <w:rPr>
          <w:rFonts w:hint="eastAsia" w:ascii="仿宋_GB2312" w:hAnsi="仿宋_GB2312" w:eastAsia="仿宋_GB2312" w:cs="仿宋_GB2312"/>
          <w:sz w:val="32"/>
          <w:szCs w:val="32"/>
          <w:lang w:val="zh-CN"/>
        </w:rPr>
        <w:t xml:space="preserve">④</w:t>
      </w:r>
      <w:r>
        <w:rPr>
          <w:rFonts w:hint="eastAsia" w:ascii="仿宋_GB2312" w:hAnsi="仿宋_GB2312" w:eastAsia="仿宋_GB2312" w:cs="仿宋_GB2312"/>
          <w:sz w:val="32"/>
          <w:szCs w:val="32"/>
          <w:lang w:val="zh-CN"/>
        </w:rPr>
        <w:fldChar w:fldCharType="end"/>
      </w:r>
      <w:r>
        <w:rPr>
          <w:rFonts w:hint="eastAsia" w:ascii="仿宋_GB2312" w:hAnsi="仿宋_GB2312" w:eastAsia="仿宋_GB2312" w:cs="仿宋_GB2312"/>
          <w:sz w:val="32"/>
          <w:szCs w:val="32"/>
          <w:lang w:val="zh-CN"/>
        </w:rPr>
        <w:t xml:space="preserve">通过银行等金融机构向安置的每位残疾人，按月支付了不低于单位所在区县适用的经省级人民政府批准的月最低工资标准的工资；</w:t>
      </w:r>
      <w:r/>
    </w:p>
    <w:p>
      <w:pPr>
        <w:ind w:firstLine="640"/>
        <w:spacing w:line="560" w:lineRule="exact"/>
        <w:widowControl/>
        <w:rPr>
          <w:rFonts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fldChar w:fldCharType="begin"/>
      </w:r>
      <w:r>
        <w:rPr>
          <w:rFonts w:hint="eastAsia" w:ascii="仿宋_GB2312" w:hAnsi="仿宋_GB2312" w:eastAsia="仿宋_GB2312" w:cs="仿宋_GB2312"/>
          <w:sz w:val="32"/>
          <w:szCs w:val="32"/>
          <w:lang w:val="zh-CN"/>
        </w:rPr>
        <w:instrText xml:space="preserve"> = 5 \* GB3 </w:instrText>
      </w:r>
      <w:r>
        <w:rPr>
          <w:rFonts w:hint="eastAsia" w:ascii="仿宋_GB2312" w:hAnsi="仿宋_GB2312" w:eastAsia="仿宋_GB2312" w:cs="仿宋_GB2312"/>
          <w:sz w:val="32"/>
          <w:szCs w:val="32"/>
          <w:lang w:val="zh-CN"/>
        </w:rPr>
        <w:fldChar w:fldCharType="separate"/>
      </w:r>
      <w:r>
        <w:rPr>
          <w:rFonts w:hint="eastAsia" w:ascii="仿宋_GB2312" w:hAnsi="仿宋_GB2312" w:eastAsia="仿宋_GB2312" w:cs="仿宋_GB2312"/>
          <w:sz w:val="32"/>
          <w:szCs w:val="32"/>
          <w:lang w:val="zh-CN"/>
        </w:rPr>
        <w:t xml:space="preserve">⑤</w:t>
      </w:r>
      <w:r>
        <w:rPr>
          <w:rFonts w:hint="eastAsia" w:ascii="仿宋_GB2312" w:hAnsi="仿宋_GB2312" w:eastAsia="仿宋_GB2312" w:cs="仿宋_GB2312"/>
          <w:sz w:val="32"/>
          <w:szCs w:val="32"/>
          <w:lang w:val="zh-CN"/>
        </w:rPr>
        <w:fldChar w:fldCharType="end"/>
      </w:r>
      <w:r>
        <w:rPr>
          <w:rFonts w:hint="eastAsia" w:ascii="仿宋_GB2312" w:hAnsi="仿宋_GB2312" w:eastAsia="仿宋_GB2312" w:cs="仿宋_GB2312"/>
          <w:sz w:val="32"/>
          <w:szCs w:val="32"/>
          <w:lang w:val="zh-CN"/>
        </w:rPr>
        <w:t xml:space="preserve">提供本单位制造的货物、承担的工程或者服务（以下简称产品），或者提供其他残疾人福利性单位制造的货物（不包括使用非残疾人福利性单位注册商标的货物）。</w:t>
      </w:r>
      <w:r/>
    </w:p>
    <w:p>
      <w:pPr>
        <w:ind w:firstLine="640"/>
        <w:spacing w:line="560" w:lineRule="exact"/>
        <w:widowControl/>
        <w:rPr>
          <w:rFonts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641"/>
        <w:spacing w:line="560" w:lineRule="exact"/>
        <w:widowControl/>
        <w:rPr>
          <w:rFonts w:ascii="仿宋_GB2312" w:hAnsi="仿宋_GB2312" w:eastAsia="仿宋_GB2312" w:cs="仿宋_GB2312"/>
          <w:b/>
          <w:sz w:val="32"/>
          <w:szCs w:val="32"/>
          <w:lang w:val="zh-CN"/>
        </w:rPr>
      </w:pPr>
      <w:r>
        <w:rPr>
          <w:rFonts w:hint="eastAsia" w:ascii="仿宋_GB2312" w:hAnsi="仿宋_GB2312" w:eastAsia="仿宋_GB2312" w:cs="仿宋_GB2312"/>
          <w:b/>
          <w:sz w:val="32"/>
          <w:szCs w:val="32"/>
          <w:lang w:val="zh-CN"/>
        </w:rPr>
        <w:t xml:space="preserve">2.中标单位为残疾人福利性单位的，《残疾人福利性单位声明函》将随中标结果同时公告。</w:t>
      </w:r>
      <w:r/>
    </w:p>
    <w:p>
      <w:pPr>
        <w:ind w:firstLine="641"/>
        <w:spacing w:line="560" w:lineRule="exact"/>
        <w:widowControl/>
        <w:rPr>
          <w:rFonts w:ascii="仿宋_GB2312" w:hAnsi="仿宋_GB2312" w:eastAsia="仿宋_GB2312" w:cs="仿宋_GB2312"/>
          <w:b/>
          <w:sz w:val="32"/>
          <w:szCs w:val="32"/>
          <w:lang w:val="zh-CN"/>
        </w:rPr>
      </w:pPr>
      <w:r>
        <w:rPr>
          <w:rFonts w:hint="eastAsia" w:ascii="仿宋_GB2312" w:hAnsi="仿宋_GB2312" w:eastAsia="仿宋_GB2312" w:cs="仿宋_GB2312"/>
          <w:b/>
          <w:sz w:val="32"/>
          <w:szCs w:val="32"/>
          <w:lang w:val="zh-CN"/>
        </w:rPr>
        <w:t xml:space="preserve">3.供应商提供的《残疾人福利性单位声明函》与事实不符的，依照《政府采购法》第七十七条第一款的规定追究法律责任。</w:t>
      </w:r>
      <w:r/>
    </w:p>
    <w:p>
      <w:pPr>
        <w:pStyle w:val="944"/>
        <w:spacing w:line="560" w:lineRule="exact"/>
        <w:rPr>
          <w:rFonts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br w:type="page" w:clear="all"/>
      </w:r>
      <w:r/>
    </w:p>
    <w:p>
      <w:pPr>
        <w:jc w:val="left"/>
        <w:spacing w:line="560" w:lineRule="exact"/>
        <w:rPr>
          <w:rFonts w:ascii="仿宋_GB2312" w:hAnsi="仿宋_GB2312" w:eastAsia="仿宋_GB2312" w:cs="仿宋_GB2312"/>
          <w:b/>
          <w:sz w:val="32"/>
          <w:szCs w:val="32"/>
        </w:rPr>
        <w:outlineLvl w:val="0"/>
      </w:pPr>
      <w:r/>
      <w:bookmarkStart w:id="58" w:name="_Toc165274512"/>
      <w:r/>
      <w:bookmarkStart w:id="59" w:name="_Toc105397786"/>
      <w:r>
        <w:rPr>
          <w:rFonts w:hint="eastAsia" w:ascii="仿宋_GB2312" w:hAnsi="仿宋_GB2312" w:eastAsia="仿宋_GB2312" w:cs="仿宋_GB2312"/>
          <w:b/>
          <w:sz w:val="32"/>
          <w:szCs w:val="32"/>
        </w:rPr>
        <w:t xml:space="preserve">附件6</w:t>
      </w:r>
      <w:bookmarkEnd w:id="58"/>
      <w:r/>
      <w:bookmarkEnd w:id="59"/>
      <w:r>
        <w:rPr>
          <w:rFonts w:hint="eastAsia" w:ascii="仿宋_GB2312" w:hAnsi="仿宋_GB2312" w:eastAsia="仿宋_GB2312" w:cs="仿宋_GB2312"/>
          <w:b/>
          <w:sz w:val="32"/>
          <w:szCs w:val="32"/>
        </w:rPr>
        <w:t xml:space="preserve">  </w:t>
      </w:r>
      <w:r>
        <w:rPr>
          <w:rFonts w:hint="eastAsia" w:ascii="仿宋_GB2312" w:hAnsi="仿宋_GB2312" w:eastAsia="仿宋_GB2312" w:cs="仿宋_GB2312"/>
          <w:b/>
          <w:sz w:val="32"/>
          <w:szCs w:val="32"/>
        </w:rPr>
        <w:t xml:space="preserve">偏离表（技术、商务）</w:t>
      </w:r>
      <w:r/>
    </w:p>
    <w:p>
      <w:pPr>
        <w:jc w:val="center"/>
        <w:spacing w:line="560" w:lineRule="exact"/>
        <w:rPr>
          <w:rFonts w:ascii="仿宋_GB2312" w:hAnsi="仿宋_GB2312" w:eastAsia="仿宋_GB2312" w:cs="仿宋_GB2312"/>
          <w:b/>
          <w:sz w:val="32"/>
          <w:szCs w:val="32"/>
        </w:rPr>
      </w:pPr>
      <w:r>
        <w:rPr>
          <w:rFonts w:hint="eastAsia" w:ascii="仿宋_GB2312" w:hAnsi="仿宋_GB2312" w:eastAsia="仿宋_GB2312" w:cs="仿宋_GB2312"/>
          <w:b/>
          <w:sz w:val="32"/>
          <w:szCs w:val="32"/>
        </w:rPr>
        <w:t xml:space="preserve">偏离表（技术、商务）</w:t>
      </w:r>
      <w:r/>
    </w:p>
    <w:tbl>
      <w:tblPr>
        <w:tblW w:w="4997"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42"/>
        <w:gridCol w:w="1624"/>
        <w:gridCol w:w="1767"/>
        <w:gridCol w:w="1895"/>
        <w:gridCol w:w="1641"/>
        <w:gridCol w:w="1261"/>
      </w:tblGrid>
      <w:tr>
        <w:trPr>
          <w:trHeight w:val="760"/>
        </w:trPr>
        <w:tc>
          <w:tcPr>
            <w:tcW w:w="364" w:type="pct"/>
            <w:vAlign w:val="center"/>
            <w:textDirection w:val="lrTb"/>
            <w:noWrap w:val="false"/>
          </w:tcPr>
          <w:p>
            <w:pPr>
              <w:jc w:val="center"/>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序号</w:t>
            </w:r>
            <w:r/>
          </w:p>
        </w:tc>
        <w:tc>
          <w:tcPr>
            <w:tcW w:w="919" w:type="pct"/>
            <w:vAlign w:val="center"/>
            <w:textDirection w:val="lrTb"/>
            <w:noWrap w:val="false"/>
          </w:tcPr>
          <w:p>
            <w:pPr>
              <w:jc w:val="center"/>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项目</w:t>
            </w:r>
            <w:r/>
          </w:p>
        </w:tc>
        <w:tc>
          <w:tcPr>
            <w:tcW w:w="1000" w:type="pct"/>
            <w:vAlign w:val="center"/>
            <w:textDirection w:val="lrTb"/>
            <w:noWrap w:val="false"/>
          </w:tcPr>
          <w:p>
            <w:pPr>
              <w:jc w:val="center"/>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招标要求</w:t>
            </w:r>
            <w:r/>
          </w:p>
        </w:tc>
        <w:tc>
          <w:tcPr>
            <w:tcW w:w="1072" w:type="pct"/>
            <w:vAlign w:val="center"/>
            <w:textDirection w:val="lrTb"/>
            <w:noWrap w:val="false"/>
          </w:tcPr>
          <w:p>
            <w:pPr>
              <w:jc w:val="center"/>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投标内容</w:t>
            </w:r>
            <w:r/>
          </w:p>
        </w:tc>
        <w:tc>
          <w:tcPr>
            <w:tcW w:w="928" w:type="pct"/>
            <w:vAlign w:val="center"/>
            <w:textDirection w:val="lrTb"/>
            <w:noWrap w:val="false"/>
          </w:tcPr>
          <w:p>
            <w:pPr>
              <w:jc w:val="center"/>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偏离说明</w:t>
            </w:r>
            <w:r/>
          </w:p>
        </w:tc>
        <w:tc>
          <w:tcPr>
            <w:tcW w:w="714" w:type="pct"/>
            <w:vAlign w:val="center"/>
            <w:textDirection w:val="lrTb"/>
            <w:noWrap w:val="false"/>
          </w:tcPr>
          <w:p>
            <w:pPr>
              <w:jc w:val="center"/>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证明材料</w:t>
            </w:r>
            <w:r/>
          </w:p>
        </w:tc>
      </w:tr>
      <w:tr>
        <w:trPr>
          <w:cantSplit/>
          <w:trHeight w:val="495"/>
        </w:trPr>
        <w:tc>
          <w:tcPr>
            <w:tcW w:w="364"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919"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1000"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1072"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928"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714" w:type="pct"/>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r>
      <w:tr>
        <w:trPr>
          <w:cantSplit/>
          <w:trHeight w:val="495"/>
        </w:trPr>
        <w:tc>
          <w:tcPr>
            <w:tcW w:w="364"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919"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1000"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1072"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928"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714" w:type="pct"/>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r>
      <w:tr>
        <w:trPr>
          <w:cantSplit/>
          <w:trHeight w:val="495"/>
        </w:trPr>
        <w:tc>
          <w:tcPr>
            <w:tcW w:w="364"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919"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1000"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1072"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928"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714" w:type="pct"/>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r>
      <w:tr>
        <w:trPr>
          <w:cantSplit/>
          <w:trHeight w:val="495"/>
        </w:trPr>
        <w:tc>
          <w:tcPr>
            <w:tcW w:w="364"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919"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1000"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1072"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928"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714" w:type="pct"/>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r>
      <w:tr>
        <w:trPr>
          <w:cantSplit/>
          <w:trHeight w:val="495"/>
        </w:trPr>
        <w:tc>
          <w:tcPr>
            <w:tcW w:w="364" w:type="pct"/>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919"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1000"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1072"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928"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714" w:type="pct"/>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r>
      <w:tr>
        <w:trPr>
          <w:cantSplit/>
          <w:trHeight w:val="495"/>
        </w:trPr>
        <w:tc>
          <w:tcPr>
            <w:tcW w:w="364" w:type="pct"/>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919"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1000"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1072"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928"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714" w:type="pct"/>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r>
      <w:tr>
        <w:trPr>
          <w:cantSplit/>
          <w:trHeight w:val="495"/>
        </w:trPr>
        <w:tc>
          <w:tcPr>
            <w:tcW w:w="364" w:type="pct"/>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919"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1000"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1072"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928"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714" w:type="pct"/>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r>
      <w:tr>
        <w:trPr>
          <w:cantSplit/>
          <w:trHeight w:val="495"/>
        </w:trPr>
        <w:tc>
          <w:tcPr>
            <w:tcW w:w="364" w:type="pct"/>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919"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1000"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1072"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928"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714" w:type="pct"/>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r>
      <w:tr>
        <w:trPr>
          <w:cantSplit/>
          <w:trHeight w:val="495"/>
        </w:trPr>
        <w:tc>
          <w:tcPr>
            <w:tcW w:w="364" w:type="pct"/>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919"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1000"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1072"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928"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714" w:type="pct"/>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r>
    </w:tbl>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注：投标人针对本招标文件第四章“招标书”要求，在本表中列出响应内容，并在“偏离说明”项下填写以下内容：优于的，填写“正偏离”；符合的，填写“无偏离”；低于的，填写“负偏离”。</w:t>
      </w:r>
      <w:r>
        <w:rPr>
          <w:rFonts w:hint="eastAsia" w:ascii="仿宋_GB2312" w:hAnsi="仿宋_GB2312" w:eastAsia="仿宋_GB2312" w:cs="仿宋_GB2312"/>
          <w:b/>
          <w:sz w:val="32"/>
          <w:szCs w:val="32"/>
        </w:rPr>
        <w:t xml:space="preserve">未说明偏离的，将被认为响应招标文件的规定。</w:t>
      </w:r>
      <w:r>
        <w:rPr>
          <w:rFonts w:hint="eastAsia" w:ascii="仿宋_GB2312" w:hAnsi="仿宋_GB2312" w:eastAsia="仿宋_GB2312" w:cs="仿宋_GB2312"/>
          <w:sz w:val="32"/>
          <w:szCs w:val="32"/>
        </w:rPr>
        <w:t xml:space="preserve">但该表不作为投标人对所投标服务关于商务条款等详细描述和说明的替代。表格可根据实际情况自行调整、编辑。</w:t>
      </w:r>
      <w:r/>
    </w:p>
    <w:p>
      <w:pPr>
        <w:ind w:firstLine="3200"/>
        <w:jc w:val="left"/>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供应商名称（电子签章）：</w:t>
      </w:r>
      <w:r/>
    </w:p>
    <w:p>
      <w:pPr>
        <w:ind w:firstLine="320"/>
        <w:jc w:val="left"/>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法定代表人（</w:t>
      </w:r>
      <w:r>
        <w:rPr>
          <w:rFonts w:hint="eastAsia" w:ascii="仿宋_GB2312" w:hAnsi="仿宋_GB2312" w:eastAsia="仿宋_GB2312" w:cs="仿宋_GB2312"/>
          <w:sz w:val="32"/>
          <w:szCs w:val="32"/>
          <w:lang w:val="zh-CN"/>
        </w:rPr>
        <w:t xml:space="preserve">负责人</w:t>
      </w:r>
      <w:r>
        <w:rPr>
          <w:rFonts w:hint="eastAsia" w:ascii="仿宋_GB2312" w:hAnsi="仿宋_GB2312" w:eastAsia="仿宋_GB2312" w:cs="仿宋_GB2312"/>
          <w:sz w:val="32"/>
          <w:szCs w:val="32"/>
        </w:rPr>
        <w:t xml:space="preserve">）或代理人（电子签章）：</w:t>
      </w:r>
      <w:r/>
    </w:p>
    <w:p>
      <w:pPr>
        <w:ind w:firstLine="2880"/>
        <w:jc w:val="left"/>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日期:    年  月  日</w:t>
      </w:r>
      <w:r/>
    </w:p>
    <w:p>
      <w:pPr>
        <w:jc w:val="left"/>
        <w:spacing w:line="560" w:lineRule="exact"/>
        <w:rPr>
          <w:rFonts w:ascii="仿宋_GB2312" w:hAnsi="仿宋_GB2312" w:eastAsia="仿宋_GB2312" w:cs="仿宋_GB2312"/>
          <w:b/>
          <w:sz w:val="32"/>
          <w:szCs w:val="32"/>
        </w:rPr>
        <w:outlineLvl w:val="0"/>
      </w:pPr>
      <w:r/>
      <w:bookmarkStart w:id="60" w:name="_Toc233201694"/>
      <w:r>
        <w:rPr>
          <w:rFonts w:hint="eastAsia" w:ascii="仿宋_GB2312" w:hAnsi="仿宋_GB2312" w:eastAsia="仿宋_GB2312" w:cs="仿宋_GB2312"/>
          <w:b/>
          <w:sz w:val="32"/>
          <w:szCs w:val="32"/>
        </w:rPr>
        <w:t xml:space="preserve">附件7  项目服务人员配置表</w:t>
      </w:r>
      <w:bookmarkEnd w:id="60"/>
      <w:r/>
      <w:r/>
    </w:p>
    <w:tbl>
      <w:tblPr>
        <w:tblpPr w:horzAnchor="page" w:tblpX="1631" w:vertAnchor="text" w:tblpY="1291" w:leftFromText="180" w:topFromText="0" w:rightFromText="180" w:bottomFromText="0"/>
        <w:tblW w:w="4997"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49"/>
        <w:gridCol w:w="1361"/>
        <w:gridCol w:w="1131"/>
        <w:gridCol w:w="1026"/>
        <w:gridCol w:w="1005"/>
        <w:gridCol w:w="1074"/>
        <w:gridCol w:w="1561"/>
        <w:gridCol w:w="1023"/>
      </w:tblGrid>
      <w:tr>
        <w:trPr>
          <w:trHeight w:val="760"/>
        </w:trPr>
        <w:tc>
          <w:tcPr>
            <w:tcW w:w="367" w:type="pct"/>
            <w:vAlign w:val="center"/>
            <w:textDirection w:val="lrTb"/>
            <w:noWrap w:val="false"/>
          </w:tcPr>
          <w:p>
            <w:pPr>
              <w:jc w:val="center"/>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序号</w:t>
            </w:r>
            <w:r/>
          </w:p>
        </w:tc>
        <w:tc>
          <w:tcPr>
            <w:tcW w:w="770" w:type="pct"/>
            <w:vAlign w:val="center"/>
            <w:textDirection w:val="lrTb"/>
            <w:noWrap w:val="false"/>
          </w:tcPr>
          <w:p>
            <w:pPr>
              <w:jc w:val="center"/>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岗位</w:t>
            </w:r>
            <w:r/>
          </w:p>
        </w:tc>
        <w:tc>
          <w:tcPr>
            <w:tcW w:w="640" w:type="pct"/>
            <w:vAlign w:val="center"/>
            <w:textDirection w:val="lrTb"/>
            <w:noWrap w:val="false"/>
          </w:tcPr>
          <w:p>
            <w:pPr>
              <w:jc w:val="center"/>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姓名</w:t>
            </w:r>
            <w:r/>
          </w:p>
        </w:tc>
        <w:tc>
          <w:tcPr>
            <w:tcW w:w="581" w:type="pct"/>
            <w:vAlign w:val="center"/>
            <w:textDirection w:val="lrTb"/>
            <w:noWrap w:val="false"/>
          </w:tcPr>
          <w:p>
            <w:pPr>
              <w:jc w:val="center"/>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性别</w:t>
            </w:r>
            <w:r/>
          </w:p>
        </w:tc>
        <w:tc>
          <w:tcPr>
            <w:tcW w:w="569" w:type="pct"/>
            <w:vAlign w:val="center"/>
            <w:textDirection w:val="lrTb"/>
            <w:noWrap w:val="false"/>
          </w:tcPr>
          <w:p>
            <w:pPr>
              <w:jc w:val="center"/>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年龄</w:t>
            </w:r>
            <w:r/>
          </w:p>
        </w:tc>
        <w:tc>
          <w:tcPr>
            <w:tcW w:w="608" w:type="pct"/>
            <w:vAlign w:val="center"/>
            <w:textDirection w:val="lrTb"/>
            <w:noWrap w:val="false"/>
          </w:tcPr>
          <w:p>
            <w:pPr>
              <w:jc w:val="center"/>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学历</w:t>
            </w:r>
            <w:r/>
          </w:p>
        </w:tc>
        <w:tc>
          <w:tcPr>
            <w:tcW w:w="883" w:type="pct"/>
            <w:vAlign w:val="center"/>
            <w:textDirection w:val="lrTb"/>
            <w:noWrap w:val="false"/>
          </w:tcPr>
          <w:p>
            <w:pPr>
              <w:jc w:val="center"/>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服务经验</w:t>
            </w:r>
            <w:r/>
          </w:p>
        </w:tc>
        <w:tc>
          <w:tcPr>
            <w:tcW w:w="579" w:type="pct"/>
            <w:vAlign w:val="center"/>
            <w:textDirection w:val="lrTb"/>
            <w:noWrap w:val="false"/>
          </w:tcPr>
          <w:p>
            <w:pPr>
              <w:jc w:val="center"/>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备注</w:t>
            </w:r>
            <w:r/>
          </w:p>
        </w:tc>
      </w:tr>
      <w:tr>
        <w:trPr>
          <w:cantSplit/>
          <w:trHeight w:val="495"/>
        </w:trPr>
        <w:tc>
          <w:tcPr>
            <w:tcW w:w="367" w:type="pct"/>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770"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640"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581" w:type="pct"/>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569"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608"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883"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579" w:type="pct"/>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r>
      <w:tr>
        <w:trPr>
          <w:cantSplit/>
          <w:trHeight w:val="495"/>
        </w:trPr>
        <w:tc>
          <w:tcPr>
            <w:tcW w:w="367" w:type="pct"/>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770"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640"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581"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569"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608"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883"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579" w:type="pct"/>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r>
      <w:tr>
        <w:trPr>
          <w:cantSplit/>
          <w:trHeight w:val="604"/>
        </w:trPr>
        <w:tc>
          <w:tcPr>
            <w:tcW w:w="367" w:type="pct"/>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770"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640"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581"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569"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608"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883"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579" w:type="pct"/>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r>
      <w:tr>
        <w:trPr>
          <w:cantSplit/>
          <w:trHeight w:val="495"/>
        </w:trPr>
        <w:tc>
          <w:tcPr>
            <w:tcW w:w="367" w:type="pct"/>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770"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640"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581"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569"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608"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883"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579" w:type="pct"/>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r>
      <w:tr>
        <w:trPr>
          <w:cantSplit/>
          <w:trHeight w:val="495"/>
        </w:trPr>
        <w:tc>
          <w:tcPr>
            <w:tcW w:w="367" w:type="pct"/>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770"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640"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581"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569"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608"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883"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579" w:type="pct"/>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r>
      <w:tr>
        <w:trPr>
          <w:cantSplit/>
          <w:trHeight w:val="495"/>
        </w:trPr>
        <w:tc>
          <w:tcPr>
            <w:tcW w:w="367" w:type="pct"/>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770"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640"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581"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569"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608"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883"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579" w:type="pct"/>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r>
      <w:tr>
        <w:trPr>
          <w:cantSplit/>
          <w:trHeight w:val="495"/>
        </w:trPr>
        <w:tc>
          <w:tcPr>
            <w:tcW w:w="367" w:type="pct"/>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770"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640"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581"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569"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608"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883"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579" w:type="pct"/>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r>
      <w:tr>
        <w:trPr>
          <w:cantSplit/>
          <w:trHeight w:val="495"/>
        </w:trPr>
        <w:tc>
          <w:tcPr>
            <w:tcW w:w="367" w:type="pct"/>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770"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640"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581"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569"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608"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883"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579" w:type="pct"/>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r>
      <w:tr>
        <w:trPr>
          <w:cantSplit/>
          <w:trHeight w:val="495"/>
        </w:trPr>
        <w:tc>
          <w:tcPr>
            <w:tcW w:w="367" w:type="pct"/>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770"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640"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581"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569"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608"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883"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579" w:type="pct"/>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r>
    </w:tbl>
    <w:p>
      <w:pPr>
        <w:jc w:val="center"/>
        <w:spacing w:line="560" w:lineRule="exact"/>
        <w:rPr>
          <w:rFonts w:ascii="仿宋_GB2312" w:hAnsi="仿宋_GB2312" w:eastAsia="仿宋_GB2312" w:cs="仿宋_GB2312"/>
          <w:b/>
          <w:sz w:val="32"/>
          <w:szCs w:val="32"/>
        </w:rPr>
      </w:pPr>
      <w:r>
        <w:rPr>
          <w:rFonts w:hint="eastAsia" w:ascii="仿宋_GB2312" w:hAnsi="仿宋_GB2312" w:eastAsia="仿宋_GB2312" w:cs="仿宋_GB2312"/>
          <w:b/>
          <w:sz w:val="32"/>
          <w:szCs w:val="32"/>
        </w:rPr>
        <w:t xml:space="preserve">项目服务人员配置表</w:t>
      </w:r>
      <w:r/>
    </w:p>
    <w:p>
      <w:pP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p>
      <w:pP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352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供应商名称（电子签章）：</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法定代表人（</w:t>
      </w:r>
      <w:r>
        <w:rPr>
          <w:rFonts w:hint="eastAsia" w:ascii="仿宋_GB2312" w:hAnsi="仿宋_GB2312" w:eastAsia="仿宋_GB2312" w:cs="仿宋_GB2312"/>
          <w:sz w:val="32"/>
          <w:szCs w:val="32"/>
          <w:lang w:val="zh-CN"/>
        </w:rPr>
        <w:t xml:space="preserve">负责人</w:t>
      </w:r>
      <w:r>
        <w:rPr>
          <w:rFonts w:hint="eastAsia" w:ascii="仿宋_GB2312" w:hAnsi="仿宋_GB2312" w:eastAsia="仿宋_GB2312" w:cs="仿宋_GB2312"/>
          <w:sz w:val="32"/>
          <w:szCs w:val="32"/>
        </w:rPr>
        <w:t xml:space="preserve">）或代理人（电子签章）：</w:t>
      </w:r>
      <w:r/>
    </w:p>
    <w:p>
      <w:pPr>
        <w:ind w:firstLine="288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日期：    年  月  日</w:t>
      </w:r>
      <w:r/>
    </w:p>
    <w:p>
      <w:pPr>
        <w:jc w:val="left"/>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br w:type="page" w:clear="all"/>
      </w:r>
      <w:r/>
    </w:p>
    <w:p>
      <w:pPr>
        <w:jc w:val="left"/>
        <w:spacing w:line="560" w:lineRule="exact"/>
        <w:rPr>
          <w:rFonts w:ascii="仿宋_GB2312" w:hAnsi="仿宋_GB2312" w:eastAsia="仿宋_GB2312" w:cs="仿宋_GB2312"/>
          <w:b/>
          <w:sz w:val="32"/>
          <w:szCs w:val="32"/>
        </w:rPr>
        <w:outlineLvl w:val="0"/>
      </w:pPr>
      <w:r/>
      <w:bookmarkStart w:id="61" w:name="_Toc233201695"/>
      <w:r>
        <w:rPr>
          <w:rFonts w:hint="eastAsia" w:ascii="仿宋_GB2312" w:hAnsi="仿宋_GB2312" w:eastAsia="仿宋_GB2312" w:cs="仿宋_GB2312"/>
          <w:b/>
          <w:sz w:val="32"/>
          <w:szCs w:val="32"/>
        </w:rPr>
        <w:t xml:space="preserve">附件8  相关业绩一览表</w:t>
      </w:r>
      <w:bookmarkEnd w:id="61"/>
      <w:r/>
      <w:r/>
    </w:p>
    <w:p>
      <w:pPr>
        <w:jc w:val="center"/>
        <w:spacing w:line="560" w:lineRule="exact"/>
        <w:rPr>
          <w:rFonts w:ascii="仿宋_GB2312" w:hAnsi="仿宋_GB2312" w:eastAsia="仿宋_GB2312" w:cs="仿宋_GB2312"/>
          <w:b/>
          <w:sz w:val="32"/>
          <w:szCs w:val="32"/>
        </w:rPr>
      </w:pPr>
      <w:r>
        <w:rPr>
          <w:rFonts w:hint="eastAsia" w:ascii="仿宋_GB2312" w:hAnsi="仿宋_GB2312" w:eastAsia="仿宋_GB2312" w:cs="仿宋_GB2312"/>
          <w:b/>
          <w:sz w:val="32"/>
          <w:szCs w:val="32"/>
        </w:rPr>
        <w:t xml:space="preserve">相关业绩一览表</w:t>
      </w:r>
      <w:r/>
    </w:p>
    <w:tbl>
      <w:tblPr>
        <w:tblW w:w="4998"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4A0" w:firstRow="1" w:lastRow="0" w:firstColumn="1" w:lastColumn="0" w:noHBand="0" w:noVBand="1"/>
      </w:tblPr>
      <w:tblGrid>
        <w:gridCol w:w="1157"/>
        <w:gridCol w:w="1872"/>
        <w:gridCol w:w="1873"/>
        <w:gridCol w:w="2229"/>
        <w:gridCol w:w="1694"/>
      </w:tblGrid>
      <w:tr>
        <w:trPr>
          <w:cantSplit/>
          <w:jc w:val="center"/>
          <w:trHeight w:val="740"/>
        </w:trPr>
        <w:tc>
          <w:tcPr>
            <w:tcW w:w="655" w:type="pct"/>
            <w:vAlign w:val="center"/>
            <w:textDirection w:val="lrTb"/>
            <w:noWrap w:val="false"/>
          </w:tcPr>
          <w:p>
            <w:pPr>
              <w:jc w:val="center"/>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序号</w:t>
            </w:r>
            <w:r/>
          </w:p>
        </w:tc>
        <w:tc>
          <w:tcPr>
            <w:tcW w:w="1060" w:type="pct"/>
            <w:vAlign w:val="center"/>
            <w:textDirection w:val="lrTb"/>
            <w:noWrap w:val="false"/>
          </w:tcPr>
          <w:p>
            <w:pPr>
              <w:jc w:val="center"/>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项目名称</w:t>
            </w:r>
            <w:r/>
          </w:p>
        </w:tc>
        <w:tc>
          <w:tcPr>
            <w:tcW w:w="1060" w:type="pct"/>
            <w:vAlign w:val="center"/>
            <w:textDirection w:val="lrTb"/>
            <w:noWrap w:val="false"/>
          </w:tcPr>
          <w:p>
            <w:pPr>
              <w:jc w:val="center"/>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合同期</w:t>
            </w:r>
            <w:r/>
          </w:p>
        </w:tc>
        <w:tc>
          <w:tcPr>
            <w:tcBorders>
              <w:right w:val="single" w:color="auto" w:sz="4" w:space="0"/>
            </w:tcBorders>
            <w:tcW w:w="1262" w:type="pct"/>
            <w:vAlign w:val="center"/>
            <w:textDirection w:val="lrTb"/>
            <w:noWrap w:val="false"/>
          </w:tcPr>
          <w:p>
            <w:pPr>
              <w:jc w:val="center"/>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合同金额</w:t>
            </w:r>
            <w:r/>
          </w:p>
        </w:tc>
        <w:tc>
          <w:tcPr>
            <w:tcW w:w="959" w:type="pct"/>
            <w:vAlign w:val="center"/>
            <w:textDirection w:val="lrTb"/>
            <w:noWrap w:val="false"/>
          </w:tcPr>
          <w:p>
            <w:pPr>
              <w:jc w:val="center"/>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备注</w:t>
            </w:r>
            <w:r/>
          </w:p>
        </w:tc>
      </w:tr>
      <w:tr>
        <w:trPr>
          <w:cantSplit/>
          <w:jc w:val="center"/>
          <w:trHeight w:val="510" w:hRule="exact"/>
        </w:trPr>
        <w:tc>
          <w:tcPr>
            <w:tcW w:w="655" w:type="pct"/>
            <w:vAlign w:val="center"/>
            <w:textDirection w:val="lrTb"/>
            <w:noWrap w:val="false"/>
          </w:tcPr>
          <w:p>
            <w:pPr>
              <w:jc w:val="center"/>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w:t>
            </w:r>
            <w:r/>
          </w:p>
        </w:tc>
        <w:tc>
          <w:tcPr>
            <w:tcW w:w="1060"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1060"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Borders>
              <w:right w:val="single" w:color="auto" w:sz="4" w:space="0"/>
            </w:tcBorders>
            <w:tcW w:w="1262"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959"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r>
      <w:tr>
        <w:trPr>
          <w:cantSplit/>
          <w:jc w:val="center"/>
          <w:trHeight w:val="510" w:hRule="exact"/>
        </w:trPr>
        <w:tc>
          <w:tcPr>
            <w:tcW w:w="655" w:type="pct"/>
            <w:vAlign w:val="center"/>
            <w:textDirection w:val="lrTb"/>
            <w:noWrap w:val="false"/>
          </w:tcPr>
          <w:p>
            <w:pPr>
              <w:jc w:val="center"/>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2</w:t>
            </w:r>
            <w:r/>
          </w:p>
        </w:tc>
        <w:tc>
          <w:tcPr>
            <w:tcW w:w="1060"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1060"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Borders>
              <w:right w:val="single" w:color="auto" w:sz="4" w:space="0"/>
            </w:tcBorders>
            <w:tcW w:w="1262"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959"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r>
      <w:tr>
        <w:trPr>
          <w:cantSplit/>
          <w:jc w:val="center"/>
          <w:trHeight w:val="510" w:hRule="exact"/>
        </w:trPr>
        <w:tc>
          <w:tcPr>
            <w:tcW w:w="655" w:type="pct"/>
            <w:vAlign w:val="center"/>
            <w:textDirection w:val="lrTb"/>
            <w:noWrap w:val="false"/>
          </w:tcPr>
          <w:p>
            <w:pPr>
              <w:jc w:val="center"/>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w:t>
            </w:r>
            <w:r/>
          </w:p>
        </w:tc>
        <w:tc>
          <w:tcPr>
            <w:tcW w:w="1060"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1060"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Borders>
              <w:right w:val="single" w:color="auto" w:sz="4" w:space="0"/>
            </w:tcBorders>
            <w:tcW w:w="1262"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959"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r>
      <w:tr>
        <w:trPr>
          <w:cantSplit/>
          <w:jc w:val="center"/>
          <w:trHeight w:val="510" w:hRule="exact"/>
        </w:trPr>
        <w:tc>
          <w:tcPr>
            <w:tcW w:w="655" w:type="pct"/>
            <w:vAlign w:val="center"/>
            <w:textDirection w:val="lrTb"/>
            <w:noWrap w:val="false"/>
          </w:tcPr>
          <w:p>
            <w:pPr>
              <w:jc w:val="center"/>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4</w:t>
            </w:r>
            <w:r/>
          </w:p>
        </w:tc>
        <w:tc>
          <w:tcPr>
            <w:tcW w:w="1060"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1060"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Borders>
              <w:right w:val="single" w:color="auto" w:sz="4" w:space="0"/>
            </w:tcBorders>
            <w:tcW w:w="1262"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959"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r>
      <w:tr>
        <w:trPr>
          <w:cantSplit/>
          <w:jc w:val="center"/>
          <w:trHeight w:val="510" w:hRule="exact"/>
        </w:trPr>
        <w:tc>
          <w:tcPr>
            <w:tcW w:w="655" w:type="pct"/>
            <w:vAlign w:val="center"/>
            <w:textDirection w:val="lrTb"/>
            <w:noWrap w:val="false"/>
          </w:tcPr>
          <w:p>
            <w:pPr>
              <w:jc w:val="center"/>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5</w:t>
            </w:r>
            <w:r/>
          </w:p>
        </w:tc>
        <w:tc>
          <w:tcPr>
            <w:tcW w:w="1060"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1060"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Borders>
              <w:right w:val="single" w:color="auto" w:sz="4" w:space="0"/>
            </w:tcBorders>
            <w:tcW w:w="1262"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959"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r>
      <w:tr>
        <w:trPr>
          <w:cantSplit/>
          <w:jc w:val="center"/>
          <w:trHeight w:val="510" w:hRule="exact"/>
        </w:trPr>
        <w:tc>
          <w:tcPr>
            <w:tcW w:w="655"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1060"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1060"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Borders>
              <w:right w:val="single" w:color="auto" w:sz="4" w:space="0"/>
            </w:tcBorders>
            <w:tcW w:w="1262"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959"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r>
      <w:tr>
        <w:trPr>
          <w:cantSplit/>
          <w:jc w:val="center"/>
          <w:trHeight w:val="510" w:hRule="exact"/>
        </w:trPr>
        <w:tc>
          <w:tcPr>
            <w:tcW w:w="655"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1060"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1060"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Borders>
              <w:right w:val="single" w:color="auto" w:sz="4" w:space="0"/>
            </w:tcBorders>
            <w:tcW w:w="1262"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959"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r>
      <w:tr>
        <w:trPr>
          <w:cantSplit/>
          <w:jc w:val="center"/>
          <w:trHeight w:val="510" w:hRule="exact"/>
        </w:trPr>
        <w:tc>
          <w:tcPr>
            <w:tcW w:w="655"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1060"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1060"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Borders>
              <w:right w:val="single" w:color="auto" w:sz="4" w:space="0"/>
            </w:tcBorders>
            <w:tcW w:w="1262"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tcW w:w="959" w:type="pct"/>
            <w:vAlign w:val="center"/>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r>
    </w:tbl>
    <w:p>
      <w:pP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注：若事项较多，投标人可根据投标内容的实际情况另纸说明。</w:t>
      </w:r>
      <w:r/>
    </w:p>
    <w:p>
      <w:pPr>
        <w:jc w:val="left"/>
        <w:spacing w:line="560" w:lineRule="exact"/>
        <w:rPr>
          <w:rFonts w:ascii="仿宋_GB2312" w:hAnsi="仿宋_GB2312" w:eastAsia="仿宋_GB2312" w:cs="仿宋_GB2312"/>
          <w:b/>
          <w:sz w:val="32"/>
          <w:szCs w:val="32"/>
        </w:rPr>
      </w:pPr>
      <w:r>
        <w:rPr>
          <w:rFonts w:ascii="仿宋_GB2312" w:hAnsi="仿宋_GB2312" w:eastAsia="仿宋_GB2312" w:cs="仿宋_GB2312"/>
          <w:b/>
          <w:sz w:val="32"/>
          <w:szCs w:val="32"/>
        </w:rPr>
      </w:r>
      <w:r/>
    </w:p>
    <w:p>
      <w:pPr>
        <w:ind w:firstLine="3200"/>
        <w:jc w:val="left"/>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供应商名称（电子签章）：</w:t>
      </w:r>
      <w:r/>
    </w:p>
    <w:p>
      <w:pPr>
        <w:ind w:firstLine="1920"/>
        <w:jc w:val="left"/>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法定代表人或代理人（</w:t>
      </w:r>
      <w:r>
        <w:rPr>
          <w:rFonts w:hint="eastAsia" w:ascii="仿宋_GB2312" w:hAnsi="仿宋_GB2312" w:eastAsia="仿宋_GB2312" w:cs="仿宋_GB2312"/>
          <w:sz w:val="32"/>
          <w:szCs w:val="32"/>
          <w:lang w:val="zh-CN"/>
        </w:rPr>
        <w:t xml:space="preserve">电子签章</w:t>
      </w:r>
      <w:r>
        <w:rPr>
          <w:rFonts w:hint="eastAsia" w:ascii="仿宋_GB2312" w:hAnsi="仿宋_GB2312" w:eastAsia="仿宋_GB2312" w:cs="仿宋_GB2312"/>
          <w:sz w:val="32"/>
          <w:szCs w:val="32"/>
        </w:rPr>
        <w:t xml:space="preserve">）：</w:t>
      </w:r>
      <w:r/>
    </w:p>
    <w:p>
      <w:pPr>
        <w:ind w:firstLine="2880"/>
        <w:jc w:val="left"/>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日期:    年  月  日</w:t>
      </w:r>
      <w:r/>
    </w:p>
    <w:p>
      <w:pPr>
        <w:jc w:val="left"/>
        <w:spacing w:line="560" w:lineRule="exact"/>
        <w:widowControl/>
        <w:rPr>
          <w:rFonts w:ascii="仿宋_GB2312" w:hAnsi="仿宋_GB2312" w:eastAsia="仿宋_GB2312" w:cs="仿宋_GB2312"/>
          <w:b/>
          <w:sz w:val="32"/>
          <w:szCs w:val="32"/>
        </w:rPr>
      </w:pPr>
      <w:r/>
      <w:bookmarkStart w:id="62" w:name="_Toc105397788"/>
      <w:r/>
      <w:bookmarkStart w:id="63" w:name="_Toc233201696"/>
      <w:r>
        <w:rPr>
          <w:rFonts w:hint="eastAsia" w:ascii="仿宋_GB2312" w:hAnsi="仿宋_GB2312" w:eastAsia="仿宋_GB2312" w:cs="仿宋_GB2312"/>
          <w:b/>
          <w:sz w:val="32"/>
          <w:szCs w:val="32"/>
        </w:rPr>
        <w:br w:type="page" w:clear="all"/>
      </w:r>
      <w:r/>
    </w:p>
    <w:p>
      <w:pPr>
        <w:jc w:val="left"/>
        <w:spacing w:line="560" w:lineRule="exact"/>
        <w:rPr>
          <w:rFonts w:ascii="仿宋_GB2312" w:hAnsi="仿宋_GB2312" w:eastAsia="仿宋_GB2312" w:cs="仿宋_GB2312"/>
          <w:b/>
          <w:sz w:val="32"/>
          <w:szCs w:val="32"/>
        </w:rPr>
        <w:outlineLvl w:val="0"/>
      </w:pPr>
      <w:r>
        <w:rPr>
          <w:rFonts w:hint="eastAsia" w:ascii="仿宋_GB2312" w:hAnsi="仿宋_GB2312" w:eastAsia="仿宋_GB2312" w:cs="仿宋_GB2312"/>
          <w:b/>
          <w:sz w:val="32"/>
          <w:szCs w:val="32"/>
        </w:rPr>
        <w:t xml:space="preserve">附件9  针对本项目的实施方案</w:t>
      </w:r>
      <w:bookmarkEnd w:id="62"/>
      <w:r/>
      <w:bookmarkEnd w:id="63"/>
      <w:r/>
      <w:r/>
    </w:p>
    <w:p>
      <w:pPr>
        <w:jc w:val="center"/>
        <w:spacing w:line="560" w:lineRule="exact"/>
        <w:rPr>
          <w:rFonts w:ascii="仿宋_GB2312" w:hAnsi="仿宋_GB2312" w:eastAsia="仿宋_GB2312" w:cs="仿宋_GB2312"/>
          <w:b/>
          <w:sz w:val="32"/>
          <w:szCs w:val="32"/>
        </w:rPr>
      </w:pPr>
      <w:r>
        <w:rPr>
          <w:rFonts w:hint="eastAsia" w:ascii="仿宋_GB2312" w:hAnsi="仿宋_GB2312" w:eastAsia="仿宋_GB2312" w:cs="仿宋_GB2312"/>
          <w:b/>
          <w:sz w:val="32"/>
          <w:szCs w:val="32"/>
        </w:rPr>
        <w:t xml:space="preserve">针对本项目的实施方案</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8835"/>
      </w:tblGrid>
      <w:tr>
        <w:trPr/>
        <w:tc>
          <w:tcPr>
            <w:tcW w:w="5000" w:type="pct"/>
            <w:textDirection w:val="lrTb"/>
            <w:noWrap w:val="false"/>
          </w:tcPr>
          <w:p>
            <w:pPr>
              <w:jc w:val="left"/>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提示：</w:t>
            </w:r>
            <w:r/>
          </w:p>
          <w:p>
            <w:pPr>
              <w:jc w:val="left"/>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1.投标人应针对本次招标项目特点制定详细的实施方案，可包括但不限于精准承保理赔方案、农业风险减量方案、保险服务创新方案等内容。</w:t>
            </w:r>
            <w:r/>
          </w:p>
          <w:p>
            <w:pPr>
              <w:jc w:val="left"/>
              <w:spacing w:line="560" w:lineRule="exact"/>
              <w:rPr>
                <w:rFonts w:ascii="仿宋_GB2312" w:hAnsi="仿宋_GB2312" w:eastAsia="仿宋_GB2312" w:cs="仿宋_GB2312"/>
                <w:b/>
                <w:sz w:val="32"/>
                <w:szCs w:val="32"/>
              </w:rPr>
            </w:pPr>
            <w:r>
              <w:rPr>
                <w:rFonts w:hint="eastAsia" w:ascii="仿宋_GB2312" w:hAnsi="仿宋_GB2312" w:eastAsia="仿宋_GB2312" w:cs="仿宋_GB2312"/>
                <w:sz w:val="32"/>
                <w:szCs w:val="32"/>
              </w:rPr>
              <w:t xml:space="preserve">2.供应商可根据自身情况编写，本页不够可另加页附后。</w:t>
            </w:r>
            <w:r/>
          </w:p>
        </w:tc>
      </w:tr>
      <w:tr>
        <w:trPr>
          <w:trHeight w:val="7785"/>
        </w:trPr>
        <w:tc>
          <w:tcPr>
            <w:tcW w:w="5000" w:type="pct"/>
            <w:textDirection w:val="lrTb"/>
            <w:noWrap w:val="false"/>
          </w:tcPr>
          <w:p>
            <w:pPr>
              <w:jc w:val="left"/>
              <w:spacing w:line="560" w:lineRule="exact"/>
              <w:rPr>
                <w:rFonts w:ascii="仿宋_GB2312" w:hAnsi="仿宋_GB2312" w:eastAsia="仿宋_GB2312" w:cs="仿宋_GB2312"/>
                <w:b/>
                <w:sz w:val="32"/>
                <w:szCs w:val="32"/>
              </w:rPr>
            </w:pPr>
            <w:r>
              <w:rPr>
                <w:rFonts w:ascii="仿宋_GB2312" w:hAnsi="仿宋_GB2312" w:eastAsia="仿宋_GB2312" w:cs="仿宋_GB2312"/>
                <w:b/>
                <w:sz w:val="32"/>
                <w:szCs w:val="32"/>
              </w:rPr>
            </w:r>
            <w:r/>
          </w:p>
          <w:p>
            <w:pPr>
              <w:jc w:val="left"/>
              <w:spacing w:line="560" w:lineRule="exact"/>
              <w:rPr>
                <w:rFonts w:ascii="仿宋_GB2312" w:hAnsi="仿宋_GB2312" w:eastAsia="仿宋_GB2312" w:cs="仿宋_GB2312"/>
                <w:b/>
                <w:sz w:val="32"/>
                <w:szCs w:val="32"/>
              </w:rPr>
            </w:pPr>
            <w:r>
              <w:rPr>
                <w:rFonts w:ascii="仿宋_GB2312" w:hAnsi="仿宋_GB2312" w:eastAsia="仿宋_GB2312" w:cs="仿宋_GB2312"/>
                <w:b/>
                <w:sz w:val="32"/>
                <w:szCs w:val="32"/>
              </w:rPr>
            </w:r>
            <w:r/>
          </w:p>
          <w:p>
            <w:pPr>
              <w:jc w:val="left"/>
              <w:spacing w:line="560" w:lineRule="exact"/>
              <w:rPr>
                <w:rFonts w:ascii="仿宋_GB2312" w:hAnsi="仿宋_GB2312" w:eastAsia="仿宋_GB2312" w:cs="仿宋_GB2312"/>
                <w:b/>
                <w:sz w:val="32"/>
                <w:szCs w:val="32"/>
              </w:rPr>
            </w:pPr>
            <w:r>
              <w:rPr>
                <w:rFonts w:ascii="仿宋_GB2312" w:hAnsi="仿宋_GB2312" w:eastAsia="仿宋_GB2312" w:cs="仿宋_GB2312"/>
                <w:b/>
                <w:sz w:val="32"/>
                <w:szCs w:val="32"/>
              </w:rPr>
            </w:r>
            <w:r/>
          </w:p>
          <w:p>
            <w:pPr>
              <w:jc w:val="left"/>
              <w:spacing w:line="560" w:lineRule="exact"/>
              <w:rPr>
                <w:rFonts w:ascii="仿宋_GB2312" w:hAnsi="仿宋_GB2312" w:eastAsia="仿宋_GB2312" w:cs="仿宋_GB2312"/>
                <w:b/>
                <w:sz w:val="32"/>
                <w:szCs w:val="32"/>
              </w:rPr>
            </w:pPr>
            <w:r>
              <w:rPr>
                <w:rFonts w:ascii="仿宋_GB2312" w:hAnsi="仿宋_GB2312" w:eastAsia="仿宋_GB2312" w:cs="仿宋_GB2312"/>
                <w:b/>
                <w:sz w:val="32"/>
                <w:szCs w:val="32"/>
              </w:rPr>
            </w:r>
            <w:r/>
          </w:p>
          <w:p>
            <w:pPr>
              <w:jc w:val="left"/>
              <w:spacing w:line="560" w:lineRule="exact"/>
              <w:rPr>
                <w:rFonts w:ascii="仿宋_GB2312" w:hAnsi="仿宋_GB2312" w:eastAsia="仿宋_GB2312" w:cs="仿宋_GB2312"/>
                <w:b/>
                <w:sz w:val="32"/>
                <w:szCs w:val="32"/>
              </w:rPr>
            </w:pPr>
            <w:r>
              <w:rPr>
                <w:rFonts w:ascii="仿宋_GB2312" w:hAnsi="仿宋_GB2312" w:eastAsia="仿宋_GB2312" w:cs="仿宋_GB2312"/>
                <w:b/>
                <w:sz w:val="32"/>
                <w:szCs w:val="32"/>
              </w:rPr>
            </w:r>
            <w:r/>
          </w:p>
          <w:p>
            <w:pPr>
              <w:jc w:val="left"/>
              <w:spacing w:line="560" w:lineRule="exact"/>
              <w:rPr>
                <w:rFonts w:ascii="仿宋_GB2312" w:hAnsi="仿宋_GB2312" w:eastAsia="仿宋_GB2312" w:cs="仿宋_GB2312"/>
                <w:b/>
                <w:sz w:val="32"/>
                <w:szCs w:val="32"/>
              </w:rPr>
            </w:pPr>
            <w:r>
              <w:rPr>
                <w:rFonts w:ascii="仿宋_GB2312" w:hAnsi="仿宋_GB2312" w:eastAsia="仿宋_GB2312" w:cs="仿宋_GB2312"/>
                <w:b/>
                <w:sz w:val="32"/>
                <w:szCs w:val="32"/>
              </w:rPr>
            </w:r>
            <w:r/>
          </w:p>
          <w:p>
            <w:pPr>
              <w:jc w:val="left"/>
              <w:spacing w:line="560" w:lineRule="exact"/>
              <w:rPr>
                <w:rFonts w:ascii="仿宋_GB2312" w:hAnsi="仿宋_GB2312" w:eastAsia="仿宋_GB2312" w:cs="仿宋_GB2312"/>
                <w:b/>
                <w:sz w:val="32"/>
                <w:szCs w:val="32"/>
              </w:rPr>
            </w:pPr>
            <w:r>
              <w:rPr>
                <w:rFonts w:ascii="仿宋_GB2312" w:hAnsi="仿宋_GB2312" w:eastAsia="仿宋_GB2312" w:cs="仿宋_GB2312"/>
                <w:b/>
                <w:sz w:val="32"/>
                <w:szCs w:val="32"/>
              </w:rPr>
            </w:r>
            <w:r/>
          </w:p>
          <w:p>
            <w:pPr>
              <w:jc w:val="left"/>
              <w:spacing w:line="560" w:lineRule="exact"/>
              <w:rPr>
                <w:rFonts w:ascii="仿宋_GB2312" w:hAnsi="仿宋_GB2312" w:eastAsia="仿宋_GB2312" w:cs="仿宋_GB2312"/>
                <w:b/>
                <w:sz w:val="32"/>
                <w:szCs w:val="32"/>
              </w:rPr>
            </w:pPr>
            <w:r>
              <w:rPr>
                <w:rFonts w:ascii="仿宋_GB2312" w:hAnsi="仿宋_GB2312" w:eastAsia="仿宋_GB2312" w:cs="仿宋_GB2312"/>
                <w:b/>
                <w:sz w:val="32"/>
                <w:szCs w:val="32"/>
              </w:rPr>
            </w:r>
            <w:r/>
          </w:p>
          <w:p>
            <w:pPr>
              <w:jc w:val="left"/>
              <w:spacing w:line="560" w:lineRule="exact"/>
              <w:rPr>
                <w:rFonts w:ascii="仿宋_GB2312" w:hAnsi="仿宋_GB2312" w:eastAsia="仿宋_GB2312" w:cs="仿宋_GB2312"/>
                <w:b/>
                <w:sz w:val="32"/>
                <w:szCs w:val="32"/>
              </w:rPr>
            </w:pPr>
            <w:r>
              <w:rPr>
                <w:rFonts w:ascii="仿宋_GB2312" w:hAnsi="仿宋_GB2312" w:eastAsia="仿宋_GB2312" w:cs="仿宋_GB2312"/>
                <w:b/>
                <w:sz w:val="32"/>
                <w:szCs w:val="32"/>
              </w:rPr>
            </w:r>
            <w:r/>
          </w:p>
          <w:p>
            <w:pPr>
              <w:jc w:val="left"/>
              <w:spacing w:line="560" w:lineRule="exact"/>
              <w:rPr>
                <w:rFonts w:ascii="仿宋_GB2312" w:hAnsi="仿宋_GB2312" w:eastAsia="仿宋_GB2312" w:cs="仿宋_GB2312"/>
                <w:b/>
                <w:sz w:val="32"/>
                <w:szCs w:val="32"/>
              </w:rPr>
            </w:pPr>
            <w:r>
              <w:rPr>
                <w:rFonts w:ascii="仿宋_GB2312" w:hAnsi="仿宋_GB2312" w:eastAsia="仿宋_GB2312" w:cs="仿宋_GB2312"/>
                <w:b/>
                <w:sz w:val="32"/>
                <w:szCs w:val="32"/>
              </w:rPr>
            </w:r>
            <w:r/>
          </w:p>
          <w:p>
            <w:pPr>
              <w:jc w:val="left"/>
              <w:spacing w:line="560" w:lineRule="exact"/>
              <w:rPr>
                <w:rFonts w:ascii="仿宋_GB2312" w:hAnsi="仿宋_GB2312" w:eastAsia="仿宋_GB2312" w:cs="仿宋_GB2312"/>
                <w:b/>
                <w:sz w:val="32"/>
                <w:szCs w:val="32"/>
              </w:rPr>
            </w:pPr>
            <w:r>
              <w:rPr>
                <w:rFonts w:ascii="仿宋_GB2312" w:hAnsi="仿宋_GB2312" w:eastAsia="仿宋_GB2312" w:cs="仿宋_GB2312"/>
                <w:b/>
                <w:sz w:val="32"/>
                <w:szCs w:val="32"/>
              </w:rPr>
            </w:r>
            <w:r/>
          </w:p>
          <w:p>
            <w:pPr>
              <w:jc w:val="left"/>
              <w:spacing w:line="560" w:lineRule="exact"/>
              <w:rPr>
                <w:rFonts w:ascii="仿宋_GB2312" w:hAnsi="仿宋_GB2312" w:eastAsia="仿宋_GB2312" w:cs="仿宋_GB2312"/>
                <w:b/>
                <w:sz w:val="32"/>
                <w:szCs w:val="32"/>
              </w:rPr>
            </w:pPr>
            <w:r>
              <w:rPr>
                <w:rFonts w:ascii="仿宋_GB2312" w:hAnsi="仿宋_GB2312" w:eastAsia="仿宋_GB2312" w:cs="仿宋_GB2312"/>
                <w:b/>
                <w:sz w:val="32"/>
                <w:szCs w:val="32"/>
              </w:rPr>
            </w:r>
            <w:r/>
          </w:p>
          <w:p>
            <w:pPr>
              <w:jc w:val="left"/>
              <w:spacing w:line="560" w:lineRule="exact"/>
              <w:rPr>
                <w:rFonts w:ascii="仿宋_GB2312" w:hAnsi="仿宋_GB2312" w:eastAsia="仿宋_GB2312" w:cs="仿宋_GB2312"/>
                <w:b/>
                <w:sz w:val="32"/>
                <w:szCs w:val="32"/>
              </w:rPr>
            </w:pPr>
            <w:r>
              <w:rPr>
                <w:rFonts w:ascii="仿宋_GB2312" w:hAnsi="仿宋_GB2312" w:eastAsia="仿宋_GB2312" w:cs="仿宋_GB2312"/>
                <w:b/>
                <w:sz w:val="32"/>
                <w:szCs w:val="32"/>
              </w:rPr>
            </w:r>
            <w:r/>
          </w:p>
          <w:p>
            <w:pPr>
              <w:jc w:val="left"/>
              <w:spacing w:line="560" w:lineRule="exact"/>
              <w:rPr>
                <w:rFonts w:ascii="仿宋_GB2312" w:hAnsi="仿宋_GB2312" w:eastAsia="仿宋_GB2312" w:cs="仿宋_GB2312"/>
                <w:b/>
                <w:sz w:val="32"/>
                <w:szCs w:val="32"/>
              </w:rPr>
            </w:pPr>
            <w:r>
              <w:rPr>
                <w:rFonts w:ascii="仿宋_GB2312" w:hAnsi="仿宋_GB2312" w:eastAsia="仿宋_GB2312" w:cs="仿宋_GB2312"/>
                <w:b/>
                <w:sz w:val="32"/>
                <w:szCs w:val="32"/>
              </w:rPr>
            </w:r>
            <w:r/>
          </w:p>
          <w:p>
            <w:pPr>
              <w:jc w:val="left"/>
              <w:spacing w:line="560" w:lineRule="exact"/>
              <w:rPr>
                <w:rFonts w:ascii="仿宋_GB2312" w:hAnsi="仿宋_GB2312" w:eastAsia="仿宋_GB2312" w:cs="仿宋_GB2312"/>
                <w:b/>
                <w:sz w:val="32"/>
                <w:szCs w:val="32"/>
              </w:rPr>
            </w:pPr>
            <w:r>
              <w:rPr>
                <w:rFonts w:ascii="仿宋_GB2312" w:hAnsi="仿宋_GB2312" w:eastAsia="仿宋_GB2312" w:cs="仿宋_GB2312"/>
                <w:b/>
                <w:sz w:val="32"/>
                <w:szCs w:val="32"/>
              </w:rPr>
            </w:r>
            <w:r/>
          </w:p>
          <w:p>
            <w:pPr>
              <w:jc w:val="left"/>
              <w:spacing w:line="560" w:lineRule="exact"/>
              <w:rPr>
                <w:rFonts w:ascii="仿宋_GB2312" w:hAnsi="仿宋_GB2312" w:eastAsia="仿宋_GB2312" w:cs="仿宋_GB2312"/>
                <w:b/>
                <w:sz w:val="32"/>
                <w:szCs w:val="32"/>
              </w:rPr>
            </w:pPr>
            <w:r>
              <w:rPr>
                <w:rFonts w:ascii="仿宋_GB2312" w:hAnsi="仿宋_GB2312" w:eastAsia="仿宋_GB2312" w:cs="仿宋_GB2312"/>
                <w:b/>
                <w:sz w:val="32"/>
                <w:szCs w:val="32"/>
              </w:rPr>
            </w:r>
            <w:r/>
          </w:p>
          <w:p>
            <w:pPr>
              <w:jc w:val="left"/>
              <w:spacing w:line="560" w:lineRule="exact"/>
              <w:rPr>
                <w:rFonts w:ascii="仿宋_GB2312" w:hAnsi="仿宋_GB2312" w:eastAsia="仿宋_GB2312" w:cs="仿宋_GB2312"/>
                <w:b/>
                <w:sz w:val="32"/>
                <w:szCs w:val="32"/>
              </w:rPr>
            </w:pPr>
            <w:r>
              <w:rPr>
                <w:rFonts w:ascii="仿宋_GB2312" w:hAnsi="仿宋_GB2312" w:eastAsia="仿宋_GB2312" w:cs="仿宋_GB2312"/>
                <w:b/>
                <w:sz w:val="32"/>
                <w:szCs w:val="32"/>
              </w:rPr>
            </w:r>
            <w:r/>
          </w:p>
          <w:p>
            <w:pPr>
              <w:jc w:val="left"/>
              <w:spacing w:line="560" w:lineRule="exact"/>
              <w:rPr>
                <w:rFonts w:ascii="仿宋_GB2312" w:hAnsi="仿宋_GB2312" w:eastAsia="仿宋_GB2312" w:cs="仿宋_GB2312"/>
                <w:b/>
                <w:sz w:val="32"/>
                <w:szCs w:val="32"/>
              </w:rPr>
            </w:pPr>
            <w:r>
              <w:rPr>
                <w:rFonts w:ascii="仿宋_GB2312" w:hAnsi="仿宋_GB2312" w:eastAsia="仿宋_GB2312" w:cs="仿宋_GB2312"/>
                <w:b/>
                <w:sz w:val="32"/>
                <w:szCs w:val="32"/>
              </w:rPr>
            </w:r>
            <w:r/>
          </w:p>
          <w:p>
            <w:pPr>
              <w:jc w:val="left"/>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r/>
          </w:p>
        </w:tc>
      </w:tr>
    </w:tbl>
    <w:p>
      <w:pPr>
        <w:ind w:left="4830"/>
        <w:jc w:val="left"/>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3520"/>
        <w:jc w:val="left"/>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供应商名称（电子签章）：</w:t>
      </w:r>
      <w:r/>
    </w:p>
    <w:p>
      <w:pPr>
        <w:ind w:firstLine="640"/>
        <w:jc w:val="left"/>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法定代表人（</w:t>
      </w:r>
      <w:r>
        <w:rPr>
          <w:rFonts w:hint="eastAsia" w:ascii="仿宋_GB2312" w:hAnsi="仿宋_GB2312" w:eastAsia="仿宋_GB2312" w:cs="仿宋_GB2312"/>
          <w:sz w:val="32"/>
          <w:szCs w:val="32"/>
          <w:lang w:val="zh-CN"/>
        </w:rPr>
        <w:t xml:space="preserve">负责人</w:t>
      </w:r>
      <w:r>
        <w:rPr>
          <w:rFonts w:hint="eastAsia" w:ascii="仿宋_GB2312" w:hAnsi="仿宋_GB2312" w:eastAsia="仿宋_GB2312" w:cs="仿宋_GB2312"/>
          <w:sz w:val="32"/>
          <w:szCs w:val="32"/>
        </w:rPr>
        <w:t xml:space="preserve">）或代理人（电子签章）：</w:t>
      </w:r>
      <w:r/>
    </w:p>
    <w:p>
      <w:pPr>
        <w:ind w:firstLine="3520"/>
        <w:jc w:val="left"/>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日期:    年  月  日</w:t>
      </w:r>
      <w:r/>
    </w:p>
    <w:p>
      <w:pPr>
        <w:jc w:val="left"/>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br w:type="page" w:clear="all"/>
      </w:r>
      <w:r/>
    </w:p>
    <w:p>
      <w:pPr>
        <w:jc w:val="left"/>
        <w:spacing w:line="560" w:lineRule="exact"/>
        <w:rPr>
          <w:rFonts w:ascii="仿宋_GB2312" w:hAnsi="仿宋_GB2312" w:eastAsia="仿宋_GB2312" w:cs="仿宋_GB2312"/>
          <w:b/>
          <w:sz w:val="32"/>
          <w:szCs w:val="32"/>
        </w:rPr>
        <w:outlineLvl w:val="0"/>
      </w:pPr>
      <w:r/>
      <w:bookmarkStart w:id="64" w:name="_Toc105397789"/>
      <w:r/>
      <w:bookmarkStart w:id="65" w:name="_Toc233201697"/>
      <w:r>
        <w:rPr>
          <w:rFonts w:hint="eastAsia" w:ascii="仿宋_GB2312" w:hAnsi="仿宋_GB2312" w:eastAsia="仿宋_GB2312" w:cs="仿宋_GB2312"/>
          <w:b/>
          <w:sz w:val="32"/>
          <w:szCs w:val="32"/>
        </w:rPr>
        <w:t xml:space="preserve">附件10  关于资格文件的声明函</w:t>
      </w:r>
      <w:bookmarkEnd w:id="64"/>
      <w:r/>
      <w:bookmarkEnd w:id="65"/>
      <w:r/>
      <w:r/>
    </w:p>
    <w:p>
      <w:pPr>
        <w:ind w:firstLine="420"/>
        <w:jc w:val="center"/>
        <w:spacing w:line="560" w:lineRule="exact"/>
        <w:rPr>
          <w:rFonts w:ascii="仿宋_GB2312" w:hAnsi="仿宋_GB2312" w:eastAsia="仿宋_GB2312" w:cs="仿宋_GB2312"/>
          <w:b/>
          <w:sz w:val="32"/>
          <w:szCs w:val="32"/>
        </w:rPr>
      </w:pPr>
      <w:r>
        <w:rPr>
          <w:rFonts w:ascii="仿宋_GB2312" w:hAnsi="仿宋_GB2312" w:eastAsia="仿宋_GB2312" w:cs="仿宋_GB2312"/>
          <w:b/>
          <w:sz w:val="32"/>
          <w:szCs w:val="32"/>
        </w:rPr>
      </w:r>
      <w:r/>
    </w:p>
    <w:p>
      <w:pPr>
        <w:jc w:val="center"/>
        <w:spacing w:line="560" w:lineRule="exact"/>
        <w:rPr>
          <w:rFonts w:ascii="仿宋_GB2312" w:hAnsi="仿宋_GB2312" w:eastAsia="仿宋_GB2312" w:cs="仿宋_GB2312"/>
          <w:b/>
          <w:sz w:val="32"/>
          <w:szCs w:val="32"/>
        </w:rPr>
      </w:pPr>
      <w:r>
        <w:rPr>
          <w:rFonts w:hint="eastAsia" w:ascii="仿宋_GB2312" w:hAnsi="仿宋_GB2312" w:eastAsia="仿宋_GB2312" w:cs="仿宋_GB2312"/>
          <w:b/>
          <w:sz w:val="32"/>
          <w:szCs w:val="32"/>
        </w:rPr>
        <w:t xml:space="preserve">关于资格文件的声明函</w:t>
      </w:r>
      <w:r/>
    </w:p>
    <w:p>
      <w:pPr>
        <w:ind w:firstLine="420"/>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p>
      <w:pPr>
        <w:jc w:val="left"/>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u w:val="single"/>
        </w:rPr>
        <w:t xml:space="preserve">苏州市政府集中采购中心</w:t>
      </w:r>
      <w:r>
        <w:rPr>
          <w:rFonts w:hint="eastAsia" w:ascii="仿宋_GB2312" w:hAnsi="仿宋_GB2312" w:eastAsia="仿宋_GB2312" w:cs="仿宋_GB2312"/>
          <w:sz w:val="32"/>
          <w:szCs w:val="32"/>
        </w:rPr>
        <w:t xml:space="preserve">：</w:t>
      </w:r>
      <w:r/>
    </w:p>
    <w:p>
      <w:pPr>
        <w:ind w:firstLine="640"/>
        <w:jc w:val="left"/>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本公司愿就由贵中心组织实施的编号为</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 xml:space="preserve">号（项目编号）的招标活动进行投标。本公司所提交的投标文件中所有关于投标资格的文件、证明和陈述均是真实的、准确的。若与真实情况不符，本公司愿意承担由此而产生的一切后果。</w:t>
      </w:r>
      <w:r/>
    </w:p>
    <w:p>
      <w:pPr>
        <w:ind w:firstLine="420"/>
        <w:jc w:val="left"/>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420"/>
        <w:jc w:val="left"/>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p>
      <w:pPr>
        <w:jc w:val="left"/>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3200"/>
        <w:jc w:val="left"/>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供应商名称（电子签章）：</w:t>
      </w:r>
      <w:r/>
    </w:p>
    <w:p>
      <w:pPr>
        <w:ind w:firstLine="320"/>
        <w:jc w:val="left"/>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法定代表人（</w:t>
      </w:r>
      <w:r>
        <w:rPr>
          <w:rFonts w:hint="eastAsia" w:ascii="仿宋_GB2312" w:hAnsi="仿宋_GB2312" w:eastAsia="仿宋_GB2312" w:cs="仿宋_GB2312"/>
          <w:sz w:val="32"/>
          <w:szCs w:val="32"/>
          <w:lang w:val="zh-CN"/>
        </w:rPr>
        <w:t xml:space="preserve">负责人</w:t>
      </w:r>
      <w:r>
        <w:rPr>
          <w:rFonts w:hint="eastAsia" w:ascii="仿宋_GB2312" w:hAnsi="仿宋_GB2312" w:eastAsia="仿宋_GB2312" w:cs="仿宋_GB2312"/>
          <w:sz w:val="32"/>
          <w:szCs w:val="32"/>
        </w:rPr>
        <w:t xml:space="preserve">）或代理人（电子签章）：</w:t>
      </w:r>
      <w:r/>
    </w:p>
    <w:p>
      <w:pPr>
        <w:ind w:firstLine="3200"/>
        <w:jc w:val="left"/>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日期:    年  月  日</w:t>
      </w:r>
      <w:r/>
    </w:p>
    <w:p>
      <w:pP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p>
      <w:pPr>
        <w:pStyle w:val="944"/>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p>
      <w:pPr>
        <w:pStyle w:val="945"/>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p>
      <w:pPr>
        <w:spacing w:line="560" w:lineRule="exact"/>
        <w:rPr>
          <w:rFonts w:ascii="仿宋_GB2312" w:hAnsi="仿宋_GB2312" w:eastAsia="仿宋_GB2312" w:cs="仿宋_GB2312"/>
          <w:b/>
          <w:sz w:val="32"/>
          <w:szCs w:val="32"/>
          <w:lang w:val="zh-CN"/>
        </w:rPr>
        <w:outlineLvl w:val="1"/>
      </w:pPr>
      <w:r>
        <w:rPr>
          <w:rFonts w:ascii="仿宋_GB2312" w:hAnsi="仿宋_GB2312" w:eastAsia="仿宋_GB2312" w:cs="仿宋_GB2312"/>
          <w:b/>
          <w:sz w:val="32"/>
          <w:szCs w:val="32"/>
          <w:lang w:val="zh-CN"/>
        </w:rPr>
      </w:r>
      <w:r/>
    </w:p>
    <w:p>
      <w:pPr>
        <w:spacing w:line="560" w:lineRule="exact"/>
        <w:rPr>
          <w:rFonts w:ascii="仿宋_GB2312" w:hAnsi="仿宋_GB2312" w:eastAsia="仿宋_GB2312" w:cs="仿宋_GB2312"/>
          <w:sz w:val="32"/>
          <w:szCs w:val="32"/>
          <w:lang w:val="zh-CN"/>
        </w:rPr>
      </w:pPr>
      <w:r>
        <w:rPr>
          <w:rFonts w:hint="eastAsia" w:ascii="仿宋_GB2312" w:hAnsi="仿宋_GB2312" w:eastAsia="仿宋_GB2312" w:cs="仿宋_GB2312"/>
          <w:sz w:val="32"/>
          <w:szCs w:val="32"/>
        </w:rPr>
        <w:br w:type="page" w:clear="all"/>
      </w:r>
      <w:r/>
    </w:p>
    <w:p>
      <w:pPr>
        <w:jc w:val="center"/>
        <w:pageBreakBefore/>
        <w:spacing w:line="560" w:lineRule="exact"/>
        <w:rPr>
          <w:rFonts w:ascii="黑体" w:hAnsi="黑体" w:eastAsia="黑体" w:cs="黑体"/>
          <w:bCs/>
          <w:sz w:val="32"/>
          <w:szCs w:val="32"/>
        </w:rPr>
        <w:outlineLvl w:val="0"/>
      </w:pPr>
      <w:r/>
      <w:bookmarkStart w:id="66" w:name="_Toc74050522"/>
      <w:r/>
      <w:bookmarkStart w:id="67" w:name="_Toc13642115"/>
      <w:r/>
      <w:bookmarkStart w:id="68" w:name="_Toc41641138"/>
      <w:r/>
      <w:bookmarkStart w:id="69" w:name="_Toc16752"/>
      <w:r/>
      <w:bookmarkStart w:id="70" w:name="_Toc65593821"/>
      <w:r/>
      <w:bookmarkStart w:id="71" w:name="_Toc212815975"/>
      <w:r>
        <w:rPr>
          <w:rFonts w:hint="eastAsia" w:ascii="黑体" w:hAnsi="黑体" w:eastAsia="黑体" w:cs="黑体"/>
          <w:bCs/>
          <w:sz w:val="32"/>
          <w:szCs w:val="32"/>
        </w:rPr>
        <w:t xml:space="preserve">第四章 </w:t>
      </w:r>
      <w:bookmarkStart w:id="72" w:name="_Toc13543212"/>
      <w:r/>
      <w:bookmarkEnd w:id="66"/>
      <w:r/>
      <w:bookmarkEnd w:id="67"/>
      <w:r/>
      <w:bookmarkEnd w:id="68"/>
      <w:r/>
      <w:bookmarkEnd w:id="69"/>
      <w:r/>
      <w:bookmarkEnd w:id="70"/>
      <w:r>
        <w:rPr>
          <w:rFonts w:hint="eastAsia" w:ascii="黑体" w:hAnsi="黑体" w:eastAsia="黑体" w:cs="黑体"/>
          <w:bCs/>
          <w:sz w:val="32"/>
          <w:szCs w:val="32"/>
        </w:rPr>
        <w:t xml:space="preserve">采购需求</w:t>
      </w:r>
      <w:bookmarkEnd w:id="71"/>
      <w:r/>
      <w:bookmarkEnd w:id="72"/>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u w:val="single"/>
        </w:rPr>
        <w:t xml:space="preserve">苏州市财政局</w:t>
      </w:r>
      <w:r>
        <w:rPr>
          <w:rFonts w:hint="eastAsia" w:ascii="仿宋_GB2312" w:hAnsi="仿宋_GB2312" w:eastAsia="仿宋_GB2312" w:cs="仿宋_GB2312"/>
          <w:sz w:val="32"/>
          <w:szCs w:val="32"/>
        </w:rPr>
        <w:t xml:space="preserve">就</w:t>
      </w:r>
      <w:r>
        <w:rPr>
          <w:rFonts w:hint="eastAsia" w:ascii="仿宋_GB2312" w:hAnsi="仿宋_GB2312" w:eastAsia="仿宋_GB2312" w:cs="仿宋_GB2312"/>
          <w:sz w:val="32"/>
          <w:szCs w:val="32"/>
          <w:u w:val="single"/>
        </w:rPr>
        <w:t xml:space="preserve"> 苏州市政策性农业保险承保机构遴选</w:t>
      </w:r>
      <w:r>
        <w:rPr>
          <w:rFonts w:hint="eastAsia" w:ascii="仿宋_GB2312" w:hAnsi="仿宋_GB2312" w:eastAsia="仿宋_GB2312" w:cs="仿宋_GB2312"/>
          <w:sz w:val="32"/>
          <w:szCs w:val="32"/>
        </w:rPr>
        <w:t xml:space="preserve">项目</w:t>
      </w:r>
      <w:r>
        <w:rPr>
          <w:rFonts w:hint="eastAsia" w:ascii="仿宋_GB2312" w:hAnsi="仿宋_GB2312" w:eastAsia="仿宋_GB2312" w:cs="仿宋_GB2312"/>
          <w:sz w:val="32"/>
          <w:szCs w:val="32"/>
        </w:rPr>
        <w:t xml:space="preserve">采用框架协议方式进行采购，现欢迎符合相关条件的供应商参加本次征集活动。</w:t>
      </w:r>
      <w:r/>
    </w:p>
    <w:p>
      <w:pPr>
        <w:ind w:firstLine="640"/>
        <w:spacing w:line="560" w:lineRule="exact"/>
        <w:widowControl/>
        <w:rPr>
          <w:rFonts w:ascii="楷体_GB2312" w:hAnsi="楷体_GB2312" w:eastAsia="楷体_GB2312" w:cs="楷体_GB2312"/>
          <w:bCs/>
          <w:sz w:val="32"/>
          <w:szCs w:val="32"/>
        </w:rPr>
      </w:pPr>
      <w:r/>
      <w:bookmarkStart w:id="73" w:name="_Toc13642116"/>
      <w:r>
        <w:rPr>
          <w:rFonts w:hint="eastAsia" w:ascii="楷体_GB2312" w:hAnsi="楷体_GB2312" w:eastAsia="楷体_GB2312" w:cs="楷体_GB2312"/>
          <w:bCs/>
          <w:sz w:val="32"/>
          <w:szCs w:val="32"/>
        </w:rPr>
        <w:t xml:space="preserve">一、项目编号：</w:t>
      </w:r>
      <w:r>
        <w:rPr>
          <w:rFonts w:ascii="楷体_GB2312" w:hAnsi="楷体_GB2312" w:eastAsia="楷体_GB2312" w:cs="楷体_GB2312"/>
          <w:bCs/>
          <w:sz w:val="32"/>
          <w:szCs w:val="32"/>
        </w:rPr>
        <w:t xml:space="preserve">JSZC-320500-JZCG-K2026-0239</w:t>
      </w:r>
      <w:r/>
    </w:p>
    <w:p>
      <w:pPr>
        <w:ind w:firstLine="640"/>
        <w:spacing w:line="560" w:lineRule="exact"/>
        <w:widowControl/>
        <w:rPr>
          <w:rFonts w:ascii="仿宋_GB2312" w:hAnsi="仿宋_GB2312" w:eastAsia="仿宋_GB2312" w:cs="仿宋_GB2312"/>
          <w:sz w:val="32"/>
          <w:szCs w:val="32"/>
        </w:rPr>
      </w:pPr>
      <w:r>
        <w:rPr>
          <w:rFonts w:hint="eastAsia" w:ascii="楷体_GB2312" w:hAnsi="楷体_GB2312" w:eastAsia="楷体_GB2312" w:cs="楷体_GB2312"/>
          <w:bCs/>
          <w:sz w:val="32"/>
          <w:szCs w:val="32"/>
        </w:rPr>
        <w:t xml:space="preserve">二、项目名称：</w:t>
      </w:r>
      <w:r>
        <w:rPr>
          <w:rFonts w:hint="eastAsia" w:ascii="仿宋_GB2312" w:hAnsi="仿宋_GB2312" w:eastAsia="仿宋_GB2312" w:cs="仿宋_GB2312"/>
          <w:sz w:val="32"/>
          <w:szCs w:val="32"/>
        </w:rPr>
        <w:t xml:space="preserve">苏州市政策性农业保险承保机构遴选</w:t>
      </w:r>
      <w:r/>
    </w:p>
    <w:p>
      <w:pPr>
        <w:ind w:firstLine="640"/>
        <w:spacing w:line="560" w:lineRule="exact"/>
        <w:widowControl/>
        <w:rPr>
          <w:rFonts w:ascii="仿宋_GB2312" w:hAnsi="仿宋_GB2312" w:eastAsia="仿宋_GB2312" w:cs="仿宋_GB2312"/>
          <w:b/>
          <w:sz w:val="32"/>
          <w:szCs w:val="32"/>
        </w:rPr>
      </w:pPr>
      <w:r>
        <w:rPr>
          <w:rFonts w:hint="eastAsia" w:ascii="楷体_GB2312" w:hAnsi="楷体_GB2312" w:eastAsia="楷体_GB2312" w:cs="楷体_GB2312"/>
          <w:bCs/>
          <w:sz w:val="32"/>
          <w:szCs w:val="32"/>
        </w:rPr>
        <w:t xml:space="preserve">三、预算金额：</w:t>
      </w:r>
      <w:r>
        <w:rPr>
          <w:rFonts w:hint="eastAsia" w:ascii="仿宋_GB2312" w:hAnsi="仿宋_GB2312" w:eastAsia="仿宋_GB2312" w:cs="仿宋_GB2312"/>
          <w:sz w:val="32"/>
          <w:szCs w:val="32"/>
        </w:rPr>
        <w:t xml:space="preserve">人民币壹元整（¥1.00）</w:t>
      </w:r>
      <w:r/>
    </w:p>
    <w:p>
      <w:pPr>
        <w:ind w:firstLine="641"/>
        <w:spacing w:line="560" w:lineRule="exact"/>
        <w:tabs>
          <w:tab w:val="left" w:pos="420" w:leader="none"/>
        </w:tabs>
        <w:rPr>
          <w:rFonts w:ascii="仿宋_GB2312" w:hAnsi="仿宋_GB2312" w:eastAsia="仿宋_GB2312" w:cs="仿宋_GB2312"/>
          <w:b/>
          <w:sz w:val="32"/>
          <w:szCs w:val="32"/>
        </w:rPr>
      </w:pPr>
      <w:r>
        <w:rPr>
          <w:rFonts w:hint="eastAsia" w:ascii="仿宋_GB2312" w:hAnsi="仿宋_GB2312" w:eastAsia="仿宋_GB2312" w:cs="仿宋_GB2312"/>
          <w:b/>
          <w:sz w:val="32"/>
          <w:szCs w:val="32"/>
          <w:lang w:val="zh-CN"/>
        </w:rPr>
        <w:t xml:space="preserve">由于政策性农业保险执行省市统一的保险条款、费率、保险金额</w:t>
      </w:r>
      <w:r>
        <w:rPr>
          <w:rFonts w:hint="eastAsia" w:ascii="仿宋_GB2312" w:hAnsi="仿宋_GB2312" w:eastAsia="仿宋_GB2312" w:cs="仿宋_GB2312"/>
          <w:b/>
          <w:sz w:val="32"/>
          <w:szCs w:val="32"/>
        </w:rPr>
        <w:t xml:space="preserve">，开标一览表中统一填报价格为</w:t>
      </w:r>
      <w:r>
        <w:rPr>
          <w:rFonts w:hint="eastAsia" w:ascii="仿宋_GB2312" w:hAnsi="仿宋_GB2312" w:eastAsia="仿宋_GB2312" w:cs="仿宋_GB2312"/>
          <w:b/>
          <w:sz w:val="32"/>
          <w:szCs w:val="32"/>
        </w:rPr>
        <w:t xml:space="preserve">预算</w:t>
      </w:r>
      <w:r>
        <w:rPr>
          <w:rFonts w:hint="eastAsia" w:ascii="仿宋_GB2312" w:hAnsi="仿宋_GB2312" w:eastAsia="仿宋_GB2312" w:cs="仿宋_GB2312"/>
          <w:b/>
          <w:sz w:val="32"/>
          <w:szCs w:val="32"/>
        </w:rPr>
        <w:t xml:space="preserve">金额</w:t>
      </w:r>
      <w:r>
        <w:rPr>
          <w:rFonts w:hint="eastAsia" w:ascii="仿宋_GB2312" w:hAnsi="仿宋_GB2312" w:eastAsia="仿宋_GB2312" w:cs="仿宋_GB2312"/>
          <w:b/>
          <w:sz w:val="32"/>
          <w:szCs w:val="32"/>
        </w:rPr>
        <w:t xml:space="preserve">，评分标准中不设价格评分。具体收费根据国家政策性农业保险条款费率按实际情况收取保费。</w:t>
      </w:r>
      <w:r/>
    </w:p>
    <w:p>
      <w:pPr>
        <w:ind w:firstLine="640"/>
        <w:spacing w:line="560" w:lineRule="exact"/>
        <w:widowControl/>
        <w:rPr>
          <w:rFonts w:ascii="仿宋_GB2312" w:hAnsi="仿宋_GB2312" w:eastAsia="仿宋_GB2312" w:cs="仿宋_GB2312"/>
          <w:sz w:val="32"/>
          <w:szCs w:val="32"/>
        </w:rPr>
      </w:pPr>
      <w:r>
        <w:rPr>
          <w:rFonts w:hint="eastAsia" w:ascii="楷体_GB2312" w:hAnsi="楷体_GB2312" w:eastAsia="楷体_GB2312" w:cs="楷体_GB2312"/>
          <w:bCs/>
          <w:sz w:val="32"/>
          <w:szCs w:val="32"/>
        </w:rPr>
        <w:t xml:space="preserve">四、合同履行期限：</w:t>
      </w:r>
      <w:r>
        <w:rPr>
          <w:rFonts w:hint="eastAsia" w:ascii="仿宋_GB2312" w:hAnsi="仿宋_GB2312" w:eastAsia="仿宋_GB2312" w:cs="仿宋_GB2312"/>
          <w:sz w:val="32"/>
          <w:szCs w:val="32"/>
        </w:rPr>
        <w:t xml:space="preserve">自2027年1月1日起，承保服务期限为3年，理赔服务期限至全部保险合同的保险责任终止。</w:t>
      </w:r>
      <w:r/>
    </w:p>
    <w:p>
      <w:pPr>
        <w:ind w:firstLine="640"/>
        <w:spacing w:line="560" w:lineRule="exact"/>
        <w:widowControl/>
        <w:rPr>
          <w:rFonts w:ascii="楷体_GB2312" w:hAnsi="楷体_GB2312" w:eastAsia="楷体_GB2312" w:cs="楷体_GB2312"/>
          <w:bCs/>
          <w:sz w:val="32"/>
          <w:szCs w:val="32"/>
        </w:rPr>
      </w:pPr>
      <w:r>
        <w:rPr>
          <w:rFonts w:hint="eastAsia" w:ascii="楷体_GB2312" w:hAnsi="楷体_GB2312" w:eastAsia="楷体_GB2312" w:cs="楷体_GB2312"/>
          <w:bCs/>
          <w:sz w:val="32"/>
          <w:szCs w:val="32"/>
        </w:rPr>
        <w:t xml:space="preserve">五、采购内容：</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（一）征集项目简要说明</w:t>
      </w:r>
      <w:r/>
    </w:p>
    <w:p>
      <w:pPr>
        <w:ind w:firstLine="640"/>
        <w:jc w:val="left"/>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依据《中央财政农业保险保费补贴管理办法》（财金〔2021〕130号）《财政部、农业农村部关于加强政策性农业保险承保机构遴选管理工作的通知》（财金〔2020〕128号）、《江苏省省级财政农业保险保费补贴管理办法》（苏财规〔2022〕6号）、《关于做好政策性农业保险承保机构遴选工作的通知》（苏财金〔2021〕42号）等文件要求，进一步完</w:t>
      </w:r>
      <w:r>
        <w:rPr>
          <w:rFonts w:hint="eastAsia" w:ascii="仿宋_GB2312" w:hAnsi="仿宋_GB2312" w:eastAsia="仿宋_GB2312" w:cs="仿宋_GB2312"/>
          <w:sz w:val="32"/>
          <w:szCs w:val="32"/>
        </w:rPr>
        <w:t xml:space="preserve">善政策性农业保险工作机制和发展机制，开展政策性农业保险承保机构遴选活动。</w:t>
      </w:r>
      <w:r/>
    </w:p>
    <w:p>
      <w:pPr>
        <w:ind w:firstLine="640"/>
        <w:spacing w:line="560" w:lineRule="exact"/>
        <w:tabs>
          <w:tab w:val="left" w:pos="420" w:leader="none"/>
        </w:tabs>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（二）采购需求</w:t>
      </w:r>
      <w:r/>
    </w:p>
    <w:p>
      <w:pPr>
        <w:ind w:firstLine="640"/>
        <w:jc w:val="left"/>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根据江苏省相关遴选文件规定，本次遴选活动由苏州市财政局牵头，会同苏州市农业农村局联合组织。结合遴选区域农业产业结构、保费规模、保险服务成本等实际情况，以乡镇街道为单位，将市辖区内涉农乡镇（街道）统筹划分为5个服务区域，遴选不超过5家供应商，按照农业保险政策制度的规定，在中选区域内为农民、农业生产经营组织等主体提供全流程承保、理赔及风险减量等服务。</w:t>
      </w:r>
      <w:r/>
    </w:p>
    <w:p>
      <w:pPr>
        <w:ind w:firstLine="640"/>
        <w:jc w:val="left"/>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（三）商务要求</w:t>
      </w:r>
      <w:r/>
    </w:p>
    <w:p>
      <w:pPr>
        <w:ind w:firstLine="640"/>
        <w:jc w:val="left"/>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1.履约期限：</w:t>
      </w:r>
      <w:r>
        <w:rPr>
          <w:rFonts w:hint="eastAsia" w:ascii="仿宋_GB2312" w:hAnsi="仿宋_GB2312" w:eastAsia="仿宋_GB2312" w:cs="仿宋_GB2312"/>
          <w:sz w:val="32"/>
          <w:szCs w:val="32"/>
        </w:rPr>
        <w:t xml:space="preserve">自2027年1月1日起，承保服务期限为3年，理赔服务期限至全部保险合同的保险责任终止</w:t>
      </w:r>
      <w:r>
        <w:rPr>
          <w:rFonts w:hint="eastAsia" w:ascii="仿宋_GB2312" w:hAnsi="仿宋_GB2312" w:eastAsia="仿宋_GB2312" w:cs="仿宋_GB2312"/>
          <w:sz w:val="32"/>
          <w:szCs w:val="32"/>
        </w:rPr>
        <w:t xml:space="preserve">；</w:t>
      </w:r>
      <w:r/>
    </w:p>
    <w:p>
      <w:pPr>
        <w:ind w:firstLine="640"/>
        <w:jc w:val="left"/>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2.付款方式：</w:t>
      </w:r>
      <w:r/>
    </w:p>
    <w:p>
      <w:pPr>
        <w:ind w:firstLine="420"/>
        <w:jc w:val="left"/>
        <w:spacing w:line="560" w:lineRule="exact"/>
        <w:widowControl/>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 xml:space="preserve">投保农户承担的保费由供应商负责收取。各级财政保费补贴资金由供应商按季度或根据承保工作进度向区（乡镇、街道）财政部门申请，按年度结算。</w:t>
      </w:r>
      <w:r/>
    </w:p>
    <w:p>
      <w:pPr>
        <w:ind w:firstLine="640"/>
        <w:jc w:val="left"/>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（四）其他要求（</w:t>
      </w:r>
      <w:r>
        <w:rPr>
          <w:rFonts w:hint="eastAsia" w:ascii="仿宋_GB2312" w:hAnsi="仿宋_GB2312" w:eastAsia="仿宋_GB2312" w:cs="仿宋_GB2312"/>
          <w:sz w:val="32"/>
          <w:szCs w:val="32"/>
          <w:shd w:val="clear" w:color="auto" w:fill="ffffff"/>
        </w:rPr>
        <w:t xml:space="preserve">服务保障要求</w:t>
      </w:r>
      <w:r>
        <w:rPr>
          <w:rFonts w:hint="eastAsia" w:ascii="仿宋_GB2312" w:hAnsi="仿宋_GB2312" w:eastAsia="仿宋_GB2312" w:cs="仿宋_GB2312"/>
          <w:sz w:val="32"/>
          <w:szCs w:val="32"/>
        </w:rPr>
        <w:t xml:space="preserve">）</w:t>
      </w:r>
      <w:r/>
    </w:p>
    <w:p>
      <w:pPr>
        <w:pStyle w:val="973"/>
        <w:ind w:firstLine="640"/>
        <w:spacing w:line="560" w:lineRule="exact"/>
        <w:rPr>
          <w:rFonts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 xml:space="preserve">供应商应拥有健全的基层服务网络，具备开展承保、理赔服务所需的设备与专业技术能力，能够深入农户开展农业保险政策的宣传、推动、承保、查勘定损、无害化处理、理赔及风险减量工作。</w:t>
      </w:r>
      <w:r/>
    </w:p>
    <w:p>
      <w:pPr>
        <w:ind w:firstLine="640"/>
        <w:spacing w:line="560" w:lineRule="exact"/>
        <w:tabs>
          <w:tab w:val="left" w:pos="0" w:leader="none"/>
        </w:tabs>
        <w:rPr>
          <w:rFonts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 xml:space="preserve">1.区级服务机构设置农业保险责任部门，配置专门人员，落实展业、核保、出单、查勘、核赔、定损、财务、统计、档案等具体工作，专门人员的业务素质与数量需充分满足服务工作要求。</w:t>
      </w:r>
      <w:r/>
    </w:p>
    <w:p>
      <w:pPr>
        <w:ind w:firstLine="640"/>
        <w:spacing w:line="560" w:lineRule="exact"/>
        <w:rPr>
          <w:rFonts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 xml:space="preserve">2.建设乡镇服务网点，安排专兼职服务人员，深入农村为农户提供涵盖风险预警、风险管控、救灾减损、恢复生产等内容的农业风险减量服务，保障农业高质量发展。</w:t>
      </w:r>
      <w:r/>
    </w:p>
    <w:p>
      <w:pPr>
        <w:ind w:firstLine="640"/>
        <w:spacing w:line="560" w:lineRule="exact"/>
        <w:tabs>
          <w:tab w:val="left" w:pos="0" w:leader="none"/>
        </w:tabs>
        <w:rPr>
          <w:rFonts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 xml:space="preserve">3.主动与基层组织沟通，选聘必要的保险协办人员（协保员），协办人员（协保员）信息书面报监管部门备案。</w:t>
      </w:r>
      <w:r/>
    </w:p>
    <w:p>
      <w:pPr>
        <w:pStyle w:val="973"/>
        <w:ind w:firstLine="640"/>
        <w:spacing w:line="560" w:lineRule="exact"/>
        <w:rPr>
          <w:rFonts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 xml:space="preserve">4.及时完成相关人员培训工作，专业人员的业务素质与数量需充分满足本项目相关条件及服务要求。</w:t>
      </w:r>
      <w:r/>
    </w:p>
    <w:p>
      <w:pPr>
        <w:ind w:firstLine="640"/>
        <w:jc w:val="left"/>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shd w:val="clear" w:color="auto" w:fill="ffffff"/>
        </w:rPr>
        <w:t xml:space="preserve">5.推进农业保险业务线上化、数字化和智能化，利用微信小程序、农险 APP，鼓励农户线上投保、线上报案，探索验标、查勘定损、支付赔款、存档、监管等全流程线上化。</w:t>
      </w:r>
      <w:r/>
    </w:p>
    <w:p>
      <w:pPr>
        <w:ind w:firstLine="640"/>
        <w:jc w:val="left"/>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（五）履约验收基本要求</w:t>
      </w:r>
      <w:r/>
    </w:p>
    <w:p>
      <w:pPr>
        <w:ind w:firstLine="640"/>
        <w:jc w:val="left"/>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采购人（征集人）将根据《江苏省财政厅关于印发&lt;江苏省政府采购履约验收管理办法&gt;的通知》（苏财规〔2024〕7号）相关要求，制定苏州市政策性农业保险承保机构履约服务评价办法，组织项目履约验收基本工作。</w:t>
      </w:r>
      <w:r/>
    </w:p>
    <w:p>
      <w:pPr>
        <w:ind w:firstLine="640"/>
        <w:jc w:val="left"/>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2.征集文件、响应文件、框架协议、合同等是履约验收工作的重要依据。在政府采购合同约定的履行验收条件达到时，中标单位可以主动联系采购人启动履约验收工作。</w:t>
      </w:r>
      <w:r/>
    </w:p>
    <w:p>
      <w:pPr>
        <w:ind w:firstLine="640"/>
        <w:jc w:val="left"/>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3.采购人在组织履约验收前，将根据项目特点制定验收方案，明确履约验收的时间、方式、程序等内容。中标单位应根据验收方案内容做好相应配合工作。</w:t>
      </w:r>
      <w:r/>
    </w:p>
    <w:p>
      <w:pPr>
        <w:ind w:firstLine="640"/>
        <w:jc w:val="left"/>
        <w:spacing w:line="560" w:lineRule="exact"/>
        <w:widowControl/>
        <w:rPr>
          <w:rFonts w:ascii="仿宋_GB2312" w:hAnsi="仿宋_GB2312" w:eastAsia="仿宋_GB2312" w:cs="仿宋_GB2312"/>
          <w:b/>
          <w:sz w:val="32"/>
          <w:szCs w:val="32"/>
        </w:rPr>
      </w:pPr>
      <w:r>
        <w:rPr>
          <w:rFonts w:hint="eastAsia" w:ascii="仿宋_GB2312" w:hAnsi="仿宋_GB2312" w:eastAsia="仿宋_GB2312" w:cs="仿宋_GB2312"/>
          <w:sz w:val="32"/>
          <w:szCs w:val="32"/>
        </w:rPr>
        <w:t xml:space="preserve">4.采购人（征集人）将按照验收标准要求组织验收，验收内容和标准至少包括服务质量、用户满意度、服务过程文档资料、数据准确性等内容。</w:t>
      </w:r>
      <w:r/>
    </w:p>
    <w:p>
      <w:pPr>
        <w:ind w:firstLine="640"/>
        <w:spacing w:line="560" w:lineRule="exact"/>
        <w:widowControl/>
        <w:rPr>
          <w:rFonts w:ascii="楷体_GB2312" w:hAnsi="楷体_GB2312" w:eastAsia="楷体_GB2312" w:cs="楷体_GB2312"/>
          <w:bCs/>
          <w:sz w:val="32"/>
          <w:szCs w:val="32"/>
        </w:rPr>
      </w:pPr>
      <w:r>
        <w:rPr>
          <w:rFonts w:hint="eastAsia" w:ascii="楷体_GB2312" w:hAnsi="楷体_GB2312" w:eastAsia="楷体_GB2312" w:cs="楷体_GB2312"/>
          <w:bCs/>
          <w:sz w:val="32"/>
          <w:szCs w:val="32"/>
        </w:rPr>
        <w:t xml:space="preserve">六、政府采购政策</w:t>
      </w:r>
      <w:r/>
    </w:p>
    <w:p>
      <w:pPr>
        <w:ind w:firstLine="640"/>
        <w:spacing w:line="560" w:lineRule="exact"/>
        <w:tabs>
          <w:tab w:val="left" w:pos="567" w:leader="none"/>
        </w:tabs>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1.小、微企业</w:t>
      </w:r>
      <w:r/>
    </w:p>
    <w:p>
      <w:pPr>
        <w:ind w:firstLine="640"/>
        <w:spacing w:line="560" w:lineRule="exact"/>
        <w:tabs>
          <w:tab w:val="left" w:pos="567" w:leader="none"/>
        </w:tabs>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仿宋_GB2312" w:hAnsi="仿宋_GB2312" w:eastAsia="仿宋_GB2312" w:cs="仿宋_GB2312"/>
          <w:b/>
          <w:sz w:val="32"/>
          <w:szCs w:val="32"/>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640"/>
        <w:spacing w:line="560" w:lineRule="exact"/>
        <w:tabs>
          <w:tab w:val="left" w:pos="567" w:leader="none"/>
        </w:tabs>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w:t>
      </w:r>
      <w:r>
        <w:rPr>
          <w:rFonts w:hint="eastAsia" w:ascii="仿宋_GB2312" w:hAnsi="仿宋_GB2312" w:eastAsia="仿宋_GB2312" w:cs="仿宋_GB2312"/>
          <w:sz w:val="32"/>
          <w:szCs w:val="32"/>
        </w:rPr>
        <w:t xml:space="preserve">同的从业人员。</w:t>
      </w:r>
      <w:r>
        <w:rPr>
          <w:rFonts w:hint="eastAsia" w:ascii="仿宋_GB2312" w:hAnsi="仿宋_GB2312" w:eastAsia="仿宋_GB2312" w:cs="仿宋_GB2312"/>
          <w:b/>
          <w:sz w:val="32"/>
          <w:szCs w:val="32"/>
        </w:rPr>
        <w:t xml:space="preserve">服务类项目中供应商若使用退休人员，将不享受相关扶持政策。</w:t>
      </w:r>
      <w:r/>
    </w:p>
    <w:p>
      <w:pPr>
        <w:ind w:firstLine="641"/>
        <w:spacing w:line="560" w:lineRule="exact"/>
        <w:tabs>
          <w:tab w:val="left" w:pos="567" w:leader="none"/>
        </w:tabs>
        <w:rPr>
          <w:rFonts w:ascii="仿宋_GB2312" w:hAnsi="仿宋_GB2312" w:eastAsia="仿宋_GB2312" w:cs="仿宋_GB2312"/>
          <w:sz w:val="32"/>
          <w:szCs w:val="32"/>
        </w:rPr>
      </w:pPr>
      <w:r>
        <w:rPr>
          <w:rFonts w:hint="eastAsia" w:ascii="仿宋_GB2312" w:hAnsi="仿宋_GB2312" w:eastAsia="仿宋_GB2312" w:cs="仿宋_GB2312"/>
          <w:b/>
          <w:bCs/>
          <w:sz w:val="32"/>
          <w:szCs w:val="32"/>
        </w:rPr>
        <w:t xml:space="preserve">根据《政府采购促进中小企业发展管理办法》（财库〔2020〕46号）及《中小企业划型标准规定》（工信部联企业〔2011〕300号），本采购项目对应的中小企业划分标准所属行业为：</w:t>
      </w:r>
      <w:r>
        <w:rPr>
          <w:rFonts w:hint="eastAsia" w:ascii="仿宋_GB2312" w:hAnsi="仿宋_GB2312" w:eastAsia="仿宋_GB2312" w:cs="仿宋_GB2312"/>
          <w:b/>
          <w:bCs/>
          <w:sz w:val="32"/>
          <w:szCs w:val="32"/>
        </w:rPr>
        <w:t xml:space="preserve">租赁和商务服务业</w:t>
      </w:r>
      <w:r>
        <w:rPr>
          <w:rFonts w:hint="eastAsia" w:ascii="仿宋_GB2312" w:hAnsi="仿宋_GB2312" w:eastAsia="仿宋_GB2312" w:cs="仿宋_GB2312"/>
          <w:b/>
          <w:bCs/>
          <w:sz w:val="32"/>
          <w:szCs w:val="32"/>
        </w:rPr>
        <w:t xml:space="preserve">。</w:t>
      </w:r>
      <w:r/>
    </w:p>
    <w:p>
      <w:pPr>
        <w:ind w:firstLine="640"/>
        <w:spacing w:line="560" w:lineRule="exact"/>
        <w:tabs>
          <w:tab w:val="left" w:pos="567" w:leader="none"/>
        </w:tabs>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2.残疾人福利性单位</w:t>
      </w:r>
      <w:r/>
    </w:p>
    <w:p>
      <w:pPr>
        <w:ind w:firstLine="640"/>
        <w:spacing w:line="560" w:lineRule="exact"/>
        <w:tabs>
          <w:tab w:val="left" w:pos="567" w:leader="none"/>
        </w:tabs>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640"/>
        <w:spacing w:line="560" w:lineRule="exact"/>
        <w:tabs>
          <w:tab w:val="left" w:pos="567" w:leader="none"/>
        </w:tabs>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3.监狱企业</w:t>
      </w:r>
      <w:r/>
    </w:p>
    <w:p>
      <w:pPr>
        <w:ind w:firstLine="640"/>
        <w:spacing w:line="560" w:lineRule="exact"/>
        <w:tabs>
          <w:tab w:val="left" w:pos="567" w:leader="none"/>
        </w:tabs>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640"/>
        <w:spacing w:line="560" w:lineRule="exact"/>
        <w:tabs>
          <w:tab w:val="left" w:pos="567" w:leader="none"/>
        </w:tabs>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4.绿色采购</w:t>
      </w:r>
      <w:r/>
    </w:p>
    <w:p>
      <w:pPr>
        <w:ind w:firstLine="640"/>
        <w:spacing w:line="560" w:lineRule="exact"/>
        <w:tabs>
          <w:tab w:val="left" w:pos="567" w:leader="none"/>
        </w:tabs>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（1）根据《关于调整优化节能产品、环境标志产品政府采购执行机制的通知》（财库〔2019〕9号）等相关文件的规定，</w:t>
      </w:r>
      <w:r>
        <w:rPr>
          <w:rFonts w:hint="eastAsia" w:ascii="仿宋_GB2312" w:hAnsi="仿宋_GB2312" w:eastAsia="仿宋_GB2312" w:cs="仿宋_GB2312"/>
          <w:b/>
          <w:sz w:val="32"/>
          <w:szCs w:val="32"/>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firstLine="640"/>
        <w:spacing w:line="560" w:lineRule="exact"/>
        <w:tabs>
          <w:tab w:val="left" w:pos="567" w:leader="none"/>
        </w:tabs>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640"/>
        <w:spacing w:line="560" w:lineRule="exact"/>
        <w:tabs>
          <w:tab w:val="left" w:pos="567" w:leader="none"/>
        </w:tabs>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640"/>
        <w:spacing w:line="560" w:lineRule="exact"/>
        <w:widowControl/>
        <w:rPr>
          <w:rFonts w:ascii="楷体_GB2312" w:hAnsi="楷体_GB2312" w:eastAsia="楷体_GB2312" w:cs="楷体_GB2312"/>
          <w:bCs/>
          <w:sz w:val="32"/>
          <w:szCs w:val="32"/>
        </w:rPr>
      </w:pPr>
      <w:r>
        <w:rPr>
          <w:rFonts w:hint="eastAsia" w:ascii="楷体_GB2312" w:hAnsi="楷体_GB2312" w:eastAsia="楷体_GB2312" w:cs="楷体_GB2312"/>
          <w:bCs/>
          <w:sz w:val="32"/>
          <w:szCs w:val="32"/>
        </w:rPr>
        <w:t xml:space="preserve">七、关于对参与供应商信用记录的政府采购要求</w:t>
      </w:r>
      <w:r/>
    </w:p>
    <w:p>
      <w:pPr>
        <w:ind w:firstLine="640"/>
        <w:spacing w:line="560" w:lineRule="exact"/>
        <w:tabs>
          <w:tab w:val="left" w:pos="420" w:leader="none"/>
        </w:tabs>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1.采购代理机构会在接收响应文件截止时间后，登录信用中</w:t>
      </w:r>
      <w:r>
        <w:rPr>
          <w:rFonts w:hint="eastAsia" w:ascii="仿宋_GB2312" w:hAnsi="仿宋_GB2312" w:eastAsia="仿宋_GB2312" w:cs="仿宋_GB2312"/>
          <w:sz w:val="32"/>
          <w:szCs w:val="32"/>
        </w:rPr>
        <w:t xml:space="preserve">国网站（www.creditchina.gov.cn/）和中国政府采购网（www.ccgp.gov.cn/）查询供应商的信用记录，并将查询结果递交评审小组。</w:t>
      </w:r>
      <w:r/>
    </w:p>
    <w:p>
      <w:pPr>
        <w:ind w:firstLine="640"/>
        <w:spacing w:line="560" w:lineRule="exact"/>
        <w:tabs>
          <w:tab w:val="left" w:pos="567" w:leader="none"/>
        </w:tabs>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2.采购过程中将对供应商信用记录进行甄别，</w:t>
      </w:r>
      <w:bookmarkStart w:id="74" w:name="OLE_LINK24"/>
      <w:r/>
      <w:bookmarkStart w:id="75" w:name="OLE_LINK16"/>
      <w:r>
        <w:rPr>
          <w:rFonts w:hint="eastAsia" w:ascii="仿宋_GB2312" w:hAnsi="仿宋_GB2312" w:eastAsia="仿宋_GB2312" w:cs="仿宋_GB2312"/>
          <w:sz w:val="32"/>
          <w:szCs w:val="32"/>
        </w:rPr>
        <w:t xml:space="preserve">对列入失信被执行人、重大税收违法案件当事人名单、政府采购严重违法失信行为记录名单及其他不符合《中华人民共和国政府采购法》第二十二条规定条件的供应商，应当拒绝其参与政府采购活动。</w:t>
      </w:r>
      <w:bookmarkEnd w:id="74"/>
      <w:r/>
      <w:bookmarkEnd w:id="75"/>
      <w:r/>
      <w:r/>
    </w:p>
    <w:p>
      <w:pPr>
        <w:ind w:firstLine="640"/>
        <w:spacing w:line="560" w:lineRule="exact"/>
        <w:tabs>
          <w:tab w:val="left" w:pos="567" w:leader="none"/>
        </w:tabs>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640"/>
        <w:spacing w:line="560" w:lineRule="exact"/>
        <w:tabs>
          <w:tab w:val="left" w:pos="567" w:leader="none"/>
        </w:tabs>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3.供应商若在经营活动中受到罚款的，请携带相关地方、部门对较大数额认定标准的证明材料，与响应文件一并提交。若无法提供，则可能承担响应无效等相应不利后果。</w:t>
      </w:r>
      <w:r/>
    </w:p>
    <w:p>
      <w:pPr>
        <w:ind w:firstLine="640"/>
        <w:spacing w:line="560" w:lineRule="exact"/>
        <w:tabs>
          <w:tab w:val="left" w:pos="420" w:leader="none"/>
        </w:tabs>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4.对存在失信信息的供应商，由失信供应商进行确认。同时，采购代理机构工作人员应根据评审小组确认的失信信息，登录到相关来源网站页面进行复核并打印，作为证据留存。</w:t>
      </w:r>
      <w:r/>
    </w:p>
    <w:p>
      <w:pPr>
        <w:ind w:firstLine="640"/>
        <w:spacing w:line="560" w:lineRule="exact"/>
        <w:tabs>
          <w:tab w:val="left" w:pos="420" w:leader="none"/>
        </w:tabs>
        <w:rPr>
          <w:rFonts w:ascii="楷体_GB2312" w:hAnsi="楷体_GB2312" w:eastAsia="楷体_GB2312" w:cs="楷体_GB2312"/>
          <w:bCs/>
          <w:sz w:val="32"/>
          <w:szCs w:val="32"/>
        </w:rPr>
      </w:pPr>
      <w:r>
        <w:rPr>
          <w:rFonts w:hint="eastAsia" w:ascii="楷体_GB2312" w:hAnsi="楷体_GB2312" w:eastAsia="楷体_GB2312" w:cs="楷体_GB2312"/>
          <w:bCs/>
          <w:sz w:val="32"/>
          <w:szCs w:val="32"/>
        </w:rPr>
        <w:t xml:space="preserve">八、凡涉及征集文件的补充说明和修改，均以网上发布的通知为准。</w:t>
      </w:r>
      <w:bookmarkStart w:id="76" w:name="_Toc28694"/>
      <w:r/>
      <w:bookmarkStart w:id="77" w:name="_Toc65593823"/>
      <w:r/>
      <w:bookmarkStart w:id="78" w:name="_Toc41641140"/>
      <w:r/>
      <w:bookmarkEnd w:id="73"/>
      <w:r/>
      <w:r/>
    </w:p>
    <w:p>
      <w:pPr>
        <w:jc w:val="left"/>
        <w:spacing w:line="560" w:lineRule="exact"/>
        <w:widowControl/>
        <w:rPr>
          <w:rFonts w:ascii="楷体_GB2312" w:hAnsi="楷体_GB2312" w:eastAsia="楷体_GB2312" w:cs="楷体_GB2312"/>
          <w:bCs/>
          <w:sz w:val="32"/>
          <w:szCs w:val="32"/>
        </w:rPr>
      </w:pPr>
      <w:r/>
      <w:bookmarkStart w:id="79" w:name="_Toc212815976"/>
      <w:r>
        <w:rPr>
          <w:rFonts w:hint="eastAsia" w:ascii="楷体_GB2312" w:hAnsi="楷体_GB2312" w:eastAsia="楷体_GB2312" w:cs="楷体_GB2312"/>
          <w:bCs/>
          <w:sz w:val="32"/>
          <w:szCs w:val="32"/>
        </w:rPr>
        <w:br w:type="page" w:clear="all"/>
      </w:r>
      <w:r/>
    </w:p>
    <w:p>
      <w:pPr>
        <w:jc w:val="center"/>
        <w:keepLines/>
        <w:keepNext/>
        <w:spacing w:line="560" w:lineRule="exact"/>
        <w:rPr>
          <w:rFonts w:ascii="黑体" w:hAnsi="黑体" w:eastAsia="黑体" w:cs="黑体"/>
          <w:sz w:val="32"/>
          <w:szCs w:val="32"/>
        </w:rPr>
        <w:outlineLvl w:val="0"/>
      </w:pPr>
      <w:r>
        <w:rPr>
          <w:rFonts w:hint="eastAsia" w:ascii="黑体" w:hAnsi="黑体" w:eastAsia="黑体" w:cs="黑体"/>
          <w:sz w:val="32"/>
          <w:szCs w:val="32"/>
        </w:rPr>
        <w:t xml:space="preserve">第五章 框架协议文本</w:t>
      </w:r>
      <w:bookmarkStart w:id="80" w:name="_Toc513029243"/>
      <w:r/>
      <w:bookmarkStart w:id="81" w:name="_Toc20823315"/>
      <w:r/>
      <w:bookmarkStart w:id="82" w:name="_Toc16938559"/>
      <w:r/>
      <w:bookmarkEnd w:id="79"/>
      <w:r/>
      <w:r/>
    </w:p>
    <w:p>
      <w:pPr>
        <w:jc w:val="center"/>
        <w:spacing w:line="560" w:lineRule="exact"/>
        <w:rPr>
          <w:rFonts w:ascii="仿宋_GB2312" w:hAnsi="仿宋_GB2312" w:eastAsia="仿宋_GB2312" w:cs="仿宋_GB2312"/>
          <w:b/>
          <w:sz w:val="32"/>
          <w:szCs w:val="32"/>
        </w:rPr>
        <w:outlineLvl w:val="1"/>
      </w:pPr>
      <w:r>
        <w:rPr>
          <w:rFonts w:hint="eastAsia" w:ascii="仿宋_GB2312" w:hAnsi="仿宋_GB2312" w:eastAsia="仿宋_GB2312" w:cs="仿宋_GB2312"/>
          <w:b/>
          <w:sz w:val="32"/>
          <w:szCs w:val="32"/>
        </w:rPr>
        <w:t xml:space="preserve">苏州市政策性农业保险服务框架协议</w:t>
      </w:r>
      <w:r/>
    </w:p>
    <w:p>
      <w:pPr>
        <w:jc w:val="left"/>
        <w:spacing w:line="560" w:lineRule="exact"/>
        <w:rPr>
          <w:rFonts w:ascii="仿宋_GB2312" w:hAnsi="仿宋_GB2312" w:eastAsia="仿宋_GB2312" w:cs="仿宋_GB2312"/>
          <w:b/>
          <w:sz w:val="32"/>
          <w:szCs w:val="32"/>
        </w:rPr>
      </w:pPr>
      <w:r>
        <w:rPr>
          <w:rFonts w:hint="eastAsia" w:ascii="仿宋_GB2312" w:hAnsi="仿宋_GB2312" w:eastAsia="仿宋_GB2312" w:cs="仿宋_GB2312"/>
          <w:b/>
          <w:sz w:val="32"/>
          <w:szCs w:val="32"/>
        </w:rPr>
        <w:t xml:space="preserve">项目名称：</w:t>
      </w:r>
      <w:r/>
    </w:p>
    <w:p>
      <w:pPr>
        <w:jc w:val="left"/>
        <w:spacing w:line="560" w:lineRule="exact"/>
        <w:rPr>
          <w:rFonts w:ascii="仿宋_GB2312" w:hAnsi="仿宋_GB2312" w:eastAsia="仿宋_GB2312" w:cs="仿宋_GB2312"/>
          <w:sz w:val="32"/>
          <w:szCs w:val="32"/>
        </w:rPr>
      </w:pPr>
      <w:r>
        <w:rPr>
          <w:rFonts w:hint="eastAsia" w:ascii="仿宋_GB2312" w:hAnsi="仿宋_GB2312" w:eastAsia="仿宋_GB2312" w:cs="仿宋_GB2312"/>
          <w:b/>
          <w:sz w:val="32"/>
          <w:szCs w:val="32"/>
        </w:rPr>
        <w:t xml:space="preserve">项目编号：</w:t>
      </w:r>
      <w:r/>
    </w:p>
    <w:p>
      <w:pPr>
        <w:jc w:val="left"/>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甲方：</w:t>
      </w:r>
      <w:r/>
    </w:p>
    <w:p>
      <w:pPr>
        <w:jc w:val="left"/>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地址：</w:t>
      </w:r>
      <w:r/>
    </w:p>
    <w:p>
      <w:pPr>
        <w:jc w:val="left"/>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电话：</w:t>
      </w:r>
      <w:r/>
    </w:p>
    <w:p>
      <w:pPr>
        <w:jc w:val="left"/>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乙方：</w:t>
      </w:r>
      <w:r/>
    </w:p>
    <w:p>
      <w:pPr>
        <w:jc w:val="left"/>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地址：</w:t>
      </w:r>
      <w:r/>
    </w:p>
    <w:p>
      <w:pPr>
        <w:jc w:val="left"/>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电话：</w:t>
      </w:r>
      <w:r/>
    </w:p>
    <w:p>
      <w:pPr>
        <w:ind w:left="-210" w:firstLine="640"/>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640"/>
        <w:spacing w:line="560" w:lineRule="exact"/>
        <w:rPr>
          <w:rFonts w:ascii="仿宋_GB2312" w:hAnsi="仿宋_GB2312" w:eastAsia="仿宋_GB2312" w:cs="仿宋_GB2312"/>
          <w:sz w:val="32"/>
          <w:szCs w:val="32"/>
        </w:rPr>
      </w:pPr>
      <w:r/>
      <w:bookmarkStart w:id="83" w:name="_Hlt16619369"/>
      <w:r/>
      <w:bookmarkEnd w:id="80"/>
      <w:r/>
      <w:bookmarkEnd w:id="81"/>
      <w:r/>
      <w:bookmarkEnd w:id="82"/>
      <w:r/>
      <w:bookmarkEnd w:id="83"/>
      <w:r>
        <w:rPr>
          <w:rFonts w:hint="eastAsia" w:ascii="仿宋_GB2312" w:hAnsi="仿宋_GB2312" w:eastAsia="仿宋_GB2312" w:cs="仿宋_GB2312"/>
          <w:sz w:val="32"/>
          <w:szCs w:val="32"/>
        </w:rPr>
        <w:t xml:space="preserve">根据《中华人民共和国民法典》和《中华人民共和国政府采购法》等有关法律法规，依据</w:t>
      </w:r>
      <w:r>
        <w:rPr>
          <w:rFonts w:hint="eastAsia" w:ascii="仿宋_GB2312" w:hAnsi="仿宋_GB2312" w:eastAsia="仿宋_GB2312" w:cs="仿宋_GB2312"/>
          <w:sz w:val="32"/>
          <w:szCs w:val="32"/>
          <w:u w:val="single"/>
        </w:rPr>
        <w:t xml:space="preserve">苏州市政策性农业保险承保机构遴选</w:t>
      </w:r>
      <w:r>
        <w:rPr>
          <w:rFonts w:hint="eastAsia" w:ascii="仿宋_GB2312" w:hAnsi="仿宋_GB2312" w:eastAsia="仿宋_GB2312" w:cs="仿宋_GB2312"/>
          <w:sz w:val="32"/>
          <w:szCs w:val="32"/>
        </w:rPr>
        <w:t xml:space="preserve">项目框架协议采购的结果，甲乙双方签署本协议。</w:t>
      </w:r>
      <w:r/>
    </w:p>
    <w:p>
      <w:pPr>
        <w:ind w:firstLine="641"/>
        <w:spacing w:line="560" w:lineRule="exact"/>
        <w:rPr>
          <w:rFonts w:ascii="仿宋_GB2312" w:hAnsi="仿宋_GB2312" w:eastAsia="仿宋_GB2312" w:cs="仿宋_GB2312"/>
          <w:b/>
          <w:bCs/>
          <w:sz w:val="32"/>
          <w:szCs w:val="32"/>
        </w:rPr>
        <w:outlineLvl w:val="0"/>
      </w:pPr>
      <w:r>
        <w:rPr>
          <w:rFonts w:hint="eastAsia" w:ascii="仿宋_GB2312" w:hAnsi="仿宋_GB2312" w:eastAsia="仿宋_GB2312" w:cs="仿宋_GB2312"/>
          <w:b/>
          <w:bCs/>
          <w:sz w:val="32"/>
          <w:szCs w:val="32"/>
        </w:rPr>
        <w:t xml:space="preserve">1.定义</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除非另有特别约定，在本协议以及与本协议有关的甲乙双方另行签订的其他文件中，按以下定义进行解释：</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1.1“协议”是指甲方和乙方已达成的协议，即由双方签订的协议格式中的文件，包括所有的附件、附录和组成协议部分的所有其他文件。</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1.2“服务”是指本协议约定的，乙方按照农业保险政策要求，提供农业保险的宣传推动、承保出单、定损理赔、防灾减损</w:t>
      </w:r>
      <w:r>
        <w:rPr>
          <w:rFonts w:hint="eastAsia" w:ascii="仿宋_GB2312" w:hAnsi="仿宋_GB2312" w:eastAsia="仿宋_GB2312" w:cs="仿宋_GB2312"/>
          <w:sz w:val="32"/>
          <w:szCs w:val="32"/>
        </w:rPr>
        <w:t xml:space="preserve">等服务工作的总称。</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1.3“被保险人”是指按本协议约定在乙方处投保农业保险的家庭农场、种养大户、农民专业合作社、农业企业等主体（以下简称“农户”）。</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1.4“工作日”是指除公休日和国家法定节假日以外的日历日。</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1.5“附件”是指与本协议的订立、履行有关的，经甲乙双方认可的，对本协议约定的内容进行细化、补充的文件资料。</w:t>
      </w:r>
      <w:r/>
    </w:p>
    <w:p>
      <w:pPr>
        <w:ind w:firstLine="641"/>
        <w:spacing w:line="560" w:lineRule="exact"/>
        <w:rPr>
          <w:rFonts w:ascii="仿宋_GB2312" w:hAnsi="仿宋_GB2312" w:eastAsia="仿宋_GB2312" w:cs="仿宋_GB2312"/>
          <w:b/>
          <w:bCs/>
          <w:sz w:val="32"/>
          <w:szCs w:val="32"/>
        </w:rPr>
        <w:outlineLvl w:val="0"/>
      </w:pPr>
      <w:r/>
      <w:bookmarkStart w:id="84" w:name="_Toc27907"/>
      <w:r/>
      <w:bookmarkStart w:id="85" w:name="_Toc27179"/>
      <w:r/>
      <w:bookmarkStart w:id="86" w:name="_Toc29491"/>
      <w:r>
        <w:rPr>
          <w:rFonts w:hint="eastAsia" w:ascii="仿宋_GB2312" w:hAnsi="仿宋_GB2312" w:eastAsia="仿宋_GB2312" w:cs="仿宋_GB2312"/>
          <w:b/>
          <w:bCs/>
          <w:sz w:val="32"/>
          <w:szCs w:val="32"/>
        </w:rPr>
        <w:t xml:space="preserve">2.适用范围</w:t>
      </w:r>
      <w:bookmarkEnd w:id="84"/>
      <w:r/>
      <w:bookmarkEnd w:id="85"/>
      <w:r/>
      <w:bookmarkEnd w:id="86"/>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2.1本协议条款仅适用于本次遴选所规定的内容。</w:t>
      </w:r>
      <w:r/>
    </w:p>
    <w:p>
      <w:pPr>
        <w:ind w:firstLine="641"/>
        <w:spacing w:line="560" w:lineRule="exact"/>
        <w:rPr>
          <w:rFonts w:ascii="仿宋_GB2312" w:hAnsi="仿宋_GB2312" w:eastAsia="仿宋_GB2312" w:cs="仿宋_GB2312"/>
          <w:b/>
          <w:bCs/>
          <w:sz w:val="32"/>
          <w:szCs w:val="32"/>
        </w:rPr>
        <w:outlineLvl w:val="0"/>
      </w:pPr>
      <w:r/>
      <w:bookmarkStart w:id="87" w:name="_Toc2562"/>
      <w:r/>
      <w:bookmarkStart w:id="88" w:name="_Toc24810"/>
      <w:r/>
      <w:bookmarkStart w:id="89" w:name="_Toc1419"/>
      <w:r>
        <w:rPr>
          <w:rFonts w:hint="eastAsia" w:ascii="仿宋_GB2312" w:hAnsi="仿宋_GB2312" w:eastAsia="仿宋_GB2312" w:cs="仿宋_GB2312"/>
          <w:b/>
          <w:bCs/>
          <w:sz w:val="32"/>
          <w:szCs w:val="32"/>
        </w:rPr>
        <w:t xml:space="preserve">3.协议的组成</w:t>
      </w:r>
      <w:bookmarkEnd w:id="87"/>
      <w:r/>
      <w:bookmarkEnd w:id="88"/>
      <w:r/>
      <w:bookmarkEnd w:id="89"/>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下列文件应作为本协议的组成部分：成交（入围）通知书、响应文件、遴选文件、与本次遴选有关的并经当事人双方确认的其他文件。</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上述文件互为补充和解释，如有不清或相互矛盾之处，以有利于甲方及农户的原则进行解释和适用。</w:t>
      </w:r>
      <w:r/>
    </w:p>
    <w:p>
      <w:pPr>
        <w:ind w:firstLine="641"/>
        <w:spacing w:line="560" w:lineRule="exact"/>
        <w:rPr>
          <w:rFonts w:ascii="仿宋_GB2312" w:hAnsi="仿宋_GB2312" w:eastAsia="仿宋_GB2312" w:cs="仿宋_GB2312"/>
          <w:b/>
          <w:bCs/>
          <w:sz w:val="32"/>
          <w:szCs w:val="32"/>
        </w:rPr>
        <w:outlineLvl w:val="0"/>
      </w:pPr>
      <w:r/>
      <w:bookmarkStart w:id="90" w:name="_Toc28551"/>
      <w:r/>
      <w:bookmarkStart w:id="91" w:name="_Toc26094"/>
      <w:r/>
      <w:bookmarkStart w:id="92" w:name="_Toc29218"/>
      <w:r>
        <w:rPr>
          <w:rFonts w:hint="eastAsia" w:ascii="仿宋_GB2312" w:hAnsi="仿宋_GB2312" w:eastAsia="仿宋_GB2312" w:cs="仿宋_GB2312"/>
          <w:b/>
          <w:bCs/>
          <w:sz w:val="32"/>
          <w:szCs w:val="32"/>
        </w:rPr>
        <w:t xml:space="preserve">4.基本约定</w:t>
      </w:r>
      <w:bookmarkEnd w:id="90"/>
      <w:r/>
      <w:bookmarkEnd w:id="91"/>
      <w:r/>
      <w:bookmarkEnd w:id="92"/>
      <w:r/>
      <w:r/>
    </w:p>
    <w:p>
      <w:pPr>
        <w:ind w:firstLine="640"/>
        <w:spacing w:line="560" w:lineRule="exact"/>
        <w:rPr>
          <w:rFonts w:ascii="仿宋_GB2312" w:hAnsi="仿宋_GB2312" w:eastAsia="仿宋_GB2312" w:cs="仿宋_GB2312"/>
          <w:sz w:val="32"/>
          <w:szCs w:val="32"/>
        </w:rPr>
        <w:outlineLvl w:val="1"/>
      </w:pPr>
      <w:r>
        <w:rPr>
          <w:rFonts w:hint="eastAsia" w:ascii="仿宋_GB2312" w:hAnsi="仿宋_GB2312" w:eastAsia="仿宋_GB2312" w:cs="仿宋_GB2312"/>
          <w:sz w:val="32"/>
          <w:szCs w:val="32"/>
        </w:rPr>
        <w:t xml:space="preserve">4.1服务区域</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服务区域：待定（对应中选区域）。</w:t>
      </w:r>
      <w:r/>
    </w:p>
    <w:p>
      <w:pPr>
        <w:ind w:firstLine="640"/>
        <w:spacing w:line="560" w:lineRule="exact"/>
        <w:rPr>
          <w:rFonts w:ascii="仿宋_GB2312" w:hAnsi="仿宋_GB2312" w:eastAsia="仿宋_GB2312" w:cs="仿宋_GB2312"/>
          <w:sz w:val="32"/>
          <w:szCs w:val="32"/>
        </w:rPr>
        <w:outlineLvl w:val="1"/>
      </w:pPr>
      <w:r>
        <w:rPr>
          <w:rFonts w:hint="eastAsia" w:ascii="仿宋_GB2312" w:hAnsi="仿宋_GB2312" w:eastAsia="仿宋_GB2312" w:cs="仿宋_GB2312"/>
          <w:sz w:val="32"/>
          <w:szCs w:val="32"/>
        </w:rPr>
        <w:t xml:space="preserve">4.2保险条款</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乙方经办有中央、省级、市级财政补贴保费的险种必须使用经保险监管机构和</w:t>
      </w:r>
      <w:r>
        <w:rPr>
          <w:rFonts w:hint="eastAsia" w:ascii="仿宋_GB2312" w:hAnsi="仿宋_GB2312" w:eastAsia="仿宋_GB2312" w:cs="仿宋_GB2312"/>
          <w:sz w:val="32"/>
          <w:szCs w:val="32"/>
          <w:shd w:val="clear" w:color="auto" w:fill="ffffff"/>
        </w:rPr>
        <w:t xml:space="preserve">省、市、区印发或认可的保险条款、保险金额</w:t>
      </w:r>
      <w:r>
        <w:rPr>
          <w:rFonts w:hint="eastAsia" w:ascii="仿宋_GB2312" w:hAnsi="仿宋_GB2312" w:eastAsia="仿宋_GB2312" w:cs="仿宋_GB2312"/>
          <w:sz w:val="32"/>
          <w:szCs w:val="32"/>
          <w:shd w:val="clear" w:color="auto" w:fill="ffffff"/>
        </w:rPr>
        <w:t xml:space="preserve">（赔偿限额）及费率。</w:t>
      </w:r>
      <w:r/>
    </w:p>
    <w:p>
      <w:pPr>
        <w:ind w:firstLine="641"/>
        <w:spacing w:line="560" w:lineRule="exact"/>
        <w:rPr>
          <w:rFonts w:ascii="仿宋_GB2312" w:hAnsi="仿宋_GB2312" w:eastAsia="仿宋_GB2312" w:cs="仿宋_GB2312"/>
          <w:b/>
          <w:bCs/>
          <w:sz w:val="32"/>
          <w:szCs w:val="32"/>
        </w:rPr>
        <w:outlineLvl w:val="0"/>
      </w:pPr>
      <w:r/>
      <w:bookmarkStart w:id="93" w:name="_Toc3919"/>
      <w:r/>
      <w:bookmarkStart w:id="94" w:name="_Toc15363"/>
      <w:r/>
      <w:bookmarkStart w:id="95" w:name="_Toc28302"/>
      <w:r>
        <w:rPr>
          <w:rFonts w:hint="eastAsia" w:ascii="仿宋_GB2312" w:hAnsi="仿宋_GB2312" w:eastAsia="仿宋_GB2312" w:cs="仿宋_GB2312"/>
          <w:b/>
          <w:bCs/>
          <w:sz w:val="32"/>
          <w:szCs w:val="32"/>
        </w:rPr>
        <w:t xml:space="preserve">5.甲方职责</w:t>
      </w:r>
      <w:bookmarkEnd w:id="93"/>
      <w:r/>
      <w:bookmarkEnd w:id="94"/>
      <w:r/>
      <w:bookmarkEnd w:id="95"/>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5.1会同有关部门，组织协调、监督管理本行政区域内的农业保险工作，开展农业保险保费补贴管理，支持农业保险业务发展。日常管理工作由苏州市及各区财政部门牵头执行。</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5.2负责对乙方指导、监督、评价、验收等管理工作。</w:t>
      </w:r>
      <w:r/>
    </w:p>
    <w:p>
      <w:pPr>
        <w:ind w:firstLine="641"/>
        <w:spacing w:line="560" w:lineRule="exact"/>
        <w:rPr>
          <w:rFonts w:ascii="仿宋_GB2312" w:hAnsi="仿宋_GB2312" w:eastAsia="仿宋_GB2312" w:cs="仿宋_GB2312"/>
          <w:b/>
          <w:bCs/>
          <w:sz w:val="32"/>
          <w:szCs w:val="32"/>
        </w:rPr>
        <w:outlineLvl w:val="0"/>
      </w:pPr>
      <w:r/>
      <w:bookmarkStart w:id="96" w:name="_Toc13434"/>
      <w:r/>
      <w:bookmarkStart w:id="97" w:name="_Toc8333"/>
      <w:r/>
      <w:bookmarkStart w:id="98" w:name="_Toc27540"/>
      <w:r>
        <w:rPr>
          <w:rFonts w:hint="eastAsia" w:ascii="仿宋_GB2312" w:hAnsi="仿宋_GB2312" w:eastAsia="仿宋_GB2312" w:cs="仿宋_GB2312"/>
          <w:b/>
          <w:bCs/>
          <w:sz w:val="32"/>
          <w:szCs w:val="32"/>
        </w:rPr>
        <w:t xml:space="preserve">6.乙方职责</w:t>
      </w:r>
      <w:bookmarkEnd w:id="96"/>
      <w:r/>
      <w:bookmarkEnd w:id="97"/>
      <w:r/>
      <w:bookmarkEnd w:id="98"/>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6.1服务内容</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做好农业保险产品开发创新和服务方式创新，构建“政策险+商业险”产品体系，严格遵循国家、江苏省及苏州市、区农业保险相关政策，在其中选服务区域内，接受农户的投保申请，提供全流程承保、理赔及风险减量等服务，具体包括但不限于以下内容：</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6.1.1提供高效精准的农业保险承保服务。政策性农业保险涵盖水稻、小麦等主要种植业保险，能繁母猪等主要养殖业保险，地方特色优势农产品和设施农业保险，农机具保险，以及根据上级规定及本地实际增设的奖补险种。需严格执行省、市、区印发或认可的保险条款、保险金额（赔偿限额）及费率。</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6.1.2提供全过程的风险减量增值服务。建立健全风险减量工作机制，通过引入风险监测预警、识别管控等科技手段，在灾害发生前及时向农户发布预警信息并提供防灾指导；灾害发生时，迅速启动应急响应机制，协助农户开展救灾减灾减损工作；灾后，</w:t>
      </w:r>
      <w:r>
        <w:rPr>
          <w:rFonts w:hint="eastAsia" w:ascii="仿宋_GB2312" w:hAnsi="仿宋_GB2312" w:eastAsia="仿宋_GB2312" w:cs="仿宋_GB2312"/>
          <w:sz w:val="32"/>
          <w:szCs w:val="32"/>
        </w:rPr>
        <w:t xml:space="preserve">科学高效定损理赔，及时支付赔款，最大限度降低灾害损失。积极配合农业农村、应急、气象等部门，构建跨部门协同的风险减量工作机制，推动农业保险从单纯的事后补偿向全链条风险管理转型，探索形成事前防灾减灾、事中救灾减损、事后损失补偿的“农业保险+风险减量”新模式，持续提升农业抗灾能力。</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6.1.3建立高效精准、规范透明的理赔工作机制。主动接受有关部门、单位指导，建立健全当地水稻和小麦、不同生长阶段、不同灾害损失的评定标准，积累灾害损失数据，研发风险损失量化模型，借助卫星遥感、无人机等技术，快速准确评估受灾损失数量和程度，及时高效开展科学查勘定损，持续提高定损与理赔的效率和精准度。</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6.1.4建立健全农业保险数据管理制度。与苏州“作物云”平台开展数据共建共享，依托实时更新的地块与作物长势信息夯实农业保险数据基础，将保险信息与土地流转、种植养殖生产数据等交叉比对，确保数据真实无误，最终实现精准承保理赔。</w:t>
      </w:r>
      <w:r/>
    </w:p>
    <w:p>
      <w:pPr>
        <w:ind w:firstLine="64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6.1.5建立健全农户投诉处理工作机制。公开本单位接收消费投诉的渠道信息及处理流程，在签订保险合同时，向农户告知投诉电话或其他投诉渠道信息。收到农户投诉后，明确受理时限与反馈机制，确保农户诉求得到及时响应与妥善解决。</w:t>
      </w:r>
      <w:r/>
    </w:p>
    <w:p>
      <w:pPr>
        <w:ind w:firstLine="640"/>
        <w:spacing w:line="560" w:lineRule="exact"/>
        <w:rPr>
          <w:rFonts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rPr>
        <w:t xml:space="preserve">6.1.6按时向农业保险管理部门报送数据。依据农业保险保费补贴管理相关规定，</w:t>
      </w:r>
      <w:r>
        <w:rPr>
          <w:rFonts w:hint="eastAsia" w:ascii="仿宋_GB2312" w:hAnsi="仿宋_GB2312" w:eastAsia="仿宋_GB2312" w:cs="仿宋_GB2312"/>
          <w:sz w:val="32"/>
          <w:szCs w:val="32"/>
          <w:shd w:val="clear" w:color="auto" w:fill="ffffff"/>
        </w:rPr>
        <w:t xml:space="preserve">每月向市、区财政部门报送农业保险经营情况，申请保费补贴资金时须提供保单级数据信息、承保理赔材</w:t>
      </w:r>
      <w:r>
        <w:rPr>
          <w:rFonts w:hint="eastAsia" w:ascii="仿宋_GB2312" w:hAnsi="仿宋_GB2312" w:eastAsia="仿宋_GB2312" w:cs="仿宋_GB2312"/>
          <w:sz w:val="32"/>
          <w:szCs w:val="32"/>
          <w:shd w:val="clear" w:color="auto" w:fill="ffffff"/>
        </w:rPr>
        <w:t xml:space="preserve">料凭证。每年2月1日前，按保费补贴结算要求，提交上一年度结算申请报告、业务数据及凭证，并同步提交电子文档，确保保费补贴管理规范合规，资金拨付及时足额到位。</w:t>
      </w:r>
      <w:r/>
    </w:p>
    <w:p>
      <w:pPr>
        <w:ind w:firstLine="640"/>
        <w:spacing w:line="560" w:lineRule="exact"/>
        <w:tabs>
          <w:tab w:val="left" w:pos="0" w:leader="none"/>
        </w:tabs>
        <w:rPr>
          <w:rFonts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 xml:space="preserve">6.1.7按照政策性农业保险承保机构履约服务评价的规定，提供材料凭证，接受履约服务评价。</w:t>
      </w:r>
      <w:r/>
    </w:p>
    <w:p>
      <w:pPr>
        <w:pStyle w:val="973"/>
        <w:ind w:firstLine="640"/>
        <w:spacing w:line="560" w:lineRule="exact"/>
        <w:rPr>
          <w:rFonts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 xml:space="preserve">6.1.8推动农业保险与乡村振兴深度融合，助力实现乡村振兴战略。</w:t>
      </w:r>
      <w:r/>
    </w:p>
    <w:p>
      <w:pPr>
        <w:pStyle w:val="973"/>
        <w:ind w:firstLine="640"/>
        <w:spacing w:line="560" w:lineRule="exact"/>
        <w:rPr>
          <w:rFonts w:ascii="仿宋_GB2312" w:hAnsi="仿宋_GB2312" w:eastAsia="仿宋_GB2312" w:cs="仿宋_GB2312"/>
          <w:sz w:val="32"/>
          <w:szCs w:val="32"/>
          <w:shd w:val="clear" w:color="auto" w:fill="ffffff"/>
        </w:rPr>
        <w:outlineLvl w:val="2"/>
      </w:pPr>
      <w:r>
        <w:rPr>
          <w:rFonts w:hint="eastAsia" w:ascii="仿宋_GB2312" w:hAnsi="仿宋_GB2312" w:eastAsia="仿宋_GB2312" w:cs="仿宋_GB2312"/>
          <w:sz w:val="32"/>
          <w:szCs w:val="32"/>
          <w:shd w:val="clear" w:color="auto" w:fill="ffffff"/>
        </w:rPr>
        <w:t xml:space="preserve">6.1.9按时完成有关部门安排的农业保险相关工作。</w:t>
      </w:r>
      <w:r/>
    </w:p>
    <w:p>
      <w:pPr>
        <w:pStyle w:val="973"/>
        <w:ind w:firstLine="640"/>
        <w:spacing w:line="560" w:lineRule="exact"/>
        <w:rPr>
          <w:rFonts w:ascii="仿宋_GB2312" w:hAnsi="仿宋_GB2312" w:eastAsia="仿宋_GB2312" w:cs="仿宋_GB2312"/>
          <w:sz w:val="32"/>
          <w:szCs w:val="32"/>
          <w:shd w:val="clear" w:color="auto" w:fill="ffffff"/>
        </w:rPr>
        <w:outlineLvl w:val="2"/>
      </w:pPr>
      <w:r>
        <w:rPr>
          <w:rFonts w:hint="eastAsia" w:ascii="仿宋_GB2312" w:hAnsi="仿宋_GB2312" w:eastAsia="仿宋_GB2312" w:cs="仿宋_GB2312"/>
          <w:sz w:val="32"/>
          <w:szCs w:val="32"/>
          <w:shd w:val="clear" w:color="auto" w:fill="ffffff"/>
        </w:rPr>
        <w:t xml:space="preserve">6.2服务标准。</w:t>
      </w:r>
      <w:r/>
    </w:p>
    <w:p>
      <w:pPr>
        <w:ind w:firstLine="640"/>
        <w:spacing w:line="560" w:lineRule="exact"/>
        <w:rPr>
          <w:rFonts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 xml:space="preserve">主动高效满足农户保险需求，依据农业保险承保理赔管理办法及省、市、区有关规定，规范开展承保理赔工作，并留存承保、理赔完整档案，对政策性农业保险业务的真实性、准确性、完整性负责。严禁虚假承保、虚假理赔、虚列费用、虚假退保、挪用、截留、侵占保险金。</w:t>
      </w:r>
      <w:r/>
    </w:p>
    <w:p>
      <w:pPr>
        <w:ind w:firstLine="640"/>
        <w:spacing w:line="560" w:lineRule="exact"/>
        <w:rPr>
          <w:rFonts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 xml:space="preserve">6.2.1农业保险可由农户自行投保，也可由政府机构、村民委员会、农业生产经营组织等单位组织农户投保。对符合单独投保标准的被保险人，必须由被保险人单独投保。</w:t>
      </w:r>
      <w:r/>
    </w:p>
    <w:p>
      <w:pPr>
        <w:pStyle w:val="944"/>
        <w:ind w:firstLine="640"/>
        <w:spacing w:line="560" w:lineRule="exact"/>
        <w:rPr>
          <w:rFonts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 xml:space="preserve">6.2.2保障投保人、被保险人的知情权与自主权，不得欺骗、误导投保，不得以不正当手段强迫或限制投保。发生区域性重大灾害、大范围疫情及其他特殊情形等，如果无法查勘定损到户，须采取抽样或其他方式核定损失程度的，可在承保前如实告知农户，并在保险合同中明确约定；没有约定的，应及时与农户协商</w:t>
      </w:r>
      <w:r>
        <w:rPr>
          <w:rFonts w:hint="eastAsia" w:ascii="仿宋_GB2312" w:hAnsi="仿宋_GB2312" w:eastAsia="仿宋_GB2312" w:cs="仿宋_GB2312"/>
          <w:sz w:val="32"/>
          <w:szCs w:val="32"/>
          <w:shd w:val="clear" w:color="auto" w:fill="ffffff"/>
        </w:rPr>
        <w:t xml:space="preserve">一致。</w:t>
      </w:r>
      <w:r/>
    </w:p>
    <w:p>
      <w:pPr>
        <w:ind w:firstLine="640"/>
        <w:spacing w:line="560" w:lineRule="exact"/>
        <w:rPr>
          <w:rFonts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 xml:space="preserve">6.2.3对承保标的全部核验。单独投保的精准查验到保险标的，集体投保业务可以抽验，抽验要求与单独投保验标要求保持一致，抽验比例依据当地确定。村干部、村会计、村协保员等关键人员的农险业务原则上应列为抽验对象。严格查验保险标的权属、标识、位置、品种、数量、生产周期等信息，有关情况应在验标报告中真实记载，并经被保险人签字确认。</w:t>
      </w:r>
      <w:r/>
    </w:p>
    <w:p>
      <w:pPr>
        <w:ind w:firstLine="640"/>
        <w:spacing w:line="560" w:lineRule="exact"/>
        <w:rPr>
          <w:rFonts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 xml:space="preserve">6.2.4及时完成政策性险种的承保工作，确保水稻、小麦、油菜的保险责任期间自移栽成活返青后或自出苗（苗齐）时开始至成熟（收割）时止。</w:t>
      </w:r>
      <w:r/>
    </w:p>
    <w:p>
      <w:pPr>
        <w:ind w:firstLine="640"/>
        <w:spacing w:line="560" w:lineRule="exact"/>
        <w:rPr>
          <w:rFonts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 xml:space="preserve">6.2.5见费出单。逐步提高“实名制”缴费占比。在确认收到农户应缴保费后，及时出具相应保险凭证与保费发票，按保险合同约定承担赔偿责任。</w:t>
      </w:r>
      <w:r/>
    </w:p>
    <w:p>
      <w:pPr>
        <w:ind w:firstLine="640"/>
        <w:spacing w:line="560" w:lineRule="exact"/>
        <w:tabs>
          <w:tab w:val="left" w:pos="0" w:leader="none"/>
        </w:tabs>
        <w:rPr>
          <w:rFonts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 xml:space="preserve">6.2.6报案受理。设立24小时报案渠道，随时接受被保险人出险报案，并将报案信息及时准确录入业务系统。</w:t>
      </w:r>
      <w:r/>
    </w:p>
    <w:p>
      <w:pPr>
        <w:ind w:firstLine="640"/>
        <w:spacing w:line="560" w:lineRule="exact"/>
        <w:rPr>
          <w:rFonts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 xml:space="preserve">6.2.7及时查勘。接到报案后需现场查勘的，应在24小时内开展现场查勘工作，因客观原因难以及时查勘的，应当与报案人联系并说明原因。查勘过程需完整规范，真实客观反映标的损失情况。</w:t>
      </w:r>
      <w:r/>
    </w:p>
    <w:p>
      <w:pPr>
        <w:ind w:firstLine="640"/>
        <w:spacing w:line="560" w:lineRule="exact"/>
        <w:rPr>
          <w:rFonts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 xml:space="preserve">发生区域性重大灾害、大范围疫情及其他特殊情形时，保险机构可使用行业主管部门灾情数据、遥感及无人机查勘数据等，自动识别保险事故，开展批量分户定损。</w:t>
      </w:r>
      <w:r/>
    </w:p>
    <w:p>
      <w:pPr>
        <w:ind w:firstLine="640"/>
        <w:spacing w:line="560" w:lineRule="exact"/>
        <w:tabs>
          <w:tab w:val="left" w:pos="0" w:leader="none"/>
        </w:tabs>
        <w:rPr>
          <w:rFonts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 xml:space="preserve">6.2.8及时定责定损。种植业保险、森林保险发生全部损失的，应在接到报案后10日内完成损失核定；发生部分损失的，应在接到报案后20日内完成损失核定。养殖业保险应在接到报案后3日内完成损失核定。定损结果需经被保险人签字确认。无法按时定责定损的，应记录保险事故，向被保险人解释说明，告知后续理赔处理方案。</w:t>
      </w:r>
      <w:r/>
    </w:p>
    <w:p>
      <w:pPr>
        <w:ind w:firstLine="640"/>
        <w:spacing w:line="560" w:lineRule="exact"/>
        <w:tabs>
          <w:tab w:val="left" w:pos="0" w:leader="none"/>
        </w:tabs>
        <w:rPr>
          <w:rFonts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 xml:space="preserve">定责定损结果应由被保险人签字认可，对定损异议及时开展现场复勘定损，必要时邀请有关部门指导。</w:t>
      </w:r>
      <w:r/>
    </w:p>
    <w:p>
      <w:pPr>
        <w:ind w:firstLine="640"/>
        <w:spacing w:line="560" w:lineRule="exact"/>
        <w:rPr>
          <w:rFonts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 xml:space="preserve">6.2.9及时理赔。根据农业保险相关规定，保险机构在与被保险人达成赔偿协议后10日内，将应赔偿保险金支付给被保险人，其中小麦保险赔偿金支付不晚于8月底，水稻、玉米保险赔偿金支付不晚于12月底。严格依据保险条款规定理算并支付赔款，做到不惜赔、不拖赔、不乱赔。</w:t>
      </w:r>
      <w:r/>
    </w:p>
    <w:p>
      <w:pPr>
        <w:pStyle w:val="973"/>
        <w:ind w:firstLine="640"/>
        <w:spacing w:line="560" w:lineRule="exact"/>
        <w:rPr>
          <w:rFonts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 xml:space="preserve">6.2.10公示要求。需在村级或农业生产经营组织公示栏、村民集中活动的文化广场等显著位置，或通过政府公共网站、行业信息平台等渠道，对集体出单的农业保险承保、理赔情况进行公示，公示时间不得少于72小时。</w:t>
      </w:r>
      <w:r/>
    </w:p>
    <w:p>
      <w:pPr>
        <w:pStyle w:val="973"/>
        <w:ind w:firstLine="640"/>
        <w:spacing w:line="560" w:lineRule="exact"/>
        <w:rPr>
          <w:rFonts w:ascii="仿宋_GB2312" w:hAnsi="仿宋_GB2312" w:eastAsia="仿宋_GB2312" w:cs="仿宋_GB2312"/>
          <w:sz w:val="32"/>
          <w:szCs w:val="32"/>
          <w:shd w:val="clear" w:color="auto" w:fill="ffffff"/>
        </w:rPr>
        <w:outlineLvl w:val="2"/>
      </w:pPr>
      <w:r>
        <w:rPr>
          <w:rFonts w:hint="eastAsia" w:ascii="仿宋_GB2312" w:hAnsi="仿宋_GB2312" w:eastAsia="仿宋_GB2312" w:cs="仿宋_GB2312"/>
          <w:sz w:val="32"/>
          <w:szCs w:val="32"/>
          <w:shd w:val="clear" w:color="auto" w:fill="ffffff"/>
        </w:rPr>
        <w:t xml:space="preserve">6.3服务保障要求。</w:t>
      </w:r>
      <w:r/>
    </w:p>
    <w:p>
      <w:pPr>
        <w:pStyle w:val="973"/>
        <w:ind w:firstLine="640"/>
        <w:spacing w:line="560" w:lineRule="exact"/>
        <w:rPr>
          <w:rFonts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 xml:space="preserve">乙方应拥有健全的基层服务网络，具备开展承保、理赔服务所需的设备与专业技术能力，能够深入农户开展农业保险政策的宣传、推动、承保、查勘定损、无害化处理、理赔及风险减量工作。</w:t>
      </w:r>
      <w:r/>
    </w:p>
    <w:p>
      <w:pPr>
        <w:ind w:firstLine="640"/>
        <w:spacing w:line="560" w:lineRule="exact"/>
        <w:tabs>
          <w:tab w:val="left" w:pos="0" w:leader="none"/>
        </w:tabs>
        <w:rPr>
          <w:rFonts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 xml:space="preserve">6.3.1区级服务机构设置农业保险责任部门，配置专门人员，落实展业、核保、出单、查勘、核赔、定损、财务、统计、档案等具体工作，专门人员的业务素质与数量需充分满足服务工作要求。</w:t>
      </w:r>
      <w:r/>
    </w:p>
    <w:p>
      <w:pPr>
        <w:ind w:firstLine="640"/>
        <w:spacing w:line="560" w:lineRule="exact"/>
        <w:rPr>
          <w:rFonts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 xml:space="preserve">6.3.2建设乡镇服务网点，安排专兼职服务人员，深入农村为农户提供涵盖风险预警、风险管控、救灾减损、恢复生产等内容的农业风险减量服务，保障农业高质量发展。</w:t>
      </w:r>
      <w:r/>
    </w:p>
    <w:p>
      <w:pPr>
        <w:ind w:firstLine="640"/>
        <w:spacing w:line="560" w:lineRule="exact"/>
        <w:tabs>
          <w:tab w:val="left" w:pos="0" w:leader="none"/>
        </w:tabs>
        <w:rPr>
          <w:rFonts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 xml:space="preserve">6.3.3主动与基层组织沟通，选聘必要的保险协办人员（协保员），协办人员（协保员）信息书面报监管部门备案。</w:t>
      </w:r>
      <w:r/>
    </w:p>
    <w:p>
      <w:pPr>
        <w:pStyle w:val="973"/>
        <w:ind w:firstLine="640"/>
        <w:spacing w:line="560" w:lineRule="exact"/>
        <w:rPr>
          <w:rFonts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 xml:space="preserve">6.3.4及时完成相关人员培训工作，专业人员的业务素质与数量需充分满足本项目相关条件及服务要求。</w:t>
      </w:r>
      <w:r/>
    </w:p>
    <w:p>
      <w:pPr>
        <w:ind w:firstLine="640"/>
        <w:spacing w:line="560" w:lineRule="exact"/>
        <w:rPr>
          <w:rFonts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 xml:space="preserve">6.3.5推进农业保险业务线上化、数字化和智能化，利用微信小程序、农险 APP，鼓励农户线上投保、线上报案，探索验标、查勘定损、支付赔款、存档、监管等全流程线上化。</w:t>
      </w:r>
      <w:r/>
    </w:p>
    <w:p>
      <w:pPr>
        <w:ind w:firstLine="640"/>
        <w:spacing w:line="560" w:lineRule="exact"/>
        <w:rPr>
          <w:rFonts w:ascii="仿宋_GB2312" w:hAnsi="仿宋_GB2312" w:eastAsia="仿宋_GB2312" w:cs="仿宋_GB2312"/>
          <w:sz w:val="32"/>
          <w:szCs w:val="32"/>
        </w:rPr>
        <w:outlineLvl w:val="1"/>
      </w:pPr>
      <w:r>
        <w:rPr>
          <w:rFonts w:hint="eastAsia" w:ascii="仿宋_GB2312" w:hAnsi="仿宋_GB2312" w:eastAsia="仿宋_GB2312" w:cs="仿宋_GB2312"/>
          <w:sz w:val="32"/>
          <w:szCs w:val="32"/>
        </w:rPr>
        <w:t xml:space="preserve">6.4服务绩效目标</w:t>
      </w:r>
      <w:r/>
    </w:p>
    <w:p>
      <w:pPr>
        <w:ind w:firstLine="640"/>
        <w:spacing w:line="560" w:lineRule="exact"/>
        <w:rPr>
          <w:rFonts w:ascii="仿宋_GB2312" w:hAnsi="仿宋_GB2312" w:eastAsia="仿宋_GB2312" w:cs="仿宋_GB2312"/>
          <w:sz w:val="32"/>
          <w:szCs w:val="32"/>
        </w:rPr>
        <w:outlineLvl w:val="1"/>
      </w:pPr>
      <w:r>
        <w:rPr>
          <w:rFonts w:hint="eastAsia" w:ascii="仿宋_GB2312" w:hAnsi="仿宋_GB2312" w:eastAsia="仿宋_GB2312" w:cs="仿宋_GB2312"/>
          <w:sz w:val="32"/>
          <w:szCs w:val="32"/>
        </w:rPr>
        <w:t xml:space="preserve">6.4.1三大粮食作物承保率、育肥猪保险不低于省、市、区下达的年度指标。</w:t>
      </w:r>
      <w:r/>
    </w:p>
    <w:p>
      <w:pPr>
        <w:ind w:firstLine="640"/>
        <w:spacing w:line="560" w:lineRule="exact"/>
        <w:rPr>
          <w:rFonts w:ascii="仿宋_GB2312" w:hAnsi="仿宋_GB2312" w:eastAsia="仿宋_GB2312" w:cs="仿宋_GB2312"/>
          <w:sz w:val="32"/>
          <w:szCs w:val="32"/>
        </w:rPr>
        <w:outlineLvl w:val="1"/>
      </w:pPr>
      <w:r>
        <w:rPr>
          <w:rFonts w:hint="eastAsia" w:ascii="仿宋_GB2312" w:hAnsi="仿宋_GB2312" w:eastAsia="仿宋_GB2312" w:cs="仿宋_GB2312"/>
          <w:sz w:val="32"/>
          <w:szCs w:val="32"/>
        </w:rPr>
        <w:t xml:space="preserve">6.4.2农业保险（含商业险）保障总额不低于上年。</w:t>
      </w:r>
      <w:r/>
    </w:p>
    <w:p>
      <w:pPr>
        <w:ind w:firstLine="640"/>
        <w:spacing w:line="560" w:lineRule="exact"/>
        <w:rPr>
          <w:rFonts w:ascii="仿宋_GB2312" w:hAnsi="仿宋_GB2312" w:eastAsia="仿宋_GB2312" w:cs="仿宋_GB2312"/>
          <w:sz w:val="32"/>
          <w:szCs w:val="32"/>
        </w:rPr>
        <w:outlineLvl w:val="1"/>
      </w:pPr>
      <w:r>
        <w:rPr>
          <w:rFonts w:hint="eastAsia" w:ascii="仿宋_GB2312" w:hAnsi="仿宋_GB2312" w:eastAsia="仿宋_GB2312" w:cs="仿宋_GB2312"/>
          <w:sz w:val="32"/>
          <w:szCs w:val="32"/>
        </w:rPr>
        <w:t xml:space="preserve">6.4.3年度结案率95%以上，按已决赔款、已决案件数计算的理赔结案率不低于省、市、区下达的年度指标。</w:t>
      </w:r>
      <w:r/>
    </w:p>
    <w:p>
      <w:pPr>
        <w:ind w:firstLine="640"/>
        <w:spacing w:line="560" w:lineRule="exact"/>
        <w:rPr>
          <w:rFonts w:ascii="仿宋_GB2312" w:hAnsi="仿宋_GB2312" w:eastAsia="仿宋_GB2312" w:cs="仿宋_GB2312"/>
          <w:sz w:val="32"/>
          <w:szCs w:val="32"/>
        </w:rPr>
        <w:outlineLvl w:val="1"/>
      </w:pPr>
      <w:r>
        <w:rPr>
          <w:rFonts w:hint="eastAsia" w:ascii="仿宋_GB2312" w:hAnsi="仿宋_GB2312" w:eastAsia="仿宋_GB2312" w:cs="仿宋_GB2312"/>
          <w:sz w:val="32"/>
          <w:szCs w:val="32"/>
        </w:rPr>
        <w:t xml:space="preserve">6.4.4省、市、区下达的其他农业保险目标。</w:t>
      </w:r>
      <w:r/>
    </w:p>
    <w:p>
      <w:pPr>
        <w:ind w:firstLine="640"/>
        <w:spacing w:line="560" w:lineRule="exact"/>
        <w:rPr>
          <w:rFonts w:ascii="仿宋_GB2312" w:hAnsi="仿宋_GB2312" w:eastAsia="仿宋_GB2312" w:cs="仿宋_GB2312"/>
          <w:sz w:val="32"/>
          <w:szCs w:val="32"/>
        </w:rPr>
        <w:outlineLvl w:val="1"/>
      </w:pPr>
      <w:r>
        <w:rPr>
          <w:rFonts w:hint="eastAsia" w:ascii="仿宋_GB2312" w:hAnsi="仿宋_GB2312" w:eastAsia="仿宋_GB2312" w:cs="仿宋_GB2312"/>
          <w:sz w:val="32"/>
          <w:szCs w:val="32"/>
        </w:rPr>
        <w:t xml:space="preserve">6.4.5不得因拒绝承保、拖赔、惜赔等损害被保险人权益的</w:t>
      </w:r>
      <w:r>
        <w:rPr>
          <w:rFonts w:hint="eastAsia" w:ascii="仿宋_GB2312" w:hAnsi="仿宋_GB2312" w:eastAsia="仿宋_GB2312" w:cs="仿宋_GB2312"/>
          <w:sz w:val="32"/>
          <w:szCs w:val="32"/>
        </w:rPr>
        <w:t xml:space="preserve">行为被投诉、举报、上访，及时处理被保险人的意见建议，妥善化解矛盾与争议。</w:t>
      </w:r>
      <w:r/>
    </w:p>
    <w:p>
      <w:pPr>
        <w:pStyle w:val="973"/>
        <w:ind w:firstLine="641"/>
        <w:spacing w:line="560" w:lineRule="exact"/>
        <w:rPr>
          <w:rFonts w:ascii="仿宋_GB2312" w:hAnsi="仿宋_GB2312" w:eastAsia="仿宋_GB2312" w:cs="仿宋_GB2312"/>
          <w:b/>
          <w:sz w:val="32"/>
          <w:szCs w:val="32"/>
        </w:rPr>
        <w:outlineLvl w:val="2"/>
      </w:pPr>
      <w:r/>
      <w:bookmarkStart w:id="99" w:name="_Toc30084"/>
      <w:r/>
      <w:bookmarkStart w:id="100" w:name="_Toc29417"/>
      <w:r/>
      <w:bookmarkStart w:id="101" w:name="_Toc29681"/>
      <w:r>
        <w:rPr>
          <w:rFonts w:hint="eastAsia" w:ascii="仿宋_GB2312" w:hAnsi="仿宋_GB2312" w:eastAsia="仿宋_GB2312" w:cs="仿宋_GB2312"/>
          <w:b/>
          <w:sz w:val="32"/>
          <w:szCs w:val="32"/>
        </w:rPr>
        <w:t xml:space="preserve">7.</w:t>
      </w:r>
      <w:bookmarkStart w:id="102" w:name="_Toc26595"/>
      <w:r/>
      <w:bookmarkEnd w:id="99"/>
      <w:r>
        <w:rPr>
          <w:rFonts w:hint="eastAsia" w:ascii="仿宋_GB2312" w:hAnsi="仿宋_GB2312" w:eastAsia="仿宋_GB2312" w:cs="仿宋_GB2312"/>
          <w:b/>
          <w:sz w:val="32"/>
          <w:szCs w:val="32"/>
        </w:rPr>
        <w:t xml:space="preserve">保险费、补贴支付方式</w:t>
      </w:r>
      <w:r/>
    </w:p>
    <w:p>
      <w:pPr>
        <w:ind w:firstLine="640"/>
        <w:spacing w:line="560" w:lineRule="exact"/>
        <w:rPr>
          <w:rFonts w:ascii="仿宋_GB2312" w:hAnsi="仿宋_GB2312" w:eastAsia="仿宋_GB2312" w:cs="仿宋_GB2312"/>
          <w:sz w:val="32"/>
          <w:szCs w:val="32"/>
        </w:rPr>
        <w:outlineLvl w:val="1"/>
      </w:pPr>
      <w:r>
        <w:rPr>
          <w:rFonts w:hint="eastAsia" w:ascii="仿宋_GB2312" w:hAnsi="仿宋_GB2312" w:eastAsia="仿宋_GB2312" w:cs="仿宋_GB2312"/>
          <w:sz w:val="32"/>
          <w:szCs w:val="32"/>
        </w:rPr>
        <w:t xml:space="preserve">投保农户承担的保费由供应商负责收取。各级财政保费补贴资金由供应商按季度或根据承保工作进度向区（乡镇、街道）财政部门申请，按年度结算。</w:t>
      </w:r>
      <w:r/>
    </w:p>
    <w:p>
      <w:pPr>
        <w:ind w:firstLine="641"/>
        <w:spacing w:line="560" w:lineRule="exact"/>
        <w:rPr>
          <w:rFonts w:ascii="仿宋_GB2312" w:hAnsi="仿宋_GB2312" w:eastAsia="仿宋_GB2312" w:cs="仿宋_GB2312"/>
          <w:b/>
          <w:sz w:val="32"/>
          <w:szCs w:val="32"/>
        </w:rPr>
        <w:outlineLvl w:val="1"/>
      </w:pPr>
      <w:r>
        <w:rPr>
          <w:rFonts w:hint="eastAsia" w:ascii="仿宋_GB2312" w:hAnsi="仿宋_GB2312" w:eastAsia="仿宋_GB2312" w:cs="仿宋_GB2312"/>
          <w:b/>
          <w:sz w:val="32"/>
          <w:szCs w:val="32"/>
        </w:rPr>
        <w:t xml:space="preserve">8.违约责任</w:t>
      </w:r>
      <w:r/>
    </w:p>
    <w:p>
      <w:pPr>
        <w:ind w:firstLine="640"/>
        <w:spacing w:line="560" w:lineRule="exact"/>
        <w:rPr>
          <w:rFonts w:ascii="仿宋_GB2312" w:hAnsi="仿宋_GB2312" w:eastAsia="仿宋_GB2312" w:cs="仿宋_GB2312"/>
          <w:sz w:val="32"/>
          <w:szCs w:val="32"/>
        </w:rPr>
        <w:outlineLvl w:val="1"/>
      </w:pPr>
      <w:r>
        <w:rPr>
          <w:rFonts w:hint="eastAsia" w:ascii="仿宋_GB2312" w:hAnsi="仿宋_GB2312" w:eastAsia="仿宋_GB2312" w:cs="仿宋_GB2312"/>
          <w:sz w:val="32"/>
          <w:szCs w:val="32"/>
        </w:rPr>
        <w:t xml:space="preserve">乙方所提供的服务应与本合同要求相符，否则应负违约责任。若乙方有下列情形的，甲方有权根据原因、情节、后果，终止本合同、取消乙方剩余服务期限内的承保资格，乙方原承保的未到期的保险合同履行到保险合同期满，其承保区域由甲方根据既往政策性农业保险承保服务项目考评情况确定新的承接人。</w:t>
      </w:r>
      <w:r/>
    </w:p>
    <w:p>
      <w:pPr>
        <w:ind w:firstLine="640"/>
        <w:spacing w:line="560" w:lineRule="exact"/>
        <w:rPr>
          <w:rFonts w:ascii="仿宋_GB2312" w:hAnsi="仿宋_GB2312" w:eastAsia="仿宋_GB2312" w:cs="仿宋_GB2312"/>
          <w:sz w:val="32"/>
          <w:szCs w:val="32"/>
        </w:rPr>
        <w:outlineLvl w:val="1"/>
      </w:pPr>
      <w:r>
        <w:rPr>
          <w:rFonts w:hint="eastAsia" w:ascii="仿宋_GB2312" w:hAnsi="仿宋_GB2312" w:eastAsia="仿宋_GB2312" w:cs="仿宋_GB2312"/>
          <w:sz w:val="32"/>
          <w:szCs w:val="32"/>
        </w:rPr>
        <w:t xml:space="preserve">8.1不能完成省、市、区下达的包含三大粮食作物投保面积覆盖面、育肥猪保险覆盖率、风险保障水平、参保农户满意度、保险覆盖率等农业保险年度绩效目标。</w:t>
      </w:r>
      <w:r/>
    </w:p>
    <w:p>
      <w:pPr>
        <w:ind w:firstLine="640"/>
        <w:spacing w:line="560" w:lineRule="exact"/>
        <w:rPr>
          <w:rFonts w:ascii="仿宋_GB2312" w:hAnsi="仿宋_GB2312" w:eastAsia="仿宋_GB2312" w:cs="仿宋_GB2312"/>
          <w:sz w:val="32"/>
          <w:szCs w:val="32"/>
        </w:rPr>
        <w:outlineLvl w:val="1"/>
      </w:pPr>
      <w:r>
        <w:rPr>
          <w:rFonts w:hint="eastAsia" w:ascii="仿宋_GB2312" w:hAnsi="仿宋_GB2312" w:eastAsia="仿宋_GB2312" w:cs="仿宋_GB2312"/>
          <w:sz w:val="32"/>
          <w:szCs w:val="32"/>
        </w:rPr>
        <w:t xml:space="preserve">8.2因损害农民权益、违规经营被投诉超过三次（含）、被市级（含）以上部门批评、被媒体曝光等。</w:t>
      </w:r>
      <w:r/>
    </w:p>
    <w:p>
      <w:pPr>
        <w:ind w:firstLine="640"/>
        <w:spacing w:line="560" w:lineRule="exact"/>
        <w:rPr>
          <w:rFonts w:ascii="仿宋_GB2312" w:hAnsi="仿宋_GB2312" w:eastAsia="仿宋_GB2312" w:cs="仿宋_GB2312"/>
          <w:sz w:val="32"/>
          <w:szCs w:val="32"/>
        </w:rPr>
        <w:outlineLvl w:val="1"/>
      </w:pPr>
      <w:r>
        <w:rPr>
          <w:rFonts w:hint="eastAsia" w:ascii="仿宋_GB2312" w:hAnsi="仿宋_GB2312" w:eastAsia="仿宋_GB2312" w:cs="仿宋_GB2312"/>
          <w:sz w:val="32"/>
          <w:szCs w:val="32"/>
        </w:rPr>
        <w:t xml:space="preserve">8.3没有兑现响应文件中的承诺事项。</w:t>
      </w:r>
      <w:r/>
    </w:p>
    <w:p>
      <w:pPr>
        <w:ind w:firstLine="640"/>
        <w:spacing w:line="560" w:lineRule="exact"/>
        <w:rPr>
          <w:rFonts w:ascii="仿宋_GB2312" w:hAnsi="仿宋_GB2312" w:eastAsia="仿宋_GB2312" w:cs="仿宋_GB2312"/>
          <w:sz w:val="32"/>
          <w:szCs w:val="32"/>
        </w:rPr>
        <w:outlineLvl w:val="1"/>
      </w:pPr>
      <w:r>
        <w:rPr>
          <w:rFonts w:hint="eastAsia" w:ascii="仿宋_GB2312" w:hAnsi="仿宋_GB2312" w:eastAsia="仿宋_GB2312" w:cs="仿宋_GB2312"/>
          <w:sz w:val="32"/>
          <w:szCs w:val="32"/>
        </w:rPr>
        <w:t xml:space="preserve">8.4报送信息、数据及相关资料不及时、不准确，对要求整改的问题不整改或整改不及时、不到位，经通知限期整改后，仍未整改到位的。</w:t>
      </w:r>
      <w:r/>
    </w:p>
    <w:p>
      <w:pPr>
        <w:ind w:firstLine="640"/>
        <w:spacing w:line="560" w:lineRule="exact"/>
        <w:rPr>
          <w:rFonts w:ascii="仿宋_GB2312" w:hAnsi="仿宋_GB2312" w:eastAsia="仿宋_GB2312" w:cs="仿宋_GB2312"/>
          <w:sz w:val="32"/>
          <w:szCs w:val="32"/>
        </w:rPr>
        <w:outlineLvl w:val="1"/>
      </w:pPr>
      <w:r>
        <w:rPr>
          <w:rFonts w:hint="eastAsia" w:ascii="仿宋_GB2312" w:hAnsi="仿宋_GB2312" w:eastAsia="仿宋_GB2312" w:cs="仿宋_GB2312"/>
          <w:sz w:val="32"/>
          <w:szCs w:val="32"/>
        </w:rPr>
        <w:t xml:space="preserve">8.5无正当理由拒绝农户投保的。</w:t>
      </w:r>
      <w:r/>
    </w:p>
    <w:p>
      <w:pPr>
        <w:ind w:firstLine="640"/>
        <w:spacing w:line="560" w:lineRule="exact"/>
        <w:rPr>
          <w:rFonts w:ascii="仿宋_GB2312" w:hAnsi="仿宋_GB2312" w:eastAsia="仿宋_GB2312" w:cs="仿宋_GB2312"/>
          <w:sz w:val="32"/>
          <w:szCs w:val="32"/>
        </w:rPr>
        <w:outlineLvl w:val="1"/>
      </w:pPr>
      <w:r>
        <w:rPr>
          <w:rFonts w:hint="eastAsia" w:ascii="仿宋_GB2312" w:hAnsi="仿宋_GB2312" w:eastAsia="仿宋_GB2312" w:cs="仿宋_GB2312"/>
          <w:sz w:val="32"/>
          <w:szCs w:val="32"/>
        </w:rPr>
        <w:t xml:space="preserve">8.6服务期限内在政策性农业保险承保机构履约服务评价中单次评价结果为“不合格”或连续两年为“基本合格”的。</w:t>
      </w:r>
      <w:r/>
    </w:p>
    <w:p>
      <w:pPr>
        <w:ind w:firstLine="640"/>
        <w:spacing w:line="560" w:lineRule="exact"/>
        <w:rPr>
          <w:rFonts w:ascii="仿宋_GB2312" w:hAnsi="仿宋_GB2312" w:eastAsia="仿宋_GB2312" w:cs="仿宋_GB2312"/>
          <w:sz w:val="32"/>
          <w:szCs w:val="32"/>
        </w:rPr>
        <w:outlineLvl w:val="1"/>
      </w:pPr>
      <w:r>
        <w:rPr>
          <w:rFonts w:hint="eastAsia" w:ascii="仿宋_GB2312" w:hAnsi="仿宋_GB2312" w:eastAsia="仿宋_GB2312" w:cs="仿宋_GB2312"/>
          <w:sz w:val="32"/>
          <w:szCs w:val="32"/>
        </w:rPr>
        <w:t xml:space="preserve">8.7乙方有其他违反法律法规、规范性文件规定或合同约定，造成严重后果或经催告后未整改的行为。</w:t>
      </w:r>
      <w:r/>
    </w:p>
    <w:p>
      <w:pPr>
        <w:ind w:firstLine="641"/>
        <w:spacing w:line="560" w:lineRule="exact"/>
        <w:rPr>
          <w:rFonts w:ascii="仿宋_GB2312" w:hAnsi="仿宋_GB2312" w:eastAsia="仿宋_GB2312" w:cs="仿宋_GB2312"/>
          <w:sz w:val="32"/>
          <w:szCs w:val="32"/>
        </w:rPr>
        <w:outlineLvl w:val="1"/>
      </w:pPr>
      <w:r>
        <w:rPr>
          <w:rFonts w:hint="eastAsia" w:ascii="仿宋_GB2312" w:hAnsi="仿宋_GB2312" w:eastAsia="仿宋_GB2312" w:cs="仿宋_GB2312"/>
          <w:b/>
          <w:sz w:val="32"/>
          <w:szCs w:val="32"/>
        </w:rPr>
        <w:t xml:space="preserve">9.争议解决</w:t>
      </w:r>
      <w:bookmarkEnd w:id="100"/>
      <w:r/>
      <w:bookmarkEnd w:id="101"/>
      <w:r/>
      <w:bookmarkEnd w:id="102"/>
      <w:r/>
      <w:r/>
    </w:p>
    <w:p>
      <w:pPr>
        <w:ind w:firstLine="640"/>
        <w:spacing w:line="560" w:lineRule="exact"/>
        <w:rPr>
          <w:rFonts w:ascii="仿宋_GB2312" w:hAnsi="仿宋_GB2312" w:eastAsia="仿宋_GB2312" w:cs="仿宋_GB2312"/>
          <w:sz w:val="32"/>
          <w:szCs w:val="32"/>
        </w:rPr>
        <w:outlineLvl w:val="1"/>
      </w:pPr>
      <w:r>
        <w:rPr>
          <w:rFonts w:hint="eastAsia" w:ascii="仿宋_GB2312" w:hAnsi="仿宋_GB2312" w:eastAsia="仿宋_GB2312" w:cs="仿宋_GB2312"/>
          <w:sz w:val="32"/>
          <w:szCs w:val="32"/>
        </w:rPr>
        <w:t xml:space="preserve">9.1在执行本协议中发生的与本协议有关的争议，甲乙双方应通过友好协商解决，经协商不能达成协议时，依法提交人民法院裁决。</w:t>
      </w:r>
      <w:r/>
    </w:p>
    <w:p>
      <w:pPr>
        <w:ind w:firstLine="640"/>
        <w:spacing w:line="560" w:lineRule="exact"/>
        <w:rPr>
          <w:rFonts w:ascii="仿宋_GB2312" w:hAnsi="仿宋_GB2312" w:eastAsia="仿宋_GB2312" w:cs="仿宋_GB2312"/>
          <w:sz w:val="32"/>
          <w:szCs w:val="32"/>
        </w:rPr>
        <w:outlineLvl w:val="1"/>
      </w:pPr>
      <w:r>
        <w:rPr>
          <w:rFonts w:hint="eastAsia" w:ascii="仿宋_GB2312" w:hAnsi="仿宋_GB2312" w:eastAsia="仿宋_GB2312" w:cs="仿宋_GB2312"/>
          <w:sz w:val="32"/>
          <w:szCs w:val="32"/>
        </w:rPr>
        <w:t xml:space="preserve">9.2在争议诉讼期间，除争议部分外，协议其他部分继续执行。</w:t>
      </w:r>
      <w:r/>
    </w:p>
    <w:p>
      <w:pPr>
        <w:ind w:firstLine="641"/>
        <w:spacing w:line="560" w:lineRule="exact"/>
        <w:rPr>
          <w:rFonts w:ascii="仿宋_GB2312" w:hAnsi="仿宋_GB2312" w:eastAsia="仿宋_GB2312" w:cs="仿宋_GB2312"/>
          <w:b/>
          <w:sz w:val="32"/>
          <w:szCs w:val="32"/>
        </w:rPr>
        <w:outlineLvl w:val="1"/>
      </w:pPr>
      <w:r/>
      <w:bookmarkStart w:id="103" w:name="_Toc30288"/>
      <w:r/>
      <w:bookmarkStart w:id="104" w:name="_Toc29220"/>
      <w:r/>
      <w:bookmarkStart w:id="105" w:name="_Toc965"/>
      <w:r>
        <w:rPr>
          <w:rFonts w:hint="eastAsia" w:ascii="仿宋_GB2312" w:hAnsi="仿宋_GB2312" w:eastAsia="仿宋_GB2312" w:cs="仿宋_GB2312"/>
          <w:b/>
          <w:sz w:val="32"/>
          <w:szCs w:val="32"/>
        </w:rPr>
        <w:t xml:space="preserve">10.协议生效及其他</w:t>
      </w:r>
      <w:bookmarkEnd w:id="103"/>
      <w:r/>
      <w:bookmarkEnd w:id="104"/>
      <w:r/>
      <w:bookmarkEnd w:id="105"/>
      <w:r/>
      <w:r/>
    </w:p>
    <w:p>
      <w:pPr>
        <w:ind w:firstLine="640"/>
        <w:spacing w:line="560" w:lineRule="exact"/>
        <w:rPr>
          <w:rFonts w:ascii="仿宋_GB2312" w:hAnsi="仿宋_GB2312" w:eastAsia="仿宋_GB2312" w:cs="仿宋_GB2312"/>
          <w:sz w:val="32"/>
          <w:szCs w:val="32"/>
        </w:rPr>
        <w:outlineLvl w:val="1"/>
      </w:pPr>
      <w:r>
        <w:rPr>
          <w:rFonts w:hint="eastAsia" w:ascii="仿宋_GB2312" w:hAnsi="仿宋_GB2312" w:eastAsia="仿宋_GB2312" w:cs="仿宋_GB2312"/>
          <w:sz w:val="32"/>
          <w:szCs w:val="32"/>
        </w:rPr>
        <w:t xml:space="preserve">10.1除非协议中另有说明，本协议经甲乙双方盖章后，即开始生效。</w:t>
      </w:r>
      <w:r/>
    </w:p>
    <w:p>
      <w:pPr>
        <w:ind w:firstLine="640"/>
        <w:spacing w:line="560" w:lineRule="exact"/>
        <w:rPr>
          <w:rFonts w:ascii="仿宋_GB2312" w:hAnsi="仿宋_GB2312" w:eastAsia="仿宋_GB2312" w:cs="仿宋_GB2312"/>
          <w:sz w:val="32"/>
          <w:szCs w:val="32"/>
        </w:rPr>
        <w:outlineLvl w:val="1"/>
      </w:pPr>
      <w:r>
        <w:rPr>
          <w:rFonts w:hint="eastAsia" w:ascii="仿宋_GB2312" w:hAnsi="仿宋_GB2312" w:eastAsia="仿宋_GB2312" w:cs="仿宋_GB2312"/>
          <w:sz w:val="32"/>
          <w:szCs w:val="32"/>
        </w:rPr>
        <w:t xml:space="preserve">10.2本协议有效期间三年，自2027年1月1日起至2029年12月31日止。</w:t>
      </w:r>
      <w:r/>
    </w:p>
    <w:p>
      <w:pPr>
        <w:ind w:firstLine="640"/>
        <w:spacing w:line="560" w:lineRule="exact"/>
        <w:rPr>
          <w:rFonts w:ascii="仿宋_GB2312" w:hAnsi="仿宋_GB2312" w:eastAsia="仿宋_GB2312" w:cs="仿宋_GB2312"/>
          <w:sz w:val="32"/>
          <w:szCs w:val="32"/>
        </w:rPr>
        <w:outlineLvl w:val="1"/>
      </w:pPr>
      <w:r>
        <w:rPr>
          <w:rFonts w:hint="eastAsia" w:ascii="仿宋_GB2312" w:hAnsi="仿宋_GB2312" w:eastAsia="仿宋_GB2312" w:cs="仿宋_GB2312"/>
          <w:sz w:val="32"/>
          <w:szCs w:val="32"/>
        </w:rPr>
        <w:t xml:space="preserve">10.3本协议期满或终止后，在协议有效期内乙方与被保险人签订的农业保险单，在保险单约定的保险期限内继续有效。</w:t>
      </w:r>
      <w:r/>
    </w:p>
    <w:p>
      <w:pPr>
        <w:ind w:firstLine="640"/>
        <w:spacing w:line="560" w:lineRule="exact"/>
        <w:rPr>
          <w:rFonts w:ascii="仿宋_GB2312" w:hAnsi="仿宋_GB2312" w:eastAsia="仿宋_GB2312" w:cs="仿宋_GB2312"/>
          <w:sz w:val="32"/>
          <w:szCs w:val="32"/>
        </w:rPr>
        <w:outlineLvl w:val="1"/>
      </w:pPr>
      <w:r>
        <w:rPr>
          <w:rFonts w:hint="eastAsia" w:ascii="仿宋_GB2312" w:hAnsi="仿宋_GB2312" w:eastAsia="仿宋_GB2312" w:cs="仿宋_GB2312"/>
          <w:sz w:val="32"/>
          <w:szCs w:val="32"/>
        </w:rPr>
        <w:t xml:space="preserve">10.4本协议正本一式三份，甲方两份、乙方一份，均具有同等法律效力。</w:t>
      </w:r>
      <w:r/>
    </w:p>
    <w:p>
      <w:pPr>
        <w:ind w:firstLine="640"/>
        <w:spacing w:line="560" w:lineRule="exact"/>
        <w:rPr>
          <w:rFonts w:ascii="仿宋_GB2312" w:hAnsi="仿宋_GB2312" w:eastAsia="仿宋_GB2312" w:cs="仿宋_GB2312"/>
          <w:sz w:val="32"/>
          <w:szCs w:val="32"/>
        </w:rPr>
        <w:outlineLvl w:val="1"/>
      </w:pPr>
      <w:r>
        <w:rPr>
          <w:rFonts w:ascii="仿宋_GB2312" w:hAnsi="仿宋_GB2312" w:eastAsia="仿宋_GB2312" w:cs="仿宋_GB2312"/>
          <w:sz w:val="32"/>
          <w:szCs w:val="32"/>
        </w:rPr>
      </w:r>
      <w:r/>
    </w:p>
    <w:p>
      <w:pPr>
        <w:ind w:firstLine="640"/>
        <w:spacing w:line="560" w:lineRule="exact"/>
        <w:rPr>
          <w:rFonts w:ascii="仿宋_GB2312" w:hAnsi="仿宋_GB2312" w:eastAsia="仿宋_GB2312" w:cs="仿宋_GB2312"/>
          <w:sz w:val="32"/>
          <w:szCs w:val="32"/>
        </w:rPr>
        <w:outlineLvl w:val="1"/>
      </w:pPr>
      <w:r>
        <w:rPr>
          <w:rFonts w:ascii="仿宋_GB2312" w:hAnsi="仿宋_GB2312" w:eastAsia="仿宋_GB2312" w:cs="仿宋_GB2312"/>
          <w:sz w:val="32"/>
          <w:szCs w:val="32"/>
        </w:rPr>
      </w:r>
      <w:r/>
    </w:p>
    <w:p>
      <w:pPr>
        <w:ind w:firstLine="640"/>
        <w:spacing w:line="560" w:lineRule="exact"/>
        <w:rPr>
          <w:rFonts w:ascii="仿宋_GB2312" w:hAnsi="仿宋_GB2312" w:eastAsia="仿宋_GB2312" w:cs="仿宋_GB2312"/>
          <w:sz w:val="32"/>
          <w:szCs w:val="32"/>
        </w:rPr>
        <w:outlineLvl w:val="1"/>
      </w:pPr>
      <w:r>
        <w:rPr>
          <w:rFonts w:hint="eastAsia" w:ascii="仿宋_GB2312" w:hAnsi="仿宋_GB2312" w:eastAsia="仿宋_GB2312" w:cs="仿宋_GB2312"/>
          <w:sz w:val="32"/>
          <w:szCs w:val="32"/>
        </w:rPr>
        <w:t xml:space="preserve">甲方（单位电子签章）              乙方（单位电子签</w:t>
      </w:r>
      <w:r>
        <w:rPr>
          <w:rFonts w:hint="eastAsia" w:ascii="仿宋_GB2312" w:hAnsi="仿宋_GB2312" w:eastAsia="仿宋_GB2312" w:cs="仿宋_GB2312"/>
          <w:sz w:val="32"/>
          <w:szCs w:val="32"/>
        </w:rPr>
        <w:t xml:space="preserve">章）</w:t>
      </w:r>
      <w:r/>
    </w:p>
    <w:p>
      <w:pPr>
        <w:ind w:firstLine="640"/>
        <w:spacing w:line="560" w:lineRule="exact"/>
        <w:rPr>
          <w:rFonts w:ascii="仿宋_GB2312" w:hAnsi="仿宋_GB2312" w:eastAsia="仿宋_GB2312" w:cs="仿宋_GB2312"/>
          <w:sz w:val="32"/>
          <w:szCs w:val="32"/>
        </w:rPr>
        <w:outlineLvl w:val="1"/>
      </w:pPr>
      <w:r>
        <w:rPr>
          <w:rFonts w:hint="eastAsia" w:ascii="仿宋_GB2312" w:hAnsi="仿宋_GB2312" w:eastAsia="仿宋_GB2312" w:cs="仿宋_GB2312"/>
          <w:sz w:val="32"/>
          <w:szCs w:val="32"/>
        </w:rPr>
        <w:t xml:space="preserve">代表人：                      代表人：</w:t>
      </w:r>
      <w:r/>
    </w:p>
    <w:p>
      <w:pPr>
        <w:ind w:firstLine="640"/>
        <w:spacing w:line="560" w:lineRule="exact"/>
        <w:rPr>
          <w:rFonts w:ascii="仿宋_GB2312" w:hAnsi="仿宋_GB2312" w:eastAsia="仿宋_GB2312" w:cs="仿宋_GB2312"/>
          <w:sz w:val="32"/>
          <w:szCs w:val="32"/>
        </w:rPr>
        <w:outlineLvl w:val="1"/>
      </w:pPr>
      <w:r>
        <w:rPr>
          <w:rFonts w:hint="eastAsia" w:ascii="仿宋_GB2312" w:hAnsi="仿宋_GB2312" w:eastAsia="仿宋_GB2312" w:cs="仿宋_GB2312"/>
          <w:sz w:val="32"/>
          <w:szCs w:val="32"/>
        </w:rPr>
        <w:t xml:space="preserve">签约日期：</w:t>
      </w:r>
      <w:r/>
    </w:p>
    <w:p>
      <w:pPr>
        <w:ind w:firstLine="640"/>
        <w:spacing w:line="560" w:lineRule="exact"/>
        <w:rPr>
          <w:rFonts w:ascii="仿宋_GB2312" w:hAnsi="仿宋_GB2312" w:eastAsia="仿宋_GB2312" w:cs="仿宋_GB2312"/>
          <w:sz w:val="32"/>
          <w:szCs w:val="32"/>
        </w:rPr>
        <w:outlineLvl w:val="1"/>
      </w:pPr>
      <w:r>
        <w:rPr>
          <w:rFonts w:hint="eastAsia" w:ascii="仿宋_GB2312" w:hAnsi="仿宋_GB2312" w:eastAsia="仿宋_GB2312" w:cs="仿宋_GB2312"/>
          <w:sz w:val="32"/>
          <w:szCs w:val="32"/>
        </w:rPr>
        <w:t xml:space="preserve">合同签订地：</w:t>
      </w:r>
      <w:r/>
    </w:p>
    <w:p>
      <w:pPr>
        <w:ind w:firstLine="640"/>
        <w:spacing w:line="560" w:lineRule="exact"/>
        <w:rPr>
          <w:rFonts w:ascii="仿宋_GB2312" w:hAnsi="仿宋_GB2312" w:eastAsia="仿宋_GB2312" w:cs="仿宋_GB2312"/>
          <w:sz w:val="32"/>
          <w:szCs w:val="32"/>
        </w:rPr>
        <w:outlineLvl w:val="1"/>
      </w:pPr>
      <w:r>
        <w:rPr>
          <w:rFonts w:hint="eastAsia" w:ascii="仿宋_GB2312" w:hAnsi="仿宋_GB2312" w:eastAsia="仿宋_GB2312" w:cs="仿宋_GB2312"/>
          <w:sz w:val="32"/>
          <w:szCs w:val="32"/>
        </w:rPr>
        <w:br w:type="page" w:clear="all"/>
      </w:r>
      <w:r/>
    </w:p>
    <w:p>
      <w:pPr>
        <w:jc w:val="center"/>
        <w:pageBreakBefore/>
        <w:spacing w:line="560" w:lineRule="exact"/>
        <w:rPr>
          <w:rFonts w:ascii="黑体" w:hAnsi="黑体" w:eastAsia="黑体" w:cs="黑体"/>
          <w:bCs/>
          <w:sz w:val="32"/>
          <w:szCs w:val="32"/>
        </w:rPr>
        <w:outlineLvl w:val="0"/>
      </w:pPr>
      <w:r/>
      <w:bookmarkStart w:id="106" w:name="_Toc74050524"/>
      <w:r/>
      <w:bookmarkStart w:id="107" w:name="_Toc212815977"/>
      <w:r/>
      <w:bookmarkEnd w:id="76"/>
      <w:r/>
      <w:bookmarkEnd w:id="77"/>
      <w:r/>
      <w:bookmarkEnd w:id="78"/>
      <w:r>
        <w:rPr>
          <w:rFonts w:hint="eastAsia" w:ascii="黑体" w:hAnsi="黑体" w:eastAsia="黑体" w:cs="黑体"/>
          <w:bCs/>
          <w:sz w:val="32"/>
          <w:szCs w:val="32"/>
        </w:rPr>
        <w:t xml:space="preserve">第六章 </w:t>
      </w:r>
      <w:bookmarkEnd w:id="106"/>
      <w:r>
        <w:rPr>
          <w:rFonts w:hint="eastAsia" w:ascii="黑体" w:hAnsi="黑体" w:eastAsia="黑体" w:cs="黑体"/>
          <w:bCs/>
          <w:sz w:val="32"/>
          <w:szCs w:val="32"/>
        </w:rPr>
        <w:t xml:space="preserve">确定入围及成交供应商</w:t>
      </w:r>
      <w:bookmarkEnd w:id="107"/>
      <w:r/>
      <w:r/>
    </w:p>
    <w:p>
      <w:pPr>
        <w:ind w:firstLine="641"/>
        <w:jc w:val="left"/>
        <w:spacing w:line="560" w:lineRule="exact"/>
        <w:rPr>
          <w:rFonts w:ascii="仿宋_GB2312" w:hAnsi="仿宋_GB2312" w:eastAsia="仿宋_GB2312" w:cs="仿宋_GB2312"/>
          <w:b/>
          <w:sz w:val="32"/>
          <w:szCs w:val="32"/>
        </w:rPr>
      </w:pPr>
      <w:r>
        <w:rPr>
          <w:rFonts w:hint="eastAsia" w:ascii="仿宋_GB2312" w:hAnsi="仿宋_GB2312" w:eastAsia="仿宋_GB2312" w:cs="仿宋_GB2312"/>
          <w:b/>
          <w:sz w:val="32"/>
          <w:szCs w:val="32"/>
        </w:rPr>
        <w:t xml:space="preserve">一、确定第一阶段入围供应商的评审方法和评审标准</w:t>
      </w:r>
      <w:r/>
    </w:p>
    <w:p>
      <w:pPr>
        <w:ind w:firstLine="640"/>
        <w:jc w:val="left"/>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w:t>
      </w:r>
      <w:r>
        <w:rPr>
          <w:rFonts w:hint="eastAsia" w:ascii="仿宋_GB2312" w:hAnsi="仿宋_GB2312" w:eastAsia="仿宋_GB2312" w:cs="仿宋_GB2312"/>
          <w:sz w:val="32"/>
          <w:szCs w:val="32"/>
        </w:rPr>
        <w:t xml:space="preserve">确定第一阶段入围供应商的评审方法为</w:t>
      </w:r>
      <w:r>
        <w:rPr>
          <w:rFonts w:hint="eastAsia" w:ascii="仿宋_GB2312" w:hAnsi="仿宋_GB2312" w:eastAsia="仿宋_GB2312" w:cs="仿宋_GB2312"/>
          <w:b/>
          <w:sz w:val="32"/>
          <w:szCs w:val="32"/>
        </w:rPr>
        <w:t xml:space="preserve">质量优先法</w:t>
      </w:r>
      <w:r>
        <w:rPr>
          <w:rFonts w:hint="eastAsia" w:ascii="仿宋_GB2312" w:hAnsi="仿宋_GB2312" w:eastAsia="仿宋_GB2312" w:cs="仿宋_GB2312"/>
          <w:sz w:val="32"/>
          <w:szCs w:val="32"/>
        </w:rPr>
        <w:t xml:space="preserve">。</w:t>
      </w:r>
      <w:r>
        <w:rPr>
          <w:rFonts w:hint="eastAsia" w:ascii="仿宋_GB2312" w:hAnsi="仿宋_GB2312" w:eastAsia="仿宋_GB2312" w:cs="仿宋_GB2312"/>
          <w:b/>
          <w:sz w:val="32"/>
          <w:szCs w:val="32"/>
        </w:rPr>
        <w:t xml:space="preserve">质量优先法</w:t>
      </w:r>
      <w:r>
        <w:rPr>
          <w:rFonts w:hint="eastAsia" w:ascii="仿宋_GB2312" w:hAnsi="仿宋_GB2312" w:eastAsia="仿宋_GB2312" w:cs="仿宋_GB2312"/>
          <w:color w:val="333333"/>
          <w:sz w:val="32"/>
          <w:szCs w:val="32"/>
          <w:shd w:val="clear" w:color="auto" w:fill="ffffff"/>
        </w:rPr>
        <w:t xml:space="preserve">是指对满足采购需求且响应报价不超过最高限制单价的服务进行质量综合评分，按照质量评分从高到低排序，根据征集文件规定的淘汰率或者入围供应商数量上限，确定入围供应商的评审方法。</w:t>
      </w:r>
      <w:r/>
    </w:p>
    <w:p>
      <w:pPr>
        <w:ind w:firstLine="640"/>
        <w:jc w:val="left"/>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2.入围供应商的淘汰比例：20%，且至少淘汰一家供应商（提交响应文件和符合资格条件、实质性要求的供应商少于2家时，征集活动终止）。</w:t>
      </w:r>
      <w:r/>
    </w:p>
    <w:p>
      <w:pPr>
        <w:ind w:firstLine="640"/>
        <w:jc w:val="left"/>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（1）通过资格审查和符合审查的入围供应商＜7家</w:t>
      </w:r>
      <w:r/>
    </w:p>
    <w:p>
      <w:pPr>
        <w:ind w:firstLine="640"/>
        <w:jc w:val="left"/>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淘汰率20%，向上取整数计算淘汰家数，且至少淘汰一家供应商；符合资格条件、实质性要求的供应商不少于2家。</w:t>
      </w:r>
      <w:r/>
    </w:p>
    <w:p>
      <w:pPr>
        <w:ind w:firstLine="640"/>
        <w:jc w:val="left"/>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（2）通过资格审查和符合审查的入围供应商≥7家</w:t>
      </w:r>
      <w:r/>
    </w:p>
    <w:p>
      <w:pPr>
        <w:ind w:firstLine="640"/>
        <w:jc w:val="left"/>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确定的第一阶段入围供应商数量</w:t>
      </w:r>
      <w:r>
        <w:rPr>
          <w:rFonts w:hint="eastAsia" w:ascii="仿宋_GB2312" w:hAnsi="仿宋_GB2312" w:eastAsia="仿宋_GB2312" w:cs="仿宋_GB2312"/>
          <w:color w:val="333333"/>
          <w:sz w:val="32"/>
          <w:szCs w:val="32"/>
          <w:shd w:val="clear" w:color="auto" w:fill="ffffff"/>
        </w:rPr>
        <w:t xml:space="preserve">上限</w:t>
      </w:r>
      <w:r>
        <w:rPr>
          <w:rFonts w:hint="eastAsia" w:ascii="仿宋_GB2312" w:hAnsi="仿宋_GB2312" w:eastAsia="仿宋_GB2312" w:cs="仿宋_GB2312"/>
          <w:sz w:val="32"/>
          <w:szCs w:val="32"/>
        </w:rPr>
        <w:t xml:space="preserve">为5家。</w:t>
      </w:r>
      <w:r/>
    </w:p>
    <w:p>
      <w:pPr>
        <w:ind w:firstLine="640"/>
        <w:jc w:val="left"/>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评审小组各成员独立对供应商的响应文件按照征集文件的规定和要求进行资格性和符合性评审，如响应文件的内容满足征集文件的实质性要求的，则该响应文件评审合格。如某一条款内容评审不合格，评审专家须注明评审不合格原因。未实质性响应征集文件的响应文件将被认定为无效文件，评审小组应告知有关供应商。</w:t>
      </w:r>
      <w:r/>
    </w:p>
    <w:p>
      <w:pPr>
        <w:ind w:firstLine="640"/>
        <w:jc w:val="left"/>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4.如某一评审条款出现评审专家意见不一致时，则按少数</w:t>
      </w:r>
      <w:r>
        <w:rPr>
          <w:rFonts w:hint="eastAsia" w:ascii="仿宋_GB2312" w:hAnsi="仿宋_GB2312" w:eastAsia="仿宋_GB2312" w:cs="仿宋_GB2312"/>
          <w:sz w:val="32"/>
          <w:szCs w:val="32"/>
        </w:rPr>
        <w:t xml:space="preserve">服从多数的原则，确定该项条款是否合格。在评审合格的供应商中，根据人员综合评分，由低到高的原则确定供应商顺序。评审得分相同且影响供应商入围的，由评审小组以现场抽签的方式决定供应商入围的顺序。</w:t>
      </w:r>
      <w:r/>
    </w:p>
    <w:p>
      <w:pPr>
        <w:ind w:firstLine="640"/>
        <w:jc w:val="left"/>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对评审结果有异议的评审小组成员，应当在评审结果表上签署不同意见并说明理由，评审小组成员拒绝在评审结果表上签字又不书面说明其不同意见和理由的，视为同意评审结果。</w:t>
      </w:r>
      <w:r/>
    </w:p>
    <w:p>
      <w:pPr>
        <w:ind w:firstLine="640"/>
        <w:jc w:val="left"/>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firstLine="640"/>
        <w:jc w:val="left"/>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6.针对中小型企业、残疾人福利企业和监狱企业的评审：</w:t>
      </w:r>
      <w:r/>
    </w:p>
    <w:p>
      <w:pPr>
        <w:ind w:firstLine="641"/>
        <w:jc w:val="left"/>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b/>
          <w:sz w:val="32"/>
          <w:szCs w:val="32"/>
        </w:rPr>
        <w:t xml:space="preserve">由于本项目实行固定价格采购</w:t>
      </w:r>
      <w:r>
        <w:rPr>
          <w:rFonts w:hint="eastAsia" w:ascii="仿宋_GB2312" w:hAnsi="仿宋_GB2312" w:eastAsia="仿宋_GB2312" w:cs="仿宋_GB2312"/>
          <w:b/>
          <w:bCs/>
          <w:sz w:val="32"/>
          <w:szCs w:val="32"/>
        </w:rPr>
        <w:t xml:space="preserve">，</w:t>
      </w:r>
      <w:r>
        <w:rPr>
          <w:rFonts w:hint="eastAsia" w:ascii="仿宋_GB2312" w:hAnsi="仿宋_GB2312" w:eastAsia="仿宋_GB2312" w:cs="仿宋_GB2312"/>
          <w:b/>
          <w:sz w:val="32"/>
          <w:szCs w:val="32"/>
        </w:rPr>
        <w:t xml:space="preserve">评分标准中不设价格评分，</w:t>
      </w:r>
      <w:r>
        <w:rPr>
          <w:rFonts w:hint="eastAsia" w:ascii="仿宋_GB2312" w:hAnsi="仿宋_GB2312" w:eastAsia="仿宋_GB2312" w:cs="仿宋_GB2312"/>
          <w:b/>
          <w:bCs/>
          <w:sz w:val="32"/>
          <w:szCs w:val="32"/>
        </w:rPr>
        <w:t xml:space="preserve">不执行价格评审优惠的扶持政策。</w:t>
      </w:r>
      <w:r/>
    </w:p>
    <w:p>
      <w:pPr>
        <w:ind w:firstLine="640"/>
        <w:jc w:val="left"/>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7.确定第一阶段入围供应商的评审标准</w:t>
      </w:r>
      <w:r/>
    </w:p>
    <w:tbl>
      <w:tblPr>
        <w:tblW w:w="8610" w:type="dxa"/>
        <w:tblInd w:w="1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20"/>
        <w:gridCol w:w="6570"/>
        <w:gridCol w:w="1020"/>
      </w:tblGrid>
      <w:tr>
        <w:trPr>
          <w:trHeight w:val="270"/>
        </w:trPr>
        <w:tc>
          <w:tcPr>
            <w:shd w:val="clear" w:color="auto" w:fill="auto"/>
            <w:tcW w:w="1020" w:type="dxa"/>
            <w:vAlign w:val="center"/>
            <w:textDirection w:val="lrTb"/>
            <w:noWrap w:val="false"/>
          </w:tcPr>
          <w:p>
            <w:pPr>
              <w:jc w:val="center"/>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lang w:bidi="ar"/>
              </w:rPr>
              <w:t xml:space="preserve">评审因素</w:t>
            </w:r>
            <w:r/>
          </w:p>
        </w:tc>
        <w:tc>
          <w:tcPr>
            <w:shd w:val="clear" w:color="auto" w:fill="auto"/>
            <w:tcW w:w="6571" w:type="dxa"/>
            <w:vAlign w:val="center"/>
            <w:textDirection w:val="lrTb"/>
            <w:noWrap w:val="false"/>
          </w:tcPr>
          <w:p>
            <w:pPr>
              <w:jc w:val="center"/>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lang w:bidi="ar"/>
              </w:rPr>
              <w:t xml:space="preserve">评分标准</w:t>
            </w:r>
            <w:r/>
          </w:p>
        </w:tc>
        <w:tc>
          <w:tcPr>
            <w:shd w:val="clear" w:color="auto" w:fill="auto"/>
            <w:tcW w:w="1020" w:type="dxa"/>
            <w:vAlign w:val="center"/>
            <w:textDirection w:val="lrTb"/>
            <w:noWrap/>
          </w:tcPr>
          <w:p>
            <w:pPr>
              <w:jc w:val="center"/>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lang w:bidi="ar"/>
              </w:rPr>
              <w:t xml:space="preserve">分值</w:t>
            </w:r>
            <w:r/>
          </w:p>
        </w:tc>
      </w:tr>
      <w:tr>
        <w:trPr>
          <w:trHeight w:val="1620"/>
        </w:trPr>
        <w:tc>
          <w:tcPr>
            <w:shd w:val="clear" w:color="auto" w:fill="auto"/>
            <w:tcW w:w="1020" w:type="dxa"/>
            <w:vAlign w:val="center"/>
            <w:vMerge w:val="restart"/>
            <w:textDirection w:val="lrTb"/>
            <w:noWrap w:val="false"/>
          </w:tcPr>
          <w:p>
            <w:pPr>
              <w:jc w:val="center"/>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lang w:bidi="ar"/>
              </w:rPr>
              <w:t xml:space="preserve">风险管控和合规经</w:t>
            </w:r>
            <w:r>
              <w:rPr>
                <w:rFonts w:hint="eastAsia" w:ascii="仿宋_GB2312" w:hAnsi="仿宋_GB2312" w:eastAsia="仿宋_GB2312" w:cs="仿宋_GB2312"/>
                <w:sz w:val="32"/>
                <w:szCs w:val="32"/>
                <w:lang w:bidi="ar"/>
              </w:rPr>
              <w:t xml:space="preserve">营能力比较（24  分）</w:t>
            </w:r>
            <w:r/>
          </w:p>
        </w:tc>
        <w:tc>
          <w:tcPr>
            <w:shd w:val="clear" w:color="auto" w:fill="auto"/>
            <w:tcW w:w="6571" w:type="dxa"/>
            <w:vAlign w:val="center"/>
            <w:textDirection w:val="lrTb"/>
            <w:noWrap w:val="false"/>
          </w:tcPr>
          <w:p>
            <w:pPr>
              <w:jc w:val="left"/>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lang w:bidi="ar"/>
              </w:rPr>
              <w:t xml:space="preserve">农业保险管理制度（6分）</w:t>
            </w:r>
            <w:r>
              <w:rPr>
                <w:rFonts w:hint="eastAsia" w:ascii="仿宋_GB2312" w:hAnsi="仿宋_GB2312" w:eastAsia="仿宋_GB2312" w:cs="仿宋_GB2312"/>
                <w:sz w:val="32"/>
                <w:szCs w:val="32"/>
                <w:lang w:bidi="ar"/>
              </w:rPr>
              <w:br/>
              <w:t xml:space="preserve">参评供应商制定或执行上级单位有关农业保险客户回访（1分）、投诉管理（1分）、承保理赔（1分）、费用管理（1分）、内部稽</w:t>
            </w:r>
            <w:r>
              <w:rPr>
                <w:rFonts w:hint="eastAsia" w:ascii="仿宋_GB2312" w:hAnsi="仿宋_GB2312" w:eastAsia="仿宋_GB2312" w:cs="仿宋_GB2312"/>
                <w:sz w:val="32"/>
                <w:szCs w:val="32"/>
                <w:lang w:bidi="ar"/>
              </w:rPr>
              <w:t xml:space="preserve">核（1分）、档案管理（1分）等管理制度，每提供一项制度得1分。未提供相关材料或提交内容不符合前述要求的，不予计分。本项最高累计得6分。【须提供上级单位或本公司农业保险内控制度文件】</w:t>
            </w:r>
            <w:r/>
          </w:p>
        </w:tc>
        <w:tc>
          <w:tcPr>
            <w:shd w:val="clear" w:color="auto" w:fill="auto"/>
            <w:tcW w:w="0" w:type="auto"/>
            <w:vAlign w:val="center"/>
            <w:textDirection w:val="lrTb"/>
            <w:noWrap/>
          </w:tcPr>
          <w:p>
            <w:pPr>
              <w:jc w:val="center"/>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lang w:bidi="ar"/>
              </w:rPr>
              <w:t xml:space="preserve">6</w:t>
            </w:r>
            <w:r/>
          </w:p>
        </w:tc>
      </w:tr>
      <w:tr>
        <w:trPr>
          <w:trHeight w:val="1890"/>
        </w:trPr>
        <w:tc>
          <w:tcPr>
            <w:shd w:val="clear" w:color="auto" w:fill="auto"/>
            <w:tcW w:w="1020" w:type="dxa"/>
            <w:vAlign w:val="center"/>
            <w:vMerge w:val="continue"/>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shd w:val="clear" w:color="auto" w:fill="auto"/>
            <w:tcW w:w="6571" w:type="dxa"/>
            <w:vAlign w:val="center"/>
            <w:textDirection w:val="lrTb"/>
            <w:noWrap w:val="false"/>
          </w:tcPr>
          <w:p>
            <w:pPr>
              <w:jc w:val="left"/>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lang w:bidi="ar"/>
              </w:rPr>
              <w:t xml:space="preserve">上年度末风险综合评级（6分）</w:t>
            </w:r>
            <w:r>
              <w:rPr>
                <w:rFonts w:hint="eastAsia" w:ascii="仿宋_GB2312" w:hAnsi="仿宋_GB2312" w:eastAsia="仿宋_GB2312" w:cs="仿宋_GB2312"/>
                <w:sz w:val="32"/>
                <w:szCs w:val="32"/>
                <w:lang w:bidi="ar"/>
              </w:rPr>
              <w:br/>
              <w:t xml:space="preserve">参评供应商总公司上年度末（2025年第四季度）分类监管风险综合评级，评级为B级得1分、BB级得2分、BBB级得3分、A级得4分、AA级得5分、AAA级得6分，其余评级不得分。未提供相关材料或提交内容不符合前述要求的，不予计分。【须提供国家金融监督管理总局C-ROSS偿付能力监管信息系统相关内容截图（含网站页面）】</w:t>
            </w:r>
            <w:r/>
          </w:p>
        </w:tc>
        <w:tc>
          <w:tcPr>
            <w:shd w:val="clear" w:color="auto" w:fill="auto"/>
            <w:tcW w:w="0" w:type="auto"/>
            <w:vAlign w:val="center"/>
            <w:textDirection w:val="lrTb"/>
            <w:noWrap/>
          </w:tcPr>
          <w:p>
            <w:pPr>
              <w:jc w:val="center"/>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lang w:bidi="ar"/>
              </w:rPr>
              <w:t xml:space="preserve">6</w:t>
            </w:r>
            <w:r/>
          </w:p>
        </w:tc>
      </w:tr>
      <w:tr>
        <w:trPr>
          <w:trHeight w:val="1350"/>
        </w:trPr>
        <w:tc>
          <w:tcPr>
            <w:shd w:val="clear" w:color="auto" w:fill="auto"/>
            <w:tcW w:w="1020" w:type="dxa"/>
            <w:vAlign w:val="center"/>
            <w:vMerge w:val="continue"/>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shd w:val="clear" w:color="auto" w:fill="auto"/>
            <w:tcW w:w="6571" w:type="dxa"/>
            <w:vAlign w:val="center"/>
            <w:textDirection w:val="lrTb"/>
            <w:noWrap w:val="false"/>
          </w:tcPr>
          <w:p>
            <w:pPr>
              <w:jc w:val="left"/>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lang w:bidi="ar"/>
              </w:rPr>
              <w:t xml:space="preserve">大灾风险分散（再保险）（6分）</w:t>
            </w:r>
            <w:r>
              <w:rPr>
                <w:rFonts w:hint="eastAsia" w:ascii="仿宋_GB2312" w:hAnsi="仿宋_GB2312" w:eastAsia="仿宋_GB2312" w:cs="仿宋_GB2312"/>
                <w:sz w:val="32"/>
                <w:szCs w:val="32"/>
                <w:lang w:bidi="ar"/>
              </w:rPr>
              <w:br/>
              <w:t xml:space="preserve">参评供应商总公司与中国农业再保险股份有限公司签署当期有效的《政策性农业保险再保险标准协议》得6分，未提供相关材料或提交内容不符合前述要求的，不予计分。【须提供《政策性农业保险再保险标准协议》扫描件】</w:t>
            </w:r>
            <w:r/>
          </w:p>
        </w:tc>
        <w:tc>
          <w:tcPr>
            <w:shd w:val="clear" w:color="auto" w:fill="auto"/>
            <w:tcW w:w="0" w:type="auto"/>
            <w:vAlign w:val="center"/>
            <w:textDirection w:val="lrTb"/>
            <w:noWrap/>
          </w:tcPr>
          <w:p>
            <w:pPr>
              <w:jc w:val="center"/>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lang w:bidi="ar"/>
              </w:rPr>
              <w:t xml:space="preserve">6</w:t>
            </w:r>
            <w:r/>
          </w:p>
        </w:tc>
      </w:tr>
      <w:tr>
        <w:trPr>
          <w:trHeight w:val="1620"/>
        </w:trPr>
        <w:tc>
          <w:tcPr>
            <w:shd w:val="clear" w:color="auto" w:fill="auto"/>
            <w:tcW w:w="1020" w:type="dxa"/>
            <w:vAlign w:val="center"/>
            <w:vMerge w:val="continue"/>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shd w:val="clear" w:color="auto" w:fill="auto"/>
            <w:tcW w:w="6571" w:type="dxa"/>
            <w:vAlign w:val="center"/>
            <w:textDirection w:val="lrTb"/>
            <w:noWrap w:val="false"/>
          </w:tcPr>
          <w:p>
            <w:pPr>
              <w:jc w:val="left"/>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lang w:bidi="ar"/>
              </w:rPr>
              <w:t xml:space="preserve">大灾风险分散（准备金）（6分）</w:t>
            </w:r>
            <w:r>
              <w:rPr>
                <w:rFonts w:hint="eastAsia" w:ascii="仿宋_GB2312" w:hAnsi="仿宋_GB2312" w:eastAsia="仿宋_GB2312" w:cs="仿宋_GB2312"/>
                <w:sz w:val="32"/>
                <w:szCs w:val="32"/>
                <w:lang w:bidi="ar"/>
              </w:rPr>
              <w:br/>
              <w:t xml:space="preserve">参评供应商或省级分支机构已按照财政部《农业保险大灾风险准备金管理办法》（财金〔2013〕129号）规定计提农业大灾风险准备金得6分，未提供相关材料或提交内容不符合前述要求的，不予计分。【须提供向省级财政部门报送的大灾风险准备金的计提、使用、管理等情况报告】</w:t>
            </w:r>
            <w:r/>
          </w:p>
        </w:tc>
        <w:tc>
          <w:tcPr>
            <w:shd w:val="clear" w:color="auto" w:fill="auto"/>
            <w:tcW w:w="0" w:type="auto"/>
            <w:vAlign w:val="center"/>
            <w:textDirection w:val="lrTb"/>
            <w:noWrap/>
          </w:tcPr>
          <w:p>
            <w:pPr>
              <w:jc w:val="center"/>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lang w:bidi="ar"/>
              </w:rPr>
              <w:t xml:space="preserve">6</w:t>
            </w:r>
            <w:r/>
          </w:p>
        </w:tc>
      </w:tr>
      <w:tr>
        <w:trPr>
          <w:trHeight w:val="2970"/>
        </w:trPr>
        <w:tc>
          <w:tcPr>
            <w:shd w:val="clear" w:color="auto" w:fill="auto"/>
            <w:tcW w:w="1020" w:type="dxa"/>
            <w:vAlign w:val="center"/>
            <w:vMerge w:val="restart"/>
            <w:textDirection w:val="lrTb"/>
            <w:noWrap w:val="false"/>
          </w:tcPr>
          <w:p>
            <w:pPr>
              <w:jc w:val="center"/>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lang w:bidi="ar"/>
              </w:rPr>
              <w:t xml:space="preserve">服务能力和服务方案比较（76分）</w:t>
            </w:r>
            <w:r/>
          </w:p>
        </w:tc>
        <w:tc>
          <w:tcPr>
            <w:shd w:val="clear" w:color="auto" w:fill="auto"/>
            <w:tcW w:w="6571" w:type="dxa"/>
            <w:vAlign w:val="center"/>
            <w:textDirection w:val="lrTb"/>
            <w:noWrap w:val="false"/>
          </w:tcPr>
          <w:p>
            <w:pPr>
              <w:jc w:val="left"/>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lang w:bidi="ar"/>
              </w:rPr>
              <w:t xml:space="preserve">上年末综合偿付能力充足率（6分）</w:t>
            </w:r>
            <w:r>
              <w:rPr>
                <w:rFonts w:hint="eastAsia" w:ascii="仿宋_GB2312" w:hAnsi="仿宋_GB2312" w:eastAsia="仿宋_GB2312" w:cs="仿宋_GB2312"/>
                <w:sz w:val="32"/>
                <w:szCs w:val="32"/>
                <w:lang w:bidi="ar"/>
              </w:rPr>
              <w:br/>
              <w:t xml:space="preserve">参评供应商总公司上年度末（</w:t>
            </w:r>
            <w:r>
              <w:rPr>
                <w:rFonts w:hint="eastAsia" w:ascii="仿宋_GB2312" w:hAnsi="仿宋_GB2312" w:eastAsia="仿宋_GB2312" w:cs="仿宋_GB2312"/>
                <w:sz w:val="32"/>
                <w:szCs w:val="32"/>
                <w:lang w:bidi="ar"/>
              </w:rPr>
              <w:t xml:space="preserve">2025年第四季度）的综合偿付能力充足率需达到180%以上、专业性农业保险公司综合偿付能力充足率需达到150%以上的相关要求执行。评分规则如下：以180%为基准值，达到基准值可得1分，低于基准值不得分；高于基准值的，每提升30%增加1分，即：180%（不含）-210%（含）得2分、210%（不含）-240%（含）得3分、240%（不含）-270%（含）得4分、270%（不含）-300%（含）得5分、300%以上得6分。未提供相关材料或提交内容不符合前述要求的，不予计分。【须提供2025年度偿付能力审计报告】</w:t>
            </w:r>
            <w:r/>
          </w:p>
        </w:tc>
        <w:tc>
          <w:tcPr>
            <w:shd w:val="clear" w:color="auto" w:fill="auto"/>
            <w:tcW w:w="0" w:type="auto"/>
            <w:vAlign w:val="center"/>
            <w:textDirection w:val="lrTb"/>
            <w:noWrap/>
          </w:tcPr>
          <w:p>
            <w:pPr>
              <w:jc w:val="center"/>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lang w:bidi="ar"/>
              </w:rPr>
              <w:t xml:space="preserve">6</w:t>
            </w:r>
            <w:r/>
          </w:p>
        </w:tc>
      </w:tr>
      <w:tr>
        <w:trPr>
          <w:trHeight w:val="2160"/>
        </w:trPr>
        <w:tc>
          <w:tcPr>
            <w:shd w:val="clear" w:color="auto" w:fill="auto"/>
            <w:tcW w:w="1020" w:type="dxa"/>
            <w:vAlign w:val="center"/>
            <w:vMerge w:val="continue"/>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shd w:val="clear" w:color="auto" w:fill="auto"/>
            <w:tcW w:w="6571" w:type="dxa"/>
            <w:vAlign w:val="center"/>
            <w:textDirection w:val="lrTb"/>
            <w:noWrap w:val="false"/>
          </w:tcPr>
          <w:p>
            <w:pPr>
              <w:jc w:val="left"/>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lang w:bidi="ar"/>
              </w:rPr>
              <w:t xml:space="preserve">农业保险业务信息管理系统（6分）</w:t>
            </w:r>
            <w:r>
              <w:rPr>
                <w:rFonts w:hint="eastAsia" w:ascii="仿宋_GB2312" w:hAnsi="仿宋_GB2312" w:eastAsia="仿宋_GB2312" w:cs="仿宋_GB2312"/>
                <w:sz w:val="32"/>
                <w:szCs w:val="32"/>
                <w:lang w:bidi="ar"/>
              </w:rPr>
              <w:br/>
              <w:t xml:space="preserve">参评供应商须具备相对独立、功能完善的农业保险管理系统，系统拥有数据统计与分析功能，可得3分；可直接导出农险承保数据加1分、理赔数据加1分、批改数据加1分。未提供相关材料或提交内容不符合前述要求的，不予计分。本项最高累计得6分。【须提供农业保险信息系统功能截图，截图应能清晰体现供应商信息，或包含其他可明确证明系统确为供应商所有的特征】</w:t>
            </w:r>
            <w:r/>
          </w:p>
        </w:tc>
        <w:tc>
          <w:tcPr>
            <w:shd w:val="clear" w:color="auto" w:fill="auto"/>
            <w:tcW w:w="0" w:type="auto"/>
            <w:vAlign w:val="center"/>
            <w:textDirection w:val="lrTb"/>
            <w:noWrap/>
          </w:tcPr>
          <w:p>
            <w:pPr>
              <w:jc w:val="center"/>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lang w:bidi="ar"/>
              </w:rPr>
              <w:t xml:space="preserve">6</w:t>
            </w:r>
            <w:r/>
          </w:p>
        </w:tc>
      </w:tr>
      <w:tr>
        <w:trPr>
          <w:trHeight w:val="2160"/>
        </w:trPr>
        <w:tc>
          <w:tcPr>
            <w:shd w:val="clear" w:color="auto" w:fill="auto"/>
            <w:tcW w:w="1020" w:type="dxa"/>
            <w:vAlign w:val="center"/>
            <w:vMerge w:val="continue"/>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shd w:val="clear" w:color="auto" w:fill="auto"/>
            <w:tcW w:w="6571" w:type="dxa"/>
            <w:vAlign w:val="center"/>
            <w:textDirection w:val="lrTb"/>
            <w:noWrap w:val="false"/>
          </w:tcPr>
          <w:p>
            <w:pPr>
              <w:jc w:val="left"/>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lang w:bidi="ar"/>
              </w:rPr>
              <w:t xml:space="preserve">农业保险科技赋能（6分）</w:t>
            </w:r>
            <w:r>
              <w:rPr>
                <w:rFonts w:hint="eastAsia" w:ascii="仿宋_GB2312" w:hAnsi="仿宋_GB2312" w:eastAsia="仿宋_GB2312" w:cs="仿宋_GB2312"/>
                <w:sz w:val="32"/>
                <w:szCs w:val="32"/>
                <w:lang w:bidi="ar"/>
              </w:rPr>
              <w:br/>
              <w:t xml:space="preserve">参评供应商依托卫星遥感、移动互联网等技术开展农业保险线上承保理赔服务（1分），其所使用的移动端具备显示保险标的位置（1分）、显示保险标的权属信息（1分）、识别保险标的数量（1分）、支持查验材料上传（1分）、支持保单查询（1分），每具备一项能力得1分。未提供相关材料或提交内容不符合前述要求的，不予计分。本项最高累计得6分。【须提供相关工具照片及能够显示对应功能的证明材料】</w:t>
            </w:r>
            <w:r/>
          </w:p>
        </w:tc>
        <w:tc>
          <w:tcPr>
            <w:shd w:val="clear" w:color="auto" w:fill="auto"/>
            <w:tcW w:w="0" w:type="auto"/>
            <w:vAlign w:val="center"/>
            <w:textDirection w:val="lrTb"/>
            <w:noWrap/>
          </w:tcPr>
          <w:p>
            <w:pPr>
              <w:jc w:val="center"/>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lang w:bidi="ar"/>
              </w:rPr>
              <w:t xml:space="preserve">6</w:t>
            </w:r>
            <w:r/>
          </w:p>
        </w:tc>
      </w:tr>
      <w:tr>
        <w:trPr>
          <w:trHeight w:val="2430"/>
        </w:trPr>
        <w:tc>
          <w:tcPr>
            <w:shd w:val="clear" w:color="auto" w:fill="auto"/>
            <w:tcW w:w="1020" w:type="dxa"/>
            <w:vAlign w:val="center"/>
            <w:vMerge w:val="continue"/>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shd w:val="clear" w:color="auto" w:fill="auto"/>
            <w:tcW w:w="6571" w:type="dxa"/>
            <w:vAlign w:val="center"/>
            <w:textDirection w:val="lrTb"/>
            <w:noWrap w:val="false"/>
          </w:tcPr>
          <w:p>
            <w:pPr>
              <w:jc w:val="left"/>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lang w:bidi="ar"/>
              </w:rPr>
              <w:t xml:space="preserve">保险理赔及时性（10分）</w:t>
            </w:r>
            <w:r>
              <w:rPr>
                <w:rFonts w:hint="eastAsia" w:ascii="仿宋_GB2312" w:hAnsi="仿宋_GB2312" w:eastAsia="仿宋_GB2312" w:cs="仿宋_GB2312"/>
                <w:sz w:val="32"/>
                <w:szCs w:val="32"/>
                <w:lang w:bidi="ar"/>
              </w:rPr>
              <w:br/>
              <w:t xml:space="preserve">参评供应商提供2025年1月1日至12月31日期间，政策性农业保险理赔结案率（结案数/立案数），评分规则如下：结案率95%（含）以上得10分、90%（含）至95%（不含）得9分、85%（含）至90%（不含）得7分、80%（含）至85%（不含）得5分、低于80%不得分；若无政策性农业保险理赔案件，可提供全部险种理赔结案率作为计算依据。未提供相关材料或提交内容不符合前述要求的，不予计分。【须提供保险业务管理系统统计截图或保险行业协会或保险监管部门发布信息材料】</w:t>
            </w:r>
            <w:r/>
          </w:p>
        </w:tc>
        <w:tc>
          <w:tcPr>
            <w:shd w:val="clear" w:color="auto" w:fill="auto"/>
            <w:tcW w:w="0" w:type="auto"/>
            <w:vAlign w:val="center"/>
            <w:textDirection w:val="lrTb"/>
            <w:noWrap/>
          </w:tcPr>
          <w:p>
            <w:pPr>
              <w:jc w:val="center"/>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lang w:bidi="ar"/>
              </w:rPr>
              <w:t xml:space="preserve">10</w:t>
            </w:r>
            <w:r/>
          </w:p>
        </w:tc>
      </w:tr>
      <w:tr>
        <w:trPr>
          <w:trHeight w:val="2205"/>
        </w:trPr>
        <w:tc>
          <w:tcPr>
            <w:shd w:val="clear" w:color="auto" w:fill="auto"/>
            <w:tcW w:w="1020" w:type="dxa"/>
            <w:vAlign w:val="center"/>
            <w:vMerge w:val="continue"/>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shd w:val="clear" w:color="auto" w:fill="auto"/>
            <w:tcW w:w="6571" w:type="dxa"/>
            <w:vAlign w:val="center"/>
            <w:textDirection w:val="lrTb"/>
            <w:noWrap w:val="false"/>
          </w:tcPr>
          <w:p>
            <w:pPr>
              <w:jc w:val="left"/>
              <w:spacing w:line="560" w:lineRule="exact"/>
              <w:widowControl/>
              <w:rPr>
                <w:rStyle w:val="978"/>
                <w:rFonts w:hint="default" w:ascii="仿宋_GB2312" w:hAnsi="仿宋_GB2312" w:eastAsia="仿宋_GB2312" w:cs="仿宋_GB2312"/>
                <w:color w:val="auto"/>
                <w:sz w:val="32"/>
                <w:szCs w:val="32"/>
                <w:lang w:bidi="ar"/>
              </w:rPr>
            </w:pPr>
            <w:r>
              <w:rPr>
                <w:rStyle w:val="977"/>
                <w:rFonts w:hint="default" w:ascii="仿宋_GB2312" w:hAnsi="仿宋_GB2312" w:eastAsia="仿宋_GB2312" w:cs="仿宋_GB2312"/>
                <w:color w:val="auto"/>
                <w:sz w:val="32"/>
                <w:szCs w:val="32"/>
                <w:lang w:bidi="ar"/>
              </w:rPr>
              <w:t xml:space="preserve">农业保险</w:t>
            </w:r>
            <w:r>
              <w:rPr>
                <w:rStyle w:val="978"/>
                <w:rFonts w:hint="default" w:ascii="仿宋_GB2312" w:hAnsi="仿宋_GB2312" w:eastAsia="仿宋_GB2312" w:cs="仿宋_GB2312"/>
                <w:color w:val="auto"/>
                <w:sz w:val="32"/>
                <w:szCs w:val="32"/>
                <w:lang w:bidi="ar"/>
              </w:rPr>
              <w:t xml:space="preserve">服务水平（10分）</w:t>
            </w:r>
            <w:r/>
          </w:p>
          <w:p>
            <w:pPr>
              <w:jc w:val="left"/>
              <w:spacing w:line="560" w:lineRule="exact"/>
              <w:widowControl/>
              <w:rPr>
                <w:rStyle w:val="978"/>
                <w:rFonts w:hint="default" w:ascii="仿宋_GB2312" w:hAnsi="仿宋_GB2312" w:eastAsia="仿宋_GB2312" w:cs="仿宋_GB2312"/>
                <w:color w:val="auto"/>
                <w:sz w:val="32"/>
                <w:szCs w:val="32"/>
                <w:lang w:bidi="ar"/>
              </w:rPr>
            </w:pPr>
            <w:r>
              <w:rPr>
                <w:rStyle w:val="978"/>
                <w:rFonts w:hint="default" w:ascii="仿宋_GB2312" w:hAnsi="仿宋_GB2312" w:eastAsia="仿宋_GB2312" w:cs="仿宋_GB2312"/>
                <w:color w:val="auto"/>
                <w:sz w:val="32"/>
                <w:szCs w:val="32"/>
                <w:lang w:bidi="ar"/>
              </w:rPr>
              <w:t xml:space="preserve">1.参评供应商与县区级以上政府农业保险管理部门签订农业保险服务协议（合同），每份协议（合同）得2分，</w:t>
            </w:r>
            <w:r>
              <w:rPr>
                <w:rStyle w:val="979"/>
                <w:rFonts w:hint="default" w:ascii="仿宋_GB2312" w:hAnsi="仿宋_GB2312" w:eastAsia="仿宋_GB2312" w:cs="仿宋_GB2312"/>
                <w:color w:val="auto"/>
                <w:sz w:val="32"/>
                <w:szCs w:val="32"/>
                <w:lang w:bidi="ar"/>
              </w:rPr>
              <w:t xml:space="preserve">本部分最多得5分</w:t>
            </w:r>
            <w:r>
              <w:rPr>
                <w:rStyle w:val="978"/>
                <w:rFonts w:hint="default" w:ascii="仿宋_GB2312" w:hAnsi="仿宋_GB2312" w:eastAsia="仿宋_GB2312" w:cs="仿宋_GB2312"/>
                <w:color w:val="auto"/>
                <w:sz w:val="32"/>
                <w:szCs w:val="32"/>
                <w:lang w:bidi="ar"/>
              </w:rPr>
              <w:t xml:space="preserve">。</w:t>
            </w:r>
            <w:r/>
          </w:p>
          <w:p>
            <w:pPr>
              <w:jc w:val="left"/>
              <w:spacing w:line="560" w:lineRule="exact"/>
              <w:widowControl/>
              <w:rPr>
                <w:rStyle w:val="978"/>
                <w:rFonts w:hint="default" w:ascii="仿宋_GB2312" w:hAnsi="仿宋_GB2312" w:eastAsia="仿宋_GB2312" w:cs="仿宋_GB2312"/>
                <w:color w:val="auto"/>
                <w:sz w:val="32"/>
                <w:szCs w:val="32"/>
                <w:lang w:bidi="ar"/>
              </w:rPr>
            </w:pPr>
            <w:r>
              <w:rPr>
                <w:rStyle w:val="978"/>
                <w:rFonts w:hint="default" w:ascii="仿宋_GB2312" w:hAnsi="仿宋_GB2312" w:eastAsia="仿宋_GB2312" w:cs="仿宋_GB2312"/>
                <w:color w:val="auto"/>
                <w:sz w:val="32"/>
                <w:szCs w:val="32"/>
                <w:lang w:bidi="ar"/>
              </w:rPr>
              <w:t xml:space="preserve">2.参评供应商履约服务评价，每获评“优”等级（或评分90分及以上）加1分，每获评“良”等级（或评分80分及以上）加0.5分</w:t>
            </w:r>
            <w:r>
              <w:rPr>
                <w:rStyle w:val="979"/>
                <w:rFonts w:hint="default" w:ascii="仿宋_GB2312" w:hAnsi="仿宋_GB2312" w:eastAsia="仿宋_GB2312" w:cs="仿宋_GB2312"/>
                <w:color w:val="auto"/>
                <w:sz w:val="32"/>
                <w:szCs w:val="32"/>
                <w:lang w:bidi="ar"/>
              </w:rPr>
              <w:t xml:space="preserve">，本部分最多得5分</w:t>
            </w:r>
            <w:r>
              <w:rPr>
                <w:rStyle w:val="978"/>
                <w:rFonts w:hint="default" w:ascii="仿宋_GB2312" w:hAnsi="仿宋_GB2312" w:eastAsia="仿宋_GB2312" w:cs="仿宋_GB2312"/>
                <w:color w:val="auto"/>
                <w:sz w:val="32"/>
                <w:szCs w:val="32"/>
                <w:lang w:bidi="ar"/>
              </w:rPr>
              <w:t xml:space="preserve">。</w:t>
            </w:r>
            <w:r/>
          </w:p>
          <w:p>
            <w:pPr>
              <w:jc w:val="left"/>
              <w:spacing w:line="560" w:lineRule="exact"/>
              <w:widowControl/>
              <w:rPr>
                <w:rFonts w:ascii="仿宋_GB2312" w:hAnsi="仿宋_GB2312" w:eastAsia="仿宋_GB2312" w:cs="仿宋_GB2312"/>
                <w:sz w:val="32"/>
                <w:szCs w:val="32"/>
              </w:rPr>
            </w:pPr>
            <w:r>
              <w:rPr>
                <w:rStyle w:val="978"/>
                <w:rFonts w:hint="default" w:ascii="仿宋_GB2312" w:hAnsi="仿宋_GB2312" w:eastAsia="仿宋_GB2312" w:cs="仿宋_GB2312"/>
                <w:color w:val="auto"/>
                <w:sz w:val="32"/>
                <w:szCs w:val="32"/>
                <w:lang w:bidi="ar"/>
              </w:rPr>
              <w:t xml:space="preserve">本项最高累计得10分。【</w:t>
            </w:r>
            <w:r>
              <w:rPr>
                <w:rFonts w:hint="eastAsia" w:ascii="仿宋_GB2312" w:hAnsi="仿宋_GB2312" w:eastAsia="仿宋_GB2312" w:cs="仿宋_GB2312"/>
                <w:sz w:val="32"/>
                <w:szCs w:val="32"/>
                <w:lang w:bidi="ar"/>
              </w:rPr>
              <w:t xml:space="preserve">须</w:t>
            </w:r>
            <w:r>
              <w:rPr>
                <w:rStyle w:val="978"/>
                <w:rFonts w:hint="default" w:ascii="仿宋_GB2312" w:hAnsi="仿宋_GB2312" w:eastAsia="仿宋_GB2312" w:cs="仿宋_GB2312"/>
                <w:color w:val="auto"/>
                <w:sz w:val="32"/>
                <w:szCs w:val="32"/>
                <w:lang w:bidi="ar"/>
              </w:rPr>
              <w:t xml:space="preserve">提供协议（合同）及年度服务评价结果文件】</w:t>
            </w:r>
            <w:r/>
          </w:p>
        </w:tc>
        <w:tc>
          <w:tcPr>
            <w:shd w:val="clear" w:color="auto" w:fill="auto"/>
            <w:tcW w:w="0" w:type="auto"/>
            <w:vAlign w:val="center"/>
            <w:textDirection w:val="lrTb"/>
            <w:noWrap/>
          </w:tcPr>
          <w:p>
            <w:pPr>
              <w:jc w:val="center"/>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lang w:bidi="ar"/>
              </w:rPr>
              <w:t xml:space="preserve">10</w:t>
            </w:r>
            <w:r/>
          </w:p>
        </w:tc>
      </w:tr>
      <w:tr>
        <w:trPr>
          <w:trHeight w:val="2440"/>
        </w:trPr>
        <w:tc>
          <w:tcPr>
            <w:shd w:val="clear" w:color="auto" w:fill="auto"/>
            <w:tcW w:w="1020" w:type="dxa"/>
            <w:vAlign w:val="center"/>
            <w:vMerge w:val="continue"/>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shd w:val="clear" w:color="auto" w:fill="auto"/>
            <w:tcW w:w="6571" w:type="dxa"/>
            <w:vAlign w:val="center"/>
            <w:textDirection w:val="lrTb"/>
            <w:noWrap w:val="false"/>
          </w:tcPr>
          <w:p>
            <w:pPr>
              <w:jc w:val="left"/>
              <w:spacing w:line="560" w:lineRule="exact"/>
              <w:widowControl/>
              <w:rPr>
                <w:rStyle w:val="977"/>
                <w:rFonts w:hint="default" w:ascii="仿宋_GB2312" w:hAnsi="仿宋_GB2312" w:eastAsia="仿宋_GB2312" w:cs="仿宋_GB2312"/>
                <w:color w:val="auto"/>
                <w:sz w:val="32"/>
                <w:szCs w:val="32"/>
                <w:lang w:bidi="ar"/>
              </w:rPr>
            </w:pPr>
            <w:r>
              <w:rPr>
                <w:rStyle w:val="977"/>
                <w:rFonts w:hint="default" w:ascii="仿宋_GB2312" w:hAnsi="仿宋_GB2312" w:eastAsia="仿宋_GB2312" w:cs="仿宋_GB2312"/>
                <w:color w:val="auto"/>
                <w:sz w:val="32"/>
                <w:szCs w:val="32"/>
                <w:lang w:bidi="ar"/>
              </w:rPr>
              <w:t xml:space="preserve">农业保险基层服务能力（10分）</w:t>
            </w:r>
            <w:r/>
          </w:p>
          <w:p>
            <w:pPr>
              <w:jc w:val="left"/>
              <w:spacing w:line="560" w:lineRule="exact"/>
              <w:widowControl/>
              <w:rPr>
                <w:rStyle w:val="977"/>
                <w:rFonts w:hint="default" w:ascii="仿宋_GB2312" w:hAnsi="仿宋_GB2312" w:eastAsia="仿宋_GB2312" w:cs="仿宋_GB2312"/>
                <w:color w:val="auto"/>
                <w:sz w:val="32"/>
                <w:szCs w:val="32"/>
                <w:lang w:bidi="ar"/>
              </w:rPr>
            </w:pPr>
            <w:r>
              <w:rPr>
                <w:rStyle w:val="977"/>
                <w:rFonts w:hint="default" w:ascii="仿宋_GB2312" w:hAnsi="仿宋_GB2312" w:eastAsia="仿宋_GB2312" w:cs="仿宋_GB2312"/>
                <w:color w:val="auto"/>
                <w:sz w:val="32"/>
                <w:szCs w:val="32"/>
                <w:lang w:bidi="ar"/>
              </w:rPr>
              <w:t xml:space="preserve">参评供应商结合遴选区域实际情况，设立基层服务网点。1.县区级服务网点内设农业保险责任部门并配置专职人员</w:t>
            </w:r>
            <w:r>
              <w:rPr>
                <w:rStyle w:val="980"/>
                <w:rFonts w:hint="default" w:ascii="仿宋_GB2312" w:hAnsi="仿宋_GB2312" w:eastAsia="仿宋_GB2312" w:cs="仿宋_GB2312"/>
                <w:color w:val="auto"/>
                <w:sz w:val="32"/>
                <w:szCs w:val="32"/>
                <w:lang w:bidi="ar"/>
              </w:rPr>
              <w:t xml:space="preserve">得2分，本部分最多得2分</w:t>
            </w:r>
            <w:r>
              <w:rPr>
                <w:rStyle w:val="977"/>
                <w:rFonts w:hint="default" w:ascii="仿宋_GB2312" w:hAnsi="仿宋_GB2312" w:eastAsia="仿宋_GB2312" w:cs="仿宋_GB2312"/>
                <w:color w:val="auto"/>
                <w:sz w:val="32"/>
                <w:szCs w:val="32"/>
                <w:lang w:bidi="ar"/>
              </w:rPr>
              <w:t xml:space="preserve">。</w:t>
            </w:r>
            <w:r/>
          </w:p>
          <w:p>
            <w:pPr>
              <w:jc w:val="left"/>
              <w:spacing w:line="560" w:lineRule="exact"/>
              <w:widowControl/>
              <w:rPr>
                <w:rStyle w:val="977"/>
                <w:rFonts w:hint="default" w:ascii="仿宋_GB2312" w:hAnsi="仿宋_GB2312" w:eastAsia="仿宋_GB2312" w:cs="仿宋_GB2312"/>
                <w:color w:val="auto"/>
                <w:sz w:val="32"/>
                <w:szCs w:val="32"/>
                <w:lang w:bidi="ar"/>
              </w:rPr>
            </w:pPr>
            <w:r>
              <w:rPr>
                <w:rStyle w:val="977"/>
                <w:rFonts w:hint="default" w:ascii="仿宋_GB2312" w:hAnsi="仿宋_GB2312" w:eastAsia="仿宋_GB2312" w:cs="仿宋_GB2312"/>
                <w:color w:val="auto"/>
                <w:sz w:val="32"/>
                <w:szCs w:val="32"/>
                <w:lang w:bidi="ar"/>
              </w:rPr>
              <w:t xml:space="preserve">2.设立乡镇服务网点并配置具备农业保险经验的人员得1分，</w:t>
            </w:r>
            <w:r>
              <w:rPr>
                <w:rStyle w:val="980"/>
                <w:rFonts w:hint="default" w:ascii="仿宋_GB2312" w:hAnsi="仿宋_GB2312" w:eastAsia="仿宋_GB2312" w:cs="仿宋_GB2312"/>
                <w:color w:val="auto"/>
                <w:sz w:val="32"/>
                <w:szCs w:val="32"/>
                <w:lang w:bidi="ar"/>
              </w:rPr>
              <w:t xml:space="preserve">本部分最多得8分</w:t>
            </w:r>
            <w:r>
              <w:rPr>
                <w:rStyle w:val="977"/>
                <w:rFonts w:hint="default" w:ascii="仿宋_GB2312" w:hAnsi="仿宋_GB2312" w:eastAsia="仿宋_GB2312" w:cs="仿宋_GB2312"/>
                <w:color w:val="auto"/>
                <w:sz w:val="32"/>
                <w:szCs w:val="32"/>
                <w:lang w:bidi="ar"/>
              </w:rPr>
              <w:t xml:space="preserve">。</w:t>
            </w:r>
            <w:r/>
          </w:p>
          <w:p>
            <w:pPr>
              <w:jc w:val="left"/>
              <w:spacing w:line="560" w:lineRule="exact"/>
              <w:widowControl/>
              <w:rPr>
                <w:rFonts w:ascii="仿宋_GB2312" w:hAnsi="仿宋_GB2312" w:eastAsia="仿宋_GB2312" w:cs="仿宋_GB2312"/>
                <w:sz w:val="32"/>
                <w:szCs w:val="32"/>
              </w:rPr>
            </w:pPr>
            <w:r>
              <w:rPr>
                <w:rStyle w:val="977"/>
                <w:rFonts w:hint="default" w:ascii="仿宋_GB2312" w:hAnsi="仿宋_GB2312" w:eastAsia="仿宋_GB2312" w:cs="仿宋_GB2312"/>
                <w:color w:val="auto"/>
                <w:sz w:val="32"/>
                <w:szCs w:val="32"/>
                <w:lang w:bidi="ar"/>
              </w:rPr>
              <w:t xml:space="preserve">本项最高累计得10分。【</w:t>
            </w:r>
            <w:r>
              <w:rPr>
                <w:rFonts w:hint="eastAsia" w:ascii="仿宋_GB2312" w:hAnsi="仿宋_GB2312" w:eastAsia="仿宋_GB2312" w:cs="仿宋_GB2312"/>
                <w:sz w:val="32"/>
                <w:szCs w:val="32"/>
                <w:lang w:bidi="ar"/>
              </w:rPr>
              <w:t xml:space="preserve">须</w:t>
            </w:r>
            <w:r>
              <w:rPr>
                <w:rStyle w:val="980"/>
                <w:rFonts w:hint="default" w:ascii="仿宋_GB2312" w:hAnsi="仿宋_GB2312" w:eastAsia="仿宋_GB2312" w:cs="仿宋_GB2312"/>
                <w:color w:val="auto"/>
                <w:sz w:val="32"/>
                <w:szCs w:val="32"/>
                <w:lang w:bidi="ar"/>
              </w:rPr>
              <w:t xml:space="preserve">提供服务网点保险许可证或金融许可证，专职人员劳动合同，有农业保险服务经验证明等相关材料</w:t>
            </w:r>
            <w:r>
              <w:rPr>
                <w:rStyle w:val="977"/>
                <w:rFonts w:hint="default" w:ascii="仿宋_GB2312" w:hAnsi="仿宋_GB2312" w:eastAsia="仿宋_GB2312" w:cs="仿宋_GB2312"/>
                <w:color w:val="auto"/>
                <w:sz w:val="32"/>
                <w:szCs w:val="32"/>
                <w:lang w:bidi="ar"/>
              </w:rPr>
              <w:t xml:space="preserve">】</w:t>
            </w:r>
            <w:r/>
          </w:p>
        </w:tc>
        <w:tc>
          <w:tcPr>
            <w:shd w:val="clear" w:color="auto" w:fill="auto"/>
            <w:tcW w:w="0" w:type="auto"/>
            <w:vAlign w:val="center"/>
            <w:textDirection w:val="lrTb"/>
            <w:noWrap/>
          </w:tcPr>
          <w:p>
            <w:pPr>
              <w:jc w:val="center"/>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lang w:bidi="ar"/>
              </w:rPr>
              <w:t xml:space="preserve">10</w:t>
            </w:r>
            <w:r/>
          </w:p>
        </w:tc>
      </w:tr>
      <w:tr>
        <w:trPr>
          <w:trHeight w:val="650"/>
        </w:trPr>
        <w:tc>
          <w:tcPr>
            <w:shd w:val="clear" w:color="auto" w:fill="auto"/>
            <w:tcW w:w="1020" w:type="dxa"/>
            <w:vAlign w:val="center"/>
            <w:vMerge w:val="continue"/>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shd w:val="clear" w:color="auto" w:fill="auto"/>
            <w:tcW w:w="6571" w:type="dxa"/>
            <w:vAlign w:val="center"/>
            <w:textDirection w:val="lrTb"/>
            <w:noWrap w:val="false"/>
          </w:tcPr>
          <w:p>
            <w:pPr>
              <w:jc w:val="left"/>
              <w:spacing w:line="560" w:lineRule="exact"/>
              <w:widowControl/>
              <w:rPr>
                <w:rFonts w:ascii="仿宋_GB2312" w:hAnsi="仿宋_GB2312" w:eastAsia="仿宋_GB2312" w:cs="仿宋_GB2312"/>
                <w:sz w:val="32"/>
                <w:szCs w:val="32"/>
                <w:lang w:bidi="ar"/>
              </w:rPr>
            </w:pPr>
            <w:r>
              <w:rPr>
                <w:rFonts w:hint="eastAsia" w:ascii="仿宋_GB2312" w:hAnsi="仿宋_GB2312" w:eastAsia="仿宋_GB2312" w:cs="仿宋_GB2312"/>
                <w:sz w:val="32"/>
                <w:szCs w:val="32"/>
                <w:lang w:bidi="ar"/>
              </w:rPr>
              <w:t xml:space="preserve">精准承保理赔方案（10分）                                   参评供应商根据采购需求，编制农业保险精准承保理赔服务方案。    1.方案内容，包括但不限于承保理赔数据底座（1分）、精准承保方案（1分）、精准理赔方案（1分）、实名制缴费方案（1分）、风险管控方案（1分），每提供一项得1分，不提供不得分，本部分最高得5分。                                               </w:t>
            </w:r>
            <w:r/>
          </w:p>
          <w:p>
            <w:pPr>
              <w:jc w:val="left"/>
              <w:spacing w:line="560" w:lineRule="exact"/>
              <w:widowControl/>
              <w:rPr>
                <w:rStyle w:val="977"/>
                <w:rFonts w:hint="default" w:ascii="仿宋_GB2312" w:hAnsi="仿宋_GB2312" w:eastAsia="仿宋_GB2312" w:cs="仿宋_GB2312"/>
                <w:color w:val="auto"/>
                <w:sz w:val="32"/>
                <w:szCs w:val="32"/>
                <w:lang w:bidi="ar"/>
              </w:rPr>
            </w:pPr>
            <w:r>
              <w:rPr>
                <w:rFonts w:hint="eastAsia" w:ascii="仿宋_GB2312" w:hAnsi="仿宋_GB2312" w:eastAsia="仿宋_GB2312" w:cs="仿宋_GB2312"/>
                <w:sz w:val="32"/>
                <w:szCs w:val="32"/>
                <w:lang w:bidi="ar"/>
              </w:rPr>
              <w:t xml:space="preserve">2.综合评审，认为方案能紧密结合实际、精准化措施内容详实、已有实施经验，得5分；方案紧密结合实际、精准化措施内容较详实、具有可行性，得3分；方案基本能结合实际、内容较丰富、可行性待定，得2分；提供内容无法满足上述要求不得分；</w:t>
            </w:r>
            <w:r>
              <w:rPr>
                <w:rStyle w:val="980"/>
                <w:rFonts w:hint="default" w:ascii="仿宋_GB2312" w:hAnsi="仿宋_GB2312" w:eastAsia="仿宋_GB2312" w:cs="仿宋_GB2312"/>
                <w:color w:val="auto"/>
                <w:sz w:val="32"/>
                <w:szCs w:val="32"/>
                <w:lang w:bidi="ar"/>
              </w:rPr>
              <w:t xml:space="preserve">本部分最多得5分</w:t>
            </w:r>
            <w:r>
              <w:rPr>
                <w:rStyle w:val="977"/>
                <w:rFonts w:hint="default" w:ascii="仿宋_GB2312" w:hAnsi="仿宋_GB2312" w:eastAsia="仿宋_GB2312" w:cs="仿宋_GB2312"/>
                <w:color w:val="auto"/>
                <w:sz w:val="32"/>
                <w:szCs w:val="32"/>
                <w:lang w:bidi="ar"/>
              </w:rPr>
              <w:t xml:space="preserve">。</w:t>
            </w:r>
            <w:r/>
          </w:p>
          <w:p>
            <w:pPr>
              <w:jc w:val="left"/>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lang w:bidi="ar"/>
              </w:rPr>
              <w:t xml:space="preserve">本项最高累计得10分。</w:t>
            </w:r>
            <w:r/>
          </w:p>
        </w:tc>
        <w:tc>
          <w:tcPr>
            <w:shd w:val="clear" w:color="auto" w:fill="auto"/>
            <w:tcW w:w="0" w:type="auto"/>
            <w:vAlign w:val="center"/>
            <w:textDirection w:val="lrTb"/>
            <w:noWrap/>
          </w:tcPr>
          <w:p>
            <w:pPr>
              <w:jc w:val="center"/>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lang w:bidi="ar"/>
              </w:rPr>
              <w:t xml:space="preserve">10</w:t>
            </w:r>
            <w:r/>
          </w:p>
        </w:tc>
      </w:tr>
      <w:tr>
        <w:trPr>
          <w:trHeight w:val="2430"/>
        </w:trPr>
        <w:tc>
          <w:tcPr>
            <w:shd w:val="clear" w:color="auto" w:fill="auto"/>
            <w:tcW w:w="1020" w:type="dxa"/>
            <w:vAlign w:val="center"/>
            <w:vMerge w:val="continue"/>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shd w:val="clear" w:color="auto" w:fill="auto"/>
            <w:tcW w:w="6571" w:type="dxa"/>
            <w:vAlign w:val="center"/>
            <w:textDirection w:val="lrTb"/>
            <w:noWrap w:val="false"/>
          </w:tcPr>
          <w:p>
            <w:pPr>
              <w:jc w:val="left"/>
              <w:spacing w:line="560" w:lineRule="exact"/>
              <w:widowControl/>
              <w:rPr>
                <w:rFonts w:ascii="仿宋_GB2312" w:hAnsi="仿宋_GB2312" w:eastAsia="仿宋_GB2312" w:cs="仿宋_GB2312"/>
                <w:sz w:val="32"/>
                <w:szCs w:val="32"/>
                <w:lang w:bidi="ar"/>
              </w:rPr>
            </w:pPr>
            <w:r>
              <w:rPr>
                <w:rFonts w:hint="eastAsia" w:ascii="仿宋_GB2312" w:hAnsi="仿宋_GB2312" w:eastAsia="仿宋_GB2312" w:cs="仿宋_GB2312"/>
                <w:sz w:val="32"/>
                <w:szCs w:val="32"/>
                <w:lang w:bidi="ar"/>
              </w:rPr>
              <w:t xml:space="preserve">农业风险减量方案（10分）                                   参评供应商依据采购需求，编制减量服务方案。</w:t>
            </w:r>
            <w:r/>
          </w:p>
          <w:p>
            <w:pPr>
              <w:jc w:val="left"/>
              <w:spacing w:line="560" w:lineRule="exact"/>
              <w:widowControl/>
              <w:rPr>
                <w:rFonts w:ascii="仿宋_GB2312" w:hAnsi="仿宋_GB2312" w:eastAsia="仿宋_GB2312" w:cs="仿宋_GB2312"/>
                <w:sz w:val="32"/>
                <w:szCs w:val="32"/>
                <w:lang w:bidi="ar"/>
              </w:rPr>
            </w:pPr>
            <w:r>
              <w:rPr>
                <w:rFonts w:hint="eastAsia" w:ascii="仿宋_GB2312" w:hAnsi="仿宋_GB2312" w:eastAsia="仿宋_GB2312" w:cs="仿宋_GB2312"/>
                <w:sz w:val="32"/>
                <w:szCs w:val="32"/>
                <w:lang w:bidi="ar"/>
              </w:rPr>
              <w:t xml:space="preserve">1.方案内容，包括但不限于种植业（1分）、牲畜养殖业（1分）、水产养殖业（1分）、农业机械（1分）等领域的风险减量服务方案，每提供一项得1分，不提供不得分，本部分最高得4分。                      </w:t>
            </w:r>
            <w:r/>
          </w:p>
          <w:p>
            <w:pPr>
              <w:jc w:val="left"/>
              <w:spacing w:line="560" w:lineRule="exact"/>
              <w:widowControl/>
              <w:rPr>
                <w:rStyle w:val="977"/>
                <w:rFonts w:hint="default" w:ascii="仿宋_GB2312" w:hAnsi="仿宋_GB2312" w:eastAsia="仿宋_GB2312" w:cs="仿宋_GB2312"/>
                <w:color w:val="auto"/>
                <w:sz w:val="32"/>
                <w:szCs w:val="32"/>
                <w:lang w:bidi="ar"/>
              </w:rPr>
            </w:pPr>
            <w:r>
              <w:rPr>
                <w:rFonts w:hint="eastAsia" w:ascii="仿宋_GB2312" w:hAnsi="仿宋_GB2312" w:eastAsia="仿宋_GB2312" w:cs="仿宋_GB2312"/>
                <w:sz w:val="32"/>
                <w:szCs w:val="32"/>
                <w:lang w:bidi="ar"/>
              </w:rPr>
              <w:t xml:space="preserve">2.综合评审，认为方案能紧密结合实际、内容详实、已有实施经验，得6分；方案紧密结合实际、内容较详实、具有可行性，得4分；方案基本能结合实际、内容较丰富、可行性待定，得2分；提供内容无法满足上述要求不得分；</w:t>
            </w:r>
            <w:r>
              <w:rPr>
                <w:rStyle w:val="980"/>
                <w:rFonts w:hint="default" w:ascii="仿宋_GB2312" w:hAnsi="仿宋_GB2312" w:eastAsia="仿宋_GB2312" w:cs="仿宋_GB2312"/>
                <w:color w:val="auto"/>
                <w:sz w:val="32"/>
                <w:szCs w:val="32"/>
                <w:lang w:bidi="ar"/>
              </w:rPr>
              <w:t xml:space="preserve">本部分最多得6分</w:t>
            </w:r>
            <w:r>
              <w:rPr>
                <w:rStyle w:val="977"/>
                <w:rFonts w:hint="default" w:ascii="仿宋_GB2312" w:hAnsi="仿宋_GB2312" w:eastAsia="仿宋_GB2312" w:cs="仿宋_GB2312"/>
                <w:color w:val="auto"/>
                <w:sz w:val="32"/>
                <w:szCs w:val="32"/>
                <w:lang w:bidi="ar"/>
              </w:rPr>
              <w:t xml:space="preserve">。</w:t>
            </w:r>
            <w:r/>
          </w:p>
          <w:p>
            <w:pPr>
              <w:jc w:val="left"/>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lang w:bidi="ar"/>
              </w:rPr>
              <w:t xml:space="preserve">本项最高累计得10分。</w:t>
            </w:r>
            <w:r/>
          </w:p>
        </w:tc>
        <w:tc>
          <w:tcPr>
            <w:shd w:val="clear" w:color="auto" w:fill="auto"/>
            <w:tcW w:w="0" w:type="auto"/>
            <w:vAlign w:val="center"/>
            <w:textDirection w:val="lrTb"/>
            <w:noWrap/>
          </w:tcPr>
          <w:p>
            <w:pPr>
              <w:jc w:val="center"/>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lang w:bidi="ar"/>
              </w:rPr>
              <w:t xml:space="preserve">10</w:t>
            </w:r>
            <w:r/>
          </w:p>
        </w:tc>
      </w:tr>
      <w:tr>
        <w:trPr>
          <w:trHeight w:val="3510"/>
        </w:trPr>
        <w:tc>
          <w:tcPr>
            <w:shd w:val="clear" w:color="auto" w:fill="auto"/>
            <w:tcW w:w="1020" w:type="dxa"/>
            <w:vAlign w:val="center"/>
            <w:vMerge w:val="continue"/>
            <w:textDirection w:val="lrTb"/>
            <w:noWrap w:val="false"/>
          </w:tcPr>
          <w:p>
            <w:pPr>
              <w:jc w:val="center"/>
              <w:spacing w:line="560" w:lineRule="exact"/>
              <w:rPr>
                <w:rFonts w:ascii="仿宋_GB2312" w:hAnsi="仿宋_GB2312" w:eastAsia="仿宋_GB2312" w:cs="仿宋_GB2312"/>
                <w:sz w:val="32"/>
                <w:szCs w:val="32"/>
              </w:rPr>
            </w:pPr>
            <w:r>
              <w:rPr>
                <w:rFonts w:ascii="仿宋_GB2312" w:hAnsi="仿宋_GB2312" w:eastAsia="仿宋_GB2312" w:cs="仿宋_GB2312"/>
                <w:sz w:val="32"/>
                <w:szCs w:val="32"/>
              </w:rPr>
            </w:r>
            <w:r/>
          </w:p>
        </w:tc>
        <w:tc>
          <w:tcPr>
            <w:shd w:val="clear" w:color="auto" w:fill="auto"/>
            <w:tcW w:w="6571" w:type="dxa"/>
            <w:vAlign w:val="center"/>
            <w:textDirection w:val="lrTb"/>
            <w:noWrap w:val="false"/>
          </w:tcPr>
          <w:p>
            <w:pPr>
              <w:jc w:val="left"/>
              <w:spacing w:line="560" w:lineRule="exact"/>
              <w:widowControl/>
              <w:rPr>
                <w:rFonts w:ascii="仿宋_GB2312" w:hAnsi="仿宋_GB2312" w:eastAsia="仿宋_GB2312" w:cs="仿宋_GB2312"/>
                <w:sz w:val="32"/>
                <w:szCs w:val="32"/>
                <w:lang w:bidi="ar"/>
              </w:rPr>
            </w:pPr>
            <w:r>
              <w:rPr>
                <w:rFonts w:hint="eastAsia" w:ascii="仿宋_GB2312" w:hAnsi="仿宋_GB2312" w:eastAsia="仿宋_GB2312" w:cs="仿宋_GB2312"/>
                <w:sz w:val="32"/>
                <w:szCs w:val="32"/>
                <w:lang w:bidi="ar"/>
              </w:rPr>
              <w:t xml:space="preserve">保险服务创新方案（8分）                                    参评供应商根据采购需求，编制农业保险服务创新方案。</w:t>
            </w:r>
            <w:r/>
          </w:p>
          <w:p>
            <w:pPr>
              <w:jc w:val="left"/>
              <w:spacing w:line="560" w:lineRule="exact"/>
              <w:widowControl/>
              <w:rPr>
                <w:rFonts w:ascii="仿宋_GB2312" w:hAnsi="仿宋_GB2312" w:eastAsia="仿宋_GB2312" w:cs="仿宋_GB2312"/>
                <w:sz w:val="32"/>
                <w:szCs w:val="32"/>
                <w:lang w:bidi="ar"/>
              </w:rPr>
            </w:pPr>
            <w:r>
              <w:rPr>
                <w:rFonts w:hint="eastAsia" w:ascii="仿宋_GB2312" w:hAnsi="仿宋_GB2312" w:eastAsia="仿宋_GB2312" w:cs="仿宋_GB2312"/>
                <w:sz w:val="32"/>
                <w:szCs w:val="32"/>
                <w:lang w:bidi="ar"/>
              </w:rPr>
              <w:t xml:space="preserve">1.方案内容，包括但不限于：紧扣农业科技创新与农业产业升级的核心需求，提出推进农业保险服务新业态（1分）、新模式（1分）、新场景（1分）的创新服务思路与举措，每提供一项得1分，不提供不得分，本部分最高得3分。                      </w:t>
            </w:r>
            <w:r/>
          </w:p>
          <w:p>
            <w:pPr>
              <w:jc w:val="left"/>
              <w:spacing w:line="560" w:lineRule="exact"/>
              <w:widowControl/>
              <w:rPr>
                <w:rStyle w:val="977"/>
                <w:rFonts w:hint="default" w:ascii="仿宋_GB2312" w:hAnsi="仿宋_GB2312" w:eastAsia="仿宋_GB2312" w:cs="仿宋_GB2312"/>
                <w:color w:val="auto"/>
                <w:sz w:val="32"/>
                <w:szCs w:val="32"/>
                <w:lang w:bidi="ar"/>
              </w:rPr>
            </w:pPr>
            <w:r>
              <w:rPr>
                <w:rFonts w:hint="eastAsia" w:ascii="仿宋_GB2312" w:hAnsi="仿宋_GB2312" w:eastAsia="仿宋_GB2312" w:cs="仿宋_GB2312"/>
                <w:sz w:val="32"/>
                <w:szCs w:val="32"/>
                <w:lang w:bidi="ar"/>
              </w:rPr>
              <w:t xml:space="preserve">2.综合评审，认为方案能够紧密结合实际，针对新业态、新模式、新场景的创新举措思路丰富清晰，已有实施经验，得5分；方案基本结合实际，针对新业态、新模式、新场景的创新举措思路较为清晰，具有可行性，得3分；方案创新思路较多，但可行性待定，得1分；提供内容无法满足上述要求不得分；</w:t>
            </w:r>
            <w:r>
              <w:rPr>
                <w:rStyle w:val="980"/>
                <w:rFonts w:hint="default" w:ascii="仿宋_GB2312" w:hAnsi="仿宋_GB2312" w:eastAsia="仿宋_GB2312" w:cs="仿宋_GB2312"/>
                <w:color w:val="auto"/>
                <w:sz w:val="32"/>
                <w:szCs w:val="32"/>
                <w:lang w:bidi="ar"/>
              </w:rPr>
              <w:t xml:space="preserve">本部分最多得5分</w:t>
            </w:r>
            <w:r>
              <w:rPr>
                <w:rStyle w:val="977"/>
                <w:rFonts w:hint="default" w:ascii="仿宋_GB2312" w:hAnsi="仿宋_GB2312" w:eastAsia="仿宋_GB2312" w:cs="仿宋_GB2312"/>
                <w:color w:val="auto"/>
                <w:sz w:val="32"/>
                <w:szCs w:val="32"/>
                <w:lang w:bidi="ar"/>
              </w:rPr>
              <w:t xml:space="preserve">。</w:t>
            </w:r>
            <w:r/>
          </w:p>
          <w:p>
            <w:pPr>
              <w:jc w:val="left"/>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lang w:bidi="ar"/>
              </w:rPr>
              <w:t xml:space="preserve">本项最高累计得</w:t>
            </w:r>
            <w:r>
              <w:rPr>
                <w:rFonts w:ascii="仿宋_GB2312" w:hAnsi="仿宋_GB2312" w:eastAsia="仿宋_GB2312" w:cs="仿宋_GB2312"/>
                <w:sz w:val="32"/>
                <w:szCs w:val="32"/>
                <w:lang w:bidi="ar"/>
              </w:rPr>
              <w:t xml:space="preserve">8</w:t>
            </w:r>
            <w:r>
              <w:rPr>
                <w:rFonts w:hint="eastAsia" w:ascii="仿宋_GB2312" w:hAnsi="仿宋_GB2312" w:eastAsia="仿宋_GB2312" w:cs="仿宋_GB2312"/>
                <w:sz w:val="32"/>
                <w:szCs w:val="32"/>
                <w:lang w:bidi="ar"/>
              </w:rPr>
              <w:t xml:space="preserve">分。</w:t>
            </w:r>
            <w:r/>
          </w:p>
        </w:tc>
        <w:tc>
          <w:tcPr>
            <w:shd w:val="clear" w:color="auto" w:fill="auto"/>
            <w:tcW w:w="0" w:type="auto"/>
            <w:vAlign w:val="center"/>
            <w:textDirection w:val="lrTb"/>
            <w:noWrap/>
          </w:tcPr>
          <w:p>
            <w:pPr>
              <w:jc w:val="center"/>
              <w:spacing w:line="560" w:lineRule="exact"/>
              <w:widowControl/>
              <w:rPr>
                <w:rFonts w:ascii="仿宋_GB2312" w:hAnsi="仿宋_GB2312" w:eastAsia="仿宋_GB2312" w:cs="仿宋_GB2312"/>
                <w:sz w:val="32"/>
                <w:szCs w:val="32"/>
              </w:rPr>
            </w:pPr>
            <w:r>
              <w:rPr>
                <w:rFonts w:hint="eastAsia" w:ascii="仿宋_GB2312" w:hAnsi="仿宋_GB2312" w:eastAsia="仿宋_GB2312" w:cs="仿宋_GB2312"/>
                <w:sz w:val="32"/>
                <w:szCs w:val="32"/>
                <w:lang w:bidi="ar"/>
              </w:rPr>
              <w:t xml:space="preserve">8</w:t>
            </w:r>
            <w:r/>
          </w:p>
        </w:tc>
      </w:tr>
    </w:tbl>
    <w:p>
      <w:pPr>
        <w:ind w:firstLine="640"/>
        <w:jc w:val="left"/>
        <w:spacing w:line="560" w:lineRule="exact"/>
        <w:widowControl/>
        <w:rPr>
          <w:rFonts w:ascii="仿宋_GB2312" w:hAnsi="仿宋_GB2312" w:eastAsia="仿宋_GB2312" w:cs="仿宋_GB2312"/>
          <w:sz w:val="32"/>
          <w:szCs w:val="32"/>
        </w:rPr>
      </w:pPr>
      <w:r>
        <w:rPr>
          <w:rFonts w:ascii="仿宋_GB2312" w:hAnsi="仿宋_GB2312" w:eastAsia="仿宋_GB2312" w:cs="仿宋_GB2312"/>
          <w:sz w:val="32"/>
          <w:szCs w:val="32"/>
        </w:rPr>
      </w:r>
      <w:r/>
    </w:p>
    <w:p>
      <w:pPr>
        <w:jc w:val="left"/>
        <w:spacing w:line="560" w:lineRule="exact"/>
        <w:rPr>
          <w:rFonts w:ascii="仿宋_GB2312" w:hAnsi="仿宋_GB2312" w:eastAsia="仿宋_GB2312" w:cs="仿宋_GB2312"/>
          <w:sz w:val="32"/>
          <w:szCs w:val="32"/>
        </w:rPr>
      </w:pPr>
      <w:r>
        <w:rPr>
          <w:rFonts w:hint="eastAsia" w:ascii="仿宋_GB2312" w:hAnsi="仿宋_GB2312" w:eastAsia="仿宋_GB2312" w:cs="仿宋_GB2312"/>
          <w:b/>
          <w:sz w:val="32"/>
          <w:szCs w:val="32"/>
        </w:rPr>
        <w:t xml:space="preserve">二、确定第二阶段成交供应商的方式</w:t>
      </w:r>
      <w:r/>
    </w:p>
    <w:p>
      <w:pPr>
        <w:ind w:firstLine="420"/>
        <w:jc w:val="left"/>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确定第二阶段成交供应商的方式为直接选定。原则上依据质量评分结果，从第一阶段入围供应商中直接选定前5名，分别对应五个服务区域：得分第一名的供应商中选区域一，第二名的供应商中选区域二，第三名的供应商中选区域三，第四名的供应商中选区域四，第五名的供应商中选区域五。如第一阶段入围供应商不足5家时，剩余区域按照评分高低顺序轮中。</w:t>
      </w:r>
      <w:r/>
    </w:p>
    <w:p>
      <w:pPr>
        <w:ind w:firstLine="420"/>
        <w:jc w:val="left"/>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2、如政府采购相关法律法规关于确定成交供应商的方式发生变化的，则应从其规定。</w:t>
      </w:r>
      <w:r/>
    </w:p>
    <w:p>
      <w:pPr>
        <w:jc w:val="left"/>
        <w:spacing w:line="560" w:lineRule="exact"/>
        <w:widowControl/>
        <w:rPr>
          <w:rFonts w:ascii="仿宋_GB2312" w:hAnsi="仿宋_GB2312" w:eastAsia="仿宋_GB2312" w:cs="仿宋_GB2312"/>
          <w:sz w:val="32"/>
          <w:szCs w:val="32"/>
        </w:rPr>
      </w:pPr>
      <w:r>
        <w:rPr>
          <w:rFonts w:ascii="仿宋_GB2312" w:hAnsi="仿宋_GB2312" w:eastAsia="仿宋_GB2312" w:cs="仿宋_GB2312"/>
          <w:sz w:val="32"/>
          <w:szCs w:val="32"/>
        </w:rPr>
      </w:r>
      <w:r/>
    </w:p>
    <w:sectPr>
      <w:footerReference w:type="default" r:id="rId9"/>
      <w:footnotePr/>
      <w:endnotePr/>
      <w:type w:val="nextPage"/>
      <w:pgSz w:w="11906" w:h="16838" w:orient="portrait"/>
      <w:pgMar w:top="2098" w:right="1474" w:bottom="1984" w:left="1587"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仿宋_GB2312">
    <w:panose1 w:val="02010609060101010101"/>
  </w:font>
  <w:font w:name="仿宋">
    <w:panose1 w:val="02010609060101010101"/>
  </w:font>
  <w:font w:name="楷体_GB2312">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8"/>
                            <w:rPr>
                              <w:rFonts w:ascii="宋体" w:hAnsi="宋体" w:eastAsia="宋体"/>
                              <w:sz w:val="28"/>
                              <w:szCs w:val="28"/>
                            </w:rPr>
                          </w:pPr>
                          <w:r>
                            <w:rPr>
                              <w:rFonts w:ascii="宋体" w:hAnsi="宋体" w:eastAsia="宋体"/>
                              <w:sz w:val="28"/>
                              <w:szCs w:val="28"/>
                            </w:rPr>
                            <w:t xml:space="preserve">—　</w:t>
                          </w:r>
                          <w:r>
                            <w:rPr>
                              <w:rFonts w:ascii="宋体" w:hAnsi="宋体" w:eastAsia="宋体"/>
                              <w:sz w:val="28"/>
                              <w:szCs w:val="28"/>
                            </w:rPr>
                            <w:fldChar w:fldCharType="begin"/>
                          </w:r>
                          <w:r>
                            <w:rPr>
                              <w:rFonts w:ascii="宋体" w:hAnsi="宋体" w:eastAsia="宋体"/>
                              <w:sz w:val="28"/>
                              <w:szCs w:val="28"/>
                            </w:rPr>
                            <w:instrText xml:space="preserve"> PAGE  \* MERGEFORMAT </w:instrText>
                          </w:r>
                          <w:r>
                            <w:rPr>
                              <w:rFonts w:ascii="宋体" w:hAnsi="宋体" w:eastAsia="宋体"/>
                              <w:sz w:val="28"/>
                              <w:szCs w:val="28"/>
                            </w:rPr>
                            <w:fldChar w:fldCharType="separate"/>
                          </w:r>
                          <w:r>
                            <w:rPr>
                              <w:rFonts w:ascii="宋体" w:hAnsi="宋体" w:eastAsia="宋体"/>
                              <w:sz w:val="28"/>
                              <w:szCs w:val="28"/>
                            </w:rPr>
                            <w:t xml:space="preserve">2</w:t>
                          </w:r>
                          <w:r>
                            <w:rPr>
                              <w:rFonts w:ascii="宋体" w:hAnsi="宋体" w:eastAsia="宋体"/>
                              <w:sz w:val="28"/>
                              <w:szCs w:val="28"/>
                            </w:rPr>
                            <w:fldChar w:fldCharType="end"/>
                          </w:r>
                          <w:r>
                            <w:rPr>
                              <w:rFonts w:ascii="宋体" w:hAnsi="宋体" w:eastAsia="宋体"/>
                              <w:sz w:val="28"/>
                              <w:szCs w:val="28"/>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outside;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8"/>
                      <w:rPr>
                        <w:rFonts w:ascii="宋体" w:hAnsi="宋体" w:eastAsia="宋体"/>
                        <w:sz w:val="28"/>
                        <w:szCs w:val="28"/>
                      </w:rPr>
                    </w:pPr>
                    <w:r>
                      <w:rPr>
                        <w:rFonts w:ascii="宋体" w:hAnsi="宋体" w:eastAsia="宋体"/>
                        <w:sz w:val="28"/>
                        <w:szCs w:val="28"/>
                      </w:rPr>
                      <w:t xml:space="preserve">—　</w:t>
                    </w:r>
                    <w:r>
                      <w:rPr>
                        <w:rFonts w:ascii="宋体" w:hAnsi="宋体" w:eastAsia="宋体"/>
                        <w:sz w:val="28"/>
                        <w:szCs w:val="28"/>
                      </w:rPr>
                      <w:fldChar w:fldCharType="begin"/>
                    </w:r>
                    <w:r>
                      <w:rPr>
                        <w:rFonts w:ascii="宋体" w:hAnsi="宋体" w:eastAsia="宋体"/>
                        <w:sz w:val="28"/>
                        <w:szCs w:val="28"/>
                      </w:rPr>
                      <w:instrText xml:space="preserve"> PAGE  \* MERGEFORMAT </w:instrText>
                    </w:r>
                    <w:r>
                      <w:rPr>
                        <w:rFonts w:ascii="宋体" w:hAnsi="宋体" w:eastAsia="宋体"/>
                        <w:sz w:val="28"/>
                        <w:szCs w:val="28"/>
                      </w:rPr>
                      <w:fldChar w:fldCharType="separate"/>
                    </w:r>
                    <w:r>
                      <w:rPr>
                        <w:rFonts w:ascii="宋体" w:hAnsi="宋体" w:eastAsia="宋体"/>
                        <w:sz w:val="28"/>
                        <w:szCs w:val="28"/>
                      </w:rPr>
                      <w:t xml:space="preserve">2</w:t>
                    </w:r>
                    <w:r>
                      <w:rPr>
                        <w:rFonts w:ascii="宋体" w:hAnsi="宋体" w:eastAsia="宋体"/>
                        <w:sz w:val="28"/>
                        <w:szCs w:val="28"/>
                      </w:rPr>
                      <w:fldChar w:fldCharType="end"/>
                    </w:r>
                    <w:r>
                      <w:rPr>
                        <w:rFonts w:ascii="宋体" w:hAnsi="宋体" w:eastAsia="宋体"/>
                        <w:sz w:val="28"/>
                        <w:szCs w:val="28"/>
                      </w:rPr>
                      <w:t xml:space="preserve">　—</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8"/>
                            <w:rPr>
                              <w:rFonts w:ascii="宋体" w:hAnsi="宋体" w:eastAsia="宋体"/>
                              <w:sz w:val="28"/>
                              <w:szCs w:val="28"/>
                            </w:rPr>
                          </w:pPr>
                          <w:r>
                            <w:rPr>
                              <w:rFonts w:ascii="宋体" w:hAnsi="宋体" w:eastAsia="宋体"/>
                              <w:sz w:val="28"/>
                              <w:szCs w:val="28"/>
                            </w:rPr>
                            <w:t xml:space="preserve">—</w:t>
                          </w:r>
                          <w:r>
                            <w:rPr>
                              <w:rFonts w:ascii="宋体" w:hAnsi="宋体" w:eastAsia="宋体"/>
                              <w:sz w:val="24"/>
                              <w:szCs w:val="28"/>
                            </w:rPr>
                            <w:t xml:space="preserve">　</w:t>
                          </w:r>
                          <w:r>
                            <w:rPr>
                              <w:rFonts w:ascii="宋体" w:hAnsi="宋体" w:eastAsia="宋体"/>
                              <w:sz w:val="28"/>
                              <w:szCs w:val="28"/>
                            </w:rPr>
                            <w:fldChar w:fldCharType="begin"/>
                          </w:r>
                          <w:r>
                            <w:rPr>
                              <w:rFonts w:ascii="宋体" w:hAnsi="宋体" w:eastAsia="宋体"/>
                              <w:sz w:val="28"/>
                              <w:szCs w:val="28"/>
                            </w:rPr>
                            <w:instrText xml:space="preserve"> PAGE  \* MERGEFORMAT </w:instrText>
                          </w:r>
                          <w:r>
                            <w:rPr>
                              <w:rFonts w:ascii="宋体" w:hAnsi="宋体" w:eastAsia="宋体"/>
                              <w:sz w:val="28"/>
                              <w:szCs w:val="28"/>
                            </w:rPr>
                            <w:fldChar w:fldCharType="separate"/>
                          </w:r>
                          <w:r>
                            <w:rPr>
                              <w:rFonts w:ascii="宋体" w:hAnsi="宋体" w:eastAsia="宋体"/>
                              <w:sz w:val="28"/>
                              <w:szCs w:val="28"/>
                            </w:rPr>
                            <w:t xml:space="preserve">23</w:t>
                          </w:r>
                          <w:r>
                            <w:rPr>
                              <w:rFonts w:ascii="宋体" w:hAnsi="宋体" w:eastAsia="宋体"/>
                              <w:sz w:val="28"/>
                              <w:szCs w:val="28"/>
                            </w:rPr>
                            <w:fldChar w:fldCharType="end"/>
                          </w:r>
                          <w:r>
                            <w:rPr>
                              <w:rFonts w:ascii="宋体" w:hAnsi="宋体" w:eastAsia="宋体"/>
                              <w:sz w:val="24"/>
                              <w:szCs w:val="28"/>
                            </w:rPr>
                            <w:t xml:space="preserve">　</w:t>
                          </w:r>
                          <w:r>
                            <w:rPr>
                              <w:rFonts w:ascii="宋体" w:hAnsi="宋体" w:eastAsia="宋体"/>
                              <w:sz w:val="28"/>
                              <w:szCs w:val="28"/>
                            </w:rPr>
                            <w:t xml:space="preserve">—</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outside;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8"/>
                      <w:rPr>
                        <w:rFonts w:ascii="宋体" w:hAnsi="宋体" w:eastAsia="宋体"/>
                        <w:sz w:val="28"/>
                        <w:szCs w:val="28"/>
                      </w:rPr>
                    </w:pPr>
                    <w:r>
                      <w:rPr>
                        <w:rFonts w:ascii="宋体" w:hAnsi="宋体" w:eastAsia="宋体"/>
                        <w:sz w:val="28"/>
                        <w:szCs w:val="28"/>
                      </w:rPr>
                      <w:t xml:space="preserve">—</w:t>
                    </w:r>
                    <w:r>
                      <w:rPr>
                        <w:rFonts w:ascii="宋体" w:hAnsi="宋体" w:eastAsia="宋体"/>
                        <w:sz w:val="24"/>
                        <w:szCs w:val="28"/>
                      </w:rPr>
                      <w:t xml:space="preserve">　</w:t>
                    </w:r>
                    <w:r>
                      <w:rPr>
                        <w:rFonts w:ascii="宋体" w:hAnsi="宋体" w:eastAsia="宋体"/>
                        <w:sz w:val="28"/>
                        <w:szCs w:val="28"/>
                      </w:rPr>
                      <w:fldChar w:fldCharType="begin"/>
                    </w:r>
                    <w:r>
                      <w:rPr>
                        <w:rFonts w:ascii="宋体" w:hAnsi="宋体" w:eastAsia="宋体"/>
                        <w:sz w:val="28"/>
                        <w:szCs w:val="28"/>
                      </w:rPr>
                      <w:instrText xml:space="preserve"> PAGE  \* MERGEFORMAT </w:instrText>
                    </w:r>
                    <w:r>
                      <w:rPr>
                        <w:rFonts w:ascii="宋体" w:hAnsi="宋体" w:eastAsia="宋体"/>
                        <w:sz w:val="28"/>
                        <w:szCs w:val="28"/>
                      </w:rPr>
                      <w:fldChar w:fldCharType="separate"/>
                    </w:r>
                    <w:r>
                      <w:rPr>
                        <w:rFonts w:ascii="宋体" w:hAnsi="宋体" w:eastAsia="宋体"/>
                        <w:sz w:val="28"/>
                        <w:szCs w:val="28"/>
                      </w:rPr>
                      <w:t xml:space="preserve">23</w:t>
                    </w:r>
                    <w:r>
                      <w:rPr>
                        <w:rFonts w:ascii="宋体" w:hAnsi="宋体" w:eastAsia="宋体"/>
                        <w:sz w:val="28"/>
                        <w:szCs w:val="28"/>
                      </w:rPr>
                      <w:fldChar w:fldCharType="end"/>
                    </w:r>
                    <w:r>
                      <w:rPr>
                        <w:rFonts w:ascii="宋体" w:hAnsi="宋体" w:eastAsia="宋体"/>
                        <w:sz w:val="24"/>
                        <w:szCs w:val="28"/>
                      </w:rPr>
                      <w:t xml:space="preserve">　</w:t>
                    </w:r>
                    <w:r>
                      <w:rPr>
                        <w:rFonts w:ascii="宋体" w:hAnsi="宋体" w:eastAsia="宋体"/>
                        <w:sz w:val="28"/>
                        <w:szCs w:val="28"/>
                      </w:rPr>
                      <w:t xml:space="preserve">—</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51"/>
        <w:ind w:firstLine="261"/>
        <w:rPr>
          <w:rFonts w:ascii="宋体" w:hAnsi="宋体" w:eastAsia="宋体"/>
          <w:color w:val="000000"/>
          <w:szCs w:val="18"/>
        </w:rPr>
      </w:pPr>
      <w:r>
        <w:rPr>
          <w:rFonts w:hint="eastAsia" w:ascii="宋体" w:hAnsi="宋体" w:eastAsia="宋体"/>
          <w:b/>
          <w:color w:val="000000"/>
        </w:rPr>
        <w:t xml:space="preserve">备注：</w:t>
      </w:r>
      <w:r>
        <w:rPr>
          <w:rFonts w:hint="eastAsia" w:ascii="宋体" w:hAnsi="宋体" w:eastAsia="宋体"/>
          <w:color w:val="000000"/>
          <w:szCs w:val="18"/>
        </w:rPr>
        <w:t xml:space="preserve">1</w:t>
      </w:r>
      <w:r>
        <w:rPr>
          <w:rFonts w:ascii="宋体" w:hAnsi="宋体" w:eastAsia="宋体"/>
          <w:color w:val="000000"/>
          <w:szCs w:val="18"/>
        </w:rPr>
        <w:t xml:space="preserve">.</w:t>
      </w:r>
      <w:r>
        <w:rPr>
          <w:rFonts w:hint="eastAsia" w:ascii="宋体" w:hAnsi="宋体" w:eastAsia="宋体"/>
          <w:color w:val="000000"/>
          <w:szCs w:val="18"/>
        </w:rPr>
        <w:t xml:space="preserve">从业人员、营业收入、资产总额填报上一年度数据，无上一年度数据的新成立企业可不填报。</w:t>
      </w:r>
      <w:r/>
    </w:p>
    <w:p>
      <w:pPr>
        <w:pStyle w:val="951"/>
        <w:ind w:firstLine="540"/>
        <w:rPr>
          <w:rFonts w:ascii="宋体" w:hAnsi="宋体" w:eastAsia="宋体"/>
          <w:color w:val="000000"/>
          <w:szCs w:val="18"/>
        </w:rPr>
      </w:pPr>
      <w:r>
        <w:rPr>
          <w:rFonts w:ascii="宋体" w:hAnsi="宋体" w:eastAsia="宋体"/>
          <w:color w:val="000000"/>
          <w:szCs w:val="18"/>
        </w:rPr>
        <w:t xml:space="preserve">2.</w:t>
      </w:r>
      <w:r>
        <w:rPr>
          <w:rFonts w:hint="eastAsia" w:ascii="宋体" w:hAnsi="宋体" w:eastAsia="宋体"/>
          <w:color w:val="000000"/>
          <w:szCs w:val="18"/>
        </w:rPr>
        <w:t xml:space="preserve">专门面向中小微型企业采购的项目，供应商如不提供此声明函，则不能通过资格审查；非专门面向中小微型企业采购的项目，供应商如不提供此声明函，价格将不做相应扣除。</w:t>
      </w:r>
      <w:r/>
    </w:p>
    <w:p>
      <w:pPr>
        <w:pStyle w:val="951"/>
        <w:ind w:firstLine="540"/>
        <w:rPr>
          <w:rFonts w:ascii="宋体" w:hAnsi="宋体" w:eastAsia="宋体"/>
          <w:color w:val="000000"/>
          <w:szCs w:val="18"/>
        </w:rPr>
      </w:pPr>
      <w:r>
        <w:rPr>
          <w:rFonts w:hint="eastAsia" w:ascii="宋体" w:hAnsi="宋体" w:eastAsia="宋体"/>
          <w:color w:val="000000"/>
          <w:szCs w:val="18"/>
        </w:rPr>
        <w:t xml:space="preserve">3</w:t>
      </w:r>
      <w:r>
        <w:rPr>
          <w:rFonts w:ascii="宋体" w:hAnsi="宋体" w:eastAsia="宋体"/>
          <w:color w:val="000000"/>
          <w:szCs w:val="18"/>
        </w:rPr>
        <w:t xml:space="preserve">.</w:t>
      </w:r>
      <w:r>
        <w:rPr>
          <w:rFonts w:hint="eastAsia" w:ascii="宋体" w:hAnsi="宋体" w:eastAsia="宋体"/>
          <w:b/>
          <w:color w:val="000000"/>
          <w:szCs w:val="18"/>
        </w:rPr>
        <w:t xml:space="preserve">在服务采购项目中，服务由中小企业承接，即提供服务的人员为中小企业依照《中华人民共和国劳动合同法》订立劳动合同的从业人员。服务类项目中供应商若使用退休人员，将不享受相应扶持政策。</w:t>
      </w:r>
      <w:r/>
    </w:p>
    <w:p>
      <w:pPr>
        <w:pStyle w:val="951"/>
        <w:ind w:firstLine="540"/>
        <w:rPr>
          <w:rFonts w:ascii="宋体" w:hAnsi="宋体" w:eastAsia="宋体"/>
          <w:color w:val="000000"/>
          <w:szCs w:val="18"/>
        </w:rPr>
      </w:pPr>
      <w:r>
        <w:rPr>
          <w:rFonts w:ascii="宋体" w:hAnsi="宋体" w:eastAsia="宋体"/>
          <w:color w:val="000000"/>
          <w:szCs w:val="18"/>
        </w:rPr>
        <w:t xml:space="preserve">4.</w:t>
      </w:r>
      <w:r>
        <w:rPr>
          <w:rFonts w:hint="eastAsia" w:ascii="宋体" w:hAnsi="宋体" w:eastAsia="宋体"/>
          <w:color w:val="000000"/>
          <w:szCs w:val="18"/>
        </w:rPr>
        <w:t xml:space="preserve">《中小企业声明函》中所填的行业应与本采购标的对应的中小企业划分标准所属行业一致，不一致的不可享受相应政策优惠。</w:t>
      </w:r>
      <w:r>
        <w:rPr>
          <w:rFonts w:hint="eastAsia" w:ascii="宋体" w:hAnsi="宋体" w:eastAsia="宋体"/>
          <w:b/>
          <w:color w:val="000000"/>
          <w:szCs w:val="18"/>
        </w:rPr>
        <w:t xml:space="preserve">本采购标的对应的中小企业划分标准所属行业，以征集文件中具体规定为准。</w:t>
      </w:r>
      <w:r/>
    </w:p>
    <w:p>
      <w:pPr>
        <w:pStyle w:val="951"/>
        <w:ind w:firstLine="540"/>
        <w:rPr>
          <w:rFonts w:ascii="宋体" w:hAnsi="宋体" w:eastAsia="宋体"/>
          <w:color w:val="000000"/>
          <w:szCs w:val="18"/>
        </w:rPr>
      </w:pPr>
      <w:r>
        <w:rPr>
          <w:rFonts w:hint="eastAsia" w:ascii="宋体" w:hAnsi="宋体" w:eastAsia="宋体"/>
          <w:szCs w:val="18"/>
        </w:rPr>
        <w:t xml:space="preserve">5</w:t>
      </w:r>
      <w:r>
        <w:rPr>
          <w:rFonts w:ascii="宋体" w:hAnsi="宋体" w:eastAsia="宋体"/>
          <w:szCs w:val="18"/>
        </w:rPr>
        <w:t xml:space="preserve">.</w:t>
      </w:r>
      <w:r>
        <w:rPr>
          <w:rFonts w:hint="eastAsia" w:ascii="宋体" w:hAnsi="宋体" w:eastAsia="宋体"/>
          <w:color w:val="000000"/>
          <w:szCs w:val="18"/>
        </w:rPr>
        <w:t xml:space="preserve">供应商自行勾选承接企业的企业规模类型。</w:t>
      </w:r>
      <w:r>
        <w:rPr>
          <w:rFonts w:hint="eastAsia" w:ascii="宋体" w:hAnsi="宋体" w:eastAsia="宋体"/>
          <w:b/>
          <w:color w:val="000000"/>
          <w:szCs w:val="18"/>
        </w:rPr>
        <w:t xml:space="preserve">如未对（中型企业、小型企业、微型企业）进行勾选，视同非中小微企业，不可享受相应扶持政策</w:t>
      </w:r>
      <w:r>
        <w:rPr>
          <w:rFonts w:hint="eastAsia" w:ascii="宋体" w:hAnsi="宋体" w:eastAsia="宋体"/>
          <w:color w:val="000000"/>
          <w:szCs w:val="18"/>
        </w:rPr>
        <w:t xml:space="preserve">。</w:t>
      </w:r>
      <w:r/>
    </w:p>
    <w:p>
      <w:pPr>
        <w:pStyle w:val="951"/>
        <w:ind w:firstLine="540"/>
        <w:rPr>
          <w:rFonts w:ascii="宋体" w:hAnsi="宋体" w:eastAsia="宋体"/>
          <w:szCs w:val="18"/>
        </w:rPr>
      </w:pPr>
      <w:r>
        <w:rPr>
          <w:rFonts w:ascii="宋体" w:hAnsi="宋体" w:eastAsia="宋体"/>
          <w:szCs w:val="18"/>
        </w:rPr>
        <w:t xml:space="preserve">6</w:t>
      </w:r>
      <w:r>
        <w:rPr>
          <w:rFonts w:hint="eastAsia" w:ascii="宋体" w:hAnsi="宋体" w:eastAsia="宋体"/>
          <w:szCs w:val="18"/>
        </w:rPr>
        <w:t xml:space="preserve">.成交单位为中小企业的，《中小企业声明函》将随成交结果同时公告。</w:t>
      </w:r>
      <w:r/>
    </w:p>
    <w:p>
      <w:pPr>
        <w:pStyle w:val="951"/>
        <w:ind w:firstLine="540"/>
        <w:rPr>
          <w:rFonts w:ascii="宋体" w:hAnsi="宋体" w:eastAsia="宋体"/>
          <w:szCs w:val="18"/>
        </w:rPr>
      </w:pPr>
      <w:r>
        <w:rPr>
          <w:rFonts w:ascii="宋体" w:hAnsi="宋体" w:eastAsia="宋体"/>
          <w:szCs w:val="18"/>
        </w:rPr>
        <w:t xml:space="preserve">7.</w:t>
      </w:r>
      <w:bookmarkStart w:id="49" w:name="OLE_LINK2"/>
      <w:r/>
      <w:bookmarkStart w:id="50" w:name="OLE_LINK15"/>
      <w:r>
        <w:rPr>
          <w:rFonts w:hint="eastAsia" w:ascii="宋体" w:hAnsi="宋体" w:eastAsia="宋体"/>
          <w:szCs w:val="18"/>
        </w:rPr>
        <w:t xml:space="preserve">供应商</w:t>
      </w:r>
      <w:bookmarkEnd w:id="49"/>
      <w:r/>
      <w:bookmarkEnd w:id="50"/>
      <w:r>
        <w:rPr>
          <w:rFonts w:hint="eastAsia" w:ascii="宋体" w:hAnsi="宋体" w:eastAsia="宋体"/>
          <w:szCs w:val="18"/>
        </w:rPr>
        <w:t xml:space="preserve">应当对其出具的《中小企业声明函》真实性负责，供应商出具的《中小企业声明函》内容不实的，属于提供虚假材料谋取中标。不能确定相关信息真实、准确的，不建议出具《中小企业声明函》。</w:t>
      </w:r>
      <w:r/>
    </w:p>
    <w:p>
      <w:pPr>
        <w:pStyle w:val="951"/>
        <w:ind w:firstLine="539"/>
        <w:rPr>
          <w:rFonts w:ascii="宋体" w:hAnsi="宋体" w:eastAsia="宋体"/>
          <w:szCs w:val="18"/>
        </w:rPr>
      </w:pPr>
      <w:r>
        <w:rPr>
          <w:rFonts w:hint="eastAsia" w:ascii="宋体" w:hAnsi="宋体" w:eastAsia="宋体"/>
          <w:szCs w:val="18"/>
        </w:rPr>
        <w:t xml:space="preserve">8</w:t>
      </w:r>
      <w:r>
        <w:rPr>
          <w:rFonts w:ascii="宋体" w:hAnsi="宋体" w:eastAsia="宋体"/>
          <w:szCs w:val="18"/>
        </w:rPr>
        <w:t xml:space="preserve">.</w:t>
      </w:r>
      <w:r>
        <w:rPr>
          <w:rFonts w:hint="eastAsia" w:ascii="宋体" w:hAnsi="宋体" w:eastAsia="宋体"/>
          <w:szCs w:val="18"/>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0">
    <w:name w:val="Heading 1"/>
    <w:basedOn w:val="939"/>
    <w:next w:val="939"/>
    <w:link w:val="771"/>
    <w:uiPriority w:val="9"/>
    <w:qFormat/>
    <w:pPr>
      <w:keepLines/>
      <w:keepNext/>
      <w:spacing w:before="480" w:after="200"/>
      <w:outlineLvl w:val="0"/>
    </w:pPr>
    <w:rPr>
      <w:rFonts w:ascii="Arial" w:hAnsi="Arial" w:eastAsia="Arial" w:cs="Arial"/>
      <w:sz w:val="40"/>
      <w:szCs w:val="40"/>
    </w:rPr>
  </w:style>
  <w:style w:type="character" w:styleId="771">
    <w:name w:val="Heading 1 Char"/>
    <w:basedOn w:val="941"/>
    <w:link w:val="770"/>
    <w:uiPriority w:val="9"/>
    <w:rPr>
      <w:rFonts w:ascii="Arial" w:hAnsi="Arial" w:eastAsia="Arial" w:cs="Arial"/>
      <w:sz w:val="40"/>
      <w:szCs w:val="40"/>
    </w:rPr>
  </w:style>
  <w:style w:type="paragraph" w:styleId="772">
    <w:name w:val="Heading 2"/>
    <w:basedOn w:val="939"/>
    <w:next w:val="939"/>
    <w:link w:val="773"/>
    <w:uiPriority w:val="9"/>
    <w:unhideWhenUsed/>
    <w:qFormat/>
    <w:pPr>
      <w:keepLines/>
      <w:keepNext/>
      <w:spacing w:before="360" w:after="200"/>
      <w:outlineLvl w:val="1"/>
    </w:pPr>
    <w:rPr>
      <w:rFonts w:ascii="Arial" w:hAnsi="Arial" w:eastAsia="Arial" w:cs="Arial"/>
      <w:sz w:val="34"/>
    </w:rPr>
  </w:style>
  <w:style w:type="character" w:styleId="773">
    <w:name w:val="Heading 2 Char"/>
    <w:basedOn w:val="941"/>
    <w:link w:val="772"/>
    <w:uiPriority w:val="9"/>
    <w:rPr>
      <w:rFonts w:ascii="Arial" w:hAnsi="Arial" w:eastAsia="Arial" w:cs="Arial"/>
      <w:sz w:val="34"/>
    </w:rPr>
  </w:style>
  <w:style w:type="character" w:styleId="774">
    <w:name w:val="Heading 3 Char"/>
    <w:basedOn w:val="941"/>
    <w:link w:val="940"/>
    <w:uiPriority w:val="9"/>
    <w:rPr>
      <w:rFonts w:ascii="Arial" w:hAnsi="Arial" w:eastAsia="Arial" w:cs="Arial"/>
      <w:sz w:val="30"/>
      <w:szCs w:val="30"/>
    </w:rPr>
  </w:style>
  <w:style w:type="paragraph" w:styleId="775">
    <w:name w:val="Heading 4"/>
    <w:basedOn w:val="939"/>
    <w:next w:val="939"/>
    <w:link w:val="776"/>
    <w:uiPriority w:val="9"/>
    <w:unhideWhenUsed/>
    <w:qFormat/>
    <w:pPr>
      <w:keepLines/>
      <w:keepNext/>
      <w:spacing w:before="320" w:after="200"/>
      <w:outlineLvl w:val="3"/>
    </w:pPr>
    <w:rPr>
      <w:rFonts w:ascii="Arial" w:hAnsi="Arial" w:eastAsia="Arial" w:cs="Arial"/>
      <w:b/>
      <w:bCs/>
      <w:sz w:val="26"/>
      <w:szCs w:val="26"/>
    </w:rPr>
  </w:style>
  <w:style w:type="character" w:styleId="776">
    <w:name w:val="Heading 4 Char"/>
    <w:basedOn w:val="941"/>
    <w:link w:val="775"/>
    <w:uiPriority w:val="9"/>
    <w:rPr>
      <w:rFonts w:ascii="Arial" w:hAnsi="Arial" w:eastAsia="Arial" w:cs="Arial"/>
      <w:b/>
      <w:bCs/>
      <w:sz w:val="26"/>
      <w:szCs w:val="26"/>
    </w:rPr>
  </w:style>
  <w:style w:type="paragraph" w:styleId="777">
    <w:name w:val="Heading 5"/>
    <w:basedOn w:val="939"/>
    <w:next w:val="939"/>
    <w:link w:val="778"/>
    <w:uiPriority w:val="9"/>
    <w:unhideWhenUsed/>
    <w:qFormat/>
    <w:pPr>
      <w:keepLines/>
      <w:keepNext/>
      <w:spacing w:before="320" w:after="200"/>
      <w:outlineLvl w:val="4"/>
    </w:pPr>
    <w:rPr>
      <w:rFonts w:ascii="Arial" w:hAnsi="Arial" w:eastAsia="Arial" w:cs="Arial"/>
      <w:b/>
      <w:bCs/>
      <w:sz w:val="24"/>
      <w:szCs w:val="24"/>
    </w:rPr>
  </w:style>
  <w:style w:type="character" w:styleId="778">
    <w:name w:val="Heading 5 Char"/>
    <w:basedOn w:val="941"/>
    <w:link w:val="777"/>
    <w:uiPriority w:val="9"/>
    <w:rPr>
      <w:rFonts w:ascii="Arial" w:hAnsi="Arial" w:eastAsia="Arial" w:cs="Arial"/>
      <w:b/>
      <w:bCs/>
      <w:sz w:val="24"/>
      <w:szCs w:val="24"/>
    </w:rPr>
  </w:style>
  <w:style w:type="paragraph" w:styleId="779">
    <w:name w:val="Heading 6"/>
    <w:basedOn w:val="939"/>
    <w:next w:val="939"/>
    <w:link w:val="780"/>
    <w:uiPriority w:val="9"/>
    <w:unhideWhenUsed/>
    <w:qFormat/>
    <w:pPr>
      <w:keepLines/>
      <w:keepNext/>
      <w:spacing w:before="320" w:after="200"/>
      <w:outlineLvl w:val="5"/>
    </w:pPr>
    <w:rPr>
      <w:rFonts w:ascii="Arial" w:hAnsi="Arial" w:eastAsia="Arial" w:cs="Arial"/>
      <w:b/>
      <w:bCs/>
      <w:sz w:val="22"/>
      <w:szCs w:val="22"/>
    </w:rPr>
  </w:style>
  <w:style w:type="character" w:styleId="780">
    <w:name w:val="Heading 6 Char"/>
    <w:basedOn w:val="941"/>
    <w:link w:val="779"/>
    <w:uiPriority w:val="9"/>
    <w:rPr>
      <w:rFonts w:ascii="Arial" w:hAnsi="Arial" w:eastAsia="Arial" w:cs="Arial"/>
      <w:b/>
      <w:bCs/>
      <w:sz w:val="22"/>
      <w:szCs w:val="22"/>
    </w:rPr>
  </w:style>
  <w:style w:type="paragraph" w:styleId="781">
    <w:name w:val="Heading 7"/>
    <w:basedOn w:val="939"/>
    <w:next w:val="939"/>
    <w:link w:val="782"/>
    <w:uiPriority w:val="9"/>
    <w:unhideWhenUsed/>
    <w:qFormat/>
    <w:pPr>
      <w:keepLines/>
      <w:keepNext/>
      <w:spacing w:before="320" w:after="200"/>
      <w:outlineLvl w:val="6"/>
    </w:pPr>
    <w:rPr>
      <w:rFonts w:ascii="Arial" w:hAnsi="Arial" w:eastAsia="Arial" w:cs="Arial"/>
      <w:b/>
      <w:bCs/>
      <w:i/>
      <w:iCs/>
      <w:sz w:val="22"/>
      <w:szCs w:val="22"/>
    </w:rPr>
  </w:style>
  <w:style w:type="character" w:styleId="782">
    <w:name w:val="Heading 7 Char"/>
    <w:basedOn w:val="941"/>
    <w:link w:val="781"/>
    <w:uiPriority w:val="9"/>
    <w:rPr>
      <w:rFonts w:ascii="Arial" w:hAnsi="Arial" w:eastAsia="Arial" w:cs="Arial"/>
      <w:b/>
      <w:bCs/>
      <w:i/>
      <w:iCs/>
      <w:sz w:val="22"/>
      <w:szCs w:val="22"/>
    </w:rPr>
  </w:style>
  <w:style w:type="paragraph" w:styleId="783">
    <w:name w:val="Heading 8"/>
    <w:basedOn w:val="939"/>
    <w:next w:val="939"/>
    <w:link w:val="784"/>
    <w:uiPriority w:val="9"/>
    <w:unhideWhenUsed/>
    <w:qFormat/>
    <w:pPr>
      <w:keepLines/>
      <w:keepNext/>
      <w:spacing w:before="320" w:after="200"/>
      <w:outlineLvl w:val="7"/>
    </w:pPr>
    <w:rPr>
      <w:rFonts w:ascii="Arial" w:hAnsi="Arial" w:eastAsia="Arial" w:cs="Arial"/>
      <w:i/>
      <w:iCs/>
      <w:sz w:val="22"/>
      <w:szCs w:val="22"/>
    </w:rPr>
  </w:style>
  <w:style w:type="character" w:styleId="784">
    <w:name w:val="Heading 8 Char"/>
    <w:basedOn w:val="941"/>
    <w:link w:val="783"/>
    <w:uiPriority w:val="9"/>
    <w:rPr>
      <w:rFonts w:ascii="Arial" w:hAnsi="Arial" w:eastAsia="Arial" w:cs="Arial"/>
      <w:i/>
      <w:iCs/>
      <w:sz w:val="22"/>
      <w:szCs w:val="22"/>
    </w:rPr>
  </w:style>
  <w:style w:type="paragraph" w:styleId="785">
    <w:name w:val="Heading 9"/>
    <w:basedOn w:val="939"/>
    <w:next w:val="939"/>
    <w:link w:val="786"/>
    <w:uiPriority w:val="9"/>
    <w:unhideWhenUsed/>
    <w:qFormat/>
    <w:pPr>
      <w:keepLines/>
      <w:keepNext/>
      <w:spacing w:before="320" w:after="200"/>
      <w:outlineLvl w:val="8"/>
    </w:pPr>
    <w:rPr>
      <w:rFonts w:ascii="Arial" w:hAnsi="Arial" w:eastAsia="Arial" w:cs="Arial"/>
      <w:i/>
      <w:iCs/>
      <w:sz w:val="21"/>
      <w:szCs w:val="21"/>
    </w:rPr>
  </w:style>
  <w:style w:type="character" w:styleId="786">
    <w:name w:val="Heading 9 Char"/>
    <w:basedOn w:val="941"/>
    <w:link w:val="785"/>
    <w:uiPriority w:val="9"/>
    <w:rPr>
      <w:rFonts w:ascii="Arial" w:hAnsi="Arial" w:eastAsia="Arial" w:cs="Arial"/>
      <w:i/>
      <w:iCs/>
      <w:sz w:val="21"/>
      <w:szCs w:val="21"/>
    </w:rPr>
  </w:style>
  <w:style w:type="paragraph" w:styleId="787">
    <w:name w:val="No Spacing"/>
    <w:uiPriority w:val="1"/>
    <w:qFormat/>
    <w:pPr>
      <w:spacing w:before="0" w:after="0" w:line="240" w:lineRule="auto"/>
    </w:pPr>
  </w:style>
  <w:style w:type="paragraph" w:styleId="788">
    <w:name w:val="Title"/>
    <w:basedOn w:val="939"/>
    <w:next w:val="939"/>
    <w:link w:val="789"/>
    <w:uiPriority w:val="10"/>
    <w:qFormat/>
    <w:pPr>
      <w:contextualSpacing/>
      <w:spacing w:before="300" w:after="200"/>
    </w:pPr>
    <w:rPr>
      <w:sz w:val="48"/>
      <w:szCs w:val="48"/>
    </w:rPr>
  </w:style>
  <w:style w:type="character" w:styleId="789">
    <w:name w:val="Title Char"/>
    <w:basedOn w:val="941"/>
    <w:link w:val="788"/>
    <w:uiPriority w:val="10"/>
    <w:rPr>
      <w:sz w:val="48"/>
      <w:szCs w:val="48"/>
    </w:rPr>
  </w:style>
  <w:style w:type="paragraph" w:styleId="790">
    <w:name w:val="Subtitle"/>
    <w:basedOn w:val="939"/>
    <w:next w:val="939"/>
    <w:link w:val="791"/>
    <w:uiPriority w:val="11"/>
    <w:qFormat/>
    <w:pPr>
      <w:spacing w:before="200" w:after="200"/>
    </w:pPr>
    <w:rPr>
      <w:sz w:val="24"/>
      <w:szCs w:val="24"/>
    </w:rPr>
  </w:style>
  <w:style w:type="character" w:styleId="791">
    <w:name w:val="Subtitle Char"/>
    <w:basedOn w:val="941"/>
    <w:link w:val="790"/>
    <w:uiPriority w:val="11"/>
    <w:rPr>
      <w:sz w:val="24"/>
      <w:szCs w:val="24"/>
    </w:rPr>
  </w:style>
  <w:style w:type="paragraph" w:styleId="792">
    <w:name w:val="Quote"/>
    <w:basedOn w:val="939"/>
    <w:next w:val="939"/>
    <w:link w:val="793"/>
    <w:uiPriority w:val="29"/>
    <w:qFormat/>
    <w:pPr>
      <w:ind w:left="720" w:right="720"/>
    </w:pPr>
    <w:rPr>
      <w:i/>
    </w:rPr>
  </w:style>
  <w:style w:type="character" w:styleId="793">
    <w:name w:val="Quote Char"/>
    <w:link w:val="792"/>
    <w:uiPriority w:val="29"/>
    <w:rPr>
      <w:i/>
    </w:rPr>
  </w:style>
  <w:style w:type="paragraph" w:styleId="794">
    <w:name w:val="Intense Quote"/>
    <w:basedOn w:val="939"/>
    <w:next w:val="939"/>
    <w:link w:val="79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5">
    <w:name w:val="Intense Quote Char"/>
    <w:link w:val="794"/>
    <w:uiPriority w:val="30"/>
    <w:rPr>
      <w:i/>
    </w:rPr>
  </w:style>
  <w:style w:type="character" w:styleId="796">
    <w:name w:val="Header Char"/>
    <w:basedOn w:val="941"/>
    <w:link w:val="949"/>
    <w:uiPriority w:val="99"/>
  </w:style>
  <w:style w:type="character" w:styleId="797">
    <w:name w:val="Footer Char"/>
    <w:basedOn w:val="941"/>
    <w:link w:val="948"/>
    <w:uiPriority w:val="99"/>
  </w:style>
  <w:style w:type="paragraph" w:styleId="798">
    <w:name w:val="Caption"/>
    <w:basedOn w:val="939"/>
    <w:next w:val="939"/>
    <w:uiPriority w:val="35"/>
    <w:semiHidden/>
    <w:unhideWhenUsed/>
    <w:qFormat/>
    <w:pPr>
      <w:spacing w:line="276" w:lineRule="auto"/>
    </w:pPr>
    <w:rPr>
      <w:b/>
      <w:bCs/>
      <w:color w:val="4f81bd" w:themeColor="accent1"/>
      <w:sz w:val="18"/>
      <w:szCs w:val="18"/>
    </w:rPr>
  </w:style>
  <w:style w:type="character" w:styleId="799">
    <w:name w:val="Caption Char"/>
    <w:basedOn w:val="798"/>
    <w:link w:val="948"/>
    <w:uiPriority w:val="99"/>
  </w:style>
  <w:style w:type="table" w:styleId="800">
    <w:name w:val="Table Grid Light"/>
    <w:basedOn w:val="9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1">
    <w:name w:val="Plain Table 1"/>
    <w:basedOn w:val="9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2">
    <w:name w:val="Plain Table 2"/>
    <w:basedOn w:val="94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3">
    <w:name w:val="Plain Table 3"/>
    <w:basedOn w:val="9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4">
    <w:name w:val="Plain Table 4"/>
    <w:basedOn w:val="9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5">
    <w:name w:val="Plain Table 5"/>
    <w:basedOn w:val="9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6">
    <w:name w:val="Grid Table 1 Light"/>
    <w:basedOn w:val="94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7">
    <w:name w:val="Grid Table 1 Light - Accent 1"/>
    <w:basedOn w:val="94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8">
    <w:name w:val="Grid Table 1 Light - Accent 2"/>
    <w:basedOn w:val="94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9">
    <w:name w:val="Grid Table 1 Light - Accent 3"/>
    <w:basedOn w:val="94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0">
    <w:name w:val="Grid Table 1 Light - Accent 4"/>
    <w:basedOn w:val="94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1">
    <w:name w:val="Grid Table 1 Light - Accent 5"/>
    <w:basedOn w:val="94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2">
    <w:name w:val="Grid Table 1 Light - Accent 6"/>
    <w:basedOn w:val="94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3">
    <w:name w:val="Grid Table 2"/>
    <w:basedOn w:val="9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4">
    <w:name w:val="Grid Table 2 - Accent 1"/>
    <w:basedOn w:val="94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5">
    <w:name w:val="Grid Table 2 - Accent 2"/>
    <w:basedOn w:val="94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6">
    <w:name w:val="Grid Table 2 - Accent 3"/>
    <w:basedOn w:val="94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7">
    <w:name w:val="Grid Table 2 - Accent 4"/>
    <w:basedOn w:val="94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8">
    <w:name w:val="Grid Table 2 - Accent 5"/>
    <w:basedOn w:val="94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9">
    <w:name w:val="Grid Table 2 - Accent 6"/>
    <w:basedOn w:val="94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0">
    <w:name w:val="Grid Table 3"/>
    <w:basedOn w:val="9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1"/>
    <w:basedOn w:val="94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2"/>
    <w:basedOn w:val="94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3"/>
    <w:basedOn w:val="94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4"/>
    <w:basedOn w:val="94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5"/>
    <w:basedOn w:val="94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6"/>
    <w:basedOn w:val="94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4"/>
    <w:basedOn w:val="94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8">
    <w:name w:val="Grid Table 4 - Accent 1"/>
    <w:basedOn w:val="94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9">
    <w:name w:val="Grid Table 4 - Accent 2"/>
    <w:basedOn w:val="94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0">
    <w:name w:val="Grid Table 4 - Accent 3"/>
    <w:basedOn w:val="94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1">
    <w:name w:val="Grid Table 4 - Accent 4"/>
    <w:basedOn w:val="94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2">
    <w:name w:val="Grid Table 4 - Accent 5"/>
    <w:basedOn w:val="94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3">
    <w:name w:val="Grid Table 4 - Accent 6"/>
    <w:basedOn w:val="94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4">
    <w:name w:val="Grid Table 5 Dark"/>
    <w:basedOn w:val="9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5">
    <w:name w:val="Grid Table 5 Dark- Accent 1"/>
    <w:basedOn w:val="9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6">
    <w:name w:val="Grid Table 5 Dark - Accent 2"/>
    <w:basedOn w:val="9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7">
    <w:name w:val="Grid Table 5 Dark - Accent 3"/>
    <w:basedOn w:val="9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8">
    <w:name w:val="Grid Table 5 Dark- Accent 4"/>
    <w:basedOn w:val="9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9">
    <w:name w:val="Grid Table 5 Dark - Accent 5"/>
    <w:basedOn w:val="9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0">
    <w:name w:val="Grid Table 5 Dark - Accent 6"/>
    <w:basedOn w:val="9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1">
    <w:name w:val="Grid Table 6 Colorful"/>
    <w:basedOn w:val="94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2">
    <w:name w:val="Grid Table 6 Colorful - Accent 1"/>
    <w:basedOn w:val="94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3">
    <w:name w:val="Grid Table 6 Colorful - Accent 2"/>
    <w:basedOn w:val="94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4">
    <w:name w:val="Grid Table 6 Colorful - Accent 3"/>
    <w:basedOn w:val="94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5">
    <w:name w:val="Grid Table 6 Colorful - Accent 4"/>
    <w:basedOn w:val="94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6">
    <w:name w:val="Grid Table 6 Colorful - Accent 5"/>
    <w:basedOn w:val="94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7">
    <w:name w:val="Grid Table 6 Colorful - Accent 6"/>
    <w:basedOn w:val="94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8">
    <w:name w:val="Grid Table 7 Colorful"/>
    <w:basedOn w:val="94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9">
    <w:name w:val="Grid Table 7 Colorful - Accent 1"/>
    <w:basedOn w:val="94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0">
    <w:name w:val="Grid Table 7 Colorful - Accent 2"/>
    <w:basedOn w:val="94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1">
    <w:name w:val="Grid Table 7 Colorful - Accent 3"/>
    <w:basedOn w:val="94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2">
    <w:name w:val="Grid Table 7 Colorful - Accent 4"/>
    <w:basedOn w:val="94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3">
    <w:name w:val="Grid Table 7 Colorful - Accent 5"/>
    <w:basedOn w:val="94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4">
    <w:name w:val="Grid Table 7 Colorful - Accent 6"/>
    <w:basedOn w:val="94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5">
    <w:name w:val="List Table 1 Light"/>
    <w:basedOn w:val="94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6">
    <w:name w:val="List Table 1 Light - Accent 1"/>
    <w:basedOn w:val="94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7">
    <w:name w:val="List Table 1 Light - Accent 2"/>
    <w:basedOn w:val="94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8">
    <w:name w:val="List Table 1 Light - Accent 3"/>
    <w:basedOn w:val="94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9">
    <w:name w:val="List Table 1 Light - Accent 4"/>
    <w:basedOn w:val="94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0">
    <w:name w:val="List Table 1 Light - Accent 5"/>
    <w:basedOn w:val="94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1">
    <w:name w:val="List Table 1 Light - Accent 6"/>
    <w:basedOn w:val="94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2">
    <w:name w:val="List Table 2"/>
    <w:basedOn w:val="94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3">
    <w:name w:val="List Table 2 - Accent 1"/>
    <w:basedOn w:val="94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4">
    <w:name w:val="List Table 2 - Accent 2"/>
    <w:basedOn w:val="94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5">
    <w:name w:val="List Table 2 - Accent 3"/>
    <w:basedOn w:val="94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6">
    <w:name w:val="List Table 2 - Accent 4"/>
    <w:basedOn w:val="94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7">
    <w:name w:val="List Table 2 - Accent 5"/>
    <w:basedOn w:val="94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8">
    <w:name w:val="List Table 2 - Accent 6"/>
    <w:basedOn w:val="94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9">
    <w:name w:val="List Table 3"/>
    <w:basedOn w:val="9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0">
    <w:name w:val="List Table 3 - Accent 1"/>
    <w:basedOn w:val="94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1">
    <w:name w:val="List Table 3 - Accent 2"/>
    <w:basedOn w:val="94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2">
    <w:name w:val="List Table 3 - Accent 3"/>
    <w:basedOn w:val="94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3">
    <w:name w:val="List Table 3 - Accent 4"/>
    <w:basedOn w:val="94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4">
    <w:name w:val="List Table 3 - Accent 5"/>
    <w:basedOn w:val="94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5">
    <w:name w:val="List Table 3 - Accent 6"/>
    <w:basedOn w:val="94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6">
    <w:name w:val="List Table 4"/>
    <w:basedOn w:val="9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7">
    <w:name w:val="List Table 4 - Accent 1"/>
    <w:basedOn w:val="94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8">
    <w:name w:val="List Table 4 - Accent 2"/>
    <w:basedOn w:val="94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9">
    <w:name w:val="List Table 4 - Accent 3"/>
    <w:basedOn w:val="94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0">
    <w:name w:val="List Table 4 - Accent 4"/>
    <w:basedOn w:val="94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1">
    <w:name w:val="List Table 4 - Accent 5"/>
    <w:basedOn w:val="94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2">
    <w:name w:val="List Table 4 - Accent 6"/>
    <w:basedOn w:val="94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3">
    <w:name w:val="List Table 5 Dark"/>
    <w:basedOn w:val="94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1"/>
    <w:basedOn w:val="94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2"/>
    <w:basedOn w:val="94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3"/>
    <w:basedOn w:val="94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4"/>
    <w:basedOn w:val="94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5"/>
    <w:basedOn w:val="94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6"/>
    <w:basedOn w:val="94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6 Colorful"/>
    <w:basedOn w:val="94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1">
    <w:name w:val="List Table 6 Colorful - Accent 1"/>
    <w:basedOn w:val="94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2">
    <w:name w:val="List Table 6 Colorful - Accent 2"/>
    <w:basedOn w:val="94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3">
    <w:name w:val="List Table 6 Colorful - Accent 3"/>
    <w:basedOn w:val="94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4">
    <w:name w:val="List Table 6 Colorful - Accent 4"/>
    <w:basedOn w:val="94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5">
    <w:name w:val="List Table 6 Colorful - Accent 5"/>
    <w:basedOn w:val="94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6">
    <w:name w:val="List Table 6 Colorful - Accent 6"/>
    <w:basedOn w:val="94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7">
    <w:name w:val="List Table 7 Colorful"/>
    <w:basedOn w:val="94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8">
    <w:name w:val="List Table 7 Colorful - Accent 1"/>
    <w:basedOn w:val="94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9">
    <w:name w:val="List Table 7 Colorful - Accent 2"/>
    <w:basedOn w:val="94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0">
    <w:name w:val="List Table 7 Colorful - Accent 3"/>
    <w:basedOn w:val="94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1">
    <w:name w:val="List Table 7 Colorful - Accent 4"/>
    <w:basedOn w:val="94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2">
    <w:name w:val="List Table 7 Colorful - Accent 5"/>
    <w:basedOn w:val="94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3">
    <w:name w:val="List Table 7 Colorful - Accent 6"/>
    <w:basedOn w:val="94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4">
    <w:name w:val="Lined - Accent"/>
    <w:basedOn w:val="9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5">
    <w:name w:val="Lined - Accent 1"/>
    <w:basedOn w:val="9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6">
    <w:name w:val="Lined - Accent 2"/>
    <w:basedOn w:val="9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7">
    <w:name w:val="Lined - Accent 3"/>
    <w:basedOn w:val="9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8">
    <w:name w:val="Lined - Accent 4"/>
    <w:basedOn w:val="9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9">
    <w:name w:val="Lined - Accent 5"/>
    <w:basedOn w:val="9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0">
    <w:name w:val="Lined - Accent 6"/>
    <w:basedOn w:val="9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1">
    <w:name w:val="Bordered &amp; Lined - Accent"/>
    <w:basedOn w:val="94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2">
    <w:name w:val="Bordered &amp; Lined - Accent 1"/>
    <w:basedOn w:val="94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3">
    <w:name w:val="Bordered &amp; Lined - Accent 2"/>
    <w:basedOn w:val="94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4">
    <w:name w:val="Bordered &amp; Lined - Accent 3"/>
    <w:basedOn w:val="94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5">
    <w:name w:val="Bordered &amp; Lined - Accent 4"/>
    <w:basedOn w:val="94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6">
    <w:name w:val="Bordered &amp; Lined - Accent 5"/>
    <w:basedOn w:val="94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7">
    <w:name w:val="Bordered &amp; Lined - Accent 6"/>
    <w:basedOn w:val="94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8">
    <w:name w:val="Bordered"/>
    <w:basedOn w:val="94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9">
    <w:name w:val="Bordered - Accent 1"/>
    <w:basedOn w:val="94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0">
    <w:name w:val="Bordered - Accent 2"/>
    <w:basedOn w:val="94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1">
    <w:name w:val="Bordered - Accent 3"/>
    <w:basedOn w:val="94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2">
    <w:name w:val="Bordered - Accent 4"/>
    <w:basedOn w:val="94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3">
    <w:name w:val="Bordered - Accent 5"/>
    <w:basedOn w:val="94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4">
    <w:name w:val="Bordered - Accent 6"/>
    <w:basedOn w:val="94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5">
    <w:name w:val="Footnote Text Char"/>
    <w:link w:val="951"/>
    <w:uiPriority w:val="99"/>
    <w:rPr>
      <w:sz w:val="18"/>
    </w:rPr>
  </w:style>
  <w:style w:type="character" w:styleId="926">
    <w:name w:val="footnote reference"/>
    <w:basedOn w:val="941"/>
    <w:uiPriority w:val="99"/>
    <w:unhideWhenUsed/>
    <w:rPr>
      <w:vertAlign w:val="superscript"/>
    </w:rPr>
  </w:style>
  <w:style w:type="paragraph" w:styleId="927">
    <w:name w:val="endnote text"/>
    <w:basedOn w:val="939"/>
    <w:link w:val="928"/>
    <w:uiPriority w:val="99"/>
    <w:semiHidden/>
    <w:unhideWhenUsed/>
    <w:pPr>
      <w:spacing w:after="0" w:line="240" w:lineRule="auto"/>
    </w:pPr>
    <w:rPr>
      <w:sz w:val="20"/>
    </w:rPr>
  </w:style>
  <w:style w:type="character" w:styleId="928">
    <w:name w:val="Endnote Text Char"/>
    <w:link w:val="927"/>
    <w:uiPriority w:val="99"/>
    <w:rPr>
      <w:sz w:val="20"/>
    </w:rPr>
  </w:style>
  <w:style w:type="character" w:styleId="929">
    <w:name w:val="endnote reference"/>
    <w:basedOn w:val="941"/>
    <w:uiPriority w:val="99"/>
    <w:semiHidden/>
    <w:unhideWhenUsed/>
    <w:rPr>
      <w:vertAlign w:val="superscript"/>
    </w:rPr>
  </w:style>
  <w:style w:type="paragraph" w:styleId="930">
    <w:name w:val="toc 3"/>
    <w:basedOn w:val="939"/>
    <w:next w:val="939"/>
    <w:uiPriority w:val="39"/>
    <w:unhideWhenUsed/>
    <w:pPr>
      <w:ind w:left="567" w:right="0" w:firstLine="0"/>
      <w:spacing w:after="57"/>
    </w:pPr>
  </w:style>
  <w:style w:type="paragraph" w:styleId="931">
    <w:name w:val="toc 4"/>
    <w:basedOn w:val="939"/>
    <w:next w:val="939"/>
    <w:uiPriority w:val="39"/>
    <w:unhideWhenUsed/>
    <w:pPr>
      <w:ind w:left="850" w:right="0" w:firstLine="0"/>
      <w:spacing w:after="57"/>
    </w:pPr>
  </w:style>
  <w:style w:type="paragraph" w:styleId="932">
    <w:name w:val="toc 5"/>
    <w:basedOn w:val="939"/>
    <w:next w:val="939"/>
    <w:uiPriority w:val="39"/>
    <w:unhideWhenUsed/>
    <w:pPr>
      <w:ind w:left="1134" w:right="0" w:firstLine="0"/>
      <w:spacing w:after="57"/>
    </w:pPr>
  </w:style>
  <w:style w:type="paragraph" w:styleId="933">
    <w:name w:val="toc 6"/>
    <w:basedOn w:val="939"/>
    <w:next w:val="939"/>
    <w:uiPriority w:val="39"/>
    <w:unhideWhenUsed/>
    <w:pPr>
      <w:ind w:left="1417" w:right="0" w:firstLine="0"/>
      <w:spacing w:after="57"/>
    </w:pPr>
  </w:style>
  <w:style w:type="paragraph" w:styleId="934">
    <w:name w:val="toc 7"/>
    <w:basedOn w:val="939"/>
    <w:next w:val="939"/>
    <w:uiPriority w:val="39"/>
    <w:unhideWhenUsed/>
    <w:pPr>
      <w:ind w:left="1701" w:right="0" w:firstLine="0"/>
      <w:spacing w:after="57"/>
    </w:pPr>
  </w:style>
  <w:style w:type="paragraph" w:styleId="935">
    <w:name w:val="toc 8"/>
    <w:basedOn w:val="939"/>
    <w:next w:val="939"/>
    <w:uiPriority w:val="39"/>
    <w:unhideWhenUsed/>
    <w:pPr>
      <w:ind w:left="1984" w:right="0" w:firstLine="0"/>
      <w:spacing w:after="57"/>
    </w:pPr>
  </w:style>
  <w:style w:type="paragraph" w:styleId="936">
    <w:name w:val="toc 9"/>
    <w:basedOn w:val="939"/>
    <w:next w:val="939"/>
    <w:uiPriority w:val="39"/>
    <w:unhideWhenUsed/>
    <w:pPr>
      <w:ind w:left="2268" w:right="0" w:firstLine="0"/>
      <w:spacing w:after="57"/>
    </w:pPr>
  </w:style>
  <w:style w:type="paragraph" w:styleId="937">
    <w:name w:val="TOC Heading"/>
    <w:uiPriority w:val="39"/>
    <w:unhideWhenUsed/>
  </w:style>
  <w:style w:type="paragraph" w:styleId="938">
    <w:name w:val="table of figures"/>
    <w:basedOn w:val="939"/>
    <w:next w:val="939"/>
    <w:uiPriority w:val="99"/>
    <w:unhideWhenUsed/>
    <w:pPr>
      <w:spacing w:after="0" w:afterAutospacing="0"/>
    </w:pPr>
  </w:style>
  <w:style w:type="paragraph" w:styleId="939" w:default="1">
    <w:name w:val="Normal"/>
    <w:next w:val="944"/>
    <w:qFormat/>
    <w:pPr>
      <w:jc w:val="both"/>
      <w:widowControl w:val="off"/>
    </w:pPr>
    <w:rPr>
      <w:rFonts w:asciiTheme="minorHAnsi" w:hAnsiTheme="minorHAnsi" w:eastAsiaTheme="minorEastAsia" w:cstheme="minorBidi"/>
      <w:sz w:val="21"/>
      <w:szCs w:val="22"/>
    </w:rPr>
  </w:style>
  <w:style w:type="paragraph" w:styleId="940">
    <w:name w:val="Heading 3"/>
    <w:basedOn w:val="939"/>
    <w:next w:val="939"/>
    <w:qFormat/>
    <w:pPr>
      <w:jc w:val="left"/>
      <w:keepLines/>
      <w:keepNext/>
      <w:outlineLvl w:val="2"/>
    </w:pPr>
    <w:rPr>
      <w:rFonts w:eastAsia="楷体_GB2312"/>
      <w:b/>
      <w:sz w:val="26"/>
      <w:szCs w:val="20"/>
    </w:rPr>
  </w:style>
  <w:style w:type="character" w:styleId="941" w:default="1">
    <w:name w:val="Default Paragraph Font"/>
    <w:uiPriority w:val="1"/>
    <w:semiHidden/>
    <w:unhideWhenUsed/>
  </w:style>
  <w:style w:type="table" w:styleId="942" w:default="1">
    <w:name w:val="Normal Table"/>
    <w:uiPriority w:val="99"/>
    <w:semiHidden/>
    <w:unhideWhenUsed/>
    <w:tblPr>
      <w:tblInd w:w="0" w:type="dxa"/>
      <w:tblCellMar>
        <w:left w:w="108" w:type="dxa"/>
        <w:top w:w="0" w:type="dxa"/>
        <w:right w:w="108" w:type="dxa"/>
        <w:bottom w:w="0" w:type="dxa"/>
      </w:tblCellMar>
    </w:tblPr>
  </w:style>
  <w:style w:type="numbering" w:styleId="943" w:default="1">
    <w:name w:val="No List"/>
    <w:uiPriority w:val="99"/>
    <w:semiHidden/>
    <w:unhideWhenUsed/>
  </w:style>
  <w:style w:type="paragraph" w:styleId="944">
    <w:name w:val="Body Text"/>
    <w:basedOn w:val="939"/>
    <w:next w:val="945"/>
    <w:qFormat/>
    <w:pPr>
      <w:ind w:firstLine="2560"/>
    </w:pPr>
  </w:style>
  <w:style w:type="paragraph" w:styleId="945">
    <w:name w:val="Normal Indent"/>
    <w:basedOn w:val="939"/>
    <w:next w:val="939"/>
    <w:link w:val="976"/>
    <w:qFormat/>
    <w:pPr>
      <w:ind w:left="420" w:firstLine="4772"/>
    </w:pPr>
  </w:style>
  <w:style w:type="paragraph" w:styleId="946">
    <w:name w:val="annotation text"/>
    <w:basedOn w:val="939"/>
    <w:link w:val="970"/>
    <w:qFormat/>
    <w:pPr>
      <w:jc w:val="left"/>
    </w:pPr>
  </w:style>
  <w:style w:type="paragraph" w:styleId="947">
    <w:name w:val="Balloon Text"/>
    <w:basedOn w:val="939"/>
    <w:link w:val="972"/>
    <w:uiPriority w:val="99"/>
    <w:semiHidden/>
    <w:unhideWhenUsed/>
    <w:qFormat/>
    <w:rPr>
      <w:sz w:val="18"/>
      <w:szCs w:val="18"/>
    </w:rPr>
  </w:style>
  <w:style w:type="paragraph" w:styleId="948">
    <w:name w:val="Footer"/>
    <w:basedOn w:val="939"/>
    <w:link w:val="963"/>
    <w:uiPriority w:val="99"/>
    <w:unhideWhenUsed/>
    <w:qFormat/>
    <w:pPr>
      <w:jc w:val="left"/>
      <w:tabs>
        <w:tab w:val="center" w:pos="4153" w:leader="none"/>
        <w:tab w:val="right" w:pos="8306" w:leader="none"/>
      </w:tabs>
    </w:pPr>
    <w:rPr>
      <w:sz w:val="18"/>
      <w:szCs w:val="18"/>
    </w:rPr>
  </w:style>
  <w:style w:type="paragraph" w:styleId="949">
    <w:name w:val="Header"/>
    <w:basedOn w:val="939"/>
    <w:link w:val="96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50">
    <w:name w:val="toc 1"/>
    <w:basedOn w:val="939"/>
    <w:next w:val="939"/>
    <w:uiPriority w:val="39"/>
    <w:unhideWhenUsed/>
    <w:qFormat/>
  </w:style>
  <w:style w:type="paragraph" w:styleId="951">
    <w:name w:val="footnote text"/>
    <w:basedOn w:val="939"/>
    <w:qFormat/>
    <w:pPr>
      <w:jc w:val="left"/>
    </w:pPr>
    <w:rPr>
      <w:rFonts w:ascii="Times New Roman" w:hAnsi="Times New Roman" w:eastAsia="楷体_GB2312" w:cs="Times New Roman"/>
      <w:sz w:val="18"/>
      <w:szCs w:val="20"/>
    </w:rPr>
  </w:style>
  <w:style w:type="paragraph" w:styleId="952">
    <w:name w:val="toc 2"/>
    <w:basedOn w:val="939"/>
    <w:next w:val="939"/>
    <w:uiPriority w:val="39"/>
    <w:unhideWhenUsed/>
    <w:qFormat/>
    <w:pPr>
      <w:ind w:left="420"/>
    </w:pPr>
  </w:style>
  <w:style w:type="paragraph" w:styleId="953">
    <w:name w:val="HTML Preformatted"/>
    <w:basedOn w:val="939"/>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Times New Roman"/>
      <w:sz w:val="24"/>
      <w:szCs w:val="24"/>
    </w:rPr>
  </w:style>
  <w:style w:type="paragraph" w:styleId="954">
    <w:name w:val="Normal (Web)"/>
    <w:basedOn w:val="939"/>
    <w:qFormat/>
    <w:pPr>
      <w:jc w:val="left"/>
      <w:spacing w:beforeAutospacing="1" w:afterAutospacing="1"/>
    </w:pPr>
    <w:rPr>
      <w:rFonts w:cs="Times New Roman"/>
      <w:sz w:val="24"/>
    </w:rPr>
  </w:style>
  <w:style w:type="paragraph" w:styleId="955">
    <w:name w:val="annotation subject"/>
    <w:basedOn w:val="946"/>
    <w:next w:val="946"/>
    <w:link w:val="971"/>
    <w:uiPriority w:val="99"/>
    <w:semiHidden/>
    <w:unhideWhenUsed/>
    <w:qFormat/>
    <w:rPr>
      <w:b/>
      <w:bCs/>
    </w:rPr>
  </w:style>
  <w:style w:type="table" w:styleId="956">
    <w:name w:val="Table Grid"/>
    <w:basedOn w:val="942"/>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57">
    <w:name w:val="FollowedHyperlink"/>
    <w:basedOn w:val="941"/>
    <w:uiPriority w:val="99"/>
    <w:semiHidden/>
    <w:unhideWhenUsed/>
    <w:qFormat/>
    <w:rPr>
      <w:color w:val="333333"/>
      <w:u w:val="none"/>
    </w:rPr>
  </w:style>
  <w:style w:type="character" w:styleId="958">
    <w:name w:val="Emphasis"/>
    <w:basedOn w:val="941"/>
    <w:uiPriority w:val="20"/>
    <w:qFormat/>
  </w:style>
  <w:style w:type="character" w:styleId="959">
    <w:name w:val="Hyperlink"/>
    <w:basedOn w:val="941"/>
    <w:uiPriority w:val="99"/>
    <w:unhideWhenUsed/>
    <w:qFormat/>
    <w:rPr>
      <w:color w:val="333333"/>
      <w:u w:val="none"/>
    </w:rPr>
  </w:style>
  <w:style w:type="character" w:styleId="960">
    <w:name w:val="annotation reference"/>
    <w:qFormat/>
    <w:rPr>
      <w:sz w:val="21"/>
      <w:szCs w:val="21"/>
    </w:rPr>
  </w:style>
  <w:style w:type="paragraph" w:styleId="961" w:customStyle="1">
    <w:name w:val="1正文"/>
    <w:basedOn w:val="939"/>
    <w:qFormat/>
    <w:rPr>
      <w:rFonts w:ascii="宋体" w:hAnsi="宋体"/>
      <w:color w:val="000000"/>
      <w:sz w:val="15"/>
      <w:szCs w:val="14"/>
    </w:rPr>
  </w:style>
  <w:style w:type="character" w:styleId="962" w:customStyle="1">
    <w:name w:val="页眉 字符"/>
    <w:basedOn w:val="941"/>
    <w:link w:val="949"/>
    <w:uiPriority w:val="99"/>
    <w:qFormat/>
    <w:rPr>
      <w:sz w:val="18"/>
      <w:szCs w:val="18"/>
    </w:rPr>
  </w:style>
  <w:style w:type="character" w:styleId="963" w:customStyle="1">
    <w:name w:val="页脚 字符"/>
    <w:basedOn w:val="941"/>
    <w:link w:val="948"/>
    <w:uiPriority w:val="99"/>
    <w:qFormat/>
    <w:rPr>
      <w:sz w:val="18"/>
      <w:szCs w:val="18"/>
    </w:rPr>
  </w:style>
  <w:style w:type="table" w:styleId="964" w:customStyle="1">
    <w:name w:val="网格型2"/>
    <w:basedOn w:val="942"/>
    <w:uiPriority w:val="59"/>
    <w:qFormat/>
    <w:rPr>
      <w:sz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65" w:customStyle="1">
    <w:name w:val="网格型1"/>
    <w:basedOn w:val="942"/>
    <w:uiPriority w:val="59"/>
    <w:qFormat/>
    <w:rPr>
      <w:sz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66" w:customStyle="1">
    <w:name w:val="网格型21"/>
    <w:basedOn w:val="942"/>
    <w:uiPriority w:val="59"/>
    <w:qFormat/>
    <w:rPr>
      <w:sz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67" w:customStyle="1">
    <w:name w:val="网格型7"/>
    <w:basedOn w:val="942"/>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68" w:customStyle="1">
    <w:name w:val="Table Text"/>
    <w:basedOn w:val="939"/>
    <w:semiHidden/>
    <w:qFormat/>
    <w:pPr>
      <w:jc w:val="left"/>
      <w:widowControl/>
    </w:pPr>
    <w:rPr>
      <w:rFonts w:ascii="宋体" w:hAnsi="宋体" w:eastAsia="宋体" w:cs="宋体"/>
      <w:color w:val="000000"/>
      <w:sz w:val="25"/>
      <w:szCs w:val="25"/>
      <w:lang w:eastAsia="en-US"/>
    </w:rPr>
  </w:style>
  <w:style w:type="table" w:styleId="969" w:customStyle="1">
    <w:name w:val="Table Normal"/>
    <w:semiHidden/>
    <w:unhideWhenUsed/>
    <w:qFormat/>
    <w:tblPr>
      <w:tblCellMar>
        <w:left w:w="0" w:type="dxa"/>
        <w:top w:w="0" w:type="dxa"/>
        <w:right w:w="0" w:type="dxa"/>
        <w:bottom w:w="0" w:type="dxa"/>
      </w:tblCellMar>
    </w:tblPr>
  </w:style>
  <w:style w:type="character" w:styleId="970" w:customStyle="1">
    <w:name w:val="批注文字 字符"/>
    <w:basedOn w:val="941"/>
    <w:link w:val="946"/>
    <w:uiPriority w:val="99"/>
    <w:qFormat/>
    <w:rPr>
      <w:rFonts w:asciiTheme="minorHAnsi" w:hAnsiTheme="minorHAnsi" w:eastAsiaTheme="minorEastAsia" w:cstheme="minorBidi"/>
      <w:sz w:val="21"/>
      <w:szCs w:val="22"/>
    </w:rPr>
  </w:style>
  <w:style w:type="character" w:styleId="971" w:customStyle="1">
    <w:name w:val="批注主题 字符"/>
    <w:basedOn w:val="970"/>
    <w:link w:val="955"/>
    <w:uiPriority w:val="99"/>
    <w:semiHidden/>
    <w:qFormat/>
    <w:rPr>
      <w:rFonts w:asciiTheme="minorHAnsi" w:hAnsiTheme="minorHAnsi" w:eastAsiaTheme="minorEastAsia" w:cstheme="minorBidi"/>
      <w:b/>
      <w:bCs/>
      <w:sz w:val="21"/>
      <w:szCs w:val="22"/>
    </w:rPr>
  </w:style>
  <w:style w:type="character" w:styleId="972" w:customStyle="1">
    <w:name w:val="批注框文本 字符"/>
    <w:basedOn w:val="941"/>
    <w:link w:val="947"/>
    <w:uiPriority w:val="99"/>
    <w:semiHidden/>
    <w:qFormat/>
    <w:rPr>
      <w:rFonts w:asciiTheme="minorHAnsi" w:hAnsiTheme="minorHAnsi" w:eastAsiaTheme="minorEastAsia" w:cstheme="minorBidi"/>
      <w:sz w:val="18"/>
      <w:szCs w:val="18"/>
    </w:rPr>
  </w:style>
  <w:style w:type="paragraph" w:styleId="973">
    <w:name w:val="List Paragraph"/>
    <w:basedOn w:val="939"/>
    <w:uiPriority w:val="34"/>
    <w:qFormat/>
    <w:pPr>
      <w:ind w:firstLine="420"/>
    </w:pPr>
  </w:style>
  <w:style w:type="table" w:styleId="974" w:customStyle="1">
    <w:name w:val="网格型3"/>
    <w:basedOn w:val="942"/>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75" w:customStyle="1">
    <w:name w:val="网格型8"/>
    <w:basedOn w:val="942"/>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76" w:customStyle="1">
    <w:name w:val="正文缩进 字符"/>
    <w:link w:val="945"/>
    <w:qFormat/>
    <w:rPr>
      <w:rFonts w:asciiTheme="minorHAnsi" w:hAnsiTheme="minorHAnsi" w:eastAsiaTheme="minorEastAsia" w:cstheme="minorBidi"/>
      <w:sz w:val="21"/>
      <w:szCs w:val="22"/>
    </w:rPr>
  </w:style>
  <w:style w:type="character" w:styleId="977" w:customStyle="1">
    <w:name w:val="font31"/>
    <w:basedOn w:val="941"/>
    <w:qFormat/>
    <w:rPr>
      <w:rFonts w:hint="eastAsia" w:ascii="仿宋" w:hAnsi="仿宋" w:eastAsia="仿宋" w:cs="仿宋"/>
      <w:color w:val="000000"/>
      <w:sz w:val="22"/>
      <w:szCs w:val="22"/>
      <w:u w:val="none"/>
    </w:rPr>
  </w:style>
  <w:style w:type="character" w:styleId="978" w:customStyle="1">
    <w:name w:val="font51"/>
    <w:basedOn w:val="941"/>
    <w:qFormat/>
    <w:rPr>
      <w:rFonts w:hint="eastAsia" w:ascii="仿宋" w:hAnsi="仿宋" w:eastAsia="仿宋" w:cs="仿宋"/>
      <w:color w:val="000000"/>
      <w:sz w:val="24"/>
      <w:szCs w:val="24"/>
      <w:u w:val="none"/>
    </w:rPr>
  </w:style>
  <w:style w:type="character" w:styleId="979" w:customStyle="1">
    <w:name w:val="font61"/>
    <w:basedOn w:val="941"/>
    <w:qFormat/>
    <w:rPr>
      <w:rFonts w:hint="eastAsia" w:ascii="仿宋" w:hAnsi="仿宋" w:eastAsia="仿宋" w:cs="仿宋"/>
      <w:color w:val="ff0000"/>
      <w:sz w:val="24"/>
      <w:szCs w:val="24"/>
      <w:u w:val="none"/>
    </w:rPr>
  </w:style>
  <w:style w:type="character" w:styleId="980" w:customStyle="1">
    <w:name w:val="font41"/>
    <w:basedOn w:val="941"/>
    <w:qFormat/>
    <w:rPr>
      <w:rFonts w:hint="eastAsia" w:ascii="仿宋" w:hAnsi="仿宋" w:eastAsia="仿宋" w:cs="仿宋"/>
      <w:color w:val="ff0000"/>
      <w:sz w:val="22"/>
      <w:szCs w:val="22"/>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hyperlink" Target="http://jszfcg.jsczt.cn/&#65289;&#65289;&#33719;&#21462;&#24449;&#38598;&#25991;&#20214;&#65292;&#24182;&#20110;2026&#24180;" TargetMode="External"/><Relationship Id="rId13"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515A3C45-A55B-472D-9F47-7F76E6282BA4}">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苏州市公共资源交易中心</dc:creator>
  <cp:lastModifiedBy>罗工</cp:lastModifiedBy>
  <cp:revision>6</cp:revision>
  <dcterms:created xsi:type="dcterms:W3CDTF">2026-08-14T08:25:00Z</dcterms:created>
  <dcterms:modified xsi:type="dcterms:W3CDTF">2026-08-14T08:56:34Z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25459F8626904381A75D0388D6718B51_13</vt:lpwstr>
  </property>
  <property fmtid="{D5CDD505-2E9C-101B-9397-08002B2CF9AE}" pid="4" name="KSOTemplateDocerSaveRecord">
    <vt:lpwstr>eyJoZGlkIjoiOGQ5NmM2OWY2MGQxZWJkNDRhOGEyYmFjMGUzNTFhOTUiLCJ1c2VySWQiOiIyNTU1OTkyODYifQ==</vt:lpwstr>
  </property>
</Properties>
</file>