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u w:val="single"/>
          <w:lang w:val="en-US" w:eastAsia="zh-CN"/>
        </w:rPr>
        <w:t xml:space="preserve">JSZC-321012-JSZC-G2026-0023</w:t>
      </w:r>
      <w:r/>
    </w:p>
    <w:p>
      <w:pPr>
        <w:jc w:val="center"/>
        <w:keepLines w:val="0"/>
        <w:keepNext w:val="0"/>
        <w:pageBreakBefore w:val="0"/>
        <w:spacing w:line="360" w:lineRule="auto"/>
        <w:widowControl w:val="off"/>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pStyle w:val="901"/>
        <w:jc w:val="center"/>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 xml:space="preserve">扬州市江都区教育局城北教育集中区建设工程高中部分科创中心建设项目</w:t>
      </w:r>
      <w:r/>
    </w:p>
    <w:p>
      <w:pPr>
        <w:pStyle w:val="901"/>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center"/>
        <w:rPr>
          <w:rFonts w:ascii="宋体" w:hAnsi="宋体"/>
          <w:color w:val="auto"/>
          <w:sz w:val="36"/>
          <w:highlight w:val="none"/>
        </w:rPr>
      </w:pPr>
      <w:r>
        <w:rPr>
          <w:rFonts w:ascii="宋体" w:hAnsi="宋体"/>
          <w:color w:val="auto"/>
          <w:sz w:val="36"/>
          <w:highlight w:val="none"/>
        </w:rPr>
      </w:r>
      <w:r/>
    </w:p>
    <w:p>
      <w:pPr>
        <w:jc w:val="center"/>
        <w:rPr>
          <w:rFonts w:hint="eastAsia" w:asciiTheme="majorEastAsia" w:hAnsiTheme="majorEastAsia" w:eastAsiaTheme="majorEastAsia" w:cstheme="majorEastAsia"/>
          <w:color w:val="auto"/>
          <w:sz w:val="36"/>
          <w:szCs w:val="36"/>
          <w:highlight w:val="none"/>
        </w:rPr>
      </w:pPr>
      <w:r>
        <w:rPr>
          <w:rFonts w:hint="eastAsia" w:ascii="宋体" w:hAnsi="宋体"/>
          <w:color w:val="auto"/>
          <w:sz w:val="20"/>
          <w:szCs w:val="20"/>
          <w:highlight w:val="none"/>
        </w:rPr>
        <mc:AlternateContent>
          <mc:Choice Requires="wpg">
            <w:drawing>
              <wp:inline xmlns:wp="http://schemas.openxmlformats.org/drawingml/2006/wordprocessingDrawing" distT="0" distB="0" distL="0" distR="0">
                <wp:extent cx="1922780" cy="3279775"/>
                <wp:effectExtent l="0" t="0" r="1270" b="15875"/>
                <wp:docPr id="2" name="图片 2" descr="志诚标志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志诚标志3"/>
                        <pic:cNvPicPr>
                          <a:picLocks noChangeAspect="1"/>
                        </pic:cNvPicPr>
                        <pic:nvPr/>
                      </pic:nvPicPr>
                      <pic:blipFill>
                        <a:blip r:embed="rId17"/>
                        <a:stretch/>
                      </pic:blipFill>
                      <pic:spPr bwMode="auto">
                        <a:xfrm>
                          <a:off x="0" y="0"/>
                          <a:ext cx="1922780" cy="32797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1.4pt;height:258.2pt;mso-wrap-distance-left:0.0pt;mso-wrap-distance-top:0.0pt;mso-wrap-distance-right:0.0pt;mso-wrap-distance-bottom:0.0pt;" stroked="f">
                <v:path textboxrect="0,0,0,0"/>
                <v:imagedata r:id="rId17" o:title=""/>
              </v:shape>
            </w:pict>
          </mc:Fallback>
        </mc:AlternateContent>
      </w:r>
      <w:r/>
    </w:p>
    <w:p>
      <w:pPr>
        <w:pStyle w:val="910"/>
        <w:ind w:left="0" w:firstLine="0"/>
        <w:jc w:val="center"/>
        <w:rPr>
          <w:color w:val="auto"/>
          <w:sz w:val="52"/>
          <w:szCs w:val="52"/>
          <w:highlight w:val="none"/>
        </w:rPr>
      </w:pPr>
      <w:r>
        <w:rPr>
          <w:color w:val="auto"/>
          <w:sz w:val="52"/>
          <w:szCs w:val="52"/>
          <w:highlight w:val="none"/>
        </w:rPr>
      </w:r>
      <w:r/>
    </w:p>
    <w:p>
      <w:pPr>
        <w:pStyle w:val="910"/>
        <w:rPr>
          <w:color w:val="auto"/>
          <w:highlight w:val="none"/>
        </w:rPr>
      </w:pPr>
      <w:r>
        <w:rPr>
          <w:color w:val="auto"/>
          <w:highlight w:val="none"/>
        </w:rPr>
      </w:r>
      <w:r/>
    </w:p>
    <w:p>
      <w:pPr>
        <w:ind w:right="934" w:firstLine="1600"/>
        <w:jc w:val="both"/>
        <w:keepLines w:val="0"/>
        <w:keepNext w:val="0"/>
        <w:pageBreakBefore w:val="0"/>
        <w:spacing w:line="360" w:lineRule="auto"/>
        <w:widowControl w:val="off"/>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扬州市江都区教育局</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江苏志诚工程咨询管理有限公司</w:t>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2"/>
          <w:szCs w:val="32"/>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2"/>
          <w:szCs w:val="32"/>
          <w:highlight w:val="none"/>
          <w:lang w:val="en-US" w:eastAsia="zh-CN"/>
        </w:rPr>
        <w:t xml:space="preserve">二〇二</w:t>
      </w:r>
      <w:r>
        <w:rPr>
          <w:rFonts w:hint="eastAsia" w:ascii="宋体" w:hAnsi="宋体" w:cs="Times New Roman"/>
          <w:color w:val="auto"/>
          <w:sz w:val="32"/>
          <w:szCs w:val="32"/>
          <w:highlight w:val="none"/>
          <w:lang w:val="en-US" w:eastAsia="zh-CN"/>
        </w:rPr>
        <w:t xml:space="preserve">六</w:t>
      </w:r>
      <w:r>
        <w:rPr>
          <w:rFonts w:hint="eastAsia" w:ascii="宋体" w:hAnsi="宋体" w:eastAsia="宋体" w:cs="Times New Roman"/>
          <w:color w:val="auto"/>
          <w:sz w:val="32"/>
          <w:szCs w:val="32"/>
          <w:highlight w:val="none"/>
          <w:lang w:val="en-US" w:eastAsia="zh-CN"/>
        </w:rPr>
        <w:t xml:space="preserve">年</w:t>
      </w:r>
      <w:r>
        <w:rPr>
          <w:rFonts w:hint="eastAsia" w:ascii="宋体" w:hAnsi="宋体" w:cs="Times New Roman"/>
          <w:color w:val="auto"/>
          <w:sz w:val="32"/>
          <w:szCs w:val="32"/>
          <w:highlight w:val="none"/>
          <w:lang w:val="en-US" w:eastAsia="zh-CN"/>
        </w:rPr>
        <w:t xml:space="preserve">七</w:t>
      </w:r>
      <w:r>
        <w:rPr>
          <w:rFonts w:hint="eastAsia" w:ascii="宋体" w:hAnsi="宋体" w:eastAsia="宋体" w:cs="Times New Roman"/>
          <w:color w:val="auto"/>
          <w:sz w:val="32"/>
          <w:szCs w:val="32"/>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736"/>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736"/>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_Toc20022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p>
    <w:p>
      <w:pPr>
        <w:pStyle w:val="736"/>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p>
    <w:p>
      <w:pPr>
        <w:pStyle w:val="736"/>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_Toc16060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p>
    <w:p>
      <w:pPr>
        <w:pStyle w:val="736"/>
        <w:tabs>
          <w:tab w:val="right" w:pos="830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val="en-US" w:eastAsia="zh-CN"/>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_Toc22063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23</w:t>
      </w:r>
      <w:r>
        <w:rPr>
          <w:rFonts w:hint="eastAsia" w:ascii="宋体" w:hAnsi="宋体" w:eastAsia="宋体" w:cs="宋体"/>
          <w:color w:val="auto"/>
          <w:sz w:val="28"/>
          <w:szCs w:val="28"/>
          <w:highlight w:val="none"/>
        </w:rPr>
        <w:fldChar w:fldCharType="end"/>
      </w:r>
      <w:r/>
    </w:p>
    <w:p>
      <w:pPr>
        <w:pStyle w:val="736"/>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第五章 评标方法及评标标准</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42</w:t>
      </w:r>
      <w:r/>
    </w:p>
    <w:p>
      <w:pPr>
        <w:pStyle w:val="736"/>
        <w:tabs>
          <w:tab w:val="right" w:pos="8306" w:leader="dot"/>
        </w:tabs>
        <w:rPr>
          <w:rFonts w:hint="default"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第六章 投标文件格式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46</w:t>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1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10"/>
        <w:jc w:val="center"/>
        <w:keepLines/>
        <w:keepNext/>
        <w:pageBreakBefore w:val="0"/>
        <w:spacing w:before="0" w:after="0" w:line="360" w:lineRule="auto"/>
        <w:widowControl w:val="off"/>
        <w:rPr>
          <w:rFonts w:hint="eastAsia" w:ascii="宋体" w:hAnsi="宋体" w:eastAsia="宋体" w:cs="Times New Roman"/>
          <w:b/>
          <w:bCs/>
          <w:color w:val="auto"/>
          <w:sz w:val="28"/>
          <w:szCs w:val="28"/>
          <w:highlight w:val="none"/>
          <w:lang w:val="en-US" w:eastAsia="zh-CN"/>
        </w:rPr>
      </w:pPr>
      <w:r/>
      <w:bookmarkStart w:id="1" w:name="_Toc20022"/>
      <w:r>
        <w:rPr>
          <w:rFonts w:hint="eastAsia" w:ascii="宋体" w:hAnsi="宋体" w:eastAsia="宋体" w:cs="Times New Roman"/>
          <w:b/>
          <w:bCs/>
          <w:color w:val="auto"/>
          <w:sz w:val="28"/>
          <w:szCs w:val="28"/>
          <w:highlight w:val="none"/>
          <w:lang w:val="en-US" w:eastAsia="zh-CN"/>
        </w:rPr>
        <w:t xml:space="preserve">第一章 </w:t>
      </w:r>
      <w:r>
        <w:rPr>
          <w:rFonts w:hint="eastAsia" w:ascii="宋体" w:hAnsi="宋体" w:cs="Times New Roman"/>
          <w:b/>
          <w:bCs/>
          <w:color w:val="auto"/>
          <w:sz w:val="28"/>
          <w:szCs w:val="28"/>
          <w:highlight w:val="none"/>
          <w:lang w:val="en-US" w:eastAsia="zh-CN"/>
        </w:rPr>
        <w:t xml:space="preserve">江苏志诚工程咨询管理有限公司</w:t>
      </w:r>
      <w:r>
        <w:rPr>
          <w:rFonts w:hint="eastAsia" w:ascii="宋体" w:hAnsi="宋体" w:eastAsia="宋体" w:cs="Times New Roman"/>
          <w:b/>
          <w:bCs/>
          <w:color w:val="auto"/>
          <w:sz w:val="28"/>
          <w:szCs w:val="28"/>
          <w:highlight w:val="none"/>
          <w:lang w:val="en-US" w:eastAsia="zh-CN"/>
        </w:rPr>
        <w:t xml:space="preserve">关于</w:t>
      </w:r>
      <w:r>
        <w:rPr>
          <w:rFonts w:hint="eastAsia" w:ascii="宋体" w:hAnsi="宋体" w:cs="宋体"/>
          <w:color w:val="auto"/>
          <w:sz w:val="28"/>
          <w:szCs w:val="28"/>
          <w:highlight w:val="none"/>
          <w:u w:val="single"/>
          <w:lang w:val="en-US" w:eastAsia="zh-CN"/>
        </w:rPr>
        <w:t xml:space="preserve">扬州市江都区教育局城北教育集中区建设工程高中部分科创中心建设项目</w:t>
      </w:r>
      <w:r>
        <w:rPr>
          <w:rFonts w:hint="eastAsia" w:ascii="宋体" w:hAnsi="宋体" w:eastAsia="宋体" w:cs="Times New Roman"/>
          <w:b/>
          <w:bCs/>
          <w:color w:val="auto"/>
          <w:sz w:val="28"/>
          <w:szCs w:val="28"/>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扬州市江都区教育局</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江苏志诚工程咨询管理有限公司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扬州市江都区教育局城北教育集中区建设工程高中部分科创中心建设项目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扬州市江都区教育局城北教育集中区建设工程高中部分科创中心建设项目</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2026年8月14日14点30分</w:t>
      </w:r>
      <w:r>
        <w:rPr>
          <w:rFonts w:hint="eastAsia" w:ascii="宋体" w:hAnsi="宋体" w:cs="宋体"/>
          <w:bCs/>
          <w:color w:val="auto"/>
          <w:highlight w:val="none"/>
          <w:u w:val="non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38985263"/>
      <w:r/>
      <w:bookmarkStart w:id="3" w:name="_Toc28359002"/>
      <w:r/>
      <w:bookmarkStart w:id="4" w:name="_Toc28359079"/>
      <w:r/>
      <w:bookmarkStart w:id="5" w:name="_Toc35393790"/>
      <w:r/>
      <w:bookmarkStart w:id="6" w:name="_Toc35393621"/>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u w:val="single"/>
          <w:lang w:val="en-US" w:eastAsia="zh-CN"/>
        </w:rPr>
        <w:t xml:space="preserve">JSZC-321012-JSZC-G2026-0023</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扬州市江都区教育局城北教育集中区建设工程高中部分科创中心建设项目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竞争性磋商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询价 ☑公开招标</w:t>
      </w:r>
      <w:r/>
    </w:p>
    <w:p>
      <w:pPr>
        <w:ind w:firstLine="42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101.0495万元</w:t>
      </w:r>
      <w:r/>
    </w:p>
    <w:p>
      <w:pPr>
        <w:ind w:firstLine="420"/>
        <w:spacing w:line="360" w:lineRule="auto"/>
        <w:rPr>
          <w:rFonts w:hint="default" w:ascii="宋体" w:hAnsi="宋体" w:eastAsia="宋体" w:cs="宋体"/>
          <w:i w:val="0"/>
          <w:iCs w:val="0"/>
          <w:caps w:val="0"/>
          <w:color w:val="auto"/>
          <w:spacing w:val="0"/>
          <w:sz w:val="21"/>
          <w:szCs w:val="21"/>
          <w:highlight w:val="none"/>
          <w:u w:val="none"/>
          <w:shd w:val="clear" w:color="auto" w:fill="ffffff"/>
          <w:lang w:val="en-US" w:eastAsia="zh-CN"/>
        </w:rPr>
      </w:pPr>
      <w:r/>
      <w:bookmarkStart w:id="8" w:name="_Toc28359003"/>
      <w:r/>
      <w:bookmarkStart w:id="9" w:name="_Toc35393622"/>
      <w:r/>
      <w:bookmarkStart w:id="10" w:name="_Toc28359080"/>
      <w:r/>
      <w:bookmarkStart w:id="11" w:name="_Toc38985264"/>
      <w:r/>
      <w:bookmarkStart w:id="12" w:name="_Toc35393791"/>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101.0495万元</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6.采购需求：详见采购文件第四章</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.合同履行期限：</w:t>
      </w:r>
      <w:r>
        <w:rPr>
          <w:rFonts w:hint="eastAsia" w:ascii="宋体" w:hAnsi="宋体" w:cs="宋体"/>
          <w:color w:val="auto"/>
          <w:sz w:val="21"/>
          <w:szCs w:val="21"/>
          <w:highlight w:val="none"/>
          <w:lang w:eastAsia="zh-CN"/>
        </w:rPr>
        <w:t xml:space="preserve">合同签订之日起</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lang w:eastAsia="zh-CN"/>
        </w:rPr>
        <w:t xml:space="preserve">日</w:t>
      </w:r>
      <w:r>
        <w:rPr>
          <w:rFonts w:hint="eastAsia" w:ascii="宋体" w:hAnsi="宋体" w:eastAsia="宋体" w:cs="宋体"/>
          <w:color w:val="auto"/>
          <w:sz w:val="21"/>
          <w:szCs w:val="21"/>
          <w:highlight w:val="none"/>
        </w:rPr>
        <w:t xml:space="preserve">（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04"/>
      <w:r/>
      <w:bookmarkStart w:id="14" w:name="_Toc38985265"/>
      <w:r/>
      <w:bookmarkStart w:id="15" w:name="_Toc35393623"/>
      <w:r/>
      <w:bookmarkStart w:id="16" w:name="_Toc28359081"/>
      <w:r/>
      <w:bookmarkStart w:id="17" w:name="_Toc35393792"/>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lang w:val="en-US"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jc w:val="left"/>
        <w:keepLines w:val="0"/>
        <w:keepNext w:val="0"/>
        <w:pageBreakBefore w:val="0"/>
        <w:spacing w:line="360" w:lineRule="auto"/>
        <w:widowControl w:val="off"/>
        <w:rPr>
          <w:rFonts w:hint="default" w:ascii="宋体" w:hAnsi="宋体" w:eastAsia="宋体" w:cs="宋体"/>
          <w:i/>
          <w:iCs/>
          <w:caps w:val="0"/>
          <w:color w:val="auto"/>
          <w:spacing w:val="0"/>
          <w:sz w:val="21"/>
          <w:szCs w:val="21"/>
          <w:highlight w:val="none"/>
          <w:u w:val="single"/>
          <w:shd w:val="clear" w:color="auto" w:fill="ffffff"/>
          <w:lang w:val="en-US" w:eastAsia="zh-CN"/>
        </w:rPr>
      </w:pPr>
      <w:r>
        <w:rPr>
          <w:rFonts w:hint="eastAsia" w:ascii="宋体" w:hAnsi="宋体" w:cs="宋体"/>
          <w:i/>
          <w:iCs/>
          <w:caps w:val="0"/>
          <w:color w:val="auto"/>
          <w:spacing w:val="0"/>
          <w:sz w:val="21"/>
          <w:szCs w:val="21"/>
          <w:highlight w:val="none"/>
          <w:u w:val="single"/>
          <w:shd w:val="clear" w:color="auto" w:fill="ffffff"/>
          <w:lang w:val="en-US"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3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82"/>
      <w:r/>
      <w:bookmarkStart w:id="19" w:name="_Toc28359005"/>
      <w:r/>
      <w:bookmarkStart w:id="20" w:name="_Toc38985266"/>
      <w:r/>
      <w:bookmarkStart w:id="21" w:name="_Toc35393793"/>
      <w:r/>
      <w:bookmarkStart w:id="22" w:name="_Toc35393624"/>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1.时间：自招标文件公告发布之日起5个工作日。5个工作日后仍可下载招标文件，但不作为供应商权益受到损害的证明材料和依据</w:t>
      </w:r>
      <w:r/>
    </w:p>
    <w:p>
      <w:pPr>
        <w:pStyle w:val="730"/>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73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网上注册登记</w:t>
      </w:r>
      <w:r/>
    </w:p>
    <w:p>
      <w:pPr>
        <w:pStyle w:val="73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2026年8月14日14点30分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p>
    <w:p>
      <w:pPr>
        <w:spacing w:line="360" w:lineRule="auto"/>
        <w:tabs>
          <w:tab w:val="left" w:pos="266" w:leader="none"/>
        </w:tabs>
        <w:rPr>
          <w:rFonts w:ascii="宋体" w:hAnsi="宋体" w:cs="宋体"/>
          <w:b/>
          <w:bCs/>
          <w:color w:val="auto"/>
          <w:highlight w:val="none"/>
        </w:rPr>
      </w:pPr>
      <w:r/>
      <w:bookmarkStart w:id="23" w:name="_Toc35393625"/>
      <w:r/>
      <w:bookmarkStart w:id="24" w:name="_Toc35393794"/>
      <w:r/>
      <w:bookmarkStart w:id="25" w:name="_Toc38985267"/>
      <w:r/>
      <w:bookmarkStart w:id="26" w:name="_Toc28359007"/>
      <w:r/>
      <w:bookmarkStart w:id="27" w:name="_Toc2835908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5393626"/>
      <w:r/>
      <w:bookmarkStart w:id="29" w:name="_Toc38985268"/>
      <w:r/>
      <w:bookmarkStart w:id="30" w:name="_Toc35393795"/>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730"/>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35393627"/>
      <w:r/>
      <w:bookmarkStart w:id="32" w:name="_Toc38985269"/>
      <w:r/>
      <w:bookmarkStart w:id="33" w:name="_Toc28359008"/>
      <w:r/>
      <w:bookmarkStart w:id="34" w:name="_Toc35393796"/>
      <w:r/>
      <w:bookmarkStart w:id="35" w:name="_Toc28359085"/>
      <w:r>
        <w:rPr>
          <w:rFonts w:hint="eastAsia" w:ascii="宋体" w:hAnsi="宋体" w:eastAsia="宋体" w:cs="宋体"/>
          <w:b/>
          <w:color w:val="auto"/>
          <w:sz w:val="21"/>
          <w:szCs w:val="21"/>
          <w:highlight w:val="none"/>
          <w:lang w:val="en-US" w:eastAsia="zh-CN"/>
        </w:rPr>
        <w:t xml:space="preserve">（一）获取采购文件</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http://zfcg.yangzhou.gov.cn/zfcg/xzzx/202309/4d7de1f7865f4a2894fc22bc452f94d8.shtml。</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（4）潜在供应商访问“苏采云”系统的网络地址和方法：“苏采云”系统的网址：http://jszfcg.jsczt.cn/。</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3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30"/>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5.严格执行政府采购关于支持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本次采购不收取保证金。</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eastAsia="宋体" w:cs="Times New Roman"/>
          <w:color w:val="auto"/>
          <w:highlight w:val="non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30"/>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扬州市江都区教育局</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lang w:val="en-US" w:eastAsia="zh-CN"/>
        </w:rPr>
        <w:t xml:space="preserve">扬州市江都区</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联系人：</w:t>
      </w:r>
      <w:r>
        <w:rPr>
          <w:rFonts w:hint="eastAsia" w:ascii="宋体" w:hAnsi="宋体" w:cs="宋体"/>
          <w:color w:val="auto"/>
          <w:highlight w:val="none"/>
          <w:u w:val="single"/>
          <w:lang w:val="en-US" w:eastAsia="zh-CN"/>
        </w:rPr>
        <w:t xml:space="preserve">汪先生</w:t>
      </w:r>
      <w:r/>
    </w:p>
    <w:p>
      <w:pPr>
        <w:ind w:firstLine="420"/>
        <w:jc w:val="left"/>
        <w:spacing w:line="360" w:lineRule="auto"/>
        <w:rPr>
          <w:rFonts w:hint="default" w:ascii="宋体" w:hAnsi="宋体" w:cs="宋体"/>
          <w:color w:val="auto"/>
          <w:highlight w:val="none"/>
          <w:u w:val="single"/>
          <w:lang w:val="en-US"/>
        </w:rPr>
      </w:pPr>
      <w:r>
        <w:rPr>
          <w:rFonts w:hint="eastAsia" w:ascii="宋体" w:hAnsi="宋体" w:eastAsia="宋体" w:cs="宋体"/>
          <w:color w:val="auto"/>
          <w:highlight w:val="none"/>
          <w:u w:val="none"/>
          <w:lang w:val="en-US" w:eastAsia="zh-CN"/>
        </w:rPr>
        <w:t xml:space="preserve">联系方式：</w:t>
      </w:r>
      <w:r>
        <w:rPr>
          <w:rFonts w:hint="eastAsia" w:ascii="宋体" w:hAnsi="宋体" w:cs="宋体"/>
          <w:color w:val="auto"/>
          <w:highlight w:val="none"/>
          <w:u w:val="single"/>
          <w:lang w:val="en-US" w:eastAsia="zh-CN"/>
        </w:rPr>
        <w:t xml:space="preserve">13813157017</w:t>
      </w:r>
      <w:r/>
    </w:p>
    <w:p>
      <w:pPr>
        <w:pStyle w:val="730"/>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江苏志诚工程咨询管理有限公司</w:t>
      </w:r>
      <w:r/>
    </w:p>
    <w:p>
      <w:pPr>
        <w:pStyle w:val="730"/>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hAnsi="宋体" w:cs="宋体"/>
          <w:color w:val="auto"/>
          <w:sz w:val="21"/>
          <w:szCs w:val="21"/>
          <w:highlight w:val="none"/>
          <w:u w:val="single"/>
          <w:lang w:val="en-US" w:eastAsia="zh-CN" w:bidi="ar-SA"/>
        </w:rPr>
        <w:t xml:space="preserve">扬州市江都区浦江路38号五楼</w:t>
      </w:r>
      <w:r/>
    </w:p>
    <w:p>
      <w:pPr>
        <w:pStyle w:val="730"/>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庄先生</w:t>
      </w:r>
      <w:r/>
    </w:p>
    <w:p>
      <w:pPr>
        <w:pStyle w:val="730"/>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hAnsi="宋体" w:cs="宋体"/>
          <w:color w:val="auto"/>
          <w:sz w:val="21"/>
          <w:szCs w:val="21"/>
          <w:highlight w:val="none"/>
          <w:u w:val="single"/>
          <w:lang w:val="en-US" w:eastAsia="zh-CN"/>
        </w:rPr>
        <w:t xml:space="preserve">0514-86538233</w:t>
      </w:r>
      <w:r/>
    </w:p>
    <w:p>
      <w:pPr>
        <w:rPr>
          <w:rFonts w:hint="eastAsia" w:ascii="宋体" w:hAnsi="宋体" w:eastAsia="宋体" w:cs="Times New Roman"/>
          <w:b/>
          <w:bCs/>
          <w:color w:val="auto"/>
          <w:sz w:val="36"/>
          <w:szCs w:val="36"/>
          <w:highlight w:val="none"/>
          <w:lang w:val="en-US" w:eastAsia="zh-CN"/>
        </w:rPr>
      </w:pPr>
      <w:r>
        <w:rPr>
          <w:color w:val="auto"/>
          <w:highlight w:val="none"/>
        </w:rPr>
        <w:br w:type="page" w:clear="all"/>
      </w:r>
      <w:r/>
    </w:p>
    <w:p>
      <w:pPr>
        <w:pStyle w:val="710"/>
        <w:jc w:val="center"/>
        <w:keepLines/>
        <w:keepNext/>
        <w:pageBreakBefore w:val="0"/>
        <w:spacing w:before="0" w:after="0" w:line="360" w:lineRule="auto"/>
        <w:widowControl w:val="off"/>
        <w:rPr>
          <w:color w:val="auto"/>
          <w:highlight w:val="none"/>
        </w:rPr>
      </w:pPr>
      <w:r/>
      <w:bookmarkStart w:id="36" w:name="_Toc55204178"/>
      <w:r/>
      <w:bookmarkStart w:id="37" w:name="_Toc25750"/>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本次招标采取公开招标方式，本招标文件仅适用于JSZC-321012-JSZC-G2026-0023号项目。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color w:val="auto"/>
          <w:highlight w:val="none"/>
        </w:rPr>
      </w:pPr>
      <w:r>
        <w:rPr>
          <w:color w:val="auto"/>
          <w:highlight w:val="none"/>
        </w:rPr>
        <w:t xml:space="preserve">4.</w:t>
      </w:r>
      <w:r>
        <w:rPr>
          <w:rFonts w:hint="eastAsia"/>
          <w:color w:val="auto"/>
          <w:highlight w:val="none"/>
        </w:rPr>
        <w:t xml:space="preserve">2本项目代理服务费参照《招标采购代理规范》相关规定按发改价格(2011)534号文的标准</w:t>
      </w:r>
      <w:r>
        <w:rPr>
          <w:rFonts w:hint="eastAsia"/>
          <w:color w:val="auto"/>
          <w:highlight w:val="none"/>
          <w:lang w:val="en-US" w:eastAsia="zh-CN"/>
        </w:rPr>
        <w:t xml:space="preserve">的65%</w:t>
      </w:r>
      <w:r>
        <w:rPr>
          <w:rFonts w:hint="eastAsia"/>
          <w:color w:val="auto"/>
          <w:highlight w:val="none"/>
        </w:rPr>
        <w:t xml:space="preserve">一次性支付给招标代理机构代理服务费。</w:t>
      </w:r>
      <w:r/>
    </w:p>
    <w:p>
      <w:pPr>
        <w:ind w:firstLine="420"/>
        <w:spacing w:line="360" w:lineRule="auto"/>
        <w:rPr>
          <w:color w:val="auto"/>
          <w:highlight w:val="none"/>
        </w:rPr>
      </w:pPr>
      <w:r>
        <w:rPr>
          <w:color w:val="auto"/>
          <w:highlight w:val="none"/>
        </w:rPr>
        <w:t xml:space="preserve">（1）代理服务费以人民币支付；</w:t>
      </w:r>
      <w:r/>
    </w:p>
    <w:p>
      <w:pPr>
        <w:ind w:firstLine="420"/>
        <w:spacing w:line="360" w:lineRule="auto"/>
        <w:rPr>
          <w:color w:val="auto"/>
          <w:highlight w:val="none"/>
        </w:rPr>
      </w:pPr>
      <w:r>
        <w:rPr>
          <w:color w:val="auto"/>
          <w:highlight w:val="none"/>
        </w:rPr>
        <w:t xml:space="preserve">（2）代理服务费一次性以电汇、转账等非现金形式支付；</w:t>
      </w:r>
      <w:r/>
    </w:p>
    <w:p>
      <w:pPr>
        <w:ind w:firstLine="420"/>
        <w:spacing w:line="360" w:lineRule="auto"/>
        <w:rPr>
          <w:color w:val="auto"/>
          <w:highlight w:val="none"/>
        </w:rPr>
      </w:pPr>
      <w:r>
        <w:rPr>
          <w:color w:val="auto"/>
          <w:highlight w:val="none"/>
        </w:rPr>
        <w:t xml:space="preserve">（3）招标代理服务费不在投标报价中单列，包含在投标总价中，由中标单位支付给代理机构。</w:t>
      </w:r>
      <w:r/>
    </w:p>
    <w:p>
      <w:pPr>
        <w:ind w:firstLine="420"/>
        <w:spacing w:line="360" w:lineRule="auto"/>
        <w:rPr>
          <w:color w:val="auto"/>
          <w:highlight w:val="none"/>
        </w:rPr>
      </w:pPr>
      <w:r>
        <w:rPr>
          <w:color w:val="auto"/>
          <w:highlight w:val="none"/>
        </w:rPr>
        <w:t xml:space="preserve">招标代理服务费开户银行：</w:t>
      </w:r>
      <w:r>
        <w:rPr>
          <w:rFonts w:hint="eastAsia"/>
          <w:color w:val="auto"/>
          <w:highlight w:val="none"/>
        </w:rPr>
        <w:t xml:space="preserve">中国建设银行股份有限公司扬州江中支行</w:t>
      </w:r>
      <w:r/>
    </w:p>
    <w:p>
      <w:pPr>
        <w:ind w:firstLine="420"/>
        <w:spacing w:line="360" w:lineRule="auto"/>
        <w:rPr>
          <w:color w:val="auto"/>
          <w:highlight w:val="none"/>
        </w:rPr>
      </w:pPr>
      <w:r>
        <w:rPr>
          <w:color w:val="auto"/>
          <w:highlight w:val="none"/>
        </w:rPr>
        <w:t xml:space="preserve">开户名称：</w:t>
      </w:r>
      <w:r>
        <w:rPr>
          <w:rFonts w:hint="eastAsia"/>
          <w:color w:val="auto"/>
          <w:highlight w:val="none"/>
        </w:rPr>
        <w:t xml:space="preserve">江苏志诚工程咨询管理有限公司江都分公司</w:t>
      </w:r>
      <w:r/>
    </w:p>
    <w:p>
      <w:pPr>
        <w:ind w:firstLine="420"/>
        <w:spacing w:line="360" w:lineRule="auto"/>
        <w:rPr>
          <w:color w:val="auto"/>
          <w:highlight w:val="none"/>
        </w:rPr>
      </w:pPr>
      <w:r>
        <w:rPr>
          <w:color w:val="auto"/>
          <w:highlight w:val="none"/>
        </w:rPr>
        <w:t xml:space="preserve">开户帐号：32050174775200000059</w:t>
      </w:r>
      <w:r/>
    </w:p>
    <w:p>
      <w:pPr>
        <w:ind w:firstLine="420"/>
        <w:spacing w:line="360" w:lineRule="auto"/>
        <w:rPr>
          <w:rFonts w:hint="eastAsia" w:ascii="宋体" w:hAnsi="宋体" w:eastAsia="宋体" w:cs="宋体"/>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462564084"/>
      <w:r/>
      <w:bookmarkStart w:id="39" w:name="_Toc16938541"/>
      <w:r/>
      <w:bookmarkStart w:id="40" w:name="_Toc513029225"/>
      <w:r/>
      <w:bookmarkStart w:id="41" w:name="_Toc20823297"/>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20823298"/>
      <w:r/>
      <w:bookmarkStart w:id="43" w:name="_Toc513029226"/>
      <w:r/>
      <w:bookmarkStart w:id="44" w:name="_Toc16938542"/>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513029227"/>
      <w:r/>
      <w:bookmarkStart w:id="46" w:name="_Toc16938543"/>
      <w:r/>
      <w:bookmarkStart w:id="47" w:name="_Toc20823299"/>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20823300"/>
      <w:r/>
      <w:bookmarkStart w:id="49" w:name="_Toc16938544"/>
      <w:r/>
      <w:bookmarkStart w:id="50" w:name="_Toc513029228"/>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 异常低价投标（响应）</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0"/>
        <w:spacing w:line="360" w:lineRule="auto"/>
        <w:rPr>
          <w:rFonts w:ascii="宋体" w:hAnsi="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rPr>
          <w:rFonts w:hint="eastAsia" w:ascii="宋体" w:hAnsi="宋体"/>
          <w:bCs/>
          <w:color w:val="auto"/>
          <w:szCs w:val="21"/>
          <w:highlight w:val="none"/>
        </w:rPr>
        <w:br w:type="page" w:clear="all"/>
      </w:r>
      <w:r/>
    </w:p>
    <w:p>
      <w:pPr>
        <w:pStyle w:val="71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1" w:name="_Toc16060"/>
      <w:r/>
      <w:bookmarkStart w:id="52" w:name="_Toc55204179"/>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以下为中标后签定本项目合同的通用条款，中标人不得提出实质性的修改，关于专用条款将由采购人与中标人结合本项目具体情况协商后签订。</w:t>
      </w:r>
      <w:r/>
    </w:p>
    <w:p>
      <w:pPr>
        <w:pStyle w:val="915"/>
        <w:ind w:left="0" w:firstLine="422"/>
        <w:jc w:val="center"/>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扬州市政府采购合同（货物）（合同编号）</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p>
    <w:p>
      <w:pPr>
        <w:pStyle w:val="915"/>
        <w:ind w:left="0" w:firstLine="420"/>
        <w:keepLines w:val="0"/>
        <w:keepNext w:val="0"/>
        <w:pageBreakBefore w:val="0"/>
        <w:spacing w:line="48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项目编号：</w:t>
      </w:r>
      <w:r>
        <w:rPr>
          <w:rFonts w:hint="eastAsia" w:hAnsi="宋体" w:eastAsia="宋体" w:cs="宋体"/>
          <w:color w:val="auto"/>
          <w:sz w:val="21"/>
          <w:szCs w:val="21"/>
          <w:highlight w:val="none"/>
          <w:u w:val="single"/>
          <w:lang w:val="en-US" w:eastAsia="zh-CN"/>
        </w:rPr>
        <w:t xml:space="preserve">  </w:t>
      </w:r>
      <w:r>
        <w:rPr>
          <w:rFonts w:hint="eastAsia" w:hAnsi="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u w:val="single"/>
          <w:lang w:val="en-US" w:eastAsia="zh-CN"/>
        </w:rPr>
        <w:t xml:space="preserve"> </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b/>
          <w:bCs/>
          <w:color w:val="auto"/>
          <w:sz w:val="21"/>
          <w:szCs w:val="21"/>
          <w:highlight w:val="none"/>
          <w:lang w:eastAsia="zh-CN"/>
        </w:rPr>
        <w:t xml:space="preserve">（采购人）：</w:t>
      </w:r>
      <w:r>
        <w:rPr>
          <w:rFonts w:hint="eastAsia" w:ascii="宋体" w:hAnsi="宋体" w:eastAsia="宋体" w:cs="宋体"/>
          <w:b/>
          <w:bCs/>
          <w:color w:val="auto"/>
          <w:sz w:val="21"/>
          <w:szCs w:val="21"/>
          <w:highlight w:val="none"/>
          <w:u w:val="single"/>
          <w:lang w:eastAsia="zh-CN"/>
        </w:rPr>
        <w:t xml:space="preserve">扬州市江都区教育局</w:t>
      </w:r>
      <w:r/>
    </w:p>
    <w:p>
      <w:pPr>
        <w:pStyle w:val="915"/>
        <w:ind w:left="0" w:firstLine="420"/>
        <w:keepLines w:val="0"/>
        <w:keepNext w:val="0"/>
        <w:pageBreakBefore w:val="0"/>
        <w:spacing w:line="48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color w:val="auto"/>
          <w:sz w:val="21"/>
          <w:szCs w:val="21"/>
          <w:highlight w:val="none"/>
          <w:lang w:eastAsia="zh-CN"/>
        </w:rPr>
        <w:t xml:space="preserve">：</w:t>
      </w:r>
      <w:r>
        <w:rPr>
          <w:rFonts w:hint="eastAsia" w:hAnsi="宋体" w:cs="宋体"/>
          <w:color w:val="auto"/>
          <w:sz w:val="21"/>
          <w:szCs w:val="21"/>
          <w:highlight w:val="none"/>
          <w:u w:val="single"/>
          <w:lang w:val="en-US" w:eastAsia="zh-CN"/>
        </w:rPr>
        <w:t xml:space="preserve">                  </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根据《中华人民共和国政府采购法》、《中华人民共和国民法典》等法律法规的规定，甲乙双方按照本项目结果签订本合同。</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一、货物及产品内容</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货物及服务名称：</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型号规格：</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数量（单位）：</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二、合同金额</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 本合同总金额为（大写）：________元人民币（¥</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w:t>
      </w:r>
      <w:r/>
    </w:p>
    <w:p>
      <w:pPr>
        <w:pStyle w:val="915"/>
        <w:ind w:left="0" w:firstLine="211"/>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三、技术资料</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3.1乙方应按采购文件规定的时间向甲方提供使用货物及服务的有关技术资料。</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 没有甲方事先书面同意，乙方不得将由甲方提供的有关合同或任何合同条文或资料提供给与履行本合同无关的任何其他人。即使向履行本合同有关的人员提供，也应注意保密并限于履行合同的必需范围。</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四、知识产权</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乙方应保证甲方在使用、接受本合同货物及服务或其任何一部分时，不受第三方提出侵犯其专利权、版权、商标权和工业设计权等知识产权的起诉。一旦出现侵权，由乙方负全部责任。</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五、产权担保</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乙方保证所交付的货物及服务的所有权完全属于乙方且无任何抵押、查封等产权瑕疵。</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六、履约保证金</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6.1收取履约保证金的，允许成交单位自主选择支票、汇票、本票、保函等非现金形式缴纳或提交，应当在采购合同中约定履约保证金退还的方式、时间、条件和不予退还的情形，明确逾期退还履约保证金的违约责任。</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6.3 履约保证金扣除甲方应得的补偿后的余额，在本合同履行结束后由甲方退还。 逾期退还的，按中国人民银行同期贷款基准利率上浮20%后的利率支付超期资金占用费，但因乙方自身原因导致无法及时退还的除外。 </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6.4 履约保证收取：</w:t>
      </w:r>
      <w:r>
        <w:rPr>
          <w:rFonts w:hint="eastAsia" w:ascii="宋体" w:hAnsi="宋体" w:eastAsia="宋体" w:cs="宋体"/>
          <w:color w:val="auto"/>
          <w:sz w:val="21"/>
          <w:szCs w:val="21"/>
          <w:highlight w:val="none"/>
          <w:u w:val="single"/>
          <w:lang w:eastAsia="zh-CN"/>
        </w:rPr>
        <w:t xml:space="preserve">无</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七、转包</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7.1本合同范围的货物及服务，应由乙方直接供应，不得转让他人供应；</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7.3如有转让和未经甲方同意的分包行为，甲方有权给予终止合同。</w:t>
      </w:r>
      <w:r/>
    </w:p>
    <w:p>
      <w:pPr>
        <w:pStyle w:val="730"/>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八、质保期</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年。（自交货验收合格之日起计）</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九、交付期、交付方式及交付地点</w:t>
      </w:r>
      <w:r/>
    </w:p>
    <w:p>
      <w:pPr>
        <w:pStyle w:val="730"/>
        <w:ind w:left="0" w:firstLine="420"/>
        <w:keepLines w:val="0"/>
        <w:keepNext w:val="0"/>
        <w:pageBreakBefore w:val="0"/>
        <w:spacing w:line="48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zh-CN"/>
        </w:rPr>
        <w:t xml:space="preserve">项目完成时间按照招标、投标文件规定执行，交付地点由甲方指定。</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十、货款支付</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本合同项下所有款项均以人民币支付。 </w:t>
      </w:r>
      <w:r/>
    </w:p>
    <w:p>
      <w:pPr>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本合同项下的采购资金由甲方支付，付款前乙方向甲方开具发票。</w:t>
      </w:r>
      <w:r/>
    </w:p>
    <w:p>
      <w:pPr>
        <w:ind w:left="0" w:firstLine="420"/>
        <w:keepLines w:val="0"/>
        <w:keepNext w:val="0"/>
        <w:pageBreakBefore w:val="0"/>
        <w:spacing w:line="48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10.3 甲方付款方式：合同签订后，甲方自收到乙方发票之日起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日内，支付合同价的30%作为预付款。货物运送到采购方指定地点，且安装、调试、培训到位，并经验收合格后，甲方自收到乙方发票之日起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日内一次性付清。</w:t>
      </w:r>
      <w:r/>
    </w:p>
    <w:p>
      <w:pPr>
        <w:pStyle w:val="721"/>
        <w:ind w:left="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10.4本项目采用单价合同，货物数量按甲方确认的实际采购数量计算。</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十一、税费</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本合同执行中相关的一切税费均由乙方负担。</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十二、质量保证及售后服务</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乙方应按招标文件规定的货物及服务性能、技术要求、质量标准向甲方提供。</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⑴更换：由乙方承担所发生的全部费用。</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⑵贬值处理：由甲乙双方合议定价。</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⑶退还处理：乙方应退还甲方支付的合同款，同时应承担该货物及服务的直接费用（运输、保险、检验、款项利息及银行手续费等）。</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如在使用过程中发生质量问题，乙方在接到甲方通知后在______小时内到达甲方现场。</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在质保期内，乙方应对货物及服务出现的质量及安全问题负责处理解决并承担一切费用。</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12.5上述的货物及服务免费保修期为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年，因人为因素出现的故障不在免费保修范围内。超过保修期的机器设备，终生维修，维修时只收部件成本费。</w:t>
      </w:r>
      <w:r/>
    </w:p>
    <w:p>
      <w:pPr>
        <w:pStyle w:val="915"/>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十三、调试和验收</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对技术复杂的货物及服务，甲方可请国家认可的专业检测机构参与初步验收及最终验收，并由其出具质量检测报告。</w:t>
      </w:r>
      <w:r/>
    </w:p>
    <w:p>
      <w:pPr>
        <w:pStyle w:val="915"/>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13.5 验收时乙方必须在现场，验收完毕后作出验收结果报告；验收费用由甲乙双方协商解决。</w:t>
      </w:r>
      <w:r/>
    </w:p>
    <w:p>
      <w:pPr>
        <w:pStyle w:val="730"/>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十四、货物及服务包装、发运及运输</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乙方应在货物及服务发运前对其进行满足运输距离、防潮、防震、防锈和防破损装卸等要求包装，以保证货物及服务安全运达甲方指定地点。</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使用说明书、质量检验证明书、随配附件和工具以及清单一并交付甲方。</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乙方在货物及服务发运手续办理完毕后24小时内或交付到甲方48小时前通知甲方，以准备接受交付。</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货物在交付甲方前发生的风险均由乙方负责。</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 货物及服务在规定的交付期限内由乙方送达甲方指定的地点视为交付，乙方同时需通知甲方货物及服务已送达。</w:t>
      </w:r>
      <w:r/>
    </w:p>
    <w:p>
      <w:pPr>
        <w:pStyle w:val="730"/>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十五、违约责任</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甲方无正当理由拒收货物及服务的，甲方向乙方偿付拒收款项总值的百分之五违约金。</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甲方无故逾期验收和办理款项支付手续的,甲方应按逾期付款总额每日万分之五向乙方支付违约金。</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30"/>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十六、不可抗力事件处理</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在合同有效期内，任何一方因不可抗力事件导致不能履行合同，则合同履行期可延长，其延长期与不可抗力影响期相同。</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pStyle w:val="730"/>
        <w:ind w:left="0" w:firstLine="422"/>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十七、诉讼</w:t>
      </w:r>
      <w:r/>
    </w:p>
    <w:p>
      <w:pPr>
        <w:pStyle w:val="730"/>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双方在执行合同中所发生的一切争议，应通过协商解决。如协商不成，可向合同签订地法院起诉，合同签订地在此约定为扬州市江都区。</w:t>
      </w:r>
      <w:r/>
    </w:p>
    <w:p>
      <w:pPr>
        <w:ind w:left="0" w:firstLine="42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十八、</w:t>
      </w:r>
      <w:r>
        <w:rPr>
          <w:rFonts w:hint="eastAsia" w:ascii="宋体" w:hAnsi="宋体" w:eastAsia="宋体" w:cs="宋体"/>
          <w:color w:val="auto"/>
          <w:sz w:val="21"/>
          <w:szCs w:val="21"/>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中国人民银行江都支行咨询，联系电话：13813140731。</w:t>
      </w:r>
      <w:r/>
    </w:p>
    <w:p>
      <w:pPr>
        <w:pStyle w:val="916"/>
        <w:ind w:left="0" w:firstLine="105"/>
        <w:keepLines w:val="0"/>
        <w:keepNext w:val="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十九、合同其它</w:t>
      </w:r>
      <w:r/>
    </w:p>
    <w:p>
      <w:pPr>
        <w:pStyle w:val="916"/>
        <w:ind w:left="0" w:firstLine="420"/>
        <w:keepLines w:val="0"/>
        <w:keepNext w:val="0"/>
        <w:pageBreakBefore w:val="0"/>
        <w:spacing w:line="480" w:lineRule="auto"/>
        <w:widowControl w:val="off"/>
        <w:rPr>
          <w:rFonts w:hint="default"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t xml:space="preserve">19.1</w:t>
      </w:r>
      <w:r>
        <w:rPr>
          <w:rFonts w:hint="eastAsia" w:ascii="宋体" w:hAnsi="宋体" w:eastAsia="宋体" w:cs="宋体"/>
          <w:b/>
          <w:bCs/>
          <w:color w:val="auto"/>
          <w:sz w:val="21"/>
          <w:szCs w:val="21"/>
          <w:highlight w:val="yellow"/>
        </w:rPr>
        <w:t xml:space="preserve"> 乙方应诚实信用，严格按照招标文件要求和投标承诺履行合同，不向甲方进行商业贿赂或者提供不正当利益。</w:t>
      </w:r>
      <w:r>
        <w:rPr>
          <w:rFonts w:hint="eastAsia" w:hAnsi="宋体" w:eastAsia="宋体" w:cs="宋体"/>
          <w:b/>
          <w:bCs/>
          <w:color w:val="auto"/>
          <w:sz w:val="21"/>
          <w:szCs w:val="21"/>
          <w:highlight w:val="yellow"/>
          <w:lang w:val="en-US" w:eastAsia="zh-CN"/>
        </w:rPr>
        <w:t xml:space="preserve">如履约过程中甲方发现乙方提供的货物为贴牌产品或未取得货物制造商（或经销商）授权销售的，或所提供货物的参数与投标文件明显不符的，甲方有权终止合同并向采购监管部门上报处理。</w:t>
      </w:r>
      <w:r/>
    </w:p>
    <w:p>
      <w:pPr>
        <w:pStyle w:val="91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Fonts w:hint="eastAsia"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合同经双方法定代表人或授权代表签字并加盖单位公章后生效。</w:t>
      </w:r>
      <w:r/>
    </w:p>
    <w:p>
      <w:pPr>
        <w:pStyle w:val="916"/>
        <w:ind w:left="0"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rPr>
          <w:rFonts w:hint="eastAsia"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本合同未尽事宜，遵照《民法典》有关条文执行。</w:t>
      </w:r>
      <w:r/>
    </w:p>
    <w:p>
      <w:pPr>
        <w:pStyle w:val="916"/>
        <w:ind w:left="0" w:firstLine="420"/>
        <w:keepLines w:val="0"/>
        <w:keepNext w:val="0"/>
        <w:pageBreakBefore w:val="0"/>
        <w:spacing w:line="48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19.</w:t>
      </w:r>
      <w:r>
        <w:rPr>
          <w:rFonts w:hint="eastAsia"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本合同正本一式</w:t>
      </w:r>
      <w:r>
        <w:rPr>
          <w:rFonts w:hint="eastAsia" w:ascii="宋体"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lang w:eastAsia="zh-CN"/>
        </w:rPr>
        <w:t xml:space="preserve">份，具有同等法律效力，甲方、乙方各执贰份。  </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乙方： （公章）</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或授权代表：                              或授权代表：</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账 号：</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pStyle w:val="916"/>
        <w:ind w:firstLine="210"/>
        <w:spacing w:before="120" w:after="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730"/>
        <w:ind w:firstLine="210"/>
        <w:spacing w:before="120" w:after="120" w:line="360" w:lineRule="auto"/>
        <w:rPr>
          <w:rFonts w:hAnsi="宋体"/>
          <w:color w:val="auto"/>
          <w:sz w:val="21"/>
          <w:highlight w:val="none"/>
        </w:rPr>
      </w:pPr>
      <w:r>
        <w:rPr>
          <w:rFonts w:hAnsi="宋体"/>
          <w:color w:val="auto"/>
          <w:sz w:val="21"/>
          <w:highlight w:val="none"/>
        </w:rPr>
      </w:r>
      <w:r/>
    </w:p>
    <w:p>
      <w:pPr>
        <w:rPr>
          <w:rFonts w:hint="eastAsia" w:ascii="宋体" w:hAnsi="宋体" w:eastAsia="宋体" w:cs="Times New Roman"/>
          <w:b/>
          <w:bCs/>
          <w:color w:val="auto"/>
          <w:sz w:val="36"/>
          <w:szCs w:val="36"/>
          <w:highlight w:val="none"/>
          <w:lang w:val="en-US" w:eastAsia="zh-CN"/>
        </w:rPr>
      </w:pPr>
      <w:r/>
      <w:bookmarkStart w:id="53" w:name="_Toc22063"/>
      <w:r>
        <w:rPr>
          <w:rFonts w:hint="eastAsia" w:ascii="宋体" w:hAnsi="宋体" w:eastAsia="宋体" w:cs="Times New Roman"/>
          <w:b/>
          <w:bCs/>
          <w:color w:val="auto"/>
          <w:sz w:val="36"/>
          <w:szCs w:val="36"/>
          <w:highlight w:val="none"/>
          <w:lang w:val="en-US" w:eastAsia="zh-CN"/>
        </w:rPr>
        <w:br w:type="page" w:clear="all"/>
      </w:r>
      <w:r/>
    </w:p>
    <w:p>
      <w:pPr>
        <w:pStyle w:val="71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第四章 项目需求</w:t>
      </w:r>
      <w:bookmarkEnd w:id="53"/>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ind w:firstLine="422"/>
        <w:keepLines/>
        <w:keepNext/>
        <w:spacing w:line="400" w:lineRule="exact"/>
        <w:rPr>
          <w:rFonts w:hint="eastAsia" w:ascii="宋体" w:hAnsi="宋体" w:eastAsia="宋体" w:cs="宋体"/>
          <w:b/>
          <w:bCs w:val="0"/>
          <w:color w:val="auto"/>
          <w:sz w:val="21"/>
          <w:szCs w:val="21"/>
          <w:highlight w:val="none"/>
        </w:rPr>
        <w:outlineLvl w:val="3"/>
      </w:pPr>
      <w:r>
        <w:rPr>
          <w:rFonts w:hint="eastAsia" w:ascii="宋体" w:hAnsi="宋体" w:eastAsia="宋体" w:cs="宋体"/>
          <w:b/>
          <w:bCs w:val="0"/>
          <w:color w:val="auto"/>
          <w:sz w:val="21"/>
          <w:szCs w:val="21"/>
          <w:highlight w:val="none"/>
        </w:rPr>
        <w:t xml:space="preserve">政府采购中实施本国产品标准及相关政策</w:t>
      </w:r>
      <w:r/>
    </w:p>
    <w:p>
      <w:pPr>
        <w:ind w:firstLine="555"/>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1.本项目对采购本国产品给予政策支持，具体内容见招标文件“第五章 评标方法与评标标准”。</w:t>
      </w:r>
      <w:r/>
    </w:p>
    <w:p>
      <w:pPr>
        <w:ind w:firstLine="555"/>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宋体" w:hAnsi="宋体" w:eastAsia="宋体" w:cs="宋体"/>
          <w:bCs/>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本项目所属行业：</w:t>
      </w:r>
      <w:r>
        <w:rPr>
          <w:rFonts w:hint="eastAsia" w:ascii="Times New Roman" w:hAnsi="Times New Roman" w:cs="Times New Roman"/>
          <w:b/>
          <w:bCs/>
          <w:color w:val="auto"/>
          <w:sz w:val="21"/>
          <w:szCs w:val="21"/>
          <w:highlight w:val="none"/>
          <w:lang w:val="en-US" w:eastAsia="zh-CN"/>
        </w:rPr>
        <w:t xml:space="preserve">工业</w:t>
      </w:r>
      <w:r/>
    </w:p>
    <w:p>
      <w:pPr>
        <w:ind w:lef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b/>
          <w:color w:val="auto"/>
          <w:szCs w:val="21"/>
          <w:highlight w:val="none"/>
          <w:lang w:eastAsia="zh-CN"/>
        </w:rPr>
      </w:pPr>
      <w:r>
        <w:rPr>
          <w:rFonts w:hint="eastAsia" w:ascii="宋体" w:hAnsi="宋体"/>
          <w:b/>
          <w:color w:val="auto"/>
          <w:szCs w:val="21"/>
          <w:highlight w:val="none"/>
          <w:lang w:eastAsia="zh-CN"/>
        </w:rPr>
        <w:br w:type="page" w:clear="all"/>
      </w:r>
      <w:r/>
    </w:p>
    <w:p>
      <w:pPr>
        <w:ind w:firstLine="0"/>
        <w:spacing w:line="360" w:lineRule="auto"/>
        <w:rPr>
          <w:rFonts w:hint="eastAsia" w:ascii="宋体" w:hAnsi="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
          <w:color w:val="auto"/>
          <w:szCs w:val="21"/>
          <w:highlight w:val="none"/>
          <w:lang w:val="en-US" w:eastAsia="zh-CN"/>
        </w:rPr>
        <w:t xml:space="preserve">一、</w:t>
      </w:r>
      <w:r>
        <w:rPr>
          <w:rFonts w:hint="eastAsia" w:ascii="宋体" w:hAnsi="宋体"/>
          <w:b/>
          <w:color w:val="auto"/>
          <w:szCs w:val="21"/>
          <w:highlight w:val="none"/>
        </w:rPr>
        <w:t xml:space="preserve">货物需求一览表及主要技术指标参数要求</w:t>
      </w:r>
      <w:bookmarkStart w:id="54" w:name="_Toc25878"/>
      <w:r/>
      <w:bookmarkStart w:id="55" w:name="_Toc55204181"/>
      <w:r/>
      <w:r/>
    </w:p>
    <w:tbl>
      <w:tblPr>
        <w:tblStyle w:val="720"/>
        <w:tblW w:w="9533" w:type="dxa"/>
        <w:tblInd w:w="-4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7"/>
        <w:gridCol w:w="1250"/>
        <w:gridCol w:w="270"/>
        <w:gridCol w:w="5780"/>
        <w:gridCol w:w="169"/>
        <w:gridCol w:w="581"/>
        <w:gridCol w:w="79"/>
        <w:gridCol w:w="687"/>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招标参数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人工智能实验室</w:t>
            </w:r>
            <w:bookmarkStart w:id="56" w:name="OLE_LINK1"/>
            <w:r>
              <w:rPr>
                <w:rFonts w:hint="eastAsia" w:ascii="宋体" w:hAnsi="宋体" w:eastAsia="宋体" w:cs="宋体"/>
                <w:b/>
                <w:bCs/>
                <w:i w:val="0"/>
                <w:iCs w:val="0"/>
                <w:color w:val="auto"/>
                <w:sz w:val="20"/>
                <w:szCs w:val="20"/>
                <w:highlight w:val="none"/>
                <w:u w:val="none"/>
                <w:lang w:val="en-US" w:eastAsia="zh-CN" w:bidi="ar"/>
              </w:rPr>
              <w:t xml:space="preserve">（全国科学教育实验校 江苏省高品质科技特色高中）</w:t>
            </w:r>
            <w:bookmarkEnd w:id="56"/>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人工智能实验室专用授课台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尺寸≥1800mm*700mm*900mm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学生编程台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尺寸≥3000mm*1200mm*800mm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学生编程准备台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尺寸≥895mm*1280mm*800mm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学生建模台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尺寸≥3120mm*1200mm*800mm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实验凳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尺寸：440mm/650mm/750mm三种坐高尺寸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1.尺寸：W375mmxD390mmxH550mm-座高440mm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2.材质：坐垫、脚垫材质为PP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3.工艺：钢管直径≥22mm，壁厚≥1.8mm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脚垫：.材质：采用PA塑料，底部有防滑防刮伤地板软垫。.功能：外观新颖坐感舒适，可悬挂在任何平面上，便于收纳。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人工智能互动展示柜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尺寸≥3000mm*1200mm*800mm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尺寸≥2300mm*700mm*800mm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6.带电源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尺寸≥1350mm*700mm*800mm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6.带电源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储存展示柜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尺寸≥2000mm*700mm*2400mm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1.参考规格：≥7200*1200mm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2.版面内容：图文展示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3.材质：平面画布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4.工艺：高清品质写真立体感强烈；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1.参考规格：≥5355*1200mm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2.版面内容：图文展示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3.材质：平面画布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4.工艺：高清品质写真立体感强烈；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速写板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钢化烤漆玻璃，背加底板，方便写字。带磁性贴吸功能。厚度≥6mm，含安装配套。整体书写尺寸不小于0.5平。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套件储存柜1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尺寸≥3160mm*500mm*2000mm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套件储存柜2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尺寸≥3200mm*500mm*2000mm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auto"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套件储存柜3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尺寸≥1730mm*420mm*2000mm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260"/>
        </w:trPr>
        <w:tc>
          <w:tcPr>
            <w:gridSpan w:val="4"/>
            <w:shd w:val="clear" w:color="auto" w:fill="auto"/>
            <w:tcBorders>
              <w:top w:val="single" w:color="000000" w:sz="4" w:space="0"/>
              <w:left w:val="single" w:color="000000" w:sz="4" w:space="0"/>
              <w:bottom w:val="single" w:color="000000" w:sz="4" w:space="0"/>
              <w:right w:val="none" w:color="000000" w:sz="4" w:space="0"/>
            </w:tcBorders>
            <w:tcW w:w="8017"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物联网实验室（全国科学教育实验校 江苏省高品质科技特色高中）</w:t>
            </w:r>
            <w:r/>
          </w:p>
        </w:tc>
        <w:tc>
          <w:tcPr>
            <w:gridSpan w:val="2"/>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物联网实验室专用授课台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尺寸≥1800mm*700mm*900mm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学生实验台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1、可书写板课桌面：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1.1材质：面板采用基材为</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E0级25mm厚饰面中纤板， 含水率在3%-5%；饰面为白色可书写板面，整体板面正负误差在0.3mm以内,密度为0.85g/cm3、甲醛释放量≤0.05mg/m³，表面耐磨、防污、硬度高，不易变色；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1.2规格：1200mm（±2mm）×523mm（±2mm）×25mm梯形桌面；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 功能: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①可以实现多张组合，桌面可以使用中性笔直接反复书写，表面便于清洗打理；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②桌面四角倒圆，采用黑色聚氨酯PU封边，经全自动封边机封边，反面设有预埋定位螺母便于多次安装。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2、1号脚钢架结构：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2.1 材质及形状：采用圆形钢管，表面经脱脂、磷化、水洗、烘干工艺处理，耐腐蚀、防锈；上管表面采用颗粒粉末，静电粉末喷涂，附着力特强，不脱漆，涂层无漏喷、锈蚀，光滑均匀，色泽一致，无流挂、疙瘩、皱皮、飞漆、无明显粒子、涨边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2.2 规格：桌脚上管钢管尺寸为≥直径30mm×厚≥1.5mm，桌脚下管钢管尺寸为≥直径25mm×厚≥1.5mm，桌下横梁尺寸为：≥40mm×20mm×1.2mm厚；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 功能：课桌实现6挡高度调节，分别为640mm-670mm-700mm-730mm-760mm-790mmH,使用M4外六角扳手即可快速调节，螺丝锁付固定。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3.脚垫：采用固定万向调节PP脚垫，可实现≥10mm高度调节以应对地面不平整。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实验凳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尺寸：440mm/650mm/750mm三种坐高尺寸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1.尺寸：W375mmxD390mmxH550mm-座高440mm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2.材质：坐垫、脚垫材质为PP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3.工艺：钢管直径≥22mm，壁厚≥1.8mm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脚垫：.材质：采用PA塑料，底部有防滑防刮伤地板软垫。.功能：外观新颖坐感舒适，可悬挂在任何平面上，便于收纳。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尺寸≥2300mm*700mm*800mm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尺寸≥1600mm*700mm*800mm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储存展示柜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尺寸≥3000mm*700mm*2400mm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1.参考规格：≥7200*1200mm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2.版面内容：图文展示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3.材质：平面画布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4.工艺：高清品质写真立体感强烈；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速写板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钢化烤漆玻璃，背加底板，方便写字。带磁性贴吸功能。厚度≥6mm，含安装配套。整体书写尺寸不小于0.5平。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黑板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版面尺寸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120</w:t>
            </w:r>
            <w:r>
              <w:rPr>
                <w:rFonts w:hint="eastAsia" w:ascii="宋体" w:hAnsi="宋体" w:cs="宋体"/>
                <w:i w:val="0"/>
                <w:iCs w:val="0"/>
                <w:color w:val="auto"/>
                <w:sz w:val="20"/>
                <w:szCs w:val="20"/>
                <w:highlight w:val="none"/>
                <w:u w:val="none"/>
                <w:lang w:val="en-US" w:eastAsia="zh-CN" w:bidi="ar"/>
              </w:rPr>
              <w:t xml:space="preserve">cm</w:t>
            </w:r>
            <w:r>
              <w:rPr>
                <w:rFonts w:hint="eastAsia" w:ascii="宋体" w:hAnsi="宋体" w:eastAsia="宋体" w:cs="宋体"/>
                <w:i w:val="0"/>
                <w:iCs w:val="0"/>
                <w:color w:val="auto"/>
                <w:sz w:val="20"/>
                <w:szCs w:val="20"/>
                <w:highlight w:val="none"/>
                <w:u w:val="none"/>
                <w:lang w:val="en-US" w:eastAsia="zh-CN" w:bidi="ar"/>
              </w:rPr>
              <w:t xml:space="preserve">*240cm，多层烤漆面板，硬度好、耐磨、不易变形。表面表面平整光滑擦写轻松，ABS包角，高强度铝合金材质四周全包式保护，防水防潮，用湿毛巾擦除粉笔字迹效果更好更干净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1400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宽</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800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高</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750mm（木纹色）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全橡胶木实木桌，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80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×80mm桌腿，</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18mm厚橡胶木机拼板桌面，榫头连接、结构合理美观、牢固耐用，所有板边倒圆边，板面光滑，无毛刺；环保聚酯木器漆（清水漆、五底三面）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结构实验室（全国科学教育实验校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结构实验室专用授课台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整体尺寸≥1800mm*700mm*900mm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整体尺寸≥2400mm*1200mm*780mm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整体尺寸≥1200mm*1200mm*780mm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结构实验室专用实验凳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1.凳面：凳面直径≥320mm，采用聚丙烯+玻璃纤维混合注塑成型。根据人体坐姿曲线形态，进行鞍形弧度设计，前后高，两侧低，高度差为15mm，符合人体工程学结构。表面细磨砂纹理，防滑不反光；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2.升降螺杆：螺杆直径≥20mm，托盘尺寸≥160*160mm，采用碳钢板冲压成型，螺杆与托盘全圆满焊接，增加牢固度。升降距离为≥50mm，配有升降定位环，可任意高度固定。表面经防腐电泳处理，具有较强抗腐蚀性；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3.凳脚：四根≥直径25*1.5mm圆形碳钢管，49°定角折弯，全圆满焊接，表面经高温粉体烤漆处理。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4.脚垫：采用PP加纤维材质，防水防滑。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5.凳面与凳脚之间的间隙经过优化设计，可适配挂凳扣，提升清洁效率，释放桌面空间。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展示台1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尺寸≥1500mm*700mm*800mm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展示台2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尺寸≥1700mm*700mm*800mm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6.含电源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储存展示柜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尺寸≥3000mm*700mm*2400mm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1.参考规格≥7200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*1200mm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2.版面内容：图文展示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3.材质：平面画布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4.工艺：高清品质写真立体感强烈；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功能描述：该主题展示墙是科技学科集静态展示。既能起到学生实验课余时间自主探究学习的作用，又能起到美化学科环境的效果，还是校园特色文化的展示的重要端口。墙文化布置，简练、大气，符合整体技术展示构造，结构有新意，表达性强并且有科技和文化感，要求功能与装饰完美相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速写板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钢化烤漆玻璃，背加底板，方便写字。带磁性贴吸功能。厚度≥6mm，含安装配套。整体书写尺寸不小于0.5平。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多功能桥梁测试台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1、测试平台主体结构为钢或铝合金型材搭建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2、测试平台要求两桥墩内侧相距最大尺寸控制在≥1500mm，要求两侧的桥墩为可以在底部支架基础上灵活移动位置，并可以固定于任何位置。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3、两侧桥墩尺寸≥300mm*300mm，距离底部移动轨道面尺寸不少于750mm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4、要求在桥墩内侧各设置一个≥50mm*50mm的支架，用于固定桥梁结构模型，该支架需要承受不小于300N的力</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5、桥梁检测平台中部需设置一个高度不少于450mm，平面尺寸不小于50mm*100mm的平台，用于固定激光位移计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6、铺装层由板条组成，重 80N，铺开后长≥1500mm，宽≥250mm，厚≥40mm。由两层板条粘结（螺栓连接） 而成，中间夹一层布，板条与板条之间有缝隙，宽≥ 3mm，可卷起来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7、加载用小车为金属，小车车体尺寸控制在长≥150mm，高≥100mm，车轮外沿宽≥100mm，车重为≥8KG。轴距为≥100mm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风洞测试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1.风洞可实现的功能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本风洞实验的主要项目有静态模型实验，动态模型实验和流态观测实验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1)本风洞可对一些小型模型（机翼模型、飞机模型、汽车仿真模型，建筑模型，一些特殊形状的物体模型）的空气动力学、阻力、稳定性方面的性能进行测试。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2)动态模型实验包括翼型升力试验、颤振、抖振和动稳定性实验等，要求模型除满足几何相似外还能模拟实物的结构刚度、质量分布和变形。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3)流态观测实验广泛用于研究流动的基本现象和机理。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风洞的基本组成部分包括洞体、动力部分和测控部分。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工作原理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使用动力装置在一个专门设计的管道内驱动一股可控气流，使其流过安置在实验段的静止模型，模拟实物在静止空气中的运动。测量作用在模型上的空气动力，观测模型表面及周围的流动现象。根据相似理论将实验结果整理成可用于实物的相似准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实验段是风洞的中心部件，实验段流场应模拟真实流场，其气流品质如均匀度、稳定度（指参数随时间变化的情况）、湍流度等，应达到一定指标。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风洞主要按实验段速度范围分类，速度范围不同，其工作原理、型式、结构及典型尺寸也各异。本风洞属于埃菲尔型风洞。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本风洞测试仪的各技术指标如下：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风量:0～3000m3/h；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实验段风速:0～12m/s；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测量温度范围: 0～ 45℃；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湿度:可达100%。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1）打开电脑控制变频器到最大风量，测试动力系统均匀出风后，再将电脑由风速大向风速小进行风速调节。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2）将要测试的模型置入风洞的实验段，用调速开关控制风量大小，同时查看风力测试表的指示数，当模型上升时观察测试表的数据，可以判断各种模型的优劣。</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钻铣系统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把抽象的设计与工艺知识转化为可动手、可验证、可创造的实体加工能力，为结构实验室的建设提供了必要的支撑。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1.电压：220V（±5%）；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2.功率≥250W；，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3.转速：900-6000rpm；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4.X-Y十字工作台≥200x200mm；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5.筒夹：2.35/3.0/3.2/4.0/5.0和6.0mm；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6.手轮进给:2mm/圈；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7.钻孔刻划：1mm/刻划；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8.体积≥530*320*320mm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桌面式精密车床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把抽象的设计与工艺知识转化为可动手、可验证、可创造的实体加工能力，为结构实验室的建设提供了必要的支撑。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1.电压：220V（±10%）；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2.功率≥140W；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3.工作频率：50/60Hz；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4.心间距≥250mm；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5.主轴旋转距离≥70mm；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6.轴心距工作台高度≥46mm；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7.卡盘正爪：2-27mm,max.90mm；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.十字滑板调节范围≥60mm；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.主轴贯通孔径≥10.5mm；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.卡盘侧凸支座锥孔：MK2;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.刀柄≥8*8mm；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.可车削螺纹规格：0.5/0.625/0.7/0.75/0.8/1.0/1.25/1.5mm；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.主轴转速~V型皮带传动速度：300/900和3000rpm；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.主轴转速~电子控速：25%-100%；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.自动进给螺距：0.05mm和0.1mm/圈；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.尾座心轴行程≥30mm；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17</w:t>
            </w:r>
            <w:r>
              <w:rPr>
                <w:rFonts w:hint="eastAsia" w:ascii="宋体" w:hAnsi="宋体" w:eastAsia="宋体" w:cs="宋体"/>
                <w:i w:val="0"/>
                <w:iCs w:val="0"/>
                <w:color w:val="auto"/>
                <w:sz w:val="20"/>
                <w:szCs w:val="20"/>
                <w:highlight w:val="none"/>
                <w:u w:val="none"/>
                <w:lang w:val="en-US" w:eastAsia="zh-CN" w:bidi="ar"/>
              </w:rPr>
              <w:t xml:space="preserve">.床体采用自然时效处理铸铁材质，保证高负荷下也能实现无震动工作。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18</w:t>
            </w:r>
            <w:r>
              <w:rPr>
                <w:rFonts w:hint="eastAsia" w:ascii="宋体" w:hAnsi="宋体" w:eastAsia="宋体" w:cs="宋体"/>
                <w:i w:val="0"/>
                <w:iCs w:val="0"/>
                <w:color w:val="auto"/>
                <w:sz w:val="20"/>
                <w:szCs w:val="20"/>
                <w:highlight w:val="none"/>
                <w:u w:val="none"/>
                <w:lang w:val="en-US" w:eastAsia="zh-CN" w:bidi="ar"/>
              </w:rPr>
              <w:t xml:space="preserve">.车床刀架可进行转动，并带有刻度表进行角度加工。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19</w:t>
            </w:r>
            <w:r>
              <w:rPr>
                <w:rFonts w:hint="eastAsia" w:ascii="宋体" w:hAnsi="宋体" w:eastAsia="宋体" w:cs="宋体"/>
                <w:i w:val="0"/>
                <w:iCs w:val="0"/>
                <w:color w:val="auto"/>
                <w:sz w:val="20"/>
                <w:szCs w:val="20"/>
                <w:highlight w:val="none"/>
                <w:u w:val="none"/>
                <w:lang w:val="en-US" w:eastAsia="zh-CN" w:bidi="ar"/>
              </w:rPr>
              <w:t xml:space="preserve">.设备卡盘扳手带有弹簧装置，防止松紧时忘记取出。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桌面式精密车床配套附件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1.集屑盘1张：使用厚度为≥1.5mm的钢板制成，粉末涂层。尺寸≥550mm*230mm*175mm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2.5件套含钴高速钢车刀组≥8mm*8mm*80mm（5支组）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3.中心钻头组 （3支组）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创意设计工作室（全国科学教育实验校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尺寸≥1500mm*500mm*800mm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尺寸≥2000mm*600mm*800mm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尺寸≥1700mm*400mm*2400mm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1、贴面板材：可弯曲防火板，厚度为≥0.8mm,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甲醛释放量≤0.02mg/m3；表面耐磨，磨耗值≤59mg/100r，表面耐香烟灼烧，达到4级或以上，表面耐干热，达到4级或以上。顶板≥25mm厚，侧板背板≥16mm厚，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5、采用五金配件。所有五金件作防锈、防腐处理。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置物架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尺寸≥2720mm*400mm*2000mm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框架结构。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1.框架：采用≥1.0mm厚镀锌钢板裁剪折弯后满焊点焊接，表面经EPOXY喷涂处理，连接件采用不锈钢连接件。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2.调整脚：采用ABS新料模具一体成型的承重型可调节地脚，螺丝不锈钢材质。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尺寸≥1000mm*500mm*2000mm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1.铝木结构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3.耐腐蚀连接件：采用专用连接组装件；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4.脚垫：采用特制模具注塑脚垫，高度为≥2.5cm，高度可调，可有效防潮。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尺寸≥700mm*600mm*800mm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1.台面：采用人造大理石。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基材：板材均为多层板，经过防虫、防腐等化学处理，持久不变形，静曲强度：≥29Mpa，弹性模量：≥3000Mpa，内结合强度：≥0.43Mpa，24h吸水厚度膨胀率≤4.7%，含水率≤8.7%，表面胶合结合强度≥2.0MPa，甲醛释放量≤0.02mg/m3；表面耐磨，磨耗值≤59mg/100r，表面耐香烟灼烧，达到4级或以上，表面耐干热，达到4级或以上；顶板≥25mm厚，侧板背板、门板≥16mm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3、PVC封边条：选用PVC封边条，耐开裂性（耐龟裂性）≥2级，耐光色牢度（灰色样卡）≥4级，甲醛释放量：≤1.5mg/L，氯乙烯单体≤0.2mg/kg。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5、配套五金配件。所有五金件作防锈、防腐处理。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6、配套供水终端。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两人位沙发</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t>
            </w:r>
            <w:r>
              <w:rPr>
                <w:rFonts w:hint="eastAsia" w:ascii="宋体" w:hAnsi="宋体" w:eastAsia="宋体" w:cs="宋体"/>
                <w:i w:val="0"/>
                <w:iCs w:val="0"/>
                <w:color w:val="auto"/>
                <w:sz w:val="20"/>
                <w:szCs w:val="20"/>
                <w:highlight w:val="yellow"/>
                <w:u w:val="none"/>
                <w:lang w:val="en-US" w:eastAsia="zh-CN" w:bidi="ar"/>
              </w:rPr>
              <w:t xml:space="preserve">1</w:t>
            </w:r>
            <w:r>
              <w:rPr>
                <w:rFonts w:hint="eastAsia" w:ascii="宋体" w:hAnsi="宋体" w:cs="宋体"/>
                <w:i w:val="0"/>
                <w:iCs w:val="0"/>
                <w:color w:val="auto"/>
                <w:sz w:val="20"/>
                <w:szCs w:val="20"/>
                <w:highlight w:val="yellow"/>
                <w:u w:val="none"/>
                <w:lang w:val="en-US" w:eastAsia="zh-CN" w:bidi="ar"/>
              </w:rPr>
              <w:t xml:space="preserve">6</w:t>
            </w:r>
            <w:r>
              <w:rPr>
                <w:rFonts w:hint="eastAsia" w:ascii="宋体" w:hAnsi="宋体" w:eastAsia="宋体" w:cs="宋体"/>
                <w:i w:val="0"/>
                <w:iCs w:val="0"/>
                <w:color w:val="auto"/>
                <w:sz w:val="20"/>
                <w:szCs w:val="20"/>
                <w:highlight w:val="yellow"/>
                <w:u w:val="none"/>
                <w:lang w:val="en-US" w:eastAsia="zh-CN" w:bidi="ar"/>
              </w:rPr>
              <w:t xml:space="preserve">00mm*900mm*850mm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1、面料：仿皮，光泽度好，透气性强，柔软且富韧性，色彩亮丽持久</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yellow"/>
                <w:u w:val="none"/>
                <w:lang w:val="en-US" w:eastAsia="zh-CN" w:bidi="ar"/>
              </w:rPr>
              <w:t xml:space="preserve">非黑色，多种色彩组合</w:t>
            </w:r>
            <w:r>
              <w:rPr>
                <w:rFonts w:hint="eastAsia" w:ascii="宋体" w:hAnsi="宋体" w:eastAsia="宋体" w:cs="宋体"/>
                <w:i w:val="0"/>
                <w:iCs w:val="0"/>
                <w:color w:val="auto"/>
                <w:sz w:val="20"/>
                <w:szCs w:val="20"/>
                <w:highlight w:val="yellow"/>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2、内材：实木内架，靠背、座垫采用高密度泡棉及超弹力海棉，软硬适中，不变形，回弹性好，抗疲劳能力强，坐感舒适。</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yellow"/>
                <w:u w:val="none"/>
                <w:lang w:val="en-US" w:eastAsia="zh-CN" w:bidi="ar"/>
              </w:rPr>
              <w:t xml:space="preserve">3、扶手非直立。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yellow"/>
                <w:u w:val="none"/>
                <w:lang w:val="en-US" w:eastAsia="zh-CN" w:bidi="ar"/>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单人位沙发</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尺寸≥800mm*900mm*850mm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1、面料：仿皮，光泽度好，透气性强，柔软且富韧性，色彩亮丽持久</w:t>
            </w:r>
            <w:r>
              <w:rPr>
                <w:rFonts w:hint="eastAsia" w:ascii="宋体" w:hAnsi="宋体" w:cs="宋体"/>
                <w:i w:val="0"/>
                <w:iCs w:val="0"/>
                <w:color w:val="auto"/>
                <w:sz w:val="20"/>
                <w:szCs w:val="20"/>
                <w:highlight w:val="yellow"/>
                <w:u w:val="none"/>
                <w:lang w:val="en-US" w:eastAsia="zh-CN" w:bidi="ar"/>
              </w:rPr>
              <w:t xml:space="preserve">，非黑色，多种色彩组合</w:t>
            </w:r>
            <w:r>
              <w:rPr>
                <w:rFonts w:hint="eastAsia" w:ascii="宋体" w:hAnsi="宋体" w:eastAsia="宋体" w:cs="宋体"/>
                <w:i w:val="0"/>
                <w:iCs w:val="0"/>
                <w:color w:val="auto"/>
                <w:sz w:val="20"/>
                <w:szCs w:val="20"/>
                <w:highlight w:val="yellow"/>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2、内材：实木内架，靠背、座垫采用高密度泡棉及超弹力海棉，软硬适中，不变形，回弹性好，抗疲劳能力强，坐感舒适。</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yellow"/>
                <w:u w:val="none"/>
                <w:lang w:val="en-US" w:eastAsia="zh-CN" w:bidi="ar"/>
              </w:rPr>
              <w:t xml:space="preserve">3、多种造型组合（两组为一个组合），扶手非直立。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yellow"/>
                <w:u w:val="none"/>
                <w:lang w:val="en-US" w:eastAsia="zh-CN" w:bidi="ar"/>
              </w:rPr>
              <w:t xml:space="preserve">1</w:t>
            </w:r>
            <w:r>
              <w:rPr>
                <w:rFonts w:hint="eastAsia" w:ascii="宋体" w:hAnsi="宋体" w:cs="宋体"/>
                <w:i w:val="0"/>
                <w:iCs w:val="0"/>
                <w:color w:val="auto"/>
                <w:sz w:val="20"/>
                <w:szCs w:val="20"/>
                <w:highlight w:val="yellow"/>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6050" w:type="dxa"/>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尺寸≥800mm×800mm×750mm，实木框架，钢化玻璃台面。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yellow"/>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yellow"/>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尺寸：≥1</w:t>
            </w:r>
            <w:r>
              <w:rPr>
                <w:rFonts w:hint="eastAsia" w:ascii="宋体" w:hAnsi="宋体" w:cs="宋体"/>
                <w:i w:val="0"/>
                <w:iCs w:val="0"/>
                <w:color w:val="auto"/>
                <w:sz w:val="20"/>
                <w:szCs w:val="20"/>
                <w:highlight w:val="yellow"/>
                <w:u w:val="none"/>
                <w:lang w:val="en-US" w:eastAsia="zh-CN" w:bidi="ar"/>
              </w:rPr>
              <w:t xml:space="preserve">6</w:t>
            </w:r>
            <w:r>
              <w:rPr>
                <w:rFonts w:hint="eastAsia" w:ascii="宋体" w:hAnsi="宋体" w:eastAsia="宋体" w:cs="宋体"/>
                <w:i w:val="0"/>
                <w:iCs w:val="0"/>
                <w:color w:val="auto"/>
                <w:sz w:val="20"/>
                <w:szCs w:val="20"/>
                <w:highlight w:val="yellow"/>
                <w:u w:val="none"/>
                <w:lang w:val="en-US" w:eastAsia="zh-CN" w:bidi="ar"/>
              </w:rPr>
              <w:t xml:space="preserve">00mm*800mm*750mm，板材：E1 级三聚氰胺饰面板</w:t>
            </w:r>
            <w:r/>
          </w:p>
          <w:p>
            <w:pPr>
              <w:jc w:val="left"/>
              <w:keepLines w:val="0"/>
              <w:keepNext w:val="0"/>
              <w:widowControl/>
              <w:rPr>
                <w:rFonts w:hint="eastAsia" w:ascii="宋体" w:hAnsi="宋体" w:eastAsia="宋体" w:cs="宋体"/>
                <w:i w:val="0"/>
                <w:iCs w:val="0"/>
                <w:color w:val="auto"/>
                <w:sz w:val="20"/>
                <w:szCs w:val="20"/>
                <w:highlight w:val="yellow"/>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台面厚度：厚度≥25mm，</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yellow"/>
                <w:u w:val="none"/>
                <w:lang w:val="en-US" w:eastAsia="zh-CN" w:bidi="ar"/>
              </w:rPr>
              <w:t xml:space="preserve">配置：边柜采用18mm厚三胺板、前挡板封闭式设计；配有接线槽，方便安装插座等。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尺寸≥W450mm*D430mm*H430mm，椅面采用工程塑料人体工学设计，耐用环保，椅脚采用圆钢脚，舒适稳固。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lang w:val="en-US" w:eastAsia="zh-CN" w:bidi="ar"/>
              </w:rPr>
              <w:t xml:space="preserve">教师研讨室（全国科学教育实验校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尺寸≥2400mm*1200mm*760mm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尺寸≥640mm*600mm*955mm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1、靠背：PA+GF材质，后面带银色装饰条，带腰靠，腰靠采用亚克力材质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2、海绵：40密度原棉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3、扶手：尼龙固定扶手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4、底座：底布采用衬布，无粉化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尺寸≥3000mm*600mm*800mm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工作</w:t>
            </w:r>
            <w:r>
              <w:rPr>
                <w:rFonts w:hint="eastAsia" w:ascii="宋体" w:hAnsi="宋体" w:eastAsia="宋体" w:cs="宋体"/>
                <w:i w:val="0"/>
                <w:iCs w:val="0"/>
                <w:color w:val="auto"/>
                <w:sz w:val="20"/>
                <w:szCs w:val="20"/>
                <w:highlight w:val="none"/>
                <w:u w:val="none"/>
                <w:lang w:val="en-US" w:eastAsia="zh-CN" w:bidi="ar"/>
              </w:rPr>
              <w:t xml:space="preserve">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yellow"/>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尺寸：≥1600mm*800mm*750mm，板材：E1 级三聚氰胺饰面板</w:t>
            </w:r>
            <w:r/>
          </w:p>
          <w:p>
            <w:pPr>
              <w:jc w:val="left"/>
              <w:keepLines w:val="0"/>
              <w:keepNext w:val="0"/>
              <w:widowControl/>
              <w:rPr>
                <w:rFonts w:hint="eastAsia" w:ascii="宋体" w:hAnsi="宋体" w:eastAsia="宋体" w:cs="宋体"/>
                <w:i w:val="0"/>
                <w:iCs w:val="0"/>
                <w:color w:val="auto"/>
                <w:sz w:val="20"/>
                <w:szCs w:val="20"/>
                <w:highlight w:val="yellow"/>
                <w:u w:val="none"/>
                <w:lang w:val="en-US" w:eastAsia="zh-CN" w:bidi="ar"/>
              </w:rPr>
              <w:suppressLineNumbers w:val="0"/>
            </w:pPr>
            <w:r>
              <w:rPr>
                <w:rFonts w:hint="eastAsia" w:ascii="宋体" w:hAnsi="宋体" w:eastAsia="宋体" w:cs="宋体"/>
                <w:i w:val="0"/>
                <w:iCs w:val="0"/>
                <w:color w:val="auto"/>
                <w:sz w:val="20"/>
                <w:szCs w:val="20"/>
                <w:highlight w:val="yellow"/>
                <w:u w:val="none"/>
                <w:lang w:val="en-US" w:eastAsia="zh-CN" w:bidi="ar"/>
              </w:rPr>
              <w:t xml:space="preserve">台面厚度：厚度≥25mm，</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yellow"/>
                <w:u w:val="none"/>
                <w:lang w:val="en-US" w:eastAsia="zh-CN" w:bidi="ar"/>
              </w:rPr>
              <w:t xml:space="preserve">配置：边柜采用18mm厚三胺板、前挡板封闭式设计；配有接线槽，方便安装插座等。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yellow"/>
                <w:u w:val="none"/>
                <w:lang w:val="en-US" w:eastAsia="zh-CN" w:bidi="ar"/>
              </w:rPr>
              <w:t xml:space="preserve">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工作</w:t>
            </w:r>
            <w:r>
              <w:rPr>
                <w:rFonts w:hint="eastAsia" w:ascii="宋体" w:hAnsi="宋体" w:eastAsia="宋体" w:cs="宋体"/>
                <w:i w:val="0"/>
                <w:iCs w:val="0"/>
                <w:color w:val="auto"/>
                <w:sz w:val="20"/>
                <w:szCs w:val="20"/>
                <w:highlight w:val="none"/>
                <w:u w:val="none"/>
                <w:lang w:val="en-US" w:eastAsia="zh-CN" w:bidi="ar"/>
              </w:rPr>
              <w:t xml:space="preserve">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尺寸≥W450mm*D430mm*H430mm，椅面采用工程塑料人体工学设计，耐用环保，椅脚采用圆钢脚，舒适稳固。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yellow"/>
                <w:u w:val="none"/>
                <w:lang w:val="en-US" w:eastAsia="zh-CN" w:bidi="ar"/>
              </w:rPr>
              <w:t xml:space="preserve">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尺寸≥1000mm*500mm*2000mm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1.铝木结构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铝框架结构，立柱采用一体成型带凹槽铝合金模具框架，表面经酸砂处理后喷塑，橱体基材采用≥16㎜厚E1级三聚氰胺板，其截面用≥2㎜厚PVC封边条机械高温热熔胶封边，嵌在铝合金凹槽内，具有粘力强、密封性好，牢固、美观、耐用的特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3.耐腐蚀连接件：采用专用连接组装件；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4.脚垫：采用特制模具注塑脚垫，高度为≥2.5cm，高度可调，可有效防潮。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yellow"/>
                <w:u w:val="none"/>
                <w:lang w:val="en-US" w:eastAsia="zh-CN" w:bidi="ar"/>
              </w:rPr>
              <w:t xml:space="preserve">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储存边柜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尺寸≥7300mm*400mm*800mm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5.下部带有柜体结构。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移动书写板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尺寸≥90cm*120cm，铝合金边框，板面采用钢化玻璃白板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研讨桌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rPr>
                <w:rFonts w:hint="default"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尺寸≥1200mm*800mm*800mm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1.台面：采用多层板面贴三聚氰胺饰面，厚度≥20mm。</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2.基材：板材均为多层板厚度≥16mm，经过防虫、防腐等化学处理，持久不变形，甲醛释放量≤0.050mg/m³，表面耐磨，磨耗值≤59mg/100r，表面耐香烟灼烧，达到4级或以上，表面耐干热，达到4级或以上。</w:t>
            </w:r>
            <w:r/>
          </w:p>
          <w:p>
            <w:pPr>
              <w:numPr>
                <w:ilvl w:val="0"/>
                <w:numId w:val="0"/>
              </w:numPr>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t xml:space="preserve">3.PVC封边条：选用PVC封边条，甲醛释放量≤1.5mg/L,氯乙烯单体≤5mg/kg，可迁移元素（可溶性重金属）铅（Pb）≤90mg/kg镉（Cd)≤75mg/kg铬（Cr)≤60mg/kg汞（Hg)≤60mg/kg砷（As)≤25mg/kg钡（Ba)≤1000mg/kg锑（Sb)≤60mg/kg硒(Se)≤500mg/kg。</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4.封边胶：采用高温封边热溶胶，热稳定好，抗高低温性能好；</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研讨椅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尺寸：440mm/650mm/750mm三种坐高尺寸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1.尺寸：W375mmxD390mmxH550mm-座高440mm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2.材质：坐垫、脚垫材质为PP</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3.工艺：钢管直径≥22mm，壁厚≥1.8mm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表面涂装：钢管架焊接完成后，表面经酸洗、脱脂、磷化处理，耐腐蚀、防锈。外表采一级颗粒粉末，经高温粉体烤漆，附着力强，不脱漆。涂层需无漏喷、锈蚀；涂层需光滑均匀，色泽一致，长时间使用也不会产生表面漆剥落现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脚垫：.材质：采用PA塑料，底部有防滑防刮伤地板软垫。.功能：外观新颖坐感舒适，可悬挂在任何平面上，便于收纳。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 </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01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装饰改造（全国科学教育实验校 江苏省高品质科技特色高中）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教室研讨室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1.≥80*80*4mm镀锌主方管+≥50*50*3mm横向方管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2.单面≥12厘阻燃板+单面≥18厘阻燃板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3.双面≥12mm石膏板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23.29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1.50mm高1.2厚铝合金踢脚线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1.满刮≥2遍腻子找平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21.58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结构实验室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开门洞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1.原有墙体拆除开门洞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2.开洞尺寸≥1100*3100mm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镀锌方通过梁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1.≥200*100*5mm镀锌方通加固过梁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1.≥80*80*4mm镀锌主方管+≥50*50*3mm横向方管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2.单面≥12mm阻燃板+单面≥18mm阻燃板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3.双面≥12mm石膏板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29.67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成品木质门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1.成品木质门带视窗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2.门规格：≥1100*3000mm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3.五金：门锁、合页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1.≥30mm水泥砂浆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2.≥20mm厚门槛石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PVC地胶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1.地面打磨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2.≥3mm自流平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3.≥2mm厚同透PVC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150.83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1.满刮≥2遍腻子找平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49.06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人工智能实验室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1.≥80*80*4mm镀锌主方管+≥50*50*3mm横向方管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2.单面≥12mm阻燃板+单面≥18mm阻燃板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3.双面≥12mm石膏板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28.80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PVC地胶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1.地面打磨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2.≥3mm自流平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3.≥2mm厚同透PVC</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163.05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1.满刮≥2遍腻子找平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54.16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物联网实验室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开门洞</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1.原有墙体拆除开门洞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2.开洞尺寸≥1100*3100mm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镀锌方通过梁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1.200*100*5mm镀锌方通加固过梁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钢骨架隔墙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1.≥80*80*4mm镀锌主方管+≥50*50*3mm横向方管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2.双面≥12mm阻燃板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3.双面≥12mm石膏板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4.其他：≥48KG/m3隔音棉+顶部≥50*50*3mm角钢斜支撑</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24.48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成品木质门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1.成品木质门带视窗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2.门规格：≥1100*3000mm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3.五金：门锁、合页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1.≥30mm水泥砂浆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2.≥20mm厚门槛石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16.12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1.满刮≥2遍腻子找平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50.78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名师工作室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1.≥50mm高≥1.2mm厚铝合金踢脚线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7.65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墙面白色无机涂料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1.满刮≥2遍腻子找平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2.≥3遍无机涂料</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拆除保护系统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原吊顶拆除及恢复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1.强弱电管线导致原有吊顶拆除及恢复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拆除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1.现场木格栅及木桌台拆除+垃圾清运及外运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墙面乳胶漆修复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1.强弱电管线导致原有墙面开槽后无机涂料修复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强电布置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强电布置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1.总配电箱改造：强电房内总配电箱增加空开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2.配电箱：暗装≥2套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3.电力电缆：材质：铜芯，含电缆头制作安装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4.电力电缆：材质：铜芯，含电缆头制作安装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5.电缆配管：材质：钢质，配置形式：综合考虑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6.五孔插座：材质：塑料面板，安装方式：暗装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7.地插：材质：五孔地插，安装方式：暗装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8.双联单控开关：材质：塑料面板，安装方式：暗装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9.接线盒：材质：塑料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10.强电综合布线：现场灯线为物联网液晶面板控制，线路调整为单间控制，灯具及灯线利旧，增加布管布线及开槽修复，新增插座回路布管布线及开槽修复，包含地面≥50*25mm金属盖板美化，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11.空调改造：监控摄像头移位，管线改造缩短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弱电布置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弱电布置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1.教室内弱电箱：教室内弱电箱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2.≥8口光口交换</w:t>
            </w:r>
            <w:r>
              <w:rPr>
                <w:rFonts w:hint="eastAsia" w:ascii="宋体" w:hAnsi="宋体" w:cs="宋体"/>
                <w:i w:val="0"/>
                <w:iCs w:val="0"/>
                <w:color w:val="auto"/>
                <w:sz w:val="20"/>
                <w:szCs w:val="20"/>
                <w:highlight w:val="none"/>
                <w:u w:val="none"/>
                <w:lang w:val="en-US" w:eastAsia="zh-CN" w:bidi="ar"/>
              </w:rPr>
              <w:t xml:space="preserve">设备</w:t>
            </w:r>
            <w:r>
              <w:rPr>
                <w:rFonts w:hint="eastAsia" w:ascii="宋体" w:hAnsi="宋体" w:eastAsia="宋体" w:cs="宋体"/>
                <w:i w:val="0"/>
                <w:iCs w:val="0"/>
                <w:color w:val="auto"/>
                <w:sz w:val="20"/>
                <w:szCs w:val="20"/>
                <w:highlight w:val="none"/>
                <w:u w:val="none"/>
                <w:lang w:val="en-US" w:eastAsia="zh-CN" w:bidi="ar"/>
              </w:rPr>
              <w:t xml:space="preserve">：要求：满足相关标准图集、规范、设计及验收要求等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3.≥48口光口交换</w:t>
            </w:r>
            <w:r>
              <w:rPr>
                <w:rFonts w:hint="eastAsia" w:ascii="宋体" w:hAnsi="宋体" w:cs="宋体"/>
                <w:i w:val="0"/>
                <w:iCs w:val="0"/>
                <w:color w:val="auto"/>
                <w:sz w:val="20"/>
                <w:szCs w:val="20"/>
                <w:highlight w:val="none"/>
                <w:u w:val="none"/>
                <w:lang w:val="en-US" w:eastAsia="zh-CN" w:bidi="ar"/>
              </w:rPr>
              <w:t xml:space="preserve">设备</w:t>
            </w:r>
            <w:r>
              <w:rPr>
                <w:rFonts w:hint="eastAsia" w:ascii="宋体" w:hAnsi="宋体" w:eastAsia="宋体" w:cs="宋体"/>
                <w:i w:val="0"/>
                <w:iCs w:val="0"/>
                <w:color w:val="auto"/>
                <w:sz w:val="20"/>
                <w:szCs w:val="20"/>
                <w:highlight w:val="none"/>
                <w:u w:val="none"/>
                <w:lang w:val="en-US" w:eastAsia="zh-CN" w:bidi="ar"/>
              </w:rPr>
              <w:t xml:space="preserve">：要求：满足相关标准图集、规范、设计及验收要求等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4.单口网络插座：材质：塑料面板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5.接线盒：材质：塑料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6.弱电综合布线：光缆进户管线，新增弱电插座+高清线回路布管布线+水晶头及开槽修复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7.监控改造：监控摄像头移位，管线改造缩短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00"/>
        </w:trPr>
        <w:tc>
          <w:tcPr>
            <w:gridSpan w:val="2"/>
            <w:shd w:val="clear" w:color="auto" w:fill="auto"/>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家具搬运及恢复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1.家具搬运及恢复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5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1.钢骨架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2.≥15厘</w:t>
            </w:r>
            <w:r>
              <w:rPr>
                <w:rFonts w:hint="eastAsia" w:ascii="宋体" w:hAnsi="宋体" w:cs="宋体"/>
                <w:i w:val="0"/>
                <w:iCs w:val="0"/>
                <w:color w:val="auto"/>
                <w:sz w:val="20"/>
                <w:szCs w:val="20"/>
                <w:highlight w:val="none"/>
                <w:u w:val="none"/>
                <w:lang w:val="en-US" w:eastAsia="zh-CN" w:bidi="ar"/>
              </w:rPr>
              <w:t xml:space="preserve">米</w:t>
            </w:r>
            <w:r>
              <w:rPr>
                <w:rFonts w:hint="eastAsia" w:ascii="宋体" w:hAnsi="宋体" w:eastAsia="宋体" w:cs="宋体"/>
                <w:i w:val="0"/>
                <w:iCs w:val="0"/>
                <w:color w:val="auto"/>
                <w:sz w:val="20"/>
                <w:szCs w:val="20"/>
                <w:highlight w:val="none"/>
                <w:u w:val="none"/>
                <w:lang w:val="en-US" w:eastAsia="zh-CN" w:bidi="ar"/>
              </w:rPr>
              <w:t xml:space="preserve">阻燃板基层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3.实木复合木地板+收边条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31.50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val="off"/>
              <w:rPr>
                <w:rFonts w:hint="eastAsia" w:ascii="宋体" w:hAnsi="宋体" w:eastAsia="宋体" w:cs="宋体"/>
                <w:i w:val="0"/>
                <w:iCs w:val="0"/>
                <w:color w:val="auto"/>
                <w:sz w:val="20"/>
                <w:szCs w:val="20"/>
                <w:highlight w:val="none"/>
                <w:u w:val="none"/>
                <w:lang w:val="en-US" w:eastAsia="zh-CN" w:bidi="ar"/>
              </w:rPr>
            </w:pPr>
            <w:r>
              <w:rPr>
                <w:rFonts w:hint="eastAsia" w:ascii="宋体" w:hAnsi="宋体" w:eastAsia="宋体" w:cs="宋体"/>
                <w:i w:val="0"/>
                <w:iCs w:val="0"/>
                <w:color w:val="auto"/>
                <w:sz w:val="20"/>
                <w:szCs w:val="20"/>
                <w:highlight w:val="none"/>
                <w:u w:val="none"/>
                <w:lang w:val="en-US" w:eastAsia="zh-CN" w:bidi="ar"/>
              </w:rPr>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816" w:type="dxa"/>
            <w:vAlign w:val="center"/>
            <w:textDirection w:val="lrTb"/>
            <w:noWrap w:val="false"/>
          </w:tcPr>
          <w:p>
            <w:pPr>
              <w:jc w:val="left"/>
              <w:widowControl w:val="off"/>
              <w:rPr>
                <w:rFonts w:hint="eastAsia" w:ascii="宋体" w:hAnsi="宋体" w:eastAsia="宋体" w:cs="宋体"/>
                <w:i w:val="0"/>
                <w:iCs w:val="0"/>
                <w:color w:val="auto"/>
                <w:sz w:val="20"/>
                <w:szCs w:val="20"/>
                <w:highlight w:val="none"/>
                <w:u w:val="none"/>
                <w:lang w:val="en-US" w:eastAsia="zh-CN" w:bidi="ar"/>
              </w:rPr>
            </w:pPr>
            <w:r>
              <w:rPr>
                <w:rFonts w:hint="default"/>
                <w:b/>
                <w:bCs/>
                <w:color w:val="auto"/>
                <w:highlight w:val="none"/>
                <w:vertAlign w:val="baseline"/>
                <w:lang w:val="en-US" w:eastAsia="zh-CN"/>
              </w:rPr>
              <w:t xml:space="preserve">SSD固态硬盘及升级安装和搬运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widowControl w:val="off"/>
              <w:rPr>
                <w:rFonts w:hint="eastAsia" w:ascii="宋体" w:hAnsi="宋体" w:eastAsia="宋体" w:cs="宋体"/>
                <w:i w:val="0"/>
                <w:iCs w:val="0"/>
                <w:color w:val="auto"/>
                <w:sz w:val="20"/>
                <w:szCs w:val="20"/>
                <w:highlight w:val="none"/>
                <w:u w:val="none"/>
                <w:lang w:val="en-US" w:eastAsia="zh-CN" w:bidi="ar"/>
              </w:rPr>
            </w:pPr>
            <w:r>
              <w:rPr>
                <w:rFonts w:hint="eastAsia"/>
                <w:color w:val="auto"/>
                <w:highlight w:val="none"/>
                <w:vertAlign w:val="baseline"/>
                <w:lang w:val="en-US" w:eastAsia="zh-CN"/>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20" w:type="dxa"/>
            <w:vAlign w:val="center"/>
            <w:textDirection w:val="lrTb"/>
            <w:noWrap w:val="false"/>
          </w:tcPr>
          <w:p>
            <w:pPr>
              <w:jc w:val="center"/>
              <w:widowControl w:val="off"/>
              <w:rPr>
                <w:rFonts w:hint="eastAsia" w:ascii="宋体" w:hAnsi="宋体" w:eastAsia="宋体" w:cs="宋体"/>
                <w:i w:val="0"/>
                <w:iCs w:val="0"/>
                <w:color w:val="auto"/>
                <w:sz w:val="20"/>
                <w:szCs w:val="20"/>
                <w:highlight w:val="none"/>
                <w:u w:val="none"/>
                <w:lang w:val="en-US" w:eastAsia="zh-CN" w:bidi="ar"/>
              </w:rPr>
            </w:pPr>
            <w:r>
              <w:rPr>
                <w:rFonts w:hint="default"/>
                <w:color w:val="auto"/>
                <w:highlight w:val="none"/>
                <w:vertAlign w:val="baseline"/>
                <w:lang w:val="en-US" w:eastAsia="zh-CN"/>
              </w:rPr>
              <w:t xml:space="preserve">SSD固态硬盘及升级安装和搬运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49" w:type="dxa"/>
            <w:vAlign w:val="center"/>
            <w:textDirection w:val="lrTb"/>
            <w:noWrap w:val="false"/>
          </w:tcPr>
          <w:p>
            <w:pPr>
              <w:jc w:val="left"/>
              <w:widowControl w:val="off"/>
              <w:rPr>
                <w:rFonts w:hint="eastAsia" w:ascii="宋体" w:hAnsi="宋体" w:eastAsia="宋体" w:cs="宋体"/>
                <w:i w:val="0"/>
                <w:iCs w:val="0"/>
                <w:color w:val="auto"/>
                <w:sz w:val="20"/>
                <w:szCs w:val="20"/>
                <w:highlight w:val="none"/>
                <w:u w:val="none"/>
                <w:lang w:val="en-US" w:eastAsia="zh-CN" w:bidi="ar"/>
              </w:rPr>
            </w:pPr>
            <w:r>
              <w:rPr>
                <w:rFonts w:hint="default"/>
                <w:color w:val="auto"/>
                <w:highlight w:val="none"/>
                <w:vertAlign w:val="baseline"/>
                <w:lang w:val="en-US" w:eastAsia="zh-CN"/>
              </w:rPr>
              <w:t xml:space="preserve">256G SSD硬盘、接SATAN闪存颗粒TLC或MLC、256MB缓存，含升级安装和整机搬运。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val="off"/>
              <w:rPr>
                <w:rFonts w:hint="eastAsia" w:ascii="宋体" w:hAnsi="宋体" w:eastAsia="宋体" w:cs="宋体"/>
                <w:i w:val="0"/>
                <w:iCs w:val="0"/>
                <w:color w:val="auto"/>
                <w:sz w:val="20"/>
                <w:szCs w:val="20"/>
                <w:highlight w:val="none"/>
                <w:u w:val="none"/>
                <w:lang w:val="en-US" w:eastAsia="zh-CN" w:bidi="ar"/>
              </w:rPr>
            </w:pPr>
            <w:r>
              <w:rPr>
                <w:rFonts w:hint="eastAsia"/>
                <w:color w:val="auto"/>
                <w:highlight w:val="none"/>
                <w:vertAlign w:val="baseli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widowControl w:val="off"/>
              <w:rPr>
                <w:rFonts w:hint="eastAsia" w:ascii="宋体" w:hAnsi="宋体" w:eastAsia="宋体" w:cs="宋体"/>
                <w:i w:val="0"/>
                <w:iCs w:val="0"/>
                <w:color w:val="auto"/>
                <w:sz w:val="20"/>
                <w:szCs w:val="20"/>
                <w:highlight w:val="none"/>
                <w:u w:val="none"/>
                <w:lang w:val="en-US" w:eastAsia="zh-CN" w:bidi="ar"/>
              </w:rPr>
            </w:pPr>
            <w:r>
              <w:rPr>
                <w:rFonts w:hint="eastAsia"/>
                <w:color w:val="auto"/>
                <w:highlight w:val="none"/>
                <w:vertAlign w:val="baseline"/>
                <w:lang w:val="en-US" w:eastAsia="zh-CN"/>
              </w:rPr>
              <w:t xml:space="preserve">152</w:t>
            </w:r>
            <w:r/>
          </w:p>
        </w:tc>
      </w:tr>
    </w:tbl>
    <w:p>
      <w:pPr>
        <w:rPr>
          <w:rFonts w:hint="eastAsia"/>
          <w:color w:val="auto"/>
          <w:highlight w:val="none"/>
          <w:lang w:val="en-US" w:eastAsia="zh-CN"/>
        </w:rPr>
      </w:pPr>
      <w:r>
        <w:rPr>
          <w:rFonts w:hint="eastAsia"/>
          <w:color w:val="auto"/>
          <w:highlight w:val="none"/>
          <w:lang w:val="en-US" w:eastAsia="zh-CN"/>
        </w:rPr>
      </w:r>
      <w:r/>
    </w:p>
    <w:p>
      <w:pPr>
        <w:rPr>
          <w:color w:val="auto"/>
          <w:highlight w:val="none"/>
        </w:rPr>
      </w:pPr>
      <w:r>
        <w:rPr>
          <w:color w:val="auto"/>
          <w:highlight w:val="none"/>
        </w:rPr>
      </w:r>
      <w:r/>
    </w:p>
    <w:p>
      <w:pPr>
        <w:rPr>
          <w:rFonts w:hint="eastAsia" w:ascii="宋体" w:hAnsi="宋体" w:eastAsia="宋体" w:cs="宋体"/>
          <w:b/>
          <w:bCs w:val="0"/>
          <w:iCs/>
          <w:color w:val="auto"/>
          <w:szCs w:val="21"/>
          <w:highlight w:val="none"/>
          <w:lang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rPr>
          <w:rFonts w:hint="eastAsia" w:ascii="宋体" w:hAnsi="宋体" w:eastAsia="宋体" w:cs="宋体"/>
          <w:b/>
          <w:bCs w:val="0"/>
          <w:iCs/>
          <w:color w:val="auto"/>
          <w:szCs w:val="21"/>
          <w:highlight w:val="none"/>
          <w:lang w:eastAsia="zh-CN"/>
        </w:rPr>
        <w:br w:type="page" w:clear="all"/>
      </w:r>
      <w:r/>
    </w:p>
    <w:p>
      <w:pPr>
        <w:rPr>
          <w:rFonts w:hint="eastAsia"/>
          <w:color w:val="auto"/>
          <w:highlight w:val="none"/>
          <w:lang w:val="en-US" w:eastAsia="zh-CN"/>
        </w:rPr>
      </w:pPr>
      <w:r>
        <w:rPr>
          <w:rFonts w:hint="eastAsia"/>
          <w:color w:val="auto"/>
          <w:highlight w:val="none"/>
          <w:lang w:val="en-US" w:eastAsia="zh-CN"/>
        </w:rPr>
      </w:r>
      <w:r/>
    </w:p>
    <w:p>
      <w:pPr>
        <w:rPr>
          <w:rFonts w:hint="eastAsia"/>
          <w:b/>
          <w:bCs/>
          <w:color w:val="auto"/>
          <w:highlight w:val="none"/>
          <w:lang w:val="en-US" w:eastAsia="zh-CN"/>
        </w:rPr>
      </w:pPr>
      <w:r>
        <w:rPr>
          <w:rFonts w:hint="eastAsia"/>
          <w:b/>
          <w:bCs/>
          <w:color w:val="auto"/>
          <w:highlight w:val="none"/>
          <w:lang w:val="en-US" w:eastAsia="zh-CN"/>
        </w:rPr>
        <w:t xml:space="preserve">平面图布置图</w:t>
      </w:r>
      <w:r/>
    </w:p>
    <w:p>
      <w:pPr>
        <w:rPr>
          <w:rFonts w:hint="eastAsia"/>
          <w:b/>
          <w:bCs/>
          <w:color w:val="auto"/>
          <w:highlight w:val="none"/>
          <w:lang w:val="en-US" w:eastAsia="zh-CN"/>
        </w:rPr>
      </w:pPr>
      <w:r>
        <w:rPr>
          <w:rFonts w:hint="eastAsia"/>
          <w:b/>
          <w:bCs/>
          <w:color w:val="auto"/>
          <w:highlight w:val="none"/>
          <w:lang w:val="en-US" w:eastAsia="zh-CN"/>
        </w:rPr>
      </w:r>
      <w:r/>
    </w:p>
    <w:p>
      <w:pPr>
        <w:rPr>
          <w:rFonts w:hint="default"/>
          <w:b/>
          <w:bCs/>
          <w:color w:val="auto"/>
          <w:highlight w:val="none"/>
          <w:lang w:val="en-US" w:eastAsia="zh-CN"/>
        </w:rPr>
      </w:pPr>
      <w:r/>
      <w:bookmarkStart w:id="90" w:name="_GoBack"/>
      <w:r/>
      <w:bookmarkEnd w:id="90"/>
      <w:r>
        <w:rPr>
          <w:rFonts w:hint="eastAsia"/>
          <w:b/>
          <w:bCs/>
          <w:color w:val="auto"/>
          <w:highlight w:val="none"/>
          <w:lang w:val="en-US" w:eastAsia="zh-CN"/>
        </w:rPr>
        <w:t xml:space="preserve">（详见附件）</w:t>
      </w:r>
      <w:r/>
    </w:p>
    <w:p>
      <w:pPr>
        <w:rPr>
          <w:rFonts w:hint="eastAsia" w:ascii="宋体" w:hAnsi="宋体" w:eastAsia="宋体" w:cs="宋体"/>
          <w:b/>
          <w:bCs w:val="0"/>
          <w:iCs/>
          <w:color w:val="auto"/>
          <w:szCs w:val="21"/>
          <w:highlight w:val="none"/>
          <w:lang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bCs w:val="0"/>
          <w:iCs/>
          <w:color w:val="auto"/>
          <w:szCs w:val="21"/>
          <w:highlight w:val="none"/>
          <w:lang w:eastAsia="zh-CN"/>
        </w:rPr>
      </w:r>
      <w:r/>
    </w:p>
    <w:p>
      <w:pPr>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eastAsia="zh-CN"/>
        </w:rPr>
        <w:t xml:space="preserve">二、</w:t>
      </w:r>
      <w:r>
        <w:rPr>
          <w:rFonts w:hint="eastAsia" w:ascii="宋体" w:hAnsi="宋体" w:eastAsia="宋体" w:cs="宋体"/>
          <w:b/>
          <w:bCs w:val="0"/>
          <w:iCs/>
          <w:color w:val="auto"/>
          <w:szCs w:val="21"/>
          <w:highlight w:val="none"/>
        </w:rPr>
        <w:t xml:space="preserve">其它要求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2.供货、安装时间</w:t>
      </w:r>
      <w:r/>
    </w:p>
    <w:p>
      <w:pPr>
        <w:ind w:firstLine="480"/>
        <w:spacing w:line="360" w:lineRule="auto"/>
        <w:rPr>
          <w:rFonts w:hint="eastAsia" w:ascii="宋体" w:hAnsi="宋体" w:eastAsia="宋体" w:cs="宋体"/>
          <w:bCs/>
          <w:iCs/>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iCs/>
          <w:color w:val="auto"/>
          <w:szCs w:val="21"/>
          <w:highlight w:val="none"/>
          <w:lang w:val="en-US" w:eastAsia="zh-CN"/>
        </w:rPr>
        <w:t xml:space="preserve">合同签订之日起45日</w:t>
      </w:r>
      <w:r>
        <w:rPr>
          <w:rFonts w:hint="eastAsia" w:ascii="宋体" w:hAnsi="宋体" w:eastAsia="宋体" w:cs="宋体"/>
          <w:bCs/>
          <w:iCs/>
          <w:color w:val="auto"/>
          <w:szCs w:val="21"/>
          <w:highlight w:val="none"/>
          <w:lang w:val="en-US" w:eastAsia="zh-CN"/>
        </w:rPr>
        <w:t xml:space="preserve">（除不可抗力、非中标人原因）全部供货及安装完毕，并完成全部验收、文档整理工作。若因供应商原因导致货物不能按要求安装使用，采购人有权追究其责任。供应商可先到项目地点充分了解地理位置、情况、道路、储存空间、装卸限制及施工配合等任何其他足以影响投标报价的情况，任何因忽视或误解项目现场而导致的索赔或工期延长申请将不被批准。</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lang w:val="en-US" w:eastAsia="zh-CN"/>
        </w:rPr>
        <w:t xml:space="preserve">3.交货</w:t>
      </w:r>
      <w:r>
        <w:rPr>
          <w:rFonts w:hint="eastAsia" w:ascii="宋体" w:hAnsi="宋体" w:eastAsia="宋体" w:cs="宋体"/>
          <w:b/>
          <w:bCs w:val="0"/>
          <w:iCs/>
          <w:color w:val="auto"/>
          <w:szCs w:val="21"/>
          <w:highlight w:val="none"/>
        </w:rPr>
        <w:t xml:space="preserve">地点</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采购人指定地点。</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4.产品要求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按采购人提出基本技术要求生产样品，招标后不得擅自更改产品样式和降低质量，供货方提供的产品必须达到现行中华人民共和国国家、行业有关标准、技术规范的要求，保证提供的货物完全符合规定的质量、规格、性能和安全的要求，保证所有产品不存在任何安全隐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5.质量要求</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由于本项目所采购物品使用对象是学生，对安全、健康、环保等要求高，家长、学校、社会关注度高，投标人所提供的物品须符合国家关于安全、健康、环保等方面的要求。所购产品须原装出厂的、全新的、包装完好的产品，提供正规发票或来源渠道证明、产品供应商名单和联系方式、保修卡等。如发现使用假冒伪劣产品、三无产品，一经查实，立即终止合同，所有款项一律不付、不退，并将来货封存，交由质量监督部门处理，并按其处罚意见，处以罚款。</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6.供货验收</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（1）供应商在交验货物时必须同时提供国家法定或授权的检验机构按照国家有关法规以及招标文件中规定的标准，对</w:t>
      </w:r>
      <w:r>
        <w:rPr>
          <w:rFonts w:hint="eastAsia" w:ascii="宋体" w:hAnsi="宋体" w:cs="宋体"/>
          <w:bCs/>
          <w:iCs/>
          <w:color w:val="auto"/>
          <w:szCs w:val="21"/>
          <w:highlight w:val="none"/>
          <w:lang w:eastAsia="zh-CN"/>
        </w:rPr>
        <w:t xml:space="preserve">货物</w:t>
      </w:r>
      <w:r>
        <w:rPr>
          <w:rFonts w:hint="eastAsia" w:ascii="宋体" w:hAnsi="宋体" w:eastAsia="宋体" w:cs="宋体"/>
          <w:bCs/>
          <w:iCs/>
          <w:color w:val="auto"/>
          <w:szCs w:val="21"/>
          <w:highlight w:val="none"/>
        </w:rPr>
        <w:t xml:space="preserve">进行的环保、质量等检验检测报告。</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（2）采购人将在交付验收前随机对</w:t>
      </w:r>
      <w:r>
        <w:rPr>
          <w:rFonts w:hint="eastAsia" w:ascii="宋体" w:hAnsi="宋体" w:cs="宋体"/>
          <w:bCs/>
          <w:iCs/>
          <w:color w:val="auto"/>
          <w:szCs w:val="21"/>
          <w:highlight w:val="none"/>
          <w:lang w:val="en-US" w:eastAsia="zh-CN"/>
        </w:rPr>
        <w:t xml:space="preserve">货物</w:t>
      </w:r>
      <w:r>
        <w:rPr>
          <w:rFonts w:hint="eastAsia" w:ascii="宋体" w:hAnsi="宋体" w:eastAsia="宋体" w:cs="宋体"/>
          <w:bCs/>
          <w:iCs/>
          <w:color w:val="auto"/>
          <w:szCs w:val="21"/>
          <w:highlight w:val="none"/>
        </w:rPr>
        <w:t xml:space="preserve">进行环保抽检，检测结果必须达到国家相关规定要求，检测费由中标供应商支付。如果检测不合格一切后果由中标供应商负责。</w:t>
      </w:r>
      <w:r/>
    </w:p>
    <w:p>
      <w:pPr>
        <w:ind w:firstLine="480"/>
        <w:spacing w:line="360" w:lineRule="auto"/>
        <w:rPr>
          <w:rFonts w:hint="eastAsia" w:ascii="宋体" w:hAnsi="宋体" w:eastAsia="宋体" w:cs="宋体"/>
          <w:bCs/>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（3）安装队伍必须加强管理，遵守现场的一切规章制度，文明安装，注意安全。项目实施过程中若发生相关的安全事故由供应商自行负责。</w:t>
      </w:r>
      <w:r/>
    </w:p>
    <w:p>
      <w:pPr>
        <w:ind w:firstLine="480"/>
        <w:spacing w:line="360" w:lineRule="auto"/>
        <w:rPr>
          <w:rFonts w:hint="eastAsia" w:ascii="宋体" w:hAnsi="宋体" w:eastAsia="宋体" w:cs="宋体"/>
          <w:b/>
          <w:bCs w:val="0"/>
          <w:i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Cs/>
          <w:color w:val="auto"/>
          <w:szCs w:val="21"/>
          <w:highlight w:val="none"/>
        </w:rPr>
        <w:t xml:space="preserve">7.售后服务</w:t>
      </w:r>
      <w:r/>
    </w:p>
    <w:p>
      <w:pPr>
        <w:ind w:firstLine="480"/>
        <w:jc w:val="center"/>
        <w:keepLines w:val="0"/>
        <w:keepNext w:val="0"/>
        <w:pageBreakBefore w:val="0"/>
        <w:spacing w:line="360" w:lineRule="auto"/>
        <w:widowControl w:val="off"/>
        <w:rPr>
          <w:rFonts w:hint="eastAsia" w:ascii="宋体" w:hAnsi="宋体" w:eastAsia="宋体" w:cs="宋体"/>
          <w:i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提供有关售后服务的管理制度、售后服务机构的分布情况、售后服务人员的数量、素质、技术水平及售后服务的反应能力。自验收合格之日起，所有产品及配件提供不少于 3 年免费质保，质保期内全免费上门。质保期满后，供应商须提供最优惠的维修价格（人工费、出厂价零配件费、其他材料费等）进行相关服务，在设备寿命期内，供应商应能保证采购人更换到原厂正宗的零部件，保证维修配件的供应和及时维修，维修价格保持不变</w:t>
      </w:r>
      <w:r/>
    </w:p>
    <w:p>
      <w:pPr>
        <w:ind w:firstLine="0"/>
        <w:jc w:val="left"/>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iCs/>
          <w:color w:val="auto"/>
          <w:szCs w:val="21"/>
          <w:highlight w:val="none"/>
        </w:rPr>
        <w:t xml:space="preserve">（政策调整因素除外）。</w:t>
      </w:r>
      <w:r/>
    </w:p>
    <w:p>
      <w:pPr>
        <w:keepLines w:val="0"/>
        <w:keepNext w:val="0"/>
        <w:pageBreakBefore w:val="0"/>
        <w:spacing w:line="360" w:lineRule="auto"/>
        <w:widowControl w:val="off"/>
        <w:rPr>
          <w:rFonts w:hint="default"/>
          <w:color w:val="auto"/>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default"/>
          <w:color w:val="auto"/>
          <w:highlight w:val="none"/>
          <w:lang w:val="en-US" w:eastAsia="zh-CN"/>
        </w:rPr>
      </w:r>
      <w:r/>
    </w:p>
    <w:p>
      <w:pPr>
        <w:pStyle w:val="710"/>
        <w:jc w:val="center"/>
        <w:keepLines/>
        <w:keepNext/>
        <w:pageBreakBefore w:val="0"/>
        <w:spacing w:before="0" w:after="0" w:line="360" w:lineRule="auto"/>
        <w:widowControl w:val="off"/>
        <w:rPr>
          <w:color w:val="auto"/>
          <w:highlight w:val="none"/>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4"/>
      <w:r/>
      <w:bookmarkEnd w:id="55"/>
      <w:r/>
      <w:r/>
    </w:p>
    <w:p>
      <w:pPr>
        <w:pStyle w:val="902"/>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02"/>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b/>
          <w:color w:val="auto"/>
          <w:szCs w:val="21"/>
          <w:highlight w:val="none"/>
        </w:rPr>
      </w:pPr>
      <w:r/>
      <w:bookmarkStart w:id="57" w:name="_Toc449017024"/>
      <w:r/>
      <w:bookmarkStart w:id="58" w:name="_Toc449016388"/>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7"/>
      <w:r/>
      <w:bookmarkEnd w:id="58"/>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（1）本项目对小型和微型企业产品给予20%（工程5%）的扣除价格，用扣除后的价格参与评审。</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20%（工程5%）</w:t>
      </w:r>
      <w:r>
        <w:rPr>
          <w:rFonts w:hint="eastAsia" w:ascii="宋体" w:hAnsi="宋体" w:eastAsia="宋体" w:cs="Times New Roman"/>
          <w:color w:val="auto"/>
          <w:sz w:val="21"/>
          <w:szCs w:val="21"/>
          <w:highlight w:val="none"/>
        </w:rPr>
        <w:t xml:space="preserve">的价格扣除，用扣除后的价格参与评审。</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02"/>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ind w:firstLine="422"/>
        <w:jc w:val="left"/>
        <w:keepLines w:val="0"/>
        <w:keepNext w:val="0"/>
        <w:pageBreakBefore w:val="0"/>
        <w:spacing w:line="360" w:lineRule="auto"/>
        <w:widowControl w:val="off"/>
        <w:rPr>
          <w:rFonts w:hint="default" w:asciiTheme="minorEastAsia" w:hAnsiTheme="minorEastAsia" w:cstheme="minorEastAsia"/>
          <w:b/>
          <w:bCs/>
          <w:color w:val="auto"/>
          <w:sz w:val="21"/>
          <w:szCs w:val="21"/>
          <w:highlight w:val="none"/>
        </w:rPr>
      </w:pPr>
      <w:r>
        <w:rPr>
          <w:rFonts w:hint="default" w:asciiTheme="minorEastAsia" w:hAnsiTheme="minorEastAsia" w:cstheme="minorEastAsia"/>
          <w:b/>
          <w:bCs/>
          <w:color w:val="auto"/>
          <w:sz w:val="21"/>
          <w:szCs w:val="21"/>
          <w:highlight w:val="none"/>
          <w:lang w:val="en-US" w:eastAsia="zh-CN"/>
        </w:rPr>
        <w:t xml:space="preserve">三、</w:t>
      </w:r>
      <w:r>
        <w:rPr>
          <w:rFonts w:hint="default" w:asciiTheme="minorEastAsia" w:hAnsiTheme="minorEastAsia" w:cstheme="minorEastAsia"/>
          <w:b/>
          <w:bCs/>
          <w:color w:val="auto"/>
          <w:sz w:val="21"/>
          <w:szCs w:val="21"/>
          <w:highlight w:val="none"/>
        </w:rPr>
        <w:t xml:space="preserve">采购本国产品的支持政策</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3 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default" w:asciiTheme="minorEastAsia" w:hAnsiTheme="minorEastAsia" w:cstheme="minorEastAsia"/>
          <w:color w:val="auto"/>
          <w:sz w:val="21"/>
          <w:szCs w:val="21"/>
          <w:highlight w:val="none"/>
        </w:rPr>
      </w:pPr>
      <w:r>
        <w:rPr>
          <w:rFonts w:hint="default" w:asciiTheme="minorEastAsia" w:hAnsiTheme="minorEastAsia" w:cstheme="minorEastAsia"/>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24"/>
        <w:ind w:firstLine="420"/>
        <w:keepLines w:val="0"/>
        <w:keepNext w:val="0"/>
        <w:pageBreakBefore w:val="0"/>
        <w:spacing w:line="360" w:lineRule="auto"/>
        <w:widowControl w:val="off"/>
        <w:rPr>
          <w:rFonts w:hint="default" w:asciiTheme="minorEastAsia" w:hAnsiTheme="minorEastAsia" w:cstheme="minorEastAsia"/>
          <w:color w:val="auto"/>
          <w:sz w:val="21"/>
          <w:szCs w:val="21"/>
          <w:highlight w:val="none"/>
          <w:lang w:val="en-US" w:eastAsia="zh-CN"/>
        </w:rPr>
      </w:pPr>
      <w:r>
        <w:rPr>
          <w:rFonts w:hint="default" w:asciiTheme="minorEastAsia" w:hAnsiTheme="minorEastAsia" w:cstheme="minorEastAsia"/>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22"/>
        <w:jc w:val="both"/>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四</w:t>
      </w:r>
      <w:r>
        <w:rPr>
          <w:rFonts w:hint="eastAsia" w:ascii="宋体" w:hAnsi="宋体" w:eastAsia="宋体" w:cs="宋体"/>
          <w:b/>
          <w:bCs/>
          <w:color w:val="auto"/>
          <w:sz w:val="21"/>
          <w:szCs w:val="21"/>
          <w:highlight w:val="none"/>
          <w:lang w:val="en-US" w:eastAsia="zh-CN" w:bidi="ar-SA"/>
        </w:rPr>
        <w:t xml:space="preserve">、评标标准</w:t>
      </w:r>
      <w:r/>
    </w:p>
    <w:p>
      <w:pPr>
        <w:rPr>
          <w:color w:val="auto"/>
          <w:highlight w:val="none"/>
        </w:rPr>
      </w:pPr>
      <w:r>
        <w:rPr>
          <w:color w:val="auto"/>
          <w:highlight w:val="none"/>
        </w:rPr>
        <w:br w:type="page" w:clear="all"/>
      </w:r>
      <w:r/>
    </w:p>
    <w:p>
      <w:pPr>
        <w:rPr>
          <w:color w:val="auto"/>
          <w:highlight w:val="none"/>
        </w:rPr>
      </w:pPr>
      <w:r>
        <w:rPr>
          <w:color w:val="auto"/>
          <w:highlight w:val="none"/>
        </w:rPr>
      </w:r>
      <w:r/>
    </w:p>
    <w:tbl>
      <w:tblPr>
        <w:tblStyle w:val="720"/>
        <w:tblW w:w="60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25"/>
        <w:gridCol w:w="8914"/>
      </w:tblGrid>
      <w:tr>
        <w:trPr>
          <w:jc w:val="center"/>
          <w:trHeight w:val="302"/>
        </w:trPr>
        <w:tc>
          <w:tcPr>
            <w:shd w:val="clear" w:color="auto" w:fill="auto"/>
            <w:tcW w:w="689"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olor w:val="auto"/>
                <w:szCs w:val="21"/>
                <w:highlight w:val="none"/>
              </w:rPr>
              <w:t xml:space="preserve">评审内容</w:t>
            </w:r>
            <w:r/>
          </w:p>
        </w:tc>
        <w:tc>
          <w:tcPr>
            <w:shd w:val="clear" w:color="auto" w:fill="auto"/>
            <w:tcW w:w="4310" w:type="pct"/>
            <w:vAlign w:val="center"/>
            <w:textDirection w:val="lrTb"/>
            <w:noWrap w:val="false"/>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评审标准</w:t>
            </w:r>
            <w:r/>
          </w:p>
        </w:tc>
      </w:tr>
      <w:tr>
        <w:trPr>
          <w:jc w:val="center"/>
          <w:trHeight w:val="543"/>
        </w:trPr>
        <w:tc>
          <w:tcPr>
            <w:shd w:val="clear" w:color="auto" w:fill="auto"/>
            <w:tcW w:w="68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价格分</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（30分）</w:t>
            </w:r>
            <w:r/>
          </w:p>
        </w:tc>
        <w:tc>
          <w:tcPr>
            <w:shd w:val="clear" w:color="auto" w:fill="auto"/>
            <w:tcW w:w="4310"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按满足招标文件要求且有效投标价格最低的投标报价作为评审基准价，其价格分为满分；其他投标人的价格分按以下公式计算：投标报价得分＝（评审基准价/投标报价）×30分，保留二位小数，第三位四舍五入。</w:t>
            </w:r>
            <w:r/>
          </w:p>
        </w:tc>
      </w:tr>
      <w:tr>
        <w:trPr>
          <w:jc w:val="center"/>
          <w:trHeight w:val="360"/>
        </w:trPr>
        <w:tc>
          <w:tcPr>
            <w:shd w:val="clear" w:color="auto" w:fill="auto"/>
            <w:tcW w:w="68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技术参数</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28</w:t>
            </w:r>
            <w:r>
              <w:rPr>
                <w:rFonts w:hint="eastAsia" w:ascii="宋体" w:hAnsi="宋体" w:cs="宋体"/>
                <w:color w:val="auto"/>
                <w:sz w:val="21"/>
                <w:szCs w:val="21"/>
                <w:highlight w:val="none"/>
              </w:rPr>
              <w:t xml:space="preserve">分）</w:t>
            </w:r>
            <w:r/>
          </w:p>
        </w:tc>
        <w:tc>
          <w:tcPr>
            <w:shd w:val="clear" w:color="auto" w:fill="auto"/>
            <w:tcW w:w="4310" w:type="pct"/>
            <w:vAlign w:val="center"/>
            <w:textDirection w:val="lrTb"/>
            <w:noWrap w:val="false"/>
          </w:tcPr>
          <w:p>
            <w:pPr>
              <w:jc w:val="left"/>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设备技术</w:t>
            </w:r>
            <w:r>
              <w:rPr>
                <w:rFonts w:hint="eastAsia" w:ascii="宋体" w:hAnsi="宋体" w:cs="宋体"/>
                <w:color w:val="auto"/>
                <w:sz w:val="21"/>
                <w:szCs w:val="21"/>
                <w:highlight w:val="none"/>
                <w:shd w:val="clear" w:color="auto"/>
              </w:rPr>
              <w:t xml:space="preserve">参数全部满足</w:t>
            </w:r>
            <w:r>
              <w:rPr>
                <w:rFonts w:hint="eastAsia" w:ascii="宋体" w:hAnsi="宋体" w:cs="宋体"/>
                <w:color w:val="auto"/>
                <w:sz w:val="21"/>
                <w:szCs w:val="21"/>
                <w:highlight w:val="none"/>
              </w:rPr>
              <w:t xml:space="preserve">招标要求的得满分</w:t>
            </w:r>
            <w:r>
              <w:rPr>
                <w:rFonts w:hint="eastAsia" w:ascii="宋体" w:hAnsi="宋体" w:cs="宋体"/>
                <w:color w:val="auto"/>
                <w:sz w:val="21"/>
                <w:szCs w:val="21"/>
                <w:highlight w:val="none"/>
                <w:lang w:val="en-US" w:eastAsia="zh-CN"/>
              </w:rPr>
              <w:t xml:space="preserve">28</w:t>
            </w:r>
            <w:r>
              <w:rPr>
                <w:rFonts w:hint="eastAsia" w:ascii="宋体" w:hAnsi="宋体" w:cs="宋体"/>
                <w:color w:val="auto"/>
                <w:sz w:val="21"/>
                <w:szCs w:val="21"/>
                <w:highlight w:val="none"/>
              </w:rPr>
              <w:t xml:space="preserve">分；指标有一项负偏离扣0.2分，扣完为止</w:t>
            </w:r>
            <w:r>
              <w:rPr>
                <w:rFonts w:hint="eastAsia" w:ascii="宋体" w:hAnsi="宋体" w:cs="宋体"/>
                <w:color w:val="auto"/>
                <w:sz w:val="21"/>
                <w:szCs w:val="21"/>
                <w:highlight w:val="none"/>
                <w:lang w:eastAsia="zh-CN"/>
              </w:rPr>
              <w:t xml:space="preserve">。</w:t>
            </w:r>
            <w:r/>
          </w:p>
          <w:p>
            <w:pPr>
              <w:jc w:val="lef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注：投标人需在“技术参数响应及偏离表”中如实详细填列所投产品的参数，如有偏离须在偏离表中注明，未填写的，视为完全响应。</w:t>
            </w:r>
            <w:r/>
          </w:p>
        </w:tc>
      </w:tr>
      <w:tr>
        <w:trPr>
          <w:jc w:val="center"/>
          <w:trHeight w:val="90"/>
        </w:trPr>
        <w:tc>
          <w:tcPr>
            <w:shd w:val="clear" w:color="auto" w:fill="auto"/>
            <w:tcW w:w="68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shd w:val="clear" w:color="auto" w:fill="auto"/>
            <w:tcW w:w="4310"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业绩：投标人提供自202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年1月1日（以合同签订时间为准）以来承担的类似项目的业绩，每提供一份合同资料得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分。(提供采购合同</w:t>
            </w:r>
            <w:r>
              <w:rPr>
                <w:rFonts w:hint="eastAsia" w:ascii="宋体" w:hAnsi="宋体" w:cs="宋体"/>
                <w:color w:val="auto"/>
                <w:sz w:val="21"/>
                <w:szCs w:val="21"/>
                <w:highlight w:val="none"/>
                <w:lang w:val="en-US" w:eastAsia="zh-CN"/>
              </w:rPr>
              <w:t xml:space="preserve">原件扫描件</w:t>
            </w:r>
            <w:r>
              <w:rPr>
                <w:rFonts w:hint="eastAsia" w:ascii="宋体" w:hAnsi="宋体" w:cs="宋体"/>
                <w:color w:val="auto"/>
                <w:sz w:val="21"/>
                <w:szCs w:val="21"/>
                <w:highlight w:val="none"/>
              </w:rPr>
              <w:t xml:space="preserve">）</w:t>
            </w:r>
            <w:r/>
          </w:p>
        </w:tc>
      </w:tr>
      <w:tr>
        <w:trPr>
          <w:jc w:val="center"/>
          <w:trHeight w:val="849"/>
        </w:trPr>
        <w:tc>
          <w:tcPr>
            <w:shd w:val="clear" w:color="auto" w:fill="auto"/>
            <w:tcW w:w="1425" w:type="dxa"/>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项目整体规划与专项设计方案</w:t>
            </w:r>
            <w:r/>
          </w:p>
          <w:p>
            <w:pPr>
              <w:jc w:val="center"/>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shd w:val="clear" w:color="auto" w:fill="auto"/>
            <w:tcW w:w="8914" w:type="dxa"/>
            <w:vAlign w:val="center"/>
            <w:textDirection w:val="lrTb"/>
            <w:noWrap w:val="false"/>
          </w:tcPr>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bidi="ar"/>
              </w:rPr>
              <w:t xml:space="preserve">、投标人根据项目现场实际情况与“项目采购需求”进行整体规划设计，根据投标人对招标范围内的空间所提供的平面布置图及布置说明方案与现场条件的匹配性、实用性、科学性，进行综合评分</w:t>
            </w:r>
            <w:r>
              <w:rPr>
                <w:rFonts w:hint="eastAsia" w:ascii="宋体" w:hAnsi="宋体" w:cs="宋体"/>
                <w:color w:val="auto"/>
                <w:sz w:val="21"/>
                <w:szCs w:val="21"/>
                <w:highlight w:val="none"/>
              </w:rPr>
              <w:t xml:space="preserve">（平面布置图及布置说明方案每个空间不少于1张）</w:t>
            </w:r>
            <w:r>
              <w:rPr>
                <w:rFonts w:hint="eastAsia" w:ascii="宋体" w:hAnsi="宋体" w:cs="宋体"/>
                <w:color w:val="auto"/>
                <w:sz w:val="21"/>
                <w:szCs w:val="21"/>
                <w:highlight w:val="none"/>
                <w:lang w:bidi="ar"/>
              </w:rPr>
              <w:t xml:space="preserve">；图纸和说明方案规范，完整，准确性强，结构合理的得</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分；图纸和说明方案较规范，相对完整，准确性较强，结构较合理的得</w:t>
            </w:r>
            <w:r>
              <w:rPr>
                <w:rFonts w:hint="eastAsia" w:ascii="宋体" w:hAnsi="宋体" w:cs="宋体"/>
                <w:color w:val="auto"/>
                <w:sz w:val="21"/>
                <w:szCs w:val="21"/>
                <w:highlight w:val="none"/>
                <w:lang w:val="en-US" w:eastAsia="zh-CN" w:bidi="ar"/>
              </w:rPr>
              <w:t xml:space="preserve">2</w:t>
            </w:r>
            <w:r>
              <w:rPr>
                <w:rFonts w:hint="eastAsia" w:ascii="宋体" w:hAnsi="宋体" w:cs="宋体"/>
                <w:color w:val="auto"/>
                <w:sz w:val="21"/>
                <w:szCs w:val="21"/>
                <w:highlight w:val="none"/>
                <w:lang w:bidi="ar"/>
              </w:rPr>
              <w:t xml:space="preserve">分。图纸和说明方案基本规范，基本完整，准确性较弱，结构基本合理的得1分。不提供不得分。</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2、投标人根据项目情况提供深化专项设计图纸（提供本项目强弱电等的点位图纸与效果图），充分考虑项目实施过程中的重点难点并提供解决方案；根据投标人的响应情况，进行综合评分</w:t>
            </w:r>
            <w:r>
              <w:rPr>
                <w:rFonts w:hint="eastAsia" w:ascii="宋体" w:hAnsi="宋体" w:cs="宋体"/>
                <w:color w:val="auto"/>
                <w:sz w:val="21"/>
                <w:szCs w:val="21"/>
                <w:highlight w:val="none"/>
              </w:rPr>
              <w:t xml:space="preserve">（每个空间不同角度效果图不少于2张，每个空间强弱电不少于1张）</w:t>
            </w:r>
            <w:r>
              <w:rPr>
                <w:rFonts w:hint="eastAsia" w:ascii="宋体" w:hAnsi="宋体" w:cs="宋体"/>
                <w:color w:val="auto"/>
                <w:sz w:val="21"/>
                <w:szCs w:val="21"/>
                <w:highlight w:val="none"/>
                <w:lang w:bidi="ar"/>
              </w:rPr>
              <w:t xml:space="preserve">，图纸规范，完整，准确性强，结构合理的得</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分；图纸较规范，相对完整，准确性较强，结构较合理的得</w:t>
            </w:r>
            <w:r>
              <w:rPr>
                <w:rFonts w:hint="eastAsia" w:ascii="宋体" w:hAnsi="宋体" w:cs="宋体"/>
                <w:color w:val="auto"/>
                <w:sz w:val="21"/>
                <w:szCs w:val="21"/>
                <w:highlight w:val="none"/>
                <w:lang w:val="en-US" w:eastAsia="zh-CN" w:bidi="ar"/>
              </w:rPr>
              <w:t xml:space="preserve">2</w:t>
            </w:r>
            <w:r>
              <w:rPr>
                <w:rFonts w:hint="eastAsia" w:ascii="宋体" w:hAnsi="宋体" w:cs="宋体"/>
                <w:color w:val="auto"/>
                <w:sz w:val="21"/>
                <w:szCs w:val="21"/>
                <w:highlight w:val="none"/>
                <w:lang w:bidi="ar"/>
              </w:rPr>
              <w:t xml:space="preserve">分。图纸基本规范，基本完整，准确性较弱，结构基本合理的得1分。不提供不得分。</w:t>
            </w:r>
            <w:r/>
          </w:p>
        </w:tc>
      </w:tr>
      <w:tr>
        <w:trPr>
          <w:jc w:val="center"/>
          <w:trHeight w:val="849"/>
        </w:trPr>
        <w:tc>
          <w:tcPr>
            <w:shd w:val="clear" w:color="auto" w:fill="auto"/>
            <w:tcW w:w="689" w:type="pct"/>
            <w:vAlign w:val="center"/>
            <w:textDirection w:val="lrTb"/>
            <w:noWrap w:val="false"/>
          </w:tcPr>
          <w:p>
            <w:pPr>
              <w:ind w:left="0" w:firstLine="0"/>
              <w:jc w:val="center"/>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项目应急方案、验收方案（</w:t>
            </w:r>
            <w:r>
              <w:rPr>
                <w:rFonts w:hint="eastAsia" w:ascii="宋体" w:hAnsi="宋体" w:cs="宋体"/>
                <w:color w:val="auto"/>
                <w:sz w:val="21"/>
                <w:szCs w:val="21"/>
                <w:highlight w:val="none"/>
                <w:lang w:val="en-US" w:eastAsia="zh-CN" w:bidi="ar"/>
              </w:rPr>
              <w:t xml:space="preserve">12</w:t>
            </w:r>
            <w:r>
              <w:rPr>
                <w:rFonts w:hint="eastAsia" w:ascii="宋体" w:hAnsi="宋体" w:cs="宋体"/>
                <w:color w:val="auto"/>
                <w:sz w:val="21"/>
                <w:szCs w:val="21"/>
                <w:highlight w:val="none"/>
                <w:lang w:bidi="ar"/>
              </w:rPr>
              <w:t xml:space="preserve">分）</w:t>
            </w:r>
            <w:r/>
          </w:p>
        </w:tc>
        <w:tc>
          <w:tcPr>
            <w:shd w:val="clear" w:color="auto" w:fill="auto"/>
            <w:tcW w:w="4310" w:type="pct"/>
            <w:vAlign w:val="center"/>
            <w:textDirection w:val="lrTb"/>
            <w:noWrap w:val="false"/>
          </w:tcPr>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针对本项目制定的质量问题应急处理方案：</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应急方案考虑周全，处理方式合理得当得</w:t>
            </w:r>
            <w:r>
              <w:rPr>
                <w:rFonts w:hint="eastAsia" w:ascii="宋体" w:hAnsi="宋体" w:cs="宋体"/>
                <w:color w:val="auto"/>
                <w:sz w:val="21"/>
                <w:szCs w:val="21"/>
                <w:highlight w:val="none"/>
                <w:lang w:val="en-US" w:eastAsia="zh-CN" w:bidi="ar"/>
              </w:rPr>
              <w:t xml:space="preserve">6</w:t>
            </w:r>
            <w:r>
              <w:rPr>
                <w:rFonts w:hint="eastAsia" w:ascii="宋体" w:hAnsi="宋体" w:cs="宋体"/>
                <w:color w:val="auto"/>
                <w:sz w:val="21"/>
                <w:szCs w:val="21"/>
                <w:highlight w:val="none"/>
                <w:lang w:bidi="ar"/>
              </w:rPr>
              <w:t xml:space="preserve">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应急方案有一定欠缺，处理方式基本合理得</w:t>
            </w: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bidi="ar"/>
              </w:rPr>
              <w:t xml:space="preserve">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应急方案不可行或者处理方式不得当的得</w:t>
            </w:r>
            <w:r>
              <w:rPr>
                <w:rFonts w:hint="eastAsia" w:ascii="宋体" w:hAnsi="宋体" w:cs="宋体"/>
                <w:color w:val="auto"/>
                <w:sz w:val="21"/>
                <w:szCs w:val="21"/>
                <w:highlight w:val="none"/>
                <w:lang w:val="en-US" w:eastAsia="zh-CN" w:bidi="ar"/>
              </w:rPr>
              <w:t xml:space="preserve">2</w:t>
            </w:r>
            <w:r>
              <w:rPr>
                <w:rFonts w:hint="eastAsia" w:ascii="宋体" w:hAnsi="宋体" w:cs="宋体"/>
                <w:color w:val="auto"/>
                <w:sz w:val="21"/>
                <w:szCs w:val="21"/>
                <w:highlight w:val="none"/>
                <w:lang w:bidi="ar"/>
              </w:rPr>
              <w:t xml:space="preserve">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未提供应急处理方案的不得分。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针对本项目制定的验收方案：</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验收方案完整，标准合理，程序可行的得</w:t>
            </w:r>
            <w:r>
              <w:rPr>
                <w:rFonts w:hint="eastAsia" w:ascii="宋体" w:hAnsi="宋体" w:cs="宋体"/>
                <w:color w:val="auto"/>
                <w:sz w:val="21"/>
                <w:szCs w:val="21"/>
                <w:highlight w:val="none"/>
                <w:lang w:val="en-US" w:eastAsia="zh-CN" w:bidi="ar"/>
              </w:rPr>
              <w:t xml:space="preserve">6</w:t>
            </w:r>
            <w:r>
              <w:rPr>
                <w:rFonts w:hint="eastAsia" w:ascii="宋体" w:hAnsi="宋体" w:cs="宋体"/>
                <w:color w:val="auto"/>
                <w:sz w:val="21"/>
                <w:szCs w:val="21"/>
                <w:highlight w:val="none"/>
                <w:lang w:bidi="ar"/>
              </w:rPr>
              <w:t xml:space="preserve">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验收方案较完整、标准较合理，程序较可行的得</w:t>
            </w: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bidi="ar"/>
              </w:rPr>
              <w:t xml:space="preserve">分；</w:t>
            </w:r>
            <w:r/>
          </w:p>
          <w:p>
            <w:pPr>
              <w:ind w:left="0"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验收方案不全或者标准不明确、程序不清晰的得</w:t>
            </w:r>
            <w:r>
              <w:rPr>
                <w:rFonts w:hint="eastAsia" w:ascii="宋体" w:hAnsi="宋体" w:cs="宋体"/>
                <w:color w:val="auto"/>
                <w:sz w:val="21"/>
                <w:szCs w:val="21"/>
                <w:highlight w:val="none"/>
                <w:lang w:val="en-US" w:eastAsia="zh-CN" w:bidi="ar"/>
              </w:rPr>
              <w:t xml:space="preserve">2</w:t>
            </w:r>
            <w:r>
              <w:rPr>
                <w:rFonts w:hint="eastAsia" w:ascii="宋体" w:hAnsi="宋体" w:cs="宋体"/>
                <w:color w:val="auto"/>
                <w:sz w:val="21"/>
                <w:szCs w:val="21"/>
                <w:highlight w:val="none"/>
                <w:lang w:bidi="ar"/>
              </w:rPr>
              <w:t xml:space="preserve">分； </w:t>
            </w:r>
            <w:r/>
          </w:p>
          <w:p>
            <w:pPr>
              <w:ind w:left="0" w:firstLine="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未提供验收方案的不得分。</w:t>
            </w:r>
            <w:r/>
          </w:p>
        </w:tc>
      </w:tr>
      <w:tr>
        <w:trPr>
          <w:jc w:val="center"/>
          <w:trHeight w:val="1881"/>
        </w:trPr>
        <w:tc>
          <w:tcPr>
            <w:shd w:val="clear" w:color="auto" w:fill="auto"/>
            <w:tcW w:w="68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项目设备安装调试的实施方案</w:t>
            </w:r>
            <w:r/>
          </w:p>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 </w:t>
            </w:r>
            <w:r/>
          </w:p>
        </w:tc>
        <w:tc>
          <w:tcPr>
            <w:shd w:val="clear" w:color="auto" w:fill="auto"/>
            <w:tcW w:w="4310" w:type="pct"/>
            <w:vAlign w:val="center"/>
            <w:textDirection w:val="lrTb"/>
            <w:noWrap w:val="false"/>
          </w:tcPr>
          <w:p>
            <w:pPr>
              <w:ind w:left="0" w:firstLine="0"/>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根据投标人提供的设备安装调试的实施方案内容是否全面、详细、人员、材料、机械设备计划等方面综合评定，实施方案全面详细，各方面措施完备可操作性强，人员、材料、机械设备计划可行性强得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分，实施方案较全面详细，各方面措施较完备可操作性较强，人员、材料、机械设备计划较可行性较强得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分，实施方案基本全面，各方面措施基本完备可操作性较弱，人员、材料、机械设备计划基本可行得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分。不提供不得分。</w:t>
            </w:r>
            <w:r/>
          </w:p>
        </w:tc>
      </w:tr>
      <w:tr>
        <w:trPr>
          <w:jc w:val="center"/>
          <w:trHeight w:val="708"/>
        </w:trPr>
        <w:tc>
          <w:tcPr>
            <w:shd w:val="clear" w:color="auto" w:fill="auto"/>
            <w:tcW w:w="68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质量保证体系及安装安全保障方案（</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shd w:val="clear" w:color="auto" w:fill="auto"/>
            <w:tcW w:w="4310" w:type="pct"/>
            <w:vAlign w:val="center"/>
            <w:textDirection w:val="lrTb"/>
            <w:noWrap w:val="false"/>
          </w:tcPr>
          <w:p>
            <w:pPr>
              <w:jc w:val="lef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依据质量保证体系及安装安全保障，措施方案可靠且针对性强等进行评价，措施方案可靠且针对性强的得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分，措施方案合理且针对性一般的得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分，措施方案一般且针对性弱得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tc>
      </w:tr>
      <w:tr>
        <w:trPr>
          <w:jc w:val="center"/>
          <w:trHeight w:val="1229"/>
        </w:trPr>
        <w:tc>
          <w:tcPr>
            <w:shd w:val="clear" w:color="auto" w:fill="auto"/>
            <w:tcW w:w="68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售后服务方案情况（</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tc>
        <w:tc>
          <w:tcPr>
            <w:shd w:val="clear" w:color="auto" w:fill="auto"/>
            <w:tcW w:w="4310" w:type="pct"/>
            <w:vAlign w:val="center"/>
            <w:textDirection w:val="lrTb"/>
            <w:noWrap w:val="false"/>
          </w:tcPr>
          <w:p>
            <w:pPr>
              <w:widowControl/>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评委根据供应商提供的售后服务方案（如培训体系及培训方案、服务体系、服务内容、故障解决方案、专业技术人员保障及服务电话）进行评分，售后服务方案完整，针对性强，可操作性强的得6分；售后服务方案较完整，针对性较强，可操作性较强的得4分；售后服务方案基本完整，针对性较弱，可操作性较弱的得2分。不提供不得分。</w:t>
            </w:r>
            <w:r/>
          </w:p>
        </w:tc>
      </w:tr>
    </w:tbl>
    <w:p>
      <w:pPr>
        <w:rPr>
          <w:color w:val="auto"/>
          <w:highlight w:val="none"/>
        </w:rPr>
      </w:pPr>
      <w:r>
        <w:rPr>
          <w:color w:val="auto"/>
          <w:highlight w:val="none"/>
        </w:rPr>
      </w:r>
      <w:r/>
    </w:p>
    <w:p>
      <w:pPr>
        <w:spacing w:line="400" w:lineRule="exact"/>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：1、评委应对以上各得分项独立评分，投标人最终得分为所有评委评分汇总的平均值。</w:t>
      </w:r>
      <w:r/>
    </w:p>
    <w:p>
      <w:pPr>
        <w:numPr>
          <w:ilvl w:val="0"/>
          <w:numId w:val="0"/>
        </w:numPr>
        <w:ind w:left="422" w:hanging="422"/>
        <w:jc w:val="left"/>
        <w:spacing w:line="400" w:lineRule="exact"/>
        <w:rPr>
          <w:rFonts w:hint="eastAsia" w:ascii="宋体" w:hAnsi="宋体" w:cs="宋体"/>
          <w:color w:val="auto"/>
          <w:highlight w:val="none"/>
        </w:rPr>
      </w:pPr>
      <w:r>
        <w:rPr>
          <w:rFonts w:hint="eastAsia" w:ascii="宋体" w:hAnsi="宋体" w:cs="宋体"/>
          <w:color w:val="auto"/>
          <w:sz w:val="21"/>
          <w:szCs w:val="22"/>
          <w:highlight w:val="none"/>
          <w:lang w:val="en-US" w:eastAsia="zh-CN" w:bidi="ar-SA"/>
        </w:rPr>
        <w:t xml:space="preserve">2</w:t>
      </w:r>
      <w:r>
        <w:rPr>
          <w:rFonts w:hint="eastAsia" w:ascii="宋体" w:hAnsi="宋体" w:eastAsia="宋体" w:cs="宋体"/>
          <w:color w:val="auto"/>
          <w:sz w:val="21"/>
          <w:szCs w:val="22"/>
          <w:highlight w:val="none"/>
          <w:lang w:val="en-US" w:eastAsia="zh-CN" w:bidi="ar-SA"/>
        </w:rPr>
        <w:t xml:space="preserve">、</w:t>
      </w:r>
      <w:r>
        <w:rPr>
          <w:rFonts w:hint="eastAsia" w:ascii="宋体" w:hAnsi="宋体" w:cs="宋体"/>
          <w:color w:val="auto"/>
          <w:highlight w:val="none"/>
        </w:rPr>
        <w:t xml:space="preserve">以上参与评分的相关证书、合同等其他证明材料，均须以原件扫描件形式上传，否则</w:t>
      </w:r>
      <w:r>
        <w:rPr>
          <w:rFonts w:hint="eastAsia" w:ascii="宋体" w:hAnsi="宋体" w:cs="宋体"/>
          <w:color w:val="auto"/>
          <w:highlight w:val="none"/>
          <w:lang w:val="en-US" w:eastAsia="zh-CN"/>
        </w:rPr>
        <w:t xml:space="preserve">不</w:t>
      </w:r>
      <w:r>
        <w:rPr>
          <w:rFonts w:hint="eastAsia" w:ascii="宋体" w:hAnsi="宋体" w:cs="宋体"/>
          <w:color w:val="auto"/>
          <w:highlight w:val="none"/>
        </w:rPr>
        <w:t xml:space="preserve">得分。</w:t>
      </w:r>
      <w:r/>
    </w:p>
    <w:p>
      <w:pPr>
        <w:numPr>
          <w:ilvl w:val="0"/>
          <w:numId w:val="2"/>
        </w:numPr>
        <w:ind w:left="0" w:firstLine="0"/>
        <w:jc w:val="left"/>
        <w:spacing w:line="400" w:lineRule="exact"/>
        <w:rPr>
          <w:rFonts w:hint="eastAsia"/>
          <w:color w:val="auto"/>
          <w:highlight w:val="none"/>
        </w:rPr>
      </w:pPr>
      <w:r>
        <w:rPr>
          <w:rFonts w:hint="eastAsia"/>
          <w:color w:val="auto"/>
          <w:highlight w:val="none"/>
        </w:rPr>
        <w:br w:type="page" w:clear="all"/>
      </w:r>
      <w:r/>
    </w:p>
    <w:p>
      <w:pPr>
        <w:keepLines w:val="0"/>
        <w:keepNext w:val="0"/>
        <w:pageBreakBefore w:val="0"/>
        <w:spacing w:line="360" w:lineRule="auto"/>
        <w:rPr>
          <w:rFonts w:hint="eastAsia"/>
          <w:color w:val="auto"/>
          <w:highlight w:val="none"/>
        </w:rPr>
      </w:pPr>
      <w:r>
        <w:rPr>
          <w:rFonts w:hint="eastAsia"/>
          <w:color w:val="auto"/>
          <w:highlight w:val="none"/>
        </w:rPr>
      </w:r>
      <w:r/>
    </w:p>
    <w:p>
      <w:pPr>
        <w:pStyle w:val="71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 </w:t>
      </w:r>
      <w:bookmarkStart w:id="59" w:name="_Toc9166"/>
      <w:r>
        <w:rPr>
          <w:rFonts w:hint="eastAsia" w:ascii="宋体" w:hAnsi="宋体" w:eastAsia="宋体" w:cs="Times New Roman"/>
          <w:b/>
          <w:bCs/>
          <w:color w:val="auto"/>
          <w:sz w:val="36"/>
          <w:szCs w:val="36"/>
          <w:highlight w:val="none"/>
          <w:lang w:val="en-US" w:eastAsia="zh-CN"/>
        </w:rPr>
        <w:t xml:space="preserve">第六章 投标文件格式</w:t>
      </w:r>
      <w:bookmarkEnd w:id="59"/>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736"/>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736"/>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pStyle w:val="736"/>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11"/>
        <w:numPr>
          <w:ilvl w:val="0"/>
          <w:numId w:val="3"/>
        </w:numPr>
        <w:spacing w:line="360" w:lineRule="auto"/>
        <w:rPr>
          <w:rFonts w:hint="eastAsia" w:asciiTheme="minorEastAsia" w:hAnsiTheme="minorEastAsia" w:eastAsiaTheme="minorEastAsia"/>
          <w:color w:val="auto"/>
          <w:sz w:val="32"/>
          <w:highlight w:val="none"/>
        </w:rPr>
      </w:pPr>
      <w:r>
        <w:rPr>
          <w:rFonts w:hint="eastAsia" w:ascii="宋体" w:hAnsi="宋体"/>
          <w:color w:val="auto"/>
          <w:sz w:val="32"/>
          <w:szCs w:val="32"/>
          <w:highlight w:val="none"/>
        </w:rPr>
        <w:br w:type="page" w:clear="all"/>
      </w:r>
      <w:bookmarkStart w:id="60" w:name="_Toc9167"/>
      <w:r/>
      <w:bookmarkStart w:id="61" w:name="_Toc7159"/>
      <w:r>
        <w:rPr>
          <w:rFonts w:hint="eastAsia" w:asciiTheme="minorEastAsia" w:hAnsiTheme="minorEastAsia" w:eastAsiaTheme="minorEastAsia"/>
          <w:color w:val="auto"/>
          <w:sz w:val="32"/>
          <w:highlight w:val="none"/>
        </w:rPr>
        <w:t xml:space="preserve">资格审查响应对照表</w:t>
      </w:r>
      <w:bookmarkEnd w:id="60"/>
      <w:r/>
      <w:bookmarkEnd w:id="61"/>
      <w:r/>
      <w:r/>
    </w:p>
    <w:tbl>
      <w:tblPr>
        <w:tblStyle w:val="7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i/>
                <w:iCs/>
                <w:color w:val="auto"/>
                <w:szCs w:val="21"/>
                <w:highlight w:val="none"/>
                <w:u w:val="single"/>
                <w:lang w:val="en-US"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w:t>
            </w:r>
            <w:r/>
          </w:p>
        </w:tc>
        <w:tc>
          <w:tcPr>
            <w:tcW w:w="5447" w:type="dxa"/>
            <w:vAlign w:val="center"/>
            <w:textDirection w:val="lrTb"/>
            <w:noWrap w:val="false"/>
          </w:tcPr>
          <w:p>
            <w:pPr>
              <w:jc w:val="left"/>
              <w:keepLines w:val="0"/>
              <w:keepNext w:val="0"/>
              <w:pageBreakBefore w:val="0"/>
              <w:spacing w:line="360" w:lineRule="auto"/>
              <w:widowControl w:val="off"/>
              <w:rPr>
                <w:rFonts w:hint="eastAsia" w:ascii="宋体" w:hAnsi="宋体"/>
                <w:iCs/>
                <w:color w:val="auto"/>
                <w:sz w:val="21"/>
                <w:szCs w:val="21"/>
                <w:highlight w:val="none"/>
              </w:rPr>
            </w:pPr>
            <w:r>
              <w:rPr>
                <w:rFonts w:hint="eastAsia" w:ascii="宋体" w:hAnsi="宋体"/>
                <w:iCs/>
                <w:color w:val="auto"/>
                <w:sz w:val="21"/>
                <w:szCs w:val="21"/>
                <w:highlight w:val="none"/>
              </w:rPr>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447"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736"/>
        <w:rPr>
          <w:color w:val="auto"/>
          <w:highlight w:val="none"/>
        </w:rPr>
      </w:pPr>
      <w:r>
        <w:rPr>
          <w:color w:val="auto"/>
          <w:highlight w:val="none"/>
        </w:rPr>
      </w:r>
      <w:r/>
    </w:p>
    <w:p>
      <w:pPr>
        <w:rPr>
          <w:rFonts w:ascii="宋体" w:hAnsi="宋体"/>
          <w:b/>
          <w:color w:val="auto"/>
          <w:sz w:val="28"/>
          <w:szCs w:val="28"/>
          <w:highlight w:val="none"/>
        </w:rPr>
      </w:pPr>
      <w:r>
        <w:rPr>
          <w:rFonts w:ascii="宋体" w:hAnsi="宋体"/>
          <w:b/>
          <w:color w:val="auto"/>
          <w:sz w:val="28"/>
          <w:szCs w:val="28"/>
          <w:highlight w:val="none"/>
        </w:rPr>
      </w:r>
      <w:r/>
    </w:p>
    <w:p>
      <w:pPr>
        <w:jc w:val="center"/>
        <w:keepLines w:val="0"/>
        <w:keepNext w:val="0"/>
        <w:pageBreakBefore w:val="0"/>
        <w:spacing w:before="157" w:after="157" w:line="360" w:lineRule="auto"/>
        <w:widowControl w:val="off"/>
        <w:rPr>
          <w:rFonts w:ascii="宋体" w:hAnsi="宋体"/>
          <w:b/>
          <w:color w:val="auto"/>
          <w:sz w:val="28"/>
          <w:szCs w:val="28"/>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ascii="宋体" w:hAnsi="宋体"/>
          <w:b/>
          <w:color w:val="auto"/>
          <w:sz w:val="28"/>
          <w:szCs w:val="28"/>
          <w:highlight w:val="none"/>
        </w:rPr>
      </w:r>
      <w:r/>
    </w:p>
    <w:p>
      <w:pPr>
        <w:jc w:val="center"/>
        <w:keepLines w:val="0"/>
        <w:keepNext w:val="0"/>
        <w:pageBreakBefore w:val="0"/>
        <w:spacing w:before="157" w:after="157" w:line="360" w:lineRule="auto"/>
        <w:widowControl w:val="off"/>
        <w:rPr>
          <w:rFonts w:ascii="Times New Roman" w:hAnsi="Times New Roman"/>
          <w:color w:val="auto"/>
          <w:sz w:val="28"/>
          <w:szCs w:val="28"/>
          <w:highlight w:val="none"/>
        </w:rPr>
      </w:pPr>
      <w:r>
        <w:rPr>
          <w:rFonts w:ascii="宋体" w:hAnsi="宋体"/>
          <w:b/>
          <w:color w:val="auto"/>
          <w:sz w:val="28"/>
          <w:szCs w:val="28"/>
          <w:highlight w:val="none"/>
        </w:rPr>
        <w:t xml:space="preserve">基本资格条件承诺函</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902"/>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9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02"/>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02"/>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02"/>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02"/>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02"/>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02"/>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03"/>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03"/>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03"/>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903"/>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03"/>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903"/>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903"/>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903"/>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903"/>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Cs/>
          <w:color w:val="auto"/>
          <w:highlight w:val="none"/>
        </w:rPr>
        <w:t xml:space="preserve">被授权人身份证复印件</w:t>
      </w:r>
      <w:r/>
    </w:p>
    <w:p>
      <w:pPr>
        <w:pStyle w:val="711"/>
        <w:spacing w:line="360" w:lineRule="auto"/>
        <w:rPr>
          <w:rFonts w:asciiTheme="minorEastAsia" w:hAnsiTheme="minorEastAsia" w:eastAsiaTheme="minorEastAsia"/>
          <w:color w:val="auto"/>
          <w:sz w:val="32"/>
          <w:highlight w:val="none"/>
        </w:rPr>
      </w:pPr>
      <w:r/>
      <w:bookmarkStart w:id="62" w:name="_Toc13313"/>
      <w:r/>
      <w:bookmarkStart w:id="63" w:name="_Toc27055"/>
      <w:r>
        <w:rPr>
          <w:rFonts w:hint="eastAsia" w:asciiTheme="minorEastAsia" w:hAnsiTheme="minorEastAsia" w:eastAsiaTheme="minorEastAsia"/>
          <w:color w:val="auto"/>
          <w:sz w:val="32"/>
          <w:highlight w:val="none"/>
        </w:rPr>
        <w:t xml:space="preserve">二、符合性审查响应对照表</w:t>
      </w:r>
      <w:bookmarkEnd w:id="62"/>
      <w:r/>
      <w:bookmarkEnd w:id="63"/>
      <w:r/>
      <w:r/>
    </w:p>
    <w:tbl>
      <w:tblPr>
        <w:tblStyle w:val="720"/>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711"/>
        <w:spacing w:line="360" w:lineRule="auto"/>
        <w:rPr>
          <w:rFonts w:hint="eastAsia" w:asciiTheme="minorEastAsia" w:hAnsiTheme="minorEastAsia" w:eastAsiaTheme="minorEastAsia"/>
          <w:color w:val="auto"/>
          <w:sz w:val="32"/>
          <w:highlight w:val="none"/>
        </w:rPr>
        <w:sectPr>
          <w:footnotePr/>
          <w:endnotePr/>
          <w:type w:val="nextPage"/>
          <w:pgSz w:w="11906" w:h="16838" w:orient="portrait"/>
          <w:pgMar w:top="1440" w:right="1800" w:bottom="1440" w:left="1800" w:header="851" w:footer="850" w:gutter="0"/>
          <w:cols w:num="1" w:sep="0" w:space="720" w:equalWidth="1"/>
          <w:docGrid w:linePitch="360"/>
        </w:sectPr>
      </w:pPr>
      <w:r/>
      <w:bookmarkStart w:id="64" w:name="_Toc30257"/>
      <w:r/>
      <w:bookmarkStart w:id="65" w:name="_Toc17600"/>
      <w:r/>
      <w:r/>
    </w:p>
    <w:p>
      <w:pPr>
        <w:pStyle w:val="711"/>
        <w:spacing w:line="360" w:lineRule="auto"/>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三、非实质性响应对照表</w:t>
      </w:r>
      <w:bookmarkEnd w:id="64"/>
      <w:r/>
      <w:bookmarkEnd w:id="65"/>
      <w:r/>
      <w:r/>
    </w:p>
    <w:tbl>
      <w:tblPr>
        <w:tblStyle w:val="720"/>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5494"/>
        <w:gridCol w:w="1694"/>
        <w:gridCol w:w="1319"/>
      </w:tblGrid>
      <w:tr>
        <w:trPr>
          <w:jc w:val="center"/>
          <w:trHeight w:val="1654"/>
        </w:trPr>
        <w:tc>
          <w:tcPr>
            <w:tcW w:w="651"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94"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9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19"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797"/>
        </w:trPr>
        <w:tc>
          <w:tcPr>
            <w:tcW w:w="651"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5494"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《企业声明函》</w:t>
            </w:r>
            <w:r/>
          </w:p>
        </w:tc>
        <w:tc>
          <w:tcPr>
            <w:tcW w:w="1694"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19"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797"/>
        </w:trPr>
        <w:tc>
          <w:tcPr>
            <w:tcW w:w="6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94"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1071"/>
        </w:trPr>
        <w:tc>
          <w:tcPr>
            <w:tcW w:w="6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94"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19"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11"/>
        <w:jc w:val="center"/>
        <w:spacing w:before="300" w:after="300" w:line="360" w:lineRule="auto"/>
        <w:widowControl/>
        <w:rPr>
          <w:rFonts w:ascii="宋体" w:hAnsi="宋体"/>
          <w:color w:val="auto"/>
          <w:sz w:val="21"/>
          <w:szCs w:val="21"/>
          <w:highlight w:val="none"/>
        </w:rPr>
      </w:pPr>
      <w:r/>
      <w:bookmarkStart w:id="66" w:name="_Toc29667"/>
      <w:r/>
      <w:bookmarkStart w:id="67" w:name="_Toc14516"/>
      <w:r/>
      <w:bookmarkStart w:id="68" w:name="_Toc20920"/>
      <w:r>
        <w:rPr>
          <w:rFonts w:hint="eastAsia" w:ascii="宋体" w:hAnsi="宋体" w:cs="微软雅黑"/>
          <w:bCs w:val="0"/>
          <w:color w:val="auto"/>
          <w:sz w:val="21"/>
          <w:szCs w:val="21"/>
          <w:highlight w:val="none"/>
        </w:rPr>
        <w:t xml:space="preserve">中小微企业划型标准 </w:t>
      </w:r>
      <w:bookmarkEnd w:id="66"/>
      <w:r/>
      <w:bookmarkEnd w:id="67"/>
      <w:r/>
      <w:bookmarkEnd w:id="68"/>
      <w:r/>
      <w:r/>
    </w:p>
    <w:p>
      <w:pPr>
        <w:pStyle w:val="744"/>
        <w:ind w:firstLine="420"/>
        <w:keepLines w:val="0"/>
        <w:keepNext w:val="0"/>
        <w:pageBreakBefore w:val="0"/>
        <w:spacing w:before="300" w:after="212" w:line="360" w:lineRule="auto"/>
        <w:widowControl/>
        <w:rPr>
          <w:rStyle w:val="748"/>
          <w:rFonts w:hint="eastAsia" w:ascii="宋体" w:hAnsi="宋体" w:cs="仿宋"/>
          <w:color w:val="auto"/>
          <w:sz w:val="21"/>
          <w:szCs w:val="21"/>
          <w:highlight w:val="none"/>
        </w:rPr>
      </w:pPr>
      <w:r>
        <w:rPr>
          <w:rStyle w:val="748"/>
          <w:rFonts w:hint="eastAsia" w:ascii="宋体" w:hAnsi="宋体" w:cs="仿宋"/>
          <w:color w:val="auto"/>
          <w:sz w:val="21"/>
          <w:szCs w:val="21"/>
          <w:highlight w:val="none"/>
        </w:rPr>
        <w:t xml:space="preserve">中小微企业划型标准如下：</w:t>
      </w:r>
      <w:r/>
    </w:p>
    <w:tbl>
      <w:tblPr>
        <w:tblStyle w:val="720"/>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744"/>
        <w:ind w:firstLine="420"/>
        <w:spacing w:before="300" w:after="452" w:line="360" w:lineRule="auto"/>
        <w:widowControl/>
        <w:rPr>
          <w:rStyle w:val="748"/>
          <w:rFonts w:cs="仿宋"/>
          <w:b w:val="0"/>
          <w:color w:val="auto"/>
          <w:sz w:val="21"/>
          <w:szCs w:val="21"/>
          <w:highlight w:val="none"/>
        </w:rPr>
      </w:pPr>
      <w:r>
        <w:rPr>
          <w:rStyle w:val="74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48"/>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711"/>
        <w:spacing w:line="360" w:lineRule="auto"/>
        <w:rPr>
          <w:rFonts w:asciiTheme="minorEastAsia" w:hAnsiTheme="minorEastAsia" w:eastAsiaTheme="minorEastAsia"/>
          <w:color w:val="auto"/>
          <w:sz w:val="32"/>
          <w:highlight w:val="none"/>
        </w:rPr>
      </w:pPr>
      <w:r/>
      <w:bookmarkStart w:id="69" w:name="_Toc26139"/>
      <w:r/>
      <w:bookmarkStart w:id="70" w:name="_Toc27571"/>
      <w:r>
        <w:rPr>
          <w:rFonts w:hint="eastAsia" w:asciiTheme="minorEastAsia" w:hAnsiTheme="minorEastAsia" w:eastAsiaTheme="minorEastAsia"/>
          <w:color w:val="auto"/>
          <w:sz w:val="32"/>
          <w:highlight w:val="none"/>
        </w:rPr>
        <w:t xml:space="preserve">四、开标一览表</w:t>
      </w:r>
      <w:bookmarkEnd w:id="69"/>
      <w:r/>
      <w:bookmarkEnd w:id="70"/>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2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2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02"/>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02"/>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02"/>
              <w:ind w:firstLine="0"/>
              <w:spacing w:before="0" w:after="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21"/>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21"/>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11"/>
        <w:spacing w:line="360" w:lineRule="auto"/>
        <w:rPr>
          <w:rFonts w:asciiTheme="minorEastAsia" w:hAnsiTheme="minorEastAsia" w:eastAsiaTheme="minorEastAsia"/>
          <w:color w:val="auto"/>
          <w:sz w:val="32"/>
          <w:highlight w:val="none"/>
        </w:rPr>
      </w:pPr>
      <w:r/>
      <w:bookmarkStart w:id="71" w:name="_Toc25042"/>
      <w:r/>
      <w:bookmarkStart w:id="72" w:name="_Toc12991"/>
      <w:r>
        <w:rPr>
          <w:rFonts w:hint="eastAsia" w:asciiTheme="minorEastAsia" w:hAnsiTheme="minorEastAsia" w:eastAsiaTheme="minorEastAsia"/>
          <w:color w:val="auto"/>
          <w:sz w:val="32"/>
          <w:highlight w:val="none"/>
        </w:rPr>
        <w:t xml:space="preserve">五、投标产品配置及分项报价表</w:t>
      </w:r>
      <w:bookmarkEnd w:id="71"/>
      <w:r/>
      <w:bookmarkEnd w:id="72"/>
      <w:r/>
      <w:r/>
    </w:p>
    <w:tbl>
      <w:tblPr>
        <w:tblStyle w:val="720"/>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206"/>
        <w:gridCol w:w="776"/>
        <w:gridCol w:w="1168"/>
        <w:gridCol w:w="665"/>
        <w:gridCol w:w="1130"/>
        <w:gridCol w:w="1130"/>
        <w:gridCol w:w="1391"/>
        <w:gridCol w:w="1371"/>
      </w:tblGrid>
      <w:tr>
        <w:trPr>
          <w:cantSplit/>
          <w:jc w:val="center"/>
          <w:trHeight w:val="397"/>
        </w:trPr>
        <w:tc>
          <w:tcPr>
            <w:gridSpan w:val="9"/>
            <w:tcW w:w="10079"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项目名称：</w:t>
            </w:r>
            <w:r/>
          </w:p>
          <w:p>
            <w:pPr>
              <w:pStyle w:val="712"/>
              <w:rPr>
                <w:rFonts w:hint="default"/>
                <w:color w:val="auto"/>
                <w:highlight w:val="none"/>
                <w:lang w:val="en-US" w:eastAsia="zh-CN"/>
              </w:rPr>
            </w:pPr>
            <w:r>
              <w:rPr>
                <w:rFonts w:hint="eastAsia" w:ascii="微软雅黑" w:hAnsi="微软雅黑" w:eastAsia="微软雅黑" w:cs="微软雅黑"/>
                <w:b/>
                <w:bCs/>
                <w:i w:val="0"/>
                <w:iCs w:val="0"/>
                <w:color w:val="auto"/>
                <w:sz w:val="20"/>
                <w:szCs w:val="20"/>
                <w:highlight w:val="none"/>
                <w:u w:val="none"/>
                <w:lang w:val="en-US" w:eastAsia="zh-CN" w:bidi="ar"/>
              </w:rPr>
              <w:t xml:space="preserve">包号：</w:t>
            </w:r>
            <w:r/>
          </w:p>
        </w:tc>
      </w:tr>
      <w:tr>
        <w:trPr>
          <w:cantSplit/>
          <w:jc w:val="center"/>
          <w:trHeight w:val="1014"/>
        </w:trPr>
        <w:tc>
          <w:tcPr>
            <w:tcW w:w="1242"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序号</w:t>
            </w:r>
            <w:r/>
          </w:p>
        </w:tc>
        <w:tc>
          <w:tcPr>
            <w:tcW w:w="120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物料名称</w:t>
            </w:r>
            <w:r/>
          </w:p>
        </w:tc>
        <w:tc>
          <w:tcPr>
            <w:tcW w:w="776"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品牌</w:t>
            </w:r>
            <w:r/>
          </w:p>
        </w:tc>
        <w:tc>
          <w:tcPr>
            <w:tcW w:w="1168"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材质或技术参数描述</w:t>
            </w:r>
            <w:r/>
          </w:p>
        </w:tc>
        <w:tc>
          <w:tcPr>
            <w:tcW w:w="665"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数量</w:t>
            </w:r>
            <w:r/>
          </w:p>
        </w:tc>
        <w:tc>
          <w:tcPr>
            <w:tcW w:w="1130" w:type="dxa"/>
            <w:vAlign w:val="center"/>
            <w:textDirection w:val="lrTb"/>
            <w:noWrap w:val="false"/>
          </w:tcPr>
          <w:p>
            <w:pPr>
              <w:jc w:val="center"/>
              <w:keepLines w:val="0"/>
              <w:keepNext w:val="0"/>
              <w:widowControl/>
              <w:rPr>
                <w:rFonts w:ascii="宋体" w:hAnsi="宋体"/>
                <w:color w:val="auto"/>
                <w:szCs w:val="21"/>
                <w:highlight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单位</w:t>
            </w:r>
            <w:r/>
          </w:p>
        </w:tc>
        <w:tc>
          <w:tcPr>
            <w:tcW w:w="1130"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单价（元）</w:t>
            </w:r>
            <w:r/>
          </w:p>
        </w:tc>
        <w:tc>
          <w:tcPr>
            <w:tcW w:w="1391"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总价（元）</w:t>
            </w:r>
            <w:r/>
          </w:p>
        </w:tc>
        <w:tc>
          <w:tcPr>
            <w:tcW w:w="1371" w:type="dxa"/>
            <w:vAlign w:val="center"/>
            <w:textDirection w:val="lrTb"/>
            <w:noWrap w:val="false"/>
          </w:tcPr>
          <w:p>
            <w:pPr>
              <w:jc w:val="center"/>
              <w:keepLines w:val="0"/>
              <w:keepNext w:val="0"/>
              <w:widowControl/>
              <w:rPr>
                <w:rFonts w:hint="default" w:ascii="微软雅黑" w:hAnsi="微软雅黑" w:eastAsia="微软雅黑" w:cs="微软雅黑"/>
                <w:b/>
                <w:bCs/>
                <w:i w:val="0"/>
                <w:iCs w:val="0"/>
                <w:color w:val="auto"/>
                <w:sz w:val="20"/>
                <w:szCs w:val="20"/>
                <w:highlight w:val="none"/>
                <w:u w:val="none"/>
                <w:lang w:val="en-US" w:eastAsia="zh-CN" w:bidi="ar"/>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备注</w:t>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408"/>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20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7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68"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665"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130"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610"/>
        </w:trPr>
        <w:tc>
          <w:tcPr>
            <w:tcW w:w="1242"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合计</w:t>
            </w:r>
            <w:r/>
          </w:p>
        </w:tc>
        <w:tc>
          <w:tcPr>
            <w:gridSpan w:val="5"/>
            <w:tcW w:w="4945"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w:t>
            </w:r>
            <w:r/>
          </w:p>
        </w:tc>
        <w:tc>
          <w:tcPr>
            <w:tcW w:w="1130"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9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1371" w:type="dxa"/>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r>
      <w:tr>
        <w:trPr>
          <w:cantSplit/>
          <w:jc w:val="center"/>
          <w:trHeight w:val="610"/>
        </w:trPr>
        <w:tc>
          <w:tcPr>
            <w:gridSpan w:val="9"/>
            <w:tcW w:w="10079" w:type="dxa"/>
            <w:vAlign w:val="center"/>
            <w:textDirection w:val="lrTb"/>
            <w:noWrap w:val="false"/>
          </w:tcPr>
          <w:p>
            <w:pPr>
              <w:jc w:val="left"/>
              <w:spacing w:line="360" w:lineRule="auto"/>
              <w:rPr>
                <w:rFonts w:hint="eastAsia" w:ascii="宋体" w:hAnsi="宋体"/>
                <w:color w:val="auto"/>
                <w:szCs w:val="21"/>
                <w:highlight w:val="none"/>
                <w:lang w:val="en-US"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auto"/>
                <w:sz w:val="24"/>
                <w:szCs w:val="24"/>
                <w:highlight w:val="none"/>
                <w:lang w:eastAsia="zh-CN"/>
              </w:rPr>
              <w:t xml:space="preserve">）</w:t>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w:t>
      </w:r>
      <w:r/>
    </w:p>
    <w:p>
      <w:pPr>
        <w:pStyle w:val="744"/>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4"/>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4"/>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750"/>
          <w:rFonts w:hint="eastAsia" w:ascii="宋体" w:hAnsi="宋体" w:eastAsia="宋体" w:cs="宋体"/>
          <w:i w:val="0"/>
          <w:color w:val="auto"/>
          <w:sz w:val="24"/>
          <w:szCs w:val="24"/>
          <w:highlight w:val="none"/>
          <w:u w:val="single"/>
          <w:shd w:val="clear" w:color="auto" w:fill="ffffff"/>
        </w:rPr>
        <w:t xml:space="preserve">（产品名称1）</w:t>
      </w:r>
      <w:r>
        <w:rPr>
          <w:rStyle w:val="750"/>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750"/>
          <w:rFonts w:hint="eastAsia" w:ascii="宋体" w:hAnsi="宋体" w:eastAsia="宋体" w:cs="宋体"/>
          <w:i w:val="0"/>
          <w:color w:val="auto"/>
          <w:sz w:val="24"/>
          <w:szCs w:val="24"/>
          <w:highlight w:val="none"/>
          <w:u w:val="single"/>
          <w:shd w:val="clear" w:color="auto" w:fill="ffffff"/>
        </w:rPr>
        <w:t xml:space="preserve">（厂名）</w:t>
      </w:r>
      <w:r>
        <w:rPr>
          <w:rStyle w:val="750"/>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750"/>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750"/>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750"/>
          <w:rFonts w:hint="eastAsia" w:ascii="宋体" w:hAnsi="宋体" w:eastAsia="宋体" w:cs="宋体"/>
          <w:i w:val="0"/>
          <w:color w:val="auto"/>
          <w:sz w:val="24"/>
          <w:szCs w:val="24"/>
          <w:highlight w:val="none"/>
          <w:u w:val="single"/>
          <w:shd w:val="clear" w:color="auto" w:fill="ffffff"/>
        </w:rPr>
        <w:t xml:space="preserve">（规定比例）</w:t>
      </w:r>
      <w:r>
        <w:rPr>
          <w:rStyle w:val="750"/>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750"/>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50"/>
          <w:rFonts w:hint="eastAsia" w:ascii="宋体" w:hAnsi="宋体" w:eastAsia="宋体" w:cs="宋体"/>
          <w:i w:val="0"/>
          <w:color w:val="auto"/>
          <w:sz w:val="24"/>
          <w:szCs w:val="24"/>
          <w:highlight w:val="none"/>
          <w:u w:val="single"/>
          <w:shd w:val="clear" w:color="auto" w:fill="ffffff"/>
        </w:rPr>
        <w:t xml:space="preserve">（关键组件）</w:t>
      </w:r>
      <w:r>
        <w:rPr>
          <w:rStyle w:val="750"/>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750"/>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50"/>
          <w:rFonts w:hint="eastAsia" w:ascii="宋体" w:hAnsi="宋体" w:eastAsia="宋体" w:cs="宋体"/>
          <w:i w:val="0"/>
          <w:color w:val="auto"/>
          <w:sz w:val="24"/>
          <w:szCs w:val="24"/>
          <w:highlight w:val="none"/>
          <w:u w:val="single"/>
          <w:shd w:val="clear" w:color="auto" w:fill="ffffff"/>
        </w:rPr>
        <w:t xml:space="preserve">（关键工序）</w:t>
      </w:r>
      <w:r>
        <w:rPr>
          <w:rStyle w:val="750"/>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44"/>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5648;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2576;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750"/>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750"/>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750"/>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750"/>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750"/>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750"/>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750"/>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750"/>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50"/>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744"/>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44"/>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44"/>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4"/>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744"/>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744"/>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44"/>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44"/>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44"/>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44"/>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widowControl/>
        <w:rPr>
          <w:rFonts w:ascii="宋体" w:hAnsi="宋体" w:cs="Arial"/>
          <w:b/>
          <w:bCs/>
          <w:color w:val="auto"/>
          <w:highlight w:val="none"/>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11"/>
        <w:spacing w:line="360" w:lineRule="auto"/>
        <w:rPr>
          <w:rFonts w:asciiTheme="minorEastAsia" w:hAnsiTheme="minorEastAsia" w:eastAsiaTheme="minorEastAsia"/>
          <w:color w:val="auto"/>
          <w:highlight w:val="none"/>
        </w:rPr>
      </w:pPr>
      <w:r/>
      <w:bookmarkStart w:id="73" w:name="_Toc8605"/>
      <w:r/>
      <w:bookmarkStart w:id="74" w:name="_Toc24330"/>
      <w:r>
        <w:rPr>
          <w:rFonts w:hint="eastAsia" w:asciiTheme="minorEastAsia" w:hAnsiTheme="minorEastAsia" w:eastAsiaTheme="minorEastAsia"/>
          <w:color w:val="auto"/>
          <w:sz w:val="32"/>
          <w:highlight w:val="none"/>
        </w:rPr>
        <w:t xml:space="preserve">六、技术参数响应及偏离表</w:t>
      </w:r>
      <w:bookmarkEnd w:id="73"/>
      <w:r/>
      <w:bookmarkEnd w:id="74"/>
      <w:r/>
      <w:r/>
    </w:p>
    <w:tbl>
      <w:tblPr>
        <w:tblStyle w:val="720"/>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75" w:name="_Hlt26955054"/>
      <w:r/>
      <w:bookmarkEnd w:id="75"/>
      <w:r/>
      <w:bookmarkStart w:id="76" w:name="_Toc6354"/>
      <w:r>
        <w:rPr>
          <w:rFonts w:hint="eastAsia" w:asciiTheme="minorEastAsia" w:hAnsiTheme="minorEastAsia" w:eastAsiaTheme="minorEastAsia"/>
          <w:color w:val="auto"/>
          <w:sz w:val="32"/>
          <w:highlight w:val="none"/>
        </w:rPr>
        <w:br w:type="page" w:clear="all"/>
      </w:r>
      <w:r/>
    </w:p>
    <w:p>
      <w:pPr>
        <w:pStyle w:val="711"/>
        <w:spacing w:line="360" w:lineRule="auto"/>
        <w:rPr>
          <w:rFonts w:asciiTheme="minorEastAsia" w:hAnsiTheme="minorEastAsia" w:eastAsiaTheme="minorEastAsia"/>
          <w:color w:val="auto"/>
          <w:sz w:val="32"/>
          <w:highlight w:val="none"/>
        </w:rPr>
      </w:pPr>
      <w:r/>
      <w:bookmarkStart w:id="77" w:name="_Toc25045"/>
      <w:r>
        <w:rPr>
          <w:rFonts w:hint="eastAsia" w:asciiTheme="minorEastAsia" w:hAnsiTheme="minorEastAsia" w:eastAsiaTheme="minorEastAsia"/>
          <w:color w:val="auto"/>
          <w:sz w:val="32"/>
          <w:highlight w:val="none"/>
        </w:rPr>
        <w:t xml:space="preserve">七、商务条款响应及偏离表</w:t>
      </w:r>
      <w:bookmarkEnd w:id="76"/>
      <w:r/>
      <w:bookmarkEnd w:id="77"/>
      <w:r/>
      <w:r/>
    </w:p>
    <w:tbl>
      <w:tblPr>
        <w:tblStyle w:val="720"/>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78" w:name="_Hlt26580838"/>
            <w:r/>
            <w:bookmarkEnd w:id="78"/>
            <w:r/>
            <w:bookmarkStart w:id="79" w:name="_Hlt26955056"/>
            <w:r/>
            <w:bookmarkEnd w:id="79"/>
            <w:r/>
            <w:bookmarkStart w:id="80" w:name="_Hlt26671343"/>
            <w:r/>
            <w:bookmarkEnd w:id="80"/>
            <w:r/>
            <w:bookmarkStart w:id="81" w:name="_Hlt26955064"/>
            <w:r/>
            <w:bookmarkEnd w:id="81"/>
            <w:r/>
            <w:bookmarkStart w:id="82" w:name="_Hlt26609391"/>
            <w:r/>
            <w:bookmarkEnd w:id="82"/>
            <w:r/>
            <w:bookmarkStart w:id="83" w:name="_Hlt26782999"/>
            <w:r/>
            <w:bookmarkEnd w:id="83"/>
            <w:r/>
            <w:bookmarkStart w:id="84" w:name="_Hlt24879081"/>
            <w:r/>
            <w:bookmarkEnd w:id="84"/>
            <w:r/>
            <w:bookmarkStart w:id="85" w:name="_Hlt26671372"/>
            <w:r/>
            <w:bookmarkEnd w:id="85"/>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21"/>
        <w:ind w:firstLine="480"/>
        <w:spacing w:line="360" w:lineRule="auto"/>
        <w:rPr>
          <w:rFonts w:ascii="宋体" w:hAnsi="宋体"/>
          <w:color w:val="auto"/>
          <w:sz w:val="24"/>
          <w:highlight w:val="none"/>
        </w:rPr>
      </w:pPr>
      <w:r/>
      <w:bookmarkStart w:id="86" w:name="_Hlt26955066"/>
      <w:r/>
      <w:bookmarkEnd w:id="86"/>
      <w:r/>
      <w:bookmarkStart w:id="87" w:name="_Hlt26609389"/>
      <w:r/>
      <w:bookmarkEnd w:id="87"/>
      <w:r/>
      <w:bookmarkStart w:id="88" w:name="_Hlt26671374"/>
      <w:r/>
      <w:bookmarkEnd w:id="88"/>
      <w:r/>
      <w:bookmarkStart w:id="89" w:name="_Toc462564146"/>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pStyle w:val="721"/>
        <w:ind w:firstLine="480"/>
        <w:spacing w:line="360" w:lineRule="auto"/>
        <w:rPr>
          <w:rFonts w:ascii="宋体" w:hAnsi="宋体"/>
          <w:color w:val="auto"/>
          <w:sz w:val="24"/>
          <w:highlight w:val="none"/>
        </w:rPr>
      </w:pPr>
      <w:r>
        <w:rPr>
          <w:rFonts w:ascii="宋体" w:hAnsi="宋体"/>
          <w:color w:val="auto"/>
          <w:sz w:val="24"/>
          <w:highlight w:val="none"/>
        </w:rPr>
      </w:r>
      <w:bookmarkEnd w:id="89"/>
      <w:r/>
    </w:p>
    <w:p>
      <w:pPr>
        <w:pStyle w:val="721"/>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20"/>
        <w:tblW w:w="8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81"/>
        <w:gridCol w:w="3930"/>
      </w:tblGrid>
      <w:tr>
        <w:trPr/>
        <w:tc>
          <w:tcPr>
            <w:tcW w:w="408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93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408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93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color w:val="auto"/>
          <w:highlight w:val="none"/>
        </w:rPr>
      </w:pPr>
      <w:r>
        <w:rPr>
          <w:color w:val="auto"/>
          <w:highlight w:val="none"/>
        </w:rPr>
      </w:r>
      <w:r/>
    </w:p>
    <w:p>
      <w:pPr>
        <w:jc w:val="left"/>
        <w:spacing w:before="100" w:beforeAutospacing="1" w:after="143"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default">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73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right"/>
      <w:rPr>
        <w:rFonts w:hint="eastAsia" w:ascii="宋体" w:hAnsi="宋体" w:eastAsia="宋体" w:cs="宋体"/>
        <w:lang w:val="en-US" w:eastAsia="zh-CN"/>
      </w:rPr>
    </w:pPr>
    <w:r>
      <w:rPr>
        <w:rFonts w:hint="eastAsia" w:ascii="宋体" w:hAnsi="宋体" w:eastAsia="宋体" w:cs="宋体"/>
        <w:lang w:val="en-US"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0">
    <w:name w:val="Heading 1"/>
    <w:basedOn w:val="709"/>
    <w:next w:val="709"/>
    <w:uiPriority w:val="9"/>
    <w:qFormat/>
    <w:pPr>
      <w:keepLines/>
      <w:keepNext/>
      <w:spacing w:before="340" w:after="330" w:line="578" w:lineRule="auto"/>
      <w:outlineLvl w:val="0"/>
    </w:pPr>
    <w:rPr>
      <w:b/>
      <w:bCs/>
      <w:sz w:val="44"/>
      <w:szCs w:val="44"/>
    </w:rPr>
  </w:style>
  <w:style w:type="paragraph" w:styleId="711">
    <w:name w:val="Heading 2"/>
    <w:basedOn w:val="709"/>
    <w:next w:val="72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2">
    <w:name w:val="Heading 3"/>
    <w:basedOn w:val="709"/>
    <w:next w:val="709"/>
    <w:uiPriority w:val="0"/>
    <w:qFormat/>
    <w:pPr>
      <w:keepLines/>
      <w:keepNext/>
      <w:spacing w:before="260" w:after="260" w:line="416" w:lineRule="auto"/>
      <w:outlineLvl w:val="2"/>
    </w:pPr>
    <w:rPr>
      <w:b/>
      <w:bCs/>
      <w:sz w:val="32"/>
      <w:szCs w:val="32"/>
    </w:rPr>
  </w:style>
  <w:style w:type="paragraph" w:styleId="713">
    <w:name w:val="Heading 4"/>
    <w:basedOn w:val="709"/>
    <w:next w:val="709"/>
    <w:link w:val="757"/>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758"/>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759"/>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761"/>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762"/>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Normal Indent"/>
    <w:basedOn w:val="709"/>
    <w:uiPriority w:val="0"/>
    <w:unhideWhenUsed/>
    <w:qFormat/>
    <w:pPr>
      <w:ind w:firstLine="420"/>
    </w:pPr>
  </w:style>
  <w:style w:type="paragraph" w:styleId="722">
    <w:name w:val="toc 7"/>
    <w:basedOn w:val="709"/>
    <w:next w:val="709"/>
    <w:uiPriority w:val="39"/>
    <w:unhideWhenUsed/>
    <w:qFormat/>
    <w:pPr>
      <w:ind w:left="1701" w:right="0" w:firstLine="0"/>
      <w:spacing w:after="57"/>
    </w:pPr>
  </w:style>
  <w:style w:type="paragraph" w:styleId="723">
    <w:name w:val="Caption"/>
    <w:basedOn w:val="709"/>
    <w:next w:val="70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4">
    <w:name w:val="annotation text"/>
    <w:basedOn w:val="709"/>
    <w:uiPriority w:val="0"/>
    <w:qFormat/>
    <w:pPr>
      <w:jc w:val="left"/>
    </w:pPr>
  </w:style>
  <w:style w:type="paragraph" w:styleId="725">
    <w:name w:val="Body Text"/>
    <w:basedOn w:val="709"/>
    <w:uiPriority w:val="0"/>
    <w:qFormat/>
    <w:rPr>
      <w:rFonts w:ascii="楷体_GB2312" w:hAnsi="Arial" w:eastAsia="楷体_GB2312"/>
      <w:sz w:val="28"/>
      <w:szCs w:val="28"/>
    </w:rPr>
  </w:style>
  <w:style w:type="paragraph" w:styleId="726">
    <w:name w:val="Body Text Indent"/>
    <w:basedOn w:val="709"/>
    <w:uiPriority w:val="99"/>
    <w:unhideWhenUsed/>
    <w:qFormat/>
    <w:pPr>
      <w:ind w:left="420"/>
      <w:spacing w:after="120"/>
    </w:pPr>
  </w:style>
  <w:style w:type="paragraph" w:styleId="727">
    <w:name w:val="index 4"/>
    <w:basedOn w:val="709"/>
    <w:next w:val="709"/>
    <w:uiPriority w:val="99"/>
    <w:unhideWhenUsed/>
    <w:qFormat/>
    <w:pPr>
      <w:ind w:left="600"/>
    </w:pPr>
    <w:rPr>
      <w:rFonts w:asciiTheme="minorHAnsi" w:hAnsiTheme="minorHAnsi" w:eastAsiaTheme="minorEastAsia" w:cstheme="minorBidi"/>
      <w:szCs w:val="22"/>
    </w:rPr>
  </w:style>
  <w:style w:type="paragraph" w:styleId="728">
    <w:name w:val="toc 5"/>
    <w:basedOn w:val="709"/>
    <w:next w:val="709"/>
    <w:uiPriority w:val="39"/>
    <w:unhideWhenUsed/>
    <w:qFormat/>
    <w:pPr>
      <w:ind w:left="1134" w:right="0" w:firstLine="0"/>
      <w:spacing w:after="57"/>
    </w:pPr>
  </w:style>
  <w:style w:type="paragraph" w:styleId="729">
    <w:name w:val="toc 3"/>
    <w:basedOn w:val="709"/>
    <w:next w:val="709"/>
    <w:uiPriority w:val="39"/>
    <w:unhideWhenUsed/>
    <w:qFormat/>
    <w:pPr>
      <w:ind w:left="567" w:right="0" w:firstLine="0"/>
      <w:spacing w:after="57"/>
    </w:pPr>
  </w:style>
  <w:style w:type="paragraph" w:styleId="730">
    <w:name w:val="Plain Text"/>
    <w:basedOn w:val="709"/>
    <w:uiPriority w:val="99"/>
    <w:qFormat/>
    <w:rPr>
      <w:rFonts w:ascii="宋体" w:hAnsi="Courier New"/>
      <w:sz w:val="20"/>
      <w:szCs w:val="21"/>
    </w:rPr>
  </w:style>
  <w:style w:type="paragraph" w:styleId="731">
    <w:name w:val="toc 8"/>
    <w:basedOn w:val="709"/>
    <w:next w:val="709"/>
    <w:uiPriority w:val="39"/>
    <w:unhideWhenUsed/>
    <w:qFormat/>
    <w:pPr>
      <w:ind w:left="1984" w:right="0" w:firstLine="0"/>
      <w:spacing w:after="57"/>
    </w:pPr>
  </w:style>
  <w:style w:type="paragraph" w:styleId="732">
    <w:name w:val="endnote text"/>
    <w:basedOn w:val="709"/>
    <w:link w:val="899"/>
    <w:uiPriority w:val="99"/>
    <w:semiHidden/>
    <w:unhideWhenUsed/>
    <w:qFormat/>
    <w:pPr>
      <w:spacing w:after="0" w:line="240" w:lineRule="auto"/>
    </w:pPr>
    <w:rPr>
      <w:sz w:val="20"/>
    </w:rPr>
  </w:style>
  <w:style w:type="paragraph" w:styleId="733">
    <w:name w:val="Balloon Text"/>
    <w:basedOn w:val="709"/>
    <w:link w:val="904"/>
    <w:uiPriority w:val="0"/>
    <w:qFormat/>
    <w:rPr>
      <w:sz w:val="18"/>
      <w:szCs w:val="18"/>
    </w:rPr>
  </w:style>
  <w:style w:type="paragraph" w:styleId="734">
    <w:name w:val="Footer"/>
    <w:basedOn w:val="709"/>
    <w:uiPriority w:val="99"/>
    <w:unhideWhenUsed/>
    <w:qFormat/>
    <w:pPr>
      <w:jc w:val="left"/>
      <w:tabs>
        <w:tab w:val="center" w:pos="4153" w:leader="none"/>
        <w:tab w:val="right" w:pos="8306" w:leader="none"/>
      </w:tabs>
    </w:pPr>
    <w:rPr>
      <w:sz w:val="18"/>
      <w:szCs w:val="18"/>
    </w:rPr>
  </w:style>
  <w:style w:type="paragraph" w:styleId="735">
    <w:name w:val="Header"/>
    <w:basedOn w:val="70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09"/>
    <w:next w:val="709"/>
    <w:uiPriority w:val="39"/>
    <w:unhideWhenUsed/>
    <w:qFormat/>
  </w:style>
  <w:style w:type="paragraph" w:styleId="737">
    <w:name w:val="toc 4"/>
    <w:basedOn w:val="709"/>
    <w:next w:val="709"/>
    <w:uiPriority w:val="39"/>
    <w:unhideWhenUsed/>
    <w:qFormat/>
    <w:pPr>
      <w:ind w:left="850" w:right="0" w:firstLine="0"/>
      <w:spacing w:after="57"/>
    </w:pPr>
  </w:style>
  <w:style w:type="paragraph" w:styleId="738">
    <w:name w:val="Subtitle"/>
    <w:basedOn w:val="709"/>
    <w:next w:val="709"/>
    <w:link w:val="765"/>
    <w:uiPriority w:val="11"/>
    <w:qFormat/>
    <w:pPr>
      <w:spacing w:before="200" w:after="200"/>
    </w:pPr>
    <w:rPr>
      <w:sz w:val="24"/>
      <w:szCs w:val="24"/>
    </w:rPr>
  </w:style>
  <w:style w:type="paragraph" w:styleId="739">
    <w:name w:val="footnote text"/>
    <w:basedOn w:val="709"/>
    <w:link w:val="898"/>
    <w:uiPriority w:val="99"/>
    <w:semiHidden/>
    <w:unhideWhenUsed/>
    <w:qFormat/>
    <w:pPr>
      <w:spacing w:after="40" w:line="240" w:lineRule="auto"/>
    </w:pPr>
    <w:rPr>
      <w:sz w:val="18"/>
    </w:rPr>
  </w:style>
  <w:style w:type="paragraph" w:styleId="740">
    <w:name w:val="toc 6"/>
    <w:basedOn w:val="709"/>
    <w:next w:val="709"/>
    <w:uiPriority w:val="39"/>
    <w:unhideWhenUsed/>
    <w:qFormat/>
    <w:pPr>
      <w:ind w:left="1417" w:right="0" w:firstLine="0"/>
      <w:spacing w:after="57"/>
    </w:pPr>
  </w:style>
  <w:style w:type="paragraph" w:styleId="741">
    <w:name w:val="table of figures"/>
    <w:basedOn w:val="709"/>
    <w:next w:val="709"/>
    <w:uiPriority w:val="99"/>
    <w:unhideWhenUsed/>
    <w:qFormat/>
    <w:pPr>
      <w:spacing w:after="0" w:afterAutospacing="0"/>
    </w:pPr>
  </w:style>
  <w:style w:type="paragraph" w:styleId="742">
    <w:name w:val="toc 2"/>
    <w:basedOn w:val="709"/>
    <w:next w:val="709"/>
    <w:uiPriority w:val="0"/>
    <w:qFormat/>
    <w:pPr>
      <w:ind w:left="420"/>
    </w:pPr>
  </w:style>
  <w:style w:type="paragraph" w:styleId="743">
    <w:name w:val="toc 9"/>
    <w:basedOn w:val="709"/>
    <w:next w:val="709"/>
    <w:uiPriority w:val="39"/>
    <w:unhideWhenUsed/>
    <w:qFormat/>
    <w:pPr>
      <w:ind w:left="2268" w:right="0" w:firstLine="0"/>
      <w:spacing w:after="57"/>
    </w:pPr>
  </w:style>
  <w:style w:type="paragraph" w:styleId="744">
    <w:name w:val="Normal (Web)"/>
    <w:basedOn w:val="709"/>
    <w:uiPriority w:val="0"/>
    <w:qFormat/>
    <w:rPr>
      <w:rFonts w:ascii="Times New Roman" w:hAnsi="Times New Roman"/>
      <w:sz w:val="24"/>
    </w:rPr>
  </w:style>
  <w:style w:type="paragraph" w:styleId="745">
    <w:name w:val="Title"/>
    <w:basedOn w:val="709"/>
    <w:next w:val="709"/>
    <w:link w:val="764"/>
    <w:uiPriority w:val="10"/>
    <w:qFormat/>
    <w:pPr>
      <w:contextualSpacing/>
      <w:spacing w:before="300" w:after="200"/>
    </w:pPr>
    <w:rPr>
      <w:sz w:val="48"/>
      <w:szCs w:val="48"/>
    </w:rPr>
  </w:style>
  <w:style w:type="paragraph" w:styleId="746">
    <w:name w:val="Body Text First Indent 2"/>
    <w:basedOn w:val="726"/>
    <w:uiPriority w:val="0"/>
    <w:qFormat/>
    <w:pPr>
      <w:ind w:left="0" w:firstLine="420"/>
      <w:spacing w:after="0" w:line="360" w:lineRule="auto"/>
    </w:pPr>
    <w:rPr>
      <w:rFonts w:ascii="宋体" w:hAnsi="宋体"/>
      <w:sz w:val="20"/>
      <w:szCs w:val="20"/>
    </w:rPr>
  </w:style>
  <w:style w:type="table" w:styleId="747">
    <w:name w:val="Table Grid"/>
    <w:basedOn w:val="720"/>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19"/>
    <w:uiPriority w:val="0"/>
    <w:qFormat/>
    <w:rPr>
      <w:b/>
    </w:rPr>
  </w:style>
  <w:style w:type="character" w:styleId="749">
    <w:name w:val="endnote reference"/>
    <w:basedOn w:val="719"/>
    <w:uiPriority w:val="99"/>
    <w:semiHidden/>
    <w:unhideWhenUsed/>
    <w:qFormat/>
    <w:rPr>
      <w:vertAlign w:val="superscript"/>
    </w:rPr>
  </w:style>
  <w:style w:type="character" w:styleId="750">
    <w:name w:val="Emphasis"/>
    <w:uiPriority w:val="0"/>
    <w:qFormat/>
    <w:rPr>
      <w:i/>
    </w:rPr>
  </w:style>
  <w:style w:type="character" w:styleId="751">
    <w:name w:val="Hyperlink"/>
    <w:uiPriority w:val="99"/>
    <w:unhideWhenUsed/>
    <w:qFormat/>
    <w:rPr>
      <w:color w:val="0563c1" w:themeColor="hyperlink"/>
      <w:u w:val="single"/>
      <w14:textFill>
        <w14:solidFill>
          <w14:schemeClr w14:val="hlink"/>
        </w14:solidFill>
      </w14:textFill>
    </w:rPr>
  </w:style>
  <w:style w:type="character" w:styleId="752">
    <w:name w:val="annotation reference"/>
    <w:basedOn w:val="719"/>
    <w:uiPriority w:val="0"/>
    <w:qFormat/>
    <w:rPr>
      <w:sz w:val="21"/>
      <w:szCs w:val="21"/>
    </w:rPr>
  </w:style>
  <w:style w:type="character" w:styleId="753">
    <w:name w:val="footnote reference"/>
    <w:basedOn w:val="719"/>
    <w:uiPriority w:val="99"/>
    <w:unhideWhenUsed/>
    <w:qFormat/>
    <w:rPr>
      <w:vertAlign w:val="superscript"/>
    </w:rPr>
  </w:style>
  <w:style w:type="character" w:styleId="754" w:customStyle="1">
    <w:name w:val="Heading 1 Char"/>
    <w:basedOn w:val="719"/>
    <w:uiPriority w:val="9"/>
    <w:qFormat/>
    <w:rPr>
      <w:rFonts w:ascii="Arial" w:hAnsi="Arial" w:eastAsia="Arial" w:cs="Arial"/>
      <w:sz w:val="40"/>
      <w:szCs w:val="40"/>
    </w:rPr>
  </w:style>
  <w:style w:type="character" w:styleId="755" w:customStyle="1">
    <w:name w:val="Heading 2 Char"/>
    <w:basedOn w:val="719"/>
    <w:uiPriority w:val="9"/>
    <w:qFormat/>
    <w:rPr>
      <w:rFonts w:ascii="Arial" w:hAnsi="Arial" w:eastAsia="Arial" w:cs="Arial"/>
      <w:sz w:val="34"/>
    </w:rPr>
  </w:style>
  <w:style w:type="character" w:styleId="756" w:customStyle="1">
    <w:name w:val="Heading 3 Char"/>
    <w:basedOn w:val="719"/>
    <w:uiPriority w:val="9"/>
    <w:qFormat/>
    <w:rPr>
      <w:rFonts w:ascii="Arial" w:hAnsi="Arial" w:eastAsia="Arial" w:cs="Arial"/>
      <w:sz w:val="30"/>
      <w:szCs w:val="30"/>
    </w:rPr>
  </w:style>
  <w:style w:type="character" w:styleId="757" w:customStyle="1">
    <w:name w:val="Heading 4 Char"/>
    <w:basedOn w:val="719"/>
    <w:link w:val="713"/>
    <w:uiPriority w:val="9"/>
    <w:qFormat/>
    <w:rPr>
      <w:rFonts w:ascii="Arial" w:hAnsi="Arial" w:eastAsia="Arial" w:cs="Arial"/>
      <w:b/>
      <w:bCs/>
      <w:sz w:val="26"/>
      <w:szCs w:val="26"/>
    </w:rPr>
  </w:style>
  <w:style w:type="character" w:styleId="758" w:customStyle="1">
    <w:name w:val="Heading 5 Char"/>
    <w:basedOn w:val="719"/>
    <w:link w:val="714"/>
    <w:uiPriority w:val="9"/>
    <w:qFormat/>
    <w:rPr>
      <w:rFonts w:ascii="Arial" w:hAnsi="Arial" w:eastAsia="Arial" w:cs="Arial"/>
      <w:b/>
      <w:bCs/>
      <w:sz w:val="24"/>
      <w:szCs w:val="24"/>
    </w:rPr>
  </w:style>
  <w:style w:type="character" w:styleId="759" w:customStyle="1">
    <w:name w:val="Heading 6 Char"/>
    <w:basedOn w:val="719"/>
    <w:link w:val="715"/>
    <w:uiPriority w:val="9"/>
    <w:qFormat/>
    <w:rPr>
      <w:rFonts w:ascii="Arial" w:hAnsi="Arial" w:eastAsia="Arial" w:cs="Arial"/>
      <w:b/>
      <w:bCs/>
      <w:sz w:val="22"/>
      <w:szCs w:val="22"/>
    </w:rPr>
  </w:style>
  <w:style w:type="character" w:styleId="760" w:customStyle="1">
    <w:name w:val="Heading 7 Char"/>
    <w:basedOn w:val="719"/>
    <w:link w:val="716"/>
    <w:uiPriority w:val="9"/>
    <w:qFormat/>
    <w:rPr>
      <w:rFonts w:ascii="Arial" w:hAnsi="Arial" w:eastAsia="Arial" w:cs="Arial"/>
      <w:b/>
      <w:bCs/>
      <w:i/>
      <w:iCs/>
      <w:sz w:val="22"/>
      <w:szCs w:val="22"/>
    </w:rPr>
  </w:style>
  <w:style w:type="character" w:styleId="761" w:customStyle="1">
    <w:name w:val="Heading 8 Char"/>
    <w:basedOn w:val="719"/>
    <w:link w:val="717"/>
    <w:uiPriority w:val="9"/>
    <w:qFormat/>
    <w:rPr>
      <w:rFonts w:ascii="Arial" w:hAnsi="Arial" w:eastAsia="Arial" w:cs="Arial"/>
      <w:i/>
      <w:iCs/>
      <w:sz w:val="22"/>
      <w:szCs w:val="22"/>
    </w:rPr>
  </w:style>
  <w:style w:type="character" w:styleId="762" w:customStyle="1">
    <w:name w:val="Heading 9 Char"/>
    <w:basedOn w:val="719"/>
    <w:link w:val="718"/>
    <w:uiPriority w:val="9"/>
    <w:qFormat/>
    <w:rPr>
      <w:rFonts w:ascii="Arial" w:hAnsi="Arial" w:eastAsia="Arial" w:cs="Arial"/>
      <w:i/>
      <w:iCs/>
      <w:sz w:val="21"/>
      <w:szCs w:val="21"/>
    </w:rPr>
  </w:style>
  <w:style w:type="paragraph" w:styleId="763">
    <w:name w:val="No Spacing"/>
    <w:uiPriority w:val="1"/>
    <w:qFormat/>
    <w:pPr>
      <w:spacing w:before="0" w:after="0" w:line="240" w:lineRule="auto"/>
    </w:pPr>
    <w:rPr>
      <w:rFonts w:hint="default" w:ascii="Times New Roman" w:hAnsi="Times New Roman" w:eastAsia="宋体" w:cs="Times New Roman"/>
    </w:rPr>
  </w:style>
  <w:style w:type="character" w:styleId="764" w:customStyle="1">
    <w:name w:val="Title Char"/>
    <w:basedOn w:val="719"/>
    <w:link w:val="745"/>
    <w:uiPriority w:val="10"/>
    <w:qFormat/>
    <w:rPr>
      <w:sz w:val="48"/>
      <w:szCs w:val="48"/>
    </w:rPr>
  </w:style>
  <w:style w:type="character" w:styleId="765" w:customStyle="1">
    <w:name w:val="Subtitle Char"/>
    <w:basedOn w:val="719"/>
    <w:link w:val="738"/>
    <w:uiPriority w:val="11"/>
    <w:qFormat/>
    <w:rPr>
      <w:sz w:val="24"/>
      <w:szCs w:val="24"/>
    </w:rPr>
  </w:style>
  <w:style w:type="paragraph" w:styleId="766">
    <w:name w:val="Quote"/>
    <w:basedOn w:val="709"/>
    <w:next w:val="709"/>
    <w:link w:val="767"/>
    <w:uiPriority w:val="29"/>
    <w:qFormat/>
    <w:pPr>
      <w:ind w:left="720" w:right="720"/>
    </w:pPr>
    <w:rPr>
      <w:i/>
    </w:rPr>
  </w:style>
  <w:style w:type="character" w:styleId="767" w:customStyle="1">
    <w:name w:val="Quote Char"/>
    <w:link w:val="766"/>
    <w:uiPriority w:val="29"/>
    <w:qFormat/>
    <w:rPr>
      <w:i/>
    </w:rPr>
  </w:style>
  <w:style w:type="paragraph" w:styleId="768">
    <w:name w:val="Intense Quote"/>
    <w:basedOn w:val="709"/>
    <w:next w:val="709"/>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Intense Quote Char"/>
    <w:link w:val="768"/>
    <w:uiPriority w:val="30"/>
    <w:qFormat/>
    <w:rPr>
      <w:i/>
    </w:rPr>
  </w:style>
  <w:style w:type="character" w:styleId="770" w:customStyle="1">
    <w:name w:val="Header Char"/>
    <w:basedOn w:val="719"/>
    <w:uiPriority w:val="99"/>
    <w:qFormat/>
  </w:style>
  <w:style w:type="character" w:styleId="771" w:customStyle="1">
    <w:name w:val="Footer Char"/>
    <w:basedOn w:val="719"/>
    <w:uiPriority w:val="99"/>
    <w:qFormat/>
  </w:style>
  <w:style w:type="character" w:styleId="772" w:customStyle="1">
    <w:name w:val="Caption Char"/>
    <w:uiPriority w:val="99"/>
    <w:qFormat/>
  </w:style>
  <w:style w:type="table" w:styleId="773" w:customStyle="1">
    <w:name w:val="Table Grid Light"/>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basedOn w:val="7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basedOn w:val="7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basedOn w:val="72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basedOn w:val="72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basedOn w:val="72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basedOn w:val="72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basedOn w:val="72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basedOn w:val="72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basedOn w:val="72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basedOn w:val="72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basedOn w:val="72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basedOn w:val="72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basedOn w:val="72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2" w:customStyle="1">
    <w:name w:val="Grid Table 2 - Accent 6"/>
    <w:basedOn w:val="72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3" w:customStyle="1">
    <w:name w:val="Grid Table 3"/>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basedOn w:val="72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basedOn w:val="72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basedOn w:val="72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basedOn w:val="72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basedOn w:val="72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basedOn w:val="72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basedOn w:val="7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basedOn w:val="72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2" w:customStyle="1">
    <w:name w:val="Grid Table 4 - Accent 2"/>
    <w:basedOn w:val="72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3" w:customStyle="1">
    <w:name w:val="Grid Table 4 - Accent 3"/>
    <w:basedOn w:val="72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4" w:customStyle="1">
    <w:name w:val="Grid Table 4 - Accent 4"/>
    <w:basedOn w:val="72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5" w:customStyle="1">
    <w:name w:val="Grid Table 4 - Accent 5"/>
    <w:basedOn w:val="72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6" w:customStyle="1">
    <w:name w:val="Grid Table 4 - Accent 6"/>
    <w:basedOn w:val="72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7" w:customStyle="1">
    <w:name w:val="Grid Table 5 Dark"/>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9" w:customStyle="1">
    <w:name w:val="Grid Table 5 Dark - Accent 2"/>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0" w:customStyle="1">
    <w:name w:val="Grid Table 5 Dark - Accent 3"/>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1" w:customStyle="1">
    <w:name w:val="Grid Table 5 Dark- Accent 4"/>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2" w:customStyle="1">
    <w:name w:val="Grid Table 5 Dark - Accent 5"/>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3" w:customStyle="1">
    <w:name w:val="Grid Table 5 Dark - Accent 6"/>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4" w:customStyle="1">
    <w:name w:val="Grid Table 6 Colorful"/>
    <w:basedOn w:val="7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6 Colorful - Accent 1"/>
    <w:basedOn w:val="72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6" w:customStyle="1">
    <w:name w:val="Grid Table 6 Colorful - Accent 2"/>
    <w:basedOn w:val="72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7" w:customStyle="1">
    <w:name w:val="Grid Table 6 Colorful - Accent 3"/>
    <w:basedOn w:val="72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8" w:customStyle="1">
    <w:name w:val="Grid Table 6 Colorful - Accent 4"/>
    <w:basedOn w:val="72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9" w:customStyle="1">
    <w:name w:val="Grid Table 6 Colorful - Accent 5"/>
    <w:basedOn w:val="72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0" w:customStyle="1">
    <w:name w:val="Grid Table 6 Colorful - Accent 6"/>
    <w:basedOn w:val="72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1" w:customStyle="1">
    <w:name w:val="Grid Table 7 Colorful"/>
    <w:basedOn w:val="7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basedOn w:val="72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basedOn w:val="72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basedOn w:val="72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basedOn w:val="72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basedOn w:val="72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basedOn w:val="72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basedOn w:val="7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basedOn w:val="72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0" w:customStyle="1">
    <w:name w:val="List Table 1 Light - Accent 2"/>
    <w:basedOn w:val="72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1" w:customStyle="1">
    <w:name w:val="List Table 1 Light - Accent 3"/>
    <w:basedOn w:val="72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2" w:customStyle="1">
    <w:name w:val="List Table 1 Light - Accent 4"/>
    <w:basedOn w:val="72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3" w:customStyle="1">
    <w:name w:val="List Table 1 Light - Accent 5"/>
    <w:basedOn w:val="72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4" w:customStyle="1">
    <w:name w:val="List Table 1 Light - Accent 6"/>
    <w:basedOn w:val="72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5" w:customStyle="1">
    <w:name w:val="List Table 2"/>
    <w:basedOn w:val="7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basedOn w:val="72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7" w:customStyle="1">
    <w:name w:val="List Table 2 - Accent 2"/>
    <w:basedOn w:val="72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8" w:customStyle="1">
    <w:name w:val="List Table 2 - Accent 3"/>
    <w:basedOn w:val="72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9" w:customStyle="1">
    <w:name w:val="List Table 2 - Accent 4"/>
    <w:basedOn w:val="72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0" w:customStyle="1">
    <w:name w:val="List Table 2 - Accent 5"/>
    <w:basedOn w:val="72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1" w:customStyle="1">
    <w:name w:val="List Table 2 - Accent 6"/>
    <w:basedOn w:val="72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2" w:customStyle="1">
    <w:name w:val="List Table 3"/>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basedOn w:val="72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4" w:customStyle="1">
    <w:name w:val="List Table 3 - Accent 2"/>
    <w:basedOn w:val="72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5" w:customStyle="1">
    <w:name w:val="List Table 3 - Accent 3"/>
    <w:basedOn w:val="72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6" w:customStyle="1">
    <w:name w:val="List Table 3 - Accent 4"/>
    <w:basedOn w:val="72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7" w:customStyle="1">
    <w:name w:val="List Table 3 - Accent 5"/>
    <w:basedOn w:val="72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8" w:customStyle="1">
    <w:name w:val="List Table 3 - Accent 6"/>
    <w:basedOn w:val="72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9" w:customStyle="1">
    <w:name w:val="List Table 4"/>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basedOn w:val="72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4 - Accent 2"/>
    <w:basedOn w:val="72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2" w:customStyle="1">
    <w:name w:val="List Table 4 - Accent 3"/>
    <w:basedOn w:val="72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3" w:customStyle="1">
    <w:name w:val="List Table 4 - Accent 4"/>
    <w:basedOn w:val="72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4" w:customStyle="1">
    <w:name w:val="List Table 4 - Accent 5"/>
    <w:basedOn w:val="72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5" w:customStyle="1">
    <w:name w:val="List Table 4 - Accent 6"/>
    <w:basedOn w:val="72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6" w:customStyle="1">
    <w:name w:val="List Table 5 Dark"/>
    <w:basedOn w:val="7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1"/>
    <w:basedOn w:val="72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2"/>
    <w:basedOn w:val="72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3"/>
    <w:basedOn w:val="72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4"/>
    <w:basedOn w:val="72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5"/>
    <w:basedOn w:val="72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6"/>
    <w:basedOn w:val="72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basedOn w:val="7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6 Colorful - Accent 1"/>
    <w:basedOn w:val="72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5" w:customStyle="1">
    <w:name w:val="List Table 6 Colorful - Accent 2"/>
    <w:basedOn w:val="72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6" w:customStyle="1">
    <w:name w:val="List Table 6 Colorful - Accent 3"/>
    <w:basedOn w:val="72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7" w:customStyle="1">
    <w:name w:val="List Table 6 Colorful - Accent 4"/>
    <w:basedOn w:val="72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8" w:customStyle="1">
    <w:name w:val="List Table 6 Colorful - Accent 5"/>
    <w:basedOn w:val="72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9" w:customStyle="1">
    <w:name w:val="List Table 6 Colorful - Accent 6"/>
    <w:basedOn w:val="72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0" w:customStyle="1">
    <w:name w:val="List Table 7 Colorful"/>
    <w:basedOn w:val="7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basedOn w:val="72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basedOn w:val="72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basedOn w:val="72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basedOn w:val="72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basedOn w:val="72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basedOn w:val="72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7" w:customStyle="1">
    <w:name w:val="Lined - Accent"/>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9" w:customStyle="1">
    <w:name w:val="Lined - Accent 2"/>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0" w:customStyle="1">
    <w:name w:val="Lined - Accent 3"/>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1" w:customStyle="1">
    <w:name w:val="Lined - Accent 4"/>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2" w:customStyle="1">
    <w:name w:val="Lined - Accent 5"/>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3" w:customStyle="1">
    <w:name w:val="Lined - Accent 6"/>
    <w:basedOn w:val="72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4" w:customStyle="1">
    <w:name w:val="Bordered &amp; Lined - Accent"/>
    <w:basedOn w:val="72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basedOn w:val="72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6" w:customStyle="1">
    <w:name w:val="Bordered &amp; Lined - Accent 2"/>
    <w:basedOn w:val="72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7" w:customStyle="1">
    <w:name w:val="Bordered &amp; Lined - Accent 3"/>
    <w:basedOn w:val="72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8" w:customStyle="1">
    <w:name w:val="Bordered &amp; Lined - Accent 4"/>
    <w:basedOn w:val="72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9" w:customStyle="1">
    <w:name w:val="Bordered &amp; Lined - Accent 5"/>
    <w:basedOn w:val="72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0" w:customStyle="1">
    <w:name w:val="Bordered &amp; Lined - Accent 6"/>
    <w:basedOn w:val="72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1" w:customStyle="1">
    <w:name w:val="Bordered"/>
    <w:basedOn w:val="72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basedOn w:val="72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3" w:customStyle="1">
    <w:name w:val="Bordered - Accent 2"/>
    <w:basedOn w:val="72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4" w:customStyle="1">
    <w:name w:val="Bordered - Accent 3"/>
    <w:basedOn w:val="72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5" w:customStyle="1">
    <w:name w:val="Bordered - Accent 4"/>
    <w:basedOn w:val="72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6" w:customStyle="1">
    <w:name w:val="Bordered - Accent 5"/>
    <w:basedOn w:val="72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7" w:customStyle="1">
    <w:name w:val="Bordered - Accent 6"/>
    <w:basedOn w:val="72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8" w:customStyle="1">
    <w:name w:val="Footnote Text Char"/>
    <w:link w:val="739"/>
    <w:uiPriority w:val="99"/>
    <w:qFormat/>
    <w:rPr>
      <w:sz w:val="18"/>
    </w:rPr>
  </w:style>
  <w:style w:type="character" w:styleId="899" w:customStyle="1">
    <w:name w:val="Endnote Text Char"/>
    <w:link w:val="732"/>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paragraph" w:styleId="901" w:customStyle="1">
    <w:name w:val="正文（缩进）"/>
    <w:basedOn w:val="709"/>
    <w:uiPriority w:val="99"/>
    <w:qFormat/>
    <w:pPr>
      <w:ind w:firstLine="480"/>
      <w:spacing w:before="156" w:after="156"/>
    </w:pPr>
  </w:style>
  <w:style w:type="paragraph" w:styleId="902" w:customStyle="1">
    <w:name w:val="普通正文"/>
    <w:basedOn w:val="709"/>
    <w:uiPriority w:val="0"/>
    <w:qFormat/>
    <w:pPr>
      <w:ind w:firstLine="480"/>
      <w:jc w:val="left"/>
      <w:spacing w:before="120" w:after="120" w:line="360" w:lineRule="auto"/>
    </w:pPr>
    <w:rPr>
      <w:rFonts w:ascii="Arial" w:hAnsi="Arial"/>
      <w:sz w:val="24"/>
      <w:szCs w:val="24"/>
    </w:rPr>
  </w:style>
  <w:style w:type="paragraph" w:styleId="903" w:customStyle="1">
    <w:name w:val="Char"/>
    <w:basedOn w:val="709"/>
    <w:uiPriority w:val="0"/>
    <w:qFormat/>
    <w:pPr>
      <w:ind w:firstLine="200"/>
      <w:tabs>
        <w:tab w:val="left" w:pos="360" w:leader="none"/>
      </w:tabs>
    </w:pPr>
    <w:rPr>
      <w:rFonts w:ascii="Times New Roman" w:hAnsi="Times New Roman"/>
      <w:sz w:val="28"/>
      <w:szCs w:val="30"/>
    </w:rPr>
  </w:style>
  <w:style w:type="character" w:styleId="904" w:customStyle="1">
    <w:name w:val="批注框文本 Char"/>
    <w:basedOn w:val="719"/>
    <w:link w:val="733"/>
    <w:uiPriority w:val="0"/>
    <w:qFormat/>
    <w:rPr>
      <w:sz w:val="18"/>
      <w:szCs w:val="18"/>
    </w:rPr>
  </w:style>
  <w:style w:type="paragraph" w:styleId="905" w:customStyle="1">
    <w:name w:val="正文1"/>
    <w:basedOn w:val="709"/>
    <w:next w:val="906"/>
    <w:uiPriority w:val="0"/>
    <w:qFormat/>
    <w:pPr>
      <w:jc w:val="left"/>
      <w:spacing w:line="360" w:lineRule="atLeast"/>
    </w:pPr>
    <w:rPr>
      <w:rFonts w:ascii="宋体" w:hAnsiTheme="minorHAnsi" w:eastAsiaTheme="minorEastAsia" w:cstheme="minorBidi"/>
      <w:sz w:val="24"/>
      <w:szCs w:val="20"/>
    </w:rPr>
  </w:style>
  <w:style w:type="paragraph" w:styleId="906" w:customStyle="1">
    <w:name w:val="正文文本1"/>
    <w:basedOn w:val="905"/>
    <w:next w:val="907"/>
    <w:uiPriority w:val="0"/>
    <w:qFormat/>
    <w:pPr>
      <w:spacing w:after="120"/>
    </w:pPr>
    <w:rPr>
      <w:lang w:eastAsia="en-US"/>
    </w:rPr>
  </w:style>
  <w:style w:type="paragraph" w:styleId="907" w:customStyle="1">
    <w:name w:val="一级条标题"/>
    <w:basedOn w:val="908"/>
    <w:next w:val="9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8" w:customStyle="1">
    <w:name w:val="章标题"/>
    <w:next w:val="70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9" w:customStyle="1">
    <w:name w:val="段"/>
    <w:basedOn w:val="905"/>
    <w:next w:val="709"/>
    <w:uiPriority w:val="0"/>
    <w:qFormat/>
    <w:pPr>
      <w:ind w:firstLine="200"/>
      <w:widowControl/>
    </w:pPr>
    <w:rPr>
      <w:sz w:val="20"/>
    </w:rPr>
  </w:style>
  <w:style w:type="paragraph" w:styleId="910" w:customStyle="1">
    <w:name w:val="正文缩进1"/>
    <w:basedOn w:val="709"/>
    <w:uiPriority w:val="99"/>
    <w:qFormat/>
    <w:pPr>
      <w:ind w:firstLine="420"/>
    </w:pPr>
  </w:style>
  <w:style w:type="paragraph" w:styleId="911">
    <w:name w:val="List Paragraph"/>
    <w:basedOn w:val="709"/>
    <w:uiPriority w:val="34"/>
    <w:qFormat/>
    <w:pPr>
      <w:contextualSpacing/>
      <w:ind w:left="720" w:firstLine="360"/>
      <w:jc w:val="left"/>
      <w:widowControl/>
    </w:pPr>
    <w:rPr>
      <w:sz w:val="22"/>
      <w:lang w:eastAsia="en-US" w:bidi="en-US"/>
    </w:rPr>
  </w:style>
  <w:style w:type="table" w:styleId="912" w:customStyle="1">
    <w:name w:val="网格型2"/>
    <w:basedOn w:val="720"/>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customStyle="1">
    <w:name w:val="NormalCharacter"/>
    <w:uiPriority w:val="0"/>
    <w:qFormat/>
  </w:style>
  <w:style w:type="paragraph" w:styleId="914" w:customStyle="1">
    <w:name w:val="UserStyle_6"/>
    <w:uiPriority w:val="0"/>
    <w:qFormat/>
    <w:rPr>
      <w:rFonts w:hint="default" w:ascii="宋体" w:hAnsi="Calibri" w:eastAsia="宋体" w:cstheme="minorBidi"/>
      <w:color w:val="000000"/>
      <w:sz w:val="24"/>
      <w:szCs w:val="24"/>
      <w:lang w:val="en-US" w:eastAsia="zh-CN" w:bidi="ar-SA"/>
    </w:rPr>
  </w:style>
  <w:style w:type="paragraph" w:styleId="915" w:customStyle="1">
    <w:name w:val="纯文本1"/>
    <w:basedOn w:val="709"/>
    <w:uiPriority w:val="99"/>
    <w:unhideWhenUsed/>
    <w:qFormat/>
    <w:rPr>
      <w:rFonts w:ascii="宋体" w:hAnsi="Courier New"/>
      <w:sz w:val="20"/>
      <w:szCs w:val="20"/>
      <w:lang w:eastAsia="en-US"/>
    </w:rPr>
  </w:style>
  <w:style w:type="paragraph" w:styleId="916" w:customStyle="1">
    <w:name w:val="纯文本11"/>
    <w:basedOn w:val="905"/>
    <w:uiPriority w:val="0"/>
    <w:qFormat/>
    <w:rPr>
      <w:rFonts w:hAnsi="Courier New"/>
      <w:sz w:val="20"/>
      <w:szCs w:val="21"/>
    </w:rPr>
  </w:style>
  <w:style w:type="character" w:styleId="917" w:customStyle="1">
    <w:name w:val="font51"/>
    <w:basedOn w:val="719"/>
    <w:uiPriority w:val="0"/>
    <w:qFormat/>
    <w:rPr>
      <w:rFonts w:hint="default" w:ascii="default" w:hAnsi="default" w:eastAsia="default" w:cs="default"/>
      <w:color w:val="000000"/>
      <w:sz w:val="20"/>
      <w:szCs w:val="20"/>
      <w:u w:val="none"/>
    </w:rPr>
  </w:style>
  <w:style w:type="character" w:styleId="918" w:customStyle="1">
    <w:name w:val="font112"/>
    <w:basedOn w:val="719"/>
    <w:uiPriority w:val="0"/>
    <w:qFormat/>
    <w:rPr>
      <w:rFonts w:hint="eastAsia" w:ascii="宋体" w:hAnsi="宋体" w:eastAsia="宋体" w:cs="宋体"/>
      <w:color w:val="000000"/>
      <w:sz w:val="20"/>
      <w:szCs w:val="20"/>
      <w:u w:val="none"/>
    </w:rPr>
  </w:style>
  <w:style w:type="character" w:styleId="919" w:customStyle="1">
    <w:name w:val="font11"/>
    <w:basedOn w:val="719"/>
    <w:uiPriority w:val="0"/>
    <w:qFormat/>
    <w:rPr>
      <w:rFonts w:hint="eastAsia" w:ascii="宋体" w:hAnsi="宋体" w:eastAsia="宋体" w:cs="宋体"/>
      <w:color w:val="000000"/>
      <w:sz w:val="20"/>
      <w:szCs w:val="20"/>
      <w:u w:val="none"/>
    </w:rPr>
  </w:style>
  <w:style w:type="character" w:styleId="920" w:customStyle="1">
    <w:name w:val="font71"/>
    <w:basedOn w:val="719"/>
    <w:uiPriority w:val="0"/>
    <w:qFormat/>
    <w:rPr>
      <w:rFonts w:hint="eastAsia" w:ascii="宋体" w:hAnsi="宋体" w:eastAsia="宋体" w:cs="宋体"/>
      <w:color w:val="000000"/>
      <w:sz w:val="20"/>
      <w:szCs w:val="20"/>
      <w:u w:val="none"/>
    </w:rPr>
  </w:style>
  <w:style w:type="character" w:styleId="921" w:customStyle="1">
    <w:name w:val="font61"/>
    <w:basedOn w:val="719"/>
    <w:uiPriority w:val="0"/>
    <w:qFormat/>
    <w:rPr>
      <w:rFonts w:hint="default" w:ascii="default" w:hAnsi="default" w:eastAsia="default" w:cs="default"/>
      <w:color w:val="000000"/>
      <w:sz w:val="20"/>
      <w:szCs w:val="20"/>
      <w:u w:val="none"/>
    </w:rPr>
  </w:style>
  <w:style w:type="character" w:styleId="922" w:customStyle="1">
    <w:name w:val="font81"/>
    <w:basedOn w:val="719"/>
    <w:uiPriority w:val="0"/>
    <w:qFormat/>
    <w:rPr>
      <w:rFonts w:hint="eastAsia" w:ascii="宋体" w:hAnsi="宋体" w:eastAsia="宋体" w:cs="宋体"/>
      <w:color w:val="000000"/>
      <w:sz w:val="20"/>
      <w:szCs w:val="20"/>
      <w:u w:val="none"/>
    </w:rPr>
  </w:style>
  <w:style w:type="character" w:styleId="923" w:customStyle="1">
    <w:name w:val="font121"/>
    <w:basedOn w:val="719"/>
    <w:uiPriority w:val="0"/>
    <w:qFormat/>
    <w:rPr>
      <w:rFonts w:hint="eastAsia" w:ascii="宋体" w:hAnsi="宋体" w:eastAsia="宋体" w:cs="宋体"/>
      <w:color w:val="000000"/>
      <w:sz w:val="20"/>
      <w:szCs w:val="20"/>
      <w:u w:val="none"/>
    </w:rPr>
  </w:style>
  <w:style w:type="paragraph" w:styleId="924"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character" w:styleId="925" w:customStyle="1">
    <w:name w:val="font91"/>
    <w:basedOn w:val="719"/>
    <w:uiPriority w:val="0"/>
    <w:qFormat/>
    <w:rPr>
      <w:rFonts w:hint="eastAsia" w:ascii="宋体" w:hAnsi="宋体" w:eastAsia="宋体" w:cs="宋体"/>
      <w:color w:val="000000"/>
      <w:sz w:val="12"/>
      <w:szCs w:val="12"/>
      <w:u w:val="none"/>
    </w:rPr>
  </w:style>
  <w:style w:type="numbering" w:styleId="155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庄诚</cp:lastModifiedBy>
  <cp:revision>26</cp:revision>
  <dcterms:created xsi:type="dcterms:W3CDTF">2014-10-29T12:08:00Z</dcterms:created>
  <dcterms:modified xsi:type="dcterms:W3CDTF">2026-07-29T09:17:24Z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2FED83965A0645218726CD297F030CEC_13</vt:lpwstr>
  </property>
  <property fmtid="{D5CDD505-2E9C-101B-9397-08002B2CF9AE}" pid="4" name="KSOTemplateDocerSaveRecord">
    <vt:lpwstr>eyJoZGlkIjoiMzFhN2I1MjYxOTA3ZWY4NjA2MDNlZDI5ZTBkMzFjNzAiLCJ1c2VySWQiOiIzNzg2Mzc1NjAifQ==</vt:lpwstr>
  </property>
</Properties>
</file>