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7"/>
        <w:ind w:firstLine="0"/>
        <w:rPr>
          <w:rFonts w:ascii="宋体" w:hAnsi="宋体" w:cs="宋体"/>
          <w:b/>
          <w:bCs/>
          <w:sz w:val="84"/>
        </w:rPr>
      </w:pPr>
      <w:r>
        <w:rPr>
          <w:rFonts w:ascii="宋体" w:hAnsi="宋体" w:cs="宋体"/>
          <w:b/>
          <w:bCs/>
          <w:sz w:val="84"/>
        </w:rPr>
      </w:r>
      <w:r/>
    </w:p>
    <w:p>
      <w:pPr>
        <w:pStyle w:val="1127"/>
        <w:ind w:firstLine="0"/>
        <w:jc w:val="center"/>
        <w:rPr>
          <w:rFonts w:ascii="宋体" w:hAnsi="宋体" w:cs="宋体"/>
          <w:b/>
          <w:bCs/>
          <w:sz w:val="84"/>
        </w:rPr>
      </w:pPr>
      <w:r>
        <w:rPr>
          <w:rFonts w:hint="eastAsia" w:ascii="宋体" w:hAnsi="宋体" w:cs="宋体"/>
          <w:b/>
          <w:bCs/>
          <w:sz w:val="84"/>
        </w:rPr>
        <w:t xml:space="preserve">招　标　文　件</w:t>
      </w:r>
      <w:r/>
    </w:p>
    <w:p>
      <w:pPr>
        <w:pStyle w:val="1127"/>
        <w:ind w:firstLine="0"/>
        <w:jc w:val="center"/>
        <w:rPr>
          <w:rFonts w:ascii="宋体" w:hAnsi="宋体"/>
          <w:b/>
          <w:bCs/>
          <w:sz w:val="32"/>
        </w:rPr>
      </w:pPr>
      <w:r>
        <w:rPr>
          <w:rFonts w:hint="eastAsia" w:ascii="宋体" w:hAnsi="宋体"/>
          <w:b/>
          <w:bCs/>
          <w:sz w:val="32"/>
        </w:rPr>
        <w:t xml:space="preserve">项目名称：南通经济技术开发区推进全国社会治安防控体系示范城市创建项目标段7</w:t>
      </w:r>
      <w:r/>
    </w:p>
    <w:p>
      <w:pPr>
        <w:jc w:val="center"/>
        <w:rPr>
          <w:rFonts w:ascii="宋体" w:hAnsi="宋体" w:cs="宋体"/>
          <w:b/>
          <w:bCs/>
          <w:sz w:val="32"/>
        </w:rPr>
      </w:pPr>
      <w:r>
        <w:rPr>
          <w:rFonts w:hint="eastAsia" w:ascii="宋体" w:hAnsi="宋体" w:cs="宋体"/>
          <w:b/>
          <w:bCs/>
          <w:sz w:val="32"/>
        </w:rPr>
        <w:t xml:space="preserve">项目编号：</w:t>
      </w:r>
      <w:r>
        <w:rPr>
          <w:rFonts w:ascii="宋体" w:hAnsi="宋体" w:cs="宋体"/>
          <w:b/>
          <w:bCs/>
          <w:sz w:val="32"/>
        </w:rPr>
        <w:t xml:space="preserve">JSZC-320690-JZCG-G2026-0002</w:t>
      </w:r>
      <w:r/>
    </w:p>
    <w:p>
      <w:pPr>
        <w:ind w:firstLine="1606"/>
        <w:rPr>
          <w:rFonts w:ascii="宋体" w:hAnsi="宋体" w:cs="宋体"/>
          <w:b/>
          <w:bCs/>
          <w:sz w:val="32"/>
        </w:rPr>
      </w:pPr>
      <w:r>
        <w:rPr>
          <w:rFonts w:ascii="宋体" w:hAnsi="宋体" w:cs="宋体"/>
          <w:b/>
          <w:bCs/>
          <w:sz w:val="32"/>
        </w:rPr>
      </w:r>
      <w:r/>
    </w:p>
    <w:p>
      <w:pPr>
        <w:pStyle w:val="1127"/>
        <w:ind w:firstLine="0"/>
        <w:spacing w:before="0" w:after="0"/>
        <w:rPr>
          <w:rFonts w:ascii="宋体" w:hAnsi="宋体" w:cs="宋体"/>
        </w:rPr>
      </w:pPr>
      <w:r>
        <w:rPr>
          <w:rFonts w:ascii="宋体" w:hAnsi="宋体"/>
        </w:rPr>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1991360</wp:posOffset>
                </wp:positionH>
                <wp:positionV relativeFrom="paragraph">
                  <wp:posOffset>99060</wp:posOffset>
                </wp:positionV>
                <wp:extent cx="2334260" cy="1789430"/>
                <wp:effectExtent l="0" t="0" r="2540" b="127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6"/>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56.8pt;mso-position-horizontal:absolute;mso-position-vertical-relative:text;margin-top:7.8pt;mso-position-vertical:absolute;width:183.8pt;height:140.9pt;mso-wrap-distance-left:9.0pt;mso-wrap-distance-top:0.0pt;mso-wrap-distance-right:9.0pt;mso-wrap-distance-bottom:0.0pt;" stroked="f">
                <v:path textboxrect="0,0,0,0"/>
                <w10:wrap type="topAndBottom"/>
                <v:imagedata r:id="rId16" o:title=""/>
              </v:shape>
            </w:pict>
          </mc:Fallback>
        </mc:AlternateContent>
      </w:r>
      <w:r/>
    </w:p>
    <w:p>
      <w:pPr>
        <w:pStyle w:val="1127"/>
        <w:ind w:firstLine="0"/>
        <w:spacing w:before="0" w:after="0"/>
        <w:rPr>
          <w:rFonts w:ascii="宋体" w:hAnsi="宋体" w:cs="宋体"/>
        </w:rPr>
      </w:pPr>
      <w:r>
        <w:rPr>
          <w:rFonts w:ascii="宋体" w:hAnsi="宋体" w:cs="宋体"/>
        </w:rPr>
      </w:r>
      <w:r/>
    </w:p>
    <w:p>
      <w:pPr>
        <w:pStyle w:val="1127"/>
        <w:ind w:firstLine="0"/>
        <w:spacing w:before="0" w:after="0"/>
        <w:rPr>
          <w:rFonts w:ascii="宋体" w:hAnsi="宋体" w:cs="宋体"/>
        </w:rPr>
      </w:pPr>
      <w:r>
        <w:rPr>
          <w:rFonts w:ascii="宋体" w:hAnsi="宋体" w:cs="宋体"/>
        </w:rPr>
      </w:r>
      <w:r/>
    </w:p>
    <w:p>
      <w:pPr>
        <w:pStyle w:val="1127"/>
        <w:ind w:firstLine="0"/>
        <w:spacing w:before="0" w:after="0"/>
        <w:rPr>
          <w:rFonts w:ascii="宋体" w:hAnsi="宋体" w:cs="宋体"/>
        </w:rPr>
      </w:pPr>
      <w:r>
        <w:rPr>
          <w:rFonts w:ascii="宋体" w:hAnsi="宋体" w:cs="宋体"/>
        </w:rPr>
      </w:r>
      <w:r/>
    </w:p>
    <w:p>
      <w:pPr>
        <w:pStyle w:val="1127"/>
        <w:ind w:firstLine="0"/>
        <w:spacing w:before="0" w:after="0"/>
        <w:rPr>
          <w:rFonts w:ascii="宋体" w:hAnsi="宋体" w:cs="宋体"/>
        </w:rPr>
      </w:pPr>
      <w:r>
        <w:rPr>
          <w:rFonts w:ascii="宋体" w:hAnsi="宋体" w:cs="宋体"/>
        </w:rPr>
      </w:r>
      <w:r/>
    </w:p>
    <w:p>
      <w:pPr>
        <w:pStyle w:val="1127"/>
        <w:ind w:firstLine="0"/>
        <w:spacing w:before="0" w:after="0"/>
        <w:rPr>
          <w:rFonts w:ascii="宋体" w:hAnsi="宋体" w:cs="宋体"/>
        </w:rPr>
      </w:pPr>
      <w:r>
        <w:rPr>
          <w:rFonts w:ascii="宋体" w:hAnsi="宋体" w:cs="宋体"/>
        </w:rPr>
      </w:r>
      <w:r/>
    </w:p>
    <w:p>
      <w:pPr>
        <w:pStyle w:val="1127"/>
        <w:ind w:firstLine="0"/>
        <w:spacing w:before="0" w:after="0"/>
        <w:rPr>
          <w:rFonts w:ascii="宋体" w:hAnsi="宋体" w:cs="宋体"/>
        </w:rPr>
      </w:pPr>
      <w:r>
        <w:rPr>
          <w:rFonts w:ascii="宋体" w:hAnsi="宋体" w:cs="宋体"/>
        </w:rPr>
      </w:r>
      <w:r/>
    </w:p>
    <w:p>
      <w:pPr>
        <w:pStyle w:val="1127"/>
        <w:ind w:firstLine="0"/>
        <w:spacing w:before="0" w:after="0"/>
        <w:rPr>
          <w:rFonts w:ascii="宋体" w:hAnsi="宋体" w:cs="宋体"/>
        </w:rPr>
      </w:pPr>
      <w:r>
        <w:rPr>
          <w:rFonts w:ascii="宋体" w:hAnsi="宋体" w:cs="宋体"/>
        </w:rPr>
      </w:r>
      <w:r/>
    </w:p>
    <w:p>
      <w:pPr>
        <w:jc w:val="center"/>
        <w:spacing w:before="120" w:after="120" w:line="360" w:lineRule="auto"/>
        <w:rPr>
          <w:rFonts w:ascii="宋体" w:hAnsi="宋体"/>
          <w:b/>
          <w:bCs/>
          <w:sz w:val="32"/>
          <w:szCs w:val="24"/>
        </w:rPr>
      </w:pPr>
      <w:r>
        <w:rPr>
          <w:rFonts w:hint="eastAsia" w:ascii="宋体" w:hAnsi="宋体"/>
          <w:b/>
          <w:bCs/>
          <w:sz w:val="32"/>
          <w:szCs w:val="24"/>
        </w:rPr>
        <w:t xml:space="preserve">南通市公安局南通经济技术开发区分局</w:t>
      </w:r>
      <w:r/>
    </w:p>
    <w:p>
      <w:pPr>
        <w:jc w:val="center"/>
        <w:spacing w:before="120" w:after="120" w:line="360" w:lineRule="auto"/>
        <w:rPr>
          <w:rFonts w:ascii="宋体" w:hAnsi="宋体" w:cs="宋体"/>
          <w:b/>
          <w:bCs/>
          <w:sz w:val="32"/>
          <w:szCs w:val="24"/>
        </w:rPr>
      </w:pPr>
      <w:r>
        <w:rPr>
          <w:rFonts w:hint="eastAsia" w:ascii="宋体" w:hAnsi="宋体" w:cs="宋体"/>
          <w:b/>
          <w:bCs/>
          <w:sz w:val="32"/>
          <w:szCs w:val="24"/>
        </w:rPr>
        <w:t xml:space="preserve">2026年7月</w:t>
      </w:r>
      <w:r/>
    </w:p>
    <w:p>
      <w:pPr>
        <w:pStyle w:val="1127"/>
        <w:ind w:firstLine="0"/>
        <w:rPr>
          <w:rFonts w:ascii="宋体" w:hAnsi="宋体" w:cs="宋体"/>
        </w:rPr>
      </w:pPr>
      <w:r>
        <w:rPr>
          <w:rFonts w:ascii="宋体" w:hAnsi="宋体" w:cs="宋体"/>
        </w:rPr>
        <w:br w:type="page" w:clear="all"/>
      </w:r>
      <w:r/>
    </w:p>
    <w:p>
      <w:pPr>
        <w:pStyle w:val="1155"/>
        <w:ind w:firstLine="0"/>
        <w:jc w:val="center"/>
        <w:rPr>
          <w:b/>
          <w:sz w:val="44"/>
        </w:rPr>
      </w:pPr>
      <w:r/>
      <w:bookmarkStart w:id="0" w:name="_Toc120614210"/>
      <w:r/>
      <w:bookmarkStart w:id="1" w:name="_Toc20823272"/>
      <w:r/>
      <w:bookmarkStart w:id="2" w:name="_Toc523127445"/>
      <w:r/>
      <w:bookmarkStart w:id="3" w:name="_Toc513029200"/>
      <w:r/>
      <w:bookmarkStart w:id="4" w:name="_Toc479757206"/>
      <w:r/>
      <w:bookmarkStart w:id="5" w:name="_Toc16938516"/>
      <w:r>
        <w:rPr>
          <w:rFonts w:hint="eastAsia"/>
          <w:b/>
          <w:sz w:val="44"/>
        </w:rPr>
        <w:t xml:space="preserve">总</w:t>
      </w:r>
      <w:r>
        <w:rPr>
          <w:rFonts w:hint="eastAsia"/>
          <w:b/>
          <w:sz w:val="44"/>
        </w:rPr>
        <w:t xml:space="preserve">  </w:t>
      </w:r>
      <w:r>
        <w:rPr>
          <w:rFonts w:hint="eastAsia"/>
          <w:b/>
          <w:sz w:val="44"/>
        </w:rPr>
        <w:t xml:space="preserve">目</w:t>
      </w:r>
      <w:r>
        <w:rPr>
          <w:rFonts w:hint="eastAsia"/>
          <w:b/>
          <w:sz w:val="44"/>
        </w:rPr>
        <w:t xml:space="preserve">  </w:t>
      </w:r>
      <w:r>
        <w:rPr>
          <w:rFonts w:hint="eastAsia"/>
          <w:b/>
          <w:sz w:val="44"/>
        </w:rPr>
        <w:t xml:space="preserve">录</w:t>
      </w:r>
      <w:r/>
    </w:p>
    <w:p>
      <w:pPr>
        <w:spacing w:line="480" w:lineRule="auto"/>
        <w:rPr>
          <w:rFonts w:ascii="宋体" w:hAnsi="宋体" w:cs="宋体"/>
          <w:b/>
          <w:sz w:val="28"/>
        </w:rPr>
      </w:pPr>
      <w:r>
        <w:rPr>
          <w:rFonts w:ascii="宋体" w:hAnsi="宋体" w:cs="宋体"/>
          <w:b/>
          <w:sz w:val="28"/>
        </w:rPr>
      </w:r>
      <w:r/>
    </w:p>
    <w:p>
      <w:pPr>
        <w:pStyle w:val="856"/>
        <w:ind w:left="850"/>
        <w:tabs>
          <w:tab w:val="right" w:pos="8789" w:leader="dot"/>
        </w:tabs>
        <w:rPr>
          <w:rFonts w:ascii="Arial" w:hAnsi="Arial"/>
          <w:b w:val="0"/>
          <w:sz w:val="21"/>
          <w:szCs w:val="22"/>
        </w:rPr>
      </w:pPr>
      <w:r>
        <w:rPr>
          <w:rFonts w:ascii="宋体" w:hAnsi="宋体"/>
          <w:b w:val="0"/>
          <w:szCs w:val="32"/>
        </w:rPr>
        <w:fldChar w:fldCharType="begin"/>
      </w:r>
      <w:r>
        <w:rPr>
          <w:rFonts w:ascii="宋体" w:hAnsi="宋体"/>
          <w:b w:val="0"/>
          <w:szCs w:val="32"/>
        </w:rPr>
        <w:instrText xml:space="preserve"> TOC \o "1-1" \h \z \u </w:instrText>
      </w:r>
      <w:r>
        <w:rPr>
          <w:rFonts w:ascii="宋体" w:hAnsi="宋体"/>
          <w:b w:val="0"/>
          <w:szCs w:val="32"/>
        </w:rPr>
        <w:fldChar w:fldCharType="separate"/>
      </w:r>
      <w:hyperlink w:tooltip="#_Toc219796288" w:anchor="_Toc219796288" w:history="1">
        <w:r>
          <w:rPr>
            <w:rStyle w:val="869"/>
            <w:rFonts w:hint="eastAsia" w:ascii="宋体" w:hAnsi="宋体" w:cs="宋体"/>
          </w:rPr>
          <w:t xml:space="preserve">第一章投标邀请</w:t>
        </w:r>
        <w:r>
          <w:tab/>
        </w:r>
        <w:r>
          <w:fldChar w:fldCharType="begin"/>
        </w:r>
        <w:r>
          <w:instrText xml:space="preserve"> PAGEREF _Toc219796288 \h </w:instrText>
        </w:r>
        <w:r>
          <w:fldChar w:fldCharType="separate"/>
        </w:r>
        <w:r>
          <w:t xml:space="preserve">3</w:t>
        </w:r>
        <w:r>
          <w:fldChar w:fldCharType="end"/>
        </w:r>
      </w:hyperlink>
      <w:r/>
      <w:r/>
    </w:p>
    <w:p>
      <w:pPr>
        <w:pStyle w:val="856"/>
        <w:ind w:left="850"/>
        <w:tabs>
          <w:tab w:val="right" w:pos="8789" w:leader="dot"/>
        </w:tabs>
        <w:rPr>
          <w:rFonts w:ascii="Arial" w:hAnsi="Arial"/>
          <w:b w:val="0"/>
          <w:sz w:val="21"/>
          <w:szCs w:val="22"/>
        </w:rPr>
      </w:pPr>
      <w:r/>
      <w:hyperlink w:tooltip="#_Toc219796289" w:anchor="_Toc219796289" w:history="1">
        <w:r>
          <w:rPr>
            <w:rStyle w:val="869"/>
            <w:rFonts w:hint="eastAsia" w:ascii="宋体" w:hAnsi="宋体" w:cs="宋体"/>
          </w:rPr>
          <w:t xml:space="preserve">第二章投标人须知</w:t>
        </w:r>
        <w:r>
          <w:tab/>
        </w:r>
        <w:r>
          <w:fldChar w:fldCharType="begin"/>
        </w:r>
        <w:r>
          <w:instrText xml:space="preserve"> PAGEREF _Toc219796289 \h </w:instrText>
        </w:r>
        <w:r>
          <w:fldChar w:fldCharType="separate"/>
        </w:r>
        <w:r>
          <w:t xml:space="preserve">6</w:t>
        </w:r>
        <w:r>
          <w:fldChar w:fldCharType="end"/>
        </w:r>
      </w:hyperlink>
      <w:r/>
      <w:r/>
    </w:p>
    <w:p>
      <w:pPr>
        <w:pStyle w:val="856"/>
        <w:ind w:left="850"/>
        <w:tabs>
          <w:tab w:val="right" w:pos="8789" w:leader="dot"/>
        </w:tabs>
        <w:rPr>
          <w:rFonts w:ascii="Arial" w:hAnsi="Arial"/>
          <w:b w:val="0"/>
          <w:sz w:val="21"/>
          <w:szCs w:val="22"/>
        </w:rPr>
      </w:pPr>
      <w:r/>
      <w:hyperlink w:tooltip="#_Toc219796290" w:anchor="_Toc219796290" w:history="1">
        <w:r>
          <w:rPr>
            <w:rStyle w:val="869"/>
            <w:rFonts w:hint="eastAsia" w:ascii="宋体" w:hAnsi="宋体" w:cs="宋体"/>
            <w:bCs/>
          </w:rPr>
          <w:t xml:space="preserve">第三章合同文本</w:t>
        </w:r>
        <w:r>
          <w:tab/>
        </w:r>
        <w:r>
          <w:fldChar w:fldCharType="begin"/>
        </w:r>
        <w:r>
          <w:instrText xml:space="preserve"> PAGEREF _Toc219796290 \h </w:instrText>
        </w:r>
        <w:r>
          <w:fldChar w:fldCharType="separate"/>
        </w:r>
        <w:r>
          <w:t xml:space="preserve">17</w:t>
        </w:r>
        <w:r>
          <w:fldChar w:fldCharType="end"/>
        </w:r>
      </w:hyperlink>
      <w:r/>
      <w:r/>
    </w:p>
    <w:p>
      <w:pPr>
        <w:pStyle w:val="856"/>
        <w:ind w:left="850"/>
        <w:tabs>
          <w:tab w:val="right" w:pos="8789" w:leader="dot"/>
        </w:tabs>
        <w:rPr>
          <w:rFonts w:ascii="Arial" w:hAnsi="Arial"/>
          <w:b w:val="0"/>
          <w:sz w:val="21"/>
          <w:szCs w:val="22"/>
        </w:rPr>
      </w:pPr>
      <w:r/>
      <w:hyperlink w:tooltip="#_Toc219796291" w:anchor="_Toc219796291" w:history="1">
        <w:r>
          <w:rPr>
            <w:rStyle w:val="869"/>
            <w:rFonts w:hint="eastAsia" w:ascii="宋体" w:hAnsi="宋体" w:cs="宋体"/>
            <w:bCs/>
          </w:rPr>
          <w:t xml:space="preserve">第四章采购需求</w:t>
        </w:r>
        <w:r>
          <w:tab/>
        </w:r>
        <w:r>
          <w:fldChar w:fldCharType="begin"/>
        </w:r>
        <w:r>
          <w:instrText xml:space="preserve"> PAGEREF _Toc219796291 \h </w:instrText>
        </w:r>
        <w:r>
          <w:fldChar w:fldCharType="separate"/>
        </w:r>
        <w:r>
          <w:t xml:space="preserve">22</w:t>
        </w:r>
        <w:r>
          <w:fldChar w:fldCharType="end"/>
        </w:r>
      </w:hyperlink>
      <w:r/>
      <w:r/>
    </w:p>
    <w:p>
      <w:pPr>
        <w:pStyle w:val="856"/>
        <w:ind w:left="850"/>
        <w:tabs>
          <w:tab w:val="right" w:pos="8789" w:leader="dot"/>
        </w:tabs>
        <w:rPr>
          <w:rFonts w:ascii="Arial" w:hAnsi="Arial"/>
          <w:b w:val="0"/>
          <w:sz w:val="21"/>
          <w:szCs w:val="22"/>
        </w:rPr>
      </w:pPr>
      <w:r/>
      <w:hyperlink w:tooltip="#_Toc219796292" w:anchor="_Toc219796292" w:history="1">
        <w:r>
          <w:rPr>
            <w:rStyle w:val="869"/>
            <w:rFonts w:hint="eastAsia" w:ascii="宋体" w:hAnsi="宋体" w:cs="宋体"/>
            <w:bCs/>
          </w:rPr>
          <w:t xml:space="preserve">第五章评标方法与评标标准</w:t>
        </w:r>
        <w:r>
          <w:tab/>
        </w:r>
        <w:r>
          <w:fldChar w:fldCharType="begin"/>
        </w:r>
        <w:r>
          <w:instrText xml:space="preserve"> PAGEREF _Toc219796292 \h </w:instrText>
        </w:r>
        <w:r>
          <w:fldChar w:fldCharType="separate"/>
        </w:r>
        <w:r>
          <w:t xml:space="preserve">62</w:t>
        </w:r>
        <w:r>
          <w:fldChar w:fldCharType="end"/>
        </w:r>
      </w:hyperlink>
      <w:r/>
      <w:r/>
    </w:p>
    <w:p>
      <w:pPr>
        <w:pStyle w:val="856"/>
        <w:ind w:left="850"/>
        <w:tabs>
          <w:tab w:val="right" w:pos="8789" w:leader="dot"/>
        </w:tabs>
        <w:rPr>
          <w:rFonts w:ascii="Arial" w:hAnsi="Arial"/>
          <w:b w:val="0"/>
          <w:sz w:val="21"/>
          <w:szCs w:val="22"/>
        </w:rPr>
      </w:pPr>
      <w:r/>
      <w:hyperlink w:tooltip="#_Toc219796293" w:anchor="_Toc219796293" w:history="1">
        <w:r>
          <w:rPr>
            <w:rStyle w:val="869"/>
            <w:rFonts w:hint="eastAsia" w:ascii="宋体" w:hAnsi="宋体" w:cs="宋体"/>
            <w:bCs/>
          </w:rPr>
          <w:t xml:space="preserve">第六章投标文件格式</w:t>
        </w:r>
        <w:r>
          <w:tab/>
        </w:r>
        <w:r>
          <w:fldChar w:fldCharType="begin"/>
        </w:r>
        <w:r>
          <w:instrText xml:space="preserve"> PAGEREF _Toc219796293 \h </w:instrText>
        </w:r>
        <w:r>
          <w:fldChar w:fldCharType="separate"/>
        </w:r>
        <w:r>
          <w:t xml:space="preserve">71</w:t>
        </w:r>
        <w:r>
          <w:fldChar w:fldCharType="end"/>
        </w:r>
      </w:hyperlink>
      <w:r/>
      <w:r/>
    </w:p>
    <w:p>
      <w:pPr>
        <w:ind w:left="850"/>
        <w:tabs>
          <w:tab w:val="right" w:pos="8789" w:leader="dot"/>
        </w:tabs>
        <w:rPr>
          <w:rFonts w:ascii="宋体" w:hAnsi="宋体"/>
          <w:b/>
          <w:sz w:val="32"/>
          <w:szCs w:val="32"/>
        </w:rPr>
      </w:pPr>
      <w:r>
        <w:rPr>
          <w:rFonts w:ascii="宋体" w:hAnsi="宋体"/>
          <w:b/>
          <w:sz w:val="32"/>
          <w:szCs w:val="32"/>
        </w:rPr>
        <w:fldChar w:fldCharType="end"/>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br w:type="page" w:clear="all"/>
      </w:r>
      <w:r/>
    </w:p>
    <w:p>
      <w:pPr>
        <w:pStyle w:val="1047"/>
        <w:rPr>
          <w:rFonts w:ascii="宋体" w:hAnsi="宋体" w:eastAsia="宋体" w:cs="宋体"/>
          <w:bCs/>
          <w:sz w:val="44"/>
          <w:szCs w:val="44"/>
        </w:rPr>
      </w:pPr>
      <w:r/>
      <w:bookmarkStart w:id="6" w:name="_Toc219796288"/>
      <w:r>
        <w:rPr>
          <w:rFonts w:hint="eastAsia" w:ascii="宋体" w:hAnsi="宋体" w:eastAsia="宋体" w:cs="宋体"/>
          <w:sz w:val="44"/>
          <w:szCs w:val="44"/>
        </w:rPr>
        <w:t xml:space="preserve">第一章  </w:t>
      </w:r>
      <w:bookmarkEnd w:id="0"/>
      <w:r>
        <w:rPr>
          <w:rFonts w:hint="eastAsia" w:ascii="宋体" w:hAnsi="宋体" w:eastAsia="宋体" w:cs="宋体"/>
          <w:sz w:val="44"/>
          <w:szCs w:val="44"/>
        </w:rPr>
        <w:t xml:space="preserve">投标邀请</w:t>
      </w:r>
      <w:bookmarkEnd w:id="6"/>
      <w:r/>
      <w:r/>
    </w:p>
    <w:p>
      <w:pPr>
        <w:ind w:firstLine="540"/>
        <w:spacing w:line="360" w:lineRule="auto"/>
        <w:rPr>
          <w:rFonts w:ascii="宋体" w:hAnsi="宋体" w:cs="宋体"/>
          <w:sz w:val="24"/>
          <w:szCs w:val="24"/>
        </w:rPr>
      </w:pPr>
      <w:r/>
      <w:bookmarkStart w:id="7" w:name="_Toc35393790"/>
      <w:r/>
      <w:bookmarkStart w:id="8" w:name="_Toc28359079"/>
      <w:r/>
      <w:bookmarkStart w:id="9" w:name="_Toc28359002"/>
      <w:r/>
      <w:bookmarkStart w:id="10" w:name="_Toc35393621"/>
      <w:r/>
      <w:bookmarkStart w:id="11" w:name="_Toc38985263"/>
      <w:r/>
      <w:bookmarkStart w:id="12" w:name="_Hlk24379207"/>
      <w:r>
        <w:rPr>
          <w:rFonts w:hint="eastAsia" w:ascii="宋体" w:hAnsi="宋体" w:cs="宋体"/>
          <w:sz w:val="24"/>
          <w:szCs w:val="24"/>
        </w:rPr>
        <w:t xml:space="preserve">项目概况：南通经济技术开发区推进全国社会治安防控体系示范城市创建项目标段7招标项目的潜在投标人应在“苏采云”系统获取招标文件，并于2026年08月05日09点30分（北京时间）前递交投标文件。</w:t>
      </w:r>
      <w:r/>
    </w:p>
    <w:p>
      <w:pPr>
        <w:pStyle w:val="912"/>
        <w:ind w:firstLine="498"/>
        <w:spacing w:before="145" w:after="145" w:line="360" w:lineRule="auto"/>
        <w:rPr>
          <w:rFonts w:ascii="宋体" w:hAnsi="宋体" w:cs="宋体"/>
        </w:rPr>
      </w:pPr>
      <w:r>
        <w:rPr>
          <w:rFonts w:hint="eastAsia" w:ascii="宋体" w:hAnsi="宋体" w:cs="宋体"/>
        </w:rPr>
        <w:t xml:space="preserve">一、项目基本情况</w:t>
      </w:r>
      <w:bookmarkEnd w:id="7"/>
      <w:r/>
      <w:bookmarkEnd w:id="8"/>
      <w:r/>
      <w:bookmarkEnd w:id="9"/>
      <w:r/>
      <w:bookmarkEnd w:id="10"/>
      <w:r/>
      <w:bookmarkEnd w:id="11"/>
      <w:r/>
      <w:r/>
    </w:p>
    <w:p>
      <w:pPr>
        <w:ind w:firstLine="540"/>
        <w:spacing w:line="360" w:lineRule="auto"/>
        <w:rPr>
          <w:rFonts w:ascii="宋体" w:hAnsi="宋体" w:cs="宋体"/>
          <w:sz w:val="24"/>
          <w:szCs w:val="24"/>
        </w:rPr>
      </w:pPr>
      <w:r/>
      <w:bookmarkStart w:id="13" w:name="_Toc28359003"/>
      <w:r/>
      <w:bookmarkStart w:id="14" w:name="_Toc35393791"/>
      <w:r/>
      <w:bookmarkStart w:id="15" w:name="_Toc28359080"/>
      <w:r/>
      <w:bookmarkStart w:id="16" w:name="_Toc35393622"/>
      <w:r/>
      <w:bookmarkStart w:id="17" w:name="_Toc38985264"/>
      <w:r/>
      <w:bookmarkEnd w:id="12"/>
      <w:r>
        <w:rPr>
          <w:rFonts w:hint="eastAsia" w:ascii="宋体" w:hAnsi="宋体" w:cs="宋体"/>
          <w:sz w:val="24"/>
          <w:szCs w:val="24"/>
        </w:rPr>
        <w:t xml:space="preserve">项目编号：</w:t>
      </w:r>
      <w:r>
        <w:rPr>
          <w:rFonts w:ascii="宋体" w:hAnsi="宋体" w:cs="宋体"/>
          <w:sz w:val="24"/>
          <w:szCs w:val="24"/>
        </w:rPr>
        <w:t xml:space="preserve">JSZC-320690-JZCG-G2026-0002</w:t>
      </w:r>
      <w:r/>
    </w:p>
    <w:p>
      <w:pPr>
        <w:ind w:firstLine="540"/>
        <w:spacing w:line="360" w:lineRule="auto"/>
        <w:rPr>
          <w:rFonts w:ascii="宋体" w:hAnsi="宋体" w:cs="宋体"/>
          <w:sz w:val="24"/>
          <w:szCs w:val="24"/>
        </w:rPr>
      </w:pPr>
      <w:r>
        <w:rPr>
          <w:rFonts w:hint="eastAsia" w:ascii="宋体" w:hAnsi="宋体" w:cs="宋体"/>
          <w:sz w:val="24"/>
          <w:szCs w:val="24"/>
        </w:rPr>
        <w:t xml:space="preserve">项目名称：南通经济技术开发区推进全国社会治安防控体系示范城市创建项目标段7</w:t>
      </w:r>
      <w:r/>
    </w:p>
    <w:p>
      <w:pPr>
        <w:ind w:firstLine="540"/>
        <w:spacing w:line="360" w:lineRule="auto"/>
        <w:rPr>
          <w:rFonts w:ascii="宋体" w:hAnsi="宋体" w:cs="宋体"/>
          <w:sz w:val="24"/>
          <w:szCs w:val="24"/>
        </w:rPr>
      </w:pPr>
      <w:r>
        <w:rPr>
          <w:rFonts w:hint="eastAsia" w:ascii="宋体" w:hAnsi="宋体" w:cs="宋体"/>
          <w:sz w:val="24"/>
          <w:szCs w:val="24"/>
        </w:rPr>
        <w:t xml:space="preserve">预算金额：810万元</w:t>
      </w:r>
      <w:r/>
    </w:p>
    <w:p>
      <w:pPr>
        <w:ind w:firstLine="540"/>
        <w:spacing w:line="360" w:lineRule="auto"/>
        <w:rPr>
          <w:rFonts w:ascii="宋体" w:hAnsi="宋体" w:cs="宋体"/>
          <w:sz w:val="24"/>
          <w:szCs w:val="24"/>
        </w:rPr>
      </w:pPr>
      <w:r>
        <w:rPr>
          <w:rFonts w:hint="eastAsia" w:ascii="宋体" w:hAnsi="宋体" w:cs="宋体"/>
          <w:sz w:val="24"/>
          <w:szCs w:val="24"/>
        </w:rPr>
        <w:t xml:space="preserve">最高限价：810万元，最终报价超过限价的为无效投标。</w:t>
      </w:r>
      <w:r/>
    </w:p>
    <w:p>
      <w:pPr>
        <w:ind w:firstLine="540"/>
        <w:spacing w:line="360" w:lineRule="auto"/>
        <w:rPr>
          <w:rFonts w:ascii="宋体" w:hAnsi="宋体" w:cs="宋体"/>
          <w:sz w:val="24"/>
          <w:szCs w:val="24"/>
        </w:rPr>
      </w:pPr>
      <w:r>
        <w:rPr>
          <w:rFonts w:hint="eastAsia" w:ascii="宋体" w:hAnsi="宋体" w:cs="宋体"/>
          <w:sz w:val="24"/>
          <w:szCs w:val="24"/>
        </w:rPr>
        <w:t xml:space="preserve">采购需求：详见第四部分项目需求。</w:t>
      </w:r>
      <w:r/>
    </w:p>
    <w:p>
      <w:pPr>
        <w:ind w:firstLine="540"/>
        <w:spacing w:line="360" w:lineRule="auto"/>
        <w:rPr>
          <w:rFonts w:ascii="宋体" w:hAnsi="宋体" w:cs="宋体"/>
          <w:sz w:val="24"/>
          <w:szCs w:val="24"/>
        </w:rPr>
      </w:pPr>
      <w:r>
        <w:rPr>
          <w:rFonts w:hint="eastAsia" w:ascii="宋体" w:hAnsi="宋体" w:cs="宋体"/>
          <w:sz w:val="24"/>
          <w:szCs w:val="24"/>
        </w:rPr>
        <w:t xml:space="preserve">合同履行期限：详见第四部分项目需求。</w:t>
      </w:r>
      <w:r/>
    </w:p>
    <w:p>
      <w:pPr>
        <w:ind w:firstLine="540"/>
        <w:spacing w:line="360" w:lineRule="auto"/>
        <w:rPr>
          <w:rFonts w:ascii="宋体" w:hAnsi="宋体" w:cs="宋体"/>
          <w:sz w:val="24"/>
          <w:szCs w:val="24"/>
        </w:rPr>
      </w:pPr>
      <w:r>
        <w:rPr>
          <w:rFonts w:hint="eastAsia" w:ascii="宋体" w:hAnsi="宋体" w:cs="宋体"/>
          <w:sz w:val="24"/>
          <w:szCs w:val="24"/>
        </w:rPr>
        <w:t xml:space="preserve">所属行业：信息传输业（包括电信、互联网及相关服务）。</w:t>
      </w:r>
      <w:r/>
    </w:p>
    <w:p>
      <w:pPr>
        <w:ind w:firstLine="540"/>
        <w:spacing w:line="360" w:lineRule="auto"/>
        <w:rPr>
          <w:rFonts w:ascii="宋体" w:hAnsi="宋体" w:cs="宋体"/>
          <w:sz w:val="24"/>
          <w:szCs w:val="24"/>
        </w:rPr>
      </w:pPr>
      <w:r>
        <w:rPr>
          <w:rFonts w:hint="eastAsia" w:ascii="宋体" w:hAnsi="宋体" w:cs="宋体"/>
          <w:sz w:val="24"/>
          <w:szCs w:val="24"/>
        </w:rPr>
        <w:t xml:space="preserve">本项目不接受联合体投标。</w:t>
      </w:r>
      <w:r/>
    </w:p>
    <w:p>
      <w:pPr>
        <w:pStyle w:val="912"/>
        <w:ind w:firstLine="498"/>
        <w:spacing w:before="145" w:after="145" w:line="360" w:lineRule="auto"/>
        <w:rPr>
          <w:rFonts w:ascii="宋体" w:hAnsi="宋体" w:cs="宋体"/>
        </w:rPr>
      </w:pPr>
      <w:r>
        <w:rPr>
          <w:rFonts w:hint="eastAsia" w:ascii="宋体" w:hAnsi="宋体" w:cs="宋体"/>
        </w:rPr>
        <w:t xml:space="preserve">二、申请人的资格要求：</w:t>
      </w:r>
      <w:bookmarkEnd w:id="13"/>
      <w:r/>
      <w:bookmarkEnd w:id="14"/>
      <w:r/>
      <w:bookmarkEnd w:id="15"/>
      <w:r/>
      <w:bookmarkEnd w:id="16"/>
      <w:r/>
      <w:bookmarkEnd w:id="17"/>
      <w:r/>
      <w:r/>
    </w:p>
    <w:p>
      <w:pPr>
        <w:ind w:firstLine="540"/>
        <w:spacing w:line="360" w:lineRule="auto"/>
        <w:rPr>
          <w:rFonts w:ascii="宋体" w:hAnsi="宋体" w:cs="宋体"/>
          <w:sz w:val="24"/>
          <w:szCs w:val="24"/>
        </w:rPr>
      </w:pPr>
      <w:r/>
      <w:bookmarkStart w:id="18" w:name="_Toc28359081"/>
      <w:r/>
      <w:bookmarkStart w:id="19" w:name="_Toc35393792"/>
      <w:r/>
      <w:bookmarkStart w:id="20" w:name="_Toc38985265"/>
      <w:r/>
      <w:bookmarkStart w:id="21" w:name="_Toc28359004"/>
      <w:r/>
      <w:bookmarkStart w:id="22" w:name="_Toc35393623"/>
      <w:r>
        <w:rPr>
          <w:rFonts w:hint="eastAsia" w:ascii="宋体" w:hAnsi="宋体" w:cs="宋体"/>
          <w:sz w:val="24"/>
          <w:szCs w:val="24"/>
        </w:rPr>
        <w:t xml:space="preserve">1.满足《中华人民共和国政府采购法》第二十二条规定；</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2.未被“信用中国”网站、“中国政府采购网”列入失信被执行人、重大税收违法案件当事人名单、政府采购严重违法失信行为记录名单；</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3.有效的营业执照；</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4.法人授权书；</w:t>
      </w:r>
      <w:r/>
    </w:p>
    <w:p>
      <w:pPr>
        <w:ind w:firstLine="540"/>
        <w:spacing w:line="360" w:lineRule="auto"/>
        <w:rPr>
          <w:rFonts w:ascii="宋体" w:hAnsi="宋体" w:cs="宋体"/>
          <w:sz w:val="24"/>
          <w:szCs w:val="24"/>
        </w:rPr>
      </w:pPr>
      <w:r>
        <w:rPr>
          <w:rFonts w:hint="eastAsia" w:ascii="宋体" w:hAnsi="宋体" w:cs="宋体"/>
          <w:sz w:val="24"/>
          <w:szCs w:val="24"/>
        </w:rPr>
        <w:t xml:space="preserve">5.投标函;</w:t>
      </w:r>
      <w:r/>
    </w:p>
    <w:p>
      <w:pPr>
        <w:ind w:firstLine="540"/>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.落实政府采购政策需满足的资格要求：是否专门面向中小微企业(否)；</w:t>
      </w:r>
      <w:r/>
    </w:p>
    <w:p>
      <w:pPr>
        <w:ind w:firstLine="540"/>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本项目的特定资格要求：投标人必须是具有本地通信线路资源的基础运营商（提供相关证明文件），若分支机构投标的，须提供分支机构的营业执照及总公司出具给分支机构的授权书（同一家运营商只能一家分支机构参与投标）。</w:t>
      </w:r>
      <w:r/>
    </w:p>
    <w:p>
      <w:pPr>
        <w:pStyle w:val="912"/>
        <w:ind w:firstLine="498"/>
        <w:spacing w:before="145" w:after="145" w:line="360" w:lineRule="auto"/>
        <w:rPr>
          <w:rFonts w:ascii="宋体" w:hAnsi="宋体" w:cs="宋体"/>
        </w:rPr>
      </w:pPr>
      <w:r>
        <w:rPr>
          <w:rFonts w:hint="eastAsia" w:ascii="宋体" w:hAnsi="宋体" w:cs="宋体"/>
        </w:rPr>
        <w:t xml:space="preserve">三、获取招标文件</w:t>
      </w:r>
      <w:bookmarkEnd w:id="18"/>
      <w:r/>
      <w:bookmarkEnd w:id="19"/>
      <w:r/>
      <w:bookmarkEnd w:id="20"/>
      <w:r/>
      <w:bookmarkEnd w:id="21"/>
      <w:r/>
      <w:bookmarkEnd w:id="22"/>
      <w:r/>
      <w:r/>
    </w:p>
    <w:p>
      <w:pPr>
        <w:ind w:firstLine="540"/>
        <w:spacing w:line="360" w:lineRule="auto"/>
        <w:rPr>
          <w:rFonts w:ascii="宋体" w:hAnsi="宋体" w:cs="宋体"/>
          <w:sz w:val="24"/>
          <w:szCs w:val="24"/>
        </w:rPr>
      </w:pPr>
      <w:r/>
      <w:bookmarkStart w:id="23" w:name="_Toc28359005"/>
      <w:r/>
      <w:bookmarkStart w:id="24" w:name="_Toc28359082"/>
      <w:r/>
      <w:bookmarkStart w:id="25" w:name="_Toc38985266"/>
      <w:r/>
      <w:bookmarkStart w:id="26" w:name="_Toc35393624"/>
      <w:r/>
      <w:bookmarkStart w:id="27" w:name="_Toc35393793"/>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rPr>
      </w:pPr>
      <w:r>
        <w:rPr>
          <w:rFonts w:hint="eastAsia" w:ascii="宋体" w:hAnsi="宋体" w:cs="宋体"/>
          <w:sz w:val="24"/>
          <w:szCs w:val="24"/>
        </w:rPr>
        <w:t xml:space="preserve">2.方式：“苏采云”系统</w:t>
      </w:r>
      <w:r/>
    </w:p>
    <w:p>
      <w:pPr>
        <w:ind w:firstLine="540"/>
        <w:spacing w:line="360" w:lineRule="auto"/>
        <w:rPr>
          <w:rFonts w:ascii="宋体" w:hAnsi="宋体" w:cs="宋体"/>
          <w:sz w:val="24"/>
          <w:szCs w:val="24"/>
        </w:rPr>
      </w:pPr>
      <w:r>
        <w:rPr>
          <w:rFonts w:hint="eastAsia" w:ascii="宋体" w:hAnsi="宋体" w:cs="宋体"/>
          <w:sz w:val="24"/>
          <w:szCs w:val="24"/>
        </w:rPr>
        <w:t xml:space="preserve">3.潜在供应商访问电子招标响应交易平台的网络地址和方法：</w:t>
      </w:r>
      <w:r/>
    </w:p>
    <w:p>
      <w:pPr>
        <w:ind w:firstLine="540"/>
        <w:spacing w:line="360" w:lineRule="auto"/>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360" w:lineRule="auto"/>
        <w:rPr>
          <w:rFonts w:ascii="宋体" w:hAnsi="宋体" w:cs="宋体"/>
          <w:sz w:val="24"/>
          <w:szCs w:val="24"/>
        </w:rPr>
      </w:pPr>
      <w:r>
        <w:rPr>
          <w:rFonts w:hint="eastAsia" w:ascii="宋体" w:hAnsi="宋体" w:cs="宋体"/>
          <w:sz w:val="24"/>
          <w:szCs w:val="24"/>
        </w:rPr>
        <w:t xml:space="preserve">4.潜在供应商访问“苏采云”系统的网络地址和方法：“苏采云”系统的网址：http://jszfcg.jsczt.cn/</w:t>
      </w:r>
      <w:r/>
    </w:p>
    <w:p>
      <w:pPr>
        <w:ind w:firstLine="540"/>
        <w:spacing w:line="360" w:lineRule="auto"/>
        <w:rPr>
          <w:rFonts w:ascii="宋体" w:hAnsi="宋体" w:cs="宋体"/>
          <w:sz w:val="24"/>
          <w:szCs w:val="24"/>
        </w:rPr>
      </w:pPr>
      <w:r>
        <w:rPr>
          <w:rFonts w:hint="eastAsia" w:ascii="宋体" w:hAnsi="宋体" w:cs="宋体"/>
          <w:sz w:val="24"/>
          <w:szCs w:val="24"/>
        </w:rPr>
        <w:t xml:space="preserve">5.“CA数字证书”的获取</w:t>
      </w:r>
      <w:r/>
    </w:p>
    <w:p>
      <w:pPr>
        <w:ind w:firstLine="540"/>
        <w:spacing w:line="360" w:lineRule="auto"/>
        <w:rPr>
          <w:rFonts w:ascii="宋体" w:hAnsi="宋体" w:cs="宋体"/>
          <w:sz w:val="24"/>
          <w:szCs w:val="24"/>
        </w:rPr>
      </w:pPr>
      <w:r>
        <w:rPr>
          <w:rFonts w:hint="eastAsia" w:ascii="宋体" w:hAnsi="宋体" w:cs="宋体"/>
          <w:sz w:val="24"/>
          <w:szCs w:val="24"/>
        </w:rPr>
        <w:t xml:space="preserve">供应商需办理“CA数字证书”，CA办理指南及“苏采云”操作手册可至江苏省政府采购网—办事指南－资料下载中心下载。</w:t>
      </w:r>
      <w:r/>
    </w:p>
    <w:p>
      <w:pPr>
        <w:ind w:firstLine="540"/>
        <w:spacing w:line="360" w:lineRule="auto"/>
        <w:rPr>
          <w:rFonts w:ascii="宋体" w:hAnsi="宋体" w:cs="宋体"/>
          <w:sz w:val="24"/>
          <w:szCs w:val="24"/>
        </w:rPr>
      </w:pPr>
      <w:r>
        <w:rPr>
          <w:rFonts w:hint="eastAsia" w:ascii="宋体" w:hAnsi="宋体" w:cs="宋体"/>
          <w:sz w:val="24"/>
          <w:szCs w:val="24"/>
        </w:rPr>
        <w:t xml:space="preserve">采购文件（后缀名为“kedt”）、供应商操作手册及政府采购客户端工具可通过“苏采云”系统－－已报名项目－－报名详情页面内相应链接进行下载。</w:t>
      </w:r>
      <w:r/>
    </w:p>
    <w:p>
      <w:pPr>
        <w:ind w:firstLine="540"/>
        <w:spacing w:line="360" w:lineRule="auto"/>
        <w:rPr>
          <w:rFonts w:ascii="宋体" w:hAnsi="宋体" w:cs="宋体"/>
          <w:sz w:val="24"/>
          <w:szCs w:val="24"/>
        </w:rPr>
      </w:pPr>
      <w:r>
        <w:rPr>
          <w:rFonts w:hint="eastAsia" w:ascii="宋体" w:hAnsi="宋体" w:cs="宋体"/>
          <w:sz w:val="24"/>
          <w:szCs w:val="24"/>
        </w:rPr>
        <w:t xml:space="preserve">采购人或采购代理机构将数据电文形式的采购文件加载至“苏采云”系统，供潜在供应商下载或者查阅。</w:t>
      </w:r>
      <w:r/>
    </w:p>
    <w:p>
      <w:pPr>
        <w:ind w:firstLine="540"/>
        <w:spacing w:line="360" w:lineRule="auto"/>
        <w:rPr>
          <w:rFonts w:ascii="宋体" w:hAnsi="宋体" w:cs="宋体"/>
          <w:sz w:val="24"/>
          <w:szCs w:val="24"/>
        </w:rPr>
      </w:pPr>
      <w:r>
        <w:rPr>
          <w:rFonts w:hint="eastAsia" w:ascii="宋体" w:hAnsi="宋体" w:cs="宋体"/>
          <w:sz w:val="24"/>
          <w:szCs w:val="24"/>
        </w:rPr>
        <w:t xml:space="preserve">8.请潜在供应商提前安装相应的控件，详见《江苏省政府采购管理交易系统（苏采云）供应商操作手册》，并使用谷歌浏览器登录“苏采云”系统参与不见面开评标。</w:t>
      </w:r>
      <w:r/>
    </w:p>
    <w:p>
      <w:pPr>
        <w:ind w:firstLine="540"/>
        <w:spacing w:line="360" w:lineRule="auto"/>
        <w:rPr>
          <w:rFonts w:ascii="宋体" w:hAnsi="宋体" w:cs="宋体"/>
          <w:sz w:val="24"/>
          <w:szCs w:val="24"/>
        </w:rPr>
      </w:pPr>
      <w:r>
        <w:rPr>
          <w:rFonts w:hint="eastAsia" w:ascii="宋体" w:hAnsi="宋体" w:cs="宋体"/>
          <w:sz w:val="24"/>
          <w:szCs w:val="24"/>
        </w:rPr>
        <w:t xml:space="preserve">注：如潜在供应商未按上述要求操作，将自行承担所产生的风险。</w:t>
      </w:r>
      <w:r/>
    </w:p>
    <w:p>
      <w:pPr>
        <w:pStyle w:val="912"/>
        <w:ind w:firstLine="498"/>
        <w:spacing w:before="145" w:after="145" w:line="360" w:lineRule="auto"/>
        <w:rPr>
          <w:rFonts w:ascii="宋体" w:hAnsi="宋体" w:cs="宋体"/>
        </w:rPr>
      </w:pPr>
      <w:r>
        <w:rPr>
          <w:rFonts w:hint="eastAsia" w:ascii="宋体" w:hAnsi="宋体" w:cs="宋体"/>
        </w:rPr>
        <w:t xml:space="preserve">四、提交投标文件</w:t>
      </w:r>
      <w:bookmarkEnd w:id="23"/>
      <w:r/>
      <w:bookmarkEnd w:id="24"/>
      <w:r>
        <w:rPr>
          <w:rFonts w:hint="eastAsia" w:ascii="宋体" w:hAnsi="宋体" w:cs="宋体"/>
        </w:rPr>
        <w:t xml:space="preserve">截止时间、开标时间和地点</w:t>
      </w:r>
      <w:bookmarkEnd w:id="25"/>
      <w:r/>
      <w:bookmarkEnd w:id="26"/>
      <w:r/>
      <w:bookmarkEnd w:id="27"/>
      <w:r/>
      <w:r/>
    </w:p>
    <w:p>
      <w:pPr>
        <w:ind w:firstLine="54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 </w:t>
      </w:r>
      <w:r>
        <w:rPr>
          <w:rFonts w:hint="eastAsia" w:ascii="宋体" w:hAnsi="宋体" w:cs="宋体"/>
          <w:sz w:val="24"/>
          <w:szCs w:val="24"/>
          <w:u w:val="single"/>
        </w:rPr>
        <w:t xml:space="preserve">2026年08月05日09点30分</w:t>
      </w:r>
      <w:r>
        <w:rPr>
          <w:rFonts w:hint="eastAsia" w:ascii="宋体" w:hAnsi="宋体" w:cs="宋体"/>
          <w:sz w:val="24"/>
          <w:szCs w:val="24"/>
        </w:rPr>
        <w:t xml:space="preserve">（北京时间）</w:t>
      </w:r>
      <w:r/>
    </w:p>
    <w:p>
      <w:pPr>
        <w:ind w:firstLine="540"/>
        <w:spacing w:line="360" w:lineRule="auto"/>
        <w:rPr>
          <w:rFonts w:ascii="宋体" w:hAnsi="宋体" w:cs="宋体"/>
          <w:sz w:val="24"/>
          <w:szCs w:val="24"/>
        </w:rPr>
      </w:pPr>
      <w:r>
        <w:rPr>
          <w:rFonts w:hint="eastAsia" w:ascii="宋体" w:hAnsi="宋体" w:cs="宋体"/>
          <w:sz w:val="24"/>
          <w:szCs w:val="24"/>
        </w:rPr>
        <w:t xml:space="preserve">2.地点：“苏采云”政府采购交易系统网上开标大厅。</w:t>
      </w:r>
      <w:r/>
    </w:p>
    <w:p>
      <w:pPr>
        <w:pStyle w:val="912"/>
        <w:ind w:firstLine="498"/>
        <w:spacing w:before="145" w:after="145" w:line="360" w:lineRule="auto"/>
        <w:rPr>
          <w:rFonts w:ascii="宋体" w:hAnsi="宋体" w:cs="宋体"/>
        </w:rPr>
      </w:pPr>
      <w:r/>
      <w:bookmarkStart w:id="28" w:name="_Toc38985267"/>
      <w:r/>
      <w:bookmarkStart w:id="29" w:name="_Toc28359084"/>
      <w:r/>
      <w:bookmarkStart w:id="30" w:name="_Toc35393625"/>
      <w:r/>
      <w:bookmarkStart w:id="31" w:name="_Toc35393794"/>
      <w:r/>
      <w:bookmarkStart w:id="32" w:name="_Toc28359007"/>
      <w:r>
        <w:rPr>
          <w:rFonts w:hint="eastAsia" w:ascii="宋体" w:hAnsi="宋体" w:cs="宋体"/>
        </w:rPr>
        <w:t xml:space="preserve">五、公告期限</w:t>
      </w:r>
      <w:bookmarkEnd w:id="28"/>
      <w:r/>
      <w:bookmarkEnd w:id="29"/>
      <w:r/>
      <w:bookmarkEnd w:id="30"/>
      <w:r/>
      <w:bookmarkEnd w:id="31"/>
      <w:r/>
      <w:bookmarkEnd w:id="32"/>
      <w:r/>
      <w:r/>
    </w:p>
    <w:p>
      <w:pPr>
        <w:ind w:firstLine="480"/>
        <w:rPr>
          <w:rFonts w:ascii="宋体" w:hAnsi="宋体" w:cs="宋体"/>
          <w:sz w:val="24"/>
          <w:szCs w:val="24"/>
        </w:rPr>
      </w:pPr>
      <w:r/>
      <w:bookmarkStart w:id="33" w:name="_Toc35393795"/>
      <w:r/>
      <w:bookmarkStart w:id="34" w:name="_Toc35393626"/>
      <w:r/>
      <w:bookmarkStart w:id="35" w:name="_Toc38985268"/>
      <w:r>
        <w:rPr>
          <w:rFonts w:hint="eastAsia" w:ascii="宋体" w:hAnsi="宋体" w:cs="宋体"/>
          <w:sz w:val="24"/>
          <w:szCs w:val="24"/>
        </w:rPr>
        <w:t xml:space="preserve">招标公告及招标文件公告期限为自本公告发布之日起5个工作日。</w:t>
      </w:r>
      <w:r/>
    </w:p>
    <w:p>
      <w:pPr>
        <w:pStyle w:val="912"/>
        <w:ind w:firstLine="498"/>
        <w:spacing w:before="145" w:after="145" w:line="360" w:lineRule="auto"/>
        <w:rPr>
          <w:rFonts w:ascii="宋体" w:hAnsi="宋体" w:cs="宋体"/>
        </w:rPr>
      </w:pPr>
      <w:r>
        <w:rPr>
          <w:rFonts w:hint="eastAsia" w:ascii="宋体" w:hAnsi="宋体" w:cs="宋体"/>
        </w:rPr>
        <w:t xml:space="preserve">六、其他补充事宜</w:t>
      </w:r>
      <w:bookmarkEnd w:id="33"/>
      <w:r/>
      <w:bookmarkEnd w:id="34"/>
      <w:r/>
      <w:bookmarkEnd w:id="35"/>
      <w:r/>
      <w:r/>
    </w:p>
    <w:p>
      <w:pPr>
        <w:ind w:firstLine="560"/>
        <w:spacing w:line="480" w:lineRule="exact"/>
        <w:rPr>
          <w:rFonts w:ascii="宋体" w:hAnsi="宋体" w:cs="宋体"/>
          <w:sz w:val="24"/>
          <w:szCs w:val="24"/>
        </w:rPr>
      </w:pPr>
      <w:r/>
      <w:bookmarkStart w:id="36" w:name="_Toc28359085"/>
      <w:r/>
      <w:bookmarkStart w:id="37" w:name="_Toc28359008"/>
      <w:r/>
      <w:bookmarkStart w:id="38" w:name="_Toc38985269"/>
      <w:r/>
      <w:bookmarkStart w:id="39" w:name="_Toc35393627"/>
      <w:r/>
      <w:bookmarkStart w:id="40" w:name="_Toc35393796"/>
      <w:r>
        <w:rPr>
          <w:rFonts w:hint="eastAsia" w:ascii="宋体" w:hAnsi="宋体" w:cs="宋体"/>
          <w:sz w:val="24"/>
          <w:szCs w:val="24"/>
        </w:rPr>
        <w:t xml:space="preserve">1. 投标保证金：免收</w:t>
      </w:r>
      <w:r/>
    </w:p>
    <w:p>
      <w:pPr>
        <w:ind w:firstLine="560"/>
        <w:spacing w:line="480" w:lineRule="exact"/>
        <w:rPr>
          <w:rFonts w:ascii="宋体" w:hAnsi="宋体" w:cs="宋体"/>
          <w:sz w:val="24"/>
          <w:szCs w:val="24"/>
        </w:rPr>
      </w:pPr>
      <w:r>
        <w:rPr>
          <w:rFonts w:hint="eastAsia" w:ascii="宋体" w:hAnsi="宋体" w:cs="宋体"/>
          <w:sz w:val="24"/>
          <w:szCs w:val="24"/>
        </w:rPr>
        <w:t xml:space="preserve">2. 项目演示、样品、答辩等：有。</w:t>
      </w:r>
      <w:r/>
    </w:p>
    <w:p>
      <w:pPr>
        <w:ind w:firstLine="560"/>
        <w:spacing w:line="480" w:lineRule="exact"/>
        <w:rPr>
          <w:rFonts w:ascii="宋体" w:hAnsi="宋体" w:cs="宋体"/>
          <w:sz w:val="24"/>
          <w:szCs w:val="24"/>
        </w:rPr>
      </w:pPr>
      <w:r>
        <w:rPr>
          <w:rFonts w:hint="eastAsia" w:ascii="宋体" w:hAnsi="宋体" w:cs="宋体"/>
          <w:sz w:val="24"/>
          <w:szCs w:val="24"/>
        </w:rPr>
        <w:t xml:space="preserve">3. 供应商系统操作过程中如遇问题，请致电“苏采云”客服0519-86722801。</w:t>
      </w:r>
      <w:r/>
    </w:p>
    <w:p>
      <w:pPr>
        <w:numPr>
          <w:ilvl w:val="0"/>
          <w:numId w:val="4"/>
        </w:numPr>
        <w:ind w:firstLine="560"/>
        <w:spacing w:line="480" w:lineRule="exact"/>
        <w:rPr>
          <w:rFonts w:ascii="宋体" w:hAnsi="宋体" w:cs="宋体"/>
          <w:bCs/>
          <w:sz w:val="24"/>
          <w:szCs w:val="24"/>
        </w:rPr>
      </w:pPr>
      <w:r>
        <w:rPr>
          <w:rFonts w:hint="eastAsia" w:ascii="宋体" w:hAnsi="宋体" w:cs="宋体"/>
          <w:bCs/>
          <w:sz w:val="24"/>
          <w:szCs w:val="24"/>
        </w:rPr>
        <w:t xml:space="preserve">有关本次招标的事项若存在变动或修改，</w:t>
      </w:r>
      <w:r>
        <w:rPr>
          <w:rFonts w:hint="eastAsia" w:ascii="宋体" w:hAnsi="宋体" w:cs="宋体"/>
          <w:sz w:val="24"/>
          <w:szCs w:val="24"/>
        </w:rPr>
        <w:t xml:space="preserve">均以江苏政府采购网发布的更正或补充通知为准，</w:t>
      </w:r>
      <w:r>
        <w:rPr>
          <w:rFonts w:hint="eastAsia" w:ascii="宋体" w:hAnsi="宋体" w:cs="宋体"/>
          <w:bCs/>
          <w:sz w:val="24"/>
          <w:szCs w:val="24"/>
        </w:rPr>
        <w:t xml:space="preserve">敬请及时关注。</w:t>
      </w:r>
      <w:r/>
    </w:p>
    <w:p>
      <w:pPr>
        <w:numPr>
          <w:ilvl w:val="0"/>
          <w:numId w:val="4"/>
        </w:numPr>
        <w:ind w:firstLine="560"/>
        <w:spacing w:line="480" w:lineRule="exact"/>
        <w:rPr>
          <w:rFonts w:ascii="宋体" w:hAnsi="宋体" w:cs="宋体"/>
          <w:bCs/>
          <w:sz w:val="24"/>
          <w:szCs w:val="24"/>
        </w:rPr>
      </w:pPr>
      <w:r>
        <w:rPr>
          <w:rFonts w:hint="eastAsia" w:ascii="宋体" w:hAnsi="宋体" w:cs="宋体"/>
          <w:sz w:val="24"/>
          <w:szCs w:val="24"/>
        </w:rPr>
        <w:t xml:space="preserve">供应商应依照规定提交各类声明函、承诺函，不再同时提供原件备查或提供有关部门出具的相关证明文件。但中标供应商应做好提交声明函、承诺函相应原件的核查准备；核查后</w:t>
      </w:r>
      <w:r>
        <w:rPr>
          <w:rFonts w:hint="eastAsia" w:ascii="宋体" w:hAnsi="宋体" w:cs="宋体"/>
          <w:b/>
          <w:bCs/>
          <w:sz w:val="24"/>
          <w:szCs w:val="24"/>
        </w:rPr>
        <w:t xml:space="preserve">发现虚假或违背承诺的，依照相关法律法规规定处理</w:t>
      </w:r>
      <w:r>
        <w:rPr>
          <w:rFonts w:hint="eastAsia" w:ascii="宋体" w:hAnsi="宋体" w:cs="宋体"/>
          <w:sz w:val="24"/>
          <w:szCs w:val="24"/>
        </w:rPr>
        <w:t xml:space="preserve">。</w:t>
      </w:r>
      <w:r/>
    </w:p>
    <w:p>
      <w:pPr>
        <w:ind w:firstLine="560"/>
        <w:spacing w:line="480" w:lineRule="exact"/>
        <w:rPr>
          <w:rFonts w:ascii="宋体" w:hAnsi="宋体" w:cs="宋体"/>
          <w:sz w:val="24"/>
          <w:szCs w:val="24"/>
        </w:rPr>
      </w:pPr>
      <w:r>
        <w:rPr>
          <w:rFonts w:hint="eastAsia" w:ascii="宋体" w:hAnsi="宋体" w:cs="宋体"/>
          <w:sz w:val="24"/>
          <w:szCs w:val="24"/>
        </w:rPr>
        <w:t xml:space="preserve">6. “苏采云”系统使用相关提醒</w:t>
      </w:r>
      <w:r/>
    </w:p>
    <w:p>
      <w:pPr>
        <w:ind w:firstLine="560"/>
        <w:jc w:val="left"/>
        <w:spacing w:line="480" w:lineRule="exact"/>
        <w:tabs>
          <w:tab w:val="left" w:pos="900" w:leader="none"/>
        </w:tabs>
        <w:rPr>
          <w:rFonts w:ascii="宋体" w:hAnsi="宋体" w:cs="宋体"/>
          <w:bCs/>
          <w:sz w:val="24"/>
          <w:szCs w:val="24"/>
        </w:rPr>
      </w:pPr>
      <w:r>
        <w:rPr>
          <w:rFonts w:hint="eastAsia" w:ascii="宋体" w:hAnsi="宋体" w:cs="宋体"/>
          <w:bCs/>
          <w:sz w:val="24"/>
          <w:szCs w:val="24"/>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hyperlink r:id="rId17" w:tooltip="http://www.ccgp-jiangsu.gov.cn/jiangsu/z" w:history="1">
        <w:r>
          <w:rPr>
            <w:rStyle w:val="869"/>
            <w:rFonts w:hint="eastAsia" w:ascii="宋体" w:hAnsi="宋体" w:cs="宋体"/>
            <w:bCs/>
            <w:color w:val="auto"/>
            <w:sz w:val="24"/>
            <w:szCs w:val="24"/>
          </w:rPr>
          <w:t xml:space="preserve">http://www.ccgp-jiangsu.gov.cn/jiangsu/z</w:t>
        </w:r>
      </w:hyperlink>
      <w:r>
        <w:rPr>
          <w:rFonts w:hint="eastAsia" w:ascii="宋体" w:hAnsi="宋体" w:cs="宋体"/>
          <w:bCs/>
          <w:sz w:val="24"/>
          <w:szCs w:val="24"/>
        </w:rPr>
        <w:t xml:space="preserve"> lxz/ee/ee3a4bc5a3454aa2b0d9312230633ce9.html。</w:t>
      </w:r>
      <w:r/>
    </w:p>
    <w:p>
      <w:pPr>
        <w:ind w:firstLine="560"/>
        <w:spacing w:line="480" w:lineRule="exact"/>
        <w:tabs>
          <w:tab w:val="left" w:pos="900" w:leader="none"/>
        </w:tabs>
        <w:rPr>
          <w:rFonts w:ascii="宋体" w:hAnsi="宋体" w:cs="宋体"/>
          <w:bCs/>
          <w:sz w:val="24"/>
          <w:szCs w:val="24"/>
        </w:rPr>
      </w:pPr>
      <w:r>
        <w:rPr>
          <w:rFonts w:hint="eastAsia" w:ascii="宋体" w:hAnsi="宋体" w:cs="宋体"/>
          <w:bCs/>
          <w:sz w:val="24"/>
          <w:szCs w:val="24"/>
        </w:rPr>
        <w:t xml:space="preserve">6.2领取CA和办理电子签章请至南通市政务服务中心裙楼四楼（南通市公共资源交中心）CA办理窗口办理，详见《江苏省政府采购数字证书(供应商CA及电子签章办理指南》），请及时进行注册并按要求制作、上传电子投标文件。</w:t>
      </w:r>
      <w:r/>
    </w:p>
    <w:p>
      <w:pPr>
        <w:ind w:right="120" w:firstLine="562"/>
        <w:spacing w:after="120" w:line="480" w:lineRule="exact"/>
        <w:rPr>
          <w:rFonts w:ascii="宋体" w:hAnsi="宋体" w:cs="宋体"/>
          <w:b/>
          <w:sz w:val="24"/>
          <w:szCs w:val="24"/>
        </w:rPr>
      </w:pPr>
      <w:r>
        <w:rPr>
          <w:rFonts w:hint="eastAsia" w:ascii="宋体" w:hAnsi="宋体" w:cs="宋体"/>
          <w:sz w:val="24"/>
          <w:szCs w:val="24"/>
        </w:rPr>
        <w:t xml:space="preserve">6.3开标当天投标供应商应及时登录“苏采云”不见面开标大厅，并在规定时间内自行实施远程解密。</w:t>
      </w:r>
      <w:r>
        <w:rPr>
          <w:rFonts w:hint="eastAsia" w:ascii="宋体" w:hAnsi="宋体" w:cs="宋体"/>
          <w:b/>
          <w:sz w:val="24"/>
          <w:szCs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sz w:val="24"/>
          <w:szCs w:val="24"/>
        </w:rPr>
        <w:t xml:space="preserve">因采购人原因或网上招投标平台发生故障，导致无法按时完成响应文件解密或开、评标工作无法进行的，可根据实际情况相应延迟解密时间或调整开、评标时间。</w:t>
      </w:r>
      <w:r/>
    </w:p>
    <w:p>
      <w:pPr>
        <w:pStyle w:val="912"/>
        <w:ind w:firstLine="498"/>
        <w:spacing w:before="145" w:after="145" w:line="360" w:lineRule="auto"/>
        <w:rPr>
          <w:rFonts w:ascii="宋体" w:hAnsi="宋体" w:cs="宋体"/>
          <w:sz w:val="24"/>
          <w:szCs w:val="24"/>
        </w:rPr>
      </w:pPr>
      <w:r>
        <w:rPr>
          <w:rFonts w:hint="eastAsia" w:ascii="宋体" w:hAnsi="宋体" w:cs="宋体"/>
          <w:sz w:val="24"/>
          <w:szCs w:val="24"/>
        </w:rPr>
        <w:t xml:space="preserve">七、本次招标联系方式</w:t>
      </w:r>
      <w:bookmarkEnd w:id="36"/>
      <w:r/>
      <w:bookmarkEnd w:id="37"/>
      <w:r/>
      <w:bookmarkEnd w:id="38"/>
      <w:r/>
      <w:bookmarkEnd w:id="39"/>
      <w:r/>
      <w:bookmarkEnd w:id="40"/>
      <w:r/>
      <w:r/>
    </w:p>
    <w:p>
      <w:pPr>
        <w:jc w:val="left"/>
        <w:widowControl/>
        <w:rPr>
          <w:rFonts w:ascii="宋体" w:hAnsi="宋体" w:cs="宋体"/>
          <w:b/>
          <w:bCs/>
          <w:sz w:val="24"/>
          <w:szCs w:val="24"/>
        </w:rPr>
      </w:pPr>
      <w:r>
        <w:rPr>
          <w:rFonts w:hint="eastAsia" w:ascii="宋体" w:hAnsi="宋体" w:cs="宋体"/>
          <w:sz w:val="24"/>
          <w:szCs w:val="24"/>
        </w:rPr>
        <w:t xml:space="preserve">　    </w:t>
      </w:r>
      <w:r>
        <w:rPr>
          <w:rFonts w:hint="eastAsia" w:ascii="宋体" w:hAnsi="宋体" w:cs="宋体"/>
          <w:b/>
          <w:bCs/>
          <w:sz w:val="24"/>
          <w:szCs w:val="24"/>
        </w:rPr>
        <w:t xml:space="preserve">1.采购人信息</w:t>
      </w:r>
      <w:r/>
    </w:p>
    <w:p>
      <w:pPr>
        <w:ind w:left="1079" w:hanging="300"/>
        <w:jc w:val="left"/>
        <w:spacing w:line="360" w:lineRule="auto"/>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南通市公安局南通经济技术开发区分局　　</w:t>
      </w:r>
      <w:r/>
    </w:p>
    <w:p>
      <w:pPr>
        <w:ind w:left="1079" w:hanging="300"/>
        <w:jc w:val="left"/>
        <w:spacing w:line="360"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南通市经济开发区星湖大道1698号</w:t>
      </w:r>
      <w:r/>
    </w:p>
    <w:p>
      <w:pPr>
        <w:ind w:left="1079" w:hanging="300"/>
        <w:jc w:val="left"/>
        <w:spacing w:line="360" w:lineRule="auto"/>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汤先生            </w:t>
      </w:r>
      <w:r/>
    </w:p>
    <w:p>
      <w:pPr>
        <w:ind w:left="1079" w:hanging="300"/>
        <w:jc w:val="left"/>
        <w:spacing w:line="360" w:lineRule="auto"/>
        <w:rPr>
          <w:rFonts w:ascii="宋体" w:hAnsi="宋体" w:cs="宋体"/>
          <w:sz w:val="24"/>
          <w:szCs w:val="24"/>
          <w:u w:val="single"/>
        </w:rPr>
      </w:pPr>
      <w:r>
        <w:rPr>
          <w:rFonts w:hint="eastAsia" w:ascii="宋体" w:hAnsi="宋体" w:cs="宋体"/>
          <w:sz w:val="24"/>
          <w:szCs w:val="24"/>
        </w:rPr>
        <w:t xml:space="preserve">联系方式：</w:t>
      </w:r>
      <w:r>
        <w:rPr>
          <w:rFonts w:hint="eastAsia" w:ascii="宋体" w:hAnsi="宋体" w:cs="宋体"/>
          <w:sz w:val="24"/>
          <w:szCs w:val="24"/>
          <w:u w:val="single"/>
        </w:rPr>
        <w:t xml:space="preserve">　     0513-85026643　　　　</w:t>
      </w:r>
      <w:bookmarkStart w:id="41" w:name="_Toc28359009"/>
      <w:r/>
      <w:bookmarkStart w:id="42" w:name="_Toc28359086"/>
      <w:r/>
      <w:bookmarkEnd w:id="41"/>
      <w:r/>
      <w:bookmarkEnd w:id="42"/>
      <w:r/>
      <w:r/>
    </w:p>
    <w:p>
      <w:pPr>
        <w:ind w:firstLine="643"/>
        <w:spacing w:line="480" w:lineRule="exact"/>
        <w:rPr>
          <w:rFonts w:ascii="宋体" w:hAnsi="宋体"/>
          <w:b/>
          <w:bCs/>
          <w:sz w:val="32"/>
          <w:szCs w:val="32"/>
        </w:rPr>
      </w:pPr>
      <w:r>
        <w:rPr>
          <w:rFonts w:hint="eastAsia" w:ascii="宋体" w:hAnsi="宋体" w:cs="宋体"/>
          <w:b/>
          <w:bCs/>
          <w:sz w:val="24"/>
          <w:szCs w:val="24"/>
        </w:rPr>
        <w:t xml:space="preserve">2.软件技术支持：0519-86722801</w:t>
      </w:r>
      <w:r>
        <w:rPr>
          <w:rFonts w:ascii="宋体" w:hAnsi="宋体"/>
          <w:b/>
          <w:bCs/>
          <w:sz w:val="32"/>
          <w:szCs w:val="32"/>
        </w:rPr>
      </w:r>
      <w:r/>
    </w:p>
    <w:p>
      <w:pPr>
        <w:pStyle w:val="1047"/>
        <w:rPr>
          <w:rFonts w:ascii="宋体" w:hAnsi="宋体" w:eastAsia="宋体" w:cs="宋体"/>
          <w:sz w:val="44"/>
          <w:szCs w:val="44"/>
        </w:rPr>
      </w:pPr>
      <w:r/>
      <w:bookmarkStart w:id="43" w:name="_Toc120614211"/>
      <w:r/>
      <w:bookmarkStart w:id="44" w:name="_Toc219796289"/>
      <w:r>
        <w:rPr>
          <w:rFonts w:hint="eastAsia" w:ascii="宋体" w:hAnsi="宋体" w:eastAsia="宋体" w:cs="宋体"/>
          <w:sz w:val="44"/>
          <w:szCs w:val="44"/>
        </w:rPr>
        <w:t xml:space="preserve">第二章  </w:t>
      </w:r>
      <w:bookmarkStart w:id="45" w:name="_Toc16938518"/>
      <w:r/>
      <w:bookmarkStart w:id="46" w:name="_Toc513029202"/>
      <w:r/>
      <w:bookmarkStart w:id="47" w:name="_Toc120614213"/>
      <w:r/>
      <w:bookmarkStart w:id="48" w:name="_Toc20823274"/>
      <w:r/>
      <w:bookmarkEnd w:id="1"/>
      <w:r/>
      <w:bookmarkEnd w:id="2"/>
      <w:r/>
      <w:bookmarkEnd w:id="3"/>
      <w:r/>
      <w:bookmarkEnd w:id="4"/>
      <w:r/>
      <w:bookmarkEnd w:id="5"/>
      <w:r/>
      <w:bookmarkEnd w:id="43"/>
      <w:r>
        <w:rPr>
          <w:rFonts w:hint="eastAsia" w:ascii="宋体" w:hAnsi="宋体" w:eastAsia="宋体" w:cs="宋体"/>
          <w:sz w:val="44"/>
          <w:szCs w:val="44"/>
        </w:rPr>
        <w:t xml:space="preserve">投标人须知</w:t>
      </w:r>
      <w:bookmarkEnd w:id="44"/>
      <w:r/>
      <w:bookmarkEnd w:id="45"/>
      <w:r/>
      <w:bookmarkEnd w:id="46"/>
      <w:r/>
      <w:bookmarkEnd w:id="47"/>
      <w:r/>
      <w:bookmarkEnd w:id="48"/>
      <w:r/>
      <w:r/>
    </w:p>
    <w:p>
      <w:pPr>
        <w:pStyle w:val="912"/>
        <w:ind w:firstLine="498"/>
        <w:spacing w:before="145" w:after="145" w:line="360" w:lineRule="auto"/>
        <w:rPr>
          <w:rFonts w:ascii="宋体" w:hAnsi="宋体" w:cs="宋体"/>
        </w:rPr>
      </w:pPr>
      <w:r/>
      <w:bookmarkStart w:id="49" w:name="_Toc120614214"/>
      <w:r/>
      <w:bookmarkStart w:id="50" w:name="_Toc513029203"/>
      <w:r/>
      <w:bookmarkStart w:id="51" w:name="_Toc20823275"/>
      <w:r/>
      <w:bookmarkStart w:id="52" w:name="_Toc16938519"/>
      <w:r>
        <w:rPr>
          <w:rFonts w:hint="eastAsia" w:ascii="宋体" w:hAnsi="宋体" w:cs="宋体"/>
        </w:rPr>
        <w:t xml:space="preserve">一、总则</w:t>
      </w:r>
      <w:bookmarkEnd w:id="49"/>
      <w:r/>
      <w:bookmarkEnd w:id="50"/>
      <w:r/>
      <w:bookmarkEnd w:id="51"/>
      <w:r/>
      <w:bookmarkEnd w:id="52"/>
      <w:r/>
      <w:r/>
    </w:p>
    <w:p>
      <w:pPr>
        <w:pStyle w:val="1051"/>
        <w:ind w:firstLine="420"/>
        <w:spacing w:before="0" w:after="0" w:line="360" w:lineRule="auto"/>
        <w:rPr>
          <w:rFonts w:ascii="宋体" w:hAnsi="宋体" w:eastAsia="宋体" w:cs="宋体"/>
          <w:b w:val="0"/>
          <w:bCs w:val="0"/>
          <w:sz w:val="24"/>
          <w:szCs w:val="24"/>
        </w:rPr>
      </w:pPr>
      <w:r/>
      <w:bookmarkStart w:id="53" w:name="_Hlt16619475"/>
      <w:r/>
      <w:bookmarkStart w:id="54" w:name="_Toc458694821"/>
      <w:r/>
      <w:bookmarkStart w:id="55" w:name="_Toc513029204"/>
      <w:r/>
      <w:bookmarkStart w:id="56" w:name="_Toc20823276"/>
      <w:r/>
      <w:bookmarkStart w:id="57" w:name="_Toc16938520"/>
      <w:r/>
      <w:bookmarkEnd w:id="53"/>
      <w:r>
        <w:rPr>
          <w:rFonts w:hint="eastAsia" w:ascii="宋体" w:hAnsi="宋体" w:eastAsia="宋体" w:cs="宋体"/>
          <w:b w:val="0"/>
          <w:bCs w:val="0"/>
          <w:sz w:val="24"/>
          <w:szCs w:val="24"/>
        </w:rPr>
        <w:t xml:space="preserve">1</w:t>
      </w:r>
      <w:bookmarkEnd w:id="54"/>
      <w:r>
        <w:rPr>
          <w:rFonts w:hint="eastAsia" w:ascii="宋体" w:hAnsi="宋体" w:eastAsia="宋体" w:cs="宋体"/>
          <w:b w:val="0"/>
          <w:bCs w:val="0"/>
          <w:sz w:val="24"/>
          <w:szCs w:val="24"/>
        </w:rPr>
        <w:t xml:space="preserve">、招标方式</w:t>
      </w:r>
      <w:bookmarkEnd w:id="55"/>
      <w:r/>
      <w:bookmarkEnd w:id="56"/>
      <w:r/>
      <w:bookmarkEnd w:id="57"/>
      <w:r/>
      <w:r/>
    </w:p>
    <w:p>
      <w:pPr>
        <w:ind w:firstLine="480"/>
        <w:spacing w:line="360" w:lineRule="auto"/>
        <w:rPr>
          <w:rFonts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pStyle w:val="1051"/>
        <w:ind w:firstLine="420"/>
        <w:spacing w:before="0" w:after="0" w:line="360" w:lineRule="auto"/>
        <w:rPr>
          <w:rFonts w:ascii="宋体" w:hAnsi="宋体" w:eastAsia="宋体" w:cs="宋体"/>
          <w:b w:val="0"/>
          <w:bCs w:val="0"/>
          <w:sz w:val="24"/>
          <w:szCs w:val="24"/>
        </w:rPr>
      </w:pPr>
      <w:r/>
      <w:bookmarkStart w:id="58" w:name="_Toc513029205"/>
      <w:r/>
      <w:bookmarkStart w:id="59" w:name="_Toc20823277"/>
      <w:r/>
      <w:bookmarkStart w:id="60" w:name="_Toc16938521"/>
      <w:r>
        <w:rPr>
          <w:rFonts w:hint="eastAsia" w:ascii="宋体" w:hAnsi="宋体" w:eastAsia="宋体" w:cs="宋体"/>
          <w:b w:val="0"/>
          <w:bCs w:val="0"/>
          <w:sz w:val="24"/>
          <w:szCs w:val="24"/>
        </w:rPr>
        <w:t xml:space="preserve">2、合格的投标人</w:t>
      </w:r>
      <w:bookmarkEnd w:id="58"/>
      <w:r/>
      <w:bookmarkEnd w:id="59"/>
      <w:r/>
      <w:bookmarkEnd w:id="60"/>
      <w:r/>
      <w:r/>
    </w:p>
    <w:p>
      <w:pPr>
        <w:ind w:firstLine="480"/>
        <w:spacing w:line="360" w:lineRule="auto"/>
        <w:rPr>
          <w:rFonts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360" w:lineRule="auto"/>
        <w:rPr>
          <w:rFonts w:ascii="宋体" w:hAnsi="宋体" w:cs="宋体"/>
          <w:sz w:val="24"/>
          <w:szCs w:val="24"/>
        </w:rPr>
      </w:pPr>
      <w:r>
        <w:rPr>
          <w:rFonts w:hint="eastAsia" w:ascii="宋体" w:hAnsi="宋体" w:cs="宋体"/>
          <w:sz w:val="24"/>
          <w:szCs w:val="24"/>
        </w:rPr>
        <w:t xml:space="preserve">2.2 满足本文件实质性要求和条件的规定。</w:t>
      </w:r>
      <w:r/>
    </w:p>
    <w:p>
      <w:pPr>
        <w:pStyle w:val="1051"/>
        <w:ind w:firstLine="420"/>
        <w:spacing w:before="0" w:after="0" w:line="360" w:lineRule="auto"/>
        <w:rPr>
          <w:rFonts w:ascii="宋体" w:hAnsi="宋体" w:eastAsia="宋体" w:cs="宋体"/>
          <w:b w:val="0"/>
          <w:bCs w:val="0"/>
          <w:sz w:val="24"/>
          <w:szCs w:val="24"/>
        </w:rPr>
      </w:pPr>
      <w:r/>
      <w:bookmarkStart w:id="61" w:name="_Toc16938522"/>
      <w:r/>
      <w:bookmarkStart w:id="62" w:name="_Toc20823278"/>
      <w:r/>
      <w:bookmarkStart w:id="63" w:name="_Toc513029206"/>
      <w:r>
        <w:rPr>
          <w:rFonts w:hint="eastAsia" w:ascii="宋体" w:hAnsi="宋体" w:eastAsia="宋体" w:cs="宋体"/>
          <w:b w:val="0"/>
          <w:bCs w:val="0"/>
          <w:sz w:val="24"/>
          <w:szCs w:val="24"/>
        </w:rPr>
        <w:t xml:space="preserve">3、适用法律</w:t>
      </w:r>
      <w:bookmarkEnd w:id="61"/>
      <w:r/>
      <w:bookmarkEnd w:id="62"/>
      <w:r/>
      <w:bookmarkEnd w:id="63"/>
      <w:r/>
      <w:r/>
    </w:p>
    <w:p>
      <w:pPr>
        <w:ind w:firstLine="420"/>
        <w:spacing w:line="360" w:lineRule="auto"/>
        <w:rPr>
          <w:rFonts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pStyle w:val="1051"/>
        <w:ind w:firstLine="420"/>
        <w:spacing w:before="0" w:after="0" w:line="360" w:lineRule="auto"/>
        <w:rPr>
          <w:rFonts w:ascii="宋体" w:hAnsi="宋体" w:eastAsia="宋体" w:cs="宋体"/>
          <w:b w:val="0"/>
          <w:bCs w:val="0"/>
          <w:sz w:val="24"/>
          <w:szCs w:val="24"/>
        </w:rPr>
      </w:pPr>
      <w:r/>
      <w:bookmarkStart w:id="64" w:name="_Toc513029207"/>
      <w:r/>
      <w:bookmarkStart w:id="65" w:name="_Toc16938523"/>
      <w:r/>
      <w:bookmarkStart w:id="66" w:name="_Toc20823279"/>
      <w:r/>
      <w:bookmarkStart w:id="67" w:name="_Toc462564067"/>
      <w:r>
        <w:rPr>
          <w:rFonts w:hint="eastAsia" w:ascii="宋体" w:hAnsi="宋体" w:eastAsia="宋体" w:cs="宋体"/>
          <w:b w:val="0"/>
          <w:bCs w:val="0"/>
          <w:sz w:val="24"/>
          <w:szCs w:val="24"/>
        </w:rPr>
        <w:t xml:space="preserve">4、投标费用</w:t>
      </w:r>
      <w:bookmarkEnd w:id="64"/>
      <w:r/>
      <w:bookmarkEnd w:id="65"/>
      <w:r/>
      <w:bookmarkEnd w:id="66"/>
      <w:r/>
      <w:bookmarkEnd w:id="67"/>
      <w:r/>
      <w:r/>
    </w:p>
    <w:p>
      <w:pPr>
        <w:ind w:firstLine="480"/>
        <w:spacing w:line="360" w:lineRule="auto"/>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投标人应自行承担所有与参加投标有关的费用，无论投标过程中的做法和结果如何，采购人在任何情况下均无义务和责任承担这些费用。</w:t>
      </w:r>
      <w:r/>
    </w:p>
    <w:p>
      <w:pPr>
        <w:ind w:firstLine="480"/>
        <w:spacing w:line="360" w:lineRule="auto"/>
        <w:rPr>
          <w:rFonts w:ascii="宋体" w:hAnsi="宋体" w:cs="宋体"/>
          <w:sz w:val="24"/>
          <w:szCs w:val="24"/>
        </w:rPr>
      </w:pPr>
      <w:r>
        <w:rPr>
          <w:rFonts w:hint="eastAsia" w:ascii="宋体" w:hAnsi="宋体" w:cs="宋体"/>
          <w:sz w:val="24"/>
          <w:szCs w:val="24"/>
        </w:rPr>
        <w:t xml:space="preserve">4.2本次招标采购人不收取标书工本费与中标服务费。</w:t>
      </w:r>
      <w:r/>
    </w:p>
    <w:p>
      <w:pPr>
        <w:pStyle w:val="1051"/>
        <w:ind w:firstLine="42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5、招标文件的约束力</w:t>
      </w:r>
      <w:r/>
    </w:p>
    <w:p>
      <w:pPr>
        <w:ind w:firstLine="480"/>
        <w:spacing w:line="360" w:lineRule="auto"/>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w:t>
      </w:r>
      <w:r/>
    </w:p>
    <w:p>
      <w:pPr>
        <w:pStyle w:val="912"/>
        <w:ind w:firstLine="321"/>
        <w:spacing w:before="145" w:after="145" w:line="360" w:lineRule="auto"/>
        <w:rPr>
          <w:rFonts w:ascii="宋体" w:hAnsi="宋体" w:cs="宋体"/>
        </w:rPr>
      </w:pPr>
      <w:r/>
      <w:bookmarkStart w:id="68" w:name="_Toc16938525"/>
      <w:r/>
      <w:bookmarkStart w:id="69" w:name="_Toc20823281"/>
      <w:r/>
      <w:bookmarkStart w:id="70" w:name="_Toc120614215"/>
      <w:r/>
      <w:bookmarkStart w:id="71" w:name="_Toc513029209"/>
      <w:r>
        <w:rPr>
          <w:rFonts w:hint="eastAsia" w:ascii="宋体" w:hAnsi="宋体" w:cs="宋体"/>
        </w:rPr>
        <w:t xml:space="preserve">二、招标文件</w:t>
      </w:r>
      <w:bookmarkEnd w:id="68"/>
      <w:r/>
      <w:bookmarkEnd w:id="69"/>
      <w:r/>
      <w:bookmarkEnd w:id="70"/>
      <w:r/>
      <w:bookmarkEnd w:id="71"/>
      <w:r/>
      <w:r/>
    </w:p>
    <w:p>
      <w:pPr>
        <w:pStyle w:val="1051"/>
        <w:ind w:firstLine="420"/>
        <w:spacing w:before="0" w:after="0" w:line="240" w:lineRule="auto"/>
        <w:rPr>
          <w:rFonts w:ascii="宋体" w:hAnsi="宋体" w:eastAsia="宋体" w:cs="宋体"/>
          <w:b w:val="0"/>
          <w:bCs w:val="0"/>
        </w:rPr>
      </w:pPr>
      <w:r/>
      <w:bookmarkStart w:id="72" w:name="_Toc16938526"/>
      <w:r/>
      <w:bookmarkStart w:id="73" w:name="_Toc20823282"/>
      <w:r/>
      <w:bookmarkStart w:id="74" w:name="_Toc513029210"/>
      <w:r>
        <w:rPr>
          <w:rFonts w:hint="eastAsia" w:ascii="宋体" w:hAnsi="宋体" w:eastAsia="宋体" w:cs="宋体"/>
          <w:b w:val="0"/>
          <w:bCs w:val="0"/>
        </w:rPr>
        <w:t xml:space="preserve">6、招标文件构成</w:t>
      </w:r>
      <w:bookmarkEnd w:id="72"/>
      <w:r/>
      <w:bookmarkEnd w:id="73"/>
      <w:r/>
      <w:bookmarkEnd w:id="74"/>
      <w:r/>
      <w:r/>
    </w:p>
    <w:p>
      <w:pPr>
        <w:ind w:firstLine="480"/>
        <w:spacing w:line="500" w:lineRule="exact"/>
        <w:rPr>
          <w:rFonts w:ascii="宋体" w:hAnsi="宋体" w:cs="宋体"/>
          <w:sz w:val="24"/>
        </w:rPr>
      </w:pPr>
      <w:r>
        <w:rPr>
          <w:rFonts w:hint="eastAsia" w:ascii="宋体" w:hAnsi="宋体" w:cs="宋体"/>
          <w:bCs/>
          <w:sz w:val="24"/>
        </w:rPr>
        <w:t xml:space="preserve">6.1</w:t>
      </w:r>
      <w:r>
        <w:rPr>
          <w:rFonts w:hint="eastAsia" w:ascii="宋体" w:hAnsi="宋体" w:cs="宋体"/>
          <w:sz w:val="24"/>
        </w:rPr>
        <w:t xml:space="preserve"> 招标文件由以下部分组成：</w:t>
      </w:r>
      <w:r/>
    </w:p>
    <w:p>
      <w:pPr>
        <w:ind w:firstLine="360"/>
        <w:spacing w:line="400" w:lineRule="exact"/>
        <w:rPr>
          <w:rFonts w:ascii="宋体" w:hAnsi="宋体" w:cs="宋体"/>
          <w:sz w:val="24"/>
          <w:szCs w:val="24"/>
        </w:rPr>
      </w:pPr>
      <w:r>
        <w:rPr>
          <w:rFonts w:hint="eastAsia" w:ascii="宋体" w:hAnsi="宋体" w:cs="宋体"/>
          <w:sz w:val="24"/>
          <w:szCs w:val="24"/>
        </w:rPr>
        <w:t xml:space="preserve">（1）投标邀请</w:t>
      </w:r>
      <w:r/>
    </w:p>
    <w:p>
      <w:pPr>
        <w:ind w:firstLine="360"/>
        <w:spacing w:line="400" w:lineRule="exact"/>
        <w:rPr>
          <w:rFonts w:ascii="宋体" w:hAnsi="宋体" w:cs="宋体"/>
          <w:sz w:val="24"/>
          <w:szCs w:val="24"/>
        </w:rPr>
      </w:pPr>
      <w:r>
        <w:rPr>
          <w:rFonts w:hint="eastAsia" w:ascii="宋体" w:hAnsi="宋体" w:cs="宋体"/>
          <w:sz w:val="24"/>
          <w:szCs w:val="24"/>
        </w:rPr>
        <w:t xml:space="preserve">（2）投标人须知</w:t>
      </w:r>
      <w:r/>
    </w:p>
    <w:p>
      <w:pPr>
        <w:ind w:firstLine="360"/>
        <w:spacing w:line="400" w:lineRule="exact"/>
        <w:rPr>
          <w:rFonts w:ascii="宋体" w:hAnsi="宋体" w:cs="宋体"/>
          <w:sz w:val="24"/>
          <w:szCs w:val="24"/>
        </w:rPr>
      </w:pPr>
      <w:r>
        <w:rPr>
          <w:rFonts w:hint="eastAsia" w:ascii="宋体" w:hAnsi="宋体" w:cs="宋体"/>
          <w:sz w:val="24"/>
          <w:szCs w:val="24"/>
        </w:rPr>
        <w:t xml:space="preserve">（3）合同文本</w:t>
      </w:r>
      <w:r/>
    </w:p>
    <w:p>
      <w:pPr>
        <w:ind w:firstLine="360"/>
        <w:spacing w:line="400" w:lineRule="exact"/>
        <w:rPr>
          <w:rFonts w:ascii="宋体" w:hAnsi="宋体" w:cs="宋体"/>
          <w:sz w:val="24"/>
          <w:szCs w:val="24"/>
        </w:rPr>
      </w:pPr>
      <w:r>
        <w:rPr>
          <w:rFonts w:hint="eastAsia" w:ascii="宋体" w:hAnsi="宋体" w:cs="宋体"/>
          <w:sz w:val="24"/>
          <w:szCs w:val="24"/>
        </w:rPr>
        <w:t xml:space="preserve">（4）采购需求</w:t>
      </w:r>
      <w:r/>
    </w:p>
    <w:p>
      <w:pPr>
        <w:ind w:firstLine="360"/>
        <w:spacing w:line="400" w:lineRule="exact"/>
        <w:rPr>
          <w:rFonts w:ascii="宋体" w:hAnsi="宋体" w:cs="宋体"/>
          <w:sz w:val="24"/>
          <w:szCs w:val="24"/>
        </w:rPr>
      </w:pPr>
      <w:r>
        <w:rPr>
          <w:rFonts w:hint="eastAsia" w:ascii="宋体" w:hAnsi="宋体" w:cs="宋体"/>
          <w:sz w:val="24"/>
          <w:szCs w:val="24"/>
        </w:rPr>
        <w:t xml:space="preserve">（5）评标方法与评标标准</w:t>
      </w:r>
      <w:r/>
    </w:p>
    <w:p>
      <w:pPr>
        <w:ind w:firstLine="360"/>
        <w:spacing w:line="400" w:lineRule="exact"/>
        <w:rPr>
          <w:rFonts w:ascii="宋体" w:hAnsi="宋体" w:cs="宋体"/>
          <w:sz w:val="24"/>
          <w:szCs w:val="24"/>
        </w:rPr>
      </w:pPr>
      <w:r>
        <w:rPr>
          <w:rFonts w:hint="eastAsia" w:ascii="宋体" w:hAnsi="宋体" w:cs="宋体"/>
          <w:sz w:val="24"/>
          <w:szCs w:val="24"/>
        </w:rPr>
        <w:t xml:space="preserve">（6）投标文件格式</w:t>
      </w:r>
      <w:r/>
    </w:p>
    <w:p>
      <w:pPr>
        <w:ind w:firstLine="480"/>
        <w:spacing w:line="500" w:lineRule="exact"/>
        <w:rPr>
          <w:rFonts w:ascii="宋体" w:hAnsi="宋体" w:cs="宋体"/>
          <w:sz w:val="24"/>
        </w:rPr>
      </w:pPr>
      <w:r>
        <w:rPr>
          <w:rFonts w:hint="eastAsia" w:ascii="宋体" w:hAnsi="宋体" w:cs="宋体"/>
          <w:sz w:val="24"/>
        </w:rPr>
        <w:t xml:space="preserve">请仔细检查招标文件是否齐全，如有缺漏请立即与采购人联系解决。</w:t>
      </w:r>
      <w:r/>
    </w:p>
    <w:p>
      <w:pPr>
        <w:ind w:firstLine="480"/>
        <w:spacing w:line="360" w:lineRule="auto"/>
        <w:rPr>
          <w:rFonts w:ascii="宋体" w:hAnsi="宋体" w:cs="宋体"/>
          <w:sz w:val="24"/>
          <w:szCs w:val="24"/>
        </w:rPr>
      </w:pPr>
      <w:r>
        <w:rPr>
          <w:rFonts w:hint="eastAsia" w:ascii="宋体" w:hAnsi="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ascii="宋体" w:hAnsi="宋体" w:cs="宋体"/>
          <w:sz w:val="24"/>
          <w:szCs w:val="24"/>
        </w:rPr>
      </w:pPr>
      <w:r/>
      <w:bookmarkStart w:id="75" w:name="_Toc462564070"/>
      <w:r/>
      <w:bookmarkStart w:id="76" w:name="_Toc513029211"/>
      <w:r/>
      <w:bookmarkStart w:id="77" w:name="_Toc20823283"/>
      <w:r/>
      <w:bookmarkStart w:id="78" w:name="_Toc16938527"/>
      <w:r>
        <w:rPr>
          <w:rFonts w:hint="eastAsia" w:ascii="宋体" w:hAnsi="宋体" w:cs="宋体"/>
          <w:sz w:val="24"/>
          <w:szCs w:val="24"/>
        </w:rPr>
        <w:t xml:space="preserve">7、招标文件的澄清</w:t>
      </w:r>
      <w:bookmarkEnd w:id="75"/>
      <w:r/>
      <w:bookmarkEnd w:id="76"/>
      <w:r/>
      <w:bookmarkEnd w:id="77"/>
      <w:r/>
      <w:bookmarkEnd w:id="78"/>
      <w:r/>
      <w:r/>
    </w:p>
    <w:p>
      <w:pPr>
        <w:ind w:firstLine="480"/>
        <w:spacing w:line="360" w:lineRule="auto"/>
        <w:rPr>
          <w:rFonts w:ascii="宋体" w:hAnsi="宋体" w:cs="宋体"/>
          <w:sz w:val="24"/>
          <w:szCs w:val="24"/>
        </w:rPr>
      </w:pPr>
      <w:r>
        <w:rPr>
          <w:rFonts w:hint="eastAsia" w:ascii="宋体" w:hAnsi="宋体" w:cs="宋体"/>
          <w:sz w:val="24"/>
          <w:szCs w:val="24"/>
        </w:rPr>
        <w:t xml:space="preserve">7.1 任何要求对招标文件进行澄清的投标人，应在投标截止期十日前按招标公告中的通讯地址，以书面形式通知采购人。采购人有权对发出的招标文件进行必要的澄清或修改。</w:t>
      </w:r>
      <w:r/>
    </w:p>
    <w:p>
      <w:pPr>
        <w:ind w:firstLine="480"/>
        <w:spacing w:line="360" w:lineRule="auto"/>
        <w:rPr>
          <w:rFonts w:ascii="宋体" w:hAnsi="宋体" w:cs="宋体"/>
          <w:sz w:val="24"/>
          <w:szCs w:val="24"/>
        </w:rPr>
      </w:pPr>
      <w:r/>
      <w:bookmarkStart w:id="79" w:name="_Toc16938528"/>
      <w:r/>
      <w:bookmarkStart w:id="80" w:name="_Toc513029212"/>
      <w:r/>
      <w:bookmarkStart w:id="81" w:name="_Toc462564071"/>
      <w:r/>
      <w:bookmarkStart w:id="82" w:name="_Toc20823284"/>
      <w:r>
        <w:rPr>
          <w:rFonts w:hint="eastAsia" w:ascii="宋体" w:hAnsi="宋体" w:cs="宋体"/>
          <w:sz w:val="24"/>
          <w:szCs w:val="24"/>
        </w:rPr>
        <w:t xml:space="preserve">8、招标文件的修改</w:t>
      </w:r>
      <w:bookmarkEnd w:id="79"/>
      <w:r/>
      <w:bookmarkEnd w:id="80"/>
      <w:r/>
      <w:bookmarkEnd w:id="81"/>
      <w:r/>
      <w:bookmarkEnd w:id="82"/>
      <w:r/>
      <w:r/>
    </w:p>
    <w:p>
      <w:pPr>
        <w:ind w:firstLine="480"/>
        <w:spacing w:line="360" w:lineRule="auto"/>
        <w:rPr>
          <w:rFonts w:ascii="宋体" w:hAnsi="宋体" w:cs="宋体"/>
          <w:sz w:val="24"/>
          <w:szCs w:val="24"/>
        </w:rPr>
      </w:pPr>
      <w:r>
        <w:rPr>
          <w:rFonts w:hint="eastAsia" w:ascii="宋体" w:hAnsi="宋体" w:cs="宋体"/>
          <w:sz w:val="24"/>
          <w:szCs w:val="24"/>
        </w:rPr>
        <w:t xml:space="preserve">8.1 在投标截止时间前，采购人可以对招标文件进行修改。</w:t>
      </w:r>
      <w:r/>
    </w:p>
    <w:p>
      <w:pPr>
        <w:ind w:firstLine="480"/>
        <w:spacing w:line="360" w:lineRule="auto"/>
        <w:rPr>
          <w:rFonts w:ascii="宋体" w:hAnsi="宋体" w:cs="宋体"/>
          <w:sz w:val="24"/>
          <w:szCs w:val="24"/>
        </w:rPr>
      </w:pPr>
      <w:r>
        <w:rPr>
          <w:rFonts w:hint="eastAsia" w:ascii="宋体" w:hAnsi="宋体" w:cs="宋体"/>
          <w:sz w:val="24"/>
          <w:szCs w:val="24"/>
        </w:rPr>
        <w:t xml:space="preserve">8.2 采购人有权按照法定的要求推迟投标截止日期和开标日期。</w:t>
      </w:r>
      <w:r/>
    </w:p>
    <w:p>
      <w:pPr>
        <w:ind w:firstLine="480"/>
        <w:spacing w:line="360" w:lineRule="auto"/>
        <w:rPr>
          <w:rFonts w:ascii="宋体" w:hAnsi="宋体" w:cs="宋体"/>
          <w:sz w:val="24"/>
          <w:szCs w:val="24"/>
        </w:rPr>
      </w:pPr>
      <w:r>
        <w:rPr>
          <w:rFonts w:hint="eastAsia" w:ascii="宋体" w:hAnsi="宋体" w:cs="宋体"/>
          <w:sz w:val="24"/>
          <w:szCs w:val="24"/>
        </w:rPr>
        <w:t xml:space="preserve">8.3 招标文件的修改将在江苏政府采购网公布，补充文件将作为招标文件的组成部分，并对投标人具有约束力。</w:t>
      </w:r>
      <w:r/>
    </w:p>
    <w:p>
      <w:pPr>
        <w:pStyle w:val="912"/>
        <w:ind w:firstLine="482"/>
        <w:spacing w:before="145" w:after="145" w:line="360" w:lineRule="auto"/>
        <w:rPr>
          <w:rFonts w:ascii="宋体" w:hAnsi="宋体" w:cs="宋体"/>
        </w:rPr>
      </w:pPr>
      <w:r/>
      <w:bookmarkStart w:id="83" w:name="_Toc513029213"/>
      <w:r/>
      <w:bookmarkStart w:id="84" w:name="_Toc462564072"/>
      <w:r/>
      <w:bookmarkStart w:id="85" w:name="_Toc120614216"/>
      <w:r/>
      <w:bookmarkStart w:id="86" w:name="_Toc16938529"/>
      <w:r/>
      <w:bookmarkStart w:id="87" w:name="_Toc20823285"/>
      <w:r>
        <w:rPr>
          <w:rFonts w:hint="eastAsia" w:ascii="宋体" w:hAnsi="宋体" w:cs="宋体"/>
        </w:rPr>
        <w:t xml:space="preserve">三、投标文件的编制</w:t>
      </w:r>
      <w:bookmarkEnd w:id="83"/>
      <w:r/>
      <w:bookmarkEnd w:id="84"/>
      <w:r/>
      <w:bookmarkEnd w:id="85"/>
      <w:r/>
      <w:bookmarkEnd w:id="86"/>
      <w:r/>
      <w:bookmarkEnd w:id="87"/>
      <w:r/>
      <w:r/>
    </w:p>
    <w:p>
      <w:pPr>
        <w:ind w:firstLine="480"/>
        <w:spacing w:line="360" w:lineRule="auto"/>
        <w:rPr>
          <w:rFonts w:ascii="宋体" w:hAnsi="宋体" w:cs="宋体"/>
          <w:sz w:val="24"/>
          <w:szCs w:val="24"/>
        </w:rPr>
      </w:pPr>
      <w:r/>
      <w:bookmarkStart w:id="88" w:name="_Toc513029214"/>
      <w:r/>
      <w:bookmarkStart w:id="89" w:name="_Toc16938530"/>
      <w:r/>
      <w:bookmarkStart w:id="90" w:name="_Toc20823286"/>
      <w:r/>
      <w:bookmarkStart w:id="91" w:name="_Toc462564073"/>
      <w:r>
        <w:rPr>
          <w:rFonts w:hint="eastAsia" w:ascii="宋体" w:hAnsi="宋体" w:cs="宋体"/>
          <w:sz w:val="24"/>
          <w:szCs w:val="24"/>
        </w:rPr>
        <w:t xml:space="preserve">9、投标文件的语言及度量衡单位</w:t>
      </w:r>
      <w:bookmarkEnd w:id="88"/>
      <w:r/>
      <w:bookmarkEnd w:id="89"/>
      <w:r/>
      <w:bookmarkEnd w:id="90"/>
      <w:r/>
      <w:bookmarkEnd w:id="91"/>
      <w:r/>
      <w:r/>
    </w:p>
    <w:p>
      <w:pPr>
        <w:ind w:firstLine="480"/>
        <w:spacing w:line="360" w:lineRule="auto"/>
        <w:rPr>
          <w:rFonts w:ascii="宋体" w:hAnsi="宋体" w:cs="宋体"/>
          <w:sz w:val="24"/>
          <w:szCs w:val="24"/>
        </w:rPr>
      </w:pPr>
      <w:r>
        <w:rPr>
          <w:rFonts w:hint="eastAsia" w:ascii="宋体" w:hAnsi="宋体" w:cs="宋体"/>
          <w:sz w:val="24"/>
          <w:szCs w:val="24"/>
        </w:rPr>
        <w:t xml:space="preserve">9.1 投标人提交的投标文件以及就有关投标的所有来往通知、函件和文件均应使用简体中文。</w:t>
      </w:r>
      <w:r/>
    </w:p>
    <w:p>
      <w:pPr>
        <w:ind w:firstLine="480"/>
        <w:spacing w:line="360" w:lineRule="auto"/>
        <w:rPr>
          <w:rFonts w:ascii="宋体" w:hAnsi="宋体" w:cs="宋体"/>
          <w:sz w:val="24"/>
          <w:szCs w:val="24"/>
        </w:rPr>
      </w:pPr>
      <w:r>
        <w:rPr>
          <w:rFonts w:hint="eastAsia" w:ascii="宋体" w:hAnsi="宋体" w:cs="宋体"/>
          <w:sz w:val="24"/>
          <w:szCs w:val="24"/>
        </w:rPr>
        <w:t xml:space="preserve">9.2 除技术性能另有规定外，投标文件所使用的度量衡单位，均须采用国家法定计量单位。</w:t>
      </w:r>
      <w:r/>
    </w:p>
    <w:p>
      <w:pPr>
        <w:ind w:firstLine="480"/>
        <w:spacing w:line="360" w:lineRule="auto"/>
        <w:rPr>
          <w:rFonts w:ascii="宋体" w:hAnsi="宋体" w:cs="宋体"/>
          <w:sz w:val="24"/>
          <w:szCs w:val="24"/>
        </w:rPr>
      </w:pPr>
      <w:r/>
      <w:bookmarkStart w:id="92" w:name="_Toc462564074"/>
      <w:r/>
      <w:bookmarkStart w:id="93" w:name="_Toc513029215"/>
      <w:r/>
      <w:bookmarkStart w:id="94" w:name="_Toc16938531"/>
      <w:r/>
      <w:bookmarkStart w:id="95" w:name="_Toc20823287"/>
      <w:r>
        <w:rPr>
          <w:rFonts w:hint="eastAsia" w:ascii="宋体" w:hAnsi="宋体" w:cs="宋体"/>
          <w:sz w:val="24"/>
          <w:szCs w:val="24"/>
        </w:rPr>
        <w:t xml:space="preserve">10、投标文件构成</w:t>
      </w:r>
      <w:bookmarkEnd w:id="92"/>
      <w:r/>
      <w:bookmarkEnd w:id="93"/>
      <w:r/>
      <w:bookmarkEnd w:id="94"/>
      <w:r/>
      <w:bookmarkEnd w:id="95"/>
      <w:r/>
      <w:r/>
    </w:p>
    <w:p>
      <w:pPr>
        <w:ind w:firstLine="480"/>
        <w:spacing w:line="360" w:lineRule="auto"/>
        <w:rPr>
          <w:rFonts w:ascii="宋体" w:hAnsi="宋体" w:cs="宋体"/>
          <w:sz w:val="24"/>
          <w:szCs w:val="24"/>
        </w:rPr>
      </w:pPr>
      <w:r>
        <w:rPr>
          <w:rFonts w:hint="eastAsia" w:ascii="宋体" w:hAnsi="宋体" w:cs="宋体"/>
          <w:sz w:val="24"/>
          <w:szCs w:val="24"/>
        </w:rPr>
        <w:t xml:space="preserve">10.1 投标人编写的投标文件应包括资格证明文件、实质性要求响应及偏离表、投标分项报价表、技术要求响应及偏离表、商务要求响应及偏离表、其他证明文件、投标函、开标一览表等部分。</w:t>
      </w:r>
      <w:r/>
    </w:p>
    <w:p>
      <w:pPr>
        <w:ind w:firstLine="480"/>
        <w:spacing w:line="360" w:lineRule="auto"/>
        <w:rPr>
          <w:rFonts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p>
    <w:p>
      <w:pPr>
        <w:ind w:firstLine="480"/>
        <w:spacing w:line="360" w:lineRule="auto"/>
        <w:rPr>
          <w:rFonts w:ascii="宋体" w:hAnsi="宋体" w:cs="宋体"/>
          <w:sz w:val="24"/>
          <w:szCs w:val="24"/>
        </w:rPr>
      </w:pPr>
      <w:r/>
      <w:bookmarkStart w:id="96" w:name="_Hlt26670360"/>
      <w:r/>
      <w:bookmarkStart w:id="97" w:name="_Hlt26668975"/>
      <w:r/>
      <w:bookmarkStart w:id="98" w:name="_Hlt26954838"/>
      <w:r/>
      <w:bookmarkStart w:id="99" w:name="_Toc513029219"/>
      <w:r/>
      <w:bookmarkStart w:id="100" w:name="_Toc14577357"/>
      <w:r/>
      <w:bookmarkStart w:id="101" w:name="_Toc49090509"/>
      <w:r/>
      <w:bookmarkStart w:id="102" w:name="_Toc14577354"/>
      <w:r/>
      <w:bookmarkStart w:id="103" w:name="_Toc513029216"/>
      <w:r/>
      <w:bookmarkStart w:id="104" w:name="_Toc49090507"/>
      <w:r/>
      <w:bookmarkEnd w:id="96"/>
      <w:r/>
      <w:bookmarkEnd w:id="97"/>
      <w:r/>
      <w:bookmarkEnd w:id="98"/>
      <w:r>
        <w:rPr>
          <w:rFonts w:hint="eastAsia" w:ascii="宋体" w:hAnsi="宋体" w:cs="宋体"/>
          <w:sz w:val="24"/>
          <w:szCs w:val="24"/>
        </w:rPr>
        <w:t xml:space="preserve">11、证明投标人及投标标的符合招标文件规定的文件</w:t>
      </w:r>
      <w:bookmarkEnd w:id="99"/>
      <w:r/>
      <w:bookmarkEnd w:id="100"/>
      <w:r/>
      <w:bookmarkEnd w:id="101"/>
      <w:r/>
      <w:r/>
    </w:p>
    <w:p>
      <w:pPr>
        <w:ind w:firstLine="480"/>
        <w:spacing w:line="360" w:lineRule="auto"/>
        <w:rPr>
          <w:rFonts w:ascii="宋体" w:hAnsi="宋体" w:cs="宋体"/>
          <w:sz w:val="24"/>
          <w:szCs w:val="24"/>
        </w:rPr>
      </w:pPr>
      <w:r/>
      <w:bookmarkStart w:id="105" w:name="_Toc14577355"/>
      <w:r/>
      <w:bookmarkStart w:id="106" w:name="_Toc49090508"/>
      <w:r/>
      <w:bookmarkEnd w:id="102"/>
      <w:r/>
      <w:bookmarkEnd w:id="103"/>
      <w:r/>
      <w:bookmarkEnd w:id="104"/>
      <w:r>
        <w:rPr>
          <w:rFonts w:hint="eastAsia" w:ascii="宋体" w:hAnsi="宋体" w:cs="宋体"/>
          <w:sz w:val="24"/>
          <w:szCs w:val="24"/>
        </w:rPr>
        <w:t xml:space="preserve">11.1 投标人应按照招标文件要求提交证明文件，证明其及投标标的符合招标文件规定。</w:t>
      </w:r>
      <w:r/>
    </w:p>
    <w:p>
      <w:pPr>
        <w:ind w:firstLine="480"/>
        <w:spacing w:line="360" w:lineRule="auto"/>
        <w:rPr>
          <w:rFonts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r/>
    </w:p>
    <w:p>
      <w:pPr>
        <w:ind w:firstLine="480"/>
        <w:spacing w:line="360" w:lineRule="auto"/>
        <w:rPr>
          <w:rFonts w:ascii="宋体" w:hAnsi="宋体" w:cs="宋体"/>
          <w:sz w:val="24"/>
          <w:szCs w:val="24"/>
        </w:rPr>
      </w:pPr>
      <w:r>
        <w:rPr>
          <w:rFonts w:hint="eastAsia" w:ascii="宋体" w:hAnsi="宋体" w:cs="宋体"/>
          <w:sz w:val="24"/>
          <w:szCs w:val="24"/>
        </w:rPr>
        <w:t xml:space="preserve">12、投标分项报价</w:t>
      </w:r>
      <w:bookmarkStart w:id="107" w:name="_Hlt26670373"/>
      <w:r/>
      <w:bookmarkEnd w:id="105"/>
      <w:r/>
      <w:bookmarkEnd w:id="107"/>
      <w:r>
        <w:rPr>
          <w:rFonts w:hint="eastAsia" w:ascii="宋体" w:hAnsi="宋体" w:cs="宋体"/>
          <w:sz w:val="24"/>
          <w:szCs w:val="24"/>
        </w:rPr>
        <w:t xml:space="preserve">表</w:t>
      </w:r>
      <w:bookmarkEnd w:id="106"/>
      <w:r/>
      <w:r/>
    </w:p>
    <w:p>
      <w:pPr>
        <w:ind w:firstLine="480"/>
        <w:spacing w:line="360" w:lineRule="auto"/>
        <w:rPr>
          <w:rFonts w:ascii="宋体" w:hAnsi="宋体" w:cs="宋体"/>
          <w:sz w:val="24"/>
          <w:szCs w:val="24"/>
        </w:rPr>
      </w:pPr>
      <w:r>
        <w:rPr>
          <w:rFonts w:hint="eastAsia" w:ascii="宋体" w:hAnsi="宋体" w:cs="宋体"/>
          <w:sz w:val="24"/>
          <w:szCs w:val="24"/>
        </w:rPr>
        <w:t xml:space="preserve">12.1 投标人按照招标文件规定格式填报投标分项报价表。</w:t>
      </w:r>
      <w:r/>
    </w:p>
    <w:p>
      <w:pPr>
        <w:ind w:firstLine="480"/>
        <w:spacing w:line="360" w:lineRule="auto"/>
        <w:rPr>
          <w:rFonts w:ascii="宋体" w:hAnsi="宋体" w:cs="宋体"/>
          <w:sz w:val="24"/>
          <w:szCs w:val="24"/>
        </w:rPr>
      </w:pPr>
      <w:r>
        <w:rPr>
          <w:rFonts w:hint="eastAsia" w:ascii="宋体" w:hAnsi="宋体" w:cs="宋体"/>
          <w:sz w:val="24"/>
          <w:szCs w:val="24"/>
        </w:rPr>
        <w:t xml:space="preserve">12.2投标货币。投标文件中的单价和总价无特殊规定的采用人民币报价，以元为单位标注。招标文件中另有规定的按规定执行。</w:t>
      </w:r>
      <w:r/>
    </w:p>
    <w:p>
      <w:pPr>
        <w:ind w:firstLine="480"/>
        <w:spacing w:line="360" w:lineRule="auto"/>
        <w:rPr>
          <w:rFonts w:ascii="宋体" w:hAnsi="宋体" w:cs="宋体"/>
          <w:sz w:val="24"/>
          <w:szCs w:val="24"/>
        </w:rPr>
      </w:pPr>
      <w:r/>
      <w:bookmarkStart w:id="108" w:name="_Hlt26670425"/>
      <w:r/>
      <w:bookmarkStart w:id="109" w:name="_Hlt26670482"/>
      <w:r/>
      <w:bookmarkStart w:id="110" w:name="_Hlt26954846"/>
      <w:r/>
      <w:bookmarkStart w:id="111" w:name="_Hlt26954731"/>
      <w:r/>
      <w:bookmarkStart w:id="112" w:name="_Hlt26668983"/>
      <w:r/>
      <w:bookmarkStart w:id="113" w:name="_Hlt26954844"/>
      <w:r/>
      <w:bookmarkStart w:id="114" w:name="_Hlt26670403"/>
      <w:r/>
      <w:bookmarkStart w:id="115" w:name="_Hlt26954842"/>
      <w:r/>
      <w:bookmarkStart w:id="116" w:name="_Hlt26670486"/>
      <w:r/>
      <w:bookmarkStart w:id="117" w:name="_Hlt26954848"/>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cs="宋体"/>
          <w:sz w:val="24"/>
          <w:szCs w:val="24"/>
        </w:rPr>
        <w:t xml:space="preserve">13、技术要求响应及偏离表、商务要求响应及偏离表</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13.1 投标人需对招标文件中的技术要求与商务要求逐项作出响应或偏离，并说明原因。</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13.2 投标人需按照招标文件要求，在投标文件中提供与技术要求和商务要求相关的证明材料。</w:t>
      </w:r>
      <w:r/>
    </w:p>
    <w:p>
      <w:pPr>
        <w:ind w:firstLine="480"/>
        <w:spacing w:line="360" w:lineRule="auto"/>
        <w:rPr>
          <w:rFonts w:ascii="宋体" w:hAnsi="宋体" w:cs="宋体"/>
          <w:sz w:val="24"/>
          <w:szCs w:val="24"/>
        </w:rPr>
      </w:pPr>
      <w:r/>
      <w:bookmarkStart w:id="118" w:name="_Toc49090510"/>
      <w:r/>
      <w:bookmarkStart w:id="119" w:name="_Toc14577359"/>
      <w:r>
        <w:rPr>
          <w:rFonts w:hint="eastAsia" w:ascii="宋体" w:hAnsi="宋体" w:cs="宋体"/>
          <w:sz w:val="24"/>
          <w:szCs w:val="24"/>
        </w:rPr>
        <w:t xml:space="preserve">14、投标函和开标一览表</w:t>
      </w:r>
      <w:r/>
    </w:p>
    <w:p>
      <w:pPr>
        <w:ind w:firstLine="480"/>
        <w:spacing w:line="360" w:lineRule="auto"/>
        <w:rPr>
          <w:rFonts w:ascii="宋体" w:hAnsi="宋体" w:cs="宋体"/>
          <w:sz w:val="24"/>
          <w:szCs w:val="24"/>
        </w:rPr>
      </w:pPr>
      <w:r>
        <w:rPr>
          <w:rFonts w:hint="eastAsia" w:ascii="宋体" w:hAnsi="宋体" w:cs="宋体"/>
          <w:sz w:val="24"/>
          <w:szCs w:val="24"/>
        </w:rPr>
        <w:t xml:space="preserve">14.1 投标人应按照招标文件中提供的格式完整、正确填写投标函、开标一览表。</w:t>
      </w:r>
      <w:r/>
    </w:p>
    <w:p>
      <w:pPr>
        <w:ind w:firstLine="480"/>
        <w:spacing w:line="360" w:lineRule="auto"/>
        <w:rPr>
          <w:rFonts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ascii="宋体" w:hAnsi="宋体" w:cs="宋体"/>
          <w:sz w:val="24"/>
          <w:szCs w:val="24"/>
        </w:rPr>
      </w:pPr>
      <w:r/>
      <w:bookmarkStart w:id="120" w:name="_Hlt26670489"/>
      <w:r/>
      <w:bookmarkStart w:id="121" w:name="_Hlt26954734"/>
      <w:r/>
      <w:bookmarkStart w:id="122" w:name="_Hlt26954850"/>
      <w:r/>
      <w:bookmarkStart w:id="123" w:name="_Toc49090511"/>
      <w:r/>
      <w:bookmarkStart w:id="124" w:name="_Toc14577360"/>
      <w:r/>
      <w:bookmarkEnd w:id="118"/>
      <w:r/>
      <w:bookmarkEnd w:id="119"/>
      <w:r/>
      <w:bookmarkEnd w:id="120"/>
      <w:r/>
      <w:bookmarkEnd w:id="121"/>
      <w:r/>
      <w:bookmarkEnd w:id="122"/>
      <w:r>
        <w:rPr>
          <w:rFonts w:hint="eastAsia" w:ascii="宋体" w:hAnsi="宋体" w:cs="宋体"/>
          <w:sz w:val="24"/>
          <w:szCs w:val="24"/>
        </w:rPr>
        <w:t xml:space="preserve">15、投标有效期</w:t>
      </w:r>
      <w:bookmarkEnd w:id="123"/>
      <w:r/>
      <w:bookmarkEnd w:id="124"/>
      <w:r/>
      <w:r/>
    </w:p>
    <w:p>
      <w:pPr>
        <w:ind w:firstLine="480"/>
        <w:spacing w:line="360" w:lineRule="auto"/>
        <w:rPr>
          <w:rFonts w:ascii="宋体" w:hAnsi="宋体" w:cs="宋体"/>
          <w:sz w:val="24"/>
          <w:szCs w:val="24"/>
        </w:rPr>
      </w:pPr>
      <w:r>
        <w:rPr>
          <w:rFonts w:hint="eastAsia" w:ascii="宋体" w:hAnsi="宋体" w:cs="宋体"/>
          <w:sz w:val="24"/>
          <w:szCs w:val="24"/>
        </w:rPr>
        <w:t xml:space="preserve">15.1 从投标文件接收截止之日算起，90个“日历天”内投标书应保持有效。有效期短于这个规定期限的，投标将被拒绝。</w:t>
      </w:r>
      <w:r/>
    </w:p>
    <w:p>
      <w:pPr>
        <w:ind w:firstLine="480"/>
        <w:spacing w:line="360" w:lineRule="auto"/>
        <w:rPr>
          <w:rFonts w:ascii="宋体" w:hAnsi="宋体" w:cs="宋体"/>
          <w:sz w:val="24"/>
          <w:szCs w:val="24"/>
        </w:rPr>
      </w:pPr>
      <w:r>
        <w:rPr>
          <w:rFonts w:hint="eastAsia" w:ascii="宋体" w:hAnsi="宋体" w:cs="宋体"/>
          <w:sz w:val="24"/>
          <w:szCs w:val="24"/>
        </w:rPr>
        <w:t xml:space="preserve">16、投标有效期的延长</w:t>
      </w:r>
      <w:r/>
    </w:p>
    <w:p>
      <w:pPr>
        <w:ind w:firstLine="480"/>
        <w:spacing w:line="360" w:lineRule="auto"/>
        <w:rPr>
          <w:rFonts w:ascii="宋体" w:hAnsi="宋体" w:cs="宋体"/>
          <w:sz w:val="24"/>
          <w:szCs w:val="24"/>
        </w:rPr>
      </w:pPr>
      <w:r>
        <w:rPr>
          <w:rFonts w:hint="eastAsia" w:ascii="宋体" w:hAnsi="宋体" w:cs="宋体"/>
          <w:sz w:val="24"/>
          <w:szCs w:val="24"/>
        </w:rPr>
        <w:t xml:space="preserve">16.1在特殊情况下，采购人可与投标供应商协商延长投标书的有效期。这种要求和答复都应以书面、传真、或电报的形式进行。同意延长有效期的投标供应商不能修改投标文件，拒绝接受延期要求的投标供应商的投标书将被拒绝。</w:t>
      </w:r>
      <w:r/>
    </w:p>
    <w:p>
      <w:pPr>
        <w:pStyle w:val="912"/>
        <w:ind w:firstLine="482"/>
        <w:spacing w:before="145" w:after="145" w:line="360" w:lineRule="auto"/>
        <w:rPr>
          <w:rFonts w:ascii="宋体" w:hAnsi="宋体" w:cs="宋体"/>
        </w:rPr>
      </w:pPr>
      <w:r/>
      <w:bookmarkStart w:id="125" w:name="_Hlt26954852"/>
      <w:r/>
      <w:bookmarkStart w:id="126" w:name="_Hlt26954739"/>
      <w:r/>
      <w:bookmarkStart w:id="127" w:name="_Toc20823296"/>
      <w:r/>
      <w:bookmarkStart w:id="128" w:name="_Toc120614217"/>
      <w:r/>
      <w:bookmarkStart w:id="129" w:name="_Toc16938540"/>
      <w:r/>
      <w:bookmarkStart w:id="130" w:name="_Toc513029224"/>
      <w:r/>
      <w:bookmarkEnd w:id="125"/>
      <w:r/>
      <w:bookmarkEnd w:id="126"/>
      <w:r>
        <w:rPr>
          <w:rFonts w:hint="eastAsia" w:ascii="宋体" w:hAnsi="宋体" w:cs="宋体"/>
        </w:rPr>
        <w:t xml:space="preserve">四、投标文件的递交</w:t>
      </w:r>
      <w:bookmarkEnd w:id="127"/>
      <w:r/>
      <w:bookmarkEnd w:id="128"/>
      <w:r/>
      <w:bookmarkEnd w:id="129"/>
      <w:r/>
      <w:bookmarkEnd w:id="130"/>
      <w:r/>
      <w:r/>
    </w:p>
    <w:p>
      <w:pPr>
        <w:ind w:firstLine="480"/>
        <w:spacing w:line="360" w:lineRule="auto"/>
        <w:rPr>
          <w:rFonts w:ascii="宋体" w:hAnsi="宋体" w:cs="宋体"/>
          <w:sz w:val="24"/>
          <w:szCs w:val="24"/>
        </w:rPr>
      </w:pPr>
      <w:r/>
      <w:bookmarkStart w:id="131" w:name="_Toc16938541"/>
      <w:r/>
      <w:bookmarkStart w:id="132" w:name="_Toc513029225"/>
      <w:r/>
      <w:bookmarkStart w:id="133" w:name="_Toc20823297"/>
      <w:r/>
      <w:bookmarkStart w:id="134" w:name="_Toc462564084"/>
      <w:r>
        <w:rPr>
          <w:rFonts w:hint="eastAsia" w:ascii="宋体" w:hAnsi="宋体" w:cs="宋体"/>
          <w:sz w:val="24"/>
          <w:szCs w:val="24"/>
        </w:rPr>
        <w:t xml:space="preserve">17、投标文件</w:t>
      </w:r>
      <w:bookmarkEnd w:id="131"/>
      <w:r/>
      <w:bookmarkEnd w:id="132"/>
      <w:r/>
      <w:bookmarkEnd w:id="133"/>
      <w:r/>
      <w:bookmarkEnd w:id="134"/>
      <w:r>
        <w:rPr>
          <w:rFonts w:hint="eastAsia" w:ascii="宋体" w:hAnsi="宋体" w:cs="宋体"/>
          <w:sz w:val="24"/>
          <w:szCs w:val="24"/>
        </w:rPr>
        <w:t xml:space="preserve">的递交</w:t>
      </w:r>
      <w:r/>
    </w:p>
    <w:p>
      <w:pPr>
        <w:ind w:firstLine="480"/>
        <w:spacing w:line="360" w:lineRule="auto"/>
        <w:rPr>
          <w:rFonts w:ascii="宋体" w:hAnsi="宋体" w:cs="宋体"/>
          <w:sz w:val="24"/>
          <w:szCs w:val="24"/>
        </w:rPr>
      </w:pPr>
      <w:r>
        <w:rPr>
          <w:rFonts w:hint="eastAsia" w:ascii="宋体" w:hAnsi="宋体" w:cs="宋体"/>
          <w:sz w:val="24"/>
          <w:szCs w:val="24"/>
        </w:rPr>
        <w:t xml:space="preserve">17.1 电子投标文件的递交</w:t>
      </w:r>
      <w:r/>
    </w:p>
    <w:p>
      <w:pPr>
        <w:ind w:firstLine="480"/>
        <w:spacing w:line="360" w:lineRule="auto"/>
        <w:rPr>
          <w:rFonts w:ascii="宋体" w:hAnsi="宋体" w:cs="宋体"/>
          <w:sz w:val="24"/>
          <w:szCs w:val="24"/>
        </w:rPr>
      </w:pPr>
      <w:r>
        <w:rPr>
          <w:rFonts w:hint="eastAsia" w:ascii="宋体" w:hAnsi="宋体" w:cs="宋体"/>
          <w:sz w:val="24"/>
          <w:szCs w:val="24"/>
        </w:rPr>
        <w:t xml:space="preserve">投标人应当按照《操作手册》规定，在投标截止时间前制作并上传电子投标文件。</w:t>
      </w:r>
      <w:bookmarkStart w:id="135" w:name="_Toc20823298"/>
      <w:r/>
      <w:bookmarkStart w:id="136" w:name="_Toc513029226"/>
      <w:r/>
      <w:bookmarkStart w:id="137" w:name="_Toc16938542"/>
      <w:r/>
      <w:r/>
    </w:p>
    <w:p>
      <w:pPr>
        <w:ind w:firstLine="480"/>
        <w:spacing w:line="360" w:lineRule="auto"/>
        <w:rPr>
          <w:rFonts w:ascii="宋体" w:hAnsi="宋体" w:cs="宋体"/>
          <w:sz w:val="24"/>
          <w:szCs w:val="24"/>
        </w:rPr>
      </w:pPr>
      <w:r>
        <w:rPr>
          <w:rFonts w:hint="eastAsia" w:ascii="宋体" w:hAnsi="宋体" w:cs="宋体"/>
          <w:sz w:val="24"/>
          <w:szCs w:val="24"/>
        </w:rPr>
        <w:t xml:space="preserve">18、投标截止</w:t>
      </w:r>
      <w:bookmarkEnd w:id="135"/>
      <w:r/>
      <w:bookmarkEnd w:id="136"/>
      <w:r/>
      <w:bookmarkEnd w:id="137"/>
      <w:r>
        <w:rPr>
          <w:rFonts w:hint="eastAsia" w:ascii="宋体" w:hAnsi="宋体" w:cs="宋体"/>
          <w:sz w:val="24"/>
          <w:szCs w:val="24"/>
        </w:rPr>
        <w:t xml:space="preserve">时间</w:t>
      </w:r>
      <w:r/>
    </w:p>
    <w:p>
      <w:pPr>
        <w:ind w:firstLine="480"/>
        <w:spacing w:line="360" w:lineRule="auto"/>
        <w:rPr>
          <w:rFonts w:ascii="宋体" w:hAnsi="宋体" w:cs="宋体"/>
          <w:sz w:val="24"/>
          <w:szCs w:val="24"/>
        </w:rPr>
      </w:pPr>
      <w:r>
        <w:rPr>
          <w:rFonts w:hint="eastAsia" w:ascii="宋体" w:hAnsi="宋体" w:cs="宋体"/>
          <w:sz w:val="24"/>
          <w:szCs w:val="24"/>
        </w:rPr>
        <w:t xml:space="preserve">18.1 投标人上传电子投标文件的时间不得迟于招标公告中规定的投标截止时间。</w:t>
      </w:r>
      <w:r/>
    </w:p>
    <w:p>
      <w:pPr>
        <w:ind w:firstLine="480"/>
        <w:spacing w:line="360" w:lineRule="auto"/>
        <w:rPr>
          <w:rFonts w:ascii="宋体" w:hAnsi="宋体" w:cs="宋体"/>
          <w:sz w:val="24"/>
          <w:szCs w:val="24"/>
        </w:rPr>
      </w:pPr>
      <w:r>
        <w:rPr>
          <w:rFonts w:hint="eastAsia" w:ascii="宋体" w:hAnsi="宋体" w:cs="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360" w:lineRule="auto"/>
        <w:rPr>
          <w:rFonts w:ascii="宋体" w:hAnsi="宋体" w:cs="宋体"/>
          <w:sz w:val="24"/>
          <w:szCs w:val="24"/>
        </w:rPr>
      </w:pPr>
      <w:r>
        <w:rPr>
          <w:rFonts w:hint="eastAsia" w:ascii="宋体" w:hAnsi="宋体" w:cs="宋体"/>
          <w:sz w:val="24"/>
          <w:szCs w:val="24"/>
        </w:rPr>
        <w:t xml:space="preserve">18.2 采购人可以按照规定，通过修改招标文件酌情延长投标截止时间，在此情况下，投标人的所有权利和义务以及投标人受制的截止时间均应以延长后新的截止时间为准。</w:t>
      </w:r>
      <w:r/>
    </w:p>
    <w:p>
      <w:pPr>
        <w:ind w:firstLine="480"/>
        <w:spacing w:line="360" w:lineRule="auto"/>
        <w:rPr>
          <w:rFonts w:ascii="宋体" w:hAnsi="宋体" w:cs="宋体"/>
          <w:sz w:val="24"/>
          <w:szCs w:val="24"/>
        </w:rPr>
      </w:pPr>
      <w:r/>
      <w:bookmarkStart w:id="138" w:name="_Toc16938543"/>
      <w:r/>
      <w:bookmarkStart w:id="139" w:name="_Toc20823299"/>
      <w:r/>
      <w:bookmarkStart w:id="140" w:name="_Toc513029227"/>
      <w:r>
        <w:rPr>
          <w:rFonts w:hint="eastAsia" w:ascii="宋体" w:hAnsi="宋体" w:cs="宋体"/>
          <w:sz w:val="24"/>
          <w:szCs w:val="24"/>
        </w:rPr>
        <w:t xml:space="preserve">19、投标文件</w:t>
      </w:r>
      <w:bookmarkEnd w:id="138"/>
      <w:r/>
      <w:bookmarkEnd w:id="139"/>
      <w:r/>
      <w:bookmarkEnd w:id="140"/>
      <w:r>
        <w:rPr>
          <w:rFonts w:hint="eastAsia" w:ascii="宋体" w:hAnsi="宋体" w:cs="宋体"/>
          <w:sz w:val="24"/>
          <w:szCs w:val="24"/>
        </w:rPr>
        <w:t xml:space="preserve">的拒收</w:t>
      </w:r>
      <w:r/>
    </w:p>
    <w:p>
      <w:pPr>
        <w:ind w:firstLine="480"/>
        <w:spacing w:line="360" w:lineRule="auto"/>
        <w:rPr>
          <w:rFonts w:ascii="宋体" w:hAnsi="宋体" w:cs="宋体"/>
          <w:sz w:val="24"/>
          <w:szCs w:val="24"/>
        </w:rPr>
      </w:pPr>
      <w:r>
        <w:rPr>
          <w:rFonts w:hint="eastAsia" w:ascii="宋体" w:hAnsi="宋体" w:cs="宋体"/>
          <w:sz w:val="24"/>
          <w:szCs w:val="24"/>
        </w:rPr>
        <w:t xml:space="preserve">19.1采购人拒绝接收在其规定的投标截止时间后上传的任何投标文件。</w:t>
      </w:r>
      <w:r/>
    </w:p>
    <w:p>
      <w:pPr>
        <w:ind w:firstLine="480"/>
        <w:spacing w:line="360" w:lineRule="auto"/>
        <w:rPr>
          <w:rFonts w:ascii="宋体" w:hAnsi="宋体" w:cs="宋体"/>
          <w:sz w:val="24"/>
          <w:szCs w:val="24"/>
        </w:rPr>
      </w:pPr>
      <w:r/>
      <w:bookmarkStart w:id="141" w:name="_Toc513029228"/>
      <w:r/>
      <w:bookmarkStart w:id="142" w:name="_Toc20823300"/>
      <w:r/>
      <w:bookmarkStart w:id="143" w:name="_Toc16938544"/>
      <w:r>
        <w:rPr>
          <w:rFonts w:hint="eastAsia" w:ascii="宋体" w:hAnsi="宋体" w:cs="宋体"/>
          <w:sz w:val="24"/>
          <w:szCs w:val="24"/>
        </w:rPr>
        <w:t xml:space="preserve">20、投标文件的撤回和修改</w:t>
      </w:r>
      <w:bookmarkEnd w:id="141"/>
      <w:r/>
      <w:bookmarkEnd w:id="142"/>
      <w:r/>
      <w:bookmarkEnd w:id="143"/>
      <w:r/>
      <w:r/>
    </w:p>
    <w:p>
      <w:pPr>
        <w:ind w:firstLine="480"/>
        <w:spacing w:line="360" w:lineRule="auto"/>
        <w:rPr>
          <w:rFonts w:ascii="宋体" w:hAnsi="宋体" w:cs="宋体"/>
          <w:sz w:val="24"/>
          <w:szCs w:val="24"/>
        </w:rPr>
      </w:pPr>
      <w:r>
        <w:rPr>
          <w:rFonts w:hint="eastAsia" w:ascii="宋体" w:hAnsi="宋体" w:cs="宋体"/>
          <w:sz w:val="24"/>
          <w:szCs w:val="24"/>
        </w:rPr>
        <w:t xml:space="preserve">20.1 投标文件的撤回。</w:t>
      </w:r>
      <w:r/>
    </w:p>
    <w:p>
      <w:pPr>
        <w:ind w:firstLine="480"/>
        <w:spacing w:line="360" w:lineRule="auto"/>
        <w:rPr>
          <w:rFonts w:ascii="宋体" w:hAnsi="宋体" w:cs="宋体"/>
          <w:sz w:val="24"/>
          <w:szCs w:val="24"/>
        </w:rPr>
      </w:pPr>
      <w:r>
        <w:rPr>
          <w:rFonts w:hint="eastAsia" w:ascii="宋体" w:hAnsi="宋体" w:cs="宋体"/>
          <w:sz w:val="24"/>
          <w:szCs w:val="24"/>
        </w:rPr>
        <w:t xml:space="preserve">20.1.1 电子投标文件的撤回。</w:t>
      </w:r>
      <w:r/>
    </w:p>
    <w:p>
      <w:pPr>
        <w:ind w:firstLine="480"/>
        <w:spacing w:line="360" w:lineRule="auto"/>
        <w:rPr>
          <w:rFonts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480"/>
        <w:spacing w:line="360" w:lineRule="auto"/>
        <w:rPr>
          <w:rFonts w:ascii="宋体" w:hAnsi="宋体" w:cs="宋体"/>
          <w:sz w:val="24"/>
          <w:szCs w:val="24"/>
        </w:rPr>
      </w:pPr>
      <w:r>
        <w:rPr>
          <w:rFonts w:hint="eastAsia" w:ascii="宋体" w:hAnsi="宋体" w:cs="宋体"/>
          <w:sz w:val="24"/>
          <w:szCs w:val="24"/>
        </w:rPr>
        <w:t xml:space="preserve">20.1.2 投标人撤回电子投标文件，则认为其不再参与本项目投标活动。</w:t>
      </w:r>
      <w:r/>
    </w:p>
    <w:p>
      <w:pPr>
        <w:ind w:firstLine="480"/>
        <w:spacing w:line="360" w:lineRule="auto"/>
        <w:rPr>
          <w:rFonts w:ascii="宋体" w:hAnsi="宋体" w:cs="宋体"/>
          <w:sz w:val="24"/>
          <w:szCs w:val="24"/>
        </w:rPr>
      </w:pPr>
      <w:r>
        <w:rPr>
          <w:rFonts w:hint="eastAsia" w:ascii="宋体" w:hAnsi="宋体" w:cs="宋体"/>
          <w:sz w:val="24"/>
          <w:szCs w:val="24"/>
        </w:rPr>
        <w:t xml:space="preserve">20.2 投标文件的修改。</w:t>
      </w:r>
      <w:r/>
    </w:p>
    <w:p>
      <w:pPr>
        <w:ind w:firstLine="480"/>
        <w:spacing w:line="360" w:lineRule="auto"/>
        <w:rPr>
          <w:rFonts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p>
    <w:p>
      <w:pPr>
        <w:ind w:firstLine="480"/>
        <w:spacing w:line="360" w:lineRule="auto"/>
        <w:rPr>
          <w:rFonts w:ascii="宋体" w:hAnsi="宋体" w:cs="宋体"/>
          <w:sz w:val="24"/>
          <w:szCs w:val="24"/>
        </w:rPr>
      </w:pPr>
      <w:r>
        <w:rPr>
          <w:rFonts w:hint="eastAsia" w:ascii="宋体" w:hAnsi="宋体" w:cs="宋体"/>
          <w:sz w:val="24"/>
          <w:szCs w:val="24"/>
        </w:rPr>
        <w:t xml:space="preserve">20.2.2 在投标截止时间之后，投标人不得对其电子投标文件作任何修改。</w:t>
      </w:r>
      <w:r/>
    </w:p>
    <w:p>
      <w:pPr>
        <w:ind w:firstLine="480"/>
        <w:spacing w:line="360" w:lineRule="auto"/>
        <w:rPr>
          <w:rFonts w:ascii="宋体" w:hAnsi="宋体" w:cs="宋体"/>
          <w:sz w:val="24"/>
          <w:szCs w:val="24"/>
        </w:rPr>
      </w:pPr>
      <w:r>
        <w:rPr>
          <w:rFonts w:hint="eastAsia" w:ascii="宋体" w:hAnsi="宋体" w:cs="宋体"/>
          <w:sz w:val="24"/>
          <w:szCs w:val="24"/>
        </w:rPr>
        <w:t xml:space="preserve">20.3 在投标截止时间至招标文件中规定的投标有效期满之间的这段时间内，投标人不得撤回其投标。</w:t>
      </w:r>
      <w:r/>
    </w:p>
    <w:p>
      <w:pPr>
        <w:pStyle w:val="912"/>
        <w:ind w:firstLine="482"/>
        <w:spacing w:before="145" w:after="145" w:line="360" w:lineRule="auto"/>
        <w:rPr>
          <w:rFonts w:ascii="宋体" w:hAnsi="宋体" w:cs="宋体"/>
        </w:rPr>
      </w:pPr>
      <w:r/>
      <w:bookmarkStart w:id="144" w:name="_Toc16938545"/>
      <w:r/>
      <w:bookmarkStart w:id="145" w:name="_Toc513029229"/>
      <w:r/>
      <w:bookmarkStart w:id="146" w:name="_Toc120614218"/>
      <w:r/>
      <w:bookmarkStart w:id="147" w:name="_Toc20823301"/>
      <w:r>
        <w:rPr>
          <w:rFonts w:hint="eastAsia" w:ascii="宋体" w:hAnsi="宋体" w:cs="宋体"/>
        </w:rPr>
        <w:t xml:space="preserve">五、开标与评标</w:t>
      </w:r>
      <w:bookmarkEnd w:id="144"/>
      <w:r/>
      <w:bookmarkEnd w:id="145"/>
      <w:r/>
      <w:bookmarkEnd w:id="146"/>
      <w:r/>
      <w:bookmarkEnd w:id="147"/>
      <w:r/>
      <w:r/>
    </w:p>
    <w:p>
      <w:pPr>
        <w:ind w:firstLine="480"/>
        <w:spacing w:line="360" w:lineRule="auto"/>
        <w:rPr>
          <w:rFonts w:ascii="宋体" w:hAnsi="宋体" w:cs="宋体"/>
          <w:sz w:val="24"/>
          <w:szCs w:val="24"/>
        </w:rPr>
      </w:pPr>
      <w:r/>
      <w:bookmarkStart w:id="148" w:name="_Toc20823302"/>
      <w:r/>
      <w:bookmarkStart w:id="149" w:name="_Toc16938546"/>
      <w:r/>
      <w:bookmarkStart w:id="150" w:name="_Toc513029230"/>
      <w:r>
        <w:rPr>
          <w:rFonts w:hint="eastAsia" w:ascii="宋体" w:hAnsi="宋体" w:cs="宋体"/>
          <w:sz w:val="24"/>
          <w:szCs w:val="24"/>
        </w:rPr>
        <w:t xml:space="preserve">21、开标</w:t>
      </w:r>
      <w:bookmarkEnd w:id="148"/>
      <w:r/>
      <w:bookmarkEnd w:id="149"/>
      <w:r/>
      <w:bookmarkEnd w:id="150"/>
      <w:r/>
      <w:r/>
    </w:p>
    <w:p>
      <w:pPr>
        <w:ind w:firstLine="480"/>
        <w:spacing w:line="360" w:lineRule="auto"/>
        <w:rPr>
          <w:rFonts w:ascii="宋体" w:hAnsi="宋体" w:cs="宋体"/>
          <w:sz w:val="24"/>
          <w:szCs w:val="24"/>
        </w:rPr>
      </w:pPr>
      <w:r>
        <w:rPr>
          <w:rFonts w:hint="eastAsia" w:ascii="宋体" w:hAnsi="宋体" w:cs="宋体"/>
          <w:sz w:val="24"/>
          <w:szCs w:val="24"/>
        </w:rPr>
        <w:t xml:space="preserve">21.1 采购人将在招标公告中规定的时间和地点组织公开开标。投标人应当按照《操作手册》规定，参加开标活动和在苏采云系统规定的时间内对投标文件进行解密。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cs="宋体"/>
          <w:sz w:val="24"/>
          <w:szCs w:val="24"/>
        </w:rPr>
      </w:pPr>
      <w:r>
        <w:rPr>
          <w:rFonts w:hint="eastAsia" w:ascii="宋体" w:hAnsi="宋体" w:cs="宋体"/>
          <w:sz w:val="24"/>
          <w:szCs w:val="24"/>
        </w:rPr>
        <w:t xml:space="preserve">21.2开标仪式由开发区公共资源交易中心组织。苏采云系统将自动对项目进行开标，并宣布各投标人名称和投标价格。</w:t>
      </w:r>
      <w:r/>
    </w:p>
    <w:p>
      <w:pPr>
        <w:ind w:firstLine="480"/>
        <w:spacing w:line="360" w:lineRule="auto"/>
        <w:rPr>
          <w:rFonts w:ascii="宋体" w:hAnsi="宋体" w:cs="宋体"/>
          <w:sz w:val="24"/>
          <w:szCs w:val="24"/>
        </w:rPr>
      </w:pPr>
      <w:r>
        <w:rPr>
          <w:rFonts w:hint="eastAsia" w:ascii="宋体" w:hAnsi="宋体" w:cs="宋体"/>
          <w:sz w:val="24"/>
          <w:szCs w:val="24"/>
        </w:rPr>
        <w:t xml:space="preserve">21.3投标人在开标过程中涉及到的投标文件解密、开标结果确认等工作，应按照《操作手册》规定执行。</w:t>
      </w:r>
      <w:r/>
    </w:p>
    <w:p>
      <w:pPr>
        <w:ind w:firstLine="480"/>
        <w:spacing w:line="360" w:lineRule="auto"/>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 苏采云系统中《开标记录表》宣布后5分钟内未提出的，视同认可开标结果。</w:t>
      </w:r>
      <w:r/>
    </w:p>
    <w:p>
      <w:pPr>
        <w:ind w:firstLine="480"/>
        <w:spacing w:line="360" w:lineRule="auto"/>
        <w:rPr>
          <w:rFonts w:ascii="宋体" w:hAnsi="宋体" w:cs="宋体"/>
          <w:sz w:val="24"/>
          <w:szCs w:val="24"/>
        </w:rPr>
      </w:pPr>
      <w:r/>
      <w:bookmarkStart w:id="151" w:name="_Toc16938547"/>
      <w:r/>
      <w:bookmarkStart w:id="152" w:name="_Toc20823303"/>
      <w:r/>
      <w:bookmarkStart w:id="153" w:name="_Toc513029231"/>
      <w:r>
        <w:rPr>
          <w:rFonts w:hint="eastAsia" w:ascii="宋体" w:hAnsi="宋体" w:cs="宋体"/>
          <w:sz w:val="24"/>
          <w:szCs w:val="24"/>
        </w:rPr>
        <w:t xml:space="preserve">22、评标委员会</w:t>
      </w:r>
      <w:r/>
    </w:p>
    <w:p>
      <w:pPr>
        <w:ind w:firstLine="480"/>
        <w:spacing w:line="360" w:lineRule="auto"/>
        <w:rPr>
          <w:rFonts w:ascii="宋体" w:hAnsi="宋体" w:cs="宋体"/>
          <w:sz w:val="24"/>
          <w:szCs w:val="24"/>
        </w:rPr>
      </w:pPr>
      <w:r>
        <w:rPr>
          <w:rFonts w:hint="eastAsia" w:ascii="宋体" w:hAnsi="宋体" w:cs="宋体"/>
          <w:sz w:val="24"/>
          <w:szCs w:val="24"/>
        </w:rPr>
        <w:t xml:space="preserve">    22.1 开标后，开发区公共资源交易中心将立即组织评标委员会（以下简称评委会）进行评标。</w:t>
      </w:r>
      <w:r/>
    </w:p>
    <w:p>
      <w:pPr>
        <w:ind w:firstLine="480"/>
        <w:spacing w:line="360" w:lineRule="auto"/>
        <w:rPr>
          <w:rFonts w:ascii="宋体" w:hAnsi="宋体" w:cs="宋体"/>
          <w:sz w:val="24"/>
          <w:szCs w:val="24"/>
        </w:rPr>
      </w:pPr>
      <w:r>
        <w:rPr>
          <w:rFonts w:hint="eastAsia" w:ascii="宋体" w:hAnsi="宋体" w:cs="宋体"/>
          <w:sz w:val="24"/>
          <w:szCs w:val="24"/>
        </w:rPr>
        <w:t xml:space="preserve">    22.2 评委会由采购人代表和有关技术、经济等方面的专家组成，且人员构成符合政府采购有关规定。</w:t>
      </w:r>
      <w:r/>
    </w:p>
    <w:p>
      <w:pPr>
        <w:ind w:firstLine="480"/>
        <w:spacing w:line="360" w:lineRule="auto"/>
        <w:rPr>
          <w:rFonts w:ascii="宋体" w:hAnsi="宋体" w:cs="宋体"/>
          <w:sz w:val="24"/>
          <w:szCs w:val="24"/>
        </w:rPr>
      </w:pPr>
      <w:r>
        <w:rPr>
          <w:rFonts w:hint="eastAsia" w:ascii="宋体" w:hAnsi="宋体" w:cs="宋体"/>
          <w:sz w:val="24"/>
          <w:szCs w:val="24"/>
        </w:rPr>
        <w:t xml:space="preserve">    22.3评委会独立工作，负责评审所有投标文件并确定中标侯选人。</w:t>
      </w:r>
      <w:r/>
    </w:p>
    <w:p>
      <w:pPr>
        <w:ind w:firstLine="480"/>
        <w:spacing w:line="360" w:lineRule="auto"/>
        <w:rPr>
          <w:rFonts w:ascii="宋体" w:hAnsi="宋体" w:cs="宋体"/>
          <w:sz w:val="24"/>
          <w:szCs w:val="24"/>
        </w:rPr>
      </w:pPr>
      <w:r>
        <w:rPr>
          <w:rFonts w:hint="eastAsia" w:ascii="宋体" w:hAnsi="宋体" w:cs="宋体"/>
          <w:sz w:val="24"/>
          <w:szCs w:val="24"/>
        </w:rPr>
        <w:t xml:space="preserve">23、评标过程的保密与公正</w:t>
      </w:r>
      <w:bookmarkEnd w:id="151"/>
      <w:r/>
      <w:bookmarkEnd w:id="152"/>
      <w:r/>
      <w:bookmarkEnd w:id="153"/>
      <w:r/>
      <w:r/>
    </w:p>
    <w:p>
      <w:pPr>
        <w:ind w:firstLine="480"/>
        <w:spacing w:line="360" w:lineRule="auto"/>
        <w:rPr>
          <w:rFonts w:ascii="宋体" w:hAnsi="宋体" w:cs="宋体"/>
          <w:sz w:val="24"/>
          <w:szCs w:val="24"/>
        </w:rPr>
      </w:pPr>
      <w:r>
        <w:rPr>
          <w:rFonts w:hint="eastAsia" w:ascii="宋体" w:hAnsi="宋体" w:cs="宋体"/>
          <w:sz w:val="24"/>
          <w:szCs w:val="24"/>
        </w:rPr>
        <w:t xml:space="preserve">23.1凡是与审查、澄清、评价和比较投标的有关资料以及授标建议等，采购人、评委、开发区公共资源交易中心均不得向投标人或与评标无关的其他人员透露。</w:t>
      </w:r>
      <w:r/>
    </w:p>
    <w:p>
      <w:pPr>
        <w:ind w:firstLine="480"/>
        <w:spacing w:line="360" w:lineRule="auto"/>
        <w:rPr>
          <w:rFonts w:ascii="宋体" w:hAnsi="宋体" w:cs="宋体"/>
          <w:sz w:val="24"/>
          <w:szCs w:val="24"/>
        </w:rPr>
      </w:pPr>
      <w:r>
        <w:rPr>
          <w:rFonts w:hint="eastAsia" w:ascii="宋体" w:hAnsi="宋体" w:cs="宋体"/>
          <w:sz w:val="24"/>
          <w:szCs w:val="24"/>
        </w:rPr>
        <w:t xml:space="preserve">23.2在评标过程中，投标人不得以任何行为影响评标过程，否则其投标文件将被作为无效投标文件。</w:t>
      </w:r>
      <w:r/>
    </w:p>
    <w:p>
      <w:pPr>
        <w:ind w:firstLine="480"/>
        <w:spacing w:line="360" w:lineRule="auto"/>
        <w:rPr>
          <w:rFonts w:ascii="宋体" w:hAnsi="宋体" w:cs="宋体"/>
          <w:sz w:val="24"/>
          <w:szCs w:val="24"/>
        </w:rPr>
      </w:pPr>
      <w:r>
        <w:rPr>
          <w:rFonts w:hint="eastAsia" w:ascii="宋体" w:hAnsi="宋体" w:cs="宋体"/>
          <w:sz w:val="24"/>
          <w:szCs w:val="24"/>
        </w:rPr>
        <w:t xml:space="preserve">23.3 评标委员会不向未中标的投标人解释未中标原因，也不公布评标过程中的相关细节。</w:t>
      </w:r>
      <w:r/>
    </w:p>
    <w:p>
      <w:pPr>
        <w:ind w:firstLine="480"/>
        <w:spacing w:line="360" w:lineRule="auto"/>
        <w:rPr>
          <w:rFonts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p>
    <w:p>
      <w:pPr>
        <w:ind w:firstLine="480"/>
        <w:spacing w:line="360" w:lineRule="auto"/>
        <w:rPr>
          <w:rFonts w:ascii="宋体" w:hAnsi="宋体" w:cs="宋体"/>
          <w:sz w:val="24"/>
          <w:szCs w:val="24"/>
        </w:rPr>
      </w:pPr>
      <w:r/>
      <w:bookmarkStart w:id="154" w:name="_Toc16938548"/>
      <w:r/>
      <w:bookmarkStart w:id="155" w:name="_Toc20823304"/>
      <w:r/>
      <w:bookmarkStart w:id="156" w:name="_Toc513029232"/>
      <w:r>
        <w:rPr>
          <w:rFonts w:hint="eastAsia" w:ascii="宋体" w:hAnsi="宋体" w:cs="宋体"/>
          <w:sz w:val="24"/>
          <w:szCs w:val="24"/>
        </w:rPr>
        <w:t xml:space="preserve">24、投标文件的澄清</w:t>
      </w:r>
      <w:bookmarkEnd w:id="154"/>
      <w:r/>
      <w:bookmarkEnd w:id="155"/>
      <w:r/>
      <w:bookmarkEnd w:id="156"/>
      <w:r/>
      <w:r/>
    </w:p>
    <w:p>
      <w:pPr>
        <w:ind w:firstLine="480"/>
        <w:spacing w:line="360" w:lineRule="auto"/>
        <w:rPr>
          <w:rFonts w:ascii="宋体" w:hAnsi="宋体" w:cs="宋体"/>
          <w:sz w:val="24"/>
          <w:szCs w:val="24"/>
        </w:rPr>
      </w:pPr>
      <w:r>
        <w:rPr>
          <w:rFonts w:hint="eastAsia" w:ascii="宋体" w:hAnsi="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360" w:lineRule="auto"/>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360" w:lineRule="auto"/>
        <w:rPr>
          <w:rFonts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360" w:lineRule="auto"/>
        <w:rPr>
          <w:rFonts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sz w:val="24"/>
          <w:szCs w:val="24"/>
        </w:rPr>
      </w:pPr>
      <w:r>
        <w:rPr>
          <w:rFonts w:hint="eastAsia" w:ascii="宋体" w:hAnsi="宋体" w:cs="宋体"/>
          <w:sz w:val="24"/>
          <w:szCs w:val="24"/>
        </w:rPr>
        <w:t xml:space="preserve">24.3 接到评委会澄清、说明和补正要求的投标人如未按规定做出澄清、说明和补正，其风险由投标人自行承担。</w:t>
      </w:r>
      <w:r/>
    </w:p>
    <w:p>
      <w:pPr>
        <w:ind w:firstLine="480"/>
        <w:spacing w:line="360" w:lineRule="auto"/>
        <w:rPr>
          <w:rFonts w:ascii="宋体" w:hAnsi="宋体" w:cs="宋体"/>
          <w:sz w:val="24"/>
          <w:szCs w:val="24"/>
        </w:rPr>
      </w:pPr>
      <w:r/>
      <w:bookmarkStart w:id="157" w:name="_Toc20823305"/>
      <w:r/>
      <w:bookmarkStart w:id="158" w:name="_Toc513029233"/>
      <w:r/>
      <w:bookmarkStart w:id="159" w:name="_Toc16938549"/>
      <w:r>
        <w:rPr>
          <w:rFonts w:hint="eastAsia" w:ascii="宋体" w:hAnsi="宋体" w:cs="宋体"/>
          <w:sz w:val="24"/>
          <w:szCs w:val="24"/>
        </w:rPr>
        <w:t xml:space="preserve">25、对投标文件的初审</w:t>
      </w:r>
      <w:bookmarkEnd w:id="157"/>
      <w:r/>
      <w:bookmarkEnd w:id="158"/>
      <w:r/>
      <w:bookmarkEnd w:id="159"/>
      <w:r/>
      <w:r/>
    </w:p>
    <w:p>
      <w:pPr>
        <w:ind w:firstLine="480"/>
        <w:spacing w:line="360" w:lineRule="auto"/>
        <w:rPr>
          <w:rFonts w:ascii="宋体" w:hAnsi="宋体" w:cs="宋体"/>
          <w:sz w:val="24"/>
          <w:szCs w:val="24"/>
        </w:rPr>
      </w:pPr>
      <w:r>
        <w:rPr>
          <w:rFonts w:hint="eastAsia" w:ascii="宋体" w:hAnsi="宋体" w:cs="宋体"/>
          <w:sz w:val="24"/>
          <w:szCs w:val="24"/>
        </w:rPr>
        <w:t xml:space="preserve">25.1投标文件初审分为资格审查和符合性审查。</w:t>
      </w:r>
      <w:r/>
    </w:p>
    <w:p>
      <w:pPr>
        <w:ind w:firstLine="480"/>
        <w:spacing w:line="360" w:lineRule="auto"/>
        <w:rPr>
          <w:rFonts w:ascii="宋体" w:hAnsi="宋体" w:cs="宋体"/>
          <w:sz w:val="24"/>
          <w:szCs w:val="24"/>
        </w:rPr>
      </w:pPr>
      <w:r>
        <w:rPr>
          <w:rFonts w:hint="eastAsia" w:ascii="宋体" w:hAnsi="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cs="宋体"/>
          <w:sz w:val="24"/>
          <w:szCs w:val="24"/>
        </w:rPr>
      </w:pPr>
      <w:r>
        <w:rPr>
          <w:rFonts w:hint="eastAsia" w:ascii="宋体" w:hAnsi="宋体" w:cs="宋体"/>
          <w:sz w:val="24"/>
          <w:szCs w:val="24"/>
        </w:rPr>
        <w:t xml:space="preserve">采购人在进行资格性审查的同时，将在“信用中国”网站查询投标人的信用记录，以确定投标人是否具备投标资格,查询结果留存并归档。</w:t>
      </w:r>
      <w:r/>
    </w:p>
    <w:p>
      <w:pPr>
        <w:ind w:firstLine="480"/>
        <w:spacing w:line="360" w:lineRule="auto"/>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sz w:val="24"/>
          <w:szCs w:val="24"/>
        </w:rPr>
      </w:pPr>
      <w:r>
        <w:rPr>
          <w:rFonts w:hint="eastAsia" w:ascii="宋体" w:hAnsi="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cs="宋体"/>
          <w:sz w:val="24"/>
          <w:szCs w:val="24"/>
        </w:rPr>
      </w:pPr>
      <w:r>
        <w:rPr>
          <w:rFonts w:hint="eastAsia" w:ascii="宋体" w:hAnsi="宋体" w:cs="宋体"/>
          <w:sz w:val="24"/>
          <w:szCs w:val="24"/>
        </w:rPr>
        <w:t xml:space="preserve">25.1.3 未通过资格审查或符合性审查的投标人，将在苏采云系统中告知未通过资格审查或符合性审查的原因，评标结束后，将不再告知未通过资格审查和符合性审查的原因。</w:t>
      </w:r>
      <w:r/>
    </w:p>
    <w:p>
      <w:pPr>
        <w:ind w:firstLine="480"/>
        <w:spacing w:line="360" w:lineRule="auto"/>
        <w:rPr>
          <w:rFonts w:ascii="宋体" w:hAnsi="宋体" w:cs="宋体"/>
          <w:sz w:val="24"/>
          <w:szCs w:val="24"/>
        </w:rPr>
      </w:pPr>
      <w:r>
        <w:rPr>
          <w:rFonts w:hint="eastAsia" w:ascii="宋体" w:hAnsi="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s="宋体"/>
          <w:sz w:val="24"/>
          <w:szCs w:val="24"/>
        </w:rPr>
      </w:pPr>
      <w:r>
        <w:rPr>
          <w:rFonts w:hint="eastAsia" w:ascii="宋体" w:hAnsi="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s="宋体"/>
          <w:sz w:val="24"/>
          <w:szCs w:val="24"/>
        </w:rPr>
      </w:pPr>
      <w:r>
        <w:rPr>
          <w:rFonts w:hint="eastAsia" w:ascii="宋体" w:hAnsi="宋体" w:cs="宋体"/>
          <w:sz w:val="24"/>
          <w:szCs w:val="24"/>
        </w:rPr>
        <w:t xml:space="preserve">25.4评委会将对确定为实质性响应的投标进行进一步审核，确定其是否有计算上或累加上的算术错误，修正错误的原则如下：</w:t>
      </w:r>
      <w:r/>
    </w:p>
    <w:p>
      <w:pPr>
        <w:ind w:firstLine="480"/>
        <w:spacing w:line="360" w:lineRule="auto"/>
        <w:rPr>
          <w:rFonts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p>
    <w:p>
      <w:pPr>
        <w:ind w:firstLine="480"/>
        <w:spacing w:line="360" w:lineRule="auto"/>
        <w:rPr>
          <w:rFonts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480"/>
        <w:spacing w:line="360" w:lineRule="auto"/>
        <w:rPr>
          <w:rFonts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480"/>
        <w:spacing w:line="360" w:lineRule="auto"/>
        <w:rPr>
          <w:rFonts w:ascii="宋体" w:hAnsi="宋体" w:cs="宋体"/>
          <w:sz w:val="24"/>
          <w:szCs w:val="24"/>
        </w:rPr>
      </w:pPr>
      <w:r>
        <w:rPr>
          <w:rFonts w:hint="eastAsia" w:ascii="宋体" w:hAnsi="宋体" w:cs="宋体"/>
          <w:sz w:val="24"/>
          <w:szCs w:val="24"/>
        </w:rPr>
        <w:t xml:space="preserve">（4）总价金额与按单价汇总金额不一致的，以单价金额计算结果为准。</w:t>
      </w:r>
      <w:r/>
    </w:p>
    <w:p>
      <w:pPr>
        <w:ind w:firstLine="480"/>
        <w:spacing w:line="360" w:lineRule="auto"/>
        <w:rPr>
          <w:rFonts w:ascii="宋体" w:hAnsi="宋体" w:cs="宋体"/>
          <w:sz w:val="24"/>
          <w:szCs w:val="24"/>
        </w:rPr>
      </w:pPr>
      <w:r>
        <w:rPr>
          <w:rFonts w:hint="eastAsia" w:ascii="宋体" w:hAnsi="宋体" w:cs="宋体"/>
          <w:sz w:val="24"/>
          <w:szCs w:val="24"/>
        </w:rPr>
        <w:t xml:space="preserve">同时出现两种以上错误的，按照前款规定的顺序修正。</w:t>
      </w:r>
      <w:r/>
    </w:p>
    <w:p>
      <w:pPr>
        <w:ind w:firstLine="480"/>
        <w:spacing w:line="360" w:lineRule="auto"/>
        <w:rPr>
          <w:rFonts w:ascii="宋体" w:hAnsi="宋体" w:cs="宋体"/>
          <w:sz w:val="24"/>
          <w:szCs w:val="24"/>
        </w:rPr>
      </w:pPr>
      <w:r>
        <w:rPr>
          <w:rFonts w:hint="eastAsia" w:ascii="宋体" w:hAnsi="宋体" w:cs="宋体"/>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ascii="宋体" w:hAnsi="宋体" w:cs="宋体"/>
          <w:sz w:val="24"/>
          <w:szCs w:val="24"/>
        </w:rPr>
      </w:pPr>
      <w:r/>
      <w:bookmarkStart w:id="160" w:name="_Toc20823306"/>
      <w:r/>
      <w:bookmarkStart w:id="161" w:name="_Toc513029234"/>
      <w:r/>
      <w:bookmarkStart w:id="162" w:name="_Toc16938550"/>
      <w:r>
        <w:rPr>
          <w:rFonts w:hint="eastAsia" w:ascii="宋体" w:hAnsi="宋体" w:cs="宋体"/>
          <w:sz w:val="24"/>
          <w:szCs w:val="24"/>
        </w:rPr>
        <w:t xml:space="preserve">25.6投标人在开、评标全过程中应保持通讯畅通，及时登录苏采云系统查阅、答复相关信息，并安排专人与评标委员会联系。</w:t>
      </w:r>
      <w:r/>
    </w:p>
    <w:p>
      <w:pPr>
        <w:ind w:firstLine="480"/>
        <w:spacing w:line="360" w:lineRule="auto"/>
        <w:rPr>
          <w:rFonts w:ascii="宋体" w:hAnsi="宋体" w:cs="宋体"/>
          <w:sz w:val="24"/>
          <w:szCs w:val="24"/>
        </w:rPr>
      </w:pPr>
      <w:r>
        <w:rPr>
          <w:rFonts w:hint="eastAsia" w:ascii="宋体" w:hAnsi="宋体" w:cs="宋体"/>
          <w:sz w:val="24"/>
          <w:szCs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360" w:lineRule="auto"/>
        <w:rPr>
          <w:rFonts w:ascii="宋体" w:hAnsi="宋体" w:cs="宋体"/>
          <w:sz w:val="24"/>
          <w:szCs w:val="24"/>
        </w:rPr>
      </w:pPr>
      <w:r>
        <w:rPr>
          <w:rFonts w:hint="eastAsia" w:ascii="宋体" w:hAnsi="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ascii="宋体" w:hAnsi="宋体" w:cs="宋体"/>
          <w:sz w:val="24"/>
          <w:szCs w:val="24"/>
        </w:rPr>
      </w:pPr>
      <w:r>
        <w:rPr>
          <w:rFonts w:hint="eastAsia" w:ascii="宋体" w:hAnsi="宋体" w:cs="宋体"/>
          <w:sz w:val="24"/>
          <w:szCs w:val="24"/>
        </w:rPr>
        <w:t xml:space="preserve">非单一产品采购项目，招标文件中将载明其中的核心产品。多家投标人提供的核心产品品牌相同的，按前两款规定处理。</w:t>
      </w:r>
      <w:r/>
    </w:p>
    <w:p>
      <w:pPr>
        <w:ind w:firstLine="480"/>
        <w:spacing w:line="360" w:lineRule="auto"/>
        <w:rPr>
          <w:rFonts w:ascii="宋体" w:hAnsi="宋体" w:cs="宋体"/>
          <w:sz w:val="24"/>
          <w:szCs w:val="24"/>
        </w:rPr>
      </w:pPr>
      <w:r>
        <w:rPr>
          <w:rFonts w:hint="eastAsia" w:ascii="宋体" w:hAnsi="宋体" w:cs="宋体"/>
          <w:sz w:val="24"/>
          <w:szCs w:val="24"/>
        </w:rPr>
        <w:t xml:space="preserve">26、</w:t>
      </w:r>
      <w:bookmarkEnd w:id="160"/>
      <w:r/>
      <w:bookmarkEnd w:id="161"/>
      <w:r/>
      <w:bookmarkEnd w:id="162"/>
      <w:r>
        <w:rPr>
          <w:rFonts w:hint="eastAsia" w:ascii="宋体" w:hAnsi="宋体" w:cs="宋体"/>
          <w:sz w:val="24"/>
          <w:szCs w:val="24"/>
        </w:rPr>
        <w:t xml:space="preserve">无效投标条款和废标条款</w:t>
      </w:r>
      <w:r/>
    </w:p>
    <w:p>
      <w:pPr>
        <w:ind w:firstLine="480"/>
        <w:spacing w:line="360" w:lineRule="auto"/>
        <w:rPr>
          <w:rFonts w:ascii="宋体" w:hAnsi="宋体" w:cs="宋体"/>
          <w:sz w:val="24"/>
          <w:szCs w:val="24"/>
        </w:rPr>
      </w:pPr>
      <w:r/>
      <w:bookmarkStart w:id="163" w:name="_Toc16938551"/>
      <w:r/>
      <w:bookmarkStart w:id="164" w:name="_Toc20823307"/>
      <w:r/>
      <w:bookmarkStart w:id="165" w:name="_Toc513029235"/>
      <w:r>
        <w:rPr>
          <w:rFonts w:hint="eastAsia" w:ascii="宋体" w:hAnsi="宋体" w:cs="宋体"/>
          <w:sz w:val="24"/>
          <w:szCs w:val="24"/>
        </w:rPr>
        <w:t xml:space="preserve">26.1无效投标条款</w:t>
      </w:r>
      <w:r/>
    </w:p>
    <w:p>
      <w:pPr>
        <w:ind w:firstLine="480"/>
        <w:spacing w:line="360" w:lineRule="auto"/>
        <w:rPr>
          <w:rFonts w:ascii="宋体" w:hAnsi="宋体" w:cs="宋体"/>
          <w:sz w:val="24"/>
          <w:szCs w:val="24"/>
        </w:rPr>
      </w:pPr>
      <w:r>
        <w:rPr>
          <w:rFonts w:hint="eastAsia" w:ascii="宋体" w:hAnsi="宋体" w:cs="宋体"/>
          <w:sz w:val="24"/>
          <w:szCs w:val="24"/>
        </w:rPr>
        <w:t xml:space="preserve">26.1.1 投标人在苏采云系统规定的时间内未成功解密电子投标文件的。</w:t>
      </w:r>
      <w:r/>
    </w:p>
    <w:p>
      <w:pPr>
        <w:ind w:firstLine="480"/>
        <w:spacing w:line="360" w:lineRule="auto"/>
        <w:rPr>
          <w:rFonts w:ascii="宋体" w:hAnsi="宋体" w:cs="宋体"/>
          <w:sz w:val="24"/>
          <w:szCs w:val="24"/>
        </w:rPr>
      </w:pPr>
      <w:r>
        <w:rPr>
          <w:rFonts w:hint="eastAsia" w:ascii="宋体" w:hAnsi="宋体" w:cs="宋体"/>
          <w:sz w:val="24"/>
          <w:szCs w:val="24"/>
        </w:rPr>
        <w:t xml:space="preserve">26.1.2 投标人未按照招标文件要求上传电子投标文件的。</w:t>
      </w:r>
      <w:r/>
    </w:p>
    <w:p>
      <w:pPr>
        <w:ind w:firstLine="480"/>
        <w:spacing w:line="360" w:lineRule="auto"/>
        <w:rPr>
          <w:rFonts w:ascii="宋体" w:hAnsi="宋体" w:cs="宋体"/>
          <w:sz w:val="24"/>
          <w:szCs w:val="24"/>
        </w:rPr>
      </w:pPr>
      <w:r>
        <w:rPr>
          <w:rFonts w:hint="eastAsia" w:ascii="宋体" w:hAnsi="宋体" w:cs="宋体"/>
          <w:sz w:val="24"/>
          <w:szCs w:val="24"/>
        </w:rPr>
        <w:t xml:space="preserve">26.1.3投标人同一分包提交两个（含两个）以上不同的投标报价的。</w:t>
      </w:r>
      <w:r/>
    </w:p>
    <w:p>
      <w:pPr>
        <w:ind w:firstLine="480"/>
        <w:spacing w:line="360" w:lineRule="auto"/>
        <w:rPr>
          <w:rFonts w:ascii="宋体" w:hAnsi="宋体" w:cs="宋体"/>
          <w:sz w:val="24"/>
          <w:szCs w:val="24"/>
        </w:rPr>
      </w:pPr>
      <w:r>
        <w:rPr>
          <w:rFonts w:hint="eastAsia" w:ascii="宋体" w:hAnsi="宋体" w:cs="宋体"/>
          <w:sz w:val="24"/>
          <w:szCs w:val="24"/>
        </w:rPr>
        <w:t xml:space="preserve">26.1.4投标人不具备招标文件中规定资格要求的。</w:t>
      </w:r>
      <w:r/>
    </w:p>
    <w:p>
      <w:pPr>
        <w:ind w:firstLine="480"/>
        <w:spacing w:line="360" w:lineRule="auto"/>
        <w:rPr>
          <w:rFonts w:ascii="宋体" w:hAnsi="宋体" w:cs="宋体"/>
          <w:sz w:val="24"/>
          <w:szCs w:val="24"/>
        </w:rPr>
      </w:pPr>
      <w:r>
        <w:rPr>
          <w:rFonts w:hint="eastAsia" w:ascii="宋体" w:hAnsi="宋体" w:cs="宋体"/>
          <w:sz w:val="24"/>
          <w:szCs w:val="24"/>
        </w:rPr>
        <w:t xml:space="preserve">26.1.5投标人的报价超过了采购预算或最高限价的。</w:t>
      </w:r>
      <w:r/>
    </w:p>
    <w:p>
      <w:pPr>
        <w:ind w:firstLine="480"/>
        <w:spacing w:line="360" w:lineRule="auto"/>
        <w:rPr>
          <w:rFonts w:ascii="宋体" w:hAnsi="宋体" w:cs="宋体"/>
          <w:sz w:val="24"/>
          <w:szCs w:val="24"/>
        </w:rPr>
      </w:pPr>
      <w:r>
        <w:rPr>
          <w:rFonts w:hint="eastAsia" w:ascii="宋体" w:hAnsi="宋体" w:cs="宋体"/>
          <w:sz w:val="24"/>
          <w:szCs w:val="24"/>
        </w:rPr>
        <w:t xml:space="preserve">26.1.6未通过符合性审查的。</w:t>
      </w:r>
      <w:r/>
    </w:p>
    <w:p>
      <w:pPr>
        <w:ind w:firstLine="360"/>
        <w:spacing w:line="440" w:lineRule="exact"/>
        <w:rPr>
          <w:rFonts w:ascii="宋体" w:hAnsi="宋体" w:cs="宋体"/>
          <w:bCs/>
          <w:i/>
          <w:sz w:val="24"/>
          <w:u w:val="single"/>
        </w:rPr>
      </w:pPr>
      <w:r>
        <w:rPr>
          <w:rFonts w:hint="eastAsia" w:ascii="宋体" w:hAnsi="宋体" w:cs="宋体"/>
          <w:bCs/>
          <w:sz w:val="24"/>
        </w:rPr>
        <w:t xml:space="preserve"> 26.1.7不符合招标文件中规定的实质性要求和条件的（</w:t>
      </w:r>
      <w:r>
        <w:rPr>
          <w:rFonts w:hint="eastAsia" w:ascii="宋体" w:hAnsi="宋体" w:cs="宋体"/>
          <w:b/>
          <w:bCs/>
          <w:sz w:val="28"/>
          <w:szCs w:val="28"/>
        </w:rPr>
        <w:t xml:space="preserve">详见</w:t>
      </w:r>
      <w:r>
        <w:rPr>
          <w:rFonts w:hint="eastAsia" w:ascii="宋体" w:hAnsi="宋体" w:cs="宋体"/>
          <w:b/>
          <w:bCs/>
          <w:sz w:val="28"/>
          <w:szCs w:val="28"/>
          <w:u w:val="single"/>
        </w:rPr>
        <w:t xml:space="preserve">本招标文件第四章采购需求中</w:t>
      </w:r>
      <w:r>
        <w:rPr>
          <w:rFonts w:hint="eastAsia" w:ascii="宋体" w:hAnsi="宋体" w:cs="宋体"/>
          <w:b/>
          <w:sz w:val="28"/>
          <w:szCs w:val="28"/>
          <w:u w:val="single"/>
        </w:rPr>
        <w:t xml:space="preserve">斜体且有下划线部分</w:t>
      </w:r>
      <w:r>
        <w:rPr>
          <w:rFonts w:hint="eastAsia" w:ascii="宋体" w:hAnsi="宋体" w:cs="宋体"/>
          <w:bCs/>
          <w:i/>
          <w:sz w:val="24"/>
          <w:u w:val="single"/>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s="宋体"/>
          <w:sz w:val="24"/>
          <w:szCs w:val="24"/>
        </w:rPr>
      </w:pPr>
      <w:r>
        <w:rPr>
          <w:rFonts w:hint="eastAsia" w:ascii="宋体" w:hAnsi="宋体" w:cs="宋体"/>
          <w:sz w:val="24"/>
          <w:szCs w:val="24"/>
        </w:rPr>
        <w:t xml:space="preserve">26.1.9 投标文件含有采购人不能接受的附加条件的。</w:t>
      </w:r>
      <w:r/>
    </w:p>
    <w:p>
      <w:pPr>
        <w:ind w:firstLine="480"/>
        <w:spacing w:line="360" w:lineRule="auto"/>
        <w:rPr>
          <w:rFonts w:ascii="宋体" w:hAnsi="宋体" w:cs="宋体"/>
          <w:sz w:val="24"/>
          <w:szCs w:val="24"/>
        </w:rPr>
      </w:pPr>
      <w:r>
        <w:rPr>
          <w:rFonts w:hint="eastAsia" w:ascii="宋体" w:hAnsi="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ascii="宋体" w:hAnsi="宋体" w:cs="宋体"/>
          <w:sz w:val="24"/>
          <w:szCs w:val="24"/>
        </w:rPr>
      </w:pPr>
      <w:r>
        <w:rPr>
          <w:rFonts w:hint="eastAsia" w:ascii="宋体" w:hAnsi="宋体" w:cs="宋体"/>
          <w:sz w:val="24"/>
          <w:szCs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cs="宋体"/>
          <w:sz w:val="24"/>
          <w:szCs w:val="24"/>
        </w:rPr>
      </w:pPr>
      <w:r>
        <w:rPr>
          <w:rFonts w:hint="eastAsia" w:ascii="宋体" w:hAnsi="宋体" w:cs="宋体"/>
          <w:sz w:val="24"/>
          <w:szCs w:val="24"/>
        </w:rPr>
        <w:t xml:space="preserve">26.1.12 商品包装环保要求：</w:t>
      </w:r>
      <w:r/>
    </w:p>
    <w:p>
      <w:pPr>
        <w:ind w:firstLine="480"/>
        <w:spacing w:line="360" w:lineRule="auto"/>
        <w:rPr>
          <w:rFonts w:ascii="宋体" w:hAnsi="宋体" w:cs="宋体"/>
          <w:sz w:val="24"/>
          <w:szCs w:val="24"/>
        </w:rPr>
      </w:pPr>
      <w:r>
        <w:rPr>
          <w:rFonts w:hint="eastAsia" w:ascii="宋体" w:hAnsi="宋体" w:cs="宋体"/>
          <w:sz w:val="24"/>
          <w:szCs w:val="24"/>
        </w:rPr>
        <w:t xml:space="preserve">（1）商品包装层数不得超过3层，空隙率不大于40%；</w:t>
      </w:r>
      <w:r/>
    </w:p>
    <w:p>
      <w:pPr>
        <w:ind w:firstLine="480"/>
        <w:spacing w:line="360" w:lineRule="auto"/>
        <w:rPr>
          <w:rFonts w:ascii="宋体" w:hAnsi="宋体" w:cs="宋体"/>
          <w:sz w:val="24"/>
          <w:szCs w:val="24"/>
        </w:rPr>
      </w:pPr>
      <w:r>
        <w:rPr>
          <w:rFonts w:hint="eastAsia" w:ascii="宋体" w:hAnsi="宋体" w:cs="宋体"/>
          <w:sz w:val="24"/>
          <w:szCs w:val="24"/>
        </w:rPr>
        <w:t xml:space="preserve">（2）商品包装尽可能使用单一材质的包装材料，如因功能需求必需使用不同材质，不同材质间应便于分离；</w:t>
      </w:r>
      <w:r/>
    </w:p>
    <w:p>
      <w:pPr>
        <w:ind w:firstLine="480"/>
        <w:spacing w:line="360" w:lineRule="auto"/>
        <w:rPr>
          <w:rFonts w:ascii="宋体" w:hAnsi="宋体" w:cs="宋体"/>
          <w:sz w:val="24"/>
          <w:szCs w:val="24"/>
        </w:rPr>
      </w:pPr>
      <w:r>
        <w:rPr>
          <w:rFonts w:hint="eastAsia" w:ascii="宋体" w:hAnsi="宋体" w:cs="宋体"/>
          <w:sz w:val="24"/>
          <w:szCs w:val="24"/>
        </w:rPr>
        <w:t xml:space="preserve">（3）商品包装中铅、汞、镉、六价铬的总含量应不大于100mg/kg；</w:t>
      </w:r>
      <w:r/>
    </w:p>
    <w:p>
      <w:pPr>
        <w:ind w:firstLine="480"/>
        <w:spacing w:line="360" w:lineRule="auto"/>
        <w:rPr>
          <w:rFonts w:ascii="宋体" w:hAnsi="宋体" w:cs="宋体"/>
          <w:sz w:val="24"/>
          <w:szCs w:val="24"/>
        </w:rPr>
      </w:pPr>
      <w:r>
        <w:rPr>
          <w:rFonts w:hint="eastAsia" w:ascii="宋体" w:hAnsi="宋体" w:cs="宋体"/>
          <w:sz w:val="24"/>
          <w:szCs w:val="24"/>
        </w:rPr>
        <w:t xml:space="preserve">（4）商品包装印刷使用的油墨中挥发性有机化合物(VOCs)含量应不大于5%（以重量计）；</w:t>
      </w:r>
      <w:r/>
    </w:p>
    <w:p>
      <w:pPr>
        <w:ind w:firstLine="480"/>
        <w:spacing w:line="360" w:lineRule="auto"/>
        <w:rPr>
          <w:rFonts w:ascii="宋体" w:hAnsi="宋体" w:cs="宋体"/>
          <w:sz w:val="24"/>
          <w:szCs w:val="24"/>
        </w:rPr>
      </w:pPr>
      <w:r>
        <w:rPr>
          <w:rFonts w:hint="eastAsia" w:ascii="宋体" w:hAnsi="宋体" w:cs="宋体"/>
          <w:sz w:val="24"/>
          <w:szCs w:val="24"/>
        </w:rPr>
        <w:t xml:space="preserve">（5）塑料材质商品包装上呈现的印刷颜色不得超过6色；</w:t>
      </w:r>
      <w:r/>
    </w:p>
    <w:p>
      <w:pPr>
        <w:ind w:firstLine="480"/>
        <w:spacing w:line="360" w:lineRule="auto"/>
        <w:rPr>
          <w:rFonts w:ascii="宋体" w:hAnsi="宋体" w:cs="宋体"/>
          <w:sz w:val="24"/>
          <w:szCs w:val="24"/>
        </w:rPr>
      </w:pPr>
      <w:r>
        <w:rPr>
          <w:rFonts w:hint="eastAsia" w:ascii="宋体" w:hAnsi="宋体" w:cs="宋体"/>
          <w:sz w:val="24"/>
          <w:szCs w:val="24"/>
        </w:rPr>
        <w:t xml:space="preserve">（6）纸质商品包装应使用75%以上的可再生纤维原料生产；</w:t>
      </w:r>
      <w:r/>
    </w:p>
    <w:p>
      <w:pPr>
        <w:ind w:firstLine="480"/>
        <w:spacing w:line="360" w:lineRule="auto"/>
        <w:rPr>
          <w:rFonts w:ascii="宋体" w:hAnsi="宋体" w:cs="宋体"/>
          <w:sz w:val="24"/>
          <w:szCs w:val="24"/>
        </w:rPr>
      </w:pPr>
      <w:r>
        <w:rPr>
          <w:rFonts w:hint="eastAsia" w:ascii="宋体" w:hAnsi="宋体" w:cs="宋体"/>
          <w:sz w:val="24"/>
          <w:szCs w:val="24"/>
        </w:rPr>
        <w:t xml:space="preserve">（7）木质商品包装的原料应来源于可持续性森林。</w:t>
      </w:r>
      <w:r/>
    </w:p>
    <w:p>
      <w:pPr>
        <w:ind w:firstLine="480"/>
        <w:spacing w:line="360" w:lineRule="auto"/>
        <w:rPr>
          <w:rFonts w:ascii="宋体" w:hAnsi="宋体" w:cs="宋体"/>
          <w:sz w:val="24"/>
          <w:szCs w:val="24"/>
        </w:rPr>
      </w:pPr>
      <w:r>
        <w:rPr>
          <w:rFonts w:hint="eastAsia" w:ascii="宋体" w:hAnsi="宋体" w:cs="宋体"/>
          <w:sz w:val="24"/>
          <w:szCs w:val="24"/>
        </w:rPr>
        <w:t xml:space="preserve">26.1.13 快递包装环保要求：</w:t>
      </w:r>
      <w:r/>
    </w:p>
    <w:p>
      <w:pPr>
        <w:ind w:firstLine="480"/>
        <w:spacing w:line="360" w:lineRule="auto"/>
        <w:rPr>
          <w:rFonts w:ascii="宋体" w:hAnsi="宋体" w:cs="宋体"/>
          <w:sz w:val="24"/>
          <w:szCs w:val="24"/>
        </w:rPr>
      </w:pPr>
      <w:r>
        <w:rPr>
          <w:rFonts w:hint="eastAsia" w:ascii="宋体" w:hAnsi="宋体" w:cs="宋体"/>
          <w:sz w:val="24"/>
          <w:szCs w:val="24"/>
        </w:rPr>
        <w:t xml:space="preserve">（1）快递包装中重金属（铅、汞、镉、六价铬）总量应不大于100mg/kg；</w:t>
      </w:r>
      <w:r/>
    </w:p>
    <w:p>
      <w:pPr>
        <w:ind w:firstLine="480"/>
        <w:spacing w:line="360" w:lineRule="auto"/>
        <w:rPr>
          <w:rFonts w:ascii="宋体" w:hAnsi="宋体" w:cs="宋体"/>
          <w:sz w:val="24"/>
          <w:szCs w:val="24"/>
        </w:rPr>
      </w:pPr>
      <w:r>
        <w:rPr>
          <w:rFonts w:hint="eastAsia" w:ascii="宋体" w:hAnsi="宋体" w:cs="宋体"/>
          <w:sz w:val="24"/>
          <w:szCs w:val="24"/>
        </w:rPr>
        <w:t xml:space="preserve">（2）快递包装印刷使用的油墨中不应添加邻苯二甲酸酯，其挥发性有机化合物(VOCs)含量应不大于5%（以重量计）；</w:t>
      </w:r>
      <w:r/>
    </w:p>
    <w:p>
      <w:pPr>
        <w:ind w:firstLine="480"/>
        <w:spacing w:line="360" w:lineRule="auto"/>
        <w:rPr>
          <w:rFonts w:ascii="宋体" w:hAnsi="宋体" w:cs="宋体"/>
          <w:sz w:val="24"/>
          <w:szCs w:val="24"/>
        </w:rPr>
      </w:pPr>
      <w:r>
        <w:rPr>
          <w:rFonts w:hint="eastAsia" w:ascii="宋体" w:hAnsi="宋体" w:cs="宋体"/>
          <w:sz w:val="24"/>
          <w:szCs w:val="24"/>
        </w:rPr>
        <w:t xml:space="preserve">（3）快递包装中使用纸基材的包装材料，纸基材中的有机氯的含量应不大于 150 mg/kg；</w:t>
      </w:r>
      <w:r/>
    </w:p>
    <w:p>
      <w:pPr>
        <w:ind w:firstLine="480"/>
        <w:spacing w:line="360" w:lineRule="auto"/>
        <w:rPr>
          <w:rFonts w:ascii="宋体" w:hAnsi="宋体" w:cs="宋体"/>
          <w:sz w:val="24"/>
          <w:szCs w:val="24"/>
        </w:rPr>
      </w:pPr>
      <w:r>
        <w:rPr>
          <w:rFonts w:hint="eastAsia" w:ascii="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cs="宋体"/>
          <w:sz w:val="24"/>
          <w:szCs w:val="24"/>
        </w:rPr>
      </w:pPr>
      <w:r>
        <w:rPr>
          <w:rFonts w:hint="eastAsia" w:ascii="宋体" w:hAnsi="宋体" w:cs="宋体"/>
          <w:sz w:val="24"/>
          <w:szCs w:val="24"/>
        </w:rPr>
        <w:t xml:space="preserve">（5）快递中使用的塑料包装袋不得使用聚氯乙烯作为原料，且原料应为单一材质制成，生物分解率大于60%；</w:t>
      </w:r>
      <w:r/>
    </w:p>
    <w:p>
      <w:pPr>
        <w:ind w:firstLine="480"/>
        <w:spacing w:line="360" w:lineRule="auto"/>
        <w:rPr>
          <w:rFonts w:ascii="宋体" w:hAnsi="宋体" w:cs="宋体"/>
          <w:sz w:val="24"/>
          <w:szCs w:val="24"/>
        </w:rPr>
      </w:pPr>
      <w:r>
        <w:rPr>
          <w:rFonts w:hint="eastAsia" w:ascii="宋体" w:hAnsi="宋体" w:cs="宋体"/>
          <w:sz w:val="24"/>
          <w:szCs w:val="24"/>
        </w:rPr>
        <w:t xml:space="preserve">（6）快递中使用的充气类填充物不得使用聚氯乙烯作为 原料，且原料为单一材质制成，生物分解率大于60%；</w:t>
      </w:r>
      <w:r/>
    </w:p>
    <w:p>
      <w:pPr>
        <w:ind w:firstLine="480"/>
        <w:spacing w:line="360" w:lineRule="auto"/>
        <w:rPr>
          <w:rFonts w:ascii="宋体" w:hAnsi="宋体" w:cs="宋体"/>
          <w:sz w:val="24"/>
          <w:szCs w:val="24"/>
        </w:rPr>
      </w:pPr>
      <w:r>
        <w:rPr>
          <w:rFonts w:hint="eastAsia" w:ascii="宋体" w:hAnsi="宋体" w:cs="宋体"/>
          <w:sz w:val="24"/>
          <w:szCs w:val="24"/>
        </w:rPr>
        <w:t xml:space="preserve">（7）快递中使用的集装袋应为单一材质制成，其重复使用次数应不小于 80 次；</w:t>
      </w:r>
      <w:r/>
    </w:p>
    <w:p>
      <w:pPr>
        <w:ind w:firstLine="480"/>
        <w:spacing w:line="360" w:lineRule="auto"/>
        <w:rPr>
          <w:rFonts w:ascii="宋体" w:hAnsi="宋体" w:cs="宋体"/>
          <w:sz w:val="24"/>
          <w:szCs w:val="24"/>
        </w:rPr>
      </w:pPr>
      <w:r>
        <w:rPr>
          <w:rFonts w:hint="eastAsia" w:ascii="宋体" w:hAnsi="宋体" w:cs="宋体"/>
          <w:sz w:val="24"/>
          <w:szCs w:val="24"/>
        </w:rPr>
        <w:t xml:space="preserve">（8）快递中应使用幅宽不大于45mm 的生物降解胶带；</w:t>
      </w:r>
      <w:r/>
    </w:p>
    <w:p>
      <w:pPr>
        <w:ind w:firstLine="480"/>
        <w:spacing w:line="360" w:lineRule="auto"/>
        <w:rPr>
          <w:rFonts w:ascii="宋体" w:hAnsi="宋体" w:cs="宋体"/>
          <w:sz w:val="24"/>
          <w:szCs w:val="24"/>
        </w:rPr>
      </w:pPr>
      <w:r>
        <w:rPr>
          <w:rFonts w:hint="eastAsia" w:ascii="宋体" w:hAnsi="宋体" w:cs="宋体"/>
          <w:sz w:val="24"/>
          <w:szCs w:val="24"/>
        </w:rPr>
        <w:t xml:space="preserve">（9）快递包装中不得使用溶剂型胶粘剂；</w:t>
      </w:r>
      <w:r/>
    </w:p>
    <w:p>
      <w:pPr>
        <w:ind w:firstLine="480"/>
        <w:spacing w:line="360" w:lineRule="auto"/>
        <w:rPr>
          <w:rFonts w:ascii="宋体" w:hAnsi="宋体" w:cs="宋体"/>
          <w:sz w:val="24"/>
          <w:szCs w:val="24"/>
        </w:rPr>
      </w:pPr>
      <w:r>
        <w:rPr>
          <w:rFonts w:hint="eastAsia" w:ascii="宋体" w:hAnsi="宋体" w:cs="宋体"/>
          <w:sz w:val="24"/>
          <w:szCs w:val="24"/>
        </w:rPr>
        <w:t xml:space="preserve">（10）快递应使用电子面单；</w:t>
      </w:r>
      <w:r/>
    </w:p>
    <w:p>
      <w:pPr>
        <w:ind w:firstLine="480"/>
        <w:spacing w:line="360" w:lineRule="auto"/>
        <w:rPr>
          <w:rFonts w:ascii="宋体" w:hAnsi="宋体" w:cs="宋体"/>
          <w:sz w:val="24"/>
          <w:szCs w:val="24"/>
        </w:rPr>
      </w:pPr>
      <w:r>
        <w:rPr>
          <w:rFonts w:hint="eastAsia" w:ascii="宋体" w:hAnsi="宋体" w:cs="宋体"/>
          <w:sz w:val="24"/>
          <w:szCs w:val="24"/>
        </w:rPr>
        <w:t xml:space="preserve">（11）直接使用商品包装作为快递包装的商品，其商品包装满足《商品包装政府采购需求标准（试行）》即可；</w:t>
      </w:r>
      <w:r/>
    </w:p>
    <w:p>
      <w:pPr>
        <w:ind w:firstLine="480"/>
        <w:spacing w:line="360" w:lineRule="auto"/>
        <w:rPr>
          <w:rFonts w:ascii="宋体" w:hAnsi="宋体" w:cs="宋体"/>
          <w:sz w:val="24"/>
          <w:szCs w:val="24"/>
        </w:rPr>
      </w:pPr>
      <w:r>
        <w:rPr>
          <w:rFonts w:hint="eastAsia" w:ascii="宋体" w:hAnsi="宋体" w:cs="宋体"/>
          <w:sz w:val="24"/>
          <w:szCs w:val="24"/>
        </w:rPr>
        <w:t xml:space="preserve">（12）快递包装产品质量和封装方式应符合相关国家或行业标准技术指标要求。</w:t>
      </w:r>
      <w:r/>
    </w:p>
    <w:p>
      <w:pPr>
        <w:ind w:firstLine="480"/>
        <w:spacing w:line="360" w:lineRule="auto"/>
        <w:rPr>
          <w:rFonts w:ascii="宋体" w:hAnsi="宋体" w:cs="宋体"/>
          <w:sz w:val="24"/>
          <w:szCs w:val="24"/>
        </w:rPr>
      </w:pPr>
      <w:r>
        <w:rPr>
          <w:rFonts w:hint="eastAsia" w:ascii="宋体" w:hAnsi="宋体" w:cs="宋体"/>
          <w:sz w:val="24"/>
          <w:szCs w:val="24"/>
        </w:rPr>
        <w:t xml:space="preserve">26.1.14 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480"/>
        <w:spacing w:line="360" w:lineRule="auto"/>
        <w:rPr>
          <w:rFonts w:ascii="宋体" w:hAnsi="宋体" w:cs="宋体"/>
          <w:sz w:val="24"/>
          <w:szCs w:val="24"/>
        </w:rPr>
      </w:pPr>
      <w:r>
        <w:rPr>
          <w:rFonts w:hint="eastAsia" w:ascii="宋体" w:hAnsi="宋体" w:cs="宋体"/>
          <w:sz w:val="24"/>
          <w:szCs w:val="24"/>
        </w:rPr>
        <w:t xml:space="preserve">26.1.15 投标文件未按照招标文件要求加盖CA电子公章的。</w:t>
      </w:r>
      <w:r/>
    </w:p>
    <w:p>
      <w:pPr>
        <w:ind w:firstLine="480"/>
        <w:spacing w:line="360" w:lineRule="auto"/>
        <w:rPr>
          <w:rFonts w:ascii="宋体" w:hAnsi="宋体" w:cs="宋体"/>
          <w:sz w:val="24"/>
          <w:szCs w:val="24"/>
        </w:rPr>
      </w:pPr>
      <w:r>
        <w:rPr>
          <w:rFonts w:hint="eastAsia" w:ascii="宋体" w:hAnsi="宋体" w:cs="宋体"/>
          <w:sz w:val="24"/>
          <w:szCs w:val="24"/>
        </w:rPr>
        <w:t xml:space="preserve">26.1.16  其他法律、法规及本招标文件规定的属无效投标的情形。</w:t>
      </w:r>
      <w:r/>
    </w:p>
    <w:p>
      <w:pPr>
        <w:ind w:firstLine="480"/>
        <w:spacing w:line="360" w:lineRule="auto"/>
        <w:rPr>
          <w:rFonts w:ascii="宋体" w:hAnsi="宋体" w:cs="宋体"/>
          <w:sz w:val="24"/>
          <w:szCs w:val="24"/>
        </w:rPr>
      </w:pPr>
      <w:r>
        <w:rPr>
          <w:rFonts w:hint="eastAsia" w:ascii="宋体" w:hAnsi="宋体" w:cs="宋体"/>
          <w:sz w:val="24"/>
          <w:szCs w:val="24"/>
        </w:rPr>
        <w:t xml:space="preserve">26.1.17 投标人的商务技术部分得分相差异常悬殊，评标委员会一致认为得分畸低者有可能影响产品质量或者不能诚信履约的。</w:t>
      </w:r>
      <w:r/>
    </w:p>
    <w:p>
      <w:pPr>
        <w:ind w:firstLine="480"/>
        <w:spacing w:line="360" w:lineRule="auto"/>
        <w:rPr>
          <w:rFonts w:ascii="宋体" w:hAnsi="宋体" w:cs="宋体"/>
          <w:sz w:val="24"/>
          <w:szCs w:val="24"/>
        </w:rPr>
      </w:pPr>
      <w:r>
        <w:rPr>
          <w:rFonts w:hint="eastAsia" w:ascii="宋体" w:hAnsi="宋体" w:cs="宋体"/>
          <w:sz w:val="24"/>
          <w:szCs w:val="24"/>
        </w:rPr>
        <w:t xml:space="preserve">26.2废标条款</w:t>
      </w:r>
      <w:r/>
    </w:p>
    <w:p>
      <w:pPr>
        <w:ind w:firstLine="480"/>
        <w:spacing w:line="360" w:lineRule="auto"/>
        <w:rPr>
          <w:rFonts w:ascii="宋体" w:hAnsi="宋体" w:cs="宋体"/>
          <w:sz w:val="24"/>
          <w:szCs w:val="24"/>
        </w:rPr>
      </w:pPr>
      <w:r>
        <w:rPr>
          <w:rFonts w:hint="eastAsia" w:ascii="宋体" w:hAnsi="宋体" w:cs="宋体"/>
          <w:sz w:val="24"/>
          <w:szCs w:val="24"/>
        </w:rPr>
        <w:t xml:space="preserve">26.2.1符合专业条件的供应商或者对招标文件作实质响应的供应商不足三家的。</w:t>
      </w:r>
      <w:r/>
    </w:p>
    <w:p>
      <w:pPr>
        <w:ind w:firstLine="480"/>
        <w:spacing w:line="360" w:lineRule="auto"/>
        <w:rPr>
          <w:rFonts w:ascii="宋体" w:hAnsi="宋体" w:cs="宋体"/>
          <w:sz w:val="24"/>
          <w:szCs w:val="24"/>
        </w:rPr>
      </w:pPr>
      <w:r>
        <w:rPr>
          <w:rFonts w:hint="eastAsia" w:ascii="宋体" w:hAnsi="宋体" w:cs="宋体"/>
          <w:sz w:val="24"/>
          <w:szCs w:val="24"/>
        </w:rPr>
        <w:t xml:space="preserve">26.2.2出现影响采购公正的违法、违规行为的。</w:t>
      </w:r>
      <w:r/>
    </w:p>
    <w:p>
      <w:pPr>
        <w:ind w:firstLine="480"/>
        <w:spacing w:line="360" w:lineRule="auto"/>
        <w:rPr>
          <w:rFonts w:ascii="宋体" w:hAnsi="宋体" w:cs="宋体"/>
          <w:sz w:val="24"/>
          <w:szCs w:val="24"/>
        </w:rPr>
      </w:pPr>
      <w:r>
        <w:rPr>
          <w:rFonts w:hint="eastAsia" w:ascii="宋体" w:hAnsi="宋体" w:cs="宋体"/>
          <w:sz w:val="24"/>
          <w:szCs w:val="24"/>
        </w:rPr>
        <w:t xml:space="preserve">26.2.3因重大变故，采购任务取消的。</w:t>
      </w:r>
      <w:r/>
    </w:p>
    <w:p>
      <w:pPr>
        <w:ind w:firstLine="480"/>
        <w:spacing w:line="360" w:lineRule="auto"/>
        <w:rPr>
          <w:rFonts w:ascii="宋体" w:hAnsi="宋体" w:cs="宋体"/>
          <w:sz w:val="24"/>
          <w:szCs w:val="24"/>
        </w:rPr>
      </w:pPr>
      <w:r>
        <w:rPr>
          <w:rFonts w:hint="eastAsia" w:ascii="宋体" w:hAnsi="宋体" w:cs="宋体"/>
          <w:sz w:val="24"/>
          <w:szCs w:val="24"/>
        </w:rPr>
        <w:t xml:space="preserve">26.2.4评标委员会认定招标文件存在歧义、重大缺陷导致评审工作无法进行。</w:t>
      </w:r>
      <w:r/>
    </w:p>
    <w:p>
      <w:pPr>
        <w:ind w:firstLine="480"/>
        <w:spacing w:line="360" w:lineRule="auto"/>
        <w:rPr>
          <w:rFonts w:ascii="宋体" w:hAnsi="宋体" w:cs="宋体"/>
          <w:sz w:val="24"/>
          <w:szCs w:val="24"/>
        </w:rPr>
      </w:pPr>
      <w:r>
        <w:rPr>
          <w:rFonts w:hint="eastAsia" w:ascii="宋体" w:hAnsi="宋体" w:cs="宋体"/>
          <w:sz w:val="24"/>
          <w:szCs w:val="24"/>
        </w:rPr>
        <w:t xml:space="preserve">26.2.5 因苏采云系统系统故障原因造成开标不成功的。</w:t>
      </w:r>
      <w:r/>
    </w:p>
    <w:p>
      <w:pPr>
        <w:ind w:firstLine="480"/>
        <w:spacing w:line="360" w:lineRule="auto"/>
        <w:rPr>
          <w:rFonts w:ascii="宋体" w:hAnsi="宋体" w:cs="宋体"/>
          <w:sz w:val="24"/>
          <w:szCs w:val="24"/>
        </w:rPr>
      </w:pPr>
      <w:r>
        <w:rPr>
          <w:rFonts w:hint="eastAsia" w:ascii="宋体" w:hAnsi="宋体" w:cs="宋体"/>
          <w:sz w:val="24"/>
          <w:szCs w:val="24"/>
        </w:rPr>
        <w:t xml:space="preserve">26.3 投标截止时间结束后参加投标的供应商不足三家的处理：</w:t>
      </w:r>
      <w:r/>
    </w:p>
    <w:p>
      <w:pPr>
        <w:ind w:firstLine="480"/>
        <w:spacing w:line="360" w:lineRule="auto"/>
        <w:rPr>
          <w:rFonts w:ascii="宋体" w:hAnsi="宋体" w:cs="宋体"/>
          <w:sz w:val="24"/>
          <w:szCs w:val="24"/>
        </w:rPr>
      </w:pPr>
      <w:r>
        <w:rPr>
          <w:rFonts w:hint="eastAsia" w:ascii="宋体" w:hAnsi="宋体" w:cs="宋体"/>
          <w:sz w:val="24"/>
          <w:szCs w:val="24"/>
        </w:rPr>
        <w:t xml:space="preserve">26.3.1如出现投标截止时间结束后参加投标的供应商或者在评标期间对招标文件做出实质响应的供应商不足三家情况，按政府采购相关规定执行。</w:t>
      </w:r>
      <w:r/>
    </w:p>
    <w:p>
      <w:pPr>
        <w:pStyle w:val="912"/>
        <w:ind w:firstLine="482"/>
        <w:spacing w:before="145" w:after="145" w:line="360" w:lineRule="auto"/>
        <w:rPr>
          <w:rFonts w:ascii="宋体" w:hAnsi="宋体" w:cs="宋体"/>
        </w:rPr>
      </w:pPr>
      <w:r/>
      <w:bookmarkStart w:id="166" w:name="_Toc120614219"/>
      <w:r>
        <w:rPr>
          <w:rFonts w:hint="eastAsia" w:ascii="宋体" w:hAnsi="宋体" w:cs="宋体"/>
        </w:rPr>
        <w:t xml:space="preserve">六、</w:t>
      </w:r>
      <w:bookmarkEnd w:id="163"/>
      <w:r/>
      <w:bookmarkEnd w:id="164"/>
      <w:r/>
      <w:bookmarkEnd w:id="165"/>
      <w:r>
        <w:rPr>
          <w:rFonts w:hint="eastAsia" w:ascii="宋体" w:hAnsi="宋体" w:cs="宋体"/>
        </w:rPr>
        <w:t xml:space="preserve">定标</w:t>
      </w:r>
      <w:bookmarkEnd w:id="166"/>
      <w:r/>
      <w:r/>
    </w:p>
    <w:p>
      <w:pPr>
        <w:ind w:firstLine="480"/>
        <w:spacing w:line="360" w:lineRule="auto"/>
        <w:rPr>
          <w:rFonts w:ascii="宋体" w:hAnsi="宋体" w:cs="宋体"/>
          <w:sz w:val="24"/>
          <w:szCs w:val="24"/>
        </w:rPr>
      </w:pPr>
      <w:r/>
      <w:bookmarkStart w:id="167" w:name="_Toc513029238"/>
      <w:r/>
      <w:bookmarkStart w:id="168" w:name="_Toc20823310"/>
      <w:r/>
      <w:bookmarkStart w:id="169" w:name="_Toc16938554"/>
      <w:r>
        <w:rPr>
          <w:rFonts w:hint="eastAsia" w:ascii="宋体" w:hAnsi="宋体" w:cs="宋体"/>
          <w:sz w:val="24"/>
          <w:szCs w:val="24"/>
        </w:rPr>
        <w:t xml:space="preserve">27、</w:t>
      </w:r>
      <w:bookmarkEnd w:id="167"/>
      <w:r>
        <w:rPr>
          <w:rFonts w:hint="eastAsia" w:ascii="宋体" w:hAnsi="宋体" w:cs="宋体"/>
          <w:sz w:val="24"/>
          <w:szCs w:val="24"/>
        </w:rPr>
        <w:t xml:space="preserve">确定</w:t>
      </w:r>
      <w:bookmarkEnd w:id="168"/>
      <w:r/>
      <w:bookmarkEnd w:id="169"/>
      <w:r>
        <w:rPr>
          <w:rFonts w:hint="eastAsia" w:ascii="宋体" w:hAnsi="宋体" w:cs="宋体"/>
          <w:sz w:val="24"/>
          <w:szCs w:val="24"/>
        </w:rPr>
        <w:t xml:space="preserve">中标单位</w:t>
      </w:r>
      <w:r/>
    </w:p>
    <w:p>
      <w:pPr>
        <w:ind w:firstLine="480"/>
        <w:spacing w:line="360" w:lineRule="auto"/>
        <w:rPr>
          <w:rFonts w:ascii="宋体" w:hAnsi="宋体" w:cs="宋体"/>
          <w:sz w:val="24"/>
          <w:szCs w:val="24"/>
        </w:rPr>
      </w:pPr>
      <w:r>
        <w:rPr>
          <w:rFonts w:hint="eastAsia" w:ascii="宋体" w:hAnsi="宋体" w:cs="宋体"/>
          <w:sz w:val="24"/>
          <w:szCs w:val="24"/>
        </w:rPr>
        <w:t xml:space="preserve">27.1中标候选人的选取原则和数量见招标文件第五章规定。 </w:t>
      </w:r>
      <w:r/>
    </w:p>
    <w:p>
      <w:pPr>
        <w:ind w:firstLine="480"/>
        <w:spacing w:line="360" w:lineRule="auto"/>
        <w:rPr>
          <w:rFonts w:ascii="宋体" w:hAnsi="宋体" w:cs="宋体"/>
          <w:sz w:val="24"/>
          <w:szCs w:val="24"/>
        </w:rPr>
      </w:pPr>
      <w:r>
        <w:rPr>
          <w:rFonts w:hint="eastAsia" w:ascii="宋体" w:hAnsi="宋体" w:cs="宋体"/>
          <w:sz w:val="24"/>
          <w:szCs w:val="24"/>
        </w:rPr>
        <w:t xml:space="preserve">27.2 采购人应根据评委会推荐的中标候选人确定中标人。</w:t>
      </w:r>
      <w:r/>
    </w:p>
    <w:p>
      <w:pPr>
        <w:ind w:firstLine="480"/>
        <w:spacing w:line="360" w:lineRule="auto"/>
        <w:rPr>
          <w:rFonts w:ascii="宋体" w:hAnsi="宋体" w:cs="宋体"/>
          <w:sz w:val="24"/>
          <w:szCs w:val="24"/>
        </w:rPr>
      </w:pPr>
      <w:r>
        <w:rPr>
          <w:rFonts w:hint="eastAsia" w:ascii="宋体" w:hAnsi="宋体" w:cs="宋体"/>
          <w:sz w:val="24"/>
          <w:szCs w:val="24"/>
        </w:rPr>
        <w:t xml:space="preserve">27.3将在“江苏政府采购网”发布中标公告，公告期限为1个工作日。</w:t>
      </w:r>
      <w:r/>
    </w:p>
    <w:p>
      <w:pPr>
        <w:ind w:firstLine="480"/>
        <w:spacing w:line="360" w:lineRule="auto"/>
        <w:rPr>
          <w:rFonts w:ascii="宋体" w:hAnsi="宋体" w:cs="宋体"/>
          <w:sz w:val="24"/>
          <w:szCs w:val="24"/>
        </w:rPr>
      </w:pPr>
      <w:r>
        <w:rPr>
          <w:rFonts w:hint="eastAsia" w:ascii="宋体" w:hAnsi="宋体" w:cs="宋体"/>
          <w:sz w:val="24"/>
          <w:szCs w:val="24"/>
        </w:rPr>
        <w:t xml:space="preserve">27.4 若有充分证据证明，中标人出现下列情况之一的，一经查实，将被取消中标资格：</w:t>
      </w:r>
      <w:r/>
    </w:p>
    <w:p>
      <w:pPr>
        <w:ind w:firstLine="480"/>
        <w:spacing w:line="360" w:lineRule="auto"/>
        <w:rPr>
          <w:rFonts w:ascii="宋体" w:hAnsi="宋体" w:cs="宋体"/>
          <w:sz w:val="24"/>
          <w:szCs w:val="24"/>
        </w:rPr>
      </w:pPr>
      <w:r>
        <w:rPr>
          <w:rFonts w:hint="eastAsia" w:ascii="宋体" w:hAnsi="宋体" w:cs="宋体"/>
          <w:sz w:val="24"/>
          <w:szCs w:val="24"/>
        </w:rPr>
        <w:t xml:space="preserve">27.4.1提供虚假材料谋取中标的。</w:t>
      </w:r>
      <w:r/>
    </w:p>
    <w:p>
      <w:pPr>
        <w:ind w:firstLine="480"/>
        <w:spacing w:line="360" w:lineRule="auto"/>
        <w:rPr>
          <w:rFonts w:ascii="宋体" w:hAnsi="宋体" w:cs="宋体"/>
          <w:sz w:val="24"/>
          <w:szCs w:val="24"/>
        </w:rPr>
      </w:pPr>
      <w:r>
        <w:rPr>
          <w:rFonts w:hint="eastAsia" w:ascii="宋体" w:hAnsi="宋体" w:cs="宋体"/>
          <w:sz w:val="24"/>
          <w:szCs w:val="24"/>
        </w:rPr>
        <w:t xml:space="preserve">27.4.2向采购人、等相关单位和个人行贿或者提供其他不正当利益的。</w:t>
      </w:r>
      <w:r/>
    </w:p>
    <w:p>
      <w:pPr>
        <w:ind w:firstLine="480"/>
        <w:spacing w:line="360" w:lineRule="auto"/>
        <w:rPr>
          <w:rFonts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ind w:firstLine="480"/>
        <w:spacing w:line="360" w:lineRule="auto"/>
        <w:rPr>
          <w:rFonts w:ascii="宋体" w:hAnsi="宋体" w:cs="宋体"/>
          <w:sz w:val="24"/>
          <w:szCs w:val="24"/>
        </w:rPr>
      </w:pPr>
      <w:r>
        <w:rPr>
          <w:rFonts w:hint="eastAsia" w:ascii="宋体" w:hAnsi="宋体" w:cs="宋体"/>
          <w:sz w:val="24"/>
          <w:szCs w:val="24"/>
        </w:rPr>
        <w:t xml:space="preserve">27.4.4与采购人或者其他供应商恶意串通的。</w:t>
      </w:r>
      <w:r/>
    </w:p>
    <w:p>
      <w:pPr>
        <w:ind w:firstLine="480"/>
        <w:spacing w:line="360" w:lineRule="auto"/>
        <w:rPr>
          <w:rFonts w:ascii="宋体" w:hAnsi="宋体" w:cs="宋体"/>
          <w:sz w:val="24"/>
          <w:szCs w:val="24"/>
        </w:rPr>
      </w:pPr>
      <w:r>
        <w:rPr>
          <w:rFonts w:hint="eastAsia" w:ascii="宋体" w:hAnsi="宋体" w:cs="宋体"/>
          <w:sz w:val="24"/>
          <w:szCs w:val="24"/>
        </w:rPr>
        <w:t xml:space="preserve">27.4.5采取不正当手段诋毁、排挤其他供应商的。</w:t>
      </w:r>
      <w:r/>
    </w:p>
    <w:p>
      <w:pPr>
        <w:ind w:firstLine="480"/>
        <w:spacing w:line="360" w:lineRule="auto"/>
        <w:rPr>
          <w:rFonts w:ascii="宋体" w:hAnsi="宋体" w:cs="宋体"/>
          <w:sz w:val="24"/>
          <w:szCs w:val="24"/>
        </w:rPr>
      </w:pPr>
      <w:r/>
      <w:bookmarkStart w:id="170" w:name="_Toc200451960"/>
      <w:r>
        <w:rPr>
          <w:rFonts w:hint="eastAsia" w:ascii="宋体" w:hAnsi="宋体" w:cs="宋体"/>
          <w:sz w:val="24"/>
          <w:szCs w:val="24"/>
        </w:rPr>
        <w:t xml:space="preserve">27.5 有下列情形之一的，视为投标人串通投标，投标无效：</w:t>
      </w:r>
      <w:r/>
    </w:p>
    <w:p>
      <w:pPr>
        <w:ind w:firstLine="480"/>
        <w:spacing w:line="360" w:lineRule="auto"/>
        <w:rPr>
          <w:rFonts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480"/>
        <w:spacing w:line="360" w:lineRule="auto"/>
        <w:rPr>
          <w:rFonts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480"/>
        <w:spacing w:line="360" w:lineRule="auto"/>
        <w:rPr>
          <w:rFonts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p>
    <w:p>
      <w:pPr>
        <w:ind w:firstLine="480"/>
        <w:spacing w:line="360" w:lineRule="auto"/>
        <w:rPr>
          <w:rFonts w:ascii="宋体" w:hAnsi="宋体" w:cs="宋体"/>
          <w:sz w:val="24"/>
          <w:szCs w:val="24"/>
        </w:rPr>
      </w:pPr>
      <w:r>
        <w:rPr>
          <w:rFonts w:hint="eastAsia" w:ascii="宋体" w:hAnsi="宋体" w:cs="宋体"/>
          <w:sz w:val="24"/>
          <w:szCs w:val="24"/>
        </w:rPr>
        <w:t xml:space="preserve">27.5.4不同投标人的投标文件异常一致或者投标报价呈规律性差异。</w:t>
      </w:r>
      <w:r/>
    </w:p>
    <w:p>
      <w:pPr>
        <w:ind w:firstLine="480"/>
        <w:spacing w:line="360" w:lineRule="auto"/>
        <w:rPr>
          <w:rFonts w:ascii="宋体" w:hAnsi="宋体" w:cs="宋体"/>
          <w:sz w:val="24"/>
          <w:szCs w:val="24"/>
        </w:rPr>
      </w:pPr>
      <w:r>
        <w:rPr>
          <w:rFonts w:hint="eastAsia" w:ascii="宋体" w:hAnsi="宋体" w:cs="宋体"/>
          <w:sz w:val="24"/>
          <w:szCs w:val="24"/>
        </w:rPr>
        <w:t xml:space="preserve">28、质疑处理</w:t>
      </w:r>
      <w:bookmarkEnd w:id="170"/>
      <w:r/>
      <w:r/>
    </w:p>
    <w:p>
      <w:pPr>
        <w:ind w:firstLine="480"/>
        <w:spacing w:line="360" w:lineRule="auto"/>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spacing w:line="360" w:lineRule="auto"/>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360" w:lineRule="auto"/>
        <w:rPr>
          <w:rFonts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360" w:lineRule="auto"/>
        <w:rPr>
          <w:rFonts w:ascii="宋体" w:hAnsi="宋体" w:cs="宋体"/>
          <w:sz w:val="24"/>
          <w:szCs w:val="24"/>
        </w:rPr>
      </w:pPr>
      <w:r>
        <w:rPr>
          <w:rFonts w:hint="eastAsia" w:ascii="宋体" w:hAnsi="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cs="宋体"/>
          <w:sz w:val="24"/>
          <w:szCs w:val="24"/>
        </w:rPr>
      </w:pPr>
      <w:r>
        <w:rPr>
          <w:rFonts w:hint="eastAsia" w:ascii="宋体" w:hAnsi="宋体" w:cs="宋体"/>
          <w:sz w:val="24"/>
          <w:szCs w:val="24"/>
        </w:rPr>
        <w:t xml:space="preserve">28.4供应商（含潜在供应商）对采购方式、招标文件中采购需求、供应商资格条件及审查结果、评标方法和评标标准、合同文本的询问、质疑请向采购人提出，由采购人负责答复。</w:t>
      </w:r>
      <w:r/>
    </w:p>
    <w:p>
      <w:pPr>
        <w:ind w:firstLine="480"/>
        <w:spacing w:line="360" w:lineRule="auto"/>
        <w:rPr>
          <w:rFonts w:ascii="宋体" w:hAnsi="宋体" w:cs="宋体"/>
          <w:sz w:val="24"/>
          <w:szCs w:val="24"/>
        </w:rPr>
      </w:pPr>
      <w:r>
        <w:rPr>
          <w:rFonts w:hint="eastAsia" w:ascii="宋体" w:hAnsi="宋体" w:cs="宋体"/>
          <w:sz w:val="24"/>
          <w:szCs w:val="24"/>
        </w:rPr>
        <w:t xml:space="preserve">采购人只接收以纸质原件形式送达的质疑。</w:t>
      </w:r>
      <w:r/>
    </w:p>
    <w:p>
      <w:pPr>
        <w:ind w:firstLine="480"/>
        <w:spacing w:line="360" w:lineRule="auto"/>
        <w:rPr>
          <w:rFonts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480"/>
        <w:spacing w:line="360" w:lineRule="auto"/>
        <w:rPr>
          <w:rFonts w:ascii="宋体" w:hAnsi="宋体" w:cs="宋体"/>
          <w:sz w:val="24"/>
          <w:szCs w:val="24"/>
        </w:rPr>
      </w:pPr>
      <w:r>
        <w:rPr>
          <w:rFonts w:hint="eastAsia" w:ascii="宋体" w:hAnsi="宋体" w:cs="宋体"/>
          <w:sz w:val="24"/>
          <w:szCs w:val="24"/>
        </w:rPr>
        <w:t xml:space="preserve">28.5 以下情形的质疑不予受理</w:t>
      </w:r>
      <w:r/>
    </w:p>
    <w:p>
      <w:pPr>
        <w:ind w:firstLine="480"/>
        <w:spacing w:line="360" w:lineRule="auto"/>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28.5.4 未参加投标活动的供应商或在投标活动中自身权益未受到损害的供应商所提出的质疑。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p>
    <w:p>
      <w:pPr>
        <w:ind w:firstLine="480"/>
        <w:spacing w:line="360" w:lineRule="auto"/>
        <w:rPr>
          <w:rFonts w:ascii="宋体" w:hAnsi="宋体" w:cs="宋体"/>
          <w:sz w:val="24"/>
          <w:szCs w:val="24"/>
        </w:rPr>
      </w:pPr>
      <w:r>
        <w:rPr>
          <w:rFonts w:hint="eastAsia" w:ascii="宋体" w:hAnsi="宋体" w:cs="宋体"/>
          <w:sz w:val="24"/>
          <w:szCs w:val="24"/>
        </w:rPr>
        <w:t xml:space="preserve">28.6供应商提出书面质疑必须有理、有据，不得捏造事实、提供虚假材料进行恶意质疑。否则，一经查实，依据政府采购的有关规定，报请政府采购监管部门对该供应商进行相应的行政处罚和记录该供应商的失信信息。</w:t>
      </w:r>
      <w:r/>
    </w:p>
    <w:p>
      <w:pPr>
        <w:ind w:firstLine="480"/>
        <w:spacing w:line="360" w:lineRule="auto"/>
        <w:rPr>
          <w:rFonts w:ascii="宋体" w:hAnsi="宋体" w:cs="宋体"/>
          <w:sz w:val="24"/>
          <w:szCs w:val="24"/>
        </w:rPr>
      </w:pPr>
      <w:r>
        <w:rPr>
          <w:rFonts w:hint="eastAsia" w:ascii="宋体" w:hAnsi="宋体" w:cs="宋体"/>
          <w:sz w:val="24"/>
          <w:szCs w:val="24"/>
        </w:rPr>
        <w:t xml:space="preserve">29、中标通知书</w:t>
      </w:r>
      <w:r/>
    </w:p>
    <w:p>
      <w:pPr>
        <w:ind w:firstLine="480"/>
        <w:spacing w:line="360" w:lineRule="auto"/>
        <w:rPr>
          <w:rFonts w:ascii="宋体" w:hAnsi="宋体" w:cs="宋体"/>
          <w:sz w:val="24"/>
          <w:szCs w:val="24"/>
        </w:rPr>
      </w:pPr>
      <w:r>
        <w:rPr>
          <w:rFonts w:hint="eastAsia" w:ascii="宋体" w:hAnsi="宋体" w:cs="宋体"/>
          <w:sz w:val="24"/>
          <w:szCs w:val="24"/>
        </w:rPr>
        <w:t xml:space="preserve">29.l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912"/>
        <w:ind w:firstLine="321"/>
        <w:spacing w:before="145" w:after="145" w:line="360" w:lineRule="auto"/>
        <w:rPr>
          <w:rFonts w:ascii="宋体" w:hAnsi="宋体" w:cs="宋体"/>
        </w:rPr>
      </w:pPr>
      <w:r/>
      <w:bookmarkStart w:id="171" w:name="_Toc120614220"/>
      <w:r/>
      <w:bookmarkStart w:id="172" w:name="_Toc513029236"/>
      <w:r/>
      <w:bookmarkStart w:id="173" w:name="_Toc16938552"/>
      <w:r/>
      <w:bookmarkStart w:id="174" w:name="_Toc20823308"/>
      <w:r>
        <w:rPr>
          <w:rFonts w:hint="eastAsia" w:ascii="宋体" w:hAnsi="宋体" w:cs="宋体"/>
        </w:rPr>
        <w:t xml:space="preserve">七、授予合同</w:t>
      </w:r>
      <w:bookmarkEnd w:id="171"/>
      <w:r/>
      <w:r/>
    </w:p>
    <w:p>
      <w:pPr>
        <w:ind w:firstLine="480"/>
        <w:spacing w:line="360" w:lineRule="auto"/>
        <w:rPr>
          <w:rFonts w:ascii="宋体" w:hAnsi="宋体" w:cs="宋体"/>
          <w:sz w:val="24"/>
          <w:szCs w:val="24"/>
        </w:rPr>
      </w:pPr>
      <w:r/>
      <w:bookmarkStart w:id="175" w:name="_Toc20823309"/>
      <w:r/>
      <w:bookmarkStart w:id="176" w:name="_Toc513029237"/>
      <w:r/>
      <w:bookmarkStart w:id="177" w:name="_Toc16938553"/>
      <w:r/>
      <w:bookmarkEnd w:id="172"/>
      <w:r/>
      <w:bookmarkEnd w:id="173"/>
      <w:r/>
      <w:bookmarkEnd w:id="174"/>
      <w:r>
        <w:rPr>
          <w:rFonts w:hint="eastAsia" w:ascii="宋体" w:hAnsi="宋体" w:cs="宋体"/>
          <w:sz w:val="24"/>
          <w:szCs w:val="24"/>
        </w:rPr>
        <w:t xml:space="preserve">30.签订合同</w:t>
      </w:r>
      <w:r/>
    </w:p>
    <w:p>
      <w:pPr>
        <w:ind w:firstLine="480"/>
        <w:spacing w:line="360" w:lineRule="auto"/>
        <w:rPr>
          <w:rFonts w:ascii="宋体" w:hAnsi="宋体" w:cs="宋体"/>
          <w:sz w:val="24"/>
          <w:szCs w:val="24"/>
        </w:rPr>
      </w:pPr>
      <w:r>
        <w:rPr>
          <w:rFonts w:hint="eastAsia" w:ascii="宋体" w:hAnsi="宋体" w:cs="宋体"/>
          <w:sz w:val="24"/>
          <w:szCs w:val="24"/>
        </w:rPr>
        <w:t xml:space="preserve">30.l中标人应当在中标通知书发出之日起三十日内，按照招标文件确定的事项与采购人签订政府采购合同。</w:t>
      </w:r>
      <w:r/>
    </w:p>
    <w:p>
      <w:pPr>
        <w:ind w:firstLine="480"/>
        <w:spacing w:line="360" w:lineRule="auto"/>
        <w:rPr>
          <w:rFonts w:ascii="宋体" w:hAnsi="宋体" w:cs="宋体"/>
          <w:sz w:val="24"/>
          <w:szCs w:val="24"/>
        </w:rPr>
      </w:pPr>
      <w:r>
        <w:rPr>
          <w:rFonts w:hint="eastAsia" w:ascii="宋体" w:hAnsi="宋体" w:cs="宋体"/>
          <w:sz w:val="24"/>
          <w:szCs w:val="24"/>
        </w:rPr>
        <w:t xml:space="preserve">30.2 招标文件、中标人的投标文件及招标过程中有关澄清、承诺文件均应作为合同附件。</w:t>
      </w:r>
      <w:r/>
    </w:p>
    <w:p>
      <w:pPr>
        <w:ind w:firstLine="480"/>
        <w:spacing w:line="360" w:lineRule="auto"/>
        <w:rPr>
          <w:rFonts w:ascii="宋体" w:hAnsi="宋体" w:cs="宋体"/>
          <w:sz w:val="24"/>
          <w:szCs w:val="24"/>
        </w:rPr>
      </w:pPr>
      <w:r>
        <w:rPr>
          <w:rFonts w:hint="eastAsia" w:ascii="宋体" w:hAnsi="宋体" w:cs="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s="宋体"/>
          <w:sz w:val="24"/>
          <w:szCs w:val="24"/>
        </w:rPr>
      </w:pPr>
      <w:r>
        <w:rPr>
          <w:rFonts w:hint="eastAsia" w:ascii="宋体" w:hAnsi="宋体" w:cs="宋体"/>
          <w:sz w:val="24"/>
          <w:szCs w:val="24"/>
        </w:rPr>
        <w:t xml:space="preserve">31、服务（包含与服务相关的货物）的追加</w:t>
      </w:r>
      <w:r/>
    </w:p>
    <w:p>
      <w:pPr>
        <w:ind w:firstLine="480"/>
        <w:spacing w:line="360" w:lineRule="auto"/>
        <w:rPr>
          <w:rFonts w:ascii="宋体" w:hAnsi="宋体" w:cs="宋体"/>
          <w:sz w:val="24"/>
          <w:szCs w:val="24"/>
        </w:rPr>
      </w:pPr>
      <w:r>
        <w:rPr>
          <w:rFonts w:hint="eastAsia" w:ascii="宋体" w:hAnsi="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360" w:lineRule="auto"/>
        <w:rPr>
          <w:rFonts w:ascii="宋体" w:hAnsi="宋体" w:cs="宋体"/>
          <w:sz w:val="24"/>
          <w:szCs w:val="24"/>
        </w:rPr>
      </w:pPr>
      <w:r/>
      <w:bookmarkStart w:id="178" w:name="_Toc479757207"/>
      <w:r/>
      <w:bookmarkStart w:id="179" w:name="_Toc513029242"/>
      <w:r/>
      <w:bookmarkStart w:id="180" w:name="_Toc16938558"/>
      <w:r/>
      <w:bookmarkStart w:id="181" w:name="_Toc20823314"/>
      <w:r/>
      <w:bookmarkStart w:id="182" w:name="_Toc120614221"/>
      <w:r/>
      <w:bookmarkEnd w:id="175"/>
      <w:r/>
      <w:bookmarkEnd w:id="176"/>
      <w:r/>
      <w:bookmarkEnd w:id="177"/>
      <w:r>
        <w:rPr>
          <w:rFonts w:hint="eastAsia" w:ascii="宋体" w:hAnsi="宋体" w:cs="宋体"/>
          <w:sz w:val="24"/>
          <w:szCs w:val="24"/>
        </w:rPr>
        <w:t xml:space="preserve">32、政府采购履约资金扶持政策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500" w:lineRule="exact"/>
        <w:rPr>
          <w:rFonts w:ascii="宋体" w:hAnsi="宋体" w:cs="宋体"/>
          <w:bCs/>
          <w:sz w:val="24"/>
        </w:rPr>
      </w:pPr>
      <w:r/>
      <w:bookmarkStart w:id="183" w:name="_Toc513029243"/>
      <w:r/>
      <w:bookmarkStart w:id="184" w:name="_Toc16938559"/>
      <w:r/>
      <w:bookmarkStart w:id="185" w:name="_Toc20823315"/>
      <w:r/>
      <w:bookmarkEnd w:id="178"/>
      <w:r/>
      <w:bookmarkEnd w:id="179"/>
      <w:r/>
      <w:bookmarkEnd w:id="180"/>
      <w:r/>
      <w:bookmarkEnd w:id="181"/>
      <w:r/>
      <w:bookmarkEnd w:id="182"/>
      <w:r>
        <w:rPr>
          <w:rFonts w:ascii="宋体" w:hAnsi="宋体" w:cs="宋体"/>
          <w:bCs/>
          <w:sz w:val="24"/>
        </w:rPr>
        <w:br w:type="page" w:clear="all"/>
      </w:r>
      <w:r/>
    </w:p>
    <w:p>
      <w:pPr>
        <w:rPr>
          <w:rFonts w:ascii="宋体" w:hAnsi="宋体" w:cs="宋体"/>
          <w:bCs/>
          <w:sz w:val="44"/>
        </w:rPr>
      </w:pPr>
      <w:r>
        <w:rPr>
          <w:rFonts w:ascii="宋体" w:hAnsi="宋体" w:cs="宋体"/>
          <w:bCs/>
          <w:sz w:val="44"/>
        </w:rPr>
      </w:r>
      <w:r/>
    </w:p>
    <w:p>
      <w:pPr>
        <w:pStyle w:val="1047"/>
        <w:rPr>
          <w:rFonts w:ascii="宋体" w:hAnsi="宋体" w:eastAsia="宋体" w:cs="宋体"/>
          <w:bCs/>
          <w:sz w:val="24"/>
        </w:rPr>
      </w:pPr>
      <w:r/>
      <w:bookmarkStart w:id="186" w:name="_Toc219796290"/>
      <w:r>
        <w:rPr>
          <w:rFonts w:hint="eastAsia" w:ascii="宋体" w:hAnsi="宋体" w:eastAsia="宋体" w:cs="宋体"/>
          <w:bCs/>
          <w:sz w:val="44"/>
        </w:rPr>
        <w:t xml:space="preserve">第三章  合同文本</w:t>
      </w:r>
      <w:bookmarkEnd w:id="186"/>
      <w:r/>
      <w:r/>
    </w:p>
    <w:p>
      <w:pPr>
        <w:ind w:firstLine="480"/>
        <w:spacing w:line="500" w:lineRule="exact"/>
        <w:rPr>
          <w:rFonts w:ascii="宋体" w:hAnsi="宋体" w:cs="宋体"/>
          <w:bCs/>
          <w:sz w:val="24"/>
        </w:rPr>
      </w:pPr>
      <w:r>
        <w:rPr>
          <w:rFonts w:hint="eastAsia" w:ascii="宋体" w:hAnsi="宋体" w:cs="宋体"/>
          <w:bCs/>
          <w:sz w:val="24"/>
        </w:rPr>
        <w:t xml:space="preserve">以下为中标后签定本项目合同的通用条款，中标人不得提出实质性的修改。</w:t>
      </w:r>
      <w:bookmarkStart w:id="187" w:name="_Hlt16619369"/>
      <w:r/>
      <w:bookmarkStart w:id="188" w:name="_Toc20823346"/>
      <w:r/>
      <w:bookmarkStart w:id="189" w:name="_Toc16938590"/>
      <w:r/>
      <w:bookmarkStart w:id="190" w:name="_Hlt16619350"/>
      <w:r/>
      <w:bookmarkStart w:id="191" w:name="_Toc120614244"/>
      <w:r/>
      <w:bookmarkStart w:id="192" w:name="_Toc479757211"/>
      <w:r/>
      <w:bookmarkStart w:id="193" w:name="_Toc462564139"/>
      <w:r/>
      <w:bookmarkEnd w:id="183"/>
      <w:r/>
      <w:bookmarkEnd w:id="184"/>
      <w:r/>
      <w:bookmarkEnd w:id="185"/>
      <w:r/>
      <w:bookmarkEnd w:id="187"/>
      <w:r/>
      <w:r/>
    </w:p>
    <w:p>
      <w:pPr>
        <w:ind w:firstLine="640"/>
        <w:widowControl/>
        <w:rPr>
          <w:rFonts w:ascii="宋体" w:hAnsi="宋体"/>
          <w:sz w:val="32"/>
          <w:szCs w:val="32"/>
        </w:rPr>
      </w:pPr>
      <w:r>
        <w:rPr>
          <w:rFonts w:ascii="宋体" w:hAnsi="宋体"/>
          <w:sz w:val="32"/>
          <w:szCs w:val="32"/>
        </w:rPr>
      </w:r>
      <w:r/>
    </w:p>
    <w:p>
      <w:pPr>
        <w:ind w:firstLine="640"/>
        <w:jc w:val="center"/>
        <w:spacing w:line="360" w:lineRule="auto"/>
        <w:widowControl/>
        <w:rPr>
          <w:rFonts w:ascii="宋体" w:hAnsi="宋体"/>
          <w:sz w:val="32"/>
          <w:szCs w:val="32"/>
        </w:rPr>
      </w:pPr>
      <w:r>
        <w:rPr>
          <w:rFonts w:ascii="宋体" w:hAnsi="宋体"/>
          <w:sz w:val="32"/>
          <w:szCs w:val="32"/>
        </w:rPr>
        <w:t xml:space="preserve">南通经济技术开发区推进全国社会治安防控体系</w:t>
      </w:r>
      <w:r>
        <w:rPr>
          <w:rFonts w:hint="eastAsia" w:ascii="宋体" w:hAnsi="宋体"/>
          <w:sz w:val="32"/>
          <w:szCs w:val="32"/>
        </w:rPr>
        <w:t xml:space="preserve">示范城市创建项目标段7</w:t>
      </w:r>
      <w:r/>
    </w:p>
    <w:p>
      <w:pPr>
        <w:jc w:val="center"/>
        <w:rPr>
          <w:rFonts w:ascii="等线" w:hAnsi="等线" w:eastAsia="等线"/>
          <w:b/>
          <w:sz w:val="32"/>
        </w:rPr>
      </w:pPr>
      <w:r>
        <w:rPr>
          <w:rFonts w:ascii="等线" w:hAnsi="等线" w:eastAsia="等线"/>
          <w:b/>
          <w:sz w:val="32"/>
        </w:rPr>
      </w:r>
      <w:r/>
    </w:p>
    <w:p>
      <w:pPr>
        <w:jc w:val="center"/>
        <w:rPr>
          <w:rFonts w:ascii="等线" w:hAnsi="等线" w:eastAsia="等线"/>
          <w:b/>
          <w:sz w:val="32"/>
        </w:rPr>
      </w:pPr>
      <w:r>
        <w:rPr>
          <w:rFonts w:ascii="等线" w:hAnsi="等线" w:eastAsia="等线"/>
          <w:b/>
          <w:sz w:val="32"/>
        </w:rPr>
      </w:r>
      <w:r/>
    </w:p>
    <w:p>
      <w:pPr>
        <w:rPr>
          <w:rFonts w:ascii="等线" w:hAnsi="等线" w:eastAsia="等线"/>
          <w:b/>
          <w:sz w:val="32"/>
        </w:rPr>
      </w:pPr>
      <w:r>
        <w:rPr>
          <w:rFonts w:ascii="等线" w:hAnsi="等线" w:eastAsia="等线"/>
          <w:b/>
          <w:sz w:val="32"/>
        </w:rPr>
      </w:r>
      <w:r/>
    </w:p>
    <w:p>
      <w:pPr>
        <w:jc w:val="center"/>
        <w:rPr>
          <w:rFonts w:ascii="宋体" w:hAnsi="宋体"/>
          <w:bCs/>
          <w:sz w:val="96"/>
          <w:szCs w:val="96"/>
        </w:rPr>
      </w:pPr>
      <w:r>
        <w:rPr>
          <w:rFonts w:ascii="宋体" w:hAnsi="宋体"/>
          <w:bCs/>
          <w:sz w:val="96"/>
          <w:szCs w:val="96"/>
        </w:rPr>
        <w:t xml:space="preserve">合</w:t>
      </w:r>
      <w:r/>
    </w:p>
    <w:p>
      <w:pPr>
        <w:jc w:val="center"/>
        <w:rPr>
          <w:rFonts w:ascii="宋体" w:hAnsi="宋体"/>
          <w:bCs/>
          <w:sz w:val="96"/>
          <w:szCs w:val="96"/>
        </w:rPr>
      </w:pPr>
      <w:r>
        <w:rPr>
          <w:rFonts w:ascii="宋体" w:hAnsi="宋体"/>
          <w:bCs/>
          <w:sz w:val="96"/>
          <w:szCs w:val="96"/>
        </w:rPr>
      </w:r>
      <w:r/>
    </w:p>
    <w:p>
      <w:pPr>
        <w:jc w:val="center"/>
        <w:rPr>
          <w:rFonts w:ascii="宋体" w:hAnsi="宋体"/>
          <w:bCs/>
          <w:sz w:val="96"/>
          <w:szCs w:val="96"/>
        </w:rPr>
      </w:pPr>
      <w:r>
        <w:rPr>
          <w:rFonts w:ascii="宋体" w:hAnsi="宋体"/>
          <w:bCs/>
          <w:sz w:val="96"/>
          <w:szCs w:val="96"/>
        </w:rPr>
        <w:t xml:space="preserve">同</w:t>
      </w:r>
      <w:r/>
    </w:p>
    <w:p>
      <w:pPr>
        <w:jc w:val="center"/>
        <w:rPr>
          <w:rFonts w:ascii="宋体" w:hAnsi="宋体"/>
          <w:bCs/>
          <w:sz w:val="96"/>
          <w:szCs w:val="96"/>
        </w:rPr>
      </w:pPr>
      <w:r>
        <w:rPr>
          <w:rFonts w:ascii="宋体" w:hAnsi="宋体"/>
          <w:bCs/>
          <w:sz w:val="96"/>
          <w:szCs w:val="96"/>
        </w:rPr>
      </w:r>
      <w:r/>
    </w:p>
    <w:p>
      <w:pPr>
        <w:jc w:val="center"/>
        <w:rPr>
          <w:rFonts w:ascii="宋体" w:hAnsi="宋体"/>
          <w:bCs/>
          <w:sz w:val="96"/>
          <w:szCs w:val="96"/>
        </w:rPr>
      </w:pPr>
      <w:r>
        <w:rPr>
          <w:rFonts w:ascii="宋体" w:hAnsi="宋体"/>
          <w:bCs/>
          <w:sz w:val="96"/>
          <w:szCs w:val="96"/>
        </w:rPr>
        <w:t xml:space="preserve">书</w:t>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ind w:firstLine="480"/>
        <w:spacing w:line="500" w:lineRule="exact"/>
        <w:widowControl/>
        <w:rPr>
          <w:rFonts w:ascii="宋体" w:hAnsi="宋体"/>
          <w:sz w:val="24"/>
          <w:szCs w:val="24"/>
        </w:rPr>
      </w:pPr>
      <w:r>
        <w:rPr>
          <w:rFonts w:hint="eastAsia" w:ascii="宋体" w:hAnsi="宋体"/>
          <w:sz w:val="24"/>
          <w:szCs w:val="24"/>
        </w:rPr>
        <w:t xml:space="preserve">甲方：</w:t>
      </w:r>
      <w:r/>
    </w:p>
    <w:p>
      <w:pPr>
        <w:ind w:firstLine="480"/>
        <w:spacing w:line="500" w:lineRule="exact"/>
        <w:widowControl/>
        <w:rPr>
          <w:rFonts w:ascii="宋体" w:hAnsi="宋体"/>
          <w:b/>
          <w:bCs/>
          <w:sz w:val="24"/>
          <w:szCs w:val="24"/>
          <w:u w:val="single"/>
        </w:rPr>
      </w:pPr>
      <w:r>
        <w:rPr>
          <w:rFonts w:hint="eastAsia" w:ascii="宋体" w:hAnsi="宋体"/>
          <w:sz w:val="24"/>
          <w:szCs w:val="24"/>
        </w:rPr>
        <w:t xml:space="preserve">乙方：</w:t>
      </w:r>
      <w:r/>
    </w:p>
    <w:p>
      <w:pPr>
        <w:ind w:firstLine="480"/>
        <w:spacing w:line="500" w:lineRule="exact"/>
        <w:widowControl/>
        <w:rPr>
          <w:rFonts w:ascii="宋体" w:hAnsi="宋体"/>
          <w:sz w:val="24"/>
          <w:szCs w:val="24"/>
        </w:rPr>
      </w:pPr>
      <w:r>
        <w:rPr>
          <w:rFonts w:hint="eastAsia" w:ascii="宋体" w:hAnsi="宋体"/>
          <w:sz w:val="24"/>
          <w:szCs w:val="24"/>
        </w:rPr>
        <w:t xml:space="preserve">甲、乙双方根据《中华人民共和国政府采购法》、《中华人民共和国民法典》及 (项目分包编号：)”的采购结果，依《南通经济技术开发区推进全国社会治安防控体系示范城市创建项目标段7招标文件》、乙方投标文件和价格报价为基础，遵循平等、自愿、公平、诚信的原则，双方就本项目采购及安装项目有关事项协商一致，现订立本合同，共同遵照执行。</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第一条、合同概要</w:t>
      </w:r>
      <w:r/>
    </w:p>
    <w:p>
      <w:pPr>
        <w:ind w:firstLine="480"/>
        <w:spacing w:line="500" w:lineRule="exact"/>
        <w:widowControl/>
        <w:rPr>
          <w:rFonts w:ascii="宋体" w:hAnsi="宋体"/>
          <w:sz w:val="24"/>
          <w:szCs w:val="24"/>
        </w:rPr>
      </w:pPr>
      <w:r>
        <w:rPr>
          <w:rFonts w:hint="eastAsia" w:ascii="宋体" w:hAnsi="宋体"/>
          <w:sz w:val="24"/>
          <w:szCs w:val="24"/>
        </w:rPr>
        <w:t xml:space="preserve">乙方为本项目的中标单位，承接项目，乙方按招标文件要求，提供系统所需的相关设备及器材，负责项目的安装、调试、系统检测合格、通过验收、交付运行、维保期内的维保等一系列的服务，以全面满足招标文件要求，作为乙方最终完成本项目任务的判定标准。</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第二条、设备要求及清单</w:t>
      </w:r>
      <w:r/>
    </w:p>
    <w:p>
      <w:pPr>
        <w:ind w:firstLine="480"/>
        <w:spacing w:line="500" w:lineRule="exact"/>
        <w:widowControl/>
        <w:rPr>
          <w:rFonts w:ascii="宋体" w:hAnsi="宋体"/>
          <w:sz w:val="24"/>
          <w:szCs w:val="24"/>
        </w:rPr>
      </w:pPr>
      <w:r>
        <w:rPr>
          <w:rFonts w:hint="eastAsia" w:ascii="宋体" w:hAnsi="宋体"/>
          <w:sz w:val="24"/>
          <w:szCs w:val="24"/>
        </w:rPr>
        <w:t xml:space="preserve">乙方向甲方所提供的设备、器材与乙方投标文件中所列内容无差异，其性能、参数等指标均保证响应和满足招标文件要求，合同执行中不得人为随意变更，具体清单见附件1。</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第三条、款项及支付方式</w:t>
      </w:r>
      <w:r/>
    </w:p>
    <w:p>
      <w:pPr>
        <w:ind w:firstLine="480"/>
        <w:spacing w:line="500" w:lineRule="exact"/>
        <w:widowControl/>
        <w:rPr>
          <w:rFonts w:ascii="宋体" w:hAnsi="宋体"/>
          <w:sz w:val="24"/>
          <w:szCs w:val="24"/>
        </w:rPr>
      </w:pPr>
      <w:r>
        <w:rPr>
          <w:rFonts w:hint="eastAsia" w:ascii="宋体" w:hAnsi="宋体"/>
          <w:sz w:val="24"/>
          <w:szCs w:val="24"/>
        </w:rPr>
        <w:t xml:space="preserve">本项目乙方中标总价计人民币：(大写) （</w:t>
      </w:r>
      <w:r>
        <w:rPr>
          <w:rFonts w:hint="eastAsia" w:ascii="宋体" w:hAnsi="宋体"/>
          <w:b/>
          <w:bCs/>
          <w:sz w:val="24"/>
          <w:szCs w:val="24"/>
          <w:u w:val="single"/>
        </w:rPr>
        <w:t xml:space="preserve">￥       元</w:t>
      </w:r>
      <w:r>
        <w:rPr>
          <w:rFonts w:hint="eastAsia" w:ascii="宋体" w:hAnsi="宋体"/>
          <w:sz w:val="24"/>
          <w:szCs w:val="24"/>
        </w:rPr>
        <w:t xml:space="preserve">）。</w:t>
      </w:r>
      <w:r/>
    </w:p>
    <w:p>
      <w:pPr>
        <w:ind w:firstLine="482"/>
        <w:spacing w:line="500" w:lineRule="exact"/>
        <w:rPr>
          <w:rFonts w:ascii="宋体" w:hAnsi="宋体"/>
          <w:b/>
          <w:bCs/>
          <w:sz w:val="24"/>
          <w:szCs w:val="24"/>
        </w:rPr>
      </w:pPr>
      <w:r/>
      <w:bookmarkStart w:id="194" w:name="_Hlk145778206"/>
      <w:r>
        <w:rPr>
          <w:rFonts w:hint="eastAsia" w:ascii="宋体" w:hAnsi="宋体"/>
          <w:b/>
          <w:bCs/>
          <w:sz w:val="24"/>
          <w:szCs w:val="24"/>
        </w:rPr>
        <w:t xml:space="preserve">项目审计：本项目终验合格后，由第三方审计单位对工程量进行审计，按照投标文件中《分项报价明细表》内的单价和审计后的工程量进行最终结算。</w:t>
      </w:r>
      <w:bookmarkEnd w:id="194"/>
      <w:r/>
      <w:r/>
    </w:p>
    <w:p>
      <w:pPr>
        <w:ind w:firstLine="482"/>
        <w:jc w:val="left"/>
        <w:spacing w:line="500" w:lineRule="exact"/>
        <w:widowControl/>
        <w:rPr>
          <w:rFonts w:ascii="宋体" w:hAnsi="宋体"/>
          <w:b/>
          <w:bCs/>
          <w:sz w:val="24"/>
          <w:szCs w:val="24"/>
        </w:rPr>
      </w:pPr>
      <w:r>
        <w:rPr>
          <w:rFonts w:hint="eastAsia" w:ascii="宋体" w:hAnsi="宋体"/>
          <w:b/>
          <w:bCs/>
          <w:sz w:val="24"/>
          <w:szCs w:val="24"/>
        </w:rPr>
        <w:t xml:space="preserve">签订合同后一个月内支付合同价的30%（金额</w:t>
      </w:r>
      <w:bookmarkStart w:id="195" w:name="_Hlk145685812"/>
      <w:r>
        <w:rPr>
          <w:rFonts w:hint="eastAsia" w:ascii="宋体" w:hAnsi="宋体"/>
          <w:b/>
          <w:bCs/>
          <w:sz w:val="24"/>
          <w:szCs w:val="24"/>
        </w:rPr>
        <w:t xml:space="preserve">大写：</w:t>
      </w:r>
      <w:bookmarkEnd w:id="195"/>
      <w:r>
        <w:rPr>
          <w:rFonts w:hint="eastAsia" w:ascii="宋体" w:hAnsi="宋体"/>
          <w:b/>
          <w:bCs/>
          <w:sz w:val="24"/>
          <w:szCs w:val="24"/>
        </w:rPr>
        <w:t xml:space="preserve">   ）， 余款（按审计价计算）于终验合格后次月起分60个月付清。乙方在质保期内未按照售后服务要求执行的，按200元/次在当月支付金额中扣除。 </w:t>
      </w:r>
      <w:r/>
    </w:p>
    <w:p>
      <w:pPr>
        <w:ind w:firstLine="480"/>
        <w:jc w:val="left"/>
        <w:spacing w:line="500" w:lineRule="exact"/>
        <w:widowControl/>
        <w:rPr>
          <w:rFonts w:ascii="宋体" w:hAnsi="宋体"/>
          <w:sz w:val="24"/>
          <w:szCs w:val="24"/>
        </w:rPr>
      </w:pPr>
      <w:r>
        <w:rPr>
          <w:rFonts w:hint="eastAsia" w:ascii="宋体" w:hAnsi="宋体"/>
          <w:sz w:val="24"/>
          <w:szCs w:val="24"/>
        </w:rPr>
        <w:t xml:space="preserve">甲方付款方式：银行转账。</w:t>
      </w:r>
      <w:r/>
    </w:p>
    <w:p>
      <w:pPr>
        <w:ind w:firstLine="480"/>
        <w:spacing w:line="500" w:lineRule="exact"/>
        <w:widowControl/>
        <w:rPr>
          <w:rFonts w:ascii="宋体" w:hAnsi="宋体"/>
          <w:sz w:val="24"/>
          <w:szCs w:val="24"/>
        </w:rPr>
      </w:pPr>
      <w:r>
        <w:rPr>
          <w:rFonts w:hint="eastAsia" w:ascii="宋体" w:hAnsi="宋体"/>
          <w:sz w:val="24"/>
          <w:szCs w:val="24"/>
        </w:rPr>
        <w:t xml:space="preserve">乙方账户信息如下：</w:t>
      </w:r>
      <w:r/>
    </w:p>
    <w:p>
      <w:pPr>
        <w:ind w:firstLine="482"/>
        <w:spacing w:line="500" w:lineRule="exact"/>
        <w:widowControl/>
        <w:rPr>
          <w:rFonts w:ascii="宋体" w:hAnsi="宋体"/>
          <w:b/>
          <w:bCs/>
          <w:sz w:val="24"/>
          <w:szCs w:val="24"/>
        </w:rPr>
      </w:pPr>
      <w:r>
        <w:rPr>
          <w:rFonts w:hint="eastAsia" w:ascii="宋体" w:hAnsi="宋体"/>
          <w:b/>
          <w:bCs/>
          <w:sz w:val="24"/>
          <w:szCs w:val="24"/>
        </w:rPr>
        <w:t xml:space="preserve">开户银行： </w:t>
      </w:r>
      <w:r/>
    </w:p>
    <w:p>
      <w:pPr>
        <w:ind w:firstLine="482"/>
        <w:spacing w:line="500" w:lineRule="exact"/>
        <w:widowControl/>
        <w:rPr>
          <w:rFonts w:ascii="宋体" w:hAnsi="宋体"/>
          <w:b/>
          <w:bCs/>
          <w:sz w:val="24"/>
          <w:szCs w:val="24"/>
        </w:rPr>
      </w:pPr>
      <w:r>
        <w:rPr>
          <w:rFonts w:hint="eastAsia" w:ascii="宋体" w:hAnsi="宋体"/>
          <w:b/>
          <w:bCs/>
          <w:sz w:val="24"/>
          <w:szCs w:val="24"/>
        </w:rPr>
        <w:t xml:space="preserve">账户名称： </w:t>
      </w:r>
      <w:r/>
    </w:p>
    <w:p>
      <w:pPr>
        <w:ind w:firstLine="482"/>
        <w:spacing w:line="500" w:lineRule="exact"/>
        <w:widowControl/>
        <w:rPr>
          <w:rFonts w:ascii="宋体" w:hAnsi="宋体"/>
          <w:b/>
          <w:bCs/>
          <w:sz w:val="24"/>
          <w:szCs w:val="24"/>
        </w:rPr>
      </w:pPr>
      <w:r>
        <w:rPr>
          <w:rFonts w:hint="eastAsia" w:ascii="宋体" w:hAnsi="宋体"/>
          <w:b/>
          <w:bCs/>
          <w:sz w:val="24"/>
          <w:szCs w:val="24"/>
        </w:rPr>
        <w:t xml:space="preserve">账号：</w:t>
      </w:r>
      <w:r/>
    </w:p>
    <w:p>
      <w:pPr>
        <w:ind w:firstLine="480"/>
        <w:spacing w:line="500" w:lineRule="exact"/>
        <w:widowControl/>
        <w:rPr>
          <w:rFonts w:ascii="宋体" w:hAnsi="宋体"/>
          <w:sz w:val="24"/>
          <w:szCs w:val="24"/>
        </w:rPr>
      </w:pPr>
      <w:r>
        <w:rPr>
          <w:rFonts w:hint="eastAsia" w:ascii="宋体" w:hAnsi="宋体"/>
          <w:sz w:val="24"/>
          <w:szCs w:val="24"/>
        </w:rPr>
        <w:t xml:space="preserve">如变更付款方式，双方另行协商确定。</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第四条、工期</w:t>
      </w:r>
      <w:r/>
    </w:p>
    <w:p>
      <w:pPr>
        <w:ind w:firstLine="480"/>
        <w:spacing w:line="500" w:lineRule="exact"/>
        <w:widowControl/>
        <w:rPr>
          <w:rFonts w:ascii="宋体" w:hAnsi="宋体"/>
          <w:sz w:val="24"/>
          <w:szCs w:val="24"/>
        </w:rPr>
      </w:pPr>
      <w:r>
        <w:rPr>
          <w:rFonts w:hint="eastAsia" w:ascii="宋体" w:hAnsi="宋体"/>
          <w:sz w:val="24"/>
          <w:szCs w:val="24"/>
        </w:rPr>
        <w:t xml:space="preserve">工期从开工通知书发出次日起计算，至项目终验之日止，共</w:t>
      </w:r>
      <w:r>
        <w:rPr>
          <w:rFonts w:hint="eastAsia" w:ascii="宋体" w:hAnsi="宋体"/>
          <w:b/>
          <w:bCs/>
          <w:sz w:val="24"/>
          <w:szCs w:val="24"/>
          <w:u w:val="single"/>
        </w:rPr>
        <w:t xml:space="preserve">      个日历天</w:t>
      </w:r>
      <w:r>
        <w:rPr>
          <w:rFonts w:hint="eastAsia" w:ascii="宋体" w:hAnsi="宋体"/>
          <w:sz w:val="24"/>
          <w:szCs w:val="24"/>
        </w:rPr>
        <w:t xml:space="preserve">。此阶段内本项目必须通过最终验收合格且交付使用。</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第五条、安全生产</w:t>
      </w:r>
      <w:r/>
    </w:p>
    <w:p>
      <w:pPr>
        <w:ind w:firstLine="480"/>
        <w:spacing w:line="500" w:lineRule="exact"/>
        <w:widowControl/>
        <w:rPr>
          <w:rFonts w:ascii="宋体" w:hAnsi="宋体"/>
          <w:sz w:val="24"/>
          <w:szCs w:val="24"/>
        </w:rPr>
      </w:pPr>
      <w:r>
        <w:rPr>
          <w:rFonts w:hint="eastAsia" w:ascii="宋体" w:hAnsi="宋体"/>
          <w:sz w:val="24"/>
          <w:szCs w:val="24"/>
        </w:rPr>
        <w:t xml:space="preserve">乙方必须严格遵守《中华人民共和国安全生产法》《建设工程安全生产管理条例》，加强安全管理与教育，乙方施工中若发生工伤事故，包括因乙方原因对第三方造成伤害的，乙方承担法律责任和经济赔偿责任在内的全部直接与间接责任。</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第六条、设备与工序验收</w:t>
      </w:r>
      <w:r/>
    </w:p>
    <w:p>
      <w:pPr>
        <w:ind w:firstLine="480"/>
        <w:spacing w:line="500" w:lineRule="exact"/>
        <w:widowControl/>
        <w:rPr>
          <w:rFonts w:ascii="宋体" w:hAnsi="宋体"/>
          <w:sz w:val="24"/>
          <w:szCs w:val="24"/>
        </w:rPr>
      </w:pPr>
      <w:r>
        <w:rPr>
          <w:rFonts w:hint="eastAsia" w:ascii="宋体" w:hAnsi="宋体"/>
          <w:sz w:val="24"/>
          <w:szCs w:val="24"/>
        </w:rPr>
        <w:t xml:space="preserve">1.设备进场报验时提供针对南通市公安局南通经济技术开发区分局本项目设备的原厂5年质保承诺函（杆件提供原厂20年质保承诺函）。维护部分购买原厂延保服务的机房精密空调（60个月）、存储设备（24个月），在项目验收前提供针对南通市公安局南通经济技术开发区分局设备的原厂延保服务承诺函。</w:t>
      </w:r>
      <w:r/>
    </w:p>
    <w:p>
      <w:pPr>
        <w:ind w:firstLine="480"/>
        <w:spacing w:line="500" w:lineRule="exact"/>
        <w:widowControl/>
        <w:rPr>
          <w:rFonts w:ascii="宋体" w:hAnsi="宋体"/>
          <w:sz w:val="24"/>
          <w:szCs w:val="24"/>
        </w:rPr>
      </w:pPr>
      <w:r>
        <w:rPr>
          <w:rFonts w:hint="eastAsia" w:ascii="宋体" w:hAnsi="宋体"/>
          <w:sz w:val="24"/>
          <w:szCs w:val="24"/>
        </w:rPr>
        <w:t xml:space="preserve">2.乙方应及时将本项目设备及其器材运抵至甲方指定的现场，并根据本项目招标文件要求提供有效的检测报告等，向监理单位进行进场报验，经签认合格后才能安装到指定部位，未通过进场报验签认合格的设备及其器材不得使用。</w:t>
      </w:r>
      <w:r/>
    </w:p>
    <w:p>
      <w:pPr>
        <w:ind w:firstLine="480"/>
        <w:spacing w:line="500" w:lineRule="exact"/>
        <w:widowControl/>
        <w:rPr>
          <w:rFonts w:ascii="宋体" w:hAnsi="宋体"/>
          <w:sz w:val="24"/>
          <w:szCs w:val="24"/>
        </w:rPr>
      </w:pPr>
      <w:r>
        <w:rPr>
          <w:rFonts w:hint="eastAsia" w:ascii="宋体" w:hAnsi="宋体"/>
          <w:sz w:val="24"/>
          <w:szCs w:val="24"/>
        </w:rPr>
        <w:t xml:space="preserve">3.乙方必须服从监理单位的监管工作，每道工序完成必须确认合格后才能进入下一道工序，同时与本项目设计单位做好细致的方案理解和协调工作。</w:t>
      </w:r>
      <w:r/>
    </w:p>
    <w:p>
      <w:pPr>
        <w:ind w:firstLine="480"/>
        <w:spacing w:line="500" w:lineRule="exact"/>
        <w:widowControl/>
        <w:rPr>
          <w:rFonts w:ascii="宋体" w:hAnsi="宋体"/>
          <w:sz w:val="24"/>
          <w:szCs w:val="24"/>
        </w:rPr>
      </w:pPr>
      <w:r>
        <w:rPr>
          <w:rFonts w:hint="eastAsia" w:ascii="宋体" w:hAnsi="宋体"/>
          <w:sz w:val="24"/>
          <w:szCs w:val="24"/>
        </w:rPr>
        <w:t xml:space="preserve">4.乙方在项目施工安装调试中必须严格贯彻执行现行的国家和行业标准与规范， 并接受监理单位的监督。</w:t>
      </w:r>
      <w:r/>
    </w:p>
    <w:p>
      <w:pPr>
        <w:ind w:firstLine="480"/>
        <w:spacing w:line="500" w:lineRule="exact"/>
        <w:widowControl/>
        <w:rPr>
          <w:rFonts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各批设备进场报验时，乙方应提供各批次设备的第三方法定检测机构抽样检测报告，若发现乙方提供的货物不符合招标文件要求、不符合投标文件响应参数、与中标后提供样品不一致，乙方必须在规定时间内恢复规定的配置、技术标准，由此造成的工期拖延或其他损失均由乙方承担，甲方有权视情节轻重扣除履约保证金或终止合同。</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第七条、技术服务</w:t>
      </w:r>
      <w:r/>
    </w:p>
    <w:p>
      <w:pPr>
        <w:ind w:firstLine="480"/>
        <w:spacing w:line="500" w:lineRule="exact"/>
        <w:widowControl/>
        <w:rPr>
          <w:rFonts w:ascii="宋体" w:hAnsi="宋体"/>
          <w:sz w:val="24"/>
          <w:szCs w:val="24"/>
        </w:rPr>
      </w:pPr>
      <w:r>
        <w:rPr>
          <w:rFonts w:hint="eastAsia" w:ascii="宋体" w:hAnsi="宋体"/>
          <w:sz w:val="24"/>
          <w:szCs w:val="24"/>
        </w:rPr>
        <w:t xml:space="preserve">乙方为甲方培训操作人员，乙方派遣专业技术人员到南通市公安局南通经济技术开发区分局现场培训，确保甲方受培训的操作人员能熟练掌握本次项目系统的日常操作和维护，为本系统稳定可靠运行提供必须的技术保障。</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第八条、验收标准</w:t>
      </w:r>
      <w:r/>
    </w:p>
    <w:p>
      <w:pPr>
        <w:ind w:firstLine="480"/>
        <w:spacing w:line="500" w:lineRule="exact"/>
        <w:widowControl/>
        <w:rPr>
          <w:rFonts w:ascii="宋体" w:hAnsi="宋体"/>
          <w:sz w:val="24"/>
          <w:szCs w:val="24"/>
        </w:rPr>
      </w:pPr>
      <w:r>
        <w:rPr>
          <w:rFonts w:hint="eastAsia" w:ascii="宋体" w:hAnsi="宋体"/>
          <w:sz w:val="24"/>
          <w:szCs w:val="24"/>
        </w:rPr>
        <w:t xml:space="preserve">1．委托法定检测机构对该系统进行检测评估，检测合格后（检测费用由中标单位承担），凭第三方法定检测机构出具的本系统检测合格的报告，按规定向甲方、监理方申请办理手续进入终验程序。</w:t>
      </w:r>
      <w:r/>
    </w:p>
    <w:p>
      <w:pPr>
        <w:ind w:firstLine="480"/>
        <w:spacing w:line="500" w:lineRule="exact"/>
        <w:widowControl/>
        <w:rPr>
          <w:rFonts w:ascii="宋体" w:hAnsi="宋体"/>
          <w:sz w:val="24"/>
          <w:szCs w:val="24"/>
        </w:rPr>
      </w:pPr>
      <w:r>
        <w:rPr>
          <w:rFonts w:hint="eastAsia" w:ascii="宋体" w:hAnsi="宋体"/>
          <w:sz w:val="24"/>
          <w:szCs w:val="24"/>
        </w:rPr>
        <w:t xml:space="preserve">2．本系统建成后，应符合现行的国家标准、行业标准及有关规范，并达到本工程招标文件的要求，验收按《安全防范系统验收规则(GA308)》、《安全防范工程技术标准(GB50348)》、《安全防范工程通用规范（GB55029）》等现行标准执行。</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第九条、维保及售后服务</w:t>
      </w:r>
      <w:r/>
    </w:p>
    <w:p>
      <w:pPr>
        <w:ind w:firstLine="480"/>
        <w:spacing w:line="500" w:lineRule="exact"/>
        <w:widowControl/>
        <w:rPr>
          <w:rFonts w:ascii="宋体" w:hAnsi="宋体"/>
          <w:sz w:val="24"/>
          <w:szCs w:val="24"/>
        </w:rPr>
      </w:pPr>
      <w:r>
        <w:rPr>
          <w:rFonts w:ascii="宋体" w:hAnsi="宋体"/>
          <w:sz w:val="24"/>
          <w:szCs w:val="24"/>
        </w:rPr>
        <w:t xml:space="preserve">严格</w:t>
      </w:r>
      <w:bookmarkStart w:id="196" w:name="_Hlk145679380"/>
      <w:r>
        <w:rPr>
          <w:rFonts w:hint="eastAsia" w:ascii="宋体" w:hAnsi="宋体"/>
          <w:sz w:val="24"/>
          <w:szCs w:val="24"/>
        </w:rPr>
        <w:t xml:space="preserve">按照招标及投标文件中关于维保及售后服务的要求执行。</w:t>
      </w:r>
      <w:bookmarkEnd w:id="196"/>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第十条、违约责任</w:t>
      </w:r>
      <w:r/>
    </w:p>
    <w:p>
      <w:pPr>
        <w:ind w:firstLine="480"/>
        <w:spacing w:line="500" w:lineRule="exact"/>
        <w:widowControl/>
        <w:rPr>
          <w:rFonts w:ascii="宋体" w:hAnsi="宋体"/>
          <w:sz w:val="24"/>
          <w:szCs w:val="24"/>
        </w:rPr>
      </w:pPr>
      <w:r>
        <w:rPr>
          <w:rFonts w:hint="eastAsia" w:ascii="宋体" w:hAnsi="宋体"/>
          <w:sz w:val="24"/>
          <w:szCs w:val="24"/>
        </w:rPr>
        <w:t xml:space="preserve">1．乙方自开工通知书发出后，10日内未能进入实际工作的，视作合同违约，由此产生的一切事务及费用自行负责。甲方可视情况终止本工程合同的执行，同时责令乙方退场并赔偿由此给甲方带来的经济损失，处理结果甲方书面上报相关主管部门备案并提请依法处理。</w:t>
      </w:r>
      <w:r/>
    </w:p>
    <w:p>
      <w:pPr>
        <w:ind w:firstLine="480"/>
        <w:spacing w:line="500" w:lineRule="exact"/>
        <w:widowControl/>
        <w:rPr>
          <w:rFonts w:ascii="宋体" w:hAnsi="宋体"/>
          <w:sz w:val="24"/>
          <w:szCs w:val="24"/>
        </w:rPr>
      </w:pPr>
      <w:r>
        <w:rPr>
          <w:rFonts w:hint="eastAsia" w:ascii="宋体" w:hAnsi="宋体"/>
          <w:sz w:val="24"/>
          <w:szCs w:val="24"/>
        </w:rPr>
        <w:t xml:space="preserve">2．乙方提供的设备及施工质量等不符合要求的，必须立即纠正，直至满足合同要求为准。乙方未能达到招标文件中规定的质量及验收标准，导致未通过终验合格交付的，必须返工、纠正，结算时扣除合同价5%的质量违约金；经返工、纠正后，仍不能达到合同要求的，甲方有权自行修复或委托第三方修复，所需费用由乙方承担，甲方可视情况终止合同的执行，并且已完成的合格产品有效工程量只按 60%计量结算。</w:t>
      </w:r>
      <w:r/>
    </w:p>
    <w:p>
      <w:pPr>
        <w:ind w:firstLine="480"/>
        <w:spacing w:line="500" w:lineRule="exact"/>
        <w:widowControl/>
        <w:rPr>
          <w:rFonts w:ascii="宋体" w:hAnsi="宋体"/>
          <w:sz w:val="24"/>
          <w:szCs w:val="24"/>
        </w:rPr>
      </w:pPr>
      <w:r>
        <w:rPr>
          <w:rFonts w:ascii="宋体" w:hAnsi="宋体"/>
          <w:sz w:val="24"/>
          <w:szCs w:val="24"/>
        </w:rPr>
        <w:t xml:space="preserve">3</w:t>
      </w:r>
      <w:r>
        <w:rPr>
          <w:rFonts w:hint="eastAsia" w:ascii="宋体" w:hAnsi="宋体"/>
          <w:sz w:val="24"/>
          <w:szCs w:val="24"/>
        </w:rPr>
        <w:t xml:space="preserve">．乙方必须在规定工期内完成本项目的终验。未按时完成的，乙方必须承担违约赔偿责任，按合同总额×0.1%×超延天数，支付工期超延违约金（最高限额为合同总额的10%），在合同款中扣减，法律法规界定的不可抗力因素除外。若工期超延逾140天，甲方可终止合同，已完成的合格产品有效工程量按60%计量结算，同时责令乙方退场。甲方有权要求乙方赔偿因工期超延给甲方带来的损失。</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第十一条、责任免除</w:t>
      </w:r>
      <w:r/>
    </w:p>
    <w:p>
      <w:pPr>
        <w:ind w:firstLine="480"/>
        <w:spacing w:line="500" w:lineRule="exact"/>
        <w:widowControl/>
        <w:rPr>
          <w:rFonts w:ascii="宋体" w:hAnsi="宋体"/>
          <w:sz w:val="24"/>
          <w:szCs w:val="24"/>
        </w:rPr>
      </w:pPr>
      <w:r>
        <w:rPr>
          <w:rFonts w:hint="eastAsia" w:ascii="宋体" w:hAnsi="宋体"/>
          <w:sz w:val="24"/>
          <w:szCs w:val="24"/>
        </w:rPr>
        <w:t xml:space="preserve">发生法规界定的不可抗力因素，造成一方或双方损失的，均应当免除对方责任。但应当采取积极措施尽量减少损失，损失扩大的，由该方承担责任。</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第十二条、产权界定</w:t>
      </w:r>
      <w:r/>
    </w:p>
    <w:p>
      <w:pPr>
        <w:ind w:firstLine="480"/>
        <w:spacing w:line="500" w:lineRule="exact"/>
        <w:widowControl/>
        <w:rPr>
          <w:rFonts w:ascii="宋体" w:hAnsi="宋体"/>
          <w:b/>
          <w:bCs/>
          <w:sz w:val="24"/>
          <w:szCs w:val="24"/>
        </w:rPr>
      </w:pPr>
      <w:r>
        <w:rPr>
          <w:rFonts w:hint="eastAsia" w:ascii="宋体" w:hAnsi="宋体"/>
          <w:sz w:val="24"/>
          <w:szCs w:val="24"/>
        </w:rPr>
        <w:t xml:space="preserve">本工程自竣工次日起，全部产权归南通市公安局南通经济技术开发区分局所有。</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第十三条、变更和解除</w:t>
      </w:r>
      <w:r/>
    </w:p>
    <w:p>
      <w:pPr>
        <w:ind w:firstLine="480"/>
        <w:spacing w:line="500" w:lineRule="exact"/>
        <w:widowControl/>
        <w:rPr>
          <w:rFonts w:ascii="宋体" w:hAnsi="宋体"/>
          <w:sz w:val="24"/>
          <w:szCs w:val="24"/>
        </w:rPr>
      </w:pPr>
      <w:r>
        <w:rPr>
          <w:rFonts w:hint="eastAsia" w:ascii="宋体" w:hAnsi="宋体"/>
          <w:sz w:val="24"/>
          <w:szCs w:val="24"/>
        </w:rPr>
        <w:t xml:space="preserve">1．乙方不得随意更改设计（除甲方要求），因乙方自身原因导致的工程变更乙方无权要求追加合同价。如乙方擅自变更，甲方有权视情节严重情况，向乙方收取违约金并在本项目款中扣除。</w:t>
      </w:r>
      <w:r/>
    </w:p>
    <w:p>
      <w:pPr>
        <w:ind w:firstLine="480"/>
        <w:spacing w:line="500" w:lineRule="exact"/>
        <w:widowControl/>
        <w:rPr>
          <w:rFonts w:ascii="宋体" w:hAnsi="宋体"/>
          <w:sz w:val="24"/>
          <w:szCs w:val="24"/>
        </w:rPr>
      </w:pPr>
      <w:r>
        <w:rPr>
          <w:rFonts w:hint="eastAsia" w:ascii="宋体" w:hAnsi="宋体"/>
          <w:sz w:val="24"/>
          <w:szCs w:val="24"/>
        </w:rPr>
        <w:t xml:space="preserve">2．本合同执行期间，不得随意变更和解除合同，合同如有未尽事宜，应由双方共同协商，达成补充规定，补充规定与本合同具有同等法律效力。</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第十四条、合同的生效</w:t>
      </w:r>
      <w:r/>
    </w:p>
    <w:p>
      <w:pPr>
        <w:ind w:firstLine="480"/>
        <w:spacing w:line="500" w:lineRule="exact"/>
        <w:widowControl/>
        <w:rPr>
          <w:rFonts w:ascii="宋体" w:hAnsi="宋体"/>
          <w:sz w:val="24"/>
          <w:szCs w:val="24"/>
        </w:rPr>
      </w:pPr>
      <w:r/>
      <w:bookmarkStart w:id="197" w:name="_Hlk145777616"/>
      <w:r>
        <w:rPr>
          <w:rFonts w:hint="eastAsia" w:ascii="宋体" w:hAnsi="宋体"/>
          <w:sz w:val="24"/>
          <w:szCs w:val="24"/>
        </w:rPr>
        <w:t xml:space="preserve">本合同自甲乙双方盖章且由授权代表签字后生效。</w:t>
      </w:r>
      <w:bookmarkEnd w:id="197"/>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第十五条、争议的处理</w:t>
      </w:r>
      <w:r/>
    </w:p>
    <w:p>
      <w:pPr>
        <w:ind w:firstLine="480"/>
        <w:spacing w:line="500" w:lineRule="exact"/>
        <w:widowControl/>
        <w:rPr>
          <w:rFonts w:ascii="宋体" w:hAnsi="宋体"/>
          <w:sz w:val="24"/>
          <w:szCs w:val="24"/>
        </w:rPr>
      </w:pPr>
      <w:r>
        <w:rPr>
          <w:rFonts w:hint="eastAsia" w:ascii="宋体" w:hAnsi="宋体"/>
          <w:sz w:val="24"/>
          <w:szCs w:val="24"/>
        </w:rPr>
        <w:t xml:space="preserve">本合同执行中发生争议时，当事人双方应协商解决；协商不成时，依法向南通市经济技术开发区人民法院进行诉讼。</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第十六条、附则</w:t>
      </w:r>
      <w:bookmarkStart w:id="198" w:name="_Hlk145777632"/>
      <w:r/>
      <w:r/>
    </w:p>
    <w:p>
      <w:pPr>
        <w:ind w:firstLine="480"/>
        <w:spacing w:line="500" w:lineRule="exact"/>
        <w:widowControl/>
        <w:rPr>
          <w:rFonts w:ascii="宋体" w:hAnsi="宋体"/>
          <w:sz w:val="24"/>
          <w:szCs w:val="24"/>
        </w:rPr>
      </w:pPr>
      <w:r>
        <w:rPr>
          <w:rFonts w:hint="eastAsia" w:ascii="宋体" w:hAnsi="宋体"/>
          <w:sz w:val="24"/>
          <w:szCs w:val="24"/>
        </w:rPr>
        <w:t xml:space="preserve">1．合同份数：本合同一式肆份，甲乙双方各执贰份，分送相关部门。</w:t>
      </w:r>
      <w:bookmarkEnd w:id="198"/>
      <w:r/>
      <w:r/>
    </w:p>
    <w:p>
      <w:pPr>
        <w:ind w:firstLine="480"/>
        <w:spacing w:line="500" w:lineRule="exact"/>
        <w:widowControl/>
        <w:rPr>
          <w:rFonts w:ascii="宋体" w:hAnsi="宋体"/>
          <w:sz w:val="24"/>
          <w:szCs w:val="24"/>
        </w:rPr>
      </w:pPr>
      <w:r>
        <w:rPr>
          <w:rFonts w:hint="eastAsia" w:ascii="宋体" w:hAnsi="宋体"/>
          <w:sz w:val="24"/>
          <w:szCs w:val="24"/>
        </w:rPr>
        <w:t xml:space="preserve">2.本合同文件使用中文书写、解释和说明。</w:t>
      </w:r>
      <w:r/>
    </w:p>
    <w:p>
      <w:pPr>
        <w:ind w:firstLine="480"/>
        <w:spacing w:line="500" w:lineRule="exact"/>
        <w:widowControl/>
        <w:rPr>
          <w:rFonts w:ascii="宋体" w:hAnsi="宋体"/>
          <w:sz w:val="24"/>
          <w:szCs w:val="24"/>
        </w:rPr>
      </w:pPr>
      <w:r>
        <w:rPr>
          <w:rFonts w:hint="eastAsia" w:ascii="宋体" w:hAnsi="宋体"/>
          <w:sz w:val="24"/>
          <w:szCs w:val="24"/>
        </w:rPr>
        <w:t xml:space="preserve">3．甲方招标文件、乙方技术标投标文件和商务标投标文件，以上附件均为本合同组成部分，与本合同具有同等法律效力。</w:t>
      </w:r>
      <w:r/>
    </w:p>
    <w:p>
      <w:pPr>
        <w:ind w:firstLine="480"/>
        <w:spacing w:line="500" w:lineRule="exact"/>
        <w:widowControl/>
        <w:rPr>
          <w:rFonts w:ascii="宋体" w:hAnsi="宋体"/>
          <w:sz w:val="24"/>
          <w:szCs w:val="24"/>
        </w:rPr>
      </w:pPr>
      <w:r>
        <w:rPr>
          <w:rFonts w:hint="eastAsia" w:ascii="宋体" w:hAnsi="宋体"/>
          <w:sz w:val="24"/>
          <w:szCs w:val="24"/>
        </w:rPr>
        <w:t xml:space="preserve">4．未尽事宜本合同未尽事宜应按照《</w:t>
      </w:r>
      <w:bookmarkStart w:id="199" w:name="_Hlk145777656"/>
      <w:r>
        <w:rPr>
          <w:rFonts w:hint="eastAsia" w:ascii="宋体" w:hAnsi="宋体"/>
          <w:sz w:val="24"/>
          <w:szCs w:val="24"/>
        </w:rPr>
        <w:t xml:space="preserve">中华人民共和国民法典</w:t>
      </w:r>
      <w:bookmarkEnd w:id="199"/>
      <w:r>
        <w:rPr>
          <w:rFonts w:hint="eastAsia" w:ascii="宋体" w:hAnsi="宋体"/>
          <w:sz w:val="24"/>
          <w:szCs w:val="24"/>
        </w:rPr>
        <w:t xml:space="preserve">》、《中华人民共和国产品质量法》、《中华人民共和国政府采购法》及其相关配套法律法规之规定解释。</w:t>
      </w:r>
      <w:r/>
    </w:p>
    <w:p>
      <w:pPr>
        <w:ind w:firstLine="360"/>
        <w:spacing w:line="500" w:lineRule="exact"/>
        <w:widowControl/>
        <w:rPr>
          <w:rFonts w:ascii="宋体" w:hAnsi="宋体"/>
          <w:sz w:val="24"/>
          <w:szCs w:val="24"/>
        </w:rPr>
      </w:pPr>
      <w:r>
        <w:rPr>
          <w:rFonts w:ascii="宋体" w:hAnsi="宋体"/>
          <w:sz w:val="24"/>
          <w:szCs w:val="24"/>
        </w:rPr>
      </w:r>
      <w:r/>
    </w:p>
    <w:p>
      <w:pPr>
        <w:ind w:firstLine="480"/>
        <w:spacing w:line="500" w:lineRule="exact"/>
        <w:widowControl/>
        <w:rPr>
          <w:rFonts w:ascii="宋体" w:hAnsi="宋体"/>
          <w:sz w:val="24"/>
          <w:szCs w:val="24"/>
        </w:rPr>
      </w:pPr>
      <w:r>
        <w:rPr>
          <w:rFonts w:hint="eastAsia" w:ascii="宋体" w:hAnsi="宋体"/>
          <w:sz w:val="24"/>
          <w:szCs w:val="24"/>
        </w:rPr>
        <w:t xml:space="preserve">甲方：（盖章）</w:t>
      </w:r>
      <w:r>
        <w:rPr>
          <w:rFonts w:hint="eastAsia" w:ascii="宋体" w:hAnsi="宋体"/>
          <w:sz w:val="24"/>
          <w:szCs w:val="24"/>
        </w:rPr>
        <w:tab/>
        <w:t xml:space="preserve">                    乙方： （盖章）</w:t>
      </w:r>
      <w:r/>
    </w:p>
    <w:p>
      <w:pPr>
        <w:ind w:firstLine="480"/>
        <w:spacing w:line="500" w:lineRule="exact"/>
        <w:widowControl/>
        <w:rPr>
          <w:rFonts w:ascii="宋体" w:hAnsi="宋体"/>
          <w:sz w:val="24"/>
          <w:szCs w:val="24"/>
        </w:rPr>
      </w:pPr>
      <w:r>
        <w:rPr>
          <w:rFonts w:hint="eastAsia" w:ascii="宋体" w:hAnsi="宋体"/>
          <w:sz w:val="24"/>
          <w:szCs w:val="24"/>
        </w:rPr>
        <w:t xml:space="preserve">法定（或授权）代表人</w:t>
      </w:r>
      <w:r>
        <w:rPr>
          <w:rFonts w:hint="eastAsia" w:ascii="宋体" w:hAnsi="宋体"/>
          <w:sz w:val="24"/>
          <w:szCs w:val="24"/>
        </w:rPr>
        <w:tab/>
        <w:t xml:space="preserve">                法定（或授权）代表人</w:t>
      </w:r>
      <w:r/>
    </w:p>
    <w:p>
      <w:pPr>
        <w:ind w:firstLine="480"/>
        <w:spacing w:line="500" w:lineRule="exact"/>
        <w:widowControl/>
        <w:rPr>
          <w:rFonts w:ascii="宋体" w:hAnsi="宋体"/>
          <w:sz w:val="24"/>
          <w:szCs w:val="24"/>
        </w:rPr>
      </w:pPr>
      <w:r>
        <w:rPr>
          <w:rFonts w:hint="eastAsia" w:ascii="宋体" w:hAnsi="宋体"/>
          <w:sz w:val="24"/>
          <w:szCs w:val="24"/>
        </w:rPr>
        <w:t xml:space="preserve">签字或盖章：  </w:t>
      </w:r>
      <w:r>
        <w:rPr>
          <w:rFonts w:ascii="宋体" w:hAnsi="宋体"/>
          <w:sz w:val="24"/>
          <w:szCs w:val="24"/>
        </w:rPr>
        <w:tab/>
      </w:r>
      <w:r>
        <w:rPr>
          <w:rFonts w:ascii="宋体" w:hAnsi="宋体"/>
          <w:sz w:val="24"/>
          <w:szCs w:val="24"/>
        </w:rPr>
        <w:tab/>
      </w:r>
      <w:r>
        <w:rPr>
          <w:rFonts w:ascii="宋体" w:hAnsi="宋体"/>
          <w:sz w:val="24"/>
          <w:szCs w:val="24"/>
        </w:rPr>
        <w:tab/>
      </w:r>
      <w:r>
        <w:rPr>
          <w:rFonts w:ascii="宋体" w:hAnsi="宋体"/>
          <w:sz w:val="24"/>
          <w:szCs w:val="24"/>
        </w:rPr>
        <w:tab/>
      </w:r>
      <w:r>
        <w:rPr>
          <w:rFonts w:ascii="宋体" w:hAnsi="宋体"/>
          <w:sz w:val="24"/>
          <w:szCs w:val="24"/>
        </w:rPr>
        <w:tab/>
      </w:r>
      <w:r>
        <w:rPr>
          <w:rFonts w:ascii="宋体" w:hAnsi="宋体"/>
          <w:sz w:val="24"/>
          <w:szCs w:val="24"/>
        </w:rPr>
        <w:tab/>
      </w:r>
      <w:r>
        <w:rPr>
          <w:rFonts w:hint="eastAsia" w:ascii="宋体" w:hAnsi="宋体"/>
          <w:sz w:val="24"/>
          <w:szCs w:val="24"/>
        </w:rPr>
        <w:t xml:space="preserve">  签字或盖章：</w:t>
      </w:r>
      <w:r/>
    </w:p>
    <w:p>
      <w:pPr>
        <w:ind w:firstLine="480"/>
        <w:spacing w:line="500" w:lineRule="exact"/>
        <w:widowControl/>
        <w:rPr>
          <w:rFonts w:ascii="宋体" w:hAnsi="宋体"/>
          <w:sz w:val="24"/>
          <w:szCs w:val="24"/>
        </w:rPr>
      </w:pPr>
      <w:r>
        <w:rPr>
          <w:rFonts w:hint="eastAsia" w:ascii="宋体" w:hAnsi="宋体"/>
          <w:sz w:val="24"/>
          <w:szCs w:val="24"/>
        </w:rPr>
        <w:t xml:space="preserve">日期：</w:t>
      </w:r>
      <w:r>
        <w:rPr>
          <w:rFonts w:hint="eastAsia" w:ascii="宋体" w:hAnsi="宋体"/>
          <w:sz w:val="24"/>
          <w:szCs w:val="24"/>
        </w:rPr>
        <w:tab/>
        <w:t xml:space="preserve">年</w:t>
      </w:r>
      <w:r>
        <w:rPr>
          <w:rFonts w:hint="eastAsia" w:ascii="宋体" w:hAnsi="宋体"/>
          <w:sz w:val="24"/>
          <w:szCs w:val="24"/>
        </w:rPr>
        <w:tab/>
        <w:t xml:space="preserve">  月</w:t>
      </w:r>
      <w:r>
        <w:rPr>
          <w:rFonts w:hint="eastAsia" w:ascii="宋体" w:hAnsi="宋体"/>
          <w:sz w:val="24"/>
          <w:szCs w:val="24"/>
        </w:rPr>
        <w:tab/>
        <w:t xml:space="preserve"> 日</w:t>
      </w:r>
      <w:r>
        <w:rPr>
          <w:rFonts w:hint="eastAsia" w:ascii="宋体" w:hAnsi="宋体"/>
          <w:sz w:val="24"/>
          <w:szCs w:val="24"/>
        </w:rPr>
        <w:tab/>
        <w:t xml:space="preserve">                日期：</w:t>
      </w:r>
      <w:r>
        <w:rPr>
          <w:rFonts w:hint="eastAsia" w:ascii="宋体" w:hAnsi="宋体"/>
          <w:sz w:val="24"/>
          <w:szCs w:val="24"/>
        </w:rPr>
        <w:tab/>
        <w:t xml:space="preserve">年</w:t>
      </w:r>
      <w:r>
        <w:rPr>
          <w:rFonts w:hint="eastAsia" w:ascii="宋体" w:hAnsi="宋体"/>
          <w:sz w:val="24"/>
          <w:szCs w:val="24"/>
        </w:rPr>
        <w:tab/>
        <w:t xml:space="preserve">  月</w:t>
      </w:r>
      <w:r>
        <w:rPr>
          <w:rFonts w:hint="eastAsia" w:ascii="宋体" w:hAnsi="宋体"/>
          <w:sz w:val="24"/>
          <w:szCs w:val="24"/>
        </w:rPr>
        <w:tab/>
        <w:t xml:space="preserve"> 日</w:t>
      </w:r>
      <w:r/>
    </w:p>
    <w:p>
      <w:pPr>
        <w:spacing w:line="500" w:lineRule="exact"/>
        <w:rPr>
          <w:rFonts w:ascii="宋体" w:hAnsi="宋体" w:cs="宋体"/>
          <w:b/>
          <w:bCs/>
          <w:sz w:val="24"/>
          <w:szCs w:val="24"/>
        </w:rPr>
      </w:pPr>
      <w:r>
        <w:rPr>
          <w:rFonts w:ascii="宋体" w:hAnsi="宋体" w:cs="宋体"/>
          <w:b/>
          <w:bCs/>
          <w:sz w:val="24"/>
          <w:szCs w:val="24"/>
        </w:rPr>
      </w:r>
      <w:r/>
    </w:p>
    <w:p>
      <w:pPr>
        <w:spacing w:line="500" w:lineRule="exact"/>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pStyle w:val="1047"/>
        <w:spacing w:line="360" w:lineRule="auto"/>
        <w:rPr>
          <w:rFonts w:ascii="宋体" w:hAnsi="宋体" w:eastAsia="宋体" w:cs="宋体"/>
          <w:bCs/>
          <w:sz w:val="24"/>
        </w:rPr>
      </w:pPr>
      <w:r/>
      <w:bookmarkStart w:id="200" w:name="_Toc219796291"/>
      <w:r>
        <w:rPr>
          <w:rFonts w:hint="eastAsia" w:ascii="宋体" w:hAnsi="宋体" w:eastAsia="宋体" w:cs="宋体"/>
          <w:bCs/>
          <w:sz w:val="44"/>
        </w:rPr>
        <w:t xml:space="preserve">第四章  采购需求</w:t>
      </w:r>
      <w:bookmarkEnd w:id="200"/>
      <w:r/>
      <w:r/>
    </w:p>
    <w:p>
      <w:pPr>
        <w:ind w:firstLine="480"/>
        <w:spacing w:line="360" w:lineRule="auto"/>
        <w:rPr>
          <w:rFonts w:ascii="宋体" w:hAnsi="宋体" w:cs="宋体"/>
          <w:sz w:val="24"/>
          <w:szCs w:val="24"/>
        </w:rPr>
      </w:pPr>
      <w:r/>
      <w:bookmarkStart w:id="201" w:name="_Toc26554093"/>
      <w:r/>
      <w:bookmarkStart w:id="202" w:name="_Toc49090575"/>
      <w:r/>
      <w:bookmarkEnd w:id="188"/>
      <w:r/>
      <w:bookmarkEnd w:id="189"/>
      <w:r/>
      <w:bookmarkEnd w:id="190"/>
      <w:r/>
      <w:bookmarkEnd w:id="191"/>
      <w:r>
        <w:rPr>
          <w:rFonts w:hint="eastAsia" w:ascii="宋体" w:hAnsi="宋体" w:cs="宋体"/>
          <w:sz w:val="24"/>
          <w:szCs w:val="24"/>
        </w:rPr>
        <w:t xml:space="preserve">请投标人在制作投标文件时仔细研究项目需求说明。投标人不能简单照搬照抄采购人项目需求说明中的技术、商务要求，必须作实事求是的响应。如照搬照抄项目需求说明中的技术、商务要求的，中标后供应商在同采购人签订合同和履约环节中不得提出异议，一切后果和损失由中标供应商承担。如投标人提供的货物和服务同采购人提出的项目需求说明中的技术、商务要求不同的，必须在《商务部分正负偏离表》和《技术部分正负偏离表》上明示，如不明示的视同完全响应。</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本项目设计单位已完成初步设计工作，包括详细方案、点位表、施工图、设计说明等，投标人如需获取详细设计内容，请在投标前与采购人签订保密协议后向采购人领取。中标人须严格按照采购人所提供的设计文件和施工图纸进行本项目的建设工作。中标人中标后须配合采购人、设计单位及监理单位，完成本项目的供电线路及通讯线路设计工作。本项目采购人提供给投标人的详细方案、点位表、施工图、设计说明等均为本招标文件的有效组成部分。</w:t>
      </w:r>
      <w:r/>
    </w:p>
    <w:p>
      <w:pPr>
        <w:ind w:firstLine="482"/>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中标人中标后必须提供符合招标文件要求的全部型号摄像机样品（中标后40天提供样机），同时提交检测报告，由采购人、监理、采购人技术服务代表负责样品的封样测试和检测工作。投标人投标时必须提供承诺函，承诺项目中采购的摄像机的设备型号、技术参数、关键部件及图像效果与样品完全一致，进场的检测报告与样品检测报告完全一致。</w:t>
      </w:r>
      <w:r/>
    </w:p>
    <w:p>
      <w:pPr>
        <w:ind w:firstLine="480"/>
        <w:spacing w:line="360" w:lineRule="auto"/>
        <w:rPr>
          <w:rFonts w:ascii="宋体" w:hAnsi="宋体" w:cs="宋体"/>
          <w:sz w:val="24"/>
          <w:szCs w:val="24"/>
        </w:rPr>
      </w:pPr>
      <w:r>
        <w:rPr>
          <w:rFonts w:hint="eastAsia" w:ascii="宋体" w:hAnsi="宋体" w:cs="宋体"/>
          <w:sz w:val="24"/>
          <w:szCs w:val="24"/>
        </w:rPr>
        <w:t xml:space="preserve">一、有关要求说明</w:t>
      </w:r>
      <w:r/>
    </w:p>
    <w:p>
      <w:pPr>
        <w:ind w:firstLine="482"/>
        <w:spacing w:line="360" w:lineRule="auto"/>
        <w:rPr>
          <w:rFonts w:ascii="宋体" w:hAnsi="宋体" w:cs="宋体"/>
          <w:sz w:val="24"/>
          <w:szCs w:val="24"/>
        </w:rPr>
      </w:pPr>
      <w:r>
        <w:rPr>
          <w:rFonts w:hint="eastAsia" w:ascii="宋体" w:hAnsi="宋体" w:cs="宋体"/>
          <w:b/>
          <w:sz w:val="24"/>
          <w:szCs w:val="24"/>
        </w:rPr>
        <w:t xml:space="preserve">1．主要技术参数：</w:t>
      </w:r>
      <w:r>
        <w:rPr>
          <w:rFonts w:hint="eastAsia" w:ascii="宋体" w:hAnsi="宋体" w:cs="宋体"/>
          <w:sz w:val="24"/>
          <w:szCs w:val="24"/>
        </w:rPr>
        <w:t xml:space="preserve">为鼓励不同品牌的充分竞争，如某主要技术参数属于个别品牌专有，则该主要技术参数不具有限制性，供应商可对该参数进行适当调整，并说明调整的理由。</w:t>
      </w:r>
      <w:r/>
    </w:p>
    <w:p>
      <w:pPr>
        <w:ind w:firstLine="482"/>
        <w:spacing w:line="360" w:lineRule="auto"/>
        <w:rPr>
          <w:rFonts w:ascii="宋体" w:hAnsi="宋体" w:cs="宋体"/>
          <w:sz w:val="24"/>
          <w:szCs w:val="24"/>
        </w:rPr>
      </w:pPr>
      <w:r>
        <w:rPr>
          <w:rFonts w:hint="eastAsia" w:ascii="宋体" w:hAnsi="宋体" w:cs="宋体"/>
          <w:b/>
          <w:sz w:val="24"/>
          <w:szCs w:val="24"/>
        </w:rPr>
        <w:t xml:space="preserve">2．绿色采购：</w:t>
      </w:r>
      <w:r>
        <w:rPr>
          <w:rFonts w:hint="eastAsia" w:ascii="宋体" w:hAnsi="宋体" w:cs="宋体"/>
          <w:sz w:val="24"/>
          <w:szCs w:val="24"/>
        </w:rPr>
        <w:t xml:space="preserve">依据政府采购节能产品、环境标志产品实施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482"/>
        <w:spacing w:line="360" w:lineRule="auto"/>
        <w:rPr>
          <w:rFonts w:ascii="宋体" w:hAnsi="宋体" w:cs="宋体"/>
          <w:sz w:val="24"/>
          <w:szCs w:val="24"/>
        </w:rPr>
      </w:pPr>
      <w:r>
        <w:rPr>
          <w:rFonts w:hint="eastAsia" w:ascii="宋体" w:hAnsi="宋体" w:cs="宋体"/>
          <w:b/>
          <w:sz w:val="24"/>
          <w:szCs w:val="24"/>
        </w:rPr>
        <w:t xml:space="preserve">3．产品要求：</w:t>
      </w:r>
      <w:r>
        <w:rPr>
          <w:rFonts w:hint="eastAsia" w:ascii="宋体" w:hAnsi="宋体" w:cs="宋体"/>
          <w:sz w:val="24"/>
          <w:szCs w:val="24"/>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0"/>
        <w:spacing w:line="360" w:lineRule="auto"/>
        <w:rPr>
          <w:rFonts w:ascii="宋体" w:hAnsi="宋体" w:cs="宋体"/>
          <w:sz w:val="24"/>
          <w:szCs w:val="24"/>
        </w:rPr>
      </w:pPr>
      <w:r>
        <w:rPr>
          <w:rFonts w:hint="eastAsia" w:ascii="宋体" w:hAnsi="宋体" w:cs="宋体"/>
          <w:sz w:val="24"/>
          <w:szCs w:val="24"/>
        </w:rPr>
        <w:t xml:space="preserve">二、项目具体需求说明</w:t>
      </w:r>
      <w:r/>
    </w:p>
    <w:p>
      <w:pPr>
        <w:ind w:firstLine="482"/>
        <w:jc w:val="left"/>
        <w:spacing w:line="360" w:lineRule="auto"/>
        <w:widowControl/>
        <w:rPr>
          <w:rFonts w:ascii="宋体" w:hAnsi="宋体" w:cs="宋体"/>
          <w:b/>
          <w:bCs/>
          <w:sz w:val="24"/>
          <w:szCs w:val="24"/>
        </w:rPr>
      </w:pPr>
      <w:r>
        <w:rPr>
          <w:rFonts w:hint="eastAsia" w:ascii="宋体" w:hAnsi="宋体" w:cs="宋体"/>
          <w:b/>
          <w:bCs/>
          <w:sz w:val="24"/>
          <w:szCs w:val="24"/>
        </w:rPr>
        <w:t xml:space="preserve">1、采购标的需实现的功能或者目标, 以及为落实政府采购政策需满足的要求</w:t>
      </w:r>
      <w:r/>
    </w:p>
    <w:p>
      <w:pPr>
        <w:ind w:firstLine="480"/>
        <w:spacing w:line="360" w:lineRule="auto"/>
        <w:rPr>
          <w:rFonts w:ascii="宋体" w:hAnsi="宋体" w:cs="宋体"/>
          <w:sz w:val="24"/>
          <w:szCs w:val="24"/>
        </w:rPr>
      </w:pPr>
      <w:r>
        <w:rPr>
          <w:rFonts w:hint="eastAsia" w:ascii="宋体" w:hAnsi="宋体" w:cs="宋体"/>
          <w:sz w:val="24"/>
          <w:szCs w:val="24"/>
        </w:rPr>
        <w:t xml:space="preserve">为进一步加强全区社会治安防控体系建设，提高对动态环境下风险隐患的掌控力，南通经济技术开发区启动“南通经济技术开发区推进全国社会治安防控体系示范城市创建项目标段7”。</w:t>
      </w:r>
      <w:r/>
    </w:p>
    <w:p>
      <w:pPr>
        <w:ind w:firstLine="482"/>
        <w:spacing w:line="360" w:lineRule="auto"/>
        <w:tabs>
          <w:tab w:val="left" w:pos="0" w:leader="none"/>
        </w:tabs>
        <w:rPr>
          <w:rFonts w:ascii="宋体" w:hAnsi="宋体" w:cs="宋体"/>
          <w:b/>
          <w:bCs/>
          <w:sz w:val="24"/>
          <w:szCs w:val="24"/>
        </w:rPr>
      </w:pPr>
      <w:r>
        <w:rPr>
          <w:rFonts w:hint="eastAsia" w:ascii="宋体" w:hAnsi="宋体" w:cs="宋体"/>
          <w:b/>
          <w:bCs/>
          <w:sz w:val="24"/>
          <w:szCs w:val="24"/>
        </w:rPr>
        <w:t xml:space="preserve">2、采购标的需执行的国家相关标准、行业标准、地方标准或者其他标准、规范</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1．本采购标的需执行的技术标准按国家标准执行，无国家标准的，按行业标准执行，无国家和行业标准的，按企业标准执行；</w:t>
      </w:r>
      <w:r/>
    </w:p>
    <w:p>
      <w:pPr>
        <w:ind w:firstLine="480"/>
        <w:spacing w:line="360" w:lineRule="auto"/>
        <w:rPr>
          <w:rFonts w:ascii="宋体" w:hAnsi="宋体" w:cs="宋体"/>
          <w:sz w:val="24"/>
          <w:szCs w:val="24"/>
        </w:rPr>
      </w:pPr>
      <w:r>
        <w:rPr>
          <w:rFonts w:hint="eastAsia" w:ascii="宋体" w:hAnsi="宋体" w:cs="宋体"/>
          <w:bCs/>
          <w:sz w:val="24"/>
          <w:szCs w:val="24"/>
        </w:rPr>
        <w:t xml:space="preserve">2．在需求文件中有特别要求的，按本项目需求详细说明文件中3.3.1贯彻执行法律、法规、标准规定的要求执行，并且符合现行的有关法律、法规的要求。</w:t>
      </w:r>
      <w:r/>
    </w:p>
    <w:p>
      <w:pPr>
        <w:ind w:firstLine="482"/>
        <w:spacing w:line="360" w:lineRule="auto"/>
        <w:tabs>
          <w:tab w:val="left" w:pos="0" w:leader="none"/>
        </w:tabs>
        <w:rPr>
          <w:rFonts w:ascii="宋体" w:hAnsi="宋体" w:cs="宋体"/>
          <w:b/>
          <w:bCs/>
          <w:sz w:val="24"/>
          <w:szCs w:val="24"/>
        </w:rPr>
      </w:pPr>
      <w:r>
        <w:rPr>
          <w:rFonts w:hint="eastAsia" w:ascii="宋体" w:hAnsi="宋体" w:cs="宋体"/>
          <w:b/>
          <w:bCs/>
          <w:sz w:val="24"/>
          <w:szCs w:val="24"/>
        </w:rPr>
        <w:t xml:space="preserve">3、采购标的需满足的质量、安全、技术规格、物理特性等要求</w:t>
      </w:r>
      <w:r/>
    </w:p>
    <w:p>
      <w:pPr>
        <w:pStyle w:val="832"/>
        <w:ind w:firstLine="482"/>
        <w:rPr>
          <w:rFonts w:ascii="宋体" w:hAnsi="宋体" w:eastAsia="宋体" w:cs="宋体"/>
          <w:b/>
          <w:bCs/>
          <w:sz w:val="24"/>
          <w:szCs w:val="24"/>
        </w:rPr>
      </w:pPr>
      <w:r>
        <w:rPr>
          <w:rFonts w:hint="eastAsia" w:ascii="宋体" w:hAnsi="宋体" w:eastAsia="宋体" w:cs="宋体"/>
          <w:b/>
          <w:bCs/>
          <w:sz w:val="24"/>
          <w:szCs w:val="24"/>
        </w:rPr>
        <w:t xml:space="preserve">3.1 项目概况</w:t>
      </w:r>
      <w:r/>
    </w:p>
    <w:p>
      <w:pPr>
        <w:ind w:firstLine="480"/>
        <w:spacing w:line="360" w:lineRule="auto"/>
        <w:rPr>
          <w:rFonts w:ascii="宋体" w:hAnsi="宋体"/>
          <w:sz w:val="24"/>
          <w:szCs w:val="24"/>
        </w:rPr>
      </w:pPr>
      <w:r>
        <w:rPr>
          <w:rFonts w:hint="eastAsia" w:ascii="宋体" w:hAnsi="宋体"/>
          <w:sz w:val="24"/>
          <w:szCs w:val="24"/>
        </w:rPr>
        <w:t xml:space="preserve">本项目主要内容包括</w:t>
      </w:r>
      <w:r>
        <w:rPr>
          <w:rFonts w:ascii="宋体" w:hAnsi="宋体"/>
          <w:sz w:val="24"/>
          <w:szCs w:val="24"/>
        </w:rPr>
        <w:t xml:space="preserve">2020</w:t>
      </w:r>
      <w:r>
        <w:rPr>
          <w:rFonts w:hint="eastAsia" w:ascii="宋体" w:hAnsi="宋体"/>
          <w:sz w:val="24"/>
          <w:szCs w:val="24"/>
        </w:rPr>
        <w:t xml:space="preserve">年建设的前端升级改造等，具体内容详见设计文件。</w:t>
      </w:r>
      <w:r/>
    </w:p>
    <w:p>
      <w:pPr>
        <w:pStyle w:val="832"/>
        <w:ind w:firstLine="482"/>
        <w:rPr>
          <w:rFonts w:ascii="宋体" w:hAnsi="宋体" w:eastAsia="宋体" w:cs="宋体"/>
          <w:b/>
          <w:bCs/>
          <w:sz w:val="24"/>
          <w:szCs w:val="24"/>
        </w:rPr>
      </w:pPr>
      <w:r>
        <w:rPr>
          <w:rFonts w:hint="eastAsia" w:ascii="宋体" w:hAnsi="宋体" w:eastAsia="宋体" w:cs="宋体"/>
          <w:b/>
          <w:bCs/>
          <w:sz w:val="24"/>
          <w:szCs w:val="24"/>
        </w:rPr>
        <w:t xml:space="preserve">3.2 具体建设内容</w:t>
      </w:r>
      <w:r/>
    </w:p>
    <w:p>
      <w:pPr>
        <w:pStyle w:val="833"/>
        <w:ind w:firstLine="482"/>
        <w:rPr>
          <w:rFonts w:ascii="宋体" w:hAnsi="宋体" w:eastAsia="宋体" w:cs="宋体"/>
          <w:sz w:val="24"/>
          <w:szCs w:val="24"/>
        </w:rPr>
      </w:pPr>
      <w:r>
        <w:rPr>
          <w:rFonts w:hint="eastAsia" w:ascii="宋体" w:hAnsi="宋体" w:eastAsia="宋体" w:cs="宋体"/>
          <w:sz w:val="24"/>
          <w:szCs w:val="24"/>
        </w:rPr>
        <w:t xml:space="preserve">3.2.1 前端点位改造</w:t>
      </w:r>
      <w:r/>
    </w:p>
    <w:p>
      <w:pPr>
        <w:pStyle w:val="834"/>
        <w:rPr>
          <w:rFonts w:ascii="宋体" w:hAnsi="宋体" w:eastAsia="宋体"/>
        </w:rPr>
      </w:pPr>
      <w:r>
        <w:rPr>
          <w:rFonts w:hint="eastAsia" w:ascii="宋体" w:hAnsi="宋体" w:eastAsia="宋体" w:cs="宋体"/>
        </w:rPr>
        <w:t xml:space="preserve">3.2.1.1 前</w:t>
      </w:r>
      <w:r>
        <w:rPr>
          <w:rFonts w:hint="eastAsia" w:ascii="宋体" w:hAnsi="宋体" w:eastAsia="宋体"/>
        </w:rPr>
        <w:t xml:space="preserve">端摄像机更换数量</w:t>
      </w:r>
      <w:r/>
    </w:p>
    <w:p>
      <w:pPr>
        <w:ind w:firstLine="420"/>
        <w:spacing w:line="360" w:lineRule="auto"/>
      </w:pPr>
      <w:r>
        <w:rPr>
          <w:rFonts w:hint="eastAsia" w:ascii="宋体" w:hAnsi="宋体"/>
          <w:sz w:val="24"/>
          <w:szCs w:val="24"/>
        </w:rPr>
        <w:t xml:space="preserve">本次更新 </w:t>
      </w:r>
      <w:r>
        <w:rPr>
          <w:rFonts w:ascii="宋体" w:hAnsi="宋体"/>
          <w:sz w:val="24"/>
          <w:szCs w:val="24"/>
        </w:rPr>
        <w:t xml:space="preserve">2020</w:t>
      </w:r>
      <w:r>
        <w:rPr>
          <w:rFonts w:hint="eastAsia" w:ascii="宋体" w:hAnsi="宋体"/>
          <w:sz w:val="24"/>
          <w:szCs w:val="24"/>
        </w:rPr>
        <w:t xml:space="preserve">年建设的前端监控设施，具体内容详见设计文件。</w:t>
      </w:r>
      <w:r/>
    </w:p>
    <w:p>
      <w:pPr>
        <w:pStyle w:val="834"/>
        <w:rPr>
          <w:rFonts w:ascii="宋体" w:hAnsi="宋体" w:eastAsia="宋体" w:cs="宋体"/>
        </w:rPr>
      </w:pPr>
      <w:r>
        <w:rPr>
          <w:rFonts w:hint="eastAsia" w:ascii="宋体" w:hAnsi="宋体" w:eastAsia="宋体" w:cs="宋体"/>
        </w:rPr>
        <w:t xml:space="preserve">3.2.1.2 老旧前端点位信号传输及供配电</w:t>
      </w:r>
      <w:r/>
    </w:p>
    <w:p>
      <w:pPr>
        <w:ind w:firstLine="480"/>
        <w:spacing w:line="360" w:lineRule="auto"/>
        <w:rPr>
          <w:rFonts w:ascii="宋体" w:hAnsi="宋体"/>
          <w:sz w:val="24"/>
          <w:szCs w:val="24"/>
        </w:rPr>
      </w:pPr>
      <w:r>
        <w:rPr>
          <w:rFonts w:hint="eastAsia" w:ascii="宋体" w:hAnsi="宋体"/>
          <w:sz w:val="24"/>
          <w:szCs w:val="24"/>
        </w:rPr>
        <w:t xml:space="preserve">对</w:t>
      </w:r>
      <w:r>
        <w:rPr>
          <w:rFonts w:ascii="宋体" w:hAnsi="宋体"/>
          <w:sz w:val="24"/>
          <w:szCs w:val="24"/>
        </w:rPr>
        <w:t xml:space="preserve">2020年建设的通信线路</w:t>
      </w:r>
      <w:r>
        <w:rPr>
          <w:rFonts w:hint="eastAsia" w:ascii="宋体" w:hAnsi="宋体"/>
          <w:sz w:val="24"/>
          <w:szCs w:val="24"/>
        </w:rPr>
        <w:t xml:space="preserve">、供电线路</w:t>
      </w:r>
      <w:r>
        <w:rPr>
          <w:rFonts w:ascii="宋体" w:hAnsi="宋体"/>
          <w:sz w:val="24"/>
          <w:szCs w:val="24"/>
        </w:rPr>
        <w:t xml:space="preserve">进行维护，维护期限为</w:t>
      </w:r>
      <w:r>
        <w:rPr>
          <w:rFonts w:hint="eastAsia" w:ascii="宋体" w:hAnsi="宋体"/>
          <w:sz w:val="24"/>
          <w:szCs w:val="24"/>
        </w:rPr>
        <w:t xml:space="preserve">5年。 </w:t>
      </w:r>
      <w:r/>
    </w:p>
    <w:p>
      <w:pPr>
        <w:pStyle w:val="833"/>
        <w:rPr>
          <w:rFonts w:ascii="宋体" w:hAnsi="宋体" w:eastAsia="宋体" w:cs="宋体"/>
          <w:sz w:val="24"/>
          <w:szCs w:val="24"/>
        </w:rPr>
      </w:pPr>
      <w:r>
        <w:rPr>
          <w:rFonts w:hint="eastAsia" w:ascii="宋体" w:hAnsi="宋体" w:eastAsia="宋体" w:cs="宋体"/>
          <w:sz w:val="24"/>
          <w:szCs w:val="24"/>
        </w:rPr>
        <w:t xml:space="preserve">3.2.</w:t>
      </w:r>
      <w:r>
        <w:rPr>
          <w:rFonts w:ascii="宋体" w:hAnsi="宋体" w:eastAsia="宋体" w:cs="宋体"/>
          <w:sz w:val="24"/>
          <w:szCs w:val="24"/>
        </w:rPr>
        <w:t xml:space="preserve">2</w:t>
      </w:r>
      <w:r>
        <w:rPr>
          <w:rFonts w:hint="eastAsia" w:ascii="宋体" w:hAnsi="宋体" w:eastAsia="宋体" w:cs="宋体"/>
          <w:sz w:val="24"/>
          <w:szCs w:val="24"/>
        </w:rPr>
        <w:t xml:space="preserve"> 中心平台部分</w:t>
      </w:r>
      <w:r/>
    </w:p>
    <w:p>
      <w:pPr>
        <w:ind w:firstLine="480"/>
        <w:spacing w:line="360" w:lineRule="auto"/>
        <w:rPr>
          <w:rFonts w:ascii="宋体" w:hAnsi="宋体"/>
          <w:sz w:val="24"/>
          <w:szCs w:val="24"/>
        </w:rPr>
      </w:pPr>
      <w:r>
        <w:rPr>
          <w:rFonts w:hint="eastAsia" w:ascii="宋体" w:hAnsi="宋体"/>
          <w:sz w:val="24"/>
          <w:szCs w:val="24"/>
        </w:rPr>
        <w:t xml:space="preserve">具体内容详见设计文件。</w:t>
      </w:r>
      <w:r/>
    </w:p>
    <w:p>
      <w:pPr>
        <w:pStyle w:val="833"/>
        <w:rPr>
          <w:rFonts w:ascii="宋体" w:hAnsi="宋体" w:eastAsia="宋体" w:cs="宋体"/>
          <w:sz w:val="24"/>
          <w:szCs w:val="24"/>
        </w:rPr>
      </w:pPr>
      <w:r>
        <w:rPr>
          <w:rFonts w:hint="eastAsia" w:ascii="宋体" w:hAnsi="宋体" w:eastAsia="宋体" w:cs="宋体"/>
          <w:sz w:val="24"/>
          <w:szCs w:val="24"/>
        </w:rPr>
        <w:t xml:space="preserve">3.2.</w:t>
      </w:r>
      <w:r>
        <w:rPr>
          <w:rFonts w:ascii="宋体" w:hAnsi="宋体" w:eastAsia="宋体" w:cs="宋体"/>
          <w:sz w:val="24"/>
          <w:szCs w:val="24"/>
        </w:rPr>
        <w:t xml:space="preserve">3</w:t>
      </w:r>
      <w:r>
        <w:rPr>
          <w:rFonts w:hint="eastAsia" w:ascii="宋体" w:hAnsi="宋体" w:eastAsia="宋体" w:cs="宋体"/>
          <w:sz w:val="24"/>
          <w:szCs w:val="24"/>
        </w:rPr>
        <w:t xml:space="preserve"> 重点部位新增点位</w:t>
      </w:r>
      <w:r/>
    </w:p>
    <w:p>
      <w:pPr>
        <w:ind w:firstLine="480"/>
        <w:spacing w:line="360" w:lineRule="auto"/>
        <w:rPr>
          <w:rFonts w:ascii="宋体" w:hAnsi="宋体"/>
          <w:sz w:val="24"/>
          <w:szCs w:val="24"/>
        </w:rPr>
      </w:pPr>
      <w:r>
        <w:rPr>
          <w:rFonts w:hint="eastAsia" w:ascii="宋体" w:hAnsi="宋体"/>
          <w:sz w:val="24"/>
          <w:szCs w:val="24"/>
        </w:rPr>
        <w:t xml:space="preserve">具体内容详见设计文件。</w:t>
      </w:r>
      <w:r/>
    </w:p>
    <w:p>
      <w:pPr>
        <w:pStyle w:val="832"/>
        <w:ind w:firstLine="482"/>
        <w:rPr>
          <w:rFonts w:ascii="宋体" w:hAnsi="宋体" w:eastAsia="宋体" w:cs="宋体"/>
          <w:b/>
          <w:bCs/>
          <w:sz w:val="24"/>
          <w:szCs w:val="24"/>
        </w:rPr>
      </w:pPr>
      <w:r>
        <w:rPr>
          <w:rFonts w:hint="eastAsia" w:ascii="宋体" w:hAnsi="宋体" w:eastAsia="宋体" w:cs="宋体"/>
          <w:b/>
          <w:bCs/>
          <w:sz w:val="24"/>
          <w:szCs w:val="24"/>
        </w:rPr>
        <w:t xml:space="preserve">3.3建设依据</w:t>
      </w:r>
      <w:r/>
    </w:p>
    <w:p>
      <w:pPr>
        <w:pStyle w:val="833"/>
        <w:ind w:firstLine="482"/>
        <w:rPr>
          <w:rFonts w:ascii="宋体" w:hAnsi="宋体" w:eastAsia="宋体" w:cs="宋体"/>
          <w:sz w:val="24"/>
          <w:szCs w:val="24"/>
        </w:rPr>
      </w:pPr>
      <w:r>
        <w:rPr>
          <w:rFonts w:hint="eastAsia" w:ascii="宋体" w:hAnsi="宋体" w:eastAsia="宋体" w:cs="宋体"/>
          <w:sz w:val="24"/>
          <w:szCs w:val="24"/>
        </w:rPr>
        <w:t xml:space="preserve">3.3.1 贯彻执行法律、法规、标准</w:t>
      </w:r>
      <w:r/>
    </w:p>
    <w:p>
      <w:pPr>
        <w:ind w:firstLine="480"/>
        <w:spacing w:line="360" w:lineRule="auto"/>
        <w:rPr>
          <w:rFonts w:ascii="宋体" w:hAnsi="宋体"/>
          <w:sz w:val="24"/>
          <w:szCs w:val="24"/>
        </w:rPr>
      </w:pPr>
      <w:r>
        <w:rPr>
          <w:rFonts w:hint="eastAsia" w:ascii="宋体" w:hAnsi="宋体"/>
          <w:sz w:val="24"/>
          <w:szCs w:val="24"/>
        </w:rPr>
        <w:t xml:space="preserve">本工程建设全过程中必须认真贯彻执行国家和地方法律、法规；现行的国家标准及公安部等要求；标准中强制性条文必须认真贯彻执行。</w:t>
      </w:r>
      <w:r/>
    </w:p>
    <w:p>
      <w:pPr>
        <w:pStyle w:val="834"/>
        <w:ind w:firstLine="482"/>
        <w:rPr>
          <w:rFonts w:ascii="宋体" w:hAnsi="宋体" w:eastAsia="宋体" w:cs="宋体"/>
        </w:rPr>
      </w:pPr>
      <w:r>
        <w:rPr>
          <w:rFonts w:hint="eastAsia" w:ascii="宋体" w:hAnsi="宋体" w:eastAsia="宋体" w:cs="宋体"/>
        </w:rPr>
        <w:t xml:space="preserve">3.3.1.1 中华人民共和国法律法规</w:t>
      </w:r>
      <w:r/>
    </w:p>
    <w:p>
      <w:pPr>
        <w:ind w:firstLine="480"/>
        <w:spacing w:line="360" w:lineRule="auto"/>
        <w:rPr>
          <w:rFonts w:ascii="宋体" w:hAnsi="宋体"/>
          <w:sz w:val="24"/>
          <w:szCs w:val="24"/>
        </w:rPr>
      </w:pPr>
      <w:r>
        <w:rPr>
          <w:rFonts w:hint="eastAsia" w:ascii="宋体" w:hAnsi="宋体"/>
          <w:sz w:val="24"/>
          <w:szCs w:val="24"/>
        </w:rPr>
        <w:t xml:space="preserve">《中华人民共和国安全生产法(中华人民共和国主席令第十三号)》</w:t>
      </w:r>
      <w:r/>
    </w:p>
    <w:p>
      <w:pPr>
        <w:ind w:firstLine="480"/>
        <w:spacing w:line="360" w:lineRule="auto"/>
        <w:rPr>
          <w:rFonts w:ascii="宋体" w:hAnsi="宋体"/>
          <w:sz w:val="24"/>
          <w:szCs w:val="24"/>
        </w:rPr>
      </w:pPr>
      <w:r>
        <w:rPr>
          <w:rFonts w:hint="eastAsia" w:ascii="宋体" w:hAnsi="宋体"/>
          <w:sz w:val="24"/>
          <w:szCs w:val="24"/>
        </w:rPr>
        <w:t xml:space="preserve">《建设工程质量管理条例(中华人民共和国国务院令第279号)》</w:t>
      </w:r>
      <w:r/>
    </w:p>
    <w:p>
      <w:pPr>
        <w:ind w:firstLine="480"/>
        <w:spacing w:line="360" w:lineRule="auto"/>
        <w:rPr>
          <w:rFonts w:ascii="宋体" w:hAnsi="宋体"/>
          <w:sz w:val="24"/>
          <w:szCs w:val="24"/>
        </w:rPr>
      </w:pPr>
      <w:r>
        <w:rPr>
          <w:rFonts w:hint="eastAsia" w:ascii="宋体" w:hAnsi="宋体"/>
          <w:sz w:val="24"/>
          <w:szCs w:val="24"/>
        </w:rPr>
        <w:t xml:space="preserve">《建设工程安全生产管理条例(中华人民共和国国务院令第393号)》</w:t>
      </w:r>
      <w:r/>
    </w:p>
    <w:p>
      <w:pPr>
        <w:ind w:firstLine="480"/>
        <w:spacing w:line="360" w:lineRule="auto"/>
        <w:rPr>
          <w:rFonts w:ascii="宋体" w:hAnsi="宋体"/>
          <w:sz w:val="24"/>
          <w:szCs w:val="24"/>
        </w:rPr>
      </w:pPr>
      <w:r>
        <w:rPr>
          <w:rFonts w:hint="eastAsia" w:ascii="宋体" w:hAnsi="宋体"/>
          <w:sz w:val="24"/>
          <w:szCs w:val="24"/>
        </w:rPr>
        <w:t xml:space="preserve">《公共安全视频图像信息系统管理条例(中华人民共和国国务院令第799号)》</w:t>
      </w:r>
      <w:r/>
    </w:p>
    <w:p>
      <w:pPr>
        <w:pStyle w:val="834"/>
        <w:ind w:firstLine="482"/>
        <w:rPr>
          <w:rFonts w:ascii="宋体" w:hAnsi="宋体" w:eastAsia="宋体" w:cs="宋体"/>
        </w:rPr>
      </w:pPr>
      <w:r>
        <w:rPr>
          <w:rFonts w:hint="eastAsia" w:ascii="宋体" w:hAnsi="宋体" w:eastAsia="宋体" w:cs="宋体"/>
        </w:rPr>
        <w:t xml:space="preserve">3.3.1.2 中华人民共和国国家标准</w:t>
      </w:r>
      <w:r/>
    </w:p>
    <w:p>
      <w:pPr>
        <w:ind w:firstLine="480"/>
        <w:spacing w:line="360" w:lineRule="auto"/>
        <w:rPr>
          <w:rFonts w:ascii="宋体" w:hAnsi="宋体"/>
          <w:sz w:val="24"/>
          <w:szCs w:val="24"/>
        </w:rPr>
      </w:pPr>
      <w:r>
        <w:rPr>
          <w:rFonts w:hint="eastAsia" w:ascii="宋体" w:hAnsi="宋体"/>
          <w:sz w:val="24"/>
          <w:szCs w:val="24"/>
        </w:rPr>
        <w:t xml:space="preserve">《建筑电气工程施工质量验收规范</w:t>
      </w:r>
      <w:r>
        <w:rPr>
          <w:rFonts w:ascii="宋体" w:hAnsi="宋体"/>
          <w:sz w:val="24"/>
          <w:szCs w:val="24"/>
        </w:rPr>
        <w:t xml:space="preserve">(GB 50303-2015)</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《安全防范工程技术标准（</w:t>
      </w:r>
      <w:r>
        <w:rPr>
          <w:rFonts w:ascii="宋体" w:hAnsi="宋体"/>
          <w:sz w:val="24"/>
          <w:szCs w:val="24"/>
        </w:rPr>
        <w:t xml:space="preserve">GB 50348-2018</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《视频安防监控系统工程设计规范</w:t>
      </w:r>
      <w:r>
        <w:rPr>
          <w:rFonts w:ascii="宋体" w:hAnsi="宋体"/>
          <w:sz w:val="24"/>
          <w:szCs w:val="24"/>
        </w:rPr>
        <w:t xml:space="preserve">(GB 50395-2007)</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《智能建筑工程施工规范</w:t>
      </w:r>
      <w:r>
        <w:rPr>
          <w:rFonts w:ascii="宋体" w:hAnsi="宋体"/>
          <w:sz w:val="24"/>
          <w:szCs w:val="24"/>
        </w:rPr>
        <w:t xml:space="preserve">(GB 50606-2015)</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《建筑施工安全技术统一规范</w:t>
      </w:r>
      <w:r>
        <w:rPr>
          <w:rFonts w:ascii="宋体" w:hAnsi="宋体"/>
          <w:sz w:val="24"/>
          <w:szCs w:val="24"/>
        </w:rPr>
        <w:t xml:space="preserve">(GB 50870-2013)</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《通信线路工程验收规范</w:t>
      </w:r>
      <w:r>
        <w:rPr>
          <w:rFonts w:ascii="宋体" w:hAnsi="宋体"/>
          <w:sz w:val="24"/>
          <w:szCs w:val="24"/>
        </w:rPr>
        <w:t xml:space="preserve">(GB 51171-2016)</w:t>
      </w:r>
      <w:r>
        <w:rPr>
          <w:rFonts w:hint="eastAsia" w:ascii="宋体" w:hAnsi="宋体"/>
          <w:sz w:val="24"/>
          <w:szCs w:val="24"/>
        </w:rPr>
        <w:t xml:space="preserve">》</w:t>
      </w:r>
      <w:r/>
    </w:p>
    <w:p>
      <w:pPr>
        <w:spacing w:line="360" w:lineRule="auto"/>
        <w:rPr>
          <w:rFonts w:ascii="宋体" w:hAnsi="宋体"/>
          <w:sz w:val="24"/>
          <w:szCs w:val="24"/>
        </w:rPr>
      </w:pPr>
      <w:r>
        <w:rPr>
          <w:rFonts w:ascii="宋体" w:hAnsi="宋体"/>
          <w:sz w:val="24"/>
          <w:szCs w:val="24"/>
        </w:rPr>
        <w:t xml:space="preserve"></w:t>
      </w:r>
      <w:r>
        <w:rPr>
          <w:rFonts w:ascii="宋体" w:hAnsi="宋体"/>
          <w:sz w:val="24"/>
          <w:szCs w:val="24"/>
        </w:rPr>
        <w:tab/>
      </w:r>
      <w:r>
        <w:rPr>
          <w:rFonts w:hint="eastAsia" w:ascii="宋体" w:hAnsi="宋体"/>
          <w:sz w:val="24"/>
          <w:szCs w:val="24"/>
        </w:rPr>
        <w:t xml:space="preserve">《民用建筑电气设计标准</w:t>
      </w:r>
      <w:r>
        <w:rPr>
          <w:rFonts w:ascii="宋体" w:hAnsi="宋体"/>
          <w:sz w:val="24"/>
          <w:szCs w:val="24"/>
        </w:rPr>
        <w:t xml:space="preserve">(GB 51348-2019)</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《安全防范工程通用规范》（</w:t>
      </w:r>
      <w:r>
        <w:rPr>
          <w:rFonts w:ascii="宋体" w:hAnsi="宋体"/>
          <w:sz w:val="24"/>
          <w:szCs w:val="24"/>
        </w:rPr>
        <w:t xml:space="preserve">GB 55029-2022</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《安全防范视频监控联网系统信息传输、交换、控制技术要求</w:t>
      </w:r>
      <w:r>
        <w:rPr>
          <w:rFonts w:ascii="宋体" w:hAnsi="宋体"/>
          <w:sz w:val="24"/>
          <w:szCs w:val="24"/>
        </w:rPr>
        <w:t xml:space="preserve">(GB/T 28181-20</w:t>
      </w:r>
      <w:r>
        <w:rPr>
          <w:rFonts w:hint="eastAsia" w:ascii="宋体" w:hAnsi="宋体"/>
          <w:sz w:val="24"/>
          <w:szCs w:val="24"/>
        </w:rPr>
        <w:t xml:space="preserve">22</w:t>
      </w:r>
      <w:r>
        <w:rPr>
          <w:rFonts w:ascii="宋体" w:hAnsi="宋体"/>
          <w:sz w:val="24"/>
          <w:szCs w:val="24"/>
        </w:rPr>
        <w:t xml:space="preserve">)</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《安全防范视频监控人脸识别系统技术要求</w:t>
      </w:r>
      <w:r>
        <w:rPr>
          <w:rFonts w:ascii="宋体" w:hAnsi="宋体"/>
          <w:sz w:val="24"/>
          <w:szCs w:val="24"/>
        </w:rPr>
        <w:t xml:space="preserve">(GB/T 31488-2015)</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《通信管道工程施工及验收规范</w:t>
      </w:r>
      <w:r>
        <w:rPr>
          <w:rFonts w:ascii="宋体" w:hAnsi="宋体"/>
          <w:sz w:val="24"/>
          <w:szCs w:val="24"/>
        </w:rPr>
        <w:t xml:space="preserve">(GB/T 50374-20</w:t>
      </w:r>
      <w:r>
        <w:rPr>
          <w:rFonts w:hint="eastAsia" w:ascii="宋体" w:hAnsi="宋体"/>
          <w:sz w:val="24"/>
          <w:szCs w:val="24"/>
        </w:rPr>
        <w:t xml:space="preserve">18</w:t>
      </w:r>
      <w:r>
        <w:rPr>
          <w:rFonts w:ascii="宋体" w:hAnsi="宋体"/>
          <w:sz w:val="24"/>
          <w:szCs w:val="24"/>
        </w:rPr>
        <w:t xml:space="preserve">)</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《建筑施工组织设计规范</w:t>
      </w:r>
      <w:r>
        <w:rPr>
          <w:rFonts w:ascii="宋体" w:hAnsi="宋体"/>
          <w:sz w:val="24"/>
          <w:szCs w:val="24"/>
        </w:rPr>
        <w:t xml:space="preserve"> (GB/T 50502-2009)</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《建筑电气制图标准</w:t>
      </w:r>
      <w:r>
        <w:rPr>
          <w:rFonts w:ascii="宋体" w:hAnsi="宋体"/>
          <w:sz w:val="24"/>
          <w:szCs w:val="24"/>
        </w:rPr>
        <w:t xml:space="preserve">(GB/T 50786-2012)</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《安全防范系统供电技术要求</w:t>
      </w:r>
      <w:r>
        <w:rPr>
          <w:rFonts w:ascii="宋体" w:hAnsi="宋体"/>
          <w:sz w:val="24"/>
          <w:szCs w:val="24"/>
        </w:rPr>
        <w:t xml:space="preserve">(GB/T 15408-2011)</w:t>
      </w:r>
      <w:r>
        <w:rPr>
          <w:rFonts w:hint="eastAsia" w:ascii="宋体" w:hAnsi="宋体"/>
          <w:sz w:val="24"/>
          <w:szCs w:val="24"/>
        </w:rPr>
        <w:t xml:space="preserve">》</w:t>
      </w:r>
      <w:r/>
    </w:p>
    <w:p>
      <w:pPr>
        <w:pStyle w:val="834"/>
        <w:ind w:firstLine="482"/>
        <w:rPr>
          <w:rFonts w:ascii="宋体" w:hAnsi="宋体" w:eastAsia="宋体" w:cs="宋体"/>
        </w:rPr>
      </w:pPr>
      <w:r>
        <w:rPr>
          <w:rFonts w:hint="eastAsia" w:ascii="宋体" w:hAnsi="宋体" w:eastAsia="宋体" w:cs="宋体"/>
        </w:rPr>
        <w:t xml:space="preserve">3.3.1.3 行业标准</w:t>
      </w:r>
      <w:r/>
    </w:p>
    <w:p>
      <w:pPr>
        <w:ind w:firstLine="480"/>
        <w:spacing w:line="360" w:lineRule="auto"/>
        <w:rPr>
          <w:rFonts w:ascii="宋体" w:hAnsi="宋体"/>
          <w:sz w:val="24"/>
          <w:szCs w:val="24"/>
        </w:rPr>
      </w:pPr>
      <w:r>
        <w:rPr>
          <w:rFonts w:hint="eastAsia" w:ascii="宋体" w:hAnsi="宋体"/>
          <w:sz w:val="24"/>
          <w:szCs w:val="24"/>
        </w:rPr>
        <w:t xml:space="preserve">《安全防范系统通用图形符号(GA/T 74-2000)》</w:t>
      </w:r>
      <w:r/>
    </w:p>
    <w:p>
      <w:pPr>
        <w:ind w:firstLine="480"/>
        <w:spacing w:line="360" w:lineRule="auto"/>
        <w:rPr>
          <w:rFonts w:ascii="宋体" w:hAnsi="宋体"/>
          <w:sz w:val="24"/>
          <w:szCs w:val="24"/>
        </w:rPr>
      </w:pPr>
      <w:r>
        <w:rPr>
          <w:rFonts w:hint="eastAsia" w:ascii="宋体" w:hAnsi="宋体"/>
          <w:sz w:val="24"/>
          <w:szCs w:val="24"/>
        </w:rPr>
        <w:t xml:space="preserve">《安全防范工程程序与要求(GA/T 75-1994)》</w:t>
      </w:r>
      <w:r/>
    </w:p>
    <w:p>
      <w:pPr>
        <w:ind w:firstLine="480"/>
        <w:spacing w:line="360" w:lineRule="auto"/>
        <w:rPr>
          <w:rFonts w:ascii="宋体" w:hAnsi="宋体"/>
          <w:sz w:val="24"/>
          <w:szCs w:val="24"/>
        </w:rPr>
      </w:pPr>
      <w:r>
        <w:rPr>
          <w:rFonts w:hint="eastAsia" w:ascii="宋体" w:hAnsi="宋体"/>
          <w:sz w:val="24"/>
          <w:szCs w:val="24"/>
        </w:rPr>
        <w:t xml:space="preserve">《安全防范系统验收规则(GA 308-2001)》</w:t>
      </w:r>
      <w:r/>
    </w:p>
    <w:p>
      <w:pPr>
        <w:ind w:firstLine="480"/>
        <w:spacing w:line="360" w:lineRule="auto"/>
        <w:rPr>
          <w:rFonts w:ascii="宋体" w:hAnsi="宋体"/>
          <w:sz w:val="24"/>
          <w:szCs w:val="24"/>
        </w:rPr>
      </w:pPr>
      <w:r>
        <w:rPr>
          <w:rFonts w:hint="eastAsia" w:ascii="宋体" w:hAnsi="宋体"/>
          <w:sz w:val="24"/>
          <w:szCs w:val="24"/>
        </w:rPr>
        <w:t xml:space="preserve">《视频安防监控系统技术要求(GA/T 367-2001)》</w:t>
      </w:r>
      <w:r/>
    </w:p>
    <w:p>
      <w:pPr>
        <w:ind w:firstLine="480"/>
        <w:spacing w:line="360" w:lineRule="auto"/>
        <w:rPr>
          <w:rFonts w:ascii="宋体" w:hAnsi="宋体"/>
          <w:sz w:val="24"/>
          <w:szCs w:val="24"/>
        </w:rPr>
      </w:pPr>
      <w:r>
        <w:rPr>
          <w:rFonts w:hint="eastAsia" w:ascii="宋体" w:hAnsi="宋体"/>
          <w:sz w:val="24"/>
          <w:szCs w:val="24"/>
        </w:rPr>
        <w:t xml:space="preserve">《安全防范系统雷电浪涌防护技术要求(GA/T 670-2006)》</w:t>
      </w:r>
      <w:r/>
    </w:p>
    <w:p>
      <w:pPr>
        <w:ind w:firstLine="480"/>
        <w:spacing w:line="360" w:lineRule="auto"/>
        <w:rPr>
          <w:rFonts w:ascii="宋体" w:hAnsi="宋体"/>
          <w:sz w:val="24"/>
          <w:szCs w:val="24"/>
        </w:rPr>
      </w:pPr>
      <w:r>
        <w:rPr>
          <w:rFonts w:hint="eastAsia" w:ascii="宋体" w:hAnsi="宋体"/>
          <w:sz w:val="24"/>
          <w:szCs w:val="24"/>
        </w:rPr>
        <w:t xml:space="preserve">《安全防范系统维护保养规范(GA/T 1081-2020)》</w:t>
      </w:r>
      <w:r/>
    </w:p>
    <w:p>
      <w:pPr>
        <w:ind w:firstLine="480"/>
        <w:spacing w:line="360" w:lineRule="auto"/>
        <w:rPr>
          <w:rFonts w:ascii="宋体" w:hAnsi="宋体"/>
          <w:sz w:val="24"/>
          <w:szCs w:val="24"/>
        </w:rPr>
      </w:pPr>
      <w:r>
        <w:rPr>
          <w:rFonts w:hint="eastAsia" w:ascii="宋体" w:hAnsi="宋体"/>
          <w:sz w:val="24"/>
          <w:szCs w:val="24"/>
        </w:rPr>
        <w:t xml:space="preserve">《出入口控制人脸识别系统技术要求(GA/T 1093-2023)》</w:t>
      </w:r>
      <w:r/>
    </w:p>
    <w:p>
      <w:pPr>
        <w:ind w:firstLine="480"/>
        <w:spacing w:line="360" w:lineRule="auto"/>
        <w:rPr>
          <w:rFonts w:ascii="宋体" w:hAnsi="宋体"/>
          <w:sz w:val="24"/>
          <w:szCs w:val="24"/>
        </w:rPr>
      </w:pPr>
      <w:r>
        <w:rPr>
          <w:rFonts w:hint="eastAsia" w:ascii="宋体" w:hAnsi="宋体"/>
          <w:sz w:val="24"/>
          <w:szCs w:val="24"/>
        </w:rPr>
        <w:t xml:space="preserve">《安全防范系统光端机技术要求(GA/T 1178-2014)》</w:t>
      </w:r>
      <w:r/>
    </w:p>
    <w:p>
      <w:pPr>
        <w:ind w:firstLine="480"/>
        <w:spacing w:line="360" w:lineRule="auto"/>
        <w:rPr>
          <w:rFonts w:ascii="宋体" w:hAnsi="宋体"/>
          <w:sz w:val="24"/>
          <w:szCs w:val="24"/>
        </w:rPr>
      </w:pPr>
      <w:r>
        <w:rPr>
          <w:rFonts w:hint="eastAsia" w:ascii="宋体" w:hAnsi="宋体"/>
          <w:sz w:val="24"/>
          <w:szCs w:val="24"/>
        </w:rPr>
        <w:t xml:space="preserve">《安全防范工程技术文件编制深度要求(GA/T 1185-2014)》</w:t>
      </w:r>
      <w:r/>
    </w:p>
    <w:p>
      <w:pPr>
        <w:ind w:firstLine="480"/>
        <w:spacing w:line="360" w:lineRule="auto"/>
        <w:rPr>
          <w:rFonts w:ascii="宋体" w:hAnsi="宋体"/>
          <w:sz w:val="24"/>
          <w:szCs w:val="24"/>
        </w:rPr>
      </w:pPr>
      <w:r>
        <w:rPr>
          <w:rFonts w:hint="eastAsia" w:ascii="宋体" w:hAnsi="宋体"/>
          <w:sz w:val="24"/>
          <w:szCs w:val="24"/>
        </w:rPr>
        <w:t xml:space="preserve">《安全防范高清视频监控系统技术要求(GA/T 1211-2014)》</w:t>
      </w:r>
      <w:r/>
    </w:p>
    <w:p>
      <w:pPr>
        <w:ind w:firstLine="480"/>
        <w:spacing w:line="360" w:lineRule="auto"/>
        <w:rPr>
          <w:rFonts w:ascii="宋体" w:hAnsi="宋体"/>
          <w:sz w:val="24"/>
          <w:szCs w:val="24"/>
        </w:rPr>
      </w:pPr>
      <w:r>
        <w:rPr>
          <w:rFonts w:hint="eastAsia" w:ascii="宋体" w:hAnsi="宋体"/>
          <w:sz w:val="24"/>
          <w:szCs w:val="24"/>
        </w:rPr>
        <w:t xml:space="preserve">《安防线缆(GA/T 1297-2021)》</w:t>
      </w:r>
      <w:r/>
    </w:p>
    <w:p>
      <w:pPr>
        <w:ind w:firstLine="480"/>
        <w:spacing w:line="360" w:lineRule="auto"/>
        <w:rPr>
          <w:rFonts w:ascii="宋体" w:hAnsi="宋体"/>
          <w:sz w:val="24"/>
          <w:szCs w:val="24"/>
        </w:rPr>
      </w:pPr>
      <w:r>
        <w:rPr>
          <w:rFonts w:hint="eastAsia" w:ascii="宋体" w:hAnsi="宋体"/>
          <w:sz w:val="24"/>
          <w:szCs w:val="24"/>
        </w:rPr>
        <w:t xml:space="preserve">《视频监控摄像机防护罩通用技术要求(GA/T 1353-2018)》</w:t>
      </w:r>
      <w:r/>
    </w:p>
    <w:p>
      <w:pPr>
        <w:ind w:firstLine="480"/>
        <w:spacing w:line="360" w:lineRule="auto"/>
        <w:rPr>
          <w:rFonts w:ascii="宋体" w:hAnsi="宋体"/>
          <w:sz w:val="24"/>
          <w:szCs w:val="24"/>
        </w:rPr>
      </w:pPr>
      <w:r>
        <w:rPr>
          <w:rFonts w:hint="eastAsia" w:ascii="宋体" w:hAnsi="宋体"/>
          <w:sz w:val="24"/>
          <w:szCs w:val="24"/>
        </w:rPr>
        <w:t xml:space="preserve">《安防线缆应用技术要求(GA/T 1406-2023)》</w:t>
      </w:r>
      <w:r/>
    </w:p>
    <w:p>
      <w:pPr>
        <w:pStyle w:val="834"/>
        <w:ind w:firstLine="482"/>
        <w:rPr>
          <w:rFonts w:ascii="宋体" w:hAnsi="宋体" w:eastAsia="宋体" w:cs="宋体"/>
        </w:rPr>
      </w:pPr>
      <w:r>
        <w:rPr>
          <w:rFonts w:hint="eastAsia" w:ascii="宋体" w:hAnsi="宋体" w:eastAsia="宋体" w:cs="宋体"/>
        </w:rPr>
        <w:t xml:space="preserve">3.3.1.4 地方标准</w:t>
      </w:r>
      <w:r/>
    </w:p>
    <w:p>
      <w:pPr>
        <w:ind w:firstLine="480"/>
        <w:spacing w:line="360" w:lineRule="auto"/>
      </w:pPr>
      <w:r>
        <w:rPr>
          <w:rFonts w:hint="eastAsia" w:ascii="宋体" w:hAnsi="宋体"/>
          <w:sz w:val="24"/>
          <w:szCs w:val="24"/>
        </w:rPr>
        <w:t xml:space="preserve">《安全防范视频图像系统维护保养规范(DB3206/T 1001-2019)》（南通市地方标准）</w:t>
      </w:r>
      <w:r/>
    </w:p>
    <w:p>
      <w:pPr>
        <w:pStyle w:val="833"/>
        <w:ind w:firstLine="482"/>
        <w:rPr>
          <w:rFonts w:ascii="宋体" w:hAnsi="宋体" w:eastAsia="宋体" w:cs="宋体"/>
          <w:sz w:val="24"/>
          <w:szCs w:val="24"/>
        </w:rPr>
      </w:pPr>
      <w:r>
        <w:rPr>
          <w:rFonts w:hint="eastAsia" w:ascii="宋体" w:hAnsi="宋体" w:eastAsia="宋体" w:cs="宋体"/>
          <w:sz w:val="24"/>
          <w:szCs w:val="24"/>
        </w:rPr>
        <w:t xml:space="preserve">3.3.2 系统建成后达到的预期效果</w:t>
      </w:r>
      <w:r/>
    </w:p>
    <w:p>
      <w:pPr>
        <w:ind w:firstLine="480"/>
        <w:spacing w:line="360" w:lineRule="auto"/>
        <w:rPr>
          <w:rFonts w:ascii="宋体" w:hAnsi="宋体"/>
          <w:sz w:val="24"/>
          <w:szCs w:val="24"/>
        </w:rPr>
      </w:pPr>
      <w:r>
        <w:rPr>
          <w:rFonts w:hint="eastAsia" w:ascii="宋体" w:hAnsi="宋体"/>
          <w:sz w:val="24"/>
          <w:szCs w:val="24"/>
        </w:rPr>
        <w:t xml:space="preserve">除须满足本章“3.3”条款外，还须满足“3.4”条款中的所有内容，确保本工程建成后综合目标达到：工程施工规范、施工工艺科学、采用新技术、新工艺、系统性能可靠、运行稳定、操作简便、实用性强、系统今后扩容及升级便捷、工程造价合理。</w:t>
      </w:r>
      <w:r/>
    </w:p>
    <w:p>
      <w:pPr>
        <w:pStyle w:val="833"/>
        <w:ind w:firstLine="482"/>
        <w:rPr>
          <w:rFonts w:ascii="宋体" w:hAnsi="宋体" w:eastAsia="宋体" w:cs="宋体"/>
          <w:sz w:val="24"/>
          <w:szCs w:val="24"/>
        </w:rPr>
      </w:pPr>
      <w:r>
        <w:rPr>
          <w:rFonts w:hint="eastAsia" w:ascii="宋体" w:hAnsi="宋体" w:eastAsia="宋体" w:cs="宋体"/>
          <w:sz w:val="24"/>
          <w:szCs w:val="24"/>
        </w:rPr>
        <w:t xml:space="preserve">3.3.3 技术响应文件编制要求</w:t>
      </w:r>
      <w:r/>
    </w:p>
    <w:p>
      <w:pPr>
        <w:ind w:firstLine="480"/>
        <w:spacing w:line="360" w:lineRule="auto"/>
        <w:rPr>
          <w:rFonts w:ascii="宋体" w:hAnsi="宋体"/>
          <w:sz w:val="24"/>
          <w:szCs w:val="24"/>
        </w:rPr>
      </w:pPr>
      <w:r>
        <w:rPr>
          <w:rFonts w:hint="eastAsia" w:ascii="宋体" w:hAnsi="宋体"/>
          <w:sz w:val="24"/>
          <w:szCs w:val="24"/>
        </w:rPr>
        <w:t xml:space="preserve">投标人所编制的技术</w:t>
      </w:r>
      <w:bookmarkStart w:id="203" w:name="_Hlk164776970"/>
      <w:r>
        <w:rPr>
          <w:rFonts w:hint="eastAsia" w:ascii="宋体" w:hAnsi="宋体"/>
          <w:sz w:val="24"/>
          <w:szCs w:val="24"/>
        </w:rPr>
        <w:t xml:space="preserve">响应</w:t>
      </w:r>
      <w:bookmarkEnd w:id="203"/>
      <w:r>
        <w:rPr>
          <w:rFonts w:hint="eastAsia" w:ascii="宋体" w:hAnsi="宋体"/>
          <w:sz w:val="24"/>
          <w:szCs w:val="24"/>
        </w:rPr>
        <w:t xml:space="preserve">文件必须符合《安全防范工程技术文件编制深度要求(GA/T1185)》有关章节条款中规定的要求；符合《安全防范工程程序与要求(GA/T75)》</w:t>
      </w:r>
      <w:r>
        <w:rPr>
          <w:rFonts w:hint="eastAsia" w:ascii="宋体" w:hAnsi="宋体"/>
          <w:sz w:val="24"/>
          <w:szCs w:val="24"/>
        </w:rPr>
        <w:t xml:space="preserve">、《安全防范工程技术标准(GB50348)》、《安全防范工程通用规范（GB55029）》的规定。施工组织设计编制与管理除应符合《建筑施工组织设计规范 (GB/T50502)》外，还应符合本工程涉及到的现行国家标准的相关规定。本工程的所有技术文件均要求思维清晰、逻辑性强、用词准确、术语规范、语言精炼、阐述的内容实事求是，执行的现行国家标准和部颁标准均要注明标准号及具体章节条款。凡是引用的技术参数、产品性能指标、国家法定机构检测的产品检测报告内数据、均要注明依据来源和时效，必须保证依据可靠、来源可查、数据真实。</w:t>
      </w:r>
      <w:r/>
    </w:p>
    <w:p>
      <w:pPr>
        <w:pStyle w:val="832"/>
        <w:ind w:firstLine="482"/>
        <w:rPr>
          <w:rFonts w:ascii="宋体" w:hAnsi="宋体" w:eastAsia="宋体" w:cs="宋体"/>
          <w:b/>
          <w:bCs/>
          <w:sz w:val="24"/>
          <w:szCs w:val="24"/>
        </w:rPr>
      </w:pPr>
      <w:r>
        <w:rPr>
          <w:rFonts w:hint="eastAsia" w:ascii="宋体" w:hAnsi="宋体" w:eastAsia="宋体" w:cs="宋体"/>
          <w:b/>
          <w:bCs/>
          <w:sz w:val="24"/>
          <w:szCs w:val="24"/>
        </w:rPr>
        <w:t xml:space="preserve">3.4 系统要求</w:t>
      </w:r>
      <w:r/>
    </w:p>
    <w:p>
      <w:pPr>
        <w:ind w:firstLine="480"/>
        <w:spacing w:line="360" w:lineRule="auto"/>
        <w:rPr>
          <w:rFonts w:ascii="宋体" w:hAnsi="宋体"/>
          <w:sz w:val="24"/>
          <w:szCs w:val="24"/>
        </w:rPr>
      </w:pPr>
      <w:r>
        <w:rPr>
          <w:rFonts w:hint="eastAsia" w:ascii="宋体" w:hAnsi="宋体"/>
          <w:sz w:val="24"/>
          <w:szCs w:val="24"/>
        </w:rPr>
        <w:t xml:space="preserve">本系统工程是建立在安全技术防范基础上，同时也是现代电子信息技术、计算机技术、网络技术、光通信技术、数字图像处理技术、人工智能、云计算、大数据等综合科学技术在安全防范系统工程中的实际应用；建成后的本系统达到：技术先进、投资经济、配套合理、系统稳定、运行可靠、适用性强；为公安工作提供必要的现代化手段，进一步提高治安管理水平、加大打击违法犯罪的能力，达到科技强警的目的。</w:t>
      </w:r>
      <w:r/>
    </w:p>
    <w:p>
      <w:pPr>
        <w:pStyle w:val="833"/>
        <w:ind w:firstLine="482"/>
        <w:rPr>
          <w:rFonts w:ascii="宋体" w:hAnsi="宋体" w:eastAsia="宋体" w:cs="宋体"/>
          <w:sz w:val="24"/>
          <w:szCs w:val="24"/>
        </w:rPr>
      </w:pPr>
      <w:r>
        <w:rPr>
          <w:rFonts w:hint="eastAsia" w:ascii="宋体" w:hAnsi="宋体" w:eastAsia="宋体" w:cs="宋体"/>
          <w:sz w:val="24"/>
          <w:szCs w:val="24"/>
        </w:rPr>
        <w:t xml:space="preserve">3.4.1 系统主要技术指标</w:t>
      </w:r>
      <w:r/>
    </w:p>
    <w:p>
      <w:pPr>
        <w:ind w:firstLine="480"/>
        <w:spacing w:line="360" w:lineRule="auto"/>
        <w:rPr>
          <w:rFonts w:ascii="宋体" w:hAnsi="宋体"/>
          <w:sz w:val="24"/>
          <w:szCs w:val="24"/>
        </w:rPr>
      </w:pPr>
      <w:r>
        <w:rPr>
          <w:rFonts w:hint="eastAsia" w:ascii="宋体" w:hAnsi="宋体"/>
          <w:sz w:val="24"/>
          <w:szCs w:val="24"/>
        </w:rPr>
        <w:t xml:space="preserve">本工程建成后，须达到：技术先进、性能稳定、工作可靠、操作简便、维护便捷、实用性强、施工规范、工程优质、造价合理、性价比高。</w:t>
      </w:r>
      <w:r/>
    </w:p>
    <w:p>
      <w:pPr>
        <w:pStyle w:val="834"/>
        <w:ind w:firstLine="482"/>
        <w:rPr>
          <w:rFonts w:ascii="宋体" w:hAnsi="宋体" w:eastAsia="宋体" w:cs="宋体"/>
        </w:rPr>
      </w:pPr>
      <w:r>
        <w:rPr>
          <w:rFonts w:hint="eastAsia" w:ascii="宋体" w:hAnsi="宋体" w:eastAsia="宋体" w:cs="宋体"/>
        </w:rPr>
        <w:t xml:space="preserve">3.4.1.1 系统主要技术参数</w:t>
      </w:r>
      <w:r/>
    </w:p>
    <w:p>
      <w:pPr>
        <w:pStyle w:val="916"/>
        <w:numPr>
          <w:ilvl w:val="0"/>
          <w:numId w:val="5"/>
        </w:numPr>
        <w:jc w:val="left"/>
        <w:spacing w:line="360" w:lineRule="auto"/>
        <w:tabs>
          <w:tab w:val="left" w:pos="142" w:leader="none"/>
        </w:tabs>
        <w:rPr>
          <w:rFonts w:ascii="宋体" w:hAnsi="宋体"/>
          <w:sz w:val="24"/>
          <w:szCs w:val="24"/>
        </w:rPr>
      </w:pPr>
      <w:r>
        <w:rPr>
          <w:rFonts w:hint="eastAsia" w:ascii="宋体" w:hAnsi="宋体"/>
          <w:sz w:val="24"/>
          <w:szCs w:val="24"/>
        </w:rPr>
        <w:t xml:space="preserve">图像质量                       ≥4级 (环境照度&gt;300lx条件下)</w:t>
      </w:r>
      <w:r/>
    </w:p>
    <w:p>
      <w:pPr>
        <w:pStyle w:val="916"/>
        <w:numPr>
          <w:ilvl w:val="0"/>
          <w:numId w:val="5"/>
        </w:numPr>
        <w:jc w:val="left"/>
        <w:spacing w:line="360" w:lineRule="auto"/>
        <w:tabs>
          <w:tab w:val="left" w:pos="142" w:leader="none"/>
        </w:tabs>
        <w:rPr>
          <w:rFonts w:ascii="宋体" w:hAnsi="宋体"/>
          <w:sz w:val="24"/>
          <w:szCs w:val="24"/>
        </w:rPr>
      </w:pPr>
      <w:r>
        <w:rPr>
          <w:rFonts w:hint="eastAsia" w:ascii="宋体" w:hAnsi="宋体"/>
          <w:sz w:val="24"/>
          <w:szCs w:val="24"/>
        </w:rPr>
        <w:t xml:space="preserve">图像灰度等级                   ≥10级</w:t>
      </w:r>
      <w:r/>
    </w:p>
    <w:p>
      <w:pPr>
        <w:pStyle w:val="916"/>
        <w:numPr>
          <w:ilvl w:val="0"/>
          <w:numId w:val="5"/>
        </w:numPr>
        <w:jc w:val="left"/>
        <w:spacing w:line="360" w:lineRule="auto"/>
        <w:tabs>
          <w:tab w:val="left" w:pos="142" w:leader="none"/>
        </w:tabs>
        <w:rPr>
          <w:rFonts w:ascii="宋体" w:hAnsi="宋体"/>
          <w:sz w:val="24"/>
          <w:szCs w:val="24"/>
        </w:rPr>
      </w:pPr>
      <w:r>
        <w:rPr>
          <w:rFonts w:hint="eastAsia" w:ascii="宋体" w:hAnsi="宋体"/>
          <w:sz w:val="24"/>
          <w:szCs w:val="24"/>
        </w:rPr>
        <w:t xml:space="preserve">单帧分辨率                     ≥400W（双目球机）、≥800W（结构化摄像机）</w:t>
      </w:r>
      <w:r/>
    </w:p>
    <w:p>
      <w:pPr>
        <w:pStyle w:val="916"/>
        <w:numPr>
          <w:ilvl w:val="0"/>
          <w:numId w:val="5"/>
        </w:numPr>
        <w:jc w:val="left"/>
        <w:spacing w:line="360" w:lineRule="auto"/>
        <w:tabs>
          <w:tab w:val="left" w:pos="142" w:leader="none"/>
        </w:tabs>
        <w:rPr>
          <w:rFonts w:ascii="宋体" w:hAnsi="宋体"/>
          <w:sz w:val="24"/>
          <w:szCs w:val="24"/>
        </w:rPr>
      </w:pPr>
      <w:r>
        <w:rPr>
          <w:rFonts w:hint="eastAsia" w:ascii="宋体" w:hAnsi="宋体"/>
          <w:sz w:val="24"/>
          <w:szCs w:val="24"/>
        </w:rPr>
        <w:t xml:space="preserve">帧率                           ≥25fps</w:t>
      </w:r>
      <w:r/>
    </w:p>
    <w:p>
      <w:pPr>
        <w:pStyle w:val="916"/>
        <w:numPr>
          <w:ilvl w:val="0"/>
          <w:numId w:val="5"/>
        </w:numPr>
        <w:jc w:val="left"/>
        <w:spacing w:line="360" w:lineRule="auto"/>
        <w:tabs>
          <w:tab w:val="left" w:pos="142" w:leader="none"/>
        </w:tabs>
        <w:rPr>
          <w:rFonts w:ascii="宋体" w:hAnsi="宋体"/>
          <w:sz w:val="24"/>
          <w:szCs w:val="24"/>
        </w:rPr>
      </w:pPr>
      <w:r>
        <w:rPr>
          <w:rFonts w:hint="eastAsia" w:ascii="宋体" w:hAnsi="宋体"/>
          <w:sz w:val="24"/>
          <w:szCs w:val="24"/>
        </w:rPr>
        <w:t xml:space="preserve">局域网组网图像信息延迟时间     ≤500ms</w:t>
      </w:r>
      <w:r/>
    </w:p>
    <w:p>
      <w:pPr>
        <w:pStyle w:val="916"/>
        <w:numPr>
          <w:ilvl w:val="0"/>
          <w:numId w:val="5"/>
        </w:numPr>
        <w:jc w:val="left"/>
        <w:spacing w:line="360" w:lineRule="auto"/>
        <w:tabs>
          <w:tab w:val="left" w:pos="142" w:leader="none"/>
        </w:tabs>
        <w:rPr>
          <w:rFonts w:ascii="宋体" w:hAnsi="宋体"/>
          <w:sz w:val="24"/>
          <w:szCs w:val="24"/>
        </w:rPr>
      </w:pPr>
      <w:r>
        <w:rPr>
          <w:rFonts w:hint="eastAsia" w:ascii="宋体" w:hAnsi="宋体"/>
          <w:sz w:val="24"/>
          <w:szCs w:val="24"/>
        </w:rPr>
        <w:t xml:space="preserve">互联网组网图像信息延迟时间     ≤2000ms</w:t>
      </w:r>
      <w:r/>
    </w:p>
    <w:p>
      <w:pPr>
        <w:pStyle w:val="916"/>
        <w:numPr>
          <w:ilvl w:val="0"/>
          <w:numId w:val="5"/>
        </w:numPr>
        <w:jc w:val="left"/>
        <w:spacing w:line="360" w:lineRule="auto"/>
        <w:tabs>
          <w:tab w:val="left" w:pos="142" w:leader="none"/>
        </w:tabs>
        <w:rPr>
          <w:rFonts w:ascii="宋体" w:hAnsi="宋体"/>
          <w:sz w:val="24"/>
          <w:szCs w:val="24"/>
        </w:rPr>
      </w:pPr>
      <w:r>
        <w:rPr>
          <w:rFonts w:hint="eastAsia" w:ascii="宋体" w:hAnsi="宋体"/>
          <w:sz w:val="24"/>
          <w:szCs w:val="24"/>
        </w:rPr>
        <w:t xml:space="preserve">局域网组网控制信息延迟时间     ≤300ms</w:t>
      </w:r>
      <w:r/>
    </w:p>
    <w:p>
      <w:pPr>
        <w:pStyle w:val="916"/>
        <w:numPr>
          <w:ilvl w:val="0"/>
          <w:numId w:val="5"/>
        </w:numPr>
        <w:jc w:val="left"/>
        <w:spacing w:line="360" w:lineRule="auto"/>
        <w:tabs>
          <w:tab w:val="left" w:pos="142" w:leader="none"/>
        </w:tabs>
        <w:rPr>
          <w:rFonts w:ascii="宋体" w:hAnsi="宋体"/>
          <w:sz w:val="24"/>
          <w:szCs w:val="24"/>
        </w:rPr>
      </w:pPr>
      <w:r>
        <w:rPr>
          <w:rFonts w:hint="eastAsia" w:ascii="宋体" w:hAnsi="宋体"/>
          <w:sz w:val="24"/>
          <w:szCs w:val="24"/>
        </w:rPr>
        <w:t xml:space="preserve">互联网组网控制信息延迟时间     ≤1500ms</w:t>
      </w:r>
      <w:r/>
    </w:p>
    <w:p>
      <w:pPr>
        <w:pStyle w:val="916"/>
        <w:numPr>
          <w:ilvl w:val="0"/>
          <w:numId w:val="5"/>
        </w:numPr>
        <w:jc w:val="left"/>
        <w:spacing w:line="360" w:lineRule="auto"/>
        <w:tabs>
          <w:tab w:val="left" w:pos="142" w:leader="none"/>
        </w:tabs>
        <w:rPr>
          <w:rFonts w:ascii="宋体" w:hAnsi="宋体"/>
          <w:sz w:val="24"/>
          <w:szCs w:val="24"/>
        </w:rPr>
      </w:pPr>
      <w:r>
        <w:rPr>
          <w:rFonts w:hint="eastAsia" w:ascii="宋体" w:hAnsi="宋体"/>
          <w:sz w:val="24"/>
          <w:szCs w:val="24"/>
        </w:rPr>
        <w:t xml:space="preserve">中心内部网络时延               ≤500us</w:t>
      </w:r>
      <w:r/>
    </w:p>
    <w:p>
      <w:pPr>
        <w:pStyle w:val="916"/>
        <w:numPr>
          <w:ilvl w:val="0"/>
          <w:numId w:val="5"/>
        </w:numPr>
        <w:jc w:val="left"/>
        <w:spacing w:line="360" w:lineRule="auto"/>
        <w:tabs>
          <w:tab w:val="left" w:pos="142" w:leader="none"/>
        </w:tabs>
        <w:rPr>
          <w:rFonts w:ascii="宋体" w:hAnsi="宋体"/>
          <w:sz w:val="24"/>
          <w:szCs w:val="24"/>
        </w:rPr>
      </w:pPr>
      <w:r>
        <w:rPr>
          <w:rFonts w:hint="eastAsia" w:ascii="宋体" w:hAnsi="宋体"/>
          <w:sz w:val="24"/>
          <w:szCs w:val="24"/>
        </w:rPr>
        <w:t xml:space="preserve">时延抖动                       ≤5us</w:t>
      </w:r>
      <w:r/>
    </w:p>
    <w:p>
      <w:pPr>
        <w:pStyle w:val="916"/>
        <w:numPr>
          <w:ilvl w:val="0"/>
          <w:numId w:val="5"/>
        </w:numPr>
        <w:jc w:val="left"/>
        <w:spacing w:line="360" w:lineRule="auto"/>
        <w:tabs>
          <w:tab w:val="left" w:pos="142" w:leader="none"/>
        </w:tabs>
        <w:rPr>
          <w:rFonts w:ascii="宋体" w:hAnsi="宋体"/>
          <w:sz w:val="24"/>
          <w:szCs w:val="24"/>
        </w:rPr>
      </w:pPr>
      <w:r>
        <w:rPr>
          <w:rFonts w:hint="eastAsia" w:ascii="宋体" w:hAnsi="宋体"/>
          <w:sz w:val="24"/>
          <w:szCs w:val="24"/>
        </w:rPr>
        <w:t xml:space="preserve">丢包率                         ≤1×10</w:t>
      </w:r>
      <w:r>
        <w:rPr>
          <w:rFonts w:hint="eastAsia" w:ascii="宋体" w:hAnsi="宋体"/>
          <w:sz w:val="24"/>
          <w:szCs w:val="24"/>
          <w:vertAlign w:val="superscript"/>
        </w:rPr>
        <w:t xml:space="preserve">-4</w:t>
      </w:r>
      <w:r/>
    </w:p>
    <w:p>
      <w:pPr>
        <w:pStyle w:val="916"/>
        <w:numPr>
          <w:ilvl w:val="0"/>
          <w:numId w:val="5"/>
        </w:numPr>
        <w:jc w:val="left"/>
        <w:spacing w:line="360" w:lineRule="auto"/>
        <w:tabs>
          <w:tab w:val="left" w:pos="142" w:leader="none"/>
        </w:tabs>
        <w:rPr>
          <w:rFonts w:ascii="宋体" w:hAnsi="宋体"/>
          <w:sz w:val="24"/>
          <w:szCs w:val="24"/>
        </w:rPr>
      </w:pPr>
      <w:r>
        <w:rPr>
          <w:rFonts w:hint="eastAsia" w:ascii="宋体" w:hAnsi="宋体"/>
          <w:sz w:val="24"/>
          <w:szCs w:val="24"/>
        </w:rPr>
        <w:t xml:space="preserve">信噪比(SNR)                    ≥45dB</w:t>
      </w:r>
      <w:r/>
    </w:p>
    <w:p>
      <w:pPr>
        <w:pStyle w:val="916"/>
        <w:numPr>
          <w:ilvl w:val="0"/>
          <w:numId w:val="5"/>
        </w:numPr>
        <w:jc w:val="left"/>
        <w:spacing w:line="360" w:lineRule="auto"/>
        <w:tabs>
          <w:tab w:val="left" w:pos="142" w:leader="none"/>
        </w:tabs>
        <w:rPr>
          <w:rFonts w:ascii="宋体" w:hAnsi="宋体"/>
          <w:sz w:val="24"/>
          <w:szCs w:val="24"/>
        </w:rPr>
      </w:pPr>
      <w:r>
        <w:rPr>
          <w:rFonts w:hint="eastAsia" w:ascii="宋体" w:hAnsi="宋体"/>
          <w:sz w:val="24"/>
          <w:szCs w:val="24"/>
        </w:rPr>
        <w:t xml:space="preserve">电源干扰抑制                   ≥37dB</w:t>
      </w:r>
      <w:r/>
    </w:p>
    <w:p>
      <w:pPr>
        <w:pStyle w:val="916"/>
        <w:numPr>
          <w:ilvl w:val="0"/>
          <w:numId w:val="5"/>
        </w:numPr>
        <w:jc w:val="left"/>
        <w:spacing w:line="360" w:lineRule="auto"/>
        <w:tabs>
          <w:tab w:val="left" w:pos="142" w:leader="none"/>
        </w:tabs>
        <w:rPr>
          <w:rFonts w:ascii="宋体" w:hAnsi="宋体"/>
          <w:sz w:val="24"/>
          <w:szCs w:val="24"/>
        </w:rPr>
      </w:pPr>
      <w:r>
        <w:rPr>
          <w:rFonts w:hint="eastAsia" w:ascii="宋体" w:hAnsi="宋体"/>
          <w:sz w:val="24"/>
          <w:szCs w:val="24"/>
        </w:rPr>
        <w:t xml:space="preserve">室外工作环境温度               -25℃- +70℃；</w:t>
      </w:r>
      <w:r/>
    </w:p>
    <w:p>
      <w:pPr>
        <w:pStyle w:val="916"/>
        <w:numPr>
          <w:ilvl w:val="0"/>
          <w:numId w:val="5"/>
        </w:numPr>
        <w:jc w:val="left"/>
        <w:spacing w:line="360" w:lineRule="auto"/>
        <w:tabs>
          <w:tab w:val="left" w:pos="142" w:leader="none"/>
        </w:tabs>
        <w:rPr>
          <w:rFonts w:ascii="宋体" w:hAnsi="宋体"/>
          <w:sz w:val="24"/>
          <w:szCs w:val="24"/>
        </w:rPr>
      </w:pPr>
      <w:r>
        <w:rPr>
          <w:rFonts w:hint="eastAsia" w:ascii="宋体" w:hAnsi="宋体"/>
          <w:sz w:val="24"/>
          <w:szCs w:val="24"/>
        </w:rPr>
        <w:t xml:space="preserve">独立接地电阻                   ≤4Ω</w:t>
      </w:r>
      <w:r/>
    </w:p>
    <w:p>
      <w:pPr>
        <w:pStyle w:val="916"/>
        <w:numPr>
          <w:ilvl w:val="0"/>
          <w:numId w:val="5"/>
        </w:numPr>
        <w:jc w:val="left"/>
        <w:spacing w:line="360" w:lineRule="auto"/>
        <w:tabs>
          <w:tab w:val="left" w:pos="142" w:leader="none"/>
        </w:tabs>
        <w:rPr>
          <w:rFonts w:ascii="宋体" w:hAnsi="宋体"/>
          <w:sz w:val="24"/>
          <w:szCs w:val="24"/>
        </w:rPr>
      </w:pPr>
      <w:r>
        <w:rPr>
          <w:rFonts w:hint="eastAsia" w:ascii="宋体" w:hAnsi="宋体"/>
          <w:sz w:val="24"/>
          <w:szCs w:val="24"/>
        </w:rPr>
        <w:t xml:space="preserve">复合接地电阻                   ≤1Ω</w:t>
      </w:r>
      <w:r/>
    </w:p>
    <w:p>
      <w:pPr>
        <w:pStyle w:val="916"/>
        <w:numPr>
          <w:ilvl w:val="0"/>
          <w:numId w:val="5"/>
        </w:numPr>
        <w:jc w:val="left"/>
        <w:spacing w:line="360" w:lineRule="auto"/>
        <w:tabs>
          <w:tab w:val="left" w:pos="142" w:leader="none"/>
        </w:tabs>
        <w:rPr>
          <w:rFonts w:ascii="宋体" w:hAnsi="宋体"/>
          <w:sz w:val="24"/>
          <w:szCs w:val="24"/>
        </w:rPr>
      </w:pPr>
      <w:r>
        <w:rPr>
          <w:rFonts w:hint="eastAsia" w:ascii="宋体" w:hAnsi="宋体"/>
          <w:sz w:val="24"/>
          <w:szCs w:val="24"/>
        </w:rPr>
        <w:t xml:space="preserve">每路图像存储时间周期           </w:t>
      </w:r>
      <w:r>
        <w:rPr>
          <w:rFonts w:ascii="宋体" w:hAnsi="宋体"/>
          <w:sz w:val="24"/>
          <w:szCs w:val="24"/>
        </w:rPr>
        <w:t xml:space="preserve">&gt;</w:t>
      </w:r>
      <w:r>
        <w:rPr>
          <w:rFonts w:hint="eastAsia" w:ascii="宋体" w:hAnsi="宋体"/>
          <w:sz w:val="24"/>
          <w:szCs w:val="24"/>
        </w:rPr>
        <w:t xml:space="preserve">720h(24h×30d)</w:t>
      </w:r>
      <w:r/>
    </w:p>
    <w:p>
      <w:pPr>
        <w:pStyle w:val="834"/>
        <w:ind w:firstLine="482"/>
        <w:rPr>
          <w:rFonts w:ascii="宋体" w:hAnsi="宋体" w:eastAsia="宋体" w:cs="宋体"/>
        </w:rPr>
      </w:pPr>
      <w:r>
        <w:rPr>
          <w:rFonts w:hint="eastAsia" w:ascii="宋体" w:hAnsi="宋体" w:eastAsia="宋体" w:cs="宋体"/>
        </w:rPr>
        <w:t xml:space="preserve">3.4.1.2 视图主要技术参数</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单帧分辨率                     ≥800W（单目结构化摄像机）</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图像灰度等级</w:t>
      </w:r>
      <w:r>
        <w:rPr>
          <w:rFonts w:hint="eastAsia" w:ascii="宋体" w:hAnsi="宋体"/>
          <w:sz w:val="24"/>
          <w:szCs w:val="24"/>
        </w:rPr>
        <w:tab/>
        <w:t xml:space="preserve">                 ≥10级</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帧率</w:t>
      </w:r>
      <w:r>
        <w:rPr>
          <w:rFonts w:hint="eastAsia" w:ascii="宋体" w:hAnsi="宋体"/>
          <w:sz w:val="24"/>
          <w:szCs w:val="24"/>
        </w:rPr>
        <w:tab/>
        <w:t xml:space="preserve">                        ≥25fps</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局域网组网图像信息延迟时间</w:t>
      </w:r>
      <w:r>
        <w:rPr>
          <w:rFonts w:hint="eastAsia" w:ascii="宋体" w:hAnsi="宋体"/>
          <w:sz w:val="24"/>
          <w:szCs w:val="24"/>
        </w:rPr>
        <w:tab/>
        <w:t xml:space="preserve">   ≤500ms</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互联网组网图像信息延迟时间</w:t>
      </w:r>
      <w:r>
        <w:rPr>
          <w:rFonts w:hint="eastAsia" w:ascii="宋体" w:hAnsi="宋体"/>
          <w:sz w:val="24"/>
          <w:szCs w:val="24"/>
        </w:rPr>
        <w:tab/>
        <w:t xml:space="preserve">   ≤200 0ms</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局域网组网控制信息延迟时间     ≤300ms</w:t>
      </w:r>
      <w:r>
        <w:rPr>
          <w:rFonts w:hint="eastAsia" w:ascii="宋体" w:hAnsi="宋体"/>
          <w:sz w:val="24"/>
          <w:szCs w:val="24"/>
        </w:rPr>
        <w:tab/>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互联网组网控制信息延迟时间</w:t>
      </w:r>
      <w:r>
        <w:rPr>
          <w:rFonts w:hint="eastAsia" w:ascii="宋体" w:hAnsi="宋体"/>
          <w:sz w:val="24"/>
          <w:szCs w:val="24"/>
        </w:rPr>
        <w:tab/>
        <w:t xml:space="preserve">   ≤1500ms</w:t>
      </w:r>
      <w:r>
        <w:rPr>
          <w:rFonts w:hint="eastAsia" w:ascii="宋体" w:hAnsi="宋体"/>
          <w:sz w:val="24"/>
          <w:szCs w:val="24"/>
        </w:rPr>
        <w:tab/>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中心内部网络时延               ≤500us</w:t>
      </w:r>
      <w:r>
        <w:rPr>
          <w:rFonts w:hint="eastAsia" w:ascii="宋体" w:hAnsi="宋体"/>
          <w:sz w:val="24"/>
          <w:szCs w:val="24"/>
        </w:rPr>
        <w:tab/>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时延抖动                        ≤5us</w:t>
      </w:r>
      <w:r>
        <w:rPr>
          <w:rFonts w:hint="eastAsia" w:ascii="宋体" w:hAnsi="宋体"/>
          <w:sz w:val="24"/>
          <w:szCs w:val="24"/>
        </w:rPr>
        <w:tab/>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单视频流画面人脸检测检出率</w:t>
      </w:r>
      <w:r>
        <w:rPr>
          <w:rFonts w:hint="eastAsia" w:ascii="宋体" w:hAnsi="宋体"/>
          <w:sz w:val="24"/>
          <w:szCs w:val="24"/>
        </w:rPr>
        <w:tab/>
        <w:t xml:space="preserve">    ≥95% </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漏检率                          ≤0.5%        </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误检率</w:t>
      </w:r>
      <w:r>
        <w:rPr>
          <w:rFonts w:hint="eastAsia" w:ascii="宋体" w:hAnsi="宋体"/>
          <w:sz w:val="24"/>
          <w:szCs w:val="24"/>
        </w:rPr>
        <w:tab/>
        <w:t xml:space="preserve">                         ≤1%  </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 检出视频流同一场景中的人脸数量</w:t>
      </w:r>
      <w:r>
        <w:rPr>
          <w:rFonts w:hint="eastAsia" w:ascii="宋体" w:hAnsi="宋体"/>
          <w:sz w:val="24"/>
          <w:szCs w:val="24"/>
        </w:rPr>
        <w:tab/>
        <w:t xml:space="preserve"> ≥100 人</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对水平转动角不超过±60°俯仰角不超过±40°，两眼瞳间距不小于 15 像素点的视频或图片均能进行人脸分析</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系统可同时处理摄像视频流：      ≥1000 路；</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千万人脸库规模下，布控报警平均响应时间：≤1 秒；</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动态布控的非监视名单误报率     ≤3%时(监视名单长度为 100 万的条件下)</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监视名单漏报率                 ≤5%,(监视名单长度为 100 万的条件下)</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监视名单识别准确率             ≥95%；(监视名单长度为 100 万的条件下)</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以脸搜脸首位命中率             ≥99%；(千万人脸库规模下)</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以脸搜脸前 10 位命中率         ≥99.9%，(千万人脸库规模下)</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以脸搜脸前 50 位命中率         ≥99.99%(千万人脸库规模下)</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丢包率</w:t>
      </w:r>
      <w:r>
        <w:rPr>
          <w:rFonts w:hint="eastAsia" w:ascii="宋体" w:hAnsi="宋体"/>
          <w:sz w:val="24"/>
          <w:szCs w:val="24"/>
        </w:rPr>
        <w:tab/>
        <w:t xml:space="preserve">                        ≤1×10</w:t>
      </w:r>
      <w:r>
        <w:rPr>
          <w:rFonts w:hint="eastAsia" w:ascii="宋体" w:hAnsi="宋体"/>
          <w:sz w:val="24"/>
          <w:szCs w:val="24"/>
          <w:vertAlign w:val="superscript"/>
        </w:rPr>
        <w:t xml:space="preserve">-4</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单路视频码流均值               约6Mbps</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单幅图片码流均值               约1Mbps</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信噪比(SNR)</w:t>
      </w:r>
      <w:r>
        <w:rPr>
          <w:rFonts w:hint="eastAsia" w:ascii="宋体" w:hAnsi="宋体"/>
          <w:sz w:val="24"/>
          <w:szCs w:val="24"/>
        </w:rPr>
        <w:tab/>
        <w:t xml:space="preserve">                 ≥45dB</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电源干扰抑制</w:t>
      </w:r>
      <w:r>
        <w:rPr>
          <w:rFonts w:hint="eastAsia" w:ascii="宋体" w:hAnsi="宋体"/>
          <w:sz w:val="24"/>
          <w:szCs w:val="24"/>
        </w:rPr>
        <w:tab/>
        <w:t xml:space="preserve">                 ≥37dB</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室外工作环境温度</w:t>
      </w:r>
      <w:r>
        <w:rPr>
          <w:rFonts w:hint="eastAsia" w:ascii="宋体" w:hAnsi="宋体"/>
          <w:sz w:val="24"/>
          <w:szCs w:val="24"/>
        </w:rPr>
        <w:tab/>
        <w:t xml:space="preserve">             -25℃-+70℃；</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独立接地电阻</w:t>
      </w:r>
      <w:r>
        <w:rPr>
          <w:rFonts w:hint="eastAsia" w:ascii="宋体" w:hAnsi="宋体"/>
          <w:sz w:val="24"/>
          <w:szCs w:val="24"/>
        </w:rPr>
        <w:tab/>
        <w:t xml:space="preserve"> ≤4Ω</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复合接地电阻</w:t>
      </w:r>
      <w:r>
        <w:rPr>
          <w:rFonts w:hint="eastAsia" w:ascii="宋体" w:hAnsi="宋体"/>
          <w:sz w:val="24"/>
          <w:szCs w:val="24"/>
        </w:rPr>
        <w:tab/>
        <w:t xml:space="preserve"> ≤1Ω</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每路视频存储周期时间          </w:t>
      </w:r>
      <w:r>
        <w:rPr>
          <w:rFonts w:ascii="宋体" w:hAnsi="宋体"/>
          <w:sz w:val="24"/>
          <w:szCs w:val="24"/>
        </w:rPr>
        <w:t xml:space="preserve">&gt;</w:t>
      </w:r>
      <w:r>
        <w:rPr>
          <w:rFonts w:hint="eastAsia" w:ascii="宋体" w:hAnsi="宋体"/>
          <w:sz w:val="24"/>
          <w:szCs w:val="24"/>
        </w:rPr>
        <w:t xml:space="preserve">720h(24h×30d)</w:t>
      </w:r>
      <w:r/>
    </w:p>
    <w:p>
      <w:pPr>
        <w:pStyle w:val="916"/>
        <w:numPr>
          <w:ilvl w:val="0"/>
          <w:numId w:val="6"/>
        </w:numPr>
        <w:jc w:val="left"/>
        <w:spacing w:line="360" w:lineRule="auto"/>
        <w:tabs>
          <w:tab w:val="left" w:pos="142" w:leader="none"/>
        </w:tabs>
        <w:rPr>
          <w:rFonts w:ascii="宋体" w:hAnsi="宋体"/>
          <w:sz w:val="24"/>
          <w:szCs w:val="24"/>
        </w:rPr>
      </w:pPr>
      <w:r>
        <w:rPr>
          <w:rFonts w:hint="eastAsia" w:ascii="宋体" w:hAnsi="宋体"/>
          <w:sz w:val="24"/>
          <w:szCs w:val="24"/>
        </w:rPr>
        <w:t xml:space="preserve">每路图片存储周期时间         </w:t>
      </w:r>
      <w:r>
        <w:rPr>
          <w:rFonts w:ascii="宋体" w:hAnsi="宋体"/>
          <w:sz w:val="24"/>
          <w:szCs w:val="24"/>
        </w:rPr>
        <w:t xml:space="preserve">&gt;</w:t>
      </w:r>
      <w:r>
        <w:rPr>
          <w:rFonts w:hint="eastAsia" w:ascii="宋体" w:hAnsi="宋体"/>
          <w:sz w:val="24"/>
          <w:szCs w:val="24"/>
        </w:rPr>
        <w:t xml:space="preserve">4320h(24h×180d)</w:t>
      </w:r>
      <w:r/>
    </w:p>
    <w:p>
      <w:pPr>
        <w:pStyle w:val="833"/>
        <w:ind w:firstLine="482"/>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3.4.2 视场内夜间环境光源要求</w:t>
      </w:r>
      <w:r/>
    </w:p>
    <w:p>
      <w:pPr>
        <w:ind w:firstLine="480"/>
        <w:spacing w:line="360" w:lineRule="auto"/>
        <w:rPr>
          <w:rFonts w:ascii="宋体" w:hAnsi="宋体" w:cs="仿宋"/>
          <w:sz w:val="24"/>
          <w:szCs w:val="24"/>
        </w:rPr>
      </w:pPr>
      <w:r/>
      <w:bookmarkStart w:id="204" w:name="_Hlk164065715"/>
      <w:r>
        <w:rPr>
          <w:rFonts w:hint="eastAsia" w:ascii="宋体" w:hAnsi="宋体" w:cs="仿宋"/>
          <w:sz w:val="24"/>
          <w:szCs w:val="24"/>
        </w:rPr>
        <w:t xml:space="preserve">本工程摄像机全部选用超低照度高清IP摄像机。建议借助监控目标夜间周边实际环境光照，即以本处的自然光照度作为监控目标的环境照度。同时要求摄取的监控图像达到对过往车辆、车型、车颜色、行人面部特征实现全天候全彩式清晰记录，满足工作所须的有效图像，为公安实战发挥应有的作用。根据《视频安防监控系统工程设计规范(GB50395)》6.0.1.1要</w:t>
      </w:r>
      <w:r>
        <w:rPr>
          <w:rFonts w:hint="eastAsia" w:ascii="宋体" w:hAnsi="宋体" w:cs="仿宋"/>
          <w:sz w:val="24"/>
          <w:szCs w:val="24"/>
        </w:rPr>
        <w:t xml:space="preserve">求：监视目标的环境照度不应低于摄像机靶面最低照度的50倍。为此，对特殊点位夜间必须采用高性能的安防工程专用LED全色灯(非红外LED灯)作摄像辅助光源，具体点位、自控LED灯的规格型号、数量、灯功率等投标人须在投标前到现场实测、统计数量经核实后在投标时一并报价。若此项少报、漏报，一旦中标后不得追补，视为无价馈赠，望投标人夜间到实地认真勘察后自行确定数量。最终工程验收时以所摄取的监控图像及回放图像均达到对过往车辆、车牌、车型、车颜色，人脸、行人体貌特征实现全天候清晰记录，是为本工程本项的最终验收合格评判标准。</w:t>
      </w:r>
      <w:bookmarkEnd w:id="204"/>
      <w:r/>
      <w:r/>
    </w:p>
    <w:p>
      <w:pPr>
        <w:pStyle w:val="833"/>
        <w:ind w:firstLine="482"/>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3.4.3 前端通信线路汇聚建设要求</w:t>
      </w:r>
      <w:r/>
    </w:p>
    <w:p>
      <w:pPr>
        <w:ind w:firstLine="480"/>
        <w:spacing w:line="360" w:lineRule="auto"/>
        <w:rPr>
          <w:rFonts w:ascii="宋体" w:hAnsi="宋体"/>
          <w:sz w:val="24"/>
          <w:szCs w:val="24"/>
        </w:rPr>
      </w:pPr>
      <w:r/>
      <w:bookmarkStart w:id="205" w:name="_Hlk164065668"/>
      <w:r>
        <w:rPr>
          <w:rFonts w:hint="eastAsia" w:ascii="宋体" w:hAnsi="宋体" w:cs="仿宋"/>
          <w:sz w:val="24"/>
          <w:szCs w:val="24"/>
        </w:rPr>
        <w:t xml:space="preserve">室外前端各感知采集点位旁应有手(孔)井，所采集的感知信息，均通过自建通信线路传输至该区域的汇聚点，</w:t>
      </w:r>
      <w:r>
        <w:rPr>
          <w:rFonts w:hint="eastAsia" w:ascii="宋体" w:hAnsi="宋体"/>
          <w:sz w:val="24"/>
          <w:szCs w:val="24"/>
        </w:rPr>
        <w:t xml:space="preserve">前端采集信号通过专线光缆传输至已规划的区域汇聚点，不允许共用运营商光缆，更不允许进入运营商光交箱或在运营商光交箱内跳接，纯属公安自建专用光缆线路，线缆可与运营商地下管道共管，但必须独立敷设线缆，感知采集点位至汇聚站之间均自建星形状结构的专线光缆网，产权归属南通市公安局南通经济技术开发区分局。</w:t>
      </w:r>
      <w:r>
        <w:rPr>
          <w:rFonts w:hint="eastAsia" w:ascii="宋体" w:hAnsi="宋体" w:cs="仿宋"/>
          <w:sz w:val="24"/>
          <w:szCs w:val="24"/>
        </w:rPr>
        <w:t xml:space="preserve">通信管线建设按《通信管道工程施工及验收规范(GB50374)》、《通信线路工程验收规范(GB51171》执行。</w:t>
      </w:r>
      <w:bookmarkEnd w:id="205"/>
      <w:r/>
      <w:r/>
    </w:p>
    <w:p>
      <w:pPr>
        <w:pStyle w:val="833"/>
        <w:ind w:firstLine="482"/>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3.4.4 汇聚点建设要求</w:t>
      </w:r>
      <w:r/>
    </w:p>
    <w:p>
      <w:pPr>
        <w:ind w:firstLine="480"/>
        <w:jc w:val="left"/>
        <w:spacing w:line="360" w:lineRule="auto"/>
        <w:rPr>
          <w:rFonts w:ascii="宋体" w:hAnsi="宋体"/>
          <w:sz w:val="24"/>
          <w:szCs w:val="24"/>
        </w:rPr>
      </w:pPr>
      <w:r/>
      <w:bookmarkStart w:id="206" w:name="_Hlk164065658"/>
      <w:r>
        <w:rPr>
          <w:rFonts w:hint="eastAsia" w:ascii="宋体" w:hAnsi="宋体" w:cs="仿宋"/>
          <w:sz w:val="24"/>
          <w:szCs w:val="24"/>
        </w:rPr>
        <w:t xml:space="preserve">本项目区域汇聚工作站在以往工程建设中已完成，新增前端线路接入现有汇聚工作站内。</w:t>
      </w:r>
      <w:r>
        <w:rPr>
          <w:rFonts w:hint="eastAsia" w:ascii="宋体" w:hAnsi="宋体"/>
          <w:sz w:val="24"/>
          <w:szCs w:val="24"/>
        </w:rPr>
        <w:t xml:space="preserve">户外设备柜内设备安装要标准化、规范化，柜内熔纤盘统一使用1U抽屉式终端熔纤金属盒，禁用其它熔纤盘架等，光缆另一端在汇聚点双盖手孔井中采用户外接线包与前端感知点至汇聚点的光缆按设计图要求进行熔接与测试。</w:t>
      </w:r>
      <w:bookmarkEnd w:id="206"/>
      <w:r/>
      <w:r/>
    </w:p>
    <w:p>
      <w:pPr>
        <w:pStyle w:val="833"/>
        <w:ind w:firstLine="482"/>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3.4.5 前端通信线路建设要求</w:t>
      </w:r>
      <w:r/>
    </w:p>
    <w:p>
      <w:pPr>
        <w:ind w:firstLine="480"/>
        <w:spacing w:line="360" w:lineRule="auto"/>
        <w:rPr>
          <w:rFonts w:ascii="宋体" w:hAnsi="宋体" w:cs="仿宋"/>
          <w:sz w:val="24"/>
          <w:szCs w:val="24"/>
        </w:rPr>
      </w:pPr>
      <w:r/>
      <w:bookmarkStart w:id="207" w:name="_Hlk164065618"/>
      <w:r>
        <w:rPr>
          <w:rFonts w:hint="eastAsia" w:ascii="宋体" w:hAnsi="宋体" w:cs="仿宋"/>
          <w:sz w:val="24"/>
          <w:szCs w:val="24"/>
        </w:rPr>
        <w:t xml:space="preserve">前端各感知采集点位旁应有手(孔)井，所采集的感知信息，均通过自建通信线路传输至该区域的汇聚点，通信管线建设按《通信管道工程施</w:t>
      </w:r>
      <w:bookmarkStart w:id="208" w:name="_GoBack"/>
      <w:r/>
      <w:bookmarkEnd w:id="208"/>
      <w:r>
        <w:rPr>
          <w:rFonts w:hint="eastAsia" w:ascii="宋体" w:hAnsi="宋体" w:cs="仿宋"/>
          <w:sz w:val="24"/>
          <w:szCs w:val="24"/>
        </w:rPr>
        <w:t xml:space="preserve">工及验收规范(GB50374)》、《通信线路工程验收规范(GB51171》执行。</w:t>
      </w:r>
      <w:bookmarkEnd w:id="207"/>
      <w:r/>
      <w:r/>
    </w:p>
    <w:p>
      <w:pPr>
        <w:pStyle w:val="833"/>
        <w:ind w:firstLine="482"/>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3.4.6 供电、防雷与接地要求</w:t>
      </w:r>
      <w:r/>
    </w:p>
    <w:p>
      <w:pPr>
        <w:ind w:firstLine="480"/>
        <w:spacing w:line="360" w:lineRule="auto"/>
        <w:rPr>
          <w:rFonts w:ascii="宋体" w:hAnsi="宋体"/>
          <w:sz w:val="24"/>
          <w:szCs w:val="24"/>
        </w:rPr>
      </w:pPr>
      <w:r/>
      <w:bookmarkStart w:id="209" w:name="_Hlk164065628"/>
      <w:r>
        <w:rPr>
          <w:rFonts w:hint="eastAsia" w:ascii="宋体" w:hAnsi="宋体"/>
          <w:sz w:val="24"/>
          <w:szCs w:val="24"/>
        </w:rPr>
        <w:t xml:space="preserve">本工程所有的供配电均采取向南通供电公司申报、核准、验收，供电公司按规程装表计量、收费的供配电模式。</w:t>
      </w:r>
      <w:r/>
    </w:p>
    <w:p>
      <w:pPr>
        <w:ind w:firstLine="480"/>
        <w:spacing w:line="360" w:lineRule="auto"/>
        <w:rPr>
          <w:rFonts w:ascii="宋体" w:hAnsi="宋体"/>
          <w:sz w:val="24"/>
          <w:szCs w:val="24"/>
        </w:rPr>
      </w:pPr>
      <w:r>
        <w:rPr>
          <w:rFonts w:hint="eastAsia" w:ascii="宋体" w:hAnsi="宋体"/>
          <w:sz w:val="24"/>
          <w:szCs w:val="24"/>
        </w:rPr>
        <w:t xml:space="preserve">若出现某些感知采集点位，供配电条件不能满足上述要求，必须提供南通供电公司确认的这些点位暂不具备供电公司直供电条件的证明，同时提交通过第三方取电的保障协议(合同)报南通市公安局南通经济技术开发区分局建设方认可后方可实施，上述点位一旦具备南通供电公司直供电条件时，中标方免费按上一条实施。</w:t>
      </w:r>
      <w:r/>
    </w:p>
    <w:p>
      <w:pPr>
        <w:ind w:firstLine="480"/>
        <w:spacing w:line="360" w:lineRule="auto"/>
        <w:rPr>
          <w:rFonts w:ascii="宋体" w:hAnsi="宋体"/>
          <w:sz w:val="24"/>
          <w:szCs w:val="24"/>
        </w:rPr>
      </w:pPr>
      <w:r>
        <w:rPr>
          <w:rFonts w:hint="eastAsia" w:ascii="宋体" w:hAnsi="宋体"/>
          <w:sz w:val="24"/>
          <w:szCs w:val="24"/>
        </w:rPr>
        <w:t xml:space="preserve">若通过路灯供电设备柜获取交流220V市电的，按南通市路灯管理处的要求在供配电设备柜围栏外合适处，固定安装电能计取柜，电能计取柜统一外型尺寸，详见本项目施工图设计S-I-6，设备增添有一定的空间余量，并且有通风、散热、防水、防湿、防高低温、防雷、安全供电、接地、防盗、防鼠害等综合措施，柜体固定在混凝土浇铸的基础上，柜体底部高出周边地坪300mm以上；柜内电气设备、电度表、导线等安装要标准化、规范化。</w:t>
      </w:r>
      <w:r/>
    </w:p>
    <w:p>
      <w:pPr>
        <w:ind w:firstLine="480"/>
        <w:spacing w:line="360" w:lineRule="auto"/>
        <w:rPr>
          <w:rFonts w:ascii="宋体" w:hAnsi="宋体"/>
          <w:sz w:val="24"/>
          <w:szCs w:val="24"/>
        </w:rPr>
      </w:pPr>
      <w:r>
        <w:rPr>
          <w:rFonts w:hint="eastAsia" w:ascii="宋体" w:hAnsi="宋体"/>
          <w:sz w:val="24"/>
          <w:szCs w:val="24"/>
        </w:rPr>
        <w:t xml:space="preserve">前端供电网接入点设备箱内必须装漏电保安器，总电源开关出线必须接入漏电保安器输入端，漏电保安器输出端与前端感知采集点位用电设备线路连接。</w:t>
      </w:r>
      <w:r/>
    </w:p>
    <w:p>
      <w:pPr>
        <w:ind w:firstLine="480"/>
        <w:spacing w:line="360" w:lineRule="auto"/>
        <w:rPr>
          <w:rFonts w:ascii="宋体" w:hAnsi="宋体"/>
          <w:sz w:val="24"/>
          <w:szCs w:val="24"/>
        </w:rPr>
      </w:pPr>
      <w:r>
        <w:rPr>
          <w:rFonts w:hint="eastAsia" w:ascii="宋体" w:hAnsi="宋体"/>
          <w:sz w:val="24"/>
          <w:szCs w:val="24"/>
        </w:rPr>
        <w:t xml:space="preserve">供电、防雷与接地执行现行的国家标准：《安全防范系统供电技术要求(GB/T15408)、《建筑物电子信息系统防雷技术规范(GB50343)》、《民用建筑电气设计标准(</w:t>
      </w:r>
      <w:r>
        <w:rPr>
          <w:rFonts w:ascii="宋体" w:hAnsi="宋体"/>
          <w:sz w:val="24"/>
          <w:szCs w:val="24"/>
        </w:rPr>
        <w:t xml:space="preserve">GB51348</w:t>
      </w:r>
      <w:r>
        <w:rPr>
          <w:rFonts w:hint="eastAsia" w:ascii="宋体" w:hAnsi="宋体"/>
          <w:sz w:val="24"/>
          <w:szCs w:val="24"/>
        </w:rPr>
        <w:t xml:space="preserve">》、《安全防范系统雷电浪涌防护技术要求(GA/T 670)》。本系统中的设备必须进行防雷接地和安全防护接地，独立接地电阻≤4Ω，复合接地电阻≤1Ω。</w:t>
      </w:r>
      <w:bookmarkEnd w:id="209"/>
      <w:r/>
      <w:r/>
    </w:p>
    <w:p>
      <w:pPr>
        <w:pStyle w:val="833"/>
        <w:ind w:firstLine="482"/>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3.4.7 平台接入要求</w:t>
      </w:r>
      <w:r/>
    </w:p>
    <w:p>
      <w:pPr>
        <w:ind w:firstLine="482"/>
        <w:spacing w:line="360" w:lineRule="auto"/>
        <w:rPr>
          <w:rFonts w:ascii="宋体" w:hAnsi="宋体" w:cs="仿宋"/>
          <w:b/>
          <w:bCs/>
          <w:i/>
          <w:iCs/>
          <w:sz w:val="24"/>
          <w:szCs w:val="24"/>
          <w:u w:val="single"/>
        </w:rPr>
      </w:pPr>
      <w:r/>
      <w:bookmarkStart w:id="210" w:name="_Hlk164065607"/>
      <w:r>
        <w:rPr>
          <w:rFonts w:hint="eastAsia" w:ascii="宋体" w:hAnsi="宋体" w:cs="仿宋"/>
          <w:b/>
          <w:bCs/>
          <w:i/>
          <w:iCs/>
          <w:sz w:val="24"/>
          <w:szCs w:val="24"/>
          <w:u w:val="single"/>
        </w:rPr>
        <w:t xml:space="preserve">本项目要求中标人按国标、行标技术规范，免费配合完成本项目前端摄像机视图输出信息与后端存储、服务器及应用平台的对接、调试、接入等工作。（投标人提供承诺函）</w:t>
      </w:r>
      <w:bookmarkEnd w:id="210"/>
      <w:r/>
      <w:r/>
    </w:p>
    <w:p>
      <w:pPr>
        <w:pStyle w:val="832"/>
        <w:ind w:firstLine="482"/>
        <w:rPr>
          <w:rFonts w:ascii="宋体" w:hAnsi="宋体" w:eastAsia="宋体" w:cs="宋体"/>
          <w:b/>
          <w:bCs/>
          <w:sz w:val="24"/>
          <w:szCs w:val="24"/>
        </w:rPr>
      </w:pPr>
      <w:r>
        <w:rPr>
          <w:rFonts w:hint="eastAsia" w:ascii="宋体" w:hAnsi="宋体" w:eastAsia="宋体" w:cs="宋体"/>
          <w:b/>
          <w:bCs/>
          <w:sz w:val="24"/>
          <w:szCs w:val="24"/>
        </w:rPr>
        <w:t xml:space="preserve">3.5 工程承建方主要工作任务</w:t>
      </w:r>
      <w:r/>
    </w:p>
    <w:p>
      <w:pPr>
        <w:ind w:firstLine="480"/>
        <w:spacing w:line="360" w:lineRule="auto"/>
        <w:rPr>
          <w:rFonts w:ascii="宋体" w:hAnsi="宋体" w:cs="仿宋"/>
          <w:sz w:val="24"/>
          <w:szCs w:val="24"/>
        </w:rPr>
      </w:pPr>
      <w:r>
        <w:rPr>
          <w:rFonts w:hint="eastAsia" w:ascii="宋体" w:hAnsi="宋体" w:cs="仿宋"/>
          <w:sz w:val="24"/>
          <w:szCs w:val="24"/>
        </w:rPr>
        <w:t xml:space="preserve">1.项目实施全过程中，负责独立协调和办理好与行政审批、城管、市政、路政、环保、路灯、供水、供气、供电、通讯、运营商、园林、绿化、环卫、社区、物管、供应商等部门的关系；</w:t>
      </w:r>
      <w:r/>
    </w:p>
    <w:p>
      <w:pPr>
        <w:ind w:firstLine="480"/>
        <w:spacing w:line="360" w:lineRule="auto"/>
        <w:rPr>
          <w:rFonts w:ascii="宋体" w:hAnsi="宋体" w:cs="仿宋"/>
          <w:sz w:val="24"/>
          <w:szCs w:val="24"/>
        </w:rPr>
      </w:pPr>
      <w:r>
        <w:rPr>
          <w:rFonts w:hint="eastAsia" w:ascii="宋体" w:hAnsi="宋体" w:cs="仿宋"/>
          <w:sz w:val="24"/>
          <w:szCs w:val="24"/>
        </w:rPr>
        <w:t xml:space="preserve">2.按《安全防范工程技术文件编制深度要求(GA/T1185)》第8-9章要求进行本系统工程施工技术文件深度编制；</w:t>
      </w:r>
      <w:r/>
    </w:p>
    <w:p>
      <w:pPr>
        <w:ind w:firstLine="480"/>
        <w:spacing w:line="360" w:lineRule="auto"/>
        <w:rPr>
          <w:rFonts w:ascii="宋体" w:hAnsi="宋体" w:cs="仿宋"/>
          <w:sz w:val="24"/>
          <w:szCs w:val="24"/>
        </w:rPr>
      </w:pPr>
      <w:r>
        <w:rPr>
          <w:rFonts w:hint="eastAsia" w:ascii="宋体" w:hAnsi="宋体" w:cs="仿宋"/>
          <w:sz w:val="24"/>
          <w:szCs w:val="24"/>
        </w:rPr>
        <w:t xml:space="preserve">3.施工组织编制；</w:t>
      </w:r>
      <w:r/>
    </w:p>
    <w:p>
      <w:pPr>
        <w:ind w:firstLine="480"/>
        <w:spacing w:line="360" w:lineRule="auto"/>
        <w:rPr>
          <w:rFonts w:ascii="宋体" w:hAnsi="宋体" w:cs="仿宋"/>
          <w:sz w:val="24"/>
          <w:szCs w:val="24"/>
        </w:rPr>
      </w:pPr>
      <w:r>
        <w:rPr>
          <w:rFonts w:hint="eastAsia" w:ascii="宋体" w:hAnsi="宋体" w:cs="仿宋"/>
          <w:sz w:val="24"/>
          <w:szCs w:val="24"/>
        </w:rPr>
        <w:t xml:space="preserve">4.设备器材采购、运输；</w:t>
      </w:r>
      <w:r/>
    </w:p>
    <w:p>
      <w:pPr>
        <w:ind w:firstLine="480"/>
        <w:spacing w:line="360" w:lineRule="auto"/>
        <w:rPr>
          <w:rFonts w:ascii="宋体" w:hAnsi="宋体" w:cs="仿宋"/>
          <w:sz w:val="24"/>
          <w:szCs w:val="24"/>
        </w:rPr>
      </w:pPr>
      <w:r>
        <w:rPr>
          <w:rFonts w:hint="eastAsia" w:ascii="宋体" w:hAnsi="宋体" w:cs="仿宋"/>
          <w:sz w:val="24"/>
          <w:szCs w:val="24"/>
        </w:rPr>
        <w:t xml:space="preserve">5.委托有生产及安装资质的单位加工杆柱、安装杆柱 (含立杆基础项)；</w:t>
      </w:r>
      <w:r/>
    </w:p>
    <w:p>
      <w:pPr>
        <w:ind w:firstLine="480"/>
        <w:spacing w:line="360" w:lineRule="auto"/>
        <w:rPr>
          <w:rFonts w:ascii="宋体" w:hAnsi="宋体" w:cs="仿宋"/>
          <w:sz w:val="24"/>
          <w:szCs w:val="24"/>
        </w:rPr>
      </w:pPr>
      <w:r>
        <w:rPr>
          <w:rFonts w:hint="eastAsia" w:ascii="宋体" w:hAnsi="宋体" w:cs="仿宋"/>
          <w:sz w:val="24"/>
          <w:szCs w:val="24"/>
        </w:rPr>
        <w:t xml:space="preserve">6.前端设备的安装及调试与应用平台的接入调试；</w:t>
      </w:r>
      <w:r/>
    </w:p>
    <w:p>
      <w:pPr>
        <w:ind w:firstLine="480"/>
        <w:spacing w:line="360" w:lineRule="auto"/>
        <w:rPr>
          <w:rFonts w:ascii="宋体" w:hAnsi="宋体" w:cs="仿宋"/>
          <w:sz w:val="24"/>
          <w:szCs w:val="24"/>
        </w:rPr>
      </w:pPr>
      <w:r>
        <w:rPr>
          <w:rFonts w:hint="eastAsia" w:ascii="宋体" w:hAnsi="宋体" w:cs="仿宋"/>
          <w:sz w:val="24"/>
          <w:szCs w:val="24"/>
        </w:rPr>
        <w:t xml:space="preserve">7.传输线路、安全低压集合供电系统建造(根据中标方管道资源进行路由设计)；</w:t>
      </w:r>
      <w:r/>
    </w:p>
    <w:p>
      <w:pPr>
        <w:ind w:firstLine="480"/>
        <w:spacing w:line="360" w:lineRule="auto"/>
        <w:rPr>
          <w:rFonts w:ascii="宋体" w:hAnsi="宋体" w:cs="仿宋"/>
          <w:sz w:val="24"/>
          <w:szCs w:val="24"/>
        </w:rPr>
      </w:pPr>
      <w:r>
        <w:rPr>
          <w:rFonts w:hint="eastAsia" w:ascii="宋体" w:hAnsi="宋体" w:cs="仿宋"/>
          <w:sz w:val="24"/>
          <w:szCs w:val="24"/>
        </w:rPr>
        <w:t xml:space="preserve">9.涉及到本工程的汇聚点整合(户外设备箱内设备安装与调试)；</w:t>
      </w:r>
      <w:r/>
    </w:p>
    <w:p>
      <w:pPr>
        <w:ind w:firstLine="480"/>
        <w:spacing w:line="360" w:lineRule="auto"/>
        <w:rPr>
          <w:rFonts w:ascii="宋体" w:hAnsi="宋体" w:cs="仿宋"/>
          <w:sz w:val="24"/>
          <w:szCs w:val="24"/>
        </w:rPr>
      </w:pPr>
      <w:r>
        <w:rPr>
          <w:rFonts w:hint="eastAsia" w:ascii="宋体" w:hAnsi="宋体" w:cs="仿宋"/>
          <w:sz w:val="24"/>
          <w:szCs w:val="24"/>
        </w:rPr>
        <w:t xml:space="preserve">10.防雷与接地的检查、日常维护；</w:t>
      </w:r>
      <w:r/>
    </w:p>
    <w:p>
      <w:pPr>
        <w:ind w:firstLine="480"/>
        <w:spacing w:line="360" w:lineRule="auto"/>
        <w:rPr>
          <w:rFonts w:ascii="宋体" w:hAnsi="宋体" w:cs="仿宋"/>
          <w:sz w:val="24"/>
          <w:szCs w:val="24"/>
        </w:rPr>
      </w:pPr>
      <w:r>
        <w:rPr>
          <w:rFonts w:hint="eastAsia" w:ascii="宋体" w:hAnsi="宋体" w:cs="仿宋"/>
          <w:sz w:val="24"/>
          <w:szCs w:val="24"/>
        </w:rPr>
        <w:t xml:space="preserve">11.必须配合第三方法定检测机构到现场对本工程进行检测的工作；</w:t>
      </w:r>
      <w:r/>
    </w:p>
    <w:p>
      <w:pPr>
        <w:ind w:firstLine="480"/>
        <w:spacing w:line="360" w:lineRule="auto"/>
        <w:rPr>
          <w:rFonts w:ascii="宋体" w:hAnsi="宋体" w:cs="仿宋"/>
          <w:sz w:val="24"/>
          <w:szCs w:val="24"/>
        </w:rPr>
      </w:pPr>
      <w:r>
        <w:rPr>
          <w:rFonts w:hint="eastAsia" w:ascii="宋体" w:hAnsi="宋体" w:cs="仿宋"/>
          <w:sz w:val="24"/>
          <w:szCs w:val="24"/>
        </w:rPr>
        <w:t xml:space="preserve">12.必须完成前端点位一机一档的登记录入工作；</w:t>
      </w:r>
      <w:r/>
    </w:p>
    <w:p>
      <w:pPr>
        <w:ind w:firstLine="480"/>
        <w:spacing w:line="360" w:lineRule="auto"/>
        <w:rPr>
          <w:rFonts w:ascii="宋体" w:hAnsi="宋体" w:cs="仿宋"/>
          <w:sz w:val="24"/>
          <w:szCs w:val="24"/>
        </w:rPr>
      </w:pPr>
      <w:r>
        <w:rPr>
          <w:rFonts w:hint="eastAsia" w:ascii="宋体" w:hAnsi="宋体" w:cs="仿宋"/>
          <w:sz w:val="24"/>
          <w:szCs w:val="24"/>
        </w:rPr>
        <w:t xml:space="preserve">13.对基层一线监控值班操作人员进行日常操作与值机等实用性技术培训(包教包会)；</w:t>
      </w:r>
      <w:r/>
    </w:p>
    <w:p>
      <w:pPr>
        <w:ind w:firstLine="480"/>
        <w:spacing w:line="360" w:lineRule="auto"/>
        <w:rPr>
          <w:rFonts w:ascii="宋体" w:hAnsi="宋体" w:cs="仿宋"/>
          <w:sz w:val="24"/>
          <w:szCs w:val="24"/>
        </w:rPr>
      </w:pPr>
      <w:r>
        <w:rPr>
          <w:rFonts w:hint="eastAsia" w:ascii="宋体" w:hAnsi="宋体" w:cs="仿宋"/>
          <w:sz w:val="24"/>
          <w:szCs w:val="24"/>
        </w:rPr>
        <w:t xml:space="preserve">14.在南通市公安局南通经济技术开发区分局参与工程建设的负责人员、技术顾问、监理人员的见证下，对建设方监控直接使用负责人，进行最终的设备器材、随机文作、附件、备品、备件的实物清点与交接；</w:t>
      </w:r>
      <w:r/>
    </w:p>
    <w:p>
      <w:pPr>
        <w:ind w:firstLine="480"/>
        <w:spacing w:line="360" w:lineRule="auto"/>
        <w:rPr>
          <w:rFonts w:ascii="宋体" w:hAnsi="宋体" w:cs="仿宋"/>
          <w:sz w:val="24"/>
          <w:szCs w:val="24"/>
        </w:rPr>
      </w:pPr>
      <w:r>
        <w:rPr>
          <w:rFonts w:hint="eastAsia" w:ascii="宋体" w:hAnsi="宋体" w:cs="仿宋"/>
          <w:sz w:val="24"/>
          <w:szCs w:val="24"/>
        </w:rPr>
        <w:t xml:space="preserve">15.按《安全防范工程技术文件编制深度要求(GA/T1185)》第10章竣工资料10.1一般要求、10.2竣工文件具体要求向建设方提交完整的工程资料、档案文件、工程建设过程中的文字记载，会议记要等以及本系统真实无误的感知采集点位详尽的《南通市公安局南通经济技术开发区分局感知采集点位信息图(表)(登记册)》、操作说明和维护与保养手册等；</w:t>
      </w:r>
      <w:r/>
    </w:p>
    <w:p>
      <w:pPr>
        <w:ind w:firstLine="480"/>
        <w:spacing w:line="360" w:lineRule="auto"/>
        <w:rPr>
          <w:rFonts w:ascii="宋体" w:hAnsi="宋体" w:cs="仿宋"/>
          <w:sz w:val="24"/>
          <w:szCs w:val="24"/>
        </w:rPr>
      </w:pPr>
      <w:r>
        <w:rPr>
          <w:rFonts w:hint="eastAsia" w:ascii="宋体" w:hAnsi="宋体" w:cs="仿宋"/>
          <w:sz w:val="24"/>
          <w:szCs w:val="24"/>
        </w:rPr>
        <w:t xml:space="preserve">16.按《安全防范工程程序与要求(GA/T75)》、《安全防范系统验收规则(GA308-2001)》等有关要求进入该工程的初验与终验；</w:t>
      </w:r>
      <w:r/>
    </w:p>
    <w:p>
      <w:pPr>
        <w:ind w:firstLine="480"/>
        <w:spacing w:line="360" w:lineRule="auto"/>
        <w:rPr>
          <w:rFonts w:ascii="宋体" w:hAnsi="宋体" w:cs="仿宋"/>
          <w:sz w:val="24"/>
          <w:szCs w:val="24"/>
        </w:rPr>
      </w:pPr>
      <w:r>
        <w:rPr>
          <w:rFonts w:hint="eastAsia" w:ascii="宋体" w:hAnsi="宋体" w:cs="仿宋"/>
          <w:sz w:val="24"/>
          <w:szCs w:val="24"/>
        </w:rPr>
        <w:t xml:space="preserve">17.该工程终验合格正式交付次日起</w:t>
      </w:r>
      <w:r>
        <w:rPr>
          <w:rFonts w:ascii="宋体" w:hAnsi="宋体" w:cs="仿宋"/>
          <w:sz w:val="24"/>
          <w:szCs w:val="24"/>
        </w:rPr>
        <w:t xml:space="preserve">5</w:t>
      </w:r>
      <w:r>
        <w:rPr>
          <w:rFonts w:hint="eastAsia" w:ascii="宋体" w:hAnsi="宋体" w:cs="仿宋"/>
          <w:sz w:val="24"/>
          <w:szCs w:val="24"/>
        </w:rPr>
        <w:t xml:space="preserve">年内按《安全防范系统维护保养规范(GA</w:t>
      </w:r>
      <w:r>
        <w:rPr>
          <w:rFonts w:ascii="宋体" w:hAnsi="宋体" w:cs="仿宋"/>
          <w:sz w:val="24"/>
          <w:szCs w:val="24"/>
        </w:rPr>
        <w:t xml:space="preserve">/T</w:t>
      </w:r>
      <w:r>
        <w:rPr>
          <w:rFonts w:hint="eastAsia" w:ascii="宋体" w:hAnsi="宋体" w:cs="仿宋"/>
          <w:sz w:val="24"/>
          <w:szCs w:val="24"/>
        </w:rPr>
        <w:t xml:space="preserve">1081)》及《安全防范视频图像系统维护保养规范 (DB3206/T 1001)》对该工程进行维护保养(根据中华人民共和国国务院颁发的《建设工程质量管理条例》规定该类工程义务维保期2年，以后3年为本工程续延保期)。中标方在签订本工程合同的同时，必须与南通市公安局南通经济技术开发区分局签订统一拟定的视频图像系统维保协议和保密协议。</w:t>
      </w:r>
      <w:r/>
    </w:p>
    <w:p>
      <w:pPr>
        <w:pStyle w:val="83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3.6 主要设备器材技术参数及要求</w:t>
      </w:r>
      <w:r/>
    </w:p>
    <w:p>
      <w:pPr>
        <w:ind w:firstLine="482"/>
        <w:spacing w:line="360" w:lineRule="auto"/>
        <w:rPr>
          <w:rFonts w:ascii="宋体" w:hAnsi="宋体"/>
          <w:b/>
          <w:bCs/>
          <w:sz w:val="24"/>
          <w:szCs w:val="24"/>
        </w:rPr>
      </w:pPr>
      <w:r/>
      <w:bookmarkStart w:id="211" w:name="_Hlk187681655"/>
      <w:r>
        <w:rPr>
          <w:rFonts w:hint="eastAsia" w:ascii="宋体" w:hAnsi="宋体"/>
          <w:b/>
          <w:bCs/>
          <w:sz w:val="24"/>
          <w:szCs w:val="24"/>
        </w:rPr>
        <w:t xml:space="preserve">加“★”的参数为关键参数，投标时须提供法定检测机构出具的检测报告扫描件或提供投标人出具的承诺函</w:t>
      </w:r>
      <w:bookmarkEnd w:id="211"/>
      <w:r>
        <w:rPr>
          <w:rFonts w:hint="eastAsia" w:ascii="宋体" w:hAnsi="宋体"/>
          <w:b/>
          <w:bCs/>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.6.1</w:t>
      </w:r>
      <w:r>
        <w:rPr>
          <w:rFonts w:hint="eastAsia" w:ascii="宋体" w:hAnsi="宋体"/>
          <w:sz w:val="24"/>
          <w:szCs w:val="24"/>
        </w:rPr>
        <w:t xml:space="preserve">至</w:t>
      </w:r>
      <w:r>
        <w:rPr>
          <w:rFonts w:ascii="宋体" w:hAnsi="宋体"/>
          <w:sz w:val="24"/>
          <w:szCs w:val="24"/>
        </w:rPr>
        <w:t xml:space="preserve">3.6.2</w:t>
      </w:r>
      <w:r>
        <w:rPr>
          <w:rFonts w:hint="eastAsia" w:ascii="宋体" w:hAnsi="宋体"/>
          <w:sz w:val="24"/>
          <w:szCs w:val="24"/>
        </w:rPr>
        <w:t xml:space="preserve">设备进场报验时必须提交与该产品型号一致的第三方法定检测机构出具的(时效24个月内)检测报告和原厂设备5年质保书。</w:t>
      </w:r>
      <w:r/>
    </w:p>
    <w:p>
      <w:pPr>
        <w:pStyle w:val="833"/>
        <w:ind w:firstLine="482"/>
        <w:spacing w:before="100" w:beforeAutospacing="1" w:after="100" w:afterAutospacing="1"/>
        <w:rPr>
          <w:rFonts w:ascii="宋体" w:hAnsi="宋体" w:eastAsia="宋体" w:cs="宋体"/>
          <w:sz w:val="24"/>
          <w:szCs w:val="24"/>
        </w:rPr>
      </w:pPr>
      <w:r/>
      <w:bookmarkStart w:id="212" w:name="_Hlk164065261"/>
      <w:r>
        <w:rPr>
          <w:rFonts w:hint="eastAsia" w:ascii="宋体" w:hAnsi="宋体" w:eastAsia="宋体" w:cs="宋体"/>
          <w:sz w:val="24"/>
          <w:szCs w:val="24"/>
        </w:rPr>
        <w:t xml:space="preserve">3.6.1 前端感知采集设备器材与配套件</w:t>
      </w:r>
      <w:bookmarkEnd w:id="212"/>
      <w:r/>
      <w:r/>
    </w:p>
    <w:p>
      <w:pPr>
        <w:ind w:firstLine="480"/>
        <w:spacing w:line="360" w:lineRule="auto"/>
        <w:rPr>
          <w:rFonts w:ascii="宋体" w:hAnsi="宋体" w:cs="仿宋"/>
          <w:sz w:val="24"/>
          <w:szCs w:val="24"/>
        </w:rPr>
      </w:pPr>
      <w:r>
        <w:rPr>
          <w:rFonts w:hint="eastAsia" w:ascii="宋体" w:hAnsi="宋体" w:cs="仿宋"/>
          <w:sz w:val="24"/>
          <w:szCs w:val="24"/>
        </w:rPr>
        <w:t xml:space="preserve">严格按《公共区域智能视频采集设备布建规则》附录A：设备技术要求，进行配制摄像机。</w:t>
      </w:r>
      <w:r/>
    </w:p>
    <w:p>
      <w:pPr>
        <w:ind w:firstLine="482"/>
        <w:spacing w:line="360" w:lineRule="auto"/>
        <w:rPr>
          <w:rFonts w:ascii="宋体" w:hAnsi="宋体"/>
          <w:b/>
          <w:sz w:val="24"/>
          <w:szCs w:val="24"/>
        </w:rPr>
      </w:pPr>
      <w:r>
        <w:rPr>
          <w:rFonts w:hint="eastAsia" w:ascii="宋体" w:hAnsi="宋体"/>
          <w:b/>
          <w:sz w:val="24"/>
          <w:szCs w:val="24"/>
        </w:rPr>
        <w:t xml:space="preserve">本项目选用摄像机建议品牌：大华、海康、华为。</w:t>
      </w:r>
      <w:r/>
    </w:p>
    <w:p>
      <w:pPr>
        <w:pStyle w:val="834"/>
        <w:ind w:firstLine="482"/>
        <w:rPr>
          <w:rFonts w:ascii="宋体" w:hAnsi="宋体" w:eastAsia="宋体" w:cs="宋体"/>
        </w:rPr>
      </w:pPr>
      <w:r>
        <w:rPr>
          <w:rFonts w:hint="eastAsia" w:ascii="宋体" w:hAnsi="宋体" w:eastAsia="宋体" w:cs="宋体"/>
        </w:rPr>
        <w:t xml:space="preserve">3.6.1.1 双目球型摄像机</w:t>
      </w:r>
      <w:r/>
    </w:p>
    <w:p>
      <w:pPr>
        <w:ind w:firstLine="480"/>
        <w:spacing w:line="360" w:lineRule="auto"/>
        <w:rPr>
          <w:rFonts w:ascii="宋体" w:hAnsi="宋体"/>
          <w:sz w:val="24"/>
          <w:szCs w:val="24"/>
        </w:rPr>
      </w:pPr>
      <w:r/>
      <w:bookmarkStart w:id="213" w:name="_Hlk164065300"/>
      <w:r>
        <w:rPr>
          <w:rFonts w:hint="eastAsia" w:ascii="宋体" w:hAnsi="宋体"/>
          <w:sz w:val="24"/>
          <w:szCs w:val="24"/>
        </w:rPr>
        <w:t xml:space="preserve">采用一体化设计，内置3个以上镜头、满足输出2路以上的视频图像，输出视频至少包含动点视频图像和固定视频图像各1路；动点镜头满足水平0°∽360°、垂直-20°∽90°旋转，最远可视距离≥500m；全景镜头，具有夜间全彩成像的能力，画面通透、色彩真实，满足各类复杂场景视频监控的需求。</w:t>
      </w:r>
      <w:r/>
    </w:p>
    <w:p>
      <w:pPr>
        <w:ind w:firstLine="480"/>
        <w:spacing w:line="360" w:lineRule="auto"/>
        <w:rPr>
          <w:rFonts w:ascii="宋体" w:hAnsi="宋体"/>
          <w:sz w:val="24"/>
          <w:szCs w:val="24"/>
        </w:rPr>
      </w:pPr>
      <w:r>
        <w:rPr>
          <w:rFonts w:hint="eastAsia" w:ascii="宋体" w:hAnsi="宋体"/>
          <w:sz w:val="24"/>
          <w:szCs w:val="24"/>
        </w:rPr>
        <w:t xml:space="preserve">主要技术要求：</w:t>
      </w:r>
      <w:r/>
    </w:p>
    <w:p>
      <w:pPr>
        <w:ind w:firstLine="480"/>
        <w:spacing w:line="360" w:lineRule="auto"/>
        <w:rPr>
          <w:rFonts w:ascii="宋体" w:hAnsi="宋体"/>
          <w:sz w:val="24"/>
          <w:szCs w:val="24"/>
        </w:rPr>
      </w:pPr>
      <w:r>
        <w:rPr>
          <w:rFonts w:hint="eastAsia" w:ascii="宋体" w:hAnsi="宋体"/>
          <w:sz w:val="24"/>
          <w:szCs w:val="24"/>
        </w:rPr>
        <w:t xml:space="preserve">★内置三个及以上镜头，其中全景摄像机内置2个镜头，细节摄像机内置1个镜头，可以输出全景和细节两路视频图像；</w:t>
      </w:r>
      <w:r/>
    </w:p>
    <w:p>
      <w:pPr>
        <w:ind w:firstLine="480"/>
        <w:spacing w:line="360" w:lineRule="auto"/>
        <w:rPr>
          <w:rFonts w:ascii="宋体" w:hAnsi="宋体"/>
          <w:sz w:val="24"/>
          <w:szCs w:val="24"/>
        </w:rPr>
      </w:pPr>
      <w:r>
        <w:rPr>
          <w:rFonts w:hint="eastAsia" w:ascii="宋体" w:hAnsi="宋体"/>
          <w:sz w:val="24"/>
          <w:szCs w:val="24"/>
        </w:rPr>
        <w:t xml:space="preserve">传感器类型：全景传感器不低于1/1.8英寸CMOS；细节传感器不低于1/1.8英寸CMOS；</w:t>
      </w:r>
      <w:r/>
    </w:p>
    <w:p>
      <w:pPr>
        <w:ind w:firstLine="480"/>
        <w:spacing w:line="360" w:lineRule="auto"/>
        <w:rPr>
          <w:rFonts w:ascii="宋体" w:hAnsi="宋体"/>
          <w:sz w:val="24"/>
          <w:szCs w:val="24"/>
        </w:rPr>
      </w:pPr>
      <w:r>
        <w:rPr>
          <w:rFonts w:hint="eastAsia" w:ascii="宋体" w:hAnsi="宋体"/>
          <w:sz w:val="24"/>
          <w:szCs w:val="24"/>
        </w:rPr>
        <w:t xml:space="preserve">★分辨率:全景≥3600×1</w:t>
      </w:r>
      <w:r>
        <w:rPr>
          <w:rFonts w:ascii="宋体" w:hAnsi="宋体"/>
          <w:sz w:val="24"/>
          <w:szCs w:val="24"/>
        </w:rPr>
        <w:t xml:space="preserve">600</w:t>
      </w:r>
      <w:r>
        <w:rPr>
          <w:rFonts w:hint="eastAsia" w:ascii="宋体" w:hAnsi="宋体"/>
          <w:sz w:val="24"/>
          <w:szCs w:val="24"/>
        </w:rPr>
        <w:t xml:space="preserve">，细节≥2</w:t>
      </w:r>
      <w:r>
        <w:rPr>
          <w:rFonts w:ascii="宋体" w:hAnsi="宋体"/>
          <w:sz w:val="24"/>
          <w:szCs w:val="24"/>
        </w:rPr>
        <w:t xml:space="preserve">560</w:t>
      </w:r>
      <w:r>
        <w:rPr>
          <w:rFonts w:hint="eastAsia" w:ascii="宋体" w:hAnsi="宋体"/>
          <w:sz w:val="24"/>
          <w:szCs w:val="24"/>
        </w:rPr>
        <w:t xml:space="preserve">×1</w:t>
      </w:r>
      <w:r>
        <w:rPr>
          <w:rFonts w:ascii="宋体" w:hAnsi="宋体"/>
          <w:sz w:val="24"/>
          <w:szCs w:val="24"/>
        </w:rPr>
        <w:t xml:space="preserve">440</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全景通道可输出2个镜头拼接的全景图像，全景通道水平视场角≥185°</w:t>
      </w:r>
      <w:r/>
    </w:p>
    <w:p>
      <w:pPr>
        <w:ind w:firstLine="480"/>
        <w:spacing w:line="360" w:lineRule="auto"/>
        <w:rPr>
          <w:rFonts w:ascii="宋体" w:hAnsi="宋体"/>
          <w:sz w:val="24"/>
          <w:szCs w:val="24"/>
        </w:rPr>
      </w:pPr>
      <w:r>
        <w:rPr>
          <w:rFonts w:hint="eastAsia" w:ascii="宋体" w:hAnsi="宋体"/>
          <w:sz w:val="24"/>
          <w:szCs w:val="24"/>
        </w:rPr>
        <w:t xml:space="preserve">照度：彩色模式≤0.0002Lux（F1.2）、黑白模式≤0.0001Lux（F1.2）；</w:t>
      </w:r>
      <w:r/>
    </w:p>
    <w:p>
      <w:pPr>
        <w:ind w:firstLine="480"/>
        <w:spacing w:line="360" w:lineRule="auto"/>
        <w:rPr>
          <w:rFonts w:ascii="宋体" w:hAnsi="宋体"/>
          <w:sz w:val="24"/>
          <w:szCs w:val="24"/>
        </w:rPr>
      </w:pPr>
      <w:r>
        <w:rPr>
          <w:rFonts w:hint="eastAsia" w:ascii="宋体" w:hAnsi="宋体"/>
          <w:sz w:val="24"/>
          <w:szCs w:val="24"/>
        </w:rPr>
        <w:t xml:space="preserve">具有夜间全彩成像的能力，补光距离：≥30m（白光），≥200m（红外）；</w:t>
      </w:r>
      <w:r/>
    </w:p>
    <w:p>
      <w:pPr>
        <w:ind w:firstLine="480"/>
        <w:spacing w:line="360" w:lineRule="auto"/>
        <w:rPr>
          <w:rFonts w:ascii="宋体" w:hAnsi="宋体"/>
          <w:sz w:val="24"/>
          <w:szCs w:val="24"/>
        </w:rPr>
      </w:pPr>
      <w:r>
        <w:rPr>
          <w:rFonts w:hint="eastAsia" w:ascii="宋体" w:hAnsi="宋体"/>
          <w:sz w:val="24"/>
          <w:szCs w:val="24"/>
        </w:rPr>
        <w:t xml:space="preserve">宽动态≥105dB；</w:t>
      </w:r>
      <w:r/>
    </w:p>
    <w:p>
      <w:pPr>
        <w:ind w:firstLine="480"/>
        <w:spacing w:line="360" w:lineRule="auto"/>
        <w:rPr>
          <w:rFonts w:ascii="宋体" w:hAnsi="宋体"/>
          <w:sz w:val="24"/>
          <w:szCs w:val="24"/>
        </w:rPr>
      </w:pPr>
      <w:r>
        <w:rPr>
          <w:rFonts w:hint="eastAsia" w:ascii="宋体" w:hAnsi="宋体"/>
          <w:sz w:val="24"/>
          <w:szCs w:val="24"/>
        </w:rPr>
        <w:t xml:space="preserve">光学变倍≥32倍，数字变倍≥16倍；</w:t>
      </w:r>
      <w:r/>
    </w:p>
    <w:p>
      <w:pPr>
        <w:ind w:firstLine="480"/>
        <w:spacing w:line="360" w:lineRule="auto"/>
        <w:rPr>
          <w:rFonts w:ascii="宋体" w:hAnsi="宋体"/>
          <w:sz w:val="24"/>
          <w:szCs w:val="24"/>
        </w:rPr>
      </w:pPr>
      <w:r>
        <w:rPr>
          <w:rFonts w:hint="eastAsia" w:ascii="宋体" w:hAnsi="宋体"/>
          <w:sz w:val="24"/>
          <w:szCs w:val="24"/>
        </w:rPr>
        <w:t xml:space="preserve">信噪比≥63dB；</w:t>
      </w:r>
      <w:r/>
    </w:p>
    <w:p>
      <w:pPr>
        <w:ind w:firstLine="480"/>
        <w:spacing w:line="360" w:lineRule="auto"/>
        <w:rPr>
          <w:rFonts w:ascii="宋体" w:hAnsi="宋体"/>
          <w:sz w:val="24"/>
          <w:szCs w:val="24"/>
        </w:rPr>
      </w:pPr>
      <w:r>
        <w:rPr>
          <w:rFonts w:hint="eastAsia" w:ascii="宋体" w:hAnsi="宋体"/>
          <w:sz w:val="24"/>
          <w:szCs w:val="24"/>
        </w:rPr>
        <w:t xml:space="preserve">视频编码方式响应：H.264、H.265；</w:t>
      </w:r>
      <w:r/>
    </w:p>
    <w:p>
      <w:pPr>
        <w:ind w:firstLine="480"/>
        <w:spacing w:line="360" w:lineRule="auto"/>
        <w:rPr>
          <w:rFonts w:ascii="宋体" w:hAnsi="宋体"/>
          <w:sz w:val="24"/>
          <w:szCs w:val="24"/>
        </w:rPr>
      </w:pPr>
      <w:r>
        <w:rPr>
          <w:rFonts w:hint="eastAsia" w:ascii="宋体" w:hAnsi="宋体"/>
          <w:sz w:val="24"/>
          <w:szCs w:val="24"/>
        </w:rPr>
        <w:t xml:space="preserve">内置GPU芯片，整机峰值算力≥4TOPS（INT8精度）；</w:t>
      </w:r>
      <w:r/>
    </w:p>
    <w:p>
      <w:pPr>
        <w:ind w:firstLine="480"/>
        <w:spacing w:line="360" w:lineRule="auto"/>
        <w:rPr>
          <w:rFonts w:ascii="宋体" w:hAnsi="宋体"/>
          <w:sz w:val="24"/>
          <w:szCs w:val="24"/>
        </w:rPr>
      </w:pPr>
      <w:r>
        <w:rPr>
          <w:rFonts w:hint="eastAsia" w:ascii="宋体" w:hAnsi="宋体"/>
          <w:sz w:val="24"/>
          <w:szCs w:val="24"/>
        </w:rPr>
        <w:t xml:space="preserve">支持快速智能切换,当更换智能模式时设备不重启,新智能使能后即可生效；</w:t>
      </w:r>
      <w:r/>
    </w:p>
    <w:p>
      <w:pPr>
        <w:ind w:firstLine="480"/>
        <w:spacing w:line="360" w:lineRule="auto"/>
        <w:rPr>
          <w:rFonts w:ascii="宋体" w:hAnsi="宋体"/>
          <w:sz w:val="24"/>
          <w:szCs w:val="24"/>
        </w:rPr>
      </w:pPr>
      <w:r>
        <w:rPr>
          <w:rFonts w:hint="eastAsia" w:ascii="宋体" w:hAnsi="宋体"/>
          <w:sz w:val="24"/>
          <w:szCs w:val="24"/>
        </w:rPr>
        <w:t xml:space="preserve">64条巡航路径，每条巡航可以添加4个预置点；</w:t>
      </w:r>
      <w:r/>
    </w:p>
    <w:p>
      <w:pPr>
        <w:ind w:firstLine="480"/>
        <w:spacing w:line="360" w:lineRule="auto"/>
        <w:rPr>
          <w:rFonts w:ascii="宋体" w:hAnsi="宋体"/>
          <w:sz w:val="24"/>
          <w:szCs w:val="24"/>
        </w:rPr>
      </w:pPr>
      <w:r>
        <w:rPr>
          <w:rFonts w:hint="eastAsia" w:ascii="宋体" w:hAnsi="宋体"/>
          <w:sz w:val="24"/>
          <w:szCs w:val="24"/>
        </w:rPr>
        <w:t xml:space="preserve">设备满足双镜头从最小倍率至最大倍率或最大倍率至最小倍率变倍过程中视频图像不间断；</w:t>
      </w:r>
      <w:r/>
    </w:p>
    <w:p>
      <w:pPr>
        <w:ind w:firstLine="480"/>
        <w:spacing w:line="360" w:lineRule="auto"/>
        <w:rPr>
          <w:rFonts w:ascii="宋体" w:hAnsi="宋体"/>
          <w:sz w:val="24"/>
          <w:szCs w:val="24"/>
        </w:rPr>
      </w:pPr>
      <w:r>
        <w:rPr>
          <w:rFonts w:hint="eastAsia" w:ascii="宋体" w:hAnsi="宋体"/>
          <w:sz w:val="24"/>
          <w:szCs w:val="24"/>
        </w:rPr>
        <w:t xml:space="preserve">水平方向360°连续旋转，垂直方向-20°～90°自动翻转180°后连续监视；</w:t>
      </w:r>
      <w:r/>
    </w:p>
    <w:p>
      <w:pPr>
        <w:ind w:firstLine="480"/>
        <w:spacing w:line="360" w:lineRule="auto"/>
        <w:rPr>
          <w:rFonts w:ascii="宋体" w:hAnsi="宋体"/>
          <w:sz w:val="24"/>
          <w:szCs w:val="24"/>
        </w:rPr>
      </w:pPr>
      <w:r>
        <w:rPr>
          <w:rFonts w:hint="eastAsia" w:ascii="宋体" w:hAnsi="宋体"/>
          <w:sz w:val="24"/>
          <w:szCs w:val="24"/>
        </w:rPr>
        <w:t xml:space="preserve">1个网络接口，1路RS-485接口，2路报警输入，1路报警输出；</w:t>
      </w:r>
      <w:r/>
    </w:p>
    <w:p>
      <w:pPr>
        <w:ind w:firstLine="480"/>
        <w:spacing w:line="360" w:lineRule="auto"/>
        <w:rPr>
          <w:rFonts w:ascii="宋体" w:hAnsi="宋体"/>
          <w:sz w:val="24"/>
          <w:szCs w:val="24"/>
        </w:rPr>
      </w:pPr>
      <w:r>
        <w:rPr>
          <w:rFonts w:hint="eastAsia" w:ascii="宋体" w:hAnsi="宋体"/>
          <w:sz w:val="24"/>
          <w:szCs w:val="24"/>
        </w:rPr>
        <w:t xml:space="preserve">防护等级：≥IP67。</w:t>
      </w:r>
      <w:r/>
    </w:p>
    <w:p>
      <w:pPr>
        <w:ind w:firstLine="480"/>
        <w:spacing w:line="360" w:lineRule="auto"/>
        <w:rPr>
          <w:rFonts w:ascii="宋体" w:hAnsi="宋体"/>
          <w:sz w:val="24"/>
          <w:szCs w:val="24"/>
        </w:rPr>
      </w:pPr>
      <w:r>
        <w:rPr>
          <w:rFonts w:hint="eastAsia" w:ascii="宋体" w:hAnsi="宋体"/>
          <w:sz w:val="24"/>
          <w:szCs w:val="24"/>
        </w:rPr>
        <w:t xml:space="preserve">工作环境：-30℃--+60℃；</w:t>
      </w:r>
      <w:r/>
    </w:p>
    <w:p>
      <w:pPr>
        <w:ind w:firstLine="480"/>
        <w:spacing w:line="360" w:lineRule="auto"/>
        <w:rPr>
          <w:rFonts w:ascii="宋体" w:hAnsi="宋体"/>
          <w:sz w:val="24"/>
          <w:szCs w:val="24"/>
        </w:rPr>
      </w:pPr>
      <w:r>
        <w:rPr>
          <w:rFonts w:hint="eastAsia" w:ascii="宋体" w:hAnsi="宋体"/>
          <w:sz w:val="24"/>
          <w:szCs w:val="24"/>
        </w:rPr>
        <w:t xml:space="preserve">供电方式AC24V±30%；</w:t>
      </w:r>
      <w:r/>
    </w:p>
    <w:p>
      <w:pPr>
        <w:ind w:firstLine="480"/>
        <w:spacing w:line="360" w:lineRule="auto"/>
        <w:rPr>
          <w:rFonts w:ascii="宋体" w:hAnsi="宋体"/>
          <w:sz w:val="24"/>
          <w:szCs w:val="24"/>
        </w:rPr>
      </w:pPr>
      <w:r>
        <w:rPr>
          <w:rFonts w:hint="eastAsia" w:ascii="宋体" w:hAnsi="宋体"/>
          <w:sz w:val="24"/>
          <w:szCs w:val="24"/>
        </w:rPr>
        <w:t xml:space="preserve">包含随机安装配件。</w:t>
      </w:r>
      <w:r/>
    </w:p>
    <w:p>
      <w:pPr>
        <w:ind w:firstLine="480"/>
        <w:spacing w:line="360" w:lineRule="auto"/>
        <w:rPr>
          <w:rFonts w:ascii="宋体" w:hAnsi="宋体"/>
          <w:sz w:val="24"/>
          <w:szCs w:val="24"/>
        </w:rPr>
      </w:pPr>
      <w:r>
        <w:rPr>
          <w:rFonts w:hint="eastAsia" w:ascii="宋体" w:hAnsi="宋体"/>
          <w:sz w:val="24"/>
          <w:szCs w:val="24"/>
        </w:rPr>
        <w:t xml:space="preserve">加“★”的参数投标时须提供法定检测机构出具检测合格的报告的扫描件或提供投标人出具的承诺函。</w:t>
      </w:r>
      <w:r/>
    </w:p>
    <w:p>
      <w:pPr>
        <w:pStyle w:val="834"/>
        <w:ind w:firstLine="482"/>
        <w:rPr>
          <w:rFonts w:ascii="宋体" w:hAnsi="宋体" w:eastAsia="宋体" w:cs="宋体"/>
        </w:rPr>
      </w:pPr>
      <w:r>
        <w:rPr>
          <w:rFonts w:hint="eastAsia" w:ascii="宋体" w:hAnsi="宋体" w:eastAsia="宋体" w:cs="宋体"/>
        </w:rPr>
        <w:t xml:space="preserve">3.6.1.</w:t>
      </w:r>
      <w:r>
        <w:rPr>
          <w:rFonts w:ascii="宋体" w:hAnsi="宋体" w:eastAsia="宋体" w:cs="宋体"/>
        </w:rPr>
        <w:t xml:space="preserve">2</w:t>
      </w:r>
      <w:r>
        <w:rPr>
          <w:rFonts w:hint="eastAsia" w:ascii="宋体" w:hAnsi="宋体" w:eastAsia="宋体" w:cs="宋体"/>
        </w:rPr>
        <w:t xml:space="preserve"> 人车卡口相机</w:t>
      </w:r>
      <w:r/>
    </w:p>
    <w:p>
      <w:pPr>
        <w:ind w:firstLine="480"/>
        <w:spacing w:line="360" w:lineRule="auto"/>
        <w:rPr>
          <w:rFonts w:ascii="宋体" w:hAnsi="宋体"/>
          <w:sz w:val="24"/>
          <w:szCs w:val="24"/>
        </w:rPr>
      </w:pPr>
      <w:r>
        <w:rPr>
          <w:rFonts w:hint="eastAsia" w:ascii="宋体" w:hAnsi="宋体"/>
          <w:sz w:val="24"/>
          <w:szCs w:val="24"/>
        </w:rPr>
        <w:t xml:space="preserve">配置高清镜头、室外防护罩、电源适配器等，镜头满足驾驶员人脸抠图效果；</w:t>
      </w:r>
      <w:r/>
    </w:p>
    <w:p>
      <w:pPr>
        <w:ind w:firstLine="480"/>
        <w:spacing w:line="360" w:lineRule="auto"/>
        <w:rPr>
          <w:rFonts w:ascii="宋体" w:hAnsi="宋体"/>
          <w:sz w:val="24"/>
          <w:szCs w:val="24"/>
        </w:rPr>
      </w:pPr>
      <w:r>
        <w:rPr>
          <w:rFonts w:hint="eastAsia" w:ascii="宋体" w:hAnsi="宋体"/>
          <w:sz w:val="24"/>
          <w:szCs w:val="24"/>
        </w:rPr>
        <w:t xml:space="preserve">传感器类型: 1英寸GS-CMOS；</w:t>
      </w:r>
      <w:r/>
    </w:p>
    <w:p>
      <w:pPr>
        <w:ind w:firstLine="480"/>
        <w:spacing w:line="360" w:lineRule="auto"/>
        <w:rPr>
          <w:rFonts w:ascii="宋体" w:hAnsi="宋体"/>
          <w:sz w:val="24"/>
          <w:szCs w:val="24"/>
        </w:rPr>
      </w:pPr>
      <w:r>
        <w:rPr>
          <w:rFonts w:hint="eastAsia" w:ascii="宋体" w:hAnsi="宋体"/>
          <w:sz w:val="24"/>
          <w:szCs w:val="24"/>
        </w:rPr>
        <w:t xml:space="preserve">电子快门: 1/25s~1/100000s（可手动或自动调节）；</w:t>
      </w:r>
      <w:r/>
    </w:p>
    <w:p>
      <w:pPr>
        <w:ind w:firstLine="480"/>
        <w:spacing w:line="360" w:lineRule="auto"/>
        <w:rPr>
          <w:rFonts w:ascii="宋体" w:hAnsi="宋体"/>
          <w:sz w:val="24"/>
          <w:szCs w:val="24"/>
        </w:rPr>
      </w:pPr>
      <w:r>
        <w:rPr>
          <w:rFonts w:hint="eastAsia" w:ascii="宋体" w:hAnsi="宋体"/>
          <w:sz w:val="24"/>
          <w:szCs w:val="24"/>
        </w:rPr>
        <w:t xml:space="preserve">曝光模式: 全自动/自定义区间/自定义；</w:t>
      </w:r>
      <w:r/>
    </w:p>
    <w:p>
      <w:pPr>
        <w:ind w:firstLine="480"/>
        <w:spacing w:line="360" w:lineRule="auto"/>
        <w:rPr>
          <w:rFonts w:ascii="宋体" w:hAnsi="宋体"/>
          <w:sz w:val="24"/>
          <w:szCs w:val="24"/>
        </w:rPr>
      </w:pPr>
      <w:r>
        <w:rPr>
          <w:rFonts w:hint="eastAsia" w:ascii="宋体" w:hAnsi="宋体"/>
          <w:sz w:val="24"/>
          <w:szCs w:val="24"/>
        </w:rPr>
        <w:t xml:space="preserve">★图像分辨率: ≥4096×2160；</w:t>
      </w:r>
      <w:r/>
    </w:p>
    <w:p>
      <w:pPr>
        <w:ind w:firstLine="480"/>
        <w:spacing w:line="360" w:lineRule="auto"/>
        <w:rPr>
          <w:rFonts w:ascii="宋体" w:hAnsi="宋体"/>
          <w:sz w:val="24"/>
          <w:szCs w:val="24"/>
        </w:rPr>
      </w:pPr>
      <w:r>
        <w:rPr>
          <w:rFonts w:hint="eastAsia" w:ascii="宋体" w:hAnsi="宋体"/>
          <w:sz w:val="24"/>
          <w:szCs w:val="24"/>
        </w:rPr>
        <w:t xml:space="preserve">支持强光抑制、降噪、白平衡；</w:t>
      </w:r>
      <w:r/>
    </w:p>
    <w:p>
      <w:pPr>
        <w:ind w:firstLine="480"/>
        <w:spacing w:line="360" w:lineRule="auto"/>
        <w:rPr>
          <w:rFonts w:ascii="宋体" w:hAnsi="宋体"/>
          <w:sz w:val="24"/>
          <w:szCs w:val="24"/>
        </w:rPr>
      </w:pPr>
      <w:r>
        <w:rPr>
          <w:rFonts w:hint="eastAsia" w:ascii="宋体" w:hAnsi="宋体"/>
          <w:sz w:val="24"/>
          <w:szCs w:val="24"/>
        </w:rPr>
        <w:t xml:space="preserve">图片合成: 支持1、2、3、4张图片合成；</w:t>
      </w:r>
      <w:r/>
    </w:p>
    <w:p>
      <w:pPr>
        <w:ind w:firstLine="480"/>
        <w:spacing w:line="360" w:lineRule="auto"/>
        <w:rPr>
          <w:rFonts w:ascii="宋体" w:hAnsi="宋体"/>
          <w:sz w:val="24"/>
          <w:szCs w:val="24"/>
        </w:rPr>
      </w:pPr>
      <w:r>
        <w:rPr>
          <w:rFonts w:hint="eastAsia" w:ascii="宋体" w:hAnsi="宋体"/>
          <w:sz w:val="24"/>
          <w:szCs w:val="24"/>
        </w:rPr>
        <w:t xml:space="preserve">视频压缩标准，H.265、H.264（Main Profile、High Profile、Baseline Profile）、M-JEPG、MPEG4；</w:t>
      </w:r>
      <w:r/>
    </w:p>
    <w:p>
      <w:pPr>
        <w:ind w:firstLine="480"/>
        <w:spacing w:line="360" w:lineRule="auto"/>
        <w:rPr>
          <w:rFonts w:ascii="宋体" w:hAnsi="宋体"/>
          <w:sz w:val="24"/>
          <w:szCs w:val="24"/>
        </w:rPr>
      </w:pPr>
      <w:r>
        <w:rPr>
          <w:rFonts w:hint="eastAsia" w:ascii="宋体" w:hAnsi="宋体"/>
          <w:sz w:val="24"/>
          <w:szCs w:val="24"/>
        </w:rPr>
        <w:t xml:space="preserve">具有单快门、双快门（半帧率/全帧率）、三快门共三种快门方式；具有抓拍快门、视频快门、识别快门共三种快门方式；支持快门自适应，支持快门1/1s~1/100000s 可调；</w:t>
      </w:r>
      <w:r/>
    </w:p>
    <w:p>
      <w:pPr>
        <w:ind w:firstLine="480"/>
        <w:spacing w:line="360" w:lineRule="auto"/>
        <w:rPr>
          <w:rFonts w:ascii="宋体" w:hAnsi="宋体"/>
          <w:sz w:val="24"/>
          <w:szCs w:val="24"/>
        </w:rPr>
      </w:pPr>
      <w:r>
        <w:rPr>
          <w:rFonts w:hint="eastAsia" w:ascii="宋体" w:hAnsi="宋体"/>
          <w:sz w:val="24"/>
          <w:szCs w:val="24"/>
        </w:rPr>
        <w:t xml:space="preserve">图像防篡改: 支持视频和图片具备水印和校验功能；</w:t>
      </w:r>
      <w:r/>
    </w:p>
    <w:p>
      <w:pPr>
        <w:ind w:firstLine="480"/>
        <w:spacing w:line="360" w:lineRule="auto"/>
        <w:rPr>
          <w:rFonts w:ascii="宋体" w:hAnsi="宋体"/>
          <w:sz w:val="24"/>
          <w:szCs w:val="24"/>
        </w:rPr>
      </w:pPr>
      <w:r>
        <w:rPr>
          <w:rFonts w:hint="eastAsia" w:ascii="宋体" w:hAnsi="宋体"/>
          <w:sz w:val="24"/>
          <w:szCs w:val="24"/>
        </w:rPr>
        <w:t xml:space="preserve">支持对车牌宽度范围从80X25到1200X380像素设置选项、水平倾斜范围最大40°车牌进行识别；</w:t>
      </w:r>
      <w:r/>
    </w:p>
    <w:p>
      <w:pPr>
        <w:ind w:firstLine="480"/>
        <w:spacing w:line="360" w:lineRule="auto"/>
        <w:rPr>
          <w:rFonts w:ascii="宋体" w:hAnsi="宋体"/>
          <w:sz w:val="24"/>
          <w:szCs w:val="24"/>
        </w:rPr>
      </w:pPr>
      <w:r>
        <w:rPr>
          <w:rFonts w:hint="eastAsia" w:ascii="宋体" w:hAnsi="宋体"/>
          <w:sz w:val="24"/>
          <w:szCs w:val="24"/>
        </w:rPr>
        <w:t xml:space="preserve">支持8块感兴趣区域（ROI）增强编码功能，ROI区域压缩比0-100可设置；</w:t>
      </w:r>
      <w:r/>
    </w:p>
    <w:p>
      <w:pPr>
        <w:ind w:firstLine="480"/>
        <w:spacing w:line="360" w:lineRule="auto"/>
        <w:rPr>
          <w:rFonts w:ascii="宋体" w:hAnsi="宋体"/>
          <w:sz w:val="24"/>
          <w:szCs w:val="24"/>
        </w:rPr>
      </w:pPr>
      <w:r>
        <w:rPr>
          <w:rFonts w:hint="eastAsia" w:ascii="宋体" w:hAnsi="宋体"/>
          <w:sz w:val="24"/>
          <w:szCs w:val="24"/>
        </w:rPr>
        <w:t xml:space="preserve">支持扩展不同类型补光灯，可支持白光爆闪、白光频闪等补光模式；</w:t>
      </w:r>
      <w:r/>
    </w:p>
    <w:p>
      <w:pPr>
        <w:ind w:firstLine="480"/>
        <w:spacing w:line="360" w:lineRule="auto"/>
        <w:rPr>
          <w:rFonts w:ascii="宋体" w:hAnsi="宋体"/>
          <w:sz w:val="24"/>
          <w:szCs w:val="24"/>
        </w:rPr>
      </w:pPr>
      <w:r>
        <w:rPr>
          <w:rFonts w:hint="eastAsia" w:ascii="宋体" w:hAnsi="宋体"/>
          <w:sz w:val="24"/>
          <w:szCs w:val="24"/>
        </w:rPr>
        <w:t xml:space="preserve">支持IP地址获取功能，当设备接入网络时，可自动获取IP地址，并可根据IP地址搜索到设备；</w:t>
      </w:r>
      <w:r/>
    </w:p>
    <w:p>
      <w:pPr>
        <w:ind w:firstLine="480"/>
        <w:spacing w:line="360" w:lineRule="auto"/>
        <w:rPr>
          <w:rFonts w:ascii="宋体" w:hAnsi="宋体"/>
          <w:sz w:val="24"/>
          <w:szCs w:val="24"/>
        </w:rPr>
      </w:pPr>
      <w:r>
        <w:rPr>
          <w:rFonts w:hint="eastAsia" w:ascii="宋体" w:hAnsi="宋体"/>
          <w:sz w:val="24"/>
          <w:szCs w:val="24"/>
        </w:rPr>
        <w:t xml:space="preserve">宽动态范围：≥106dB；</w:t>
      </w:r>
      <w:r/>
    </w:p>
    <w:p>
      <w:pPr>
        <w:ind w:firstLine="480"/>
        <w:spacing w:line="360" w:lineRule="auto"/>
        <w:rPr>
          <w:rFonts w:ascii="宋体" w:hAnsi="宋体"/>
          <w:sz w:val="24"/>
          <w:szCs w:val="24"/>
        </w:rPr>
      </w:pPr>
      <w:r>
        <w:rPr>
          <w:rFonts w:hint="eastAsia" w:ascii="宋体" w:hAnsi="宋体"/>
          <w:sz w:val="24"/>
          <w:szCs w:val="24"/>
        </w:rPr>
        <w:t xml:space="preserve">亮度（灰度）鉴别等级：≥12 级；</w:t>
      </w:r>
      <w:r/>
    </w:p>
    <w:p>
      <w:pPr>
        <w:ind w:firstLine="480"/>
        <w:spacing w:line="360" w:lineRule="auto"/>
        <w:rPr>
          <w:rFonts w:ascii="宋体" w:hAnsi="宋体"/>
          <w:sz w:val="24"/>
          <w:szCs w:val="24"/>
        </w:rPr>
      </w:pPr>
      <w:r>
        <w:rPr>
          <w:rFonts w:hint="eastAsia" w:ascii="宋体" w:hAnsi="宋体"/>
          <w:sz w:val="24"/>
          <w:szCs w:val="24"/>
        </w:rPr>
        <w:t xml:space="preserve">内置电子陀螺仪，可设置设备姿态异常阈值，当设备姿态超过异常阈值时将输出报警；</w:t>
      </w:r>
      <w:r/>
    </w:p>
    <w:p>
      <w:pPr>
        <w:ind w:firstLine="480"/>
        <w:spacing w:line="360" w:lineRule="auto"/>
        <w:rPr>
          <w:rFonts w:ascii="宋体" w:hAnsi="宋体"/>
          <w:sz w:val="24"/>
          <w:szCs w:val="24"/>
        </w:rPr>
      </w:pPr>
      <w:r>
        <w:rPr>
          <w:rFonts w:hint="eastAsia" w:ascii="宋体" w:hAnsi="宋体"/>
          <w:sz w:val="24"/>
          <w:szCs w:val="24"/>
        </w:rPr>
        <w:t xml:space="preserve">车牌识别功能：在天气晴朗无雾，号牌无遮挡、无物损的条件进行测试（无牌车除外）：白天识别准确率≥99%；晚上识别准确率≥98%；</w:t>
      </w:r>
      <w:r/>
    </w:p>
    <w:p>
      <w:pPr>
        <w:ind w:firstLine="480"/>
        <w:spacing w:line="360" w:lineRule="auto"/>
        <w:rPr>
          <w:rFonts w:ascii="宋体" w:hAnsi="宋体"/>
          <w:sz w:val="24"/>
          <w:szCs w:val="24"/>
        </w:rPr>
      </w:pPr>
      <w:r>
        <w:rPr>
          <w:rFonts w:hint="eastAsia" w:ascii="宋体" w:hAnsi="宋体"/>
          <w:sz w:val="24"/>
          <w:szCs w:val="24"/>
        </w:rPr>
        <w:t xml:space="preserve">在实时记录通行车辆同时，支持主副驾驶人脸检测，并可对人脸图片的像素大小、亮度、边框放大倍数进行调节；</w:t>
      </w:r>
      <w:r/>
    </w:p>
    <w:p>
      <w:pPr>
        <w:ind w:firstLine="480"/>
        <w:spacing w:line="360" w:lineRule="auto"/>
        <w:rPr>
          <w:rFonts w:ascii="宋体" w:hAnsi="宋体"/>
          <w:sz w:val="24"/>
          <w:szCs w:val="24"/>
        </w:rPr>
      </w:pPr>
      <w:r>
        <w:rPr>
          <w:rFonts w:hint="eastAsia" w:ascii="宋体" w:hAnsi="宋体"/>
          <w:sz w:val="24"/>
          <w:szCs w:val="24"/>
        </w:rPr>
        <w:t xml:space="preserve">设备具有本地存储功能；实时视频图像、照片存储策略均支持满覆盖及满即停存储方式，可通过界面进行配置；存储容量最大支持512GB；</w:t>
      </w:r>
      <w:r/>
    </w:p>
    <w:p>
      <w:pPr>
        <w:ind w:firstLine="480"/>
        <w:spacing w:line="360" w:lineRule="auto"/>
        <w:rPr>
          <w:rFonts w:ascii="宋体" w:hAnsi="宋体"/>
          <w:sz w:val="24"/>
          <w:szCs w:val="24"/>
        </w:rPr>
      </w:pPr>
      <w:r>
        <w:rPr>
          <w:rFonts w:hint="eastAsia" w:ascii="宋体" w:hAnsi="宋体"/>
          <w:sz w:val="24"/>
          <w:szCs w:val="24"/>
        </w:rPr>
        <w:t xml:space="preserve">2个网口具有独立的MAC地址，可以独立设置IP地址信息；</w:t>
      </w:r>
      <w:r/>
    </w:p>
    <w:p>
      <w:pPr>
        <w:ind w:firstLine="480"/>
        <w:spacing w:line="360" w:lineRule="auto"/>
        <w:rPr>
          <w:rFonts w:ascii="宋体" w:hAnsi="宋体"/>
          <w:sz w:val="24"/>
          <w:szCs w:val="24"/>
        </w:rPr>
      </w:pPr>
      <w:r>
        <w:rPr>
          <w:rFonts w:hint="eastAsia" w:ascii="宋体" w:hAnsi="宋体"/>
          <w:sz w:val="24"/>
          <w:szCs w:val="24"/>
        </w:rPr>
        <w:t xml:space="preserve">支持绘线显示功能，可在相机视频预览界面显示目前画线配置情况并标注每条线的名称；</w:t>
      </w:r>
      <w:r/>
    </w:p>
    <w:p>
      <w:pPr>
        <w:ind w:firstLine="480"/>
        <w:spacing w:line="360" w:lineRule="auto"/>
        <w:rPr>
          <w:rFonts w:ascii="宋体" w:hAnsi="宋体"/>
          <w:sz w:val="24"/>
          <w:szCs w:val="24"/>
        </w:rPr>
      </w:pPr>
      <w:r>
        <w:rPr>
          <w:rFonts w:hint="eastAsia" w:ascii="宋体" w:hAnsi="宋体"/>
          <w:sz w:val="24"/>
          <w:szCs w:val="24"/>
        </w:rPr>
        <w:t xml:space="preserve">具有2 个100M/1000M 以太网口；</w:t>
      </w:r>
      <w:r/>
    </w:p>
    <w:p>
      <w:pPr>
        <w:ind w:firstLine="480"/>
        <w:spacing w:line="360" w:lineRule="auto"/>
        <w:rPr>
          <w:rFonts w:ascii="宋体" w:hAnsi="宋体"/>
          <w:sz w:val="24"/>
          <w:szCs w:val="24"/>
        </w:rPr>
      </w:pPr>
      <w:r>
        <w:rPr>
          <w:rFonts w:hint="eastAsia" w:ascii="宋体" w:hAnsi="宋体"/>
          <w:sz w:val="24"/>
          <w:szCs w:val="24"/>
        </w:rPr>
        <w:t xml:space="preserve">工作温度：-40℃~+65℃；</w:t>
      </w:r>
      <w:r/>
    </w:p>
    <w:p>
      <w:pPr>
        <w:ind w:firstLine="480"/>
        <w:spacing w:line="360" w:lineRule="auto"/>
        <w:rPr>
          <w:rFonts w:ascii="宋体" w:hAnsi="宋体"/>
          <w:sz w:val="24"/>
          <w:szCs w:val="24"/>
        </w:rPr>
      </w:pPr>
      <w:r>
        <w:rPr>
          <w:rFonts w:hint="eastAsia" w:ascii="宋体" w:hAnsi="宋体"/>
          <w:sz w:val="24"/>
          <w:szCs w:val="24"/>
        </w:rPr>
        <w:t xml:space="preserve">供电方式：AC100V~AC240V；</w:t>
      </w:r>
      <w:r/>
    </w:p>
    <w:p>
      <w:pPr>
        <w:ind w:firstLine="480"/>
        <w:spacing w:line="360" w:lineRule="auto"/>
        <w:rPr>
          <w:rFonts w:ascii="宋体" w:hAnsi="宋体"/>
          <w:sz w:val="24"/>
          <w:szCs w:val="24"/>
        </w:rPr>
      </w:pPr>
      <w:r>
        <w:rPr>
          <w:rFonts w:hint="eastAsia" w:ascii="宋体" w:hAnsi="宋体"/>
          <w:sz w:val="24"/>
          <w:szCs w:val="24"/>
        </w:rPr>
        <w:t xml:space="preserve">防护等级：≥IP67。</w:t>
      </w:r>
      <w:r/>
    </w:p>
    <w:p>
      <w:pPr>
        <w:ind w:firstLine="480"/>
        <w:spacing w:line="360" w:lineRule="auto"/>
        <w:rPr>
          <w:rFonts w:ascii="宋体" w:hAnsi="宋体"/>
          <w:sz w:val="24"/>
          <w:szCs w:val="24"/>
        </w:rPr>
      </w:pPr>
      <w:r>
        <w:rPr>
          <w:rFonts w:hint="eastAsia" w:ascii="宋体" w:hAnsi="宋体"/>
          <w:sz w:val="24"/>
          <w:szCs w:val="24"/>
        </w:rPr>
        <w:t xml:space="preserve">加“★”的参数投标时须提供法定检测机构出具检测合格的报告的扫描件或提供投标人出具的承诺函。</w:t>
      </w:r>
      <w:r/>
    </w:p>
    <w:p>
      <w:pPr>
        <w:pStyle w:val="834"/>
        <w:ind w:firstLine="482"/>
        <w:rPr>
          <w:rFonts w:ascii="宋体" w:hAnsi="宋体" w:eastAsia="宋体" w:cs="宋体"/>
        </w:rPr>
      </w:pPr>
      <w:r>
        <w:rPr>
          <w:rFonts w:hint="eastAsia" w:ascii="宋体" w:hAnsi="宋体" w:eastAsia="宋体" w:cs="宋体"/>
        </w:rPr>
        <w:t xml:space="preserve">3.6.1.</w:t>
      </w:r>
      <w:r>
        <w:rPr>
          <w:rFonts w:ascii="宋体" w:hAnsi="宋体" w:eastAsia="宋体" w:cs="宋体"/>
        </w:rPr>
        <w:t xml:space="preserve">3</w:t>
      </w:r>
      <w:r>
        <w:rPr>
          <w:rFonts w:hint="eastAsia" w:ascii="宋体" w:hAnsi="宋体" w:eastAsia="宋体" w:cs="宋体"/>
        </w:rPr>
        <w:t xml:space="preserve"> 卡口闪光灯</w:t>
      </w:r>
      <w:r/>
    </w:p>
    <w:p>
      <w:pPr>
        <w:ind w:firstLine="480"/>
        <w:spacing w:line="360" w:lineRule="auto"/>
        <w:rPr>
          <w:rFonts w:ascii="宋体" w:hAnsi="宋体"/>
          <w:sz w:val="24"/>
          <w:szCs w:val="24"/>
        </w:rPr>
      </w:pPr>
      <w:r>
        <w:rPr>
          <w:rFonts w:hint="eastAsia" w:ascii="宋体" w:hAnsi="宋体"/>
          <w:sz w:val="24"/>
          <w:szCs w:val="24"/>
        </w:rPr>
        <w:t xml:space="preserve">灯型：LED灯、氙气灯双光源；</w:t>
      </w:r>
      <w:r/>
    </w:p>
    <w:p>
      <w:pPr>
        <w:ind w:firstLine="480"/>
        <w:spacing w:line="360" w:lineRule="auto"/>
        <w:rPr>
          <w:rFonts w:ascii="宋体" w:hAnsi="宋体"/>
          <w:sz w:val="24"/>
          <w:szCs w:val="24"/>
        </w:rPr>
      </w:pPr>
      <w:r>
        <w:rPr>
          <w:rFonts w:hint="eastAsia" w:ascii="宋体" w:hAnsi="宋体"/>
          <w:sz w:val="24"/>
          <w:szCs w:val="24"/>
        </w:rPr>
        <w:t xml:space="preserve">光源：可见光（波长350nm～780nm）；</w:t>
      </w:r>
      <w:r/>
    </w:p>
    <w:p>
      <w:pPr>
        <w:ind w:firstLine="480"/>
        <w:spacing w:line="360" w:lineRule="auto"/>
        <w:rPr>
          <w:rFonts w:ascii="宋体" w:hAnsi="宋体"/>
          <w:sz w:val="24"/>
          <w:szCs w:val="24"/>
        </w:rPr>
      </w:pPr>
      <w:r>
        <w:rPr>
          <w:rFonts w:hint="eastAsia" w:ascii="宋体" w:hAnsi="宋体"/>
          <w:sz w:val="24"/>
          <w:szCs w:val="24"/>
        </w:rPr>
        <w:t xml:space="preserve">色温：氙气：5800K±200K，LED：3500K；</w:t>
      </w:r>
      <w:r/>
    </w:p>
    <w:p>
      <w:pPr>
        <w:ind w:firstLine="480"/>
        <w:spacing w:line="360" w:lineRule="auto"/>
        <w:rPr>
          <w:rFonts w:ascii="宋体" w:hAnsi="宋体"/>
          <w:sz w:val="24"/>
          <w:szCs w:val="24"/>
        </w:rPr>
      </w:pPr>
      <w:r>
        <w:rPr>
          <w:rFonts w:hint="eastAsia" w:ascii="宋体" w:hAnsi="宋体"/>
          <w:sz w:val="24"/>
          <w:szCs w:val="24"/>
        </w:rPr>
        <w:t xml:space="preserve">中心光照度：LED：≤5lx（20m平均光照度），≤20lx（20m有效光照度）；氙气：≤4000lx；</w:t>
      </w:r>
      <w:r/>
    </w:p>
    <w:p>
      <w:pPr>
        <w:ind w:firstLine="480"/>
        <w:spacing w:line="360" w:lineRule="auto"/>
        <w:rPr>
          <w:rFonts w:ascii="宋体" w:hAnsi="宋体"/>
          <w:sz w:val="24"/>
          <w:szCs w:val="24"/>
        </w:rPr>
      </w:pPr>
      <w:r>
        <w:rPr>
          <w:rFonts w:hint="eastAsia" w:ascii="宋体" w:hAnsi="宋体"/>
          <w:sz w:val="24"/>
          <w:szCs w:val="24"/>
        </w:rPr>
        <w:t xml:space="preserve">触发方式：开关量；</w:t>
      </w:r>
      <w:r/>
    </w:p>
    <w:p>
      <w:pPr>
        <w:ind w:firstLine="480"/>
        <w:spacing w:line="360" w:lineRule="auto"/>
        <w:rPr>
          <w:rFonts w:ascii="宋体" w:hAnsi="宋体"/>
          <w:sz w:val="24"/>
          <w:szCs w:val="24"/>
        </w:rPr>
      </w:pPr>
      <w:r>
        <w:rPr>
          <w:rFonts w:hint="eastAsia" w:ascii="宋体" w:hAnsi="宋体"/>
          <w:sz w:val="24"/>
          <w:szCs w:val="24"/>
        </w:rPr>
        <w:t xml:space="preserve">光斑覆盖范围：1车道；</w:t>
      </w:r>
      <w:r/>
    </w:p>
    <w:p>
      <w:pPr>
        <w:ind w:firstLine="480"/>
        <w:spacing w:line="360" w:lineRule="auto"/>
        <w:rPr>
          <w:rFonts w:ascii="宋体" w:hAnsi="宋体"/>
          <w:sz w:val="24"/>
          <w:szCs w:val="24"/>
        </w:rPr>
      </w:pPr>
      <w:r>
        <w:rPr>
          <w:rFonts w:hint="eastAsia" w:ascii="宋体" w:hAnsi="宋体"/>
          <w:sz w:val="24"/>
          <w:szCs w:val="24"/>
        </w:rPr>
        <w:t xml:space="preserve">补光距离：16m～26m；</w:t>
      </w:r>
      <w:r/>
    </w:p>
    <w:p>
      <w:pPr>
        <w:ind w:firstLine="480"/>
        <w:spacing w:line="360" w:lineRule="auto"/>
        <w:rPr>
          <w:rFonts w:ascii="宋体" w:hAnsi="宋体"/>
          <w:sz w:val="24"/>
          <w:szCs w:val="24"/>
        </w:rPr>
      </w:pPr>
      <w:r>
        <w:rPr>
          <w:rFonts w:hint="eastAsia" w:ascii="宋体" w:hAnsi="宋体"/>
          <w:sz w:val="24"/>
          <w:szCs w:val="24"/>
        </w:rPr>
        <w:t xml:space="preserve">回电时间：≤ 70ms；</w:t>
      </w:r>
      <w:r/>
    </w:p>
    <w:p>
      <w:pPr>
        <w:ind w:firstLine="480"/>
        <w:spacing w:line="360" w:lineRule="auto"/>
        <w:rPr>
          <w:rFonts w:ascii="宋体" w:hAnsi="宋体"/>
          <w:sz w:val="24"/>
          <w:szCs w:val="24"/>
        </w:rPr>
      </w:pPr>
      <w:r>
        <w:rPr>
          <w:rFonts w:hint="eastAsia" w:ascii="宋体" w:hAnsi="宋体"/>
          <w:sz w:val="24"/>
          <w:szCs w:val="24"/>
        </w:rPr>
        <w:t xml:space="preserve">爆闪计数：支持统计爆闪次数和触发次数；</w:t>
      </w:r>
      <w:r/>
    </w:p>
    <w:p>
      <w:pPr>
        <w:ind w:firstLine="480"/>
        <w:spacing w:line="360" w:lineRule="auto"/>
        <w:rPr>
          <w:rFonts w:ascii="宋体" w:hAnsi="宋体"/>
          <w:sz w:val="24"/>
          <w:szCs w:val="24"/>
        </w:rPr>
      </w:pPr>
      <w:r>
        <w:rPr>
          <w:rFonts w:hint="eastAsia" w:ascii="宋体" w:hAnsi="宋体"/>
          <w:sz w:val="24"/>
          <w:szCs w:val="24"/>
        </w:rPr>
        <w:t xml:space="preserve">闪光灯寿命：≥1000万次；</w:t>
      </w:r>
      <w:r/>
    </w:p>
    <w:p>
      <w:pPr>
        <w:ind w:firstLine="480"/>
        <w:spacing w:line="360" w:lineRule="auto"/>
        <w:rPr>
          <w:rFonts w:ascii="宋体" w:hAnsi="宋体"/>
          <w:sz w:val="24"/>
          <w:szCs w:val="24"/>
        </w:rPr>
      </w:pPr>
      <w:r>
        <w:rPr>
          <w:rFonts w:hint="eastAsia" w:ascii="宋体" w:hAnsi="宋体"/>
          <w:sz w:val="24"/>
          <w:szCs w:val="24"/>
        </w:rPr>
        <w:t xml:space="preserve">频率：100Hz；</w:t>
      </w:r>
      <w:r/>
    </w:p>
    <w:p>
      <w:pPr>
        <w:ind w:firstLine="480"/>
        <w:spacing w:line="360" w:lineRule="auto"/>
        <w:rPr>
          <w:rFonts w:ascii="宋体" w:hAnsi="宋体"/>
          <w:sz w:val="24"/>
          <w:szCs w:val="24"/>
        </w:rPr>
      </w:pPr>
      <w:r>
        <w:rPr>
          <w:rFonts w:hint="eastAsia" w:ascii="宋体" w:hAnsi="宋体"/>
          <w:sz w:val="24"/>
          <w:szCs w:val="24"/>
        </w:rPr>
        <w:t xml:space="preserve">灯珠数量：24颗（高亮LED）；</w:t>
      </w:r>
      <w:r/>
    </w:p>
    <w:p>
      <w:pPr>
        <w:ind w:firstLine="480"/>
        <w:spacing w:line="360" w:lineRule="auto"/>
        <w:rPr>
          <w:rFonts w:ascii="宋体" w:hAnsi="宋体"/>
          <w:sz w:val="24"/>
          <w:szCs w:val="24"/>
        </w:rPr>
      </w:pPr>
      <w:r>
        <w:rPr>
          <w:rFonts w:hint="eastAsia" w:ascii="宋体" w:hAnsi="宋体"/>
          <w:sz w:val="24"/>
          <w:szCs w:val="24"/>
        </w:rPr>
        <w:t xml:space="preserve">光通量：≥1000lm；</w:t>
      </w:r>
      <w:r/>
    </w:p>
    <w:p>
      <w:pPr>
        <w:ind w:firstLine="480"/>
        <w:spacing w:line="360" w:lineRule="auto"/>
        <w:rPr>
          <w:rFonts w:ascii="宋体" w:hAnsi="宋体"/>
          <w:sz w:val="24"/>
          <w:szCs w:val="24"/>
        </w:rPr>
      </w:pPr>
      <w:r>
        <w:rPr>
          <w:rFonts w:hint="eastAsia" w:ascii="宋体" w:hAnsi="宋体"/>
          <w:sz w:val="24"/>
          <w:szCs w:val="24"/>
        </w:rPr>
        <w:t xml:space="preserve">远程故障显示：支持在摄像机WEB上远程显示补光灯故障、正常状态；</w:t>
      </w:r>
      <w:r/>
    </w:p>
    <w:p>
      <w:pPr>
        <w:ind w:firstLine="480"/>
        <w:spacing w:line="360" w:lineRule="auto"/>
        <w:rPr>
          <w:rFonts w:ascii="宋体" w:hAnsi="宋体"/>
          <w:sz w:val="24"/>
          <w:szCs w:val="24"/>
        </w:rPr>
      </w:pPr>
      <w:r>
        <w:rPr>
          <w:rFonts w:hint="eastAsia" w:ascii="宋体" w:hAnsi="宋体"/>
          <w:sz w:val="24"/>
          <w:szCs w:val="24"/>
        </w:rPr>
        <w:t xml:space="preserve">亮度调节：氙气：1～16级亮度可调；LED：1～20级亮度可调；</w:t>
      </w:r>
      <w:r/>
    </w:p>
    <w:p>
      <w:pPr>
        <w:ind w:firstLine="480"/>
        <w:spacing w:line="360" w:lineRule="auto"/>
        <w:rPr>
          <w:rFonts w:ascii="宋体" w:hAnsi="宋体"/>
          <w:sz w:val="24"/>
          <w:szCs w:val="24"/>
        </w:rPr>
      </w:pPr>
      <w:r>
        <w:rPr>
          <w:rFonts w:hint="eastAsia" w:ascii="宋体" w:hAnsi="宋体"/>
          <w:sz w:val="24"/>
          <w:szCs w:val="24"/>
        </w:rPr>
        <w:t xml:space="preserve">防眩目处理：支持；</w:t>
      </w:r>
      <w:r/>
    </w:p>
    <w:p>
      <w:pPr>
        <w:ind w:firstLine="480"/>
        <w:spacing w:line="360" w:lineRule="auto"/>
        <w:rPr>
          <w:rFonts w:ascii="宋体" w:hAnsi="宋体"/>
          <w:sz w:val="24"/>
          <w:szCs w:val="24"/>
        </w:rPr>
      </w:pPr>
      <w:r>
        <w:rPr>
          <w:rFonts w:hint="eastAsia" w:ascii="宋体" w:hAnsi="宋体"/>
          <w:sz w:val="24"/>
          <w:szCs w:val="24"/>
        </w:rPr>
        <w:t xml:space="preserve">供电方式：AC220V±20%，50Hz±2Hz；</w:t>
      </w:r>
      <w:r/>
    </w:p>
    <w:p>
      <w:pPr>
        <w:pStyle w:val="834"/>
        <w:ind w:firstLine="482"/>
        <w:rPr>
          <w:rFonts w:ascii="宋体" w:hAnsi="宋体" w:eastAsia="宋体" w:cs="宋体"/>
        </w:rPr>
      </w:pPr>
      <w:r/>
      <w:bookmarkStart w:id="214" w:name="_Hlk164065353"/>
      <w:r/>
      <w:bookmarkEnd w:id="213"/>
      <w:r>
        <w:rPr>
          <w:rFonts w:hint="eastAsia" w:ascii="宋体" w:hAnsi="宋体" w:eastAsia="宋体" w:cs="宋体"/>
        </w:rPr>
        <w:t xml:space="preserve">3.6.1.</w:t>
      </w:r>
      <w:r>
        <w:rPr>
          <w:rFonts w:ascii="宋体" w:hAnsi="宋体" w:eastAsia="宋体" w:cs="宋体"/>
        </w:rPr>
        <w:t xml:space="preserve">4多目拼接高清摄像机</w:t>
      </w:r>
      <w:r/>
    </w:p>
    <w:p>
      <w:pPr>
        <w:ind w:firstLine="480"/>
        <w:spacing w:line="360" w:lineRule="auto"/>
        <w:rPr>
          <w:rFonts w:ascii="宋体" w:hAnsi="宋体"/>
          <w:sz w:val="24"/>
          <w:szCs w:val="24"/>
        </w:rPr>
      </w:pPr>
      <w:r>
        <w:rPr>
          <w:rFonts w:hint="eastAsia" w:ascii="宋体" w:hAnsi="宋体"/>
          <w:sz w:val="24"/>
          <w:szCs w:val="24"/>
        </w:rPr>
        <w:t xml:space="preserve">多目拼接高清摄像机为一体化设计，内置多个镜头，实现≥180°范围和局部细节的监控，输出多路视频图像。动点镜头满足水平0°∽360°、垂直-15°∽90°旋转，最远可视距离≥1.5km；全景镜头具有夜间全彩成像的能力，画面通透、色彩真实，满足各类复杂场景视频监控的需求。</w:t>
      </w:r>
      <w:r/>
    </w:p>
    <w:p>
      <w:pPr>
        <w:ind w:firstLine="480"/>
        <w:spacing w:line="360" w:lineRule="auto"/>
        <w:rPr>
          <w:rFonts w:ascii="宋体" w:hAnsi="宋体"/>
          <w:sz w:val="24"/>
          <w:szCs w:val="24"/>
        </w:rPr>
      </w:pPr>
      <w:r>
        <w:rPr>
          <w:rFonts w:hint="eastAsia" w:ascii="宋体" w:hAnsi="宋体"/>
          <w:sz w:val="24"/>
          <w:szCs w:val="24"/>
        </w:rPr>
        <w:t xml:space="preserve">主要技术要求：</w:t>
      </w:r>
      <w:r/>
    </w:p>
    <w:p>
      <w:pPr>
        <w:numPr>
          <w:ilvl w:val="0"/>
          <w:numId w:val="7"/>
        </w:numPr>
        <w:spacing w:line="360" w:lineRule="auto"/>
        <w:rPr>
          <w:rFonts w:ascii="宋体" w:hAnsi="宋体"/>
          <w:sz w:val="24"/>
          <w:szCs w:val="24"/>
        </w:rPr>
      </w:pPr>
      <w:r>
        <w:rPr>
          <w:rFonts w:hint="eastAsia" w:ascii="宋体" w:hAnsi="宋体"/>
          <w:sz w:val="24"/>
          <w:szCs w:val="24"/>
        </w:rPr>
        <w:t xml:space="preserve">像素：不小于3200万，全景画面由8个传感器拼接而成，可实现360度的全景监控；</w:t>
      </w:r>
      <w:r/>
    </w:p>
    <w:p>
      <w:pPr>
        <w:ind w:firstLine="480"/>
        <w:spacing w:line="360" w:lineRule="auto"/>
        <w:rPr>
          <w:rFonts w:ascii="宋体" w:hAnsi="宋体"/>
          <w:sz w:val="24"/>
          <w:szCs w:val="24"/>
        </w:rPr>
      </w:pPr>
      <w:r>
        <w:rPr>
          <w:rFonts w:hint="eastAsia" w:ascii="宋体" w:hAnsi="宋体"/>
          <w:sz w:val="24"/>
          <w:szCs w:val="24"/>
        </w:rPr>
        <w:t xml:space="preserve">具有视频标签管理功能，满足视频画面中添加不低于500个标签；</w:t>
      </w:r>
      <w:r/>
    </w:p>
    <w:p>
      <w:pPr>
        <w:ind w:firstLine="480"/>
        <w:spacing w:line="360" w:lineRule="auto"/>
        <w:rPr>
          <w:rFonts w:ascii="宋体" w:hAnsi="宋体"/>
          <w:sz w:val="24"/>
          <w:szCs w:val="24"/>
        </w:rPr>
      </w:pPr>
      <w:r>
        <w:rPr>
          <w:rFonts w:hint="eastAsia" w:ascii="宋体" w:hAnsi="宋体"/>
          <w:sz w:val="24"/>
          <w:szCs w:val="24"/>
        </w:rPr>
        <w:t xml:space="preserve">具备AR标签防漂移功能，设备转动和调焦时，AR标签与标记物体保持相对静止；</w:t>
      </w:r>
      <w:r/>
    </w:p>
    <w:p>
      <w:pPr>
        <w:ind w:firstLine="480"/>
        <w:spacing w:line="360" w:lineRule="auto"/>
        <w:rPr>
          <w:rFonts w:ascii="宋体" w:hAnsi="宋体"/>
          <w:sz w:val="24"/>
          <w:szCs w:val="24"/>
        </w:rPr>
      </w:pPr>
      <w:r>
        <w:rPr>
          <w:rFonts w:hint="eastAsia" w:ascii="宋体" w:hAnsi="宋体"/>
          <w:sz w:val="24"/>
          <w:szCs w:val="24"/>
        </w:rPr>
        <w:t xml:space="preserve">具有相机视频联动跟踪功能；</w:t>
      </w:r>
      <w:r/>
    </w:p>
    <w:p>
      <w:pPr>
        <w:ind w:firstLine="480"/>
        <w:spacing w:line="360" w:lineRule="auto"/>
        <w:rPr>
          <w:rFonts w:ascii="宋体" w:hAnsi="宋体"/>
          <w:sz w:val="24"/>
          <w:szCs w:val="24"/>
        </w:rPr>
      </w:pPr>
      <w:r>
        <w:rPr>
          <w:rFonts w:hint="eastAsia" w:ascii="宋体" w:hAnsi="宋体"/>
          <w:sz w:val="24"/>
          <w:szCs w:val="24"/>
        </w:rPr>
        <w:t xml:space="preserve">具有在预览画面添加定点标签，区域标签，矢量标签以及方向标签的功能；</w:t>
      </w:r>
      <w:r/>
    </w:p>
    <w:p>
      <w:pPr>
        <w:ind w:firstLine="480"/>
        <w:spacing w:line="360" w:lineRule="auto"/>
        <w:rPr>
          <w:rFonts w:ascii="宋体" w:hAnsi="宋体"/>
          <w:sz w:val="24"/>
          <w:szCs w:val="24"/>
        </w:rPr>
      </w:pPr>
      <w:r>
        <w:rPr>
          <w:rFonts w:hint="eastAsia" w:ascii="宋体" w:hAnsi="宋体"/>
          <w:sz w:val="24"/>
          <w:szCs w:val="24"/>
        </w:rPr>
        <w:t xml:space="preserve">自带镜头，另配8个图像采集模块，可输出1路主视频图像和8路辅视频图像；</w:t>
      </w:r>
      <w:r/>
    </w:p>
    <w:p>
      <w:pPr>
        <w:ind w:firstLine="480"/>
        <w:spacing w:line="360" w:lineRule="auto"/>
        <w:rPr>
          <w:rFonts w:ascii="宋体" w:hAnsi="宋体"/>
          <w:sz w:val="24"/>
          <w:szCs w:val="24"/>
        </w:rPr>
      </w:pPr>
      <w:r>
        <w:rPr>
          <w:rFonts w:hint="eastAsia" w:ascii="宋体" w:hAnsi="宋体"/>
          <w:sz w:val="24"/>
          <w:szCs w:val="24"/>
        </w:rPr>
        <w:t xml:space="preserve">★全景摄像机传感器 CMOS；</w:t>
      </w:r>
      <w:r/>
    </w:p>
    <w:p>
      <w:pPr>
        <w:ind w:firstLine="480"/>
        <w:spacing w:line="360" w:lineRule="auto"/>
        <w:rPr>
          <w:rFonts w:ascii="宋体" w:hAnsi="宋体"/>
          <w:sz w:val="24"/>
          <w:szCs w:val="24"/>
        </w:rPr>
      </w:pPr>
      <w:r>
        <w:rPr>
          <w:rFonts w:hint="eastAsia" w:ascii="宋体" w:hAnsi="宋体"/>
          <w:sz w:val="24"/>
          <w:szCs w:val="24"/>
        </w:rPr>
        <w:t xml:space="preserve">★主视频满足≥45倍光学变倍，镜头焦距≥248mm；</w:t>
      </w:r>
      <w:r/>
    </w:p>
    <w:p>
      <w:pPr>
        <w:ind w:firstLine="480"/>
        <w:spacing w:line="360" w:lineRule="auto"/>
        <w:rPr>
          <w:rFonts w:ascii="宋体" w:hAnsi="宋体"/>
          <w:sz w:val="24"/>
          <w:szCs w:val="24"/>
        </w:rPr>
      </w:pPr>
      <w:r>
        <w:rPr>
          <w:rFonts w:hint="eastAsia" w:ascii="宋体" w:hAnsi="宋体"/>
          <w:sz w:val="24"/>
          <w:szCs w:val="24"/>
        </w:rPr>
        <w:t xml:space="preserve">水平视场角:360°，垂直视场角:≥80°；</w:t>
      </w:r>
      <w:r/>
    </w:p>
    <w:p>
      <w:pPr>
        <w:ind w:firstLine="480"/>
        <w:spacing w:line="360" w:lineRule="auto"/>
        <w:rPr>
          <w:rFonts w:ascii="宋体" w:hAnsi="宋体"/>
          <w:sz w:val="24"/>
          <w:szCs w:val="24"/>
        </w:rPr>
      </w:pPr>
      <w:r>
        <w:rPr>
          <w:rFonts w:hint="eastAsia" w:ascii="宋体" w:hAnsi="宋体"/>
          <w:sz w:val="24"/>
          <w:szCs w:val="24"/>
        </w:rPr>
        <w:t xml:space="preserve">内置GPU芯片，整机峰值算力≥</w:t>
      </w:r>
      <w:r>
        <w:rPr>
          <w:rFonts w:ascii="宋体" w:hAnsi="宋体"/>
          <w:sz w:val="24"/>
          <w:szCs w:val="24"/>
        </w:rPr>
        <w:t xml:space="preserve">10</w:t>
      </w:r>
      <w:r>
        <w:rPr>
          <w:rFonts w:hint="eastAsia" w:ascii="宋体" w:hAnsi="宋体"/>
          <w:sz w:val="24"/>
          <w:szCs w:val="24"/>
        </w:rPr>
        <w:t xml:space="preserve">TOPS（INT8精度）；</w:t>
      </w:r>
      <w:r/>
    </w:p>
    <w:p>
      <w:pPr>
        <w:ind w:firstLine="480"/>
        <w:spacing w:line="360" w:lineRule="auto"/>
        <w:rPr>
          <w:rFonts w:ascii="宋体" w:hAnsi="宋体"/>
          <w:sz w:val="24"/>
          <w:szCs w:val="24"/>
        </w:rPr>
      </w:pPr>
      <w:r>
        <w:rPr>
          <w:rFonts w:hint="eastAsia" w:ascii="宋体" w:hAnsi="宋体"/>
          <w:sz w:val="24"/>
          <w:szCs w:val="24"/>
        </w:rPr>
        <w:t xml:space="preserve">★最低照度彩色≤0.0002lx（F1.2）；黑白≤0.0001lx（F1.2）；</w:t>
      </w:r>
      <w:r/>
    </w:p>
    <w:p>
      <w:pPr>
        <w:ind w:firstLine="480"/>
        <w:spacing w:line="360" w:lineRule="auto"/>
        <w:rPr>
          <w:rFonts w:ascii="宋体" w:hAnsi="宋体"/>
          <w:sz w:val="24"/>
          <w:szCs w:val="24"/>
        </w:rPr>
      </w:pPr>
      <w:r>
        <w:rPr>
          <w:rFonts w:hint="eastAsia" w:ascii="宋体" w:hAnsi="宋体"/>
          <w:sz w:val="24"/>
          <w:szCs w:val="24"/>
        </w:rPr>
        <w:t xml:space="preserve">信噪比≥55dB；</w:t>
      </w:r>
      <w:r/>
    </w:p>
    <w:p>
      <w:pPr>
        <w:ind w:firstLine="480"/>
        <w:spacing w:line="360" w:lineRule="auto"/>
        <w:rPr>
          <w:rFonts w:ascii="宋体" w:hAnsi="宋体"/>
          <w:sz w:val="24"/>
          <w:szCs w:val="24"/>
        </w:rPr>
      </w:pPr>
      <w:r>
        <w:rPr>
          <w:rFonts w:hint="eastAsia" w:ascii="宋体" w:hAnsi="宋体"/>
          <w:sz w:val="24"/>
          <w:szCs w:val="24"/>
        </w:rPr>
        <w:t xml:space="preserve">★球机补光≥500米；</w:t>
      </w:r>
      <w:r/>
    </w:p>
    <w:p>
      <w:pPr>
        <w:ind w:firstLine="480"/>
        <w:spacing w:line="360" w:lineRule="auto"/>
        <w:rPr>
          <w:rFonts w:ascii="宋体" w:hAnsi="宋体"/>
          <w:sz w:val="24"/>
          <w:szCs w:val="24"/>
        </w:rPr>
      </w:pPr>
      <w:r>
        <w:rPr>
          <w:rFonts w:hint="eastAsia" w:ascii="宋体" w:hAnsi="宋体"/>
          <w:sz w:val="24"/>
          <w:szCs w:val="24"/>
        </w:rPr>
        <w:t xml:space="preserve">主视频图像：可将连续的8个图像采集模块输出的监视画面进图像无缝拼接显示；</w:t>
      </w:r>
      <w:r/>
    </w:p>
    <w:p>
      <w:pPr>
        <w:ind w:firstLine="480"/>
        <w:spacing w:line="360" w:lineRule="auto"/>
        <w:rPr>
          <w:rFonts w:ascii="宋体" w:hAnsi="宋体"/>
          <w:sz w:val="24"/>
          <w:szCs w:val="24"/>
        </w:rPr>
      </w:pPr>
      <w:r>
        <w:rPr>
          <w:rFonts w:hint="eastAsia" w:ascii="宋体" w:hAnsi="宋体"/>
          <w:sz w:val="24"/>
          <w:szCs w:val="24"/>
        </w:rPr>
        <w:t xml:space="preserve">满足水平手控速度不小于700°/S，云台定位精度为不大于0.1°，垂直手控速度不小于200°/S；</w:t>
      </w:r>
      <w:r/>
    </w:p>
    <w:p>
      <w:pPr>
        <w:ind w:firstLine="480"/>
        <w:spacing w:line="360" w:lineRule="auto"/>
        <w:rPr>
          <w:rFonts w:ascii="宋体" w:hAnsi="宋体"/>
          <w:sz w:val="24"/>
          <w:szCs w:val="24"/>
        </w:rPr>
      </w:pPr>
      <w:r>
        <w:rPr>
          <w:rFonts w:hint="eastAsia" w:ascii="宋体" w:hAnsi="宋体"/>
          <w:sz w:val="24"/>
          <w:szCs w:val="24"/>
        </w:rPr>
        <w:t xml:space="preserve">具有自动跟踪、手动跟踪功能；</w:t>
      </w:r>
      <w:r/>
    </w:p>
    <w:p>
      <w:pPr>
        <w:ind w:firstLine="480"/>
        <w:spacing w:line="360" w:lineRule="auto"/>
        <w:rPr>
          <w:rFonts w:ascii="宋体" w:hAnsi="宋体"/>
          <w:sz w:val="24"/>
          <w:szCs w:val="24"/>
        </w:rPr>
      </w:pPr>
      <w:r>
        <w:rPr>
          <w:rFonts w:hint="eastAsia" w:ascii="宋体" w:hAnsi="宋体"/>
          <w:sz w:val="24"/>
          <w:szCs w:val="24"/>
        </w:rPr>
        <w:t xml:space="preserve">防护性能不低于IP67；</w:t>
      </w:r>
      <w:r/>
    </w:p>
    <w:p>
      <w:pPr>
        <w:ind w:firstLine="480"/>
        <w:spacing w:line="360" w:lineRule="auto"/>
        <w:rPr>
          <w:rFonts w:ascii="宋体" w:hAnsi="宋体"/>
          <w:sz w:val="24"/>
          <w:szCs w:val="24"/>
        </w:rPr>
      </w:pPr>
      <w:r>
        <w:rPr>
          <w:rFonts w:hint="eastAsia" w:ascii="宋体" w:hAnsi="宋体"/>
          <w:sz w:val="24"/>
          <w:szCs w:val="24"/>
        </w:rPr>
        <w:t xml:space="preserve">网络接口:RJ45网口,自适应10M/100M/1000M网络数据；</w:t>
      </w:r>
      <w:r/>
    </w:p>
    <w:p>
      <w:pPr>
        <w:ind w:firstLine="480"/>
        <w:spacing w:line="360" w:lineRule="auto"/>
        <w:rPr>
          <w:rFonts w:ascii="宋体" w:hAnsi="宋体"/>
          <w:sz w:val="24"/>
          <w:szCs w:val="24"/>
        </w:rPr>
      </w:pPr>
      <w:r>
        <w:rPr>
          <w:rFonts w:hint="eastAsia" w:ascii="宋体" w:hAnsi="宋体"/>
          <w:sz w:val="24"/>
          <w:szCs w:val="24"/>
        </w:rPr>
        <w:t xml:space="preserve">供电方式: AC100V-AC240V（50HZ/60HZ）；</w:t>
      </w:r>
      <w:r/>
    </w:p>
    <w:p>
      <w:pPr>
        <w:ind w:firstLine="480"/>
        <w:spacing w:line="360" w:lineRule="auto"/>
        <w:rPr>
          <w:rFonts w:ascii="宋体" w:hAnsi="宋体"/>
          <w:sz w:val="24"/>
          <w:szCs w:val="24"/>
        </w:rPr>
      </w:pPr>
      <w:r>
        <w:rPr>
          <w:rFonts w:hint="eastAsia" w:ascii="宋体" w:hAnsi="宋体"/>
          <w:sz w:val="24"/>
          <w:szCs w:val="24"/>
        </w:rPr>
        <w:t xml:space="preserve">工作温度：-40℃~+70℃。</w:t>
      </w:r>
      <w:r/>
    </w:p>
    <w:p>
      <w:pPr>
        <w:ind w:firstLine="480"/>
        <w:spacing w:line="360" w:lineRule="auto"/>
        <w:rPr>
          <w:rFonts w:ascii="宋体" w:hAnsi="宋体"/>
          <w:sz w:val="24"/>
          <w:szCs w:val="24"/>
        </w:rPr>
      </w:pPr>
      <w:r>
        <w:rPr>
          <w:rFonts w:hint="eastAsia" w:ascii="宋体" w:hAnsi="宋体"/>
          <w:sz w:val="24"/>
          <w:szCs w:val="24"/>
        </w:rPr>
        <w:t xml:space="preserve">加“★”的参数投标时须提供法定检测机构出具检测合格的报告的扫描件或提供投标人出具的承诺函。</w:t>
      </w:r>
      <w:r/>
    </w:p>
    <w:p>
      <w:pPr>
        <w:pStyle w:val="834"/>
        <w:ind w:firstLine="482"/>
        <w:rPr>
          <w:rFonts w:ascii="宋体" w:hAnsi="宋体" w:eastAsia="宋体" w:cs="宋体"/>
        </w:rPr>
      </w:pPr>
      <w:r>
        <w:rPr>
          <w:rFonts w:hint="eastAsia" w:ascii="宋体" w:hAnsi="宋体" w:eastAsia="宋体" w:cs="宋体"/>
        </w:rPr>
        <w:t xml:space="preserve">3.6.1.</w:t>
      </w:r>
      <w:r>
        <w:rPr>
          <w:rFonts w:ascii="宋体" w:hAnsi="宋体" w:eastAsia="宋体" w:cs="宋体"/>
        </w:rPr>
        <w:t xml:space="preserve">5</w:t>
      </w:r>
      <w:r>
        <w:rPr>
          <w:rFonts w:hint="eastAsia" w:ascii="宋体" w:hAnsi="宋体" w:eastAsia="宋体" w:cs="宋体"/>
        </w:rPr>
        <w:t xml:space="preserve"> 双目结构化摄像机</w:t>
      </w:r>
      <w:bookmarkEnd w:id="214"/>
      <w:r/>
      <w:r/>
    </w:p>
    <w:p>
      <w:pPr>
        <w:ind w:firstLine="482"/>
        <w:spacing w:line="440" w:lineRule="exact"/>
        <w:rPr>
          <w:rFonts w:ascii="宋体" w:hAnsi="宋体"/>
          <w:color w:val="000000"/>
          <w:sz w:val="24"/>
        </w:rPr>
      </w:pPr>
      <w:r>
        <w:rPr>
          <w:rFonts w:hint="eastAsia" w:ascii="宋体" w:hAnsi="宋体"/>
          <w:color w:val="000000"/>
          <w:sz w:val="24"/>
        </w:rPr>
        <w:t xml:space="preserve">摄像机有独立的外壳；非裸主板与镜头直接在防尘罩内拼装的摄像机。在微光环境下获取清晰的人脸、人体彩色图片，满足人脸和人体图片关联，满足人员结构化属性提取。</w:t>
      </w:r>
      <w:r/>
    </w:p>
    <w:p>
      <w:pPr>
        <w:ind w:firstLine="482"/>
        <w:spacing w:line="440" w:lineRule="exact"/>
        <w:rPr>
          <w:rFonts w:ascii="宋体" w:hAnsi="宋体"/>
          <w:color w:val="000000"/>
          <w:sz w:val="24"/>
        </w:rPr>
      </w:pPr>
      <w:r>
        <w:rPr>
          <w:rFonts w:hint="eastAsia" w:ascii="宋体" w:hAnsi="宋体"/>
          <w:color w:val="000000"/>
          <w:sz w:val="24"/>
        </w:rPr>
        <w:t xml:space="preserve">传感器尺寸：通道1（全景）≥1/</w:t>
      </w:r>
      <w:r>
        <w:rPr>
          <w:rFonts w:ascii="宋体" w:hAnsi="宋体"/>
          <w:color w:val="000000"/>
          <w:sz w:val="24"/>
        </w:rPr>
        <w:t xml:space="preserve">2</w:t>
      </w:r>
      <w:r>
        <w:rPr>
          <w:rFonts w:hint="eastAsia" w:ascii="宋体" w:hAnsi="宋体"/>
          <w:color w:val="000000"/>
          <w:sz w:val="24"/>
        </w:rPr>
        <w:t xml:space="preserve">.8英寸，通道2（细节）≥1/</w:t>
      </w:r>
      <w:r>
        <w:rPr>
          <w:rFonts w:ascii="宋体" w:hAnsi="宋体"/>
          <w:color w:val="000000"/>
          <w:sz w:val="24"/>
        </w:rPr>
        <w:t xml:space="preserve">1</w:t>
      </w:r>
      <w:r>
        <w:rPr>
          <w:rFonts w:hint="eastAsia" w:ascii="宋体" w:hAnsi="宋体"/>
          <w:color w:val="000000"/>
          <w:sz w:val="24"/>
        </w:rPr>
        <w:t xml:space="preserve">.8英寸；</w:t>
      </w:r>
      <w:r/>
    </w:p>
    <w:p>
      <w:pPr>
        <w:ind w:firstLine="482"/>
        <w:spacing w:line="440" w:lineRule="exact"/>
        <w:rPr>
          <w:rFonts w:ascii="宋体" w:hAnsi="宋体"/>
          <w:color w:val="000000"/>
          <w:sz w:val="24"/>
        </w:rPr>
      </w:pPr>
      <w:r>
        <w:rPr>
          <w:rFonts w:hint="eastAsia" w:ascii="宋体" w:hAnsi="宋体"/>
          <w:color w:val="000000"/>
          <w:sz w:val="24"/>
        </w:rPr>
        <w:t xml:space="preserve">★像素: 通道1（全景）≥</w:t>
      </w:r>
      <w:r>
        <w:rPr>
          <w:rFonts w:ascii="宋体" w:hAnsi="宋体"/>
          <w:color w:val="000000"/>
          <w:sz w:val="24"/>
        </w:rPr>
        <w:t xml:space="preserve">4</w:t>
      </w:r>
      <w:r>
        <w:rPr>
          <w:rFonts w:hint="eastAsia" w:ascii="宋体" w:hAnsi="宋体"/>
          <w:color w:val="000000"/>
          <w:sz w:val="24"/>
        </w:rPr>
        <w:t xml:space="preserve">00万，通道</w:t>
      </w:r>
      <w:r>
        <w:rPr>
          <w:rFonts w:ascii="宋体" w:hAnsi="宋体"/>
          <w:color w:val="000000"/>
          <w:sz w:val="24"/>
        </w:rPr>
        <w:t xml:space="preserve">,2</w:t>
      </w:r>
      <w:r>
        <w:rPr>
          <w:rFonts w:hint="eastAsia" w:ascii="宋体" w:hAnsi="宋体"/>
          <w:color w:val="000000"/>
          <w:sz w:val="24"/>
        </w:rPr>
        <w:t xml:space="preserve">（细节）≥800万；</w:t>
      </w:r>
      <w:r/>
    </w:p>
    <w:p>
      <w:pPr>
        <w:ind w:firstLine="480"/>
        <w:spacing w:line="440" w:lineRule="exact"/>
        <w:rPr>
          <w:rFonts w:ascii="宋体" w:hAnsi="宋体"/>
          <w:color w:val="000000"/>
          <w:sz w:val="24"/>
        </w:rPr>
      </w:pPr>
      <w:r>
        <w:rPr>
          <w:rFonts w:hint="eastAsia" w:ascii="宋体" w:hAnsi="宋体"/>
          <w:color w:val="000000"/>
          <w:sz w:val="24"/>
        </w:rPr>
        <w:t xml:space="preserve">★照度：彩色模式≤0.002Lux（F1.2）、黑白模式≤0.000</w:t>
      </w:r>
      <w:r>
        <w:rPr>
          <w:rFonts w:ascii="宋体" w:hAnsi="宋体"/>
          <w:color w:val="000000"/>
          <w:sz w:val="24"/>
        </w:rPr>
        <w:t xml:space="preserve">2</w:t>
      </w:r>
      <w:r>
        <w:rPr>
          <w:rFonts w:hint="eastAsia" w:ascii="宋体" w:hAnsi="宋体"/>
          <w:color w:val="000000"/>
          <w:sz w:val="24"/>
        </w:rPr>
        <w:t xml:space="preserve">Lux（F1.2）；</w:t>
      </w:r>
      <w:r/>
    </w:p>
    <w:p>
      <w:pPr>
        <w:ind w:firstLine="482"/>
        <w:spacing w:line="440" w:lineRule="exact"/>
        <w:rPr>
          <w:rFonts w:ascii="宋体" w:hAnsi="宋体"/>
          <w:color w:val="000000"/>
          <w:sz w:val="24"/>
        </w:rPr>
      </w:pPr>
      <w:r>
        <w:rPr>
          <w:rFonts w:hint="eastAsia" w:ascii="宋体" w:hAnsi="宋体"/>
          <w:color w:val="000000"/>
          <w:sz w:val="24"/>
        </w:rPr>
        <w:t xml:space="preserve">★内置GPU芯片，整机峰值算力≥4TOPS（INT8精度）；</w:t>
      </w:r>
      <w:r/>
    </w:p>
    <w:p>
      <w:pPr>
        <w:ind w:firstLine="482"/>
        <w:spacing w:line="440" w:lineRule="exact"/>
        <w:rPr>
          <w:rFonts w:ascii="宋体" w:hAnsi="宋体"/>
          <w:color w:val="000000"/>
          <w:sz w:val="24"/>
        </w:rPr>
      </w:pPr>
      <w:r>
        <w:rPr>
          <w:rFonts w:hint="eastAsia" w:ascii="宋体" w:hAnsi="宋体"/>
          <w:color w:val="000000"/>
          <w:sz w:val="24"/>
        </w:rPr>
        <w:t xml:space="preserve">最大补光距离：≥100m（视频监控距离），≥30m（人脸检测距离）；</w:t>
      </w:r>
      <w:r/>
    </w:p>
    <w:p>
      <w:pPr>
        <w:ind w:firstLine="482"/>
        <w:spacing w:line="440" w:lineRule="exact"/>
        <w:rPr>
          <w:rFonts w:ascii="宋体" w:hAnsi="宋体"/>
          <w:color w:val="000000"/>
          <w:sz w:val="24"/>
        </w:rPr>
      </w:pPr>
      <w:r>
        <w:rPr>
          <w:rFonts w:hint="eastAsia" w:ascii="宋体" w:hAnsi="宋体"/>
          <w:color w:val="000000"/>
          <w:sz w:val="24"/>
        </w:rPr>
        <w:t xml:space="preserve">智能分区补光：可实现画面多区域补光独立控制，并支持根据画面变化进行自动调节；</w:t>
      </w:r>
      <w:r/>
    </w:p>
    <w:p>
      <w:pPr>
        <w:ind w:firstLine="482"/>
        <w:spacing w:line="440" w:lineRule="exact"/>
        <w:rPr>
          <w:rFonts w:ascii="宋体" w:hAnsi="宋体"/>
          <w:color w:val="000000"/>
          <w:sz w:val="24"/>
        </w:rPr>
      </w:pPr>
      <w:r>
        <w:rPr>
          <w:rFonts w:hint="eastAsia" w:ascii="宋体" w:hAnsi="宋体"/>
          <w:color w:val="000000"/>
          <w:sz w:val="24"/>
        </w:rPr>
        <w:t xml:space="preserve">细节通道采用电动变焦镜头，≥7倍光学变焦；</w:t>
      </w:r>
      <w:r/>
    </w:p>
    <w:p>
      <w:pPr>
        <w:ind w:firstLine="482"/>
        <w:spacing w:line="440" w:lineRule="exact"/>
        <w:rPr>
          <w:rFonts w:ascii="宋体" w:hAnsi="宋体"/>
          <w:color w:val="000000"/>
          <w:sz w:val="24"/>
        </w:rPr>
      </w:pPr>
      <w:r>
        <w:rPr>
          <w:rFonts w:hint="eastAsia" w:ascii="宋体" w:hAnsi="宋体"/>
          <w:color w:val="000000"/>
          <w:sz w:val="24"/>
        </w:rPr>
        <w:t xml:space="preserve">旋转范围功能：2 路通道均支持独立电动云台，通道1：垂直旋转范围：-5°~30°；水平旋转范围：0°~355°；</w:t>
      </w:r>
      <w:r/>
    </w:p>
    <w:p>
      <w:pPr>
        <w:ind w:firstLine="482"/>
        <w:spacing w:line="440" w:lineRule="exact"/>
        <w:rPr>
          <w:rFonts w:ascii="宋体" w:hAnsi="宋体"/>
          <w:color w:val="000000"/>
          <w:sz w:val="24"/>
        </w:rPr>
      </w:pPr>
      <w:r>
        <w:rPr>
          <w:rFonts w:hint="eastAsia" w:ascii="宋体" w:hAnsi="宋体"/>
          <w:color w:val="000000"/>
          <w:sz w:val="24"/>
        </w:rPr>
        <w:t xml:space="preserve">支持视频结构化：支持机动车、非机动车、人脸、人员等目标的抓拍和属性识别；</w:t>
      </w:r>
      <w:r/>
    </w:p>
    <w:p>
      <w:pPr>
        <w:ind w:firstLine="482"/>
        <w:spacing w:line="440" w:lineRule="exact"/>
        <w:rPr>
          <w:rFonts w:ascii="宋体" w:hAnsi="宋体"/>
          <w:color w:val="000000"/>
          <w:sz w:val="24"/>
        </w:rPr>
      </w:pPr>
      <w:r>
        <w:rPr>
          <w:rFonts w:hint="eastAsia" w:ascii="宋体" w:hAnsi="宋体"/>
          <w:color w:val="000000"/>
          <w:sz w:val="24"/>
        </w:rPr>
        <w:t xml:space="preserve">支持人脸识别：支持跟踪，支持优选，支持抓拍，支持上报最优的人脸抓图，支持人脸增强，人脸曝光，支持人脸属性提取，支持 6 种属性，8 种表情；</w:t>
      </w:r>
      <w:r/>
    </w:p>
    <w:p>
      <w:pPr>
        <w:ind w:firstLine="482"/>
        <w:spacing w:line="440" w:lineRule="exact"/>
        <w:rPr>
          <w:rFonts w:ascii="宋体" w:hAnsi="宋体"/>
          <w:color w:val="000000"/>
          <w:sz w:val="24"/>
        </w:rPr>
      </w:pPr>
      <w:r>
        <w:rPr>
          <w:rFonts w:hint="eastAsia" w:ascii="宋体" w:hAnsi="宋体"/>
          <w:color w:val="000000"/>
          <w:sz w:val="24"/>
        </w:rPr>
        <w:t xml:space="preserve">支持车辆结构化：支持正向/背向行驶车辆抓拍，支持车牌、车牌颜色、车标、车系、车身颜色、车辆类型；</w:t>
      </w:r>
      <w:r/>
    </w:p>
    <w:p>
      <w:pPr>
        <w:ind w:firstLine="482"/>
        <w:spacing w:line="440" w:lineRule="exact"/>
        <w:rPr>
          <w:rFonts w:ascii="宋体" w:hAnsi="宋体"/>
          <w:color w:val="000000"/>
          <w:sz w:val="24"/>
        </w:rPr>
      </w:pPr>
      <w:r>
        <w:rPr>
          <w:rFonts w:hint="eastAsia" w:ascii="宋体" w:hAnsi="宋体"/>
          <w:color w:val="000000"/>
          <w:sz w:val="24"/>
        </w:rPr>
        <w:t xml:space="preserve">接入标准：ONVIF，GB/T28181；GA/T1400；GB/35114A；</w:t>
      </w:r>
      <w:r/>
    </w:p>
    <w:p>
      <w:pPr>
        <w:ind w:firstLine="482"/>
        <w:spacing w:line="440" w:lineRule="exact"/>
        <w:rPr>
          <w:rFonts w:ascii="宋体" w:hAnsi="宋体"/>
          <w:color w:val="000000"/>
          <w:sz w:val="24"/>
        </w:rPr>
      </w:pPr>
      <w:r>
        <w:rPr>
          <w:rFonts w:hint="eastAsia" w:ascii="宋体" w:hAnsi="宋体"/>
          <w:color w:val="000000"/>
          <w:sz w:val="24"/>
        </w:rPr>
        <w:t xml:space="preserve">工作环境：-30℃--+60℃；</w:t>
      </w:r>
      <w:r/>
    </w:p>
    <w:p>
      <w:pPr>
        <w:ind w:firstLine="482"/>
        <w:spacing w:line="440" w:lineRule="exact"/>
        <w:rPr>
          <w:rFonts w:ascii="宋体" w:hAnsi="宋体"/>
          <w:color w:val="000000"/>
          <w:sz w:val="24"/>
        </w:rPr>
      </w:pPr>
      <w:r>
        <w:rPr>
          <w:rFonts w:hint="eastAsia" w:ascii="宋体" w:hAnsi="宋体"/>
          <w:color w:val="000000"/>
          <w:sz w:val="24"/>
        </w:rPr>
        <w:t xml:space="preserve">防护等级：≥IP67。</w:t>
      </w:r>
      <w:r/>
    </w:p>
    <w:p>
      <w:pPr>
        <w:ind w:firstLine="482"/>
        <w:spacing w:line="440" w:lineRule="exact"/>
        <w:rPr>
          <w:rFonts w:ascii="宋体" w:hAnsi="宋体"/>
          <w:color w:val="000000"/>
          <w:sz w:val="24"/>
        </w:rPr>
      </w:pPr>
      <w:r>
        <w:rPr>
          <w:rFonts w:hint="eastAsia" w:ascii="宋体" w:hAnsi="宋体"/>
          <w:color w:val="000000"/>
          <w:sz w:val="24"/>
        </w:rPr>
        <w:t xml:space="preserve">供电电压：AC24V±30%宽电压输入。</w:t>
      </w:r>
      <w:r/>
    </w:p>
    <w:p>
      <w:pPr>
        <w:ind w:firstLine="482"/>
        <w:spacing w:line="440" w:lineRule="exact"/>
        <w:rPr>
          <w:rFonts w:ascii="宋体" w:hAnsi="宋体"/>
          <w:color w:val="000000"/>
          <w:sz w:val="24"/>
        </w:rPr>
      </w:pPr>
      <w:r>
        <w:rPr>
          <w:rFonts w:hint="eastAsia" w:ascii="宋体" w:hAnsi="宋体"/>
          <w:color w:val="000000"/>
          <w:sz w:val="24"/>
        </w:rPr>
        <w:t xml:space="preserve">包含万向安装支架。</w:t>
      </w:r>
      <w:r/>
    </w:p>
    <w:p>
      <w:pPr>
        <w:ind w:firstLine="482"/>
        <w:spacing w:line="440" w:lineRule="exact"/>
        <w:rPr>
          <w:rFonts w:ascii="宋体" w:hAnsi="宋体"/>
          <w:color w:val="000000"/>
          <w:sz w:val="24"/>
        </w:rPr>
      </w:pPr>
      <w:r>
        <w:rPr>
          <w:rFonts w:hint="eastAsia" w:ascii="宋体" w:hAnsi="宋体"/>
          <w:color w:val="000000"/>
          <w:sz w:val="24"/>
        </w:rPr>
        <w:t xml:space="preserve">加“★”的参数投标时须提供法定检测机构出具检测合格的报告的扫描件或提供投标人出具的承诺函。</w:t>
      </w:r>
      <w:r/>
    </w:p>
    <w:p>
      <w:pPr>
        <w:pStyle w:val="833"/>
        <w:ind w:firstLine="482"/>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3.6.2 传输交换机</w:t>
      </w:r>
      <w:r/>
    </w:p>
    <w:p>
      <w:pPr>
        <w:pStyle w:val="834"/>
        <w:ind w:firstLine="482"/>
        <w:rPr>
          <w:rFonts w:ascii="宋体" w:hAnsi="宋体" w:eastAsia="宋体" w:cs="宋体"/>
        </w:rPr>
      </w:pPr>
      <w:r/>
      <w:bookmarkStart w:id="215" w:name="_Hlk164065394"/>
      <w:r>
        <w:rPr>
          <w:rFonts w:hint="eastAsia" w:ascii="宋体" w:hAnsi="宋体" w:eastAsia="宋体" w:cs="宋体"/>
        </w:rPr>
        <w:t xml:space="preserve">3.6.2.1 防雷、防水型工业级以太网光交换机（1光4电 10/100M）</w:t>
      </w:r>
      <w:r/>
    </w:p>
    <w:p>
      <w:pPr>
        <w:ind w:left="-29" w:firstLine="480"/>
        <w:spacing w:line="360" w:lineRule="auto"/>
        <w:rPr>
          <w:rFonts w:ascii="宋体" w:hAnsi="宋体" w:cs="仿宋"/>
          <w:bCs/>
          <w:color w:val="000000"/>
          <w:sz w:val="24"/>
          <w:szCs w:val="24"/>
        </w:rPr>
      </w:pPr>
      <w:r/>
      <w:bookmarkStart w:id="216" w:name="_Hlk164065412"/>
      <w:r/>
      <w:bookmarkStart w:id="217" w:name="_Hlk164065474"/>
      <w:r/>
      <w:bookmarkEnd w:id="215"/>
      <w:r>
        <w:rPr>
          <w:rFonts w:hint="eastAsia" w:ascii="宋体" w:hAnsi="宋体" w:cs="仿宋"/>
          <w:bCs/>
          <w:color w:val="000000"/>
          <w:sz w:val="24"/>
          <w:szCs w:val="24"/>
        </w:rPr>
        <w:t xml:space="preserve">1光口，4电口；</w:t>
      </w:r>
      <w:r/>
    </w:p>
    <w:p>
      <w:pPr>
        <w:ind w:left="-29"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单模单纤双工传输；</w:t>
      </w:r>
      <w:r/>
    </w:p>
    <w:p>
      <w:pPr>
        <w:ind w:left="-29"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符合IEEE802.3 10Base-T 、IEEE802.3u 100Base-TX、IEEE802.3u 100Base-FX标准；</w:t>
      </w:r>
      <w:r/>
    </w:p>
    <w:p>
      <w:pPr>
        <w:ind w:left="-29"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10/100M自适应和MDX线缆自动交叉；</w:t>
      </w:r>
      <w:r/>
    </w:p>
    <w:p>
      <w:pPr>
        <w:ind w:left="-29"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具有 IEEE802.3X 全双工流量控制和半双工背压流量控制；</w:t>
      </w:r>
      <w:r/>
    </w:p>
    <w:p>
      <w:pPr>
        <w:ind w:left="-29"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低传输延迟和高线速透明转发；</w:t>
      </w:r>
      <w:r/>
    </w:p>
    <w:p>
      <w:pPr>
        <w:ind w:left="-29"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无需软件设置 ；</w:t>
      </w:r>
      <w:r/>
    </w:p>
    <w:p>
      <w:pPr>
        <w:ind w:left="-29" w:firstLine="480"/>
        <w:spacing w:line="360" w:lineRule="auto"/>
        <w:rPr>
          <w:rFonts w:ascii="宋体" w:hAnsi="宋体"/>
          <w:color w:val="000000"/>
          <w:sz w:val="24"/>
          <w:szCs w:val="24"/>
        </w:rPr>
      </w:pPr>
      <w:r>
        <w:rPr>
          <w:rFonts w:hint="eastAsia" w:ascii="宋体" w:hAnsi="宋体"/>
          <w:color w:val="000000"/>
          <w:sz w:val="24"/>
          <w:szCs w:val="24"/>
        </w:rPr>
        <w:t xml:space="preserve">内置浪涌和静电保护，满足GB/T17626-5的3级及以上防雷标准；</w:t>
      </w:r>
      <w:r/>
    </w:p>
    <w:p>
      <w:pPr>
        <w:ind w:left="-29"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★工作温度：-40～85℃ ；</w:t>
      </w:r>
      <w:r/>
    </w:p>
    <w:p>
      <w:pPr>
        <w:ind w:left="-29"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工业级设计，可靠性高；</w:t>
      </w:r>
      <w:r/>
    </w:p>
    <w:p>
      <w:pPr>
        <w:ind w:left="-29"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光发射波长1310/1550nm(单模)、传输距离：不小于20km；</w:t>
      </w:r>
      <w:r/>
    </w:p>
    <w:p>
      <w:pPr>
        <w:ind w:left="-29"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★供电：AC24V±30% ；</w:t>
      </w:r>
      <w:r/>
    </w:p>
    <w:p>
      <w:pPr>
        <w:ind w:left="-29"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★防水防尘等级：</w:t>
      </w:r>
      <w:r>
        <w:rPr>
          <w:rFonts w:hint="eastAsia" w:ascii="宋体" w:hAnsi="宋体"/>
          <w:color w:val="000000"/>
          <w:sz w:val="24"/>
        </w:rPr>
        <w:t xml:space="preserve">≥</w:t>
      </w:r>
      <w:r>
        <w:rPr>
          <w:rFonts w:hint="eastAsia" w:ascii="宋体" w:hAnsi="宋体" w:cs="仿宋"/>
          <w:bCs/>
          <w:color w:val="000000"/>
          <w:sz w:val="24"/>
          <w:szCs w:val="24"/>
        </w:rPr>
        <w:t xml:space="preserve">IP66；</w:t>
      </w:r>
      <w:r/>
    </w:p>
    <w:p>
      <w:pPr>
        <w:ind w:left="-29"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体积：防水微型化全密封（在杆柱检修门内安装，自然散热）；</w:t>
      </w:r>
      <w:r/>
    </w:p>
    <w:p>
      <w:pPr>
        <w:ind w:left="-29"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设备必须符合《安全防范系统光端机技术要求(GA/T1178-2014)》要求；</w:t>
      </w:r>
      <w:r/>
    </w:p>
    <w:p>
      <w:pPr>
        <w:ind w:left="-29"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具有工信部入网证书。</w:t>
      </w:r>
      <w:r/>
    </w:p>
    <w:p>
      <w:pPr>
        <w:ind w:left="-29"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加“★”的参数投标时须提供法定检测机构出具检测合格的报告的扫描件或提供投标人出具的承诺函。</w:t>
      </w:r>
      <w:bookmarkEnd w:id="216"/>
      <w:r/>
      <w:r/>
    </w:p>
    <w:p>
      <w:pPr>
        <w:pStyle w:val="834"/>
        <w:ind w:firstLine="482"/>
        <w:rPr>
          <w:rFonts w:ascii="宋体" w:hAnsi="宋体" w:eastAsia="宋体" w:cs="宋体"/>
        </w:rPr>
      </w:pPr>
      <w:r>
        <w:rPr>
          <w:rFonts w:hint="eastAsia" w:ascii="宋体" w:hAnsi="宋体" w:eastAsia="宋体" w:cs="宋体"/>
        </w:rPr>
        <w:t xml:space="preserve">3.6.2.2  高集成化汇聚</w:t>
      </w:r>
      <w:r>
        <w:rPr>
          <w:rFonts w:ascii="宋体" w:hAnsi="宋体" w:eastAsia="宋体" w:cs="宋体"/>
        </w:rPr>
        <w:t xml:space="preserve">交换机</w:t>
      </w:r>
      <w:r>
        <w:rPr>
          <w:rFonts w:hint="eastAsia" w:ascii="宋体" w:hAnsi="宋体" w:eastAsia="宋体" w:cs="宋体"/>
        </w:rPr>
        <w:t xml:space="preserve">（工业级）（</w:t>
      </w:r>
      <w:r>
        <w:rPr>
          <w:rFonts w:ascii="宋体" w:hAnsi="宋体" w:eastAsia="宋体" w:cs="宋体"/>
        </w:rPr>
        <w:t xml:space="preserve">96/</w:t>
      </w:r>
      <w:r>
        <w:rPr>
          <w:rFonts w:hint="eastAsia" w:ascii="宋体" w:hAnsi="宋体" w:eastAsia="宋体" w:cs="宋体"/>
        </w:rPr>
        <w:t xml:space="preserve">4口）</w:t>
      </w:r>
      <w:r/>
    </w:p>
    <w:p>
      <w:pPr>
        <w:ind w:firstLine="480"/>
        <w:spacing w:line="360" w:lineRule="auto"/>
        <w:rPr>
          <w:rFonts w:ascii="宋体" w:hAnsi="宋体"/>
          <w:color w:val="000000"/>
          <w:sz w:val="24"/>
          <w:szCs w:val="24"/>
        </w:rPr>
      </w:pPr>
      <w:r/>
      <w:bookmarkStart w:id="218" w:name="_Hlk164065494"/>
      <w:r/>
      <w:bookmarkEnd w:id="217"/>
      <w:r>
        <w:rPr>
          <w:rFonts w:hint="eastAsia" w:ascii="宋体" w:hAnsi="宋体"/>
          <w:color w:val="000000"/>
          <w:sz w:val="24"/>
          <w:szCs w:val="24"/>
        </w:rPr>
        <w:t xml:space="preserve">上联光口：4×10G万兆光口（配2个万兆光模块），汇聚光口：96×1G 100/1000M自适应光口；</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上联万兆光口：符合IEEE802.3 10GBase-LR 、10GBase-ER、符合 IEEE802.3ae标准；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汇聚百/千兆光口：符合IEEE802.3 100Base-FX，1000Base-x标准，汇聚光口采用不大于8个互联高密度MPO光口（内含12个千兆光口）；</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具有WEB、 telnet 、SNMP网管，提供标准MIB库，可接入后台SNMP网管平台；</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满足VLAN，满足STP\RSTP\MSTP生成树；满足QOS业务分类控制，端口速度100/1000M自适应，支持流量控制、带宽控制、链路聚合；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安全功能：ACL接入控制， 802.1x接入控制，端口镜像，用户账号、密码、权限、授权管理；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时钟同步：支持NTP、SNTP时钟同步；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支持IPV4、IPV6协议；</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全封闭1U机架式结构,</w:t>
      </w:r>
      <w:r>
        <w:rPr>
          <w:rFonts w:hint="eastAsia" w:ascii="宋体" w:hAnsi="宋体"/>
          <w:sz w:val="24"/>
          <w:szCs w:val="24"/>
        </w:rPr>
        <w:t xml:space="preserve">机箱内无散热风扇，自然散热;</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供电电压输入：AC220V±20%；</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★工作温度：-40～85℃；</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★内置浪涌和静电保护，满足GB/T17626-5的3级及以上防雷标准；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本次配套需求：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（A）光模块：10G多模光模块2枚，100M单模块光模块96枚；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（B）MPO连接线缆： 8根单模（1.5-2.5m根据现场需求配置）；</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设备必须符合《安全防范系统光端机技术要求(GA/T1178-2014)》与《工业以太网交换机技术规范GB/T 30094-2013》4.2规定的II类标准要求。</w:t>
      </w:r>
      <w:r/>
    </w:p>
    <w:p>
      <w:pPr>
        <w:ind w:left="-29"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具有工信部入网证书。</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加“★”的参数投标时须提供法定检测机构出具检测合格的报告的扫描件或提供投标人出具的承诺函。</w:t>
      </w:r>
      <w:r/>
    </w:p>
    <w:p>
      <w:pPr>
        <w:pStyle w:val="834"/>
        <w:ind w:firstLine="482"/>
        <w:rPr>
          <w:rFonts w:ascii="宋体" w:hAnsi="宋体" w:eastAsia="宋体" w:cs="宋体"/>
        </w:rPr>
      </w:pPr>
      <w:r>
        <w:rPr>
          <w:rFonts w:hint="eastAsia" w:ascii="宋体" w:hAnsi="宋体" w:eastAsia="宋体" w:cs="宋体"/>
        </w:rPr>
        <w:t xml:space="preserve">3.6.2.3  高集成化汇聚交换机（工业级）（48/4口）</w:t>
      </w:r>
      <w:bookmarkEnd w:id="218"/>
      <w:r/>
      <w:r/>
    </w:p>
    <w:p>
      <w:pPr>
        <w:pStyle w:val="1155"/>
        <w:ind w:firstLine="480"/>
        <w:jc w:val="left"/>
        <w:spacing w:line="360" w:lineRule="auto"/>
        <w:rPr>
          <w:rFonts w:ascii="宋体" w:hAnsi="宋体"/>
          <w:color w:val="000000"/>
          <w:sz w:val="24"/>
          <w:szCs w:val="24"/>
          <w:lang w:val="en-US"/>
        </w:rPr>
      </w:pPr>
      <w:r>
        <w:rPr>
          <w:rFonts w:hint="eastAsia" w:ascii="宋体" w:hAnsi="宋体"/>
          <w:color w:val="000000"/>
          <w:sz w:val="24"/>
          <w:szCs w:val="24"/>
          <w:lang w:val="en-US"/>
        </w:rPr>
        <w:t xml:space="preserve">4×1G/10G (SFP+)/48×100M/1000M (SFP)，含100M单模块光模块4</w:t>
      </w:r>
      <w:r>
        <w:rPr>
          <w:rFonts w:ascii="宋体" w:hAnsi="宋体"/>
          <w:color w:val="000000"/>
          <w:sz w:val="24"/>
          <w:szCs w:val="24"/>
          <w:lang w:val="en-US"/>
        </w:rPr>
        <w:t xml:space="preserve">8</w:t>
      </w:r>
      <w:r>
        <w:rPr>
          <w:rFonts w:hint="eastAsia" w:ascii="宋体" w:hAnsi="宋体"/>
          <w:color w:val="000000"/>
          <w:sz w:val="24"/>
          <w:szCs w:val="24"/>
          <w:lang w:val="en-US"/>
        </w:rPr>
        <w:t xml:space="preserve">枚；</w:t>
      </w:r>
      <w:r/>
    </w:p>
    <w:p>
      <w:pPr>
        <w:pStyle w:val="1155"/>
        <w:ind w:firstLine="480"/>
        <w:jc w:val="left"/>
        <w:spacing w:line="360" w:lineRule="auto"/>
        <w:rPr>
          <w:rFonts w:ascii="宋体" w:hAnsi="宋体"/>
          <w:color w:val="000000"/>
          <w:sz w:val="24"/>
          <w:szCs w:val="24"/>
          <w:lang w:val="en-US"/>
        </w:rPr>
      </w:pPr>
      <w:r>
        <w:rPr>
          <w:rFonts w:hint="eastAsia" w:ascii="宋体" w:hAnsi="宋体"/>
          <w:color w:val="000000"/>
          <w:sz w:val="24"/>
          <w:szCs w:val="24"/>
        </w:rPr>
        <w:t xml:space="preserve">千兆光口</w:t>
      </w:r>
      <w:r>
        <w:rPr>
          <w:rFonts w:hint="eastAsia" w:ascii="宋体" w:hAnsi="宋体"/>
          <w:color w:val="000000"/>
          <w:sz w:val="24"/>
          <w:szCs w:val="24"/>
          <w:lang w:val="en-US"/>
        </w:rPr>
        <w:t xml:space="preserve">：</w:t>
      </w:r>
      <w:r>
        <w:rPr>
          <w:rFonts w:hint="eastAsia" w:ascii="宋体" w:hAnsi="宋体"/>
          <w:color w:val="000000"/>
          <w:sz w:val="24"/>
          <w:szCs w:val="24"/>
        </w:rPr>
        <w:t xml:space="preserve">符合</w:t>
      </w:r>
      <w:r>
        <w:rPr>
          <w:rFonts w:hint="eastAsia" w:ascii="宋体" w:hAnsi="宋体"/>
          <w:color w:val="000000"/>
          <w:sz w:val="24"/>
          <w:szCs w:val="24"/>
          <w:lang w:val="en-US"/>
        </w:rPr>
        <w:t xml:space="preserve">IEEE802.3 100Base-FX，1000Base-x</w:t>
      </w:r>
      <w:r>
        <w:rPr>
          <w:rFonts w:hint="eastAsia" w:ascii="宋体" w:hAnsi="宋体"/>
          <w:color w:val="000000"/>
          <w:sz w:val="24"/>
          <w:szCs w:val="24"/>
        </w:rPr>
        <w:t xml:space="preserve">标准</w:t>
      </w:r>
      <w:r>
        <w:rPr>
          <w:rFonts w:hint="eastAsia" w:ascii="宋体" w:hAnsi="宋体"/>
          <w:color w:val="000000"/>
          <w:sz w:val="24"/>
          <w:szCs w:val="24"/>
          <w:lang w:val="en-US"/>
        </w:rPr>
        <w:t xml:space="preserve">；</w:t>
      </w:r>
      <w:r/>
    </w:p>
    <w:p>
      <w:pPr>
        <w:pStyle w:val="1155"/>
        <w:ind w:firstLine="480"/>
        <w:jc w:val="left"/>
        <w:spacing w:line="360" w:lineRule="auto"/>
        <w:rPr>
          <w:rFonts w:ascii="宋体" w:hAnsi="宋体"/>
          <w:color w:val="000000"/>
          <w:sz w:val="24"/>
          <w:szCs w:val="24"/>
          <w:lang w:val="en-US"/>
        </w:rPr>
      </w:pPr>
      <w:r>
        <w:rPr>
          <w:rFonts w:hint="eastAsia" w:ascii="宋体" w:hAnsi="宋体"/>
          <w:color w:val="000000"/>
          <w:sz w:val="24"/>
          <w:szCs w:val="24"/>
        </w:rPr>
        <w:t xml:space="preserve">万兆光口</w:t>
      </w:r>
      <w:r>
        <w:rPr>
          <w:rFonts w:hint="eastAsia" w:ascii="宋体" w:hAnsi="宋体"/>
          <w:color w:val="000000"/>
          <w:sz w:val="24"/>
          <w:szCs w:val="24"/>
          <w:lang w:val="en-US"/>
        </w:rPr>
        <w:t xml:space="preserve">：</w:t>
      </w:r>
      <w:r>
        <w:rPr>
          <w:rFonts w:hint="eastAsia" w:ascii="宋体" w:hAnsi="宋体"/>
          <w:color w:val="000000"/>
          <w:sz w:val="24"/>
          <w:szCs w:val="24"/>
        </w:rPr>
        <w:t xml:space="preserve">符合</w:t>
      </w:r>
      <w:r>
        <w:rPr>
          <w:rFonts w:hint="eastAsia" w:ascii="宋体" w:hAnsi="宋体"/>
          <w:color w:val="000000"/>
          <w:sz w:val="24"/>
          <w:szCs w:val="24"/>
          <w:lang w:val="en-US"/>
        </w:rPr>
        <w:t xml:space="preserve">IEEE802.3 10GBase-LR </w:t>
      </w:r>
      <w:r>
        <w:rPr>
          <w:rFonts w:hint="eastAsia" w:ascii="宋体" w:hAnsi="宋体"/>
          <w:color w:val="000000"/>
          <w:sz w:val="24"/>
          <w:szCs w:val="24"/>
        </w:rPr>
        <w:t xml:space="preserve">、</w:t>
      </w:r>
      <w:r>
        <w:rPr>
          <w:rFonts w:hint="eastAsia" w:ascii="宋体" w:hAnsi="宋体"/>
          <w:color w:val="000000"/>
          <w:sz w:val="24"/>
          <w:szCs w:val="24"/>
          <w:lang w:val="en-US"/>
        </w:rPr>
        <w:t xml:space="preserve">10GBase-ER</w:t>
      </w:r>
      <w:r>
        <w:rPr>
          <w:rFonts w:hint="eastAsia" w:ascii="宋体" w:hAnsi="宋体"/>
          <w:color w:val="000000"/>
          <w:sz w:val="24"/>
          <w:szCs w:val="24"/>
        </w:rPr>
        <w:t xml:space="preserve">、符合</w:t>
      </w:r>
      <w:r>
        <w:rPr>
          <w:rFonts w:hint="eastAsia" w:ascii="宋体" w:hAnsi="宋体"/>
          <w:color w:val="000000"/>
          <w:sz w:val="24"/>
          <w:szCs w:val="24"/>
          <w:lang w:val="en-US"/>
        </w:rPr>
        <w:t xml:space="preserve"> IEEE802.3ae</w:t>
      </w:r>
      <w:r>
        <w:rPr>
          <w:rFonts w:hint="eastAsia" w:ascii="宋体" w:hAnsi="宋体"/>
          <w:color w:val="000000"/>
          <w:sz w:val="24"/>
          <w:szCs w:val="24"/>
        </w:rPr>
        <w:t xml:space="preserve">标准</w:t>
      </w:r>
      <w:r>
        <w:rPr>
          <w:rFonts w:hint="eastAsia" w:ascii="宋体" w:hAnsi="宋体"/>
          <w:color w:val="000000"/>
          <w:sz w:val="24"/>
          <w:szCs w:val="24"/>
          <w:lang w:val="en-US"/>
        </w:rPr>
        <w:t xml:space="preserve">；</w:t>
      </w:r>
      <w:r/>
    </w:p>
    <w:p>
      <w:pPr>
        <w:pStyle w:val="1155"/>
        <w:ind w:firstLine="480"/>
        <w:jc w:val="left"/>
        <w:spacing w:line="360" w:lineRule="auto"/>
        <w:rPr>
          <w:rFonts w:ascii="宋体" w:hAnsi="宋体"/>
          <w:color w:val="000000"/>
          <w:sz w:val="24"/>
          <w:szCs w:val="24"/>
          <w:lang w:val="en-US"/>
        </w:rPr>
      </w:pPr>
      <w:r>
        <w:rPr>
          <w:rFonts w:hint="eastAsia" w:ascii="宋体" w:hAnsi="宋体"/>
          <w:color w:val="000000"/>
          <w:sz w:val="24"/>
          <w:szCs w:val="24"/>
        </w:rPr>
        <w:t xml:space="preserve">电口满足</w:t>
      </w:r>
      <w:r>
        <w:rPr>
          <w:rFonts w:hint="eastAsia" w:ascii="宋体" w:hAnsi="宋体"/>
          <w:color w:val="000000"/>
          <w:sz w:val="24"/>
          <w:szCs w:val="24"/>
          <w:lang w:val="en-US"/>
        </w:rPr>
        <w:t xml:space="preserve">IEEE802.3 10Base-T</w:t>
      </w:r>
      <w:r>
        <w:rPr>
          <w:rFonts w:hint="eastAsia" w:ascii="宋体" w:hAnsi="宋体"/>
          <w:color w:val="000000"/>
          <w:sz w:val="24"/>
          <w:szCs w:val="24"/>
        </w:rPr>
        <w:t xml:space="preserve">、</w:t>
      </w:r>
      <w:r>
        <w:rPr>
          <w:rFonts w:hint="eastAsia" w:ascii="宋体" w:hAnsi="宋体"/>
          <w:color w:val="000000"/>
          <w:sz w:val="24"/>
          <w:szCs w:val="24"/>
          <w:lang w:val="en-US"/>
        </w:rPr>
        <w:t xml:space="preserve">IEEE802.3u 100Base-Tx</w:t>
      </w:r>
      <w:r>
        <w:rPr>
          <w:rFonts w:hint="eastAsia" w:ascii="宋体" w:hAnsi="宋体"/>
          <w:color w:val="000000"/>
          <w:sz w:val="24"/>
          <w:szCs w:val="24"/>
        </w:rPr>
        <w:t xml:space="preserve">、</w:t>
      </w:r>
      <w:r>
        <w:rPr>
          <w:rFonts w:hint="eastAsia" w:ascii="宋体" w:hAnsi="宋体"/>
          <w:color w:val="000000"/>
          <w:sz w:val="24"/>
          <w:szCs w:val="24"/>
          <w:lang w:val="en-US"/>
        </w:rPr>
        <w:t xml:space="preserve">IEEE802.3ab 1000Base-T ,10/100/1000M</w:t>
      </w:r>
      <w:r>
        <w:rPr>
          <w:rFonts w:hint="eastAsia" w:ascii="宋体" w:hAnsi="宋体"/>
          <w:color w:val="000000"/>
          <w:sz w:val="24"/>
          <w:szCs w:val="24"/>
        </w:rPr>
        <w:t xml:space="preserve">速率自适应</w:t>
      </w:r>
      <w:r>
        <w:rPr>
          <w:rFonts w:hint="eastAsia" w:ascii="宋体" w:hAnsi="宋体"/>
          <w:color w:val="000000"/>
          <w:sz w:val="24"/>
          <w:szCs w:val="24"/>
          <w:lang w:val="en-US"/>
        </w:rPr>
        <w:t xml:space="preserve">；</w:t>
      </w:r>
      <w:r/>
    </w:p>
    <w:p>
      <w:pPr>
        <w:pStyle w:val="1155"/>
        <w:ind w:firstLine="480"/>
        <w:jc w:val="left"/>
        <w:spacing w:line="360" w:lineRule="auto"/>
        <w:rPr>
          <w:rFonts w:ascii="宋体" w:hAnsi="宋体"/>
          <w:color w:val="000000"/>
          <w:sz w:val="24"/>
          <w:szCs w:val="24"/>
        </w:rPr>
      </w:pPr>
      <w:r>
        <w:rPr>
          <w:rFonts w:hint="eastAsia" w:ascii="宋体" w:hAnsi="宋体"/>
          <w:color w:val="000000"/>
          <w:sz w:val="24"/>
          <w:szCs w:val="24"/>
        </w:rPr>
        <w:t xml:space="preserve">500K端口帧缓冲能力、端口流量及存储在线设置</w:t>
      </w:r>
      <w:r/>
    </w:p>
    <w:p>
      <w:pPr>
        <w:pStyle w:val="1155"/>
        <w:ind w:firstLine="480"/>
        <w:spacing w:line="360" w:lineRule="auto"/>
        <w:rPr>
          <w:rFonts w:ascii="宋体" w:hAnsi="宋体"/>
          <w:color w:val="000000"/>
          <w:sz w:val="24"/>
          <w:szCs w:val="24"/>
        </w:rPr>
      </w:pPr>
      <w:r>
        <w:rPr>
          <w:rFonts w:hint="eastAsia" w:ascii="宋体" w:hAnsi="宋体"/>
          <w:color w:val="000000"/>
          <w:sz w:val="24"/>
          <w:szCs w:val="24"/>
        </w:rPr>
        <w:t xml:space="preserve">32K个MAC线速自动学习寻址能；</w:t>
      </w:r>
      <w:r/>
    </w:p>
    <w:p>
      <w:pPr>
        <w:pStyle w:val="1155"/>
        <w:ind w:firstLine="480"/>
        <w:spacing w:line="360" w:lineRule="auto"/>
        <w:rPr>
          <w:rFonts w:ascii="宋体" w:hAnsi="宋体"/>
          <w:color w:val="000000"/>
          <w:sz w:val="24"/>
          <w:szCs w:val="24"/>
        </w:rPr>
      </w:pPr>
      <w:r>
        <w:rPr>
          <w:rFonts w:hint="eastAsia" w:ascii="宋体" w:hAnsi="宋体"/>
          <w:color w:val="000000"/>
          <w:sz w:val="24"/>
          <w:szCs w:val="24"/>
        </w:rPr>
        <w:t xml:space="preserve">光接口SFP可插拔光模块，传输距离由插入的SFP光模块而定；</w:t>
      </w:r>
      <w:r/>
    </w:p>
    <w:p>
      <w:pPr>
        <w:pStyle w:val="1155"/>
        <w:ind w:firstLine="480"/>
        <w:spacing w:line="360" w:lineRule="auto"/>
        <w:rPr>
          <w:rFonts w:ascii="宋体" w:hAnsi="宋体"/>
          <w:color w:val="000000"/>
          <w:sz w:val="24"/>
          <w:szCs w:val="24"/>
        </w:rPr>
      </w:pPr>
      <w:r>
        <w:rPr>
          <w:rFonts w:hint="eastAsia" w:ascii="宋体" w:hAnsi="宋体"/>
          <w:color w:val="000000"/>
          <w:sz w:val="24"/>
          <w:szCs w:val="24"/>
        </w:rPr>
        <w:t xml:space="preserve">具有WEB、 telnet 、SNMP网管，可提供标准MIB库，可接入后台统一SNMP网管平台； </w:t>
      </w:r>
      <w:r/>
    </w:p>
    <w:p>
      <w:pPr>
        <w:pStyle w:val="1155"/>
        <w:ind w:firstLine="480"/>
        <w:spacing w:line="360" w:lineRule="auto"/>
        <w:rPr>
          <w:rFonts w:ascii="宋体" w:hAnsi="宋体"/>
          <w:color w:val="000000"/>
          <w:sz w:val="24"/>
          <w:szCs w:val="24"/>
        </w:rPr>
      </w:pPr>
      <w:r>
        <w:rPr>
          <w:rFonts w:hint="eastAsia" w:ascii="宋体" w:hAnsi="宋体"/>
          <w:color w:val="000000"/>
          <w:sz w:val="24"/>
          <w:szCs w:val="24"/>
        </w:rPr>
        <w:t xml:space="preserve">满足VLAN，QinQ，双层VALN；</w:t>
      </w:r>
      <w:r/>
    </w:p>
    <w:p>
      <w:pPr>
        <w:pStyle w:val="1155"/>
        <w:ind w:firstLine="480"/>
        <w:spacing w:line="360" w:lineRule="auto"/>
        <w:rPr>
          <w:rFonts w:ascii="宋体" w:hAnsi="宋体"/>
          <w:color w:val="000000"/>
          <w:sz w:val="24"/>
          <w:szCs w:val="24"/>
        </w:rPr>
      </w:pPr>
      <w:r>
        <w:rPr>
          <w:rFonts w:hint="eastAsia" w:ascii="宋体" w:hAnsi="宋体"/>
          <w:color w:val="000000"/>
          <w:sz w:val="24"/>
          <w:szCs w:val="24"/>
        </w:rPr>
        <w:t xml:space="preserve">满足STP，RSTP ，MSTP生成树；</w:t>
      </w:r>
      <w:r/>
    </w:p>
    <w:p>
      <w:pPr>
        <w:pStyle w:val="1155"/>
        <w:ind w:firstLine="480"/>
        <w:spacing w:line="360" w:lineRule="auto"/>
        <w:rPr>
          <w:rFonts w:ascii="宋体" w:hAnsi="宋体"/>
          <w:color w:val="000000"/>
          <w:sz w:val="24"/>
          <w:szCs w:val="24"/>
        </w:rPr>
      </w:pPr>
      <w:r>
        <w:rPr>
          <w:rFonts w:hint="eastAsia" w:ascii="宋体" w:hAnsi="宋体"/>
          <w:color w:val="000000"/>
          <w:sz w:val="24"/>
          <w:szCs w:val="24"/>
        </w:rPr>
        <w:t xml:space="preserve">满足QOS业务分类控制和端口速度，双工模式和流量控制、带宽控制；</w:t>
      </w:r>
      <w:r/>
    </w:p>
    <w:p>
      <w:pPr>
        <w:pStyle w:val="1155"/>
        <w:ind w:firstLine="480"/>
        <w:spacing w:line="360" w:lineRule="auto"/>
        <w:rPr>
          <w:rFonts w:ascii="宋体" w:hAnsi="宋体"/>
          <w:color w:val="000000"/>
          <w:sz w:val="24"/>
          <w:szCs w:val="24"/>
        </w:rPr>
      </w:pPr>
      <w:r>
        <w:rPr>
          <w:rFonts w:hint="eastAsia" w:ascii="宋体" w:hAnsi="宋体"/>
          <w:color w:val="000000"/>
          <w:sz w:val="24"/>
          <w:szCs w:val="24"/>
        </w:rPr>
        <w:t xml:space="preserve">满足端口安全：控制打开和关闭端口、端口和MAC的802.1x认证，端口IP/ MAC绑定、端口隔离；</w:t>
      </w:r>
      <w:r/>
    </w:p>
    <w:p>
      <w:pPr>
        <w:pStyle w:val="1155"/>
        <w:ind w:firstLine="480"/>
        <w:spacing w:line="360" w:lineRule="auto"/>
        <w:rPr>
          <w:rFonts w:ascii="宋体" w:hAnsi="宋体"/>
          <w:color w:val="000000"/>
          <w:sz w:val="24"/>
          <w:szCs w:val="24"/>
        </w:rPr>
      </w:pPr>
      <w:r>
        <w:rPr>
          <w:rFonts w:hint="eastAsia" w:ascii="宋体" w:hAnsi="宋体"/>
          <w:color w:val="000000"/>
          <w:sz w:val="24"/>
          <w:szCs w:val="24"/>
        </w:rPr>
        <w:t xml:space="preserve">网络管理员分级管理和口令保护；</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全封闭19英寸1U机架式结构；</w:t>
      </w:r>
      <w:r>
        <w:rPr>
          <w:rFonts w:hint="eastAsia" w:ascii="宋体" w:hAnsi="宋体"/>
          <w:sz w:val="24"/>
          <w:szCs w:val="24"/>
        </w:rPr>
        <w:t xml:space="preserve">机箱内无散热风扇，自然散热;</w:t>
      </w:r>
      <w:r/>
    </w:p>
    <w:p>
      <w:pPr>
        <w:pStyle w:val="1155"/>
        <w:ind w:firstLine="480"/>
        <w:spacing w:line="360" w:lineRule="auto"/>
        <w:rPr>
          <w:rFonts w:ascii="宋体" w:hAnsi="宋体"/>
          <w:color w:val="000000"/>
          <w:sz w:val="24"/>
          <w:szCs w:val="24"/>
        </w:rPr>
      </w:pPr>
      <w:r>
        <w:rPr>
          <w:rFonts w:hint="eastAsia" w:ascii="宋体" w:hAnsi="宋体"/>
          <w:color w:val="000000"/>
          <w:sz w:val="24"/>
          <w:szCs w:val="24"/>
        </w:rPr>
        <w:t xml:space="preserve">供电电压输入：AC220V±20%；</w:t>
      </w:r>
      <w:r/>
    </w:p>
    <w:p>
      <w:pPr>
        <w:pStyle w:val="1155"/>
        <w:ind w:firstLine="480"/>
        <w:spacing w:line="360" w:lineRule="auto"/>
        <w:rPr>
          <w:rFonts w:ascii="宋体" w:hAnsi="宋体"/>
          <w:color w:val="000000"/>
          <w:sz w:val="24"/>
          <w:szCs w:val="24"/>
        </w:rPr>
      </w:pPr>
      <w:r>
        <w:rPr>
          <w:rFonts w:hint="eastAsia" w:ascii="宋体" w:hAnsi="宋体"/>
          <w:color w:val="000000"/>
          <w:sz w:val="24"/>
          <w:szCs w:val="24"/>
        </w:rPr>
        <w:t xml:space="preserve">★工作温度：-40～85℃；</w:t>
      </w:r>
      <w:r/>
    </w:p>
    <w:p>
      <w:pPr>
        <w:pStyle w:val="1155"/>
        <w:ind w:firstLine="480"/>
        <w:spacing w:line="360" w:lineRule="auto"/>
        <w:rPr>
          <w:rFonts w:ascii="宋体" w:hAnsi="宋体"/>
          <w:color w:val="000000"/>
          <w:sz w:val="24"/>
          <w:szCs w:val="24"/>
        </w:rPr>
      </w:pPr>
      <w:r>
        <w:rPr>
          <w:rFonts w:hint="eastAsia" w:ascii="宋体" w:hAnsi="宋体"/>
          <w:color w:val="000000"/>
          <w:sz w:val="24"/>
          <w:szCs w:val="24"/>
        </w:rPr>
        <w:t xml:space="preserve">★内置浪涌和静电保护，满足GB/T17626-5的3级及以上防雷标准；</w:t>
      </w:r>
      <w:r/>
    </w:p>
    <w:p>
      <w:pPr>
        <w:pStyle w:val="1155"/>
        <w:ind w:firstLine="480"/>
        <w:spacing w:line="360" w:lineRule="auto"/>
        <w:rPr>
          <w:rFonts w:ascii="宋体" w:hAnsi="宋体"/>
          <w:color w:val="000000"/>
          <w:sz w:val="24"/>
          <w:szCs w:val="24"/>
        </w:rPr>
      </w:pPr>
      <w:r>
        <w:rPr>
          <w:rFonts w:hint="eastAsia" w:ascii="宋体" w:hAnsi="宋体"/>
          <w:color w:val="000000"/>
          <w:sz w:val="24"/>
          <w:szCs w:val="24"/>
        </w:rPr>
        <w:t xml:space="preserve">设备必须符合《安全防范系统光端机技术要求(GA/T1178-2014)》与《工业以太网交换机技术规范GB/T 30094-2013》4.2规定的II类标准要求；</w:t>
      </w:r>
      <w:r/>
    </w:p>
    <w:p>
      <w:pPr>
        <w:ind w:left="-29"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具有工信部入网证书。</w:t>
      </w:r>
      <w:r/>
    </w:p>
    <w:p>
      <w:pPr>
        <w:pStyle w:val="1155"/>
        <w:ind w:firstLine="480"/>
        <w:spacing w:line="360" w:lineRule="auto"/>
      </w:pPr>
      <w:r>
        <w:rPr>
          <w:rFonts w:hint="eastAsia" w:ascii="宋体" w:hAnsi="宋体"/>
          <w:color w:val="000000"/>
          <w:sz w:val="24"/>
          <w:szCs w:val="24"/>
        </w:rPr>
        <w:t xml:space="preserve">加“★”的参数投标时须提供法定检测机构出具检测合格的报告的扫描件或提供投标人出具的承诺函。</w:t>
      </w:r>
      <w:r/>
    </w:p>
    <w:p>
      <w:pPr>
        <w:pStyle w:val="833"/>
        <w:ind w:firstLine="482"/>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3.6.3 立杆与基础</w:t>
      </w:r>
      <w:r/>
    </w:p>
    <w:p>
      <w:pPr>
        <w:ind w:firstLine="480"/>
        <w:spacing w:line="360" w:lineRule="auto"/>
        <w:rPr>
          <w:rFonts w:ascii="宋体" w:hAnsi="宋体"/>
          <w:sz w:val="24"/>
          <w:szCs w:val="24"/>
        </w:rPr>
      </w:pPr>
      <w:r>
        <w:rPr>
          <w:rFonts w:hint="eastAsia" w:ascii="宋体" w:hAnsi="宋体"/>
          <w:sz w:val="24"/>
          <w:szCs w:val="24"/>
        </w:rPr>
        <w:t xml:space="preserve">1. H4L≤2m等径圆柱杆（含基础、地接、防雷等）：主杆采用Q235钢，尺寸为Φ140mm，壁厚为4mm。横臂采用Q235钢，尺寸为Φ76mm，壁厚为3mm。地笼：4×M20×1000mm，对角线300mm；基础：C25混凝土浇铸，尺寸为600mm×600mm×1200mm；接地电阻&lt;4Ω。杆柱与横臂连接宜采用四个面均可连接的方式，未装横臂均有保护盖板。</w:t>
      </w:r>
      <w:r/>
    </w:p>
    <w:p>
      <w:pPr>
        <w:ind w:firstLine="480"/>
        <w:spacing w:line="360" w:lineRule="auto"/>
        <w:rPr>
          <w:rFonts w:ascii="宋体" w:hAnsi="宋体"/>
          <w:sz w:val="24"/>
          <w:szCs w:val="24"/>
        </w:rPr>
      </w:pPr>
      <w:r>
        <w:rPr>
          <w:rFonts w:hint="eastAsia" w:ascii="宋体" w:hAnsi="宋体"/>
          <w:sz w:val="24"/>
          <w:szCs w:val="24"/>
        </w:rPr>
        <w:t xml:space="preserve">2. H7L≤5m八角锥形杆（含基础、地接、防雷等）：主杆采用Q235钢，尺寸按设计图制作为对角180-240mm，厚度为8mm，采用大型折弯机一次性成型。横臂采用Q235钢，尺寸为对角100-160mm，厚度为4mm。地笼：6×M22×1500mm，对角线450mm；基础：C25混凝土浇铸，尺寸为1000mm×1000mm×1700mm；接地电阻&lt;4Ω。</w:t>
      </w:r>
      <w:r/>
    </w:p>
    <w:p>
      <w:pPr>
        <w:ind w:firstLine="480"/>
        <w:spacing w:line="360" w:lineRule="auto"/>
        <w:rPr>
          <w:rFonts w:ascii="宋体" w:hAnsi="宋体"/>
          <w:sz w:val="24"/>
          <w:szCs w:val="24"/>
        </w:rPr>
      </w:pPr>
      <w:r>
        <w:rPr>
          <w:rFonts w:hint="eastAsia" w:ascii="宋体" w:hAnsi="宋体"/>
          <w:sz w:val="24"/>
          <w:szCs w:val="24"/>
        </w:rPr>
        <w:t xml:space="preserve">3.杆柱为整体热浸锌后静电喷塑的金属杆柱，杆柱平放无载荷条件下直线度误差不超过0.3%，规格、尺寸、颜色和杆型，根据设计院(所)设计图纸制造；</w:t>
      </w:r>
      <w:r/>
    </w:p>
    <w:p>
      <w:pPr>
        <w:ind w:firstLine="480"/>
        <w:spacing w:line="360" w:lineRule="auto"/>
        <w:rPr>
          <w:rFonts w:ascii="宋体" w:hAnsi="宋体"/>
          <w:sz w:val="24"/>
          <w:szCs w:val="24"/>
        </w:rPr>
      </w:pPr>
      <w:r>
        <w:rPr>
          <w:rFonts w:hint="eastAsia" w:ascii="宋体" w:hAnsi="宋体"/>
          <w:sz w:val="24"/>
          <w:szCs w:val="24"/>
        </w:rPr>
        <w:t xml:space="preserve">4.主杆采用Q235优质钢板，有足够强度以防运输及安装过程中变形；</w:t>
      </w:r>
      <w:r/>
    </w:p>
    <w:p>
      <w:pPr>
        <w:ind w:firstLine="480"/>
        <w:spacing w:line="360" w:lineRule="auto"/>
        <w:rPr>
          <w:rFonts w:ascii="宋体" w:hAnsi="宋体"/>
          <w:sz w:val="24"/>
          <w:szCs w:val="24"/>
        </w:rPr>
      </w:pPr>
      <w:r>
        <w:rPr>
          <w:rFonts w:hint="eastAsia" w:ascii="宋体" w:hAnsi="宋体"/>
          <w:sz w:val="24"/>
          <w:szCs w:val="24"/>
        </w:rPr>
        <w:t xml:space="preserve">5.拼缝焊接采用机械自动焊，无横向焊缝，严格保证纵向焊缝强度，焊缝表面光滑，无焊接缺陷；</w:t>
      </w:r>
      <w:r/>
    </w:p>
    <w:p>
      <w:pPr>
        <w:ind w:firstLine="480"/>
        <w:spacing w:line="360" w:lineRule="auto"/>
        <w:rPr>
          <w:rFonts w:ascii="宋体" w:hAnsi="宋体"/>
          <w:sz w:val="24"/>
          <w:szCs w:val="24"/>
        </w:rPr>
      </w:pPr>
      <w:r>
        <w:rPr>
          <w:rFonts w:hint="eastAsia" w:ascii="宋体" w:hAnsi="宋体"/>
          <w:sz w:val="24"/>
          <w:szCs w:val="24"/>
        </w:rPr>
        <w:t xml:space="preserve">6.杆柱基础法兰盘采用Q235优质钢板，法兰与杆体之间正反二面满焊，焊接可靠、牢固，无焊接缺陷；</w:t>
      </w:r>
      <w:r/>
    </w:p>
    <w:p>
      <w:pPr>
        <w:ind w:firstLine="480"/>
        <w:spacing w:line="360" w:lineRule="auto"/>
        <w:rPr>
          <w:rFonts w:ascii="宋体" w:hAnsi="宋体"/>
          <w:sz w:val="24"/>
          <w:szCs w:val="24"/>
        </w:rPr>
      </w:pPr>
      <w:r>
        <w:rPr>
          <w:rFonts w:hint="eastAsia" w:ascii="宋体" w:hAnsi="宋体"/>
          <w:sz w:val="24"/>
          <w:szCs w:val="24"/>
        </w:rPr>
        <w:t xml:space="preserve">7.杆柱检修门孔应使用自动切割机切割，切割线光洁、整齐、缝隙小≤1mm，门上应有防非修打开措施；</w:t>
      </w:r>
      <w:r/>
    </w:p>
    <w:p>
      <w:pPr>
        <w:ind w:firstLine="480"/>
        <w:spacing w:line="360" w:lineRule="auto"/>
        <w:rPr>
          <w:rFonts w:ascii="宋体" w:hAnsi="宋体"/>
          <w:sz w:val="24"/>
          <w:szCs w:val="24"/>
        </w:rPr>
      </w:pPr>
      <w:r>
        <w:rPr>
          <w:rFonts w:hint="eastAsia" w:ascii="宋体" w:hAnsi="宋体"/>
          <w:sz w:val="24"/>
          <w:szCs w:val="24"/>
        </w:rPr>
        <w:t xml:space="preserve">8.杆柱的圆整度须要满足设计图纸所规定的技术要求；</w:t>
      </w:r>
      <w:r/>
    </w:p>
    <w:p>
      <w:pPr>
        <w:ind w:firstLine="480"/>
        <w:spacing w:line="360" w:lineRule="auto"/>
        <w:rPr>
          <w:rFonts w:ascii="宋体" w:hAnsi="宋体"/>
          <w:sz w:val="24"/>
          <w:szCs w:val="24"/>
        </w:rPr>
      </w:pPr>
      <w:r>
        <w:rPr>
          <w:rFonts w:hint="eastAsia" w:ascii="宋体" w:hAnsi="宋体"/>
          <w:sz w:val="24"/>
          <w:szCs w:val="24"/>
        </w:rPr>
        <w:t xml:space="preserve">9.表层处理按国家标准GB/T 13912-92进行热浸镀锌处理后静电喷塑处理，塑粉采用美国艾仕得静电喷涂热固性粉末，涂层厚度≥110um，涂膜满足国家标准GB1720、GB1732、GB1763和ASTM F1043-95要求；颜色为市政统一要求，经工程监理确认报招标人同意后方可使用。</w:t>
      </w:r>
      <w:r/>
    </w:p>
    <w:p>
      <w:pPr>
        <w:ind w:firstLine="480"/>
        <w:spacing w:line="360" w:lineRule="auto"/>
        <w:rPr>
          <w:rFonts w:ascii="宋体" w:hAnsi="宋体"/>
          <w:sz w:val="24"/>
          <w:szCs w:val="24"/>
        </w:rPr>
      </w:pPr>
      <w:r>
        <w:rPr>
          <w:rFonts w:hint="eastAsia" w:ascii="宋体" w:hAnsi="宋体"/>
          <w:sz w:val="24"/>
          <w:szCs w:val="24"/>
        </w:rPr>
        <w:t xml:space="preserve">10.紧固件立杆连接采用8.8级高强度双螺母、双垫片,横臂连接采用高强度8.8级全牙热镀锌螺栓、螺母、平垫、弹垫；</w:t>
      </w:r>
      <w:r/>
    </w:p>
    <w:p>
      <w:pPr>
        <w:ind w:firstLine="480"/>
        <w:spacing w:line="360" w:lineRule="auto"/>
        <w:rPr>
          <w:rFonts w:ascii="宋体" w:hAnsi="宋体"/>
          <w:sz w:val="24"/>
          <w:szCs w:val="24"/>
        </w:rPr>
      </w:pPr>
      <w:r>
        <w:rPr>
          <w:rFonts w:hint="eastAsia" w:ascii="宋体" w:hAnsi="宋体"/>
          <w:sz w:val="24"/>
          <w:szCs w:val="24"/>
        </w:rPr>
        <w:t xml:space="preserve">11.杆柱质保期为20年（除人为因素和自然灾害外）；</w:t>
      </w:r>
      <w:r/>
    </w:p>
    <w:p>
      <w:pPr>
        <w:ind w:firstLine="480"/>
        <w:spacing w:line="360" w:lineRule="auto"/>
        <w:rPr>
          <w:rFonts w:ascii="宋体" w:hAnsi="宋体"/>
          <w:sz w:val="24"/>
          <w:szCs w:val="24"/>
        </w:rPr>
      </w:pPr>
      <w:r>
        <w:rPr>
          <w:rFonts w:hint="eastAsia" w:ascii="宋体" w:hAnsi="宋体"/>
          <w:sz w:val="24"/>
          <w:szCs w:val="24"/>
        </w:rPr>
        <w:t xml:space="preserve">12.中标单位实施前必须提供杆件生产单位生产资质许可证，施工单位专项施工资质许可证并由采购人确认；</w:t>
      </w:r>
      <w:r/>
    </w:p>
    <w:p>
      <w:pPr>
        <w:ind w:firstLine="480"/>
        <w:spacing w:line="360" w:lineRule="auto"/>
        <w:rPr>
          <w:rFonts w:ascii="宋体" w:hAnsi="宋体"/>
          <w:sz w:val="24"/>
          <w:szCs w:val="24"/>
        </w:rPr>
      </w:pPr>
      <w:r>
        <w:rPr>
          <w:rFonts w:hint="eastAsia" w:ascii="宋体" w:hAnsi="宋体"/>
          <w:sz w:val="24"/>
          <w:szCs w:val="24"/>
        </w:rPr>
        <w:t xml:space="preserve">13.施工中C25混凝土采用商品混凝土，取样送法定的检验机构，由法定检验机构出具检验报告。若不合格由施工方进行返工直至合格止，并承担由此产生的一切责任和损失；</w:t>
      </w:r>
      <w:r/>
    </w:p>
    <w:p>
      <w:pPr>
        <w:ind w:firstLine="480"/>
        <w:spacing w:line="360" w:lineRule="auto"/>
        <w:rPr>
          <w:rFonts w:ascii="宋体" w:hAnsi="宋体"/>
          <w:sz w:val="24"/>
          <w:szCs w:val="24"/>
        </w:rPr>
      </w:pPr>
      <w:r>
        <w:rPr>
          <w:rFonts w:hint="eastAsia" w:ascii="宋体" w:hAnsi="宋体"/>
          <w:sz w:val="24"/>
          <w:szCs w:val="24"/>
        </w:rPr>
        <w:t xml:space="preserve">14.本期工程杆柱均须符合上述技术要求。</w:t>
      </w:r>
      <w:r/>
    </w:p>
    <w:p>
      <w:pPr>
        <w:pStyle w:val="833"/>
        <w:ind w:firstLine="482"/>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3.6.4 安全低压集合供配电装置</w:t>
      </w:r>
      <w:r/>
    </w:p>
    <w:p>
      <w:pPr>
        <w:ind w:firstLine="480"/>
        <w:spacing w:line="360" w:lineRule="auto"/>
        <w:rPr>
          <w:rFonts w:ascii="宋体" w:hAnsi="宋体"/>
          <w:sz w:val="24"/>
          <w:szCs w:val="24"/>
        </w:rPr>
      </w:pPr>
      <w:r>
        <w:rPr>
          <w:rFonts w:hint="eastAsia" w:ascii="宋体" w:hAnsi="宋体"/>
          <w:sz w:val="24"/>
          <w:szCs w:val="24"/>
        </w:rPr>
        <w:t xml:space="preserve">符合《安全防范系统供电技术要求(GB/T15408)》。</w:t>
      </w:r>
      <w:r/>
    </w:p>
    <w:p>
      <w:pPr>
        <w:ind w:left="420" w:firstLine="480"/>
        <w:spacing w:line="360" w:lineRule="auto"/>
        <w:rPr>
          <w:rFonts w:ascii="宋体" w:hAnsi="宋体" w:cs="仿宋"/>
          <w:bCs/>
          <w:sz w:val="24"/>
          <w:szCs w:val="24"/>
        </w:rPr>
      </w:pPr>
      <w:r>
        <w:rPr>
          <w:rFonts w:hint="eastAsia" w:ascii="宋体" w:hAnsi="宋体" w:cs="仿宋"/>
          <w:bCs/>
          <w:sz w:val="24"/>
          <w:szCs w:val="24"/>
        </w:rPr>
        <w:t xml:space="preserve">1.整体结构</w:t>
      </w:r>
      <w:r/>
    </w:p>
    <w:p>
      <w:pPr>
        <w:ind w:left="420" w:firstLine="480"/>
        <w:spacing w:line="360" w:lineRule="auto"/>
        <w:rPr>
          <w:rFonts w:ascii="宋体" w:hAnsi="宋体" w:cs="仿宋"/>
          <w:sz w:val="24"/>
          <w:szCs w:val="24"/>
        </w:rPr>
      </w:pPr>
      <w:r>
        <w:rPr>
          <w:rFonts w:hint="eastAsia" w:ascii="宋体" w:hAnsi="宋体" w:cs="仿宋"/>
          <w:sz w:val="24"/>
          <w:szCs w:val="24"/>
        </w:rPr>
        <w:t xml:space="preserve">箱体采用304不锈钢板制作，柜体尺寸见该项目施工图设计</w:t>
      </w:r>
      <w:r>
        <w:rPr>
          <w:rFonts w:ascii="宋体" w:hAnsi="宋体" w:cs="仿宋"/>
          <w:sz w:val="24"/>
          <w:szCs w:val="24"/>
        </w:rPr>
        <w:t xml:space="preserve">S-I</w:t>
      </w:r>
      <w:r>
        <w:rPr>
          <w:rFonts w:hint="eastAsia" w:ascii="宋体" w:hAnsi="宋体" w:cs="仿宋"/>
          <w:sz w:val="24"/>
          <w:szCs w:val="24"/>
        </w:rPr>
        <w:t xml:space="preserve">-</w:t>
      </w:r>
      <w:r>
        <w:rPr>
          <w:rFonts w:ascii="宋体" w:hAnsi="宋体" w:cs="仿宋"/>
          <w:sz w:val="24"/>
          <w:szCs w:val="24"/>
        </w:rPr>
        <w:t xml:space="preserve">6</w:t>
      </w:r>
      <w:r>
        <w:rPr>
          <w:rFonts w:hint="eastAsia" w:ascii="宋体" w:hAnsi="宋体" w:cs="仿宋"/>
          <w:sz w:val="24"/>
          <w:szCs w:val="24"/>
        </w:rPr>
        <w:t xml:space="preserve">，壁厚不小于1.5mm，有防湿、防水、防尘等保护措施、表面内外喷塑；</w:t>
      </w:r>
      <w:r/>
    </w:p>
    <w:p>
      <w:pPr>
        <w:ind w:left="420" w:firstLine="480"/>
        <w:spacing w:line="360" w:lineRule="auto"/>
        <w:rPr>
          <w:rFonts w:ascii="宋体" w:hAnsi="宋体" w:cs="仿宋"/>
          <w:sz w:val="24"/>
          <w:szCs w:val="24"/>
        </w:rPr>
      </w:pPr>
      <w:r>
        <w:rPr>
          <w:rFonts w:hint="eastAsia" w:ascii="宋体" w:hAnsi="宋体" w:cs="仿宋"/>
          <w:sz w:val="24"/>
          <w:szCs w:val="24"/>
        </w:rPr>
        <w:t xml:space="preserve">电源具备防浪涌保护；</w:t>
      </w:r>
      <w:r/>
    </w:p>
    <w:p>
      <w:pPr>
        <w:ind w:left="420" w:firstLine="480"/>
        <w:spacing w:line="360" w:lineRule="auto"/>
        <w:rPr>
          <w:rFonts w:ascii="宋体" w:hAnsi="宋体" w:cs="仿宋"/>
          <w:sz w:val="24"/>
          <w:szCs w:val="24"/>
        </w:rPr>
      </w:pPr>
      <w:r>
        <w:rPr>
          <w:rFonts w:hint="eastAsia" w:ascii="宋体" w:hAnsi="宋体" w:cs="仿宋"/>
          <w:sz w:val="24"/>
          <w:szCs w:val="24"/>
        </w:rPr>
        <w:t xml:space="preserve">有过稳压、电流、过压、欠压保护措施；</w:t>
      </w:r>
      <w:r/>
    </w:p>
    <w:p>
      <w:pPr>
        <w:ind w:left="420" w:firstLine="480"/>
        <w:spacing w:line="360" w:lineRule="auto"/>
        <w:rPr>
          <w:rFonts w:ascii="宋体" w:hAnsi="宋体" w:cs="仿宋"/>
          <w:sz w:val="24"/>
          <w:szCs w:val="24"/>
        </w:rPr>
      </w:pPr>
      <w:r>
        <w:rPr>
          <w:rFonts w:hint="eastAsia" w:ascii="宋体" w:hAnsi="宋体" w:cs="仿宋"/>
          <w:sz w:val="24"/>
          <w:szCs w:val="24"/>
        </w:rPr>
        <w:t xml:space="preserve">有电路控制开关及漏电保护装置；</w:t>
      </w:r>
      <w:r/>
    </w:p>
    <w:p>
      <w:pPr>
        <w:ind w:left="420" w:firstLine="480"/>
        <w:spacing w:line="360" w:lineRule="auto"/>
        <w:rPr>
          <w:rFonts w:ascii="宋体" w:hAnsi="宋体" w:cs="仿宋"/>
          <w:sz w:val="24"/>
          <w:szCs w:val="24"/>
        </w:rPr>
      </w:pPr>
      <w:r>
        <w:rPr>
          <w:rFonts w:hint="eastAsia" w:ascii="宋体" w:hAnsi="宋体" w:cs="仿宋"/>
          <w:sz w:val="24"/>
          <w:szCs w:val="24"/>
        </w:rPr>
        <w:t xml:space="preserve">箱体颜色按市政要求；并免费提供在箱门外表按开发区分局提供的式样印字(含报修电话)。</w:t>
      </w:r>
      <w:r/>
    </w:p>
    <w:p>
      <w:pPr>
        <w:ind w:left="420" w:firstLine="480"/>
        <w:spacing w:line="360" w:lineRule="auto"/>
        <w:rPr>
          <w:rFonts w:ascii="宋体" w:hAnsi="宋体" w:cs="仿宋"/>
          <w:bCs/>
          <w:sz w:val="24"/>
          <w:szCs w:val="24"/>
        </w:rPr>
      </w:pPr>
      <w:r>
        <w:rPr>
          <w:rFonts w:hint="eastAsia" w:ascii="宋体" w:hAnsi="宋体" w:cs="仿宋"/>
          <w:bCs/>
          <w:sz w:val="24"/>
          <w:szCs w:val="24"/>
        </w:rPr>
        <w:t xml:space="preserve">2.电源部分</w:t>
      </w:r>
      <w:r/>
    </w:p>
    <w:p>
      <w:pPr>
        <w:ind w:left="420" w:firstLine="480"/>
        <w:spacing w:line="360" w:lineRule="auto"/>
        <w:rPr>
          <w:rFonts w:ascii="宋体" w:hAnsi="宋体" w:cs="仿宋"/>
          <w:sz w:val="24"/>
          <w:szCs w:val="24"/>
        </w:rPr>
      </w:pPr>
      <w:r>
        <w:rPr>
          <w:rFonts w:hint="eastAsia" w:ascii="宋体" w:hAnsi="宋体" w:cs="仿宋"/>
          <w:sz w:val="24"/>
          <w:szCs w:val="24"/>
        </w:rPr>
        <w:t xml:space="preserve">输入电压：交流220V±10 %；</w:t>
      </w:r>
      <w:r/>
    </w:p>
    <w:p>
      <w:pPr>
        <w:ind w:left="420" w:firstLine="480"/>
        <w:spacing w:line="360" w:lineRule="auto"/>
        <w:rPr>
          <w:rFonts w:ascii="宋体" w:hAnsi="宋体" w:cs="仿宋"/>
          <w:sz w:val="24"/>
          <w:szCs w:val="24"/>
        </w:rPr>
      </w:pPr>
      <w:r>
        <w:rPr>
          <w:rFonts w:hint="eastAsia" w:ascii="宋体" w:hAnsi="宋体" w:cs="仿宋"/>
          <w:sz w:val="24"/>
          <w:szCs w:val="24"/>
        </w:rPr>
        <w:t xml:space="preserve">输出电压：交流具备24V、26V、28V等多档电压可选；</w:t>
      </w:r>
      <w:r/>
    </w:p>
    <w:p>
      <w:pPr>
        <w:ind w:left="420" w:firstLine="480"/>
        <w:spacing w:line="360" w:lineRule="auto"/>
        <w:rPr>
          <w:rFonts w:ascii="宋体" w:hAnsi="宋体" w:cs="仿宋"/>
          <w:sz w:val="24"/>
          <w:szCs w:val="24"/>
        </w:rPr>
      </w:pPr>
      <w:r>
        <w:rPr>
          <w:rFonts w:hint="eastAsia" w:ascii="宋体" w:hAnsi="宋体" w:cs="仿宋"/>
          <w:sz w:val="24"/>
          <w:szCs w:val="24"/>
        </w:rPr>
        <w:t xml:space="preserve">具有交流稳压功能输出电压波动小于±1%；</w:t>
      </w:r>
      <w:r/>
    </w:p>
    <w:p>
      <w:pPr>
        <w:ind w:left="420" w:firstLine="480"/>
        <w:spacing w:line="360" w:lineRule="auto"/>
        <w:rPr>
          <w:rFonts w:ascii="宋体" w:hAnsi="宋体" w:cs="仿宋"/>
          <w:sz w:val="24"/>
          <w:szCs w:val="24"/>
        </w:rPr>
      </w:pPr>
      <w:r>
        <w:rPr>
          <w:rFonts w:hint="eastAsia" w:ascii="宋体" w:hAnsi="宋体" w:cs="仿宋"/>
          <w:sz w:val="24"/>
          <w:szCs w:val="24"/>
        </w:rPr>
        <w:t xml:space="preserve">功率：按需配制，但额定功率最小不得小于1000W；</w:t>
      </w:r>
      <w:r/>
    </w:p>
    <w:p>
      <w:pPr>
        <w:ind w:left="420" w:firstLine="480"/>
        <w:spacing w:line="360" w:lineRule="auto"/>
        <w:rPr>
          <w:rFonts w:ascii="宋体" w:hAnsi="宋体" w:cs="仿宋"/>
          <w:sz w:val="24"/>
          <w:szCs w:val="24"/>
        </w:rPr>
      </w:pPr>
      <w:r>
        <w:rPr>
          <w:rFonts w:hint="eastAsia" w:ascii="宋体" w:hAnsi="宋体" w:cs="仿宋"/>
          <w:sz w:val="24"/>
          <w:szCs w:val="24"/>
        </w:rPr>
        <w:t xml:space="preserve">电气开关器件应具有国家强制3C认证标识。</w:t>
      </w:r>
      <w:r/>
    </w:p>
    <w:p>
      <w:pPr>
        <w:ind w:left="420" w:firstLine="480"/>
        <w:spacing w:line="360" w:lineRule="auto"/>
        <w:rPr>
          <w:rFonts w:ascii="宋体" w:hAnsi="宋体" w:cs="仿宋"/>
          <w:bCs/>
          <w:sz w:val="24"/>
          <w:szCs w:val="24"/>
        </w:rPr>
      </w:pPr>
      <w:r>
        <w:rPr>
          <w:rFonts w:hint="eastAsia" w:ascii="宋体" w:hAnsi="宋体" w:cs="仿宋"/>
          <w:bCs/>
          <w:sz w:val="24"/>
          <w:szCs w:val="24"/>
        </w:rPr>
        <w:t xml:space="preserve">3.工作环境条件</w:t>
      </w:r>
      <w:r/>
    </w:p>
    <w:p>
      <w:pPr>
        <w:ind w:left="420" w:firstLine="480"/>
        <w:spacing w:line="360" w:lineRule="auto"/>
        <w:rPr>
          <w:rFonts w:ascii="宋体" w:hAnsi="宋体" w:cs="仿宋"/>
          <w:sz w:val="24"/>
          <w:szCs w:val="24"/>
        </w:rPr>
      </w:pPr>
      <w:r>
        <w:rPr>
          <w:rFonts w:hint="eastAsia" w:ascii="宋体" w:hAnsi="宋体" w:cs="仿宋"/>
          <w:sz w:val="24"/>
          <w:szCs w:val="24"/>
        </w:rPr>
        <w:t xml:space="preserve">温度范围：- 40℃～﹢75℃；</w:t>
      </w:r>
      <w:r/>
    </w:p>
    <w:p>
      <w:pPr>
        <w:ind w:left="420" w:firstLine="480"/>
        <w:spacing w:line="360" w:lineRule="auto"/>
        <w:rPr>
          <w:rFonts w:ascii="宋体" w:hAnsi="宋体" w:cs="仿宋"/>
          <w:sz w:val="24"/>
          <w:szCs w:val="24"/>
        </w:rPr>
      </w:pPr>
      <w:r>
        <w:rPr>
          <w:rFonts w:hint="eastAsia" w:ascii="宋体" w:hAnsi="宋体" w:cs="仿宋"/>
          <w:sz w:val="24"/>
          <w:szCs w:val="24"/>
        </w:rPr>
        <w:t xml:space="preserve">湿度范围：≤95% RH</w:t>
      </w:r>
      <w:r/>
    </w:p>
    <w:p>
      <w:pPr>
        <w:ind w:left="420" w:firstLine="480"/>
        <w:spacing w:line="360" w:lineRule="auto"/>
        <w:rPr>
          <w:rFonts w:ascii="宋体" w:hAnsi="宋体" w:cs="仿宋"/>
          <w:sz w:val="24"/>
          <w:szCs w:val="24"/>
        </w:rPr>
      </w:pPr>
      <w:r>
        <w:rPr>
          <w:rFonts w:hint="eastAsia" w:ascii="宋体" w:hAnsi="宋体" w:cs="仿宋"/>
          <w:sz w:val="24"/>
          <w:szCs w:val="24"/>
        </w:rPr>
        <w:t xml:space="preserve">大气压力：70kPa～106kPa；</w:t>
      </w:r>
      <w:r/>
    </w:p>
    <w:p>
      <w:pPr>
        <w:ind w:left="420" w:firstLine="480"/>
        <w:spacing w:line="360" w:lineRule="auto"/>
        <w:rPr>
          <w:rFonts w:ascii="宋体" w:hAnsi="宋体" w:cs="仿宋"/>
          <w:sz w:val="24"/>
          <w:szCs w:val="24"/>
        </w:rPr>
      </w:pPr>
      <w:r>
        <w:rPr>
          <w:rFonts w:hint="eastAsia" w:ascii="宋体" w:hAnsi="宋体" w:cs="仿宋"/>
          <w:sz w:val="24"/>
          <w:szCs w:val="24"/>
        </w:rPr>
        <w:t xml:space="preserve">室外保护等级≥IP65。</w:t>
      </w:r>
      <w:r/>
    </w:p>
    <w:p>
      <w:pPr>
        <w:ind w:left="420" w:firstLine="480"/>
        <w:spacing w:line="360" w:lineRule="auto"/>
        <w:rPr>
          <w:rFonts w:ascii="宋体" w:hAnsi="宋体" w:cs="仿宋"/>
          <w:bCs/>
          <w:sz w:val="24"/>
          <w:szCs w:val="24"/>
        </w:rPr>
      </w:pPr>
      <w:r>
        <w:rPr>
          <w:rFonts w:ascii="宋体" w:hAnsi="宋体" w:cs="仿宋"/>
          <w:bCs/>
          <w:sz w:val="24"/>
          <w:szCs w:val="24"/>
        </w:rPr>
        <w:t xml:space="preserve">4</w:t>
      </w:r>
      <w:r>
        <w:rPr>
          <w:rFonts w:hint="eastAsia" w:ascii="宋体" w:hAnsi="宋体" w:cs="仿宋"/>
          <w:bCs/>
          <w:sz w:val="24"/>
          <w:szCs w:val="24"/>
        </w:rPr>
        <w:t xml:space="preserve">.电源防雷器</w:t>
      </w:r>
      <w:r/>
    </w:p>
    <w:p>
      <w:pPr>
        <w:ind w:left="420" w:firstLine="480"/>
        <w:spacing w:line="360" w:lineRule="auto"/>
        <w:rPr>
          <w:rFonts w:ascii="宋体" w:hAnsi="宋体" w:cs="仿宋"/>
          <w:sz w:val="24"/>
          <w:szCs w:val="24"/>
        </w:rPr>
      </w:pPr>
      <w:r>
        <w:rPr>
          <w:rFonts w:hint="eastAsia" w:ascii="宋体" w:hAnsi="宋体" w:cs="仿宋"/>
          <w:sz w:val="24"/>
          <w:szCs w:val="24"/>
        </w:rPr>
        <w:t xml:space="preserve">最大持续工作电压Uc：30 Vac / 38 Vdc；</w:t>
      </w:r>
      <w:r/>
    </w:p>
    <w:p>
      <w:pPr>
        <w:ind w:left="155" w:firstLine="720"/>
        <w:spacing w:line="360" w:lineRule="auto"/>
        <w:rPr>
          <w:rFonts w:ascii="宋体" w:hAnsi="宋体" w:cs="仿宋"/>
          <w:sz w:val="24"/>
          <w:szCs w:val="24"/>
        </w:rPr>
      </w:pPr>
      <w:r>
        <w:rPr>
          <w:rFonts w:hint="eastAsia" w:ascii="宋体" w:hAnsi="宋体" w:cs="仿宋"/>
          <w:sz w:val="24"/>
          <w:szCs w:val="24"/>
        </w:rPr>
        <w:t xml:space="preserve">额定负载电流IL：4.0 A；</w:t>
      </w:r>
      <w:r/>
    </w:p>
    <w:p>
      <w:pPr>
        <w:ind w:left="155" w:firstLine="720"/>
        <w:spacing w:line="360" w:lineRule="auto"/>
        <w:rPr>
          <w:rFonts w:ascii="宋体" w:hAnsi="宋体" w:cs="仿宋"/>
          <w:sz w:val="24"/>
          <w:szCs w:val="24"/>
        </w:rPr>
      </w:pPr>
      <w:r>
        <w:rPr>
          <w:rFonts w:hint="eastAsia" w:ascii="宋体" w:hAnsi="宋体" w:cs="仿宋"/>
          <w:sz w:val="24"/>
          <w:szCs w:val="24"/>
        </w:rPr>
        <w:t xml:space="preserve">标称放电电流In：1 kA；</w:t>
      </w:r>
      <w:r/>
    </w:p>
    <w:p>
      <w:pPr>
        <w:ind w:left="420" w:firstLine="480"/>
        <w:spacing w:line="360" w:lineRule="auto"/>
        <w:rPr>
          <w:rFonts w:ascii="宋体" w:hAnsi="宋体" w:cs="仿宋"/>
          <w:sz w:val="24"/>
          <w:szCs w:val="24"/>
        </w:rPr>
      </w:pPr>
      <w:r>
        <w:rPr>
          <w:rFonts w:hint="eastAsia" w:ascii="宋体" w:hAnsi="宋体" w:cs="仿宋"/>
          <w:sz w:val="24"/>
          <w:szCs w:val="24"/>
        </w:rPr>
        <w:t xml:space="preserve">最大放电电流Imax：2 kA；</w:t>
      </w:r>
      <w:r/>
    </w:p>
    <w:p>
      <w:pPr>
        <w:ind w:left="420" w:firstLine="480"/>
        <w:spacing w:line="360" w:lineRule="auto"/>
        <w:rPr>
          <w:rFonts w:ascii="宋体" w:hAnsi="宋体" w:cs="仿宋"/>
          <w:sz w:val="24"/>
          <w:szCs w:val="24"/>
        </w:rPr>
      </w:pPr>
      <w:r>
        <w:rPr>
          <w:rFonts w:hint="eastAsia" w:ascii="宋体" w:hAnsi="宋体" w:cs="仿宋"/>
          <w:sz w:val="24"/>
          <w:szCs w:val="24"/>
        </w:rPr>
        <w:t xml:space="preserve">开路电压Uoc：2 kV；</w:t>
      </w:r>
      <w:r/>
    </w:p>
    <w:p>
      <w:pPr>
        <w:ind w:left="420" w:firstLine="480"/>
        <w:spacing w:line="360" w:lineRule="auto"/>
        <w:rPr>
          <w:rFonts w:ascii="宋体" w:hAnsi="宋体" w:cs="仿宋"/>
          <w:sz w:val="24"/>
          <w:szCs w:val="24"/>
        </w:rPr>
      </w:pPr>
      <w:r>
        <w:rPr>
          <w:rFonts w:hint="eastAsia" w:ascii="宋体" w:hAnsi="宋体" w:cs="仿宋"/>
          <w:sz w:val="24"/>
          <w:szCs w:val="24"/>
        </w:rPr>
        <w:t xml:space="preserve">电压保护水平Up：0.25 kV。</w:t>
      </w:r>
      <w:r/>
    </w:p>
    <w:p>
      <w:pPr>
        <w:pStyle w:val="833"/>
        <w:ind w:firstLine="482"/>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3.6.5 动态人像图片布控告警授权  </w:t>
      </w:r>
      <w:r/>
    </w:p>
    <w:p>
      <w:pPr>
        <w:ind w:firstLine="480"/>
        <w:spacing w:line="360" w:lineRule="auto"/>
        <w:rPr>
          <w:rFonts w:ascii="宋体" w:hAnsi="宋体"/>
          <w:sz w:val="24"/>
          <w:szCs w:val="24"/>
        </w:rPr>
      </w:pPr>
      <w:r>
        <w:rPr>
          <w:rFonts w:hint="eastAsia" w:ascii="宋体" w:hAnsi="宋体"/>
          <w:sz w:val="24"/>
          <w:szCs w:val="24"/>
        </w:rPr>
        <w:t xml:space="preserve">★人脸授权接入南通市公安局南通经济技术开发区分局现有人像智能感知平台，实现图片解析，将解析后的数据上传到南通市局公安网人像档案平台，实现特征级联、无缝对接、人脸比对、布控、告警等要求。投标时提供承诺函</w:t>
      </w:r>
      <w:r/>
    </w:p>
    <w:p>
      <w:pPr>
        <w:pStyle w:val="833"/>
        <w:ind w:firstLine="482"/>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3.6.</w:t>
      </w:r>
      <w:r>
        <w:rPr>
          <w:rFonts w:ascii="宋体" w:hAnsi="宋体" w:eastAsia="宋体" w:cs="宋体"/>
          <w:sz w:val="24"/>
          <w:szCs w:val="24"/>
        </w:rPr>
        <w:t xml:space="preserve">6视图存储</w:t>
      </w:r>
      <w:r/>
    </w:p>
    <w:p>
      <w:pPr>
        <w:ind w:firstLine="480"/>
        <w:spacing w:line="360" w:lineRule="auto"/>
        <w:rPr>
          <w:rFonts w:ascii="宋体" w:hAnsi="宋体"/>
          <w:sz w:val="24"/>
          <w:szCs w:val="24"/>
        </w:rPr>
      </w:pPr>
      <w:r>
        <w:rPr>
          <w:rFonts w:hint="eastAsia" w:ascii="宋体" w:hAnsi="宋体"/>
          <w:sz w:val="24"/>
          <w:szCs w:val="24"/>
        </w:rPr>
        <w:t xml:space="preserve">在开发区公安局图像网视频云现有视频存储池基础上扩容，必须兼容现有视频存储系统；</w:t>
      </w:r>
      <w:r/>
    </w:p>
    <w:p>
      <w:pPr>
        <w:ind w:firstLine="480"/>
        <w:spacing w:line="360" w:lineRule="auto"/>
        <w:rPr>
          <w:rFonts w:ascii="宋体" w:hAnsi="宋体"/>
          <w:sz w:val="24"/>
          <w:szCs w:val="24"/>
        </w:rPr>
      </w:pPr>
      <w:r>
        <w:rPr>
          <w:rFonts w:hint="eastAsia" w:ascii="宋体" w:hAnsi="宋体"/>
          <w:sz w:val="24"/>
          <w:szCs w:val="24"/>
        </w:rPr>
        <w:t xml:space="preserve">产品要求：非OEM产品，拥有自主知识产权，投标时提供国家版权局颁发的《计算机软件著作权登记证书》扫描件证明；</w:t>
      </w:r>
      <w:r/>
    </w:p>
    <w:p>
      <w:pPr>
        <w:ind w:firstLine="480"/>
        <w:spacing w:line="360" w:lineRule="auto"/>
        <w:rPr>
          <w:rFonts w:ascii="宋体" w:hAnsi="宋体"/>
          <w:sz w:val="24"/>
          <w:szCs w:val="24"/>
        </w:rPr>
      </w:pPr>
      <w:r>
        <w:rPr>
          <w:rFonts w:hint="eastAsia" w:ascii="宋体" w:hAnsi="宋体"/>
          <w:sz w:val="24"/>
          <w:szCs w:val="24"/>
        </w:rPr>
        <w:t xml:space="preserve">体系架构：全对称分布式架构，无独立元数据节点，性能、容量随节点数增加而线性增加，投标时提供证明材料扫描件；</w:t>
      </w:r>
      <w:r/>
    </w:p>
    <w:p>
      <w:pPr>
        <w:ind w:firstLine="480"/>
        <w:spacing w:line="360" w:lineRule="auto"/>
        <w:rPr>
          <w:rFonts w:ascii="宋体" w:hAnsi="宋体"/>
          <w:sz w:val="24"/>
          <w:szCs w:val="24"/>
        </w:rPr>
      </w:pPr>
      <w:r>
        <w:rPr>
          <w:rFonts w:hint="eastAsia" w:ascii="宋体" w:hAnsi="宋体"/>
          <w:sz w:val="24"/>
          <w:szCs w:val="24"/>
        </w:rPr>
        <w:t xml:space="preserve">支持N+M数据副本冗余，如N+1、N+2、N+3和N+4,最多可允许系统在不同的节点上丢失4块盘，或者丢失4个节点。可基于目录的冗余配比策略，为不同数据提供不同的保护级别；</w:t>
      </w:r>
      <w:r/>
    </w:p>
    <w:p>
      <w:pPr>
        <w:ind w:firstLine="480"/>
        <w:spacing w:line="360" w:lineRule="auto"/>
        <w:rPr>
          <w:rFonts w:ascii="宋体" w:hAnsi="宋体"/>
          <w:sz w:val="24"/>
          <w:szCs w:val="24"/>
        </w:rPr>
      </w:pPr>
      <w:r>
        <w:rPr>
          <w:rFonts w:hint="eastAsia" w:ascii="宋体" w:hAnsi="宋体"/>
          <w:sz w:val="24"/>
          <w:szCs w:val="24"/>
        </w:rPr>
        <w:t xml:space="preserve">支持多个小文件（＜1M）写入后聚合成一个文件，投标时提供具有CNAS检验合格报告扫描件；</w:t>
      </w:r>
      <w:r/>
    </w:p>
    <w:p>
      <w:pPr>
        <w:ind w:firstLine="480"/>
        <w:spacing w:line="360" w:lineRule="auto"/>
        <w:rPr>
          <w:rFonts w:ascii="宋体" w:hAnsi="宋体"/>
          <w:sz w:val="24"/>
          <w:szCs w:val="24"/>
        </w:rPr>
      </w:pPr>
      <w:r>
        <w:rPr>
          <w:rFonts w:hint="eastAsia" w:ascii="宋体" w:hAnsi="宋体"/>
          <w:sz w:val="24"/>
          <w:szCs w:val="24"/>
        </w:rPr>
        <w:t xml:space="preserve">支持跨节点构成网络RAID，数据离散分布到存储的各个节点上；</w:t>
      </w:r>
      <w:r/>
    </w:p>
    <w:p>
      <w:pPr>
        <w:ind w:firstLine="480"/>
        <w:spacing w:line="360" w:lineRule="auto"/>
        <w:rPr>
          <w:rFonts w:ascii="宋体" w:hAnsi="宋体"/>
          <w:sz w:val="24"/>
          <w:szCs w:val="24"/>
        </w:rPr>
      </w:pPr>
      <w:r>
        <w:rPr>
          <w:rFonts w:hint="eastAsia" w:ascii="宋体" w:hAnsi="宋体"/>
          <w:sz w:val="24"/>
          <w:szCs w:val="24"/>
        </w:rPr>
        <w:t xml:space="preserve">前端网络类型可支持1GE/10GE/25GE/40GE/100Gbps Infiniband ，后端网络类型可支持10GE/25GE/100GbpsInfiniband，投标时提供证明材料扫描件；</w:t>
      </w:r>
      <w:r/>
    </w:p>
    <w:p>
      <w:pPr>
        <w:ind w:firstLine="480"/>
        <w:spacing w:line="360" w:lineRule="auto"/>
        <w:rPr>
          <w:rFonts w:ascii="宋体" w:hAnsi="宋体"/>
          <w:sz w:val="24"/>
          <w:szCs w:val="24"/>
        </w:rPr>
      </w:pPr>
      <w:r>
        <w:rPr>
          <w:rFonts w:hint="eastAsia" w:ascii="宋体" w:hAnsi="宋体"/>
          <w:sz w:val="24"/>
          <w:szCs w:val="24"/>
        </w:rPr>
        <w:t xml:space="preserve">不同节点间通信带宽不小于20Gbps；</w:t>
      </w:r>
      <w:r/>
    </w:p>
    <w:p>
      <w:pPr>
        <w:ind w:firstLine="480"/>
        <w:spacing w:line="360" w:lineRule="auto"/>
        <w:rPr>
          <w:rFonts w:ascii="宋体" w:hAnsi="宋体"/>
          <w:sz w:val="24"/>
          <w:szCs w:val="24"/>
        </w:rPr>
      </w:pPr>
      <w:r>
        <w:rPr>
          <w:rFonts w:hint="eastAsia" w:ascii="宋体" w:hAnsi="宋体"/>
          <w:sz w:val="24"/>
          <w:szCs w:val="24"/>
        </w:rPr>
        <w:t xml:space="preserve">支持在线增加或缩减节点池的容量空间。扩容过程无需中断或者搬迁业务，增删节点后可自动启动节点间、磁盘间容量均衡；</w:t>
      </w:r>
      <w:r/>
    </w:p>
    <w:p>
      <w:pPr>
        <w:ind w:firstLine="480"/>
        <w:spacing w:line="360" w:lineRule="auto"/>
        <w:rPr>
          <w:rFonts w:ascii="宋体" w:hAnsi="宋体"/>
          <w:sz w:val="24"/>
          <w:szCs w:val="24"/>
        </w:rPr>
      </w:pPr>
      <w:r>
        <w:rPr>
          <w:rFonts w:hint="eastAsia" w:ascii="宋体" w:hAnsi="宋体"/>
          <w:sz w:val="24"/>
          <w:szCs w:val="24"/>
        </w:rPr>
        <w:t xml:space="preserve">为满足后续向IPV6网络平滑演进，管理网络及前端网络均应支持IPV6，支持单节点同时IPV4+IPV6，投标时提供证明材料扫描件；</w:t>
      </w:r>
      <w:r/>
    </w:p>
    <w:p>
      <w:pPr>
        <w:ind w:firstLine="480"/>
        <w:spacing w:line="360" w:lineRule="auto"/>
        <w:rPr>
          <w:rFonts w:ascii="宋体" w:hAnsi="宋体"/>
          <w:sz w:val="24"/>
          <w:szCs w:val="24"/>
        </w:rPr>
      </w:pPr>
      <w:r>
        <w:rPr>
          <w:rFonts w:hint="eastAsia" w:ascii="宋体" w:hAnsi="宋体"/>
          <w:sz w:val="24"/>
          <w:szCs w:val="24"/>
        </w:rPr>
        <w:t xml:space="preserve">单节点平均可接入 2Mbps 码流1600 路或 4Mbps 码流 800 路，单节点平均可满足1500张/s图片同时读、写、删；</w:t>
      </w:r>
      <w:r/>
    </w:p>
    <w:p>
      <w:pPr>
        <w:ind w:firstLine="480"/>
        <w:spacing w:line="360" w:lineRule="auto"/>
        <w:rPr>
          <w:rFonts w:ascii="宋体" w:hAnsi="宋体"/>
          <w:sz w:val="24"/>
          <w:szCs w:val="24"/>
        </w:rPr>
      </w:pPr>
      <w:r>
        <w:rPr>
          <w:rFonts w:hint="eastAsia" w:ascii="宋体" w:hAnsi="宋体"/>
          <w:sz w:val="24"/>
          <w:szCs w:val="24"/>
        </w:rPr>
        <w:t xml:space="preserve">单节点可支持文件数40亿，单目录支持百万文件/目录，最大支持单个文件大于等于64TB，投标时提供证明材料扫描件；</w:t>
      </w:r>
      <w:r/>
    </w:p>
    <w:p>
      <w:pPr>
        <w:ind w:firstLine="480"/>
        <w:spacing w:line="360" w:lineRule="auto"/>
        <w:rPr>
          <w:rFonts w:ascii="宋体" w:hAnsi="宋体"/>
          <w:sz w:val="24"/>
          <w:szCs w:val="24"/>
        </w:rPr>
      </w:pPr>
      <w:r>
        <w:rPr>
          <w:rFonts w:hint="eastAsia" w:ascii="宋体" w:hAnsi="宋体"/>
          <w:sz w:val="24"/>
          <w:szCs w:val="24"/>
        </w:rPr>
        <w:t xml:space="preserve">支持数据切片存于不同节点的不同硬盘，具有节点和硬盘级的双层负载均衡，支持根据轮循、节点连接数、CPU 使用率、节点吞吐量、节点综合负载等均衡策略进行负载均衡，投标时提供证明材扫描件；</w:t>
      </w:r>
      <w:r/>
    </w:p>
    <w:p>
      <w:pPr>
        <w:ind w:firstLine="480"/>
        <w:spacing w:line="360" w:lineRule="auto"/>
        <w:rPr>
          <w:rFonts w:ascii="宋体" w:hAnsi="宋体"/>
          <w:sz w:val="24"/>
          <w:szCs w:val="24"/>
        </w:rPr>
      </w:pPr>
      <w:r>
        <w:rPr>
          <w:rFonts w:hint="eastAsia" w:ascii="宋体" w:hAnsi="宋体"/>
          <w:sz w:val="24"/>
          <w:szCs w:val="24"/>
        </w:rPr>
        <w:t xml:space="preserve">支持自动精简配置，可按需动态分配存储空间，保证存储资源的最大化利用；</w:t>
      </w:r>
      <w:r/>
    </w:p>
    <w:p>
      <w:pPr>
        <w:ind w:firstLine="480"/>
        <w:spacing w:line="360" w:lineRule="auto"/>
        <w:rPr>
          <w:rFonts w:ascii="宋体" w:hAnsi="宋体"/>
          <w:sz w:val="24"/>
          <w:szCs w:val="24"/>
        </w:rPr>
      </w:pPr>
      <w:r>
        <w:rPr>
          <w:rFonts w:hint="eastAsia" w:ascii="宋体" w:hAnsi="宋体"/>
          <w:sz w:val="24"/>
          <w:szCs w:val="24"/>
        </w:rPr>
        <w:t xml:space="preserve">配置容量及文件数的配额管理功能，支持CIFS、NFS、FTP、负载均衡、性能加速；</w:t>
      </w:r>
      <w:r/>
    </w:p>
    <w:p>
      <w:pPr>
        <w:ind w:firstLine="480"/>
        <w:spacing w:line="360" w:lineRule="auto"/>
        <w:rPr>
          <w:rFonts w:ascii="宋体" w:hAnsi="宋体"/>
          <w:sz w:val="24"/>
          <w:szCs w:val="24"/>
        </w:rPr>
      </w:pPr>
      <w:r>
        <w:rPr>
          <w:rFonts w:hint="eastAsia" w:ascii="宋体" w:hAnsi="宋体"/>
          <w:sz w:val="24"/>
          <w:szCs w:val="24"/>
        </w:rPr>
        <w:t xml:space="preserve">提供清晰、简洁、友好的中文人机交互界面，操作应简便、灵活、易学易用，便于管理和维护；</w:t>
      </w:r>
      <w:r/>
    </w:p>
    <w:p>
      <w:pPr>
        <w:ind w:firstLine="480"/>
        <w:spacing w:line="360" w:lineRule="auto"/>
        <w:rPr>
          <w:rFonts w:ascii="宋体" w:hAnsi="宋体"/>
          <w:sz w:val="24"/>
          <w:szCs w:val="24"/>
        </w:rPr>
      </w:pPr>
      <w:r>
        <w:rPr>
          <w:rFonts w:hint="eastAsia" w:ascii="宋体" w:hAnsi="宋体"/>
          <w:sz w:val="24"/>
          <w:szCs w:val="24"/>
        </w:rPr>
        <w:t xml:space="preserve">支持集群以及节点状态监控，支持以饼状图和折线图的形式给出集群整系统和各个节点存储容量、存储负载的统计信息；支持节点的CPU使用率、内容使用率状态监控；</w:t>
      </w:r>
      <w:r/>
    </w:p>
    <w:p>
      <w:pPr>
        <w:ind w:firstLine="480"/>
        <w:spacing w:line="360" w:lineRule="auto"/>
        <w:rPr>
          <w:rFonts w:ascii="宋体" w:hAnsi="宋体"/>
          <w:sz w:val="24"/>
          <w:szCs w:val="24"/>
        </w:rPr>
      </w:pPr>
      <w:r>
        <w:rPr>
          <w:rFonts w:hint="eastAsia" w:ascii="宋体" w:hAnsi="宋体"/>
          <w:sz w:val="24"/>
          <w:szCs w:val="24"/>
        </w:rPr>
        <w:t xml:space="preserve">可以提供统计报表、监控分析、趋势预测、性能对比、诊断分析等，并提供截图或用户手册扫描件；</w:t>
      </w:r>
      <w:r/>
    </w:p>
    <w:p>
      <w:pPr>
        <w:ind w:firstLine="480"/>
        <w:spacing w:line="360" w:lineRule="auto"/>
        <w:rPr>
          <w:rFonts w:ascii="宋体" w:hAnsi="宋体"/>
          <w:sz w:val="24"/>
          <w:szCs w:val="24"/>
        </w:rPr>
      </w:pPr>
      <w:r>
        <w:rPr>
          <w:rFonts w:hint="eastAsia" w:ascii="宋体" w:hAnsi="宋体"/>
          <w:sz w:val="24"/>
          <w:szCs w:val="24"/>
        </w:rPr>
        <w:t xml:space="preserve">支持查看节点的硬件信息、服务软件版本、磁盘信息、系统容量、风扇信息、节点服务状态等信息；</w:t>
      </w:r>
      <w:r/>
    </w:p>
    <w:p>
      <w:pPr>
        <w:ind w:firstLine="480"/>
        <w:spacing w:line="360" w:lineRule="auto"/>
        <w:rPr>
          <w:rFonts w:ascii="宋体" w:hAnsi="宋体"/>
          <w:sz w:val="24"/>
          <w:szCs w:val="24"/>
        </w:rPr>
      </w:pPr>
      <w:r>
        <w:rPr>
          <w:rFonts w:hint="eastAsia" w:ascii="宋体" w:hAnsi="宋体"/>
          <w:sz w:val="24"/>
          <w:szCs w:val="24"/>
        </w:rPr>
        <w:t xml:space="preserve">硬件配置：配置3个节点</w:t>
      </w:r>
      <w:r>
        <w:rPr>
          <w:rFonts w:ascii="宋体" w:hAnsi="宋体"/>
          <w:sz w:val="24"/>
          <w:szCs w:val="24"/>
        </w:rPr>
        <w:t xml:space="preserve">,</w:t>
      </w:r>
      <w:r>
        <w:rPr>
          <w:rFonts w:hint="eastAsia" w:ascii="宋体" w:hAnsi="宋体"/>
          <w:sz w:val="24"/>
          <w:szCs w:val="24"/>
        </w:rPr>
        <w:t xml:space="preserve">单节点配置满足：双CPU：主频≥2.6GHz（非超频），核数≥32核；内存：≥256GB；系统硬盘：≥2块600GB SAS系统盘；缓存硬盘：≥1块3.2T NNMe SSD硬盘；存储硬盘：≥648 TB SATA硬盘；网口：≥4个万兆光口（含光模块）；</w:t>
      </w:r>
      <w:r/>
    </w:p>
    <w:p>
      <w:pPr>
        <w:ind w:firstLine="480"/>
        <w:spacing w:line="360" w:lineRule="auto"/>
        <w:rPr>
          <w:rFonts w:ascii="宋体" w:hAnsi="宋体"/>
          <w:sz w:val="24"/>
          <w:szCs w:val="24"/>
        </w:rPr>
      </w:pPr>
      <w:r>
        <w:rPr>
          <w:rFonts w:hint="eastAsia" w:ascii="宋体" w:hAnsi="宋体"/>
          <w:sz w:val="24"/>
          <w:szCs w:val="24"/>
        </w:rPr>
        <w:t xml:space="preserve">★兼容性：视频图片存储能够统与南通市公安局南通经济技术开发区分局现网视频存储平台形成统一存储资源池，统一管理,并能够被现网视频云平台纳管，投标时提供兼容性承诺函。</w:t>
      </w:r>
      <w:r/>
    </w:p>
    <w:p>
      <w:pPr>
        <w:ind w:firstLine="480"/>
        <w:spacing w:line="360" w:lineRule="auto"/>
        <w:rPr>
          <w:rFonts w:ascii="宋体" w:hAnsi="宋体"/>
          <w:sz w:val="24"/>
          <w:szCs w:val="24"/>
        </w:rPr>
      </w:pPr>
      <w:r>
        <w:rPr>
          <w:rFonts w:hint="eastAsia" w:ascii="宋体" w:hAnsi="宋体"/>
          <w:sz w:val="24"/>
          <w:szCs w:val="24"/>
        </w:rPr>
        <w:t xml:space="preserve">售后服务：提供5年原厂质保和硬盘不返还服务；</w:t>
      </w:r>
      <w:r/>
    </w:p>
    <w:p>
      <w:pPr>
        <w:pStyle w:val="833"/>
        <w:ind w:firstLine="482"/>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3.6.7 工作终端</w:t>
      </w:r>
      <w:r/>
    </w:p>
    <w:p>
      <w:pPr>
        <w:ind w:firstLine="480"/>
        <w:spacing w:line="360" w:lineRule="auto"/>
        <w:rPr>
          <w:rFonts w:ascii="宋体" w:hAnsi="宋体"/>
          <w:sz w:val="24"/>
          <w:szCs w:val="24"/>
        </w:rPr>
      </w:pPr>
      <w:r>
        <w:rPr>
          <w:rFonts w:hint="eastAsia" w:ascii="宋体" w:hAnsi="宋体"/>
          <w:sz w:val="24"/>
          <w:szCs w:val="24"/>
        </w:rPr>
        <w:t xml:space="preserve">处理器：主频不低于2.5GHz，不少于10核；</w:t>
      </w:r>
      <w:r/>
    </w:p>
    <w:p>
      <w:pPr>
        <w:ind w:firstLine="480"/>
        <w:spacing w:line="360" w:lineRule="auto"/>
        <w:rPr>
          <w:rFonts w:ascii="宋体" w:hAnsi="宋体"/>
          <w:sz w:val="24"/>
          <w:szCs w:val="24"/>
        </w:rPr>
      </w:pPr>
      <w:r>
        <w:rPr>
          <w:rFonts w:hint="eastAsia" w:ascii="宋体" w:hAnsi="宋体"/>
          <w:sz w:val="24"/>
          <w:szCs w:val="24"/>
        </w:rPr>
        <w:t xml:space="preserve">内存：不少于32GB； </w:t>
      </w:r>
      <w:r/>
    </w:p>
    <w:p>
      <w:pPr>
        <w:ind w:firstLine="480"/>
        <w:spacing w:line="360" w:lineRule="auto"/>
        <w:rPr>
          <w:rFonts w:ascii="宋体" w:hAnsi="宋体"/>
          <w:sz w:val="24"/>
          <w:szCs w:val="24"/>
        </w:rPr>
      </w:pPr>
      <w:r>
        <w:rPr>
          <w:rFonts w:hint="eastAsia" w:ascii="宋体" w:hAnsi="宋体"/>
          <w:sz w:val="24"/>
          <w:szCs w:val="24"/>
        </w:rPr>
        <w:t xml:space="preserve">硬盘：不少于1T 硬盘；</w:t>
      </w:r>
      <w:r/>
    </w:p>
    <w:p>
      <w:pPr>
        <w:ind w:firstLine="480"/>
        <w:spacing w:line="360" w:lineRule="auto"/>
        <w:rPr>
          <w:rFonts w:ascii="宋体" w:hAnsi="宋体"/>
          <w:sz w:val="24"/>
          <w:szCs w:val="24"/>
        </w:rPr>
      </w:pPr>
      <w:r>
        <w:rPr>
          <w:rFonts w:hint="eastAsia" w:ascii="宋体" w:hAnsi="宋体"/>
          <w:sz w:val="24"/>
          <w:szCs w:val="24"/>
        </w:rPr>
        <w:t xml:space="preserve">显示屏：配置不小于21英寸，屏幕分辨率1920*1080；</w:t>
      </w:r>
      <w:r/>
    </w:p>
    <w:p>
      <w:pPr>
        <w:ind w:firstLine="480"/>
        <w:spacing w:line="360" w:lineRule="auto"/>
        <w:rPr>
          <w:rFonts w:ascii="宋体" w:hAnsi="宋体"/>
          <w:sz w:val="24"/>
          <w:szCs w:val="24"/>
        </w:rPr>
      </w:pPr>
      <w:r>
        <w:rPr>
          <w:rFonts w:hint="eastAsia" w:ascii="宋体" w:hAnsi="宋体"/>
          <w:sz w:val="24"/>
          <w:szCs w:val="24"/>
        </w:rPr>
        <w:t xml:space="preserve">含配套控制设备；</w:t>
      </w:r>
      <w:r/>
    </w:p>
    <w:p>
      <w:pPr>
        <w:pStyle w:val="833"/>
        <w:ind w:firstLine="482"/>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3.6.</w:t>
      </w:r>
      <w:r>
        <w:rPr>
          <w:rFonts w:ascii="宋体" w:hAnsi="宋体" w:eastAsia="宋体" w:cs="宋体"/>
          <w:sz w:val="24"/>
          <w:szCs w:val="24"/>
        </w:rPr>
        <w:t xml:space="preserve">8</w:t>
      </w:r>
      <w:r>
        <w:rPr>
          <w:rFonts w:hint="eastAsia" w:ascii="宋体" w:hAnsi="宋体" w:eastAsia="宋体" w:cs="宋体"/>
          <w:sz w:val="24"/>
          <w:szCs w:val="24"/>
        </w:rPr>
        <w:t xml:space="preserve"> 打印终端</w:t>
      </w:r>
      <w:r/>
    </w:p>
    <w:p>
      <w:pPr>
        <w:ind w:firstLine="480"/>
        <w:spacing w:line="360" w:lineRule="auto"/>
        <w:rPr>
          <w:rFonts w:ascii="宋体" w:hAnsi="宋体"/>
          <w:sz w:val="24"/>
          <w:szCs w:val="24"/>
        </w:rPr>
      </w:pPr>
      <w:r>
        <w:rPr>
          <w:rFonts w:hint="eastAsia" w:ascii="宋体" w:hAnsi="宋体"/>
          <w:sz w:val="24"/>
          <w:szCs w:val="24"/>
        </w:rPr>
        <w:t xml:space="preserve">打印方式：</w:t>
      </w:r>
      <w:hyperlink r:id="rId18" w:tooltip="https://product.pconline.com.cn/so/s50726/" w:history="1">
        <w:r>
          <w:rPr>
            <w:rFonts w:hint="eastAsia" w:ascii="宋体" w:hAnsi="宋体"/>
            <w:sz w:val="24"/>
            <w:szCs w:val="24"/>
          </w:rPr>
          <w:t xml:space="preserve">染料热升华打印</w:t>
        </w:r>
      </w:hyperlink>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打印速度：明信片尺寸：≤4</w:t>
      </w:r>
      <w:r>
        <w:rPr>
          <w:rFonts w:ascii="宋体" w:hAnsi="宋体"/>
          <w:sz w:val="24"/>
          <w:szCs w:val="24"/>
        </w:rPr>
        <w:t xml:space="preserve">5秒；</w:t>
      </w:r>
      <w:r>
        <w:rPr>
          <w:rFonts w:hint="eastAsia" w:ascii="宋体" w:hAnsi="宋体"/>
          <w:sz w:val="24"/>
          <w:szCs w:val="24"/>
        </w:rPr>
        <w:t xml:space="preserve">秒，L尺寸：≤4</w:t>
      </w:r>
      <w:r>
        <w:rPr>
          <w:rFonts w:ascii="宋体" w:hAnsi="宋体"/>
          <w:sz w:val="24"/>
          <w:szCs w:val="24"/>
        </w:rPr>
        <w:t xml:space="preserve">0秒</w:t>
      </w:r>
      <w:r>
        <w:rPr>
          <w:rFonts w:hint="eastAsia" w:ascii="宋体" w:hAnsi="宋体"/>
          <w:sz w:val="24"/>
          <w:szCs w:val="24"/>
        </w:rPr>
        <w:t xml:space="preserve">，卡片尺寸：≤3</w:t>
      </w:r>
      <w:r>
        <w:rPr>
          <w:rFonts w:ascii="宋体" w:hAnsi="宋体"/>
          <w:sz w:val="24"/>
          <w:szCs w:val="24"/>
        </w:rPr>
        <w:t xml:space="preserve">0秒</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打印分辨率：300×300dpi</w:t>
      </w:r>
      <w:r/>
    </w:p>
    <w:p>
      <w:pPr>
        <w:ind w:left="479" w:firstLine="65"/>
        <w:spacing w:line="360" w:lineRule="auto"/>
        <w:rPr>
          <w:rFonts w:ascii="宋体" w:hAnsi="宋体"/>
          <w:sz w:val="24"/>
          <w:szCs w:val="24"/>
        </w:rPr>
      </w:pPr>
      <w:r>
        <w:rPr>
          <w:rFonts w:hint="eastAsia" w:ascii="宋体" w:hAnsi="宋体"/>
          <w:sz w:val="24"/>
          <w:szCs w:val="24"/>
        </w:rPr>
        <w:t xml:space="preserve">墨水：彩色墨盒；</w:t>
      </w:r>
      <w:r>
        <w:rPr>
          <w:rFonts w:hint="eastAsia" w:ascii="宋体" w:hAnsi="宋体"/>
          <w:sz w:val="24"/>
          <w:szCs w:val="24"/>
        </w:rPr>
        <w:br/>
        <w:t xml:space="preserve">进纸系统：纸匣自动进纸；</w:t>
      </w:r>
      <w:r>
        <w:rPr>
          <w:rFonts w:hint="eastAsia" w:ascii="宋体" w:hAnsi="宋体"/>
          <w:sz w:val="24"/>
          <w:szCs w:val="24"/>
        </w:rPr>
        <w:br/>
        <w:t xml:space="preserve">出纸系统：纸匣自动出纸；</w:t>
      </w:r>
      <w:r/>
    </w:p>
    <w:p>
      <w:pPr>
        <w:ind w:firstLine="480"/>
        <w:spacing w:line="360" w:lineRule="auto"/>
        <w:rPr>
          <w:rFonts w:ascii="宋体" w:hAnsi="宋体"/>
          <w:sz w:val="24"/>
          <w:szCs w:val="24"/>
        </w:rPr>
      </w:pPr>
      <w:r>
        <w:rPr>
          <w:rFonts w:hint="eastAsia" w:ascii="宋体" w:hAnsi="宋体"/>
          <w:sz w:val="24"/>
          <w:szCs w:val="24"/>
        </w:rPr>
        <w:t xml:space="preserve">色阶：每种颜色256级；</w:t>
      </w:r>
      <w:r/>
    </w:p>
    <w:p>
      <w:pPr>
        <w:ind w:firstLine="480"/>
        <w:jc w:val="left"/>
        <w:spacing w:line="360" w:lineRule="auto"/>
        <w:widowControl/>
        <w:rPr>
          <w:rFonts w:ascii="宋体" w:hAnsi="宋体" w:cs="宋体"/>
          <w:b/>
          <w:bCs/>
          <w:color w:val="000000"/>
          <w:sz w:val="24"/>
          <w:szCs w:val="24"/>
        </w:rPr>
      </w:pPr>
      <w:r>
        <w:rPr>
          <w:rFonts w:hint="eastAsia" w:ascii="宋体" w:hAnsi="宋体"/>
          <w:sz w:val="24"/>
          <w:szCs w:val="24"/>
        </w:rPr>
        <w:t xml:space="preserve">含200张配套打印纸。</w:t>
      </w:r>
      <w:r/>
    </w:p>
    <w:p>
      <w:pPr>
        <w:pStyle w:val="832"/>
        <w:ind w:firstLine="482"/>
        <w:spacing w:before="0" w:after="0" w:line="360" w:lineRule="auto"/>
        <w:rPr>
          <w:rFonts w:ascii="宋体" w:hAnsi="宋体" w:eastAsia="宋体" w:cs="宋体"/>
          <w:b/>
          <w:bCs/>
          <w:sz w:val="24"/>
          <w:szCs w:val="24"/>
        </w:rPr>
      </w:pPr>
      <w:r>
        <w:rPr>
          <w:rFonts w:hint="eastAsia" w:ascii="宋体" w:hAnsi="宋体" w:eastAsia="宋体" w:cs="宋体"/>
          <w:b/>
          <w:bCs/>
          <w:sz w:val="24"/>
          <w:szCs w:val="24"/>
        </w:rPr>
        <w:t xml:space="preserve">3.7 注意事项</w:t>
      </w:r>
      <w:r/>
    </w:p>
    <w:p>
      <w:pPr>
        <w:pStyle w:val="1155"/>
        <w:ind w:firstLine="480"/>
        <w:spacing w:line="360" w:lineRule="auto"/>
        <w:rPr>
          <w:rStyle w:val="1157"/>
          <w:rFonts w:ascii="宋体" w:hAnsi="宋体"/>
          <w:b/>
          <w:szCs w:val="24"/>
        </w:rPr>
      </w:pPr>
      <w:r>
        <w:rPr>
          <w:rStyle w:val="1157"/>
          <w:rFonts w:hint="eastAsia" w:ascii="宋体" w:hAnsi="宋体"/>
          <w:szCs w:val="24"/>
        </w:rPr>
        <w:t xml:space="preserve">1.《视频安防监控系统工程设计规范(GB50395-2007)》国家标准中第3.0.3强制性条文规定：“视频安防监控系统中使用的设备必须符合国家法规和现行强制性标准的要求，并经法定机构检验或认证合格”。在本工程中所有设备选型必须严格执行现行标准。本工程中应采用技术先进、性能稳定可靠、成熟而实用的设备，严禁渗入试(实)验性的设备，本工程不接受任何试(实)验要求。</w:t>
      </w:r>
      <w:r/>
    </w:p>
    <w:p>
      <w:pPr>
        <w:pStyle w:val="1155"/>
        <w:ind w:firstLine="480"/>
        <w:spacing w:line="360" w:lineRule="auto"/>
        <w:rPr>
          <w:rStyle w:val="1157"/>
          <w:rFonts w:ascii="宋体" w:hAnsi="宋体"/>
          <w:b/>
          <w:szCs w:val="24"/>
        </w:rPr>
      </w:pPr>
      <w:r>
        <w:rPr>
          <w:rStyle w:val="1157"/>
          <w:rFonts w:hint="eastAsia" w:ascii="宋体" w:hAnsi="宋体"/>
          <w:szCs w:val="24"/>
        </w:rPr>
        <w:t xml:space="preserve">2. 建议品牌仅供投标人编制投标文件时参考。投标人严格按技术参数要求优选产品设备，技术功能项及主要技术要求项为关键性指标，不接受负偏离，不满足视为非实质性响应。弄虚作假者一经发现，追究其对应的责任。</w:t>
      </w:r>
      <w:r/>
    </w:p>
    <w:p>
      <w:pPr>
        <w:pStyle w:val="1155"/>
        <w:ind w:firstLine="480"/>
        <w:spacing w:line="360" w:lineRule="auto"/>
        <w:rPr>
          <w:rStyle w:val="1157"/>
          <w:rFonts w:ascii="宋体" w:hAnsi="宋体"/>
          <w:b/>
          <w:szCs w:val="24"/>
        </w:rPr>
      </w:pPr>
      <w:r>
        <w:rPr>
          <w:rStyle w:val="1157"/>
          <w:rFonts w:hint="eastAsia" w:ascii="宋体" w:hAnsi="宋体"/>
          <w:szCs w:val="24"/>
        </w:rPr>
        <w:t xml:space="preserve">3.设备选型前要仔细阅读和充分理解本项目需求的实质内容，要充分了解目前已投入运行的开发区分局视频实战平台中所组成的设备，并充分考虑到设备统一性、兼容性与系统连续性、只有通过最佳的适配和完美地兼容才能最终保证本系统运行的高稳定性与高可靠性，遵循此基本原则才能做好本工程的设备选型。投标人提供产品，标书中要求提供检测报告的设备，必须在进场报验时，提供法定检测机构(24个月内)对本产品型号一致的检测报告，并且在技术参数上要同时符合招标书要求，可以高于要求；不得出现其中某一项技术参数低于招标书要求。</w:t>
      </w:r>
      <w:r/>
    </w:p>
    <w:p>
      <w:pPr>
        <w:pStyle w:val="1155"/>
        <w:ind w:left="480" w:firstLine="0"/>
        <w:spacing w:line="360" w:lineRule="auto"/>
        <w:rPr>
          <w:rStyle w:val="1157"/>
          <w:rFonts w:ascii="宋体" w:hAnsi="宋体"/>
          <w:b/>
          <w:szCs w:val="24"/>
        </w:rPr>
      </w:pPr>
      <w:r>
        <w:rPr>
          <w:rStyle w:val="1157"/>
          <w:rFonts w:hint="eastAsia" w:ascii="宋体" w:hAnsi="宋体"/>
          <w:szCs w:val="24"/>
        </w:rPr>
        <w:t xml:space="preserve">4.投标人选用的设备凡有下列情况之一的，</w:t>
      </w:r>
      <w:r>
        <w:rPr>
          <w:rStyle w:val="1157"/>
          <w:rFonts w:hint="eastAsia" w:ascii="宋体" w:hAnsi="宋体"/>
          <w:szCs w:val="24"/>
          <w:lang w:val="en-US"/>
        </w:rPr>
        <w:t xml:space="preserve">视作合同违约</w:t>
      </w:r>
      <w:r>
        <w:rPr>
          <w:rStyle w:val="1157"/>
          <w:rFonts w:hint="eastAsia" w:ascii="宋体" w:hAnsi="宋体"/>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（1）技术性能虚标；</w:t>
      </w:r>
      <w:r/>
    </w:p>
    <w:p>
      <w:pPr>
        <w:ind w:firstLine="480"/>
        <w:spacing w:line="360" w:lineRule="auto"/>
        <w:rPr>
          <w:rFonts w:ascii="宋体" w:hAnsi="宋体"/>
          <w:sz w:val="24"/>
          <w:szCs w:val="24"/>
        </w:rPr>
      </w:pPr>
      <w:r>
        <w:rPr>
          <w:rFonts w:hint="eastAsia" w:ascii="宋体" w:hAnsi="宋体"/>
          <w:sz w:val="24"/>
          <w:szCs w:val="24"/>
        </w:rPr>
        <w:t xml:space="preserve">（2）选用的设备需要另添加其它硬件才能接入现系统中；</w:t>
      </w:r>
      <w:r/>
    </w:p>
    <w:p>
      <w:pPr>
        <w:ind w:firstLine="480"/>
        <w:spacing w:line="360" w:lineRule="auto"/>
        <w:rPr>
          <w:rFonts w:ascii="宋体" w:hAnsi="宋体"/>
          <w:sz w:val="24"/>
          <w:szCs w:val="24"/>
        </w:rPr>
      </w:pPr>
      <w:r>
        <w:rPr>
          <w:rFonts w:hint="eastAsia" w:ascii="宋体" w:hAnsi="宋体"/>
          <w:sz w:val="24"/>
          <w:szCs w:val="24"/>
        </w:rPr>
        <w:t xml:space="preserve">（3）选用的设备接入系统后，造成现系统运行不稳定出现技术性排异；</w:t>
      </w:r>
      <w:r/>
    </w:p>
    <w:p>
      <w:pPr>
        <w:ind w:firstLine="480"/>
        <w:spacing w:line="360" w:lineRule="auto"/>
        <w:rPr>
          <w:rFonts w:ascii="宋体" w:hAnsi="宋体"/>
          <w:sz w:val="24"/>
          <w:szCs w:val="24"/>
        </w:rPr>
      </w:pPr>
      <w:r>
        <w:rPr>
          <w:rFonts w:hint="eastAsia" w:ascii="宋体" w:hAnsi="宋体"/>
          <w:sz w:val="24"/>
          <w:szCs w:val="24"/>
        </w:rPr>
        <w:t xml:space="preserve">（4）采用在系统中增改其它硬件的解决办法；</w:t>
      </w:r>
      <w:r/>
    </w:p>
    <w:p>
      <w:pPr>
        <w:ind w:firstLine="480"/>
        <w:spacing w:line="360" w:lineRule="auto"/>
        <w:rPr>
          <w:rFonts w:ascii="宋体" w:hAnsi="宋体" w:cs="仿宋"/>
          <w:sz w:val="24"/>
          <w:szCs w:val="24"/>
        </w:rPr>
      </w:pPr>
      <w:r>
        <w:rPr>
          <w:rFonts w:hint="eastAsia" w:ascii="宋体" w:hAnsi="宋体" w:cs="仿宋"/>
          <w:sz w:val="24"/>
          <w:szCs w:val="24"/>
        </w:rPr>
        <w:t xml:space="preserve">发生合同违约的，按双方签订的本项工程合同违约处理条款执行，由此产生的一切事务及费用自行负责。建设方可视情况终止本工程合同的执行，且不予退还全额履约保证金，同时责令中标人退场，并赔偿由此给建设方带来的经济损失，建设方书面上报财政部门。</w:t>
      </w:r>
      <w:r/>
    </w:p>
    <w:p>
      <w:pPr>
        <w:pStyle w:val="850"/>
        <w:ind w:firstLine="482"/>
        <w:spacing w:before="120" w:after="120" w:line="360" w:lineRule="auto"/>
        <w:tabs>
          <w:tab w:val="left" w:pos="0" w:leader="none"/>
        </w:tabs>
        <w:rPr>
          <w:rFonts w:ascii="宋体" w:hAnsi="宋体" w:cs="宋体"/>
          <w:bCs/>
          <w:sz w:val="24"/>
          <w:szCs w:val="24"/>
        </w:rPr>
      </w:pPr>
      <w:r>
        <w:rPr>
          <w:rFonts w:hint="eastAsia" w:ascii="宋体" w:hAnsi="宋体" w:cs="宋体"/>
          <w:bCs/>
          <w:sz w:val="24"/>
          <w:szCs w:val="24"/>
        </w:rPr>
        <w:t xml:space="preserve">5、采购需求中必须满足的其他实质性要求和条件</w:t>
      </w:r>
      <w:r/>
    </w:p>
    <w:p>
      <w:pPr>
        <w:ind w:firstLine="480"/>
        <w:spacing w:line="360" w:lineRule="auto"/>
        <w:rPr>
          <w:rFonts w:ascii="宋体" w:hAnsi="宋体" w:cs="宋体"/>
          <w:b/>
          <w:sz w:val="24"/>
          <w:szCs w:val="24"/>
        </w:rPr>
      </w:pPr>
      <w:r>
        <w:rPr>
          <w:rFonts w:hint="eastAsia" w:ascii="宋体" w:hAnsi="宋体" w:cs="宋体"/>
          <w:b/>
          <w:sz w:val="24"/>
          <w:szCs w:val="24"/>
        </w:rPr>
        <w:t xml:space="preserve">5</w:t>
      </w:r>
      <w:r>
        <w:rPr>
          <w:rFonts w:ascii="宋体" w:hAnsi="宋体" w:cs="宋体"/>
          <w:b/>
          <w:sz w:val="24"/>
          <w:szCs w:val="24"/>
        </w:rPr>
        <w:t xml:space="preserve">.1技术部分符合性要求</w:t>
      </w:r>
      <w:r/>
    </w:p>
    <w:p>
      <w:pPr>
        <w:ind w:firstLine="480"/>
        <w:spacing w:line="360" w:lineRule="auto"/>
        <w:rPr>
          <w:rFonts w:ascii="宋体" w:hAnsi="宋体" w:cs="仿宋"/>
          <w:i/>
          <w:iCs/>
          <w:sz w:val="24"/>
          <w:szCs w:val="24"/>
          <w:u w:val="single"/>
        </w:rPr>
      </w:pPr>
      <w:r>
        <w:rPr>
          <w:rFonts w:hint="eastAsia" w:ascii="宋体" w:hAnsi="宋体" w:cs="仿宋"/>
          <w:i/>
          <w:iCs/>
          <w:sz w:val="24"/>
          <w:szCs w:val="24"/>
          <w:u w:val="single"/>
        </w:rPr>
        <w:t xml:space="preserve">1.本项目要求中标人按国标、行标技术规范，免费配合完成本项目前端摄像机视图输出信息与后端存储、服务器及应用平台的对接、调试、接入等工作。（投标人提供承诺函）</w:t>
      </w:r>
      <w:r/>
    </w:p>
    <w:p>
      <w:pPr>
        <w:ind w:firstLine="480"/>
        <w:spacing w:line="360" w:lineRule="auto"/>
        <w:rPr>
          <w:rFonts w:ascii="宋体" w:hAnsi="宋体" w:cs="仿宋"/>
          <w:i/>
          <w:iCs/>
          <w:sz w:val="24"/>
          <w:szCs w:val="24"/>
          <w:u w:val="single"/>
        </w:rPr>
      </w:pPr>
      <w:r>
        <w:rPr>
          <w:rFonts w:hint="eastAsia" w:ascii="宋体" w:hAnsi="宋体" w:cs="仿宋"/>
          <w:i/>
          <w:iCs/>
          <w:sz w:val="24"/>
          <w:szCs w:val="24"/>
          <w:u w:val="single"/>
        </w:rPr>
        <w:t xml:space="preserve">2、中标人中标后必须提供符合招标文件要求的全部型号摄像机样品（中标后40天提供样机），同时提交检测报告，由采购人、监理、采购人技术服务代表负责样品的封样测试和检测工作。投标人投标时必须提供承诺函，承诺项目中采购的摄像机的设备型号、技术参数、关键部件及图像效果与样品完全一致，进场的检测报告与样品检测报告完全一致。</w:t>
      </w:r>
      <w:r/>
    </w:p>
    <w:p>
      <w:pPr>
        <w:ind w:firstLine="480"/>
        <w:spacing w:line="360" w:lineRule="auto"/>
        <w:rPr>
          <w:rFonts w:ascii="宋体" w:hAnsi="宋体" w:cs="宋体"/>
          <w:b/>
          <w:sz w:val="24"/>
          <w:szCs w:val="24"/>
        </w:rPr>
      </w:pPr>
      <w:r>
        <w:rPr>
          <w:rFonts w:hint="eastAsia" w:ascii="宋体" w:hAnsi="宋体" w:cs="宋体"/>
          <w:b/>
          <w:sz w:val="24"/>
          <w:szCs w:val="24"/>
        </w:rPr>
        <w:t xml:space="preserve">5</w:t>
      </w:r>
      <w:r>
        <w:rPr>
          <w:rFonts w:ascii="宋体" w:hAnsi="宋体" w:cs="宋体"/>
          <w:b/>
          <w:sz w:val="24"/>
          <w:szCs w:val="24"/>
        </w:rPr>
        <w:t xml:space="preserve">.2</w:t>
      </w:r>
      <w:r>
        <w:rPr>
          <w:rFonts w:hint="eastAsia" w:ascii="宋体" w:hAnsi="宋体" w:cs="宋体"/>
          <w:b/>
          <w:sz w:val="24"/>
          <w:szCs w:val="24"/>
        </w:rPr>
        <w:t xml:space="preserve">商务</w:t>
      </w:r>
      <w:r>
        <w:rPr>
          <w:rFonts w:ascii="宋体" w:hAnsi="宋体" w:cs="宋体"/>
          <w:b/>
          <w:sz w:val="24"/>
          <w:szCs w:val="24"/>
        </w:rPr>
        <w:t xml:space="preserve">部分符合性要求</w:t>
      </w:r>
      <w:r/>
    </w:p>
    <w:p>
      <w:pPr>
        <w:ind w:firstLine="480"/>
        <w:spacing w:line="360" w:lineRule="auto"/>
        <w:rPr>
          <w:rFonts w:ascii="宋体" w:hAnsi="宋体" w:cs="仿宋"/>
          <w:sz w:val="24"/>
          <w:szCs w:val="24"/>
        </w:rPr>
      </w:pPr>
      <w:r>
        <w:rPr>
          <w:rFonts w:hint="eastAsia" w:ascii="宋体" w:hAnsi="宋体" w:cs="宋体"/>
          <w:b/>
          <w:i/>
          <w:sz w:val="24"/>
          <w:szCs w:val="24"/>
          <w:u w:val="single"/>
        </w:rPr>
        <w:t xml:space="preserve">主要设备参数中加“</w:t>
      </w:r>
      <w:r>
        <w:rPr>
          <w:rFonts w:hint="eastAsia" w:ascii="宋体" w:hAnsi="宋体" w:cs="宋体"/>
          <w:b/>
          <w:i/>
          <w:u w:val="single"/>
        </w:rPr>
        <w:t xml:space="preserve">★</w:t>
      </w:r>
      <w:r>
        <w:rPr>
          <w:rFonts w:hint="eastAsia" w:ascii="宋体" w:hAnsi="宋体" w:cs="宋体"/>
          <w:b/>
          <w:i/>
          <w:sz w:val="24"/>
          <w:szCs w:val="24"/>
          <w:u w:val="single"/>
        </w:rPr>
        <w:t xml:space="preserve">”项为关键参数，不得负偏离，负偏离做废标处理，需逐一响应。</w:t>
      </w:r>
      <w:r/>
    </w:p>
    <w:p>
      <w:pPr>
        <w:pStyle w:val="83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3.8 有关事项要求</w:t>
      </w:r>
      <w:r/>
    </w:p>
    <w:p>
      <w:pPr>
        <w:ind w:firstLine="480"/>
        <w:spacing w:line="360" w:lineRule="auto"/>
        <w:rPr>
          <w:rFonts w:ascii="宋体" w:hAnsi="宋体"/>
          <w:bCs/>
          <w:sz w:val="24"/>
          <w:szCs w:val="24"/>
        </w:rPr>
      </w:pPr>
      <w:r>
        <w:rPr>
          <w:rFonts w:hint="eastAsia" w:ascii="宋体" w:hAnsi="宋体"/>
          <w:bCs/>
          <w:sz w:val="24"/>
          <w:szCs w:val="24"/>
        </w:rPr>
        <w:t xml:space="preserve">3.8.1 投标人要按国家现行的法律、法规、标准(规范)和本章项目需求中3.3.1所列出的标准及根据本章中的具体内容，结合现场勘察和设计文件要求，认真编制《技术响应文件》。</w:t>
      </w:r>
      <w:r>
        <w:rPr>
          <w:rFonts w:hint="eastAsia" w:ascii="宋体" w:hAnsi="宋体"/>
          <w:sz w:val="24"/>
          <w:szCs w:val="24"/>
        </w:rPr>
        <w:t xml:space="preserve">编制的《技术响应文件》须符合《安全防范工程技术文件编</w:t>
      </w:r>
      <w:r>
        <w:rPr>
          <w:rFonts w:hint="eastAsia" w:ascii="宋体" w:hAnsi="宋体"/>
          <w:sz w:val="24"/>
          <w:szCs w:val="24"/>
        </w:rPr>
        <w:t xml:space="preserve">制深度要求(GA/T1185 )》；《安全防范工程技术标准(GB50348)》；符合《安全防范工程通用规范（GB55029）》相关要求；符合《视频安防监控系统工程设计规范(GB50395》A设计流程与深度；本文3.3.1所列法律、法规、标准(规范)中的相关规定特别是强制性条文必须严格贯彻执行。不得采用对工程施工中无实质性指导作用的文章、文字、图片、设备产品样本中广告或转贴的无关内容、商业简介等充当和取代《施工方案》中的内容。施工组织设计编制中要科学、严谨、真实、可行、严禁糊编乱造，文不对题，编制是一套，执行</w:t>
      </w:r>
      <w:r>
        <w:rPr>
          <w:rFonts w:hint="eastAsia" w:ascii="宋体" w:hAnsi="宋体"/>
          <w:sz w:val="24"/>
          <w:szCs w:val="24"/>
        </w:rPr>
        <w:t xml:space="preserve">时又是另一套，组织机构中所列的管理人员名单必须职责明确。相关规章制度要可操作可追责；持证岗位必须按规定由经核准的有资格证人员上岗任职，杜绝挂名不见人上岗的弄虚作假行为。施工中按有效的设计方案(图纸)及技术工艺文件要求施工，杜绝无图情况下的盲目瞎干。本次工程中调试方案、验收方案、工序质量控制标准及检验用表、培训计划与系统日常操作、维护与保养、维保期中维护措施的保证等均属《施工方案》中技术文件重要组成部分；安全文明生产、工程施工进度表、组织机构、岗位责职、各项规章制度等施工管理措施属《施工方案》中施工组织文件重</w:t>
      </w:r>
      <w:r>
        <w:rPr>
          <w:rFonts w:hint="eastAsia" w:ascii="宋体" w:hAnsi="宋体"/>
          <w:sz w:val="24"/>
          <w:szCs w:val="24"/>
        </w:rPr>
        <w:t xml:space="preserve">要组成部分，《施工方案》为本工程施工管理和质量控制提供了科学依据；为本系统今后维护提供了可靠的技术保障。本工程《施工方案》经专家评审通过后才能进入本工程的实施。实施前必须向建设方、监理方提交经评审通过的本工程《施工方案》，《施工方案》作为工程《实施方案》，工程缺此条件同样不能获得开工批准。中标方严格按经评审通过的《施工方案(实施方案)》精心组织施工，施工中严格贯彻执行本章中3.3所列出的现行国家标准及部颁标准中有关施工及验收规范中的章节条款；同时也要满足本章中3.4的项目要求，力争本工程质量创优并提前完成。</w:t>
      </w:r>
      <w:r/>
    </w:p>
    <w:p>
      <w:pPr>
        <w:ind w:firstLine="480"/>
        <w:spacing w:line="360" w:lineRule="auto"/>
        <w:rPr>
          <w:rFonts w:ascii="宋体" w:hAnsi="宋体"/>
          <w:sz w:val="24"/>
          <w:szCs w:val="24"/>
        </w:rPr>
      </w:pPr>
      <w:r>
        <w:rPr>
          <w:rFonts w:hint="eastAsia" w:ascii="宋体" w:hAnsi="宋体"/>
          <w:bCs/>
          <w:sz w:val="24"/>
          <w:szCs w:val="24"/>
        </w:rPr>
        <w:t xml:space="preserve">3.8.2设</w:t>
      </w:r>
      <w:r>
        <w:rPr>
          <w:rFonts w:hint="eastAsia" w:ascii="宋体" w:hAnsi="宋体"/>
          <w:sz w:val="24"/>
          <w:szCs w:val="24"/>
        </w:rPr>
        <w:t xml:space="preserve">备材料的进场使用前，施工技术文件、工艺文件(施工工艺及技术要求等)和材料的报验或变更，必须得到建设方、监理方的核对、确认、签证；开工及竣工报告等同样需要建设方、监理方的签证确认；施工前施工指导性文件含施工图、工艺文件、安装图、接线图(表)、调试大纲(方案)等须提交建设方、监理方审核认可后才能进行实施。</w:t>
      </w:r>
      <w:r/>
    </w:p>
    <w:p>
      <w:pPr>
        <w:ind w:firstLine="480"/>
        <w:spacing w:line="360" w:lineRule="auto"/>
        <w:rPr>
          <w:rFonts w:ascii="宋体" w:hAnsi="宋体"/>
          <w:sz w:val="24"/>
          <w:szCs w:val="24"/>
        </w:rPr>
      </w:pPr>
      <w:r>
        <w:rPr>
          <w:rFonts w:hint="eastAsia" w:ascii="宋体" w:hAnsi="宋体"/>
          <w:bCs/>
          <w:sz w:val="24"/>
          <w:szCs w:val="24"/>
        </w:rPr>
        <w:t xml:space="preserve">3.8.3</w:t>
      </w:r>
      <w:r>
        <w:rPr>
          <w:rFonts w:hint="eastAsia" w:ascii="宋体" w:hAnsi="宋体"/>
          <w:sz w:val="24"/>
          <w:szCs w:val="24"/>
        </w:rPr>
        <w:t xml:space="preserve">项目经理、安全员必须是中标人派出的本公司在职人员为本项目经理、安全员，按现行标准《建设工程监理规范(GB/T50319)》必须服从本工程监理方在该工程质量、造价、进度控制及安全生产与环保管理；工程变更、索赔及施工合同争议处理，设备采购与设备监造等方面的监理。工程实施中及工程例会和相关活动项目经理、安全员、施工员、质检员不得无故缺席，因事须暂离岗位时，要安排相应的人员替代，同时要征求建设方、监理的同意。施工日志必须记录完整、真实；工程例会记要(决议)记录完整可核查；本工程项目中必要的备查资料要保存完好。</w:t>
      </w:r>
      <w:r/>
    </w:p>
    <w:p>
      <w:pPr>
        <w:ind w:firstLine="480"/>
        <w:spacing w:line="360" w:lineRule="auto"/>
        <w:rPr>
          <w:rFonts w:ascii="宋体" w:hAnsi="宋体"/>
          <w:sz w:val="24"/>
          <w:szCs w:val="24"/>
        </w:rPr>
      </w:pPr>
      <w:r>
        <w:rPr>
          <w:rFonts w:hint="eastAsia" w:ascii="宋体" w:hAnsi="宋体"/>
          <w:bCs/>
          <w:sz w:val="24"/>
          <w:szCs w:val="24"/>
        </w:rPr>
        <w:t xml:space="preserve">3.8.4</w:t>
      </w:r>
      <w:r>
        <w:rPr>
          <w:rFonts w:hint="eastAsia" w:ascii="宋体" w:hAnsi="宋体"/>
          <w:sz w:val="24"/>
          <w:szCs w:val="24"/>
        </w:rPr>
        <w:t xml:space="preserve">贯彻执行现行国家标准《建筑施工组织设计规范(GB/T50502》、《建筑施工安全技术统一规范(GB50870)》中的有关规定。在本项工程实施作业中必须贯彻执行安全文明生产中规定的条例，专职安全员要到现场监督作业过程，安全文明生产必须贯彻到工程施工作业全部过程中。</w:t>
      </w:r>
      <w:r/>
    </w:p>
    <w:p>
      <w:pPr>
        <w:ind w:firstLine="480"/>
        <w:spacing w:line="360" w:lineRule="auto"/>
        <w:rPr>
          <w:rFonts w:ascii="宋体" w:hAnsi="宋体"/>
          <w:sz w:val="24"/>
          <w:szCs w:val="24"/>
        </w:rPr>
      </w:pPr>
      <w:r>
        <w:rPr>
          <w:rFonts w:hint="eastAsia" w:ascii="宋体" w:hAnsi="宋体"/>
          <w:bCs/>
          <w:sz w:val="24"/>
          <w:szCs w:val="24"/>
        </w:rPr>
        <w:t xml:space="preserve">3.8.5</w:t>
      </w:r>
      <w:r>
        <w:rPr>
          <w:rFonts w:hint="eastAsia" w:ascii="宋体" w:hAnsi="宋体"/>
          <w:sz w:val="24"/>
          <w:szCs w:val="24"/>
        </w:rPr>
        <w:t xml:space="preserve">必须做好每个阶段施工资料（包括自检表、工序检验表、图片等）的纪录、整理和保存，特别是隐蔽工程，必须由建设方、监理方凭承建方上报的自检表、工序检验表等资料到现场参与查验签认，未经签认私自进入下一工序施工，由此，产生的一切后果均由承建方负责。</w:t>
      </w:r>
      <w:r/>
    </w:p>
    <w:p>
      <w:pPr>
        <w:ind w:firstLine="480"/>
        <w:spacing w:line="360" w:lineRule="auto"/>
        <w:rPr>
          <w:rFonts w:ascii="宋体" w:hAnsi="宋体"/>
          <w:sz w:val="24"/>
          <w:szCs w:val="24"/>
        </w:rPr>
      </w:pPr>
      <w:r>
        <w:rPr>
          <w:rFonts w:hint="eastAsia" w:ascii="宋体" w:hAnsi="宋体"/>
          <w:bCs/>
          <w:sz w:val="24"/>
          <w:szCs w:val="24"/>
        </w:rPr>
        <w:t xml:space="preserve">3.8.6</w:t>
      </w:r>
      <w:r>
        <w:rPr>
          <w:rFonts w:hint="eastAsia" w:ascii="宋体" w:hAnsi="宋体"/>
          <w:sz w:val="24"/>
          <w:szCs w:val="24"/>
        </w:rPr>
        <w:t xml:space="preserve">承建方在施工中应严格遵照本工程《监理实施细则》要求开展日常的施工工作，服从和积极配合监理方在现场对工程质量、进度、造价、安全、环保、贯彻执行标准等诸多方面的督查。</w:t>
      </w:r>
      <w:r/>
    </w:p>
    <w:p>
      <w:pPr>
        <w:ind w:firstLine="480"/>
        <w:spacing w:line="360" w:lineRule="auto"/>
        <w:rPr>
          <w:rFonts w:ascii="宋体" w:hAnsi="宋体"/>
          <w:sz w:val="24"/>
          <w:szCs w:val="24"/>
        </w:rPr>
      </w:pPr>
      <w:r>
        <w:rPr>
          <w:rFonts w:hint="eastAsia" w:ascii="宋体" w:hAnsi="宋体"/>
          <w:bCs/>
          <w:sz w:val="24"/>
          <w:szCs w:val="24"/>
        </w:rPr>
        <w:t xml:space="preserve">3.8.7</w:t>
      </w:r>
      <w:r>
        <w:rPr>
          <w:rFonts w:hint="eastAsia" w:ascii="宋体" w:hAnsi="宋体"/>
          <w:sz w:val="24"/>
          <w:szCs w:val="24"/>
        </w:rPr>
        <w:t xml:space="preserve">第三方法定机构对该工程进行检测时必须通知建设方、监理方到现场旁证。</w:t>
      </w:r>
      <w:r/>
    </w:p>
    <w:p>
      <w:pPr>
        <w:ind w:firstLine="480"/>
        <w:spacing w:line="360" w:lineRule="auto"/>
        <w:rPr>
          <w:rFonts w:ascii="宋体" w:hAnsi="宋体"/>
          <w:sz w:val="24"/>
          <w:szCs w:val="24"/>
        </w:rPr>
      </w:pPr>
      <w:r>
        <w:rPr>
          <w:rFonts w:hint="eastAsia" w:ascii="宋体" w:hAnsi="宋体"/>
          <w:bCs/>
          <w:sz w:val="24"/>
          <w:szCs w:val="24"/>
        </w:rPr>
        <w:t xml:space="preserve">3.8.8</w:t>
      </w:r>
      <w:r>
        <w:rPr>
          <w:rFonts w:hint="eastAsia" w:ascii="宋体" w:hAnsi="宋体"/>
          <w:sz w:val="24"/>
          <w:szCs w:val="24"/>
        </w:rPr>
        <w:t xml:space="preserve">中标方凭法定检测机构出具的本工程检测合格的报告，向建设方、监理方办理终验申请。</w:t>
      </w:r>
      <w:r/>
    </w:p>
    <w:p>
      <w:pPr>
        <w:pStyle w:val="916"/>
        <w:ind w:left="0" w:firstLine="480"/>
        <w:spacing w:line="360" w:lineRule="auto"/>
        <w:rPr>
          <w:rFonts w:ascii="宋体" w:hAnsi="宋体"/>
          <w:sz w:val="24"/>
          <w:szCs w:val="24"/>
        </w:rPr>
      </w:pPr>
      <w:r>
        <w:rPr>
          <w:rFonts w:hint="eastAsia" w:ascii="宋体" w:hAnsi="宋体"/>
          <w:bCs/>
          <w:sz w:val="24"/>
          <w:szCs w:val="24"/>
        </w:rPr>
        <w:t xml:space="preserve">3.8.9</w:t>
      </w:r>
      <w:r>
        <w:rPr>
          <w:rFonts w:hint="eastAsia" w:ascii="宋体" w:hAnsi="宋体"/>
          <w:sz w:val="24"/>
          <w:szCs w:val="24"/>
        </w:rPr>
        <w:t xml:space="preserve">现场施工工艺要求：</w:t>
      </w:r>
      <w:r/>
    </w:p>
    <w:p>
      <w:pPr>
        <w:pStyle w:val="916"/>
        <w:ind w:left="0" w:firstLine="480"/>
        <w:spacing w:line="360" w:lineRule="auto"/>
        <w:rPr>
          <w:rFonts w:ascii="宋体" w:hAnsi="宋体"/>
          <w:sz w:val="24"/>
          <w:szCs w:val="24"/>
        </w:rPr>
      </w:pPr>
      <w:r>
        <w:rPr>
          <w:rFonts w:hint="eastAsia" w:ascii="宋体" w:hAnsi="宋体"/>
          <w:sz w:val="24"/>
          <w:szCs w:val="24"/>
        </w:rPr>
        <w:t xml:space="preserve">（1）严格贯彻执行现行的国家及行业标准：《电气装置安装工程电缆线路施工及验收规范(GB50168》、《电气装置安装工程接地装置施工及验收规范(GB50169)》、《电气装置安装低压电气施工及验收规范(GB50254)》、《建筑电气工程施工质量验收规范(GB50303)》、《通信管道工程施工及验收规范(GB/T50374)》、《安防线缆(GA/T1297》、《安防线缆应用技术要求(GA/T1406)》涉及到本工程的条款；《民用建筑电气设计标准(</w:t>
      </w:r>
      <w:r>
        <w:rPr>
          <w:rFonts w:ascii="宋体" w:hAnsi="宋体"/>
          <w:sz w:val="24"/>
          <w:szCs w:val="24"/>
        </w:rPr>
        <w:t xml:space="preserve">GB51348</w:t>
      </w:r>
      <w:r>
        <w:rPr>
          <w:rFonts w:hint="eastAsia" w:ascii="宋体" w:hAnsi="宋体"/>
          <w:sz w:val="24"/>
          <w:szCs w:val="24"/>
        </w:rPr>
        <w:t xml:space="preserve">)》涉及到本工程的章节条款。以及以上未列的与本工程有关的现行的国家及行业标准均须执行。</w:t>
      </w:r>
      <w:r/>
    </w:p>
    <w:p>
      <w:pPr>
        <w:pStyle w:val="916"/>
        <w:ind w:left="0" w:firstLine="480"/>
        <w:spacing w:line="360" w:lineRule="auto"/>
        <w:rPr>
          <w:rFonts w:ascii="宋体" w:hAnsi="宋体"/>
          <w:sz w:val="24"/>
          <w:szCs w:val="24"/>
        </w:rPr>
      </w:pPr>
      <w:r>
        <w:rPr>
          <w:rFonts w:hint="eastAsia" w:ascii="宋体" w:hAnsi="宋体"/>
          <w:sz w:val="24"/>
          <w:szCs w:val="24"/>
        </w:rPr>
        <w:t xml:space="preserve">（2）杆柱立杆要垂直，横臂要水平，杆柱基础保护水泥包封成圆形，在人行道和广场上须用地面道砖或大理石填补齐并与周边道板齐平。未装横臂连接面均有保护盖板；高度小于4m的杆柱在路边立杆时，横臂的端部不得超出路牙，以防货车等车辆碰擦与撞击，对立杆造成损坏。</w:t>
      </w:r>
      <w:r/>
    </w:p>
    <w:p>
      <w:pPr>
        <w:pStyle w:val="916"/>
        <w:ind w:left="0"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前端采集信号全都通过专线专缆传输至已规划的区域汇聚点，一律不允许共用运营商光缆，更不允许进入运营商光交箱或在运营商光交箱内跳接，纯属公安自建专用光缆链路，线缆可与运营商地下管道共管独立敷设。</w:t>
      </w:r>
      <w:r/>
    </w:p>
    <w:p>
      <w:pPr>
        <w:pStyle w:val="916"/>
        <w:ind w:left="0"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汇聚柜内1U抽屉式终端盒自上向下安装，最下层为上行纤；汇聚交换机自上向下安装，间隔为1U，须装理线架，底层抽屉式终端盒成端的上行光缆为8芯光缆，跨过光缆户外接线包在抽屉式终端盒中成端；其余采用24、48或48*2芯光缆与1U48、1U</w:t>
      </w:r>
      <w:r>
        <w:rPr>
          <w:rFonts w:ascii="宋体" w:hAnsi="宋体"/>
          <w:sz w:val="24"/>
          <w:szCs w:val="24"/>
        </w:rPr>
        <w:t xml:space="preserve">96</w:t>
      </w:r>
      <w:r>
        <w:rPr>
          <w:rFonts w:hint="eastAsia" w:ascii="宋体" w:hAnsi="宋体"/>
          <w:sz w:val="24"/>
          <w:szCs w:val="24"/>
        </w:rPr>
        <w:t xml:space="preserve">抽屉式终端盒成端，另一端在汇聚点手井中与光缆户外接线包中来自前端的有效光缆进行熔接，不允许跨过光缆户外接线包在抽屉式终端盒中直接成端。不得占用已有户外接线包，多余位应用光缆转接到包外供下一批次使用，承建单位在实施前要出详细光纤分配图。</w:t>
      </w:r>
      <w:r/>
    </w:p>
    <w:p>
      <w:pPr>
        <w:pStyle w:val="916"/>
        <w:ind w:left="0"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在每个监控摄像点立杆须建400mm*600mm*800mm单井盖手孔井，至立杆距离宜2m内；需要有人(手)孔(管线井)，管线口须用防火泥材料封堵、以防虫鼠及泥沙灌入，电、光缆出线处、必须有明显的标识，管线井内线缆、出线处线缆必须分色穿护套管、悬挂机打印永久标识牌、低压供电线缆宜用红色护套管、挂警示标识牌。</w:t>
      </w:r>
      <w:r/>
    </w:p>
    <w:p>
      <w:pPr>
        <w:pStyle w:val="916"/>
        <w:ind w:left="0"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）户内安全低压集合供配电装置安装高度一般不宜超过2.5 m，与安装体采用紧固件连接。安全低压集合供配电装置紧靠交流220V取电处，其距离宜控制在2m左右；户外安全低压集合供配电装置设备箱，采用统一的不锈钢标准电能箱，按户外设备柜安装要求安装施工。箱体进出线均采用隐蔽方式，不得有线缆裸露。箱内设备及金属外壳必须接地，箱体应接地。箱门上需按南通市公安局的要求喷字，样式向开发区分局索取。并印有报修电话号。</w:t>
      </w:r>
      <w:r/>
    </w:p>
    <w:p>
      <w:pPr>
        <w:pStyle w:val="916"/>
        <w:ind w:left="0"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摄像机安装严格执行现行标准规范中的相关条款，由专业技能的人员安装。从摄像机引出的缆线宜留有余量，不得影响摄像机的转动，摄像机的线缆和电源线应穿304不锈钢波纹管保护，电源线传输电压不得超出国家安全低压，电源线线径不得小于2</w:t>
      </w:r>
      <w:r>
        <w:rPr>
          <w:rFonts w:ascii="宋体" w:hAnsi="宋体"/>
          <w:sz w:val="24"/>
          <w:szCs w:val="24"/>
        </w:rPr>
        <w:t xml:space="preserve">.5</w:t>
      </w:r>
      <w:r>
        <w:rPr>
          <w:rFonts w:hint="eastAsia" w:ascii="宋体" w:hAnsi="宋体"/>
          <w:sz w:val="24"/>
          <w:szCs w:val="24"/>
        </w:rPr>
        <w:t xml:space="preserve">mm²。不得用插头承受线缆的自重，与摄像机防护壳连接时必须采用不锈钢锁紧接头。摄像机调通后，图像质量损伤主观评价，要求图像上不觉察有损伤和干扰存在。</w:t>
      </w:r>
      <w:r/>
    </w:p>
    <w:p>
      <w:pPr>
        <w:pStyle w:val="916"/>
        <w:ind w:left="0"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）摄像机防护壳内组装摄像机、镜头等设备时，安装要合理，连接导线要整洁，固定要牢固，并保持设备良好的工作环境，设备接地严禁采用串联接法，必须星形连接。</w:t>
      </w:r>
      <w:r/>
    </w:p>
    <w:p>
      <w:pPr>
        <w:pStyle w:val="916"/>
        <w:ind w:left="0"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选用高效、节能、长寿命的冷光源LED自控灯作辅助灯光。不得采用频闪或光束与地面成水平线夹角小于75度等安装角度。辅助光源的电源通过自动测光在夜间或白天光线不足时打开照明，光线充足时关闭照明。自控LED补光灯安装要与镜头同方向，灯光发射角度要与镜头的f值大小相匹配，近焦镜头选用灯光发射角度要大，远焦镜头选用灯光发射角度要小，灯光发射角度要略大于镜头角度5至10度。灯安装调好角度后要锁定角度，灯具固定要牢固。</w:t>
      </w:r>
      <w:r/>
    </w:p>
    <w:p>
      <w:pPr>
        <w:pStyle w:val="916"/>
        <w:ind w:left="0"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）等电位连接与共用接地系统施工必须符合《建筑物电子信息系统防雷技术规范(GB50343)》第6章规定。</w:t>
      </w:r>
      <w:r/>
    </w:p>
    <w:p>
      <w:pPr>
        <w:pStyle w:val="916"/>
        <w:ind w:left="0"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11</w:t>
      </w:r>
      <w:r>
        <w:rPr>
          <w:rFonts w:hint="eastAsia" w:ascii="宋体" w:hAnsi="宋体"/>
          <w:sz w:val="24"/>
          <w:szCs w:val="24"/>
        </w:rPr>
        <w:t xml:space="preserve">）接地导线与接地单孔金属片(铜鼻子)压接处必须套有热缩套管，导线采用国际标准的外护套为绿黄双色导线，所用线径必须符合规范要求。用螺柱或螺母紧固铜鼻子时必须垫有相适配的垫圈和弹簧垫圈，连接点必须采取防腐措施。</w:t>
      </w:r>
      <w:r/>
    </w:p>
    <w:p>
      <w:pPr>
        <w:pStyle w:val="916"/>
        <w:ind w:left="0"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12</w:t>
      </w:r>
      <w:r>
        <w:rPr>
          <w:rFonts w:hint="eastAsia" w:ascii="宋体" w:hAnsi="宋体"/>
          <w:sz w:val="24"/>
          <w:szCs w:val="24"/>
        </w:rPr>
        <w:t xml:space="preserve">）若通过路灯供电设备柜获取交流220V市电的，按南通市路灯管理处的统一要求，在指定的地址或在南通市路灯管理处户外供电设备柜围栏外，适合处用混凝土浇铸柜体固定基础，用于固定电能计取柜，柜体底部高出周边地坪0.3米以上。门要封闭防水、门锁要可靠，确保柜内设备的安全和他人的人身安全，柜门安装朝向须满足维护和检修要求，柜体内电气设备、电度表、导线走向、导线捆扎、线缆挂(穿)永久标识均要标准化、规范化，柜内要无杂物整洁。柜内电气设备、开关等均要有3C标志。</w:t>
      </w:r>
      <w:r/>
    </w:p>
    <w:p>
      <w:pPr>
        <w:pStyle w:val="916"/>
        <w:ind w:left="0"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自动重合闸开关不得作为主控电源开关使用，交流220V供配电时，主控开关必须与漏电保护器(开关)安装在同回路中，确保安全用电和他人的人身安全！对市电交流220V电压波动大的地区，供配电电源须经宽动态交流稳压器稳压后，将电源传送至环形变压器初级端口，环形变压器次级低压输出端口须装带过流保护的空气开关，低压电通过此开关向前端摄像机、交换机等用电设备供配电。</w:t>
      </w:r>
      <w:r/>
    </w:p>
    <w:p>
      <w:pPr>
        <w:ind w:firstLine="480"/>
        <w:spacing w:line="360" w:lineRule="auto"/>
        <w:rPr>
          <w:rFonts w:ascii="宋体" w:hAnsi="宋体"/>
          <w:sz w:val="24"/>
          <w:szCs w:val="24"/>
        </w:rPr>
      </w:pPr>
      <w:r>
        <w:rPr>
          <w:rFonts w:hint="eastAsia" w:ascii="宋体" w:hAnsi="宋体"/>
          <w:bCs/>
          <w:sz w:val="24"/>
          <w:szCs w:val="24"/>
        </w:rPr>
        <w:t xml:space="preserve">3.8.10 </w:t>
      </w:r>
      <w:r>
        <w:rPr>
          <w:rFonts w:hint="eastAsia" w:ascii="宋体" w:hAnsi="宋体"/>
          <w:sz w:val="24"/>
          <w:szCs w:val="24"/>
        </w:rPr>
        <w:t xml:space="preserve">用于人脸采集的结构化摄像机安装要求：</w:t>
      </w:r>
      <w:r/>
    </w:p>
    <w:p>
      <w:pPr>
        <w:ind w:firstLine="480"/>
        <w:spacing w:line="360" w:lineRule="auto"/>
        <w:rPr>
          <w:rFonts w:ascii="宋体" w:hAnsi="宋体"/>
          <w:sz w:val="24"/>
          <w:szCs w:val="24"/>
        </w:rPr>
      </w:pPr>
      <w:r>
        <w:rPr>
          <w:rFonts w:hint="eastAsia" w:ascii="宋体" w:hAnsi="宋体"/>
          <w:sz w:val="24"/>
          <w:szCs w:val="24"/>
        </w:rPr>
        <w:t xml:space="preserve">人脸识别准确率与人脸采集摄像机所采集到的人脸图像(片)相关，所以人脸采集摄像机安装位置、现场光源环境等因素影响极大，为保证其效果要求如下：</w:t>
      </w:r>
      <w:r/>
    </w:p>
    <w:p>
      <w:pPr>
        <w:ind w:firstLine="480"/>
        <w:spacing w:line="360" w:lineRule="auto"/>
        <w:rPr>
          <w:rFonts w:ascii="宋体" w:hAnsi="宋体"/>
          <w:sz w:val="24"/>
          <w:szCs w:val="24"/>
        </w:rPr>
      </w:pPr>
      <w:r>
        <w:rPr>
          <w:rFonts w:hint="eastAsia" w:ascii="宋体" w:hAnsi="宋体"/>
          <w:sz w:val="24"/>
          <w:szCs w:val="24"/>
        </w:rPr>
        <w:t xml:space="preserve">（1）必须符合《安全防范 人脸识别应用 图像采集规范(GA/T1325-2017)》第4.5章的要求；</w:t>
      </w:r>
      <w:r/>
    </w:p>
    <w:p>
      <w:pPr>
        <w:pStyle w:val="916"/>
        <w:ind w:left="0" w:firstLine="480"/>
        <w:spacing w:line="360" w:lineRule="auto"/>
        <w:rPr>
          <w:rFonts w:ascii="宋体" w:hAnsi="宋体"/>
          <w:sz w:val="24"/>
          <w:szCs w:val="24"/>
        </w:rPr>
      </w:pPr>
      <w:r>
        <w:rPr>
          <w:rFonts w:hint="eastAsia" w:ascii="宋体" w:hAnsi="宋体"/>
          <w:sz w:val="24"/>
          <w:szCs w:val="24"/>
        </w:rPr>
        <w:t xml:space="preserve">（2）在出入口布设人脸采集摄像机时，首先要人车分道，各行其道。选择标准的行人通道、出入口作为人脸采集摄像机安装点，同时规范行人按单一方向通行，确保摄像机采集到经该通道所有人的正面脸图像。</w:t>
      </w:r>
      <w:r/>
    </w:p>
    <w:p>
      <w:pPr>
        <w:ind w:firstLine="480"/>
        <w:spacing w:line="360" w:lineRule="auto"/>
        <w:rPr>
          <w:rFonts w:ascii="宋体" w:hAnsi="宋体"/>
          <w:sz w:val="24"/>
          <w:szCs w:val="24"/>
        </w:rPr>
      </w:pPr>
      <w:r>
        <w:rPr>
          <w:rFonts w:hint="eastAsia" w:ascii="宋体" w:hAnsi="宋体"/>
          <w:sz w:val="24"/>
          <w:szCs w:val="24"/>
        </w:rPr>
        <w:t xml:space="preserve">（3）采集点区域内选择良好的光照环境，尽量避开逆光、偏光、顶光、脚光等光照环境，以防被采集到的人脸图像(片)不清晰，直接导致后端处理与分析困难，严重降低了识别与比对率，若无法规避采光劣境场合，在逆光或光照不足条件下要进行补光，确保人脸面部光照最佳，镜头必须选用高清晰自动光圈镜头，同时反复精调摄像机图像参数设定值，优先保证被采集到的人脸部图像(片)达到最佳清晰效果。保证采集的图像(片)人脸瞳距大于40像素，人脸处于画面中间位置。</w:t>
      </w:r>
      <w:r/>
    </w:p>
    <w:p>
      <w:pPr>
        <w:pStyle w:val="916"/>
        <w:ind w:left="0" w:firstLine="480"/>
        <w:spacing w:line="360" w:lineRule="auto"/>
        <w:rPr>
          <w:rFonts w:ascii="宋体" w:hAnsi="宋体"/>
          <w:sz w:val="24"/>
          <w:szCs w:val="24"/>
        </w:rPr>
      </w:pPr>
      <w:r>
        <w:rPr>
          <w:rFonts w:hint="eastAsia" w:ascii="宋体" w:hAnsi="宋体"/>
          <w:sz w:val="24"/>
          <w:szCs w:val="24"/>
        </w:rPr>
        <w:t xml:space="preserve">（4）人脸采集摄像机架设位置，其目的是采集人脸正面清晰图片，因此需要尽量避开被采集的人脸被其他物体干扰或遮挡，摄像机应安装在人脸采集区域正前上方，正面摄取人脸，左右偏转</w:t>
      </w:r>
      <w:r>
        <w:rPr>
          <w:rFonts w:hint="eastAsia" w:ascii="宋体" w:hAnsi="宋体"/>
          <w:b/>
          <w:sz w:val="24"/>
          <w:szCs w:val="24"/>
        </w:rPr>
        <w:t xml:space="preserve">&lt;25</w:t>
      </w:r>
      <w:r>
        <w:rPr>
          <w:rFonts w:hint="eastAsia" w:ascii="宋体" w:hAnsi="宋体"/>
          <w:sz w:val="24"/>
          <w:szCs w:val="24"/>
        </w:rPr>
        <w:t xml:space="preserve">°，摄像机的俯视角度</w:t>
      </w:r>
      <w:r>
        <w:rPr>
          <w:rFonts w:hint="eastAsia" w:ascii="宋体" w:hAnsi="宋体"/>
          <w:b/>
          <w:sz w:val="24"/>
          <w:szCs w:val="24"/>
        </w:rPr>
        <w:t xml:space="preserve">α&lt;15°</w:t>
      </w:r>
      <w:r>
        <w:rPr>
          <w:rFonts w:hint="eastAsia" w:ascii="宋体" w:hAnsi="宋体"/>
          <w:sz w:val="24"/>
          <w:szCs w:val="24"/>
        </w:rPr>
        <w:t xml:space="preserve">。</w:t>
      </w:r>
      <w:r/>
    </w:p>
    <w:p>
      <w:pPr>
        <w:pStyle w:val="916"/>
        <w:ind w:left="0" w:firstLine="480"/>
        <w:spacing w:line="360" w:lineRule="auto"/>
        <w:rPr>
          <w:rFonts w:ascii="宋体" w:hAnsi="宋体"/>
          <w:sz w:val="24"/>
          <w:szCs w:val="24"/>
        </w:rPr>
      </w:pPr>
      <w:r>
        <w:rPr>
          <w:rFonts w:hint="eastAsia" w:ascii="宋体" w:hAnsi="宋体"/>
          <w:sz w:val="24"/>
          <w:szCs w:val="24"/>
        </w:rPr>
        <w:t xml:space="preserve">（5）采集摄像机安装高度(H)与被采集人的水平距离(L)关系</w:t>
      </w:r>
      <w:r/>
    </w:p>
    <w:p>
      <w:pPr>
        <w:ind w:left="283" w:firstLine="480"/>
        <w:spacing w:line="360" w:lineRule="auto"/>
        <w:rPr>
          <w:rFonts w:ascii="宋体" w:hAnsi="宋体"/>
          <w:sz w:val="24"/>
          <w:szCs w:val="24"/>
        </w:rPr>
      </w:pPr>
      <w:r>
        <w:rPr>
          <w:rFonts w:ascii="宋体" w:hAnsi="宋体"/>
          <w:sz w:val="24"/>
          <w:szCs w:val="24"/>
        </w:rPr>
      </w:r>
      <w:r/>
    </w:p>
    <w:p>
      <w:pPr>
        <w:ind w:firstLine="480"/>
        <w:jc w:val="center"/>
        <w:spacing w:line="360" w:lineRule="auto"/>
        <w:rPr>
          <w:rFonts w:ascii="宋体" w:hAnsi="宋体" w:cs="仿宋"/>
          <w:sz w:val="24"/>
          <w:szCs w:val="24"/>
        </w:rPr>
      </w:pPr>
      <w:r>
        <w:rPr>
          <w:rFonts w:ascii="宋体" w:hAnsi="宋体" w:cs="仿宋"/>
          <w:sz w:val="24"/>
          <w:szCs w:val="24"/>
        </w:rPr>
        <mc:AlternateContent>
          <mc:Choice Requires="wpg">
            <w:drawing>
              <wp:inline xmlns:wp="http://schemas.openxmlformats.org/drawingml/2006/wordprocessingDrawing" distT="0" distB="0" distL="0" distR="0">
                <wp:extent cx="3905885" cy="1644015"/>
                <wp:effectExtent l="0" t="0" r="5715" b="698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r/>
                      </pic:nvPicPr>
                      <pic:blipFill>
                        <a:blip r:embed="rId19"/>
                        <a:stretch/>
                      </pic:blipFill>
                      <pic:spPr bwMode="auto">
                        <a:xfrm>
                          <a:off x="0" y="0"/>
                          <a:ext cx="3905885" cy="1644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07.6pt;height:129.4pt;mso-wrap-distance-left:0.0pt;mso-wrap-distance-top:0.0pt;mso-wrap-distance-right:0.0pt;mso-wrap-distance-bottom:0.0pt;" stroked="f">
                <v:path textboxrect="0,0,0,0"/>
                <v:imagedata r:id="rId19" o:title=""/>
              </v:shape>
            </w:pict>
          </mc:Fallback>
        </mc:AlternateContent>
      </w:r>
      <w:r/>
    </w:p>
    <w:p>
      <w:pPr>
        <w:ind w:left="286" w:firstLine="480"/>
        <w:jc w:val="left"/>
        <w:spacing w:line="360" w:lineRule="auto"/>
        <w:rPr>
          <w:rFonts w:ascii="宋体" w:hAnsi="宋体" w:cs="仿宋"/>
          <w:sz w:val="24"/>
          <w:szCs w:val="24"/>
        </w:rPr>
      </w:pPr>
      <w:r>
        <w:rPr>
          <w:rFonts w:hint="eastAsia" w:ascii="宋体" w:hAnsi="宋体" w:cs="仿宋"/>
          <w:sz w:val="24"/>
          <w:szCs w:val="24"/>
        </w:rPr>
        <w:t xml:space="preserve">计算公式：H=0.18×L+1.6(m)</w:t>
      </w:r>
      <w:r/>
    </w:p>
    <w:p>
      <w:pPr>
        <w:ind w:left="286" w:firstLine="480"/>
        <w:jc w:val="left"/>
        <w:spacing w:line="360" w:lineRule="auto"/>
        <w:rPr>
          <w:rFonts w:ascii="宋体" w:hAnsi="宋体" w:cs="仿宋"/>
          <w:sz w:val="24"/>
          <w:szCs w:val="24"/>
        </w:rPr>
      </w:pPr>
      <w:r>
        <w:rPr>
          <w:rFonts w:hint="eastAsia" w:ascii="宋体" w:hAnsi="宋体" w:cs="仿宋"/>
          <w:sz w:val="24"/>
          <w:szCs w:val="24"/>
        </w:rPr>
        <w:t xml:space="preserve">H：采集摄像机镜头高度  L：采集摄像机与被采集人的水平距离</w:t>
      </w:r>
      <w:r/>
    </w:p>
    <w:p>
      <w:pPr>
        <w:ind w:left="286" w:firstLine="480"/>
        <w:jc w:val="left"/>
        <w:spacing w:line="360" w:lineRule="auto"/>
        <w:rPr>
          <w:rFonts w:ascii="宋体" w:hAnsi="宋体" w:cs="仿宋"/>
          <w:sz w:val="24"/>
          <w:szCs w:val="24"/>
        </w:rPr>
      </w:pPr>
      <w:r>
        <w:rPr>
          <w:rFonts w:hint="eastAsia" w:ascii="宋体" w:hAnsi="宋体" w:cs="仿宋"/>
          <w:sz w:val="24"/>
          <w:szCs w:val="24"/>
        </w:rPr>
        <w:t xml:space="preserve">0.18：被采集人二侧耳朵间距[平均值(单位米)]</w:t>
      </w:r>
      <w:r/>
    </w:p>
    <w:p>
      <w:pPr>
        <w:ind w:left="286" w:firstLine="480"/>
        <w:jc w:val="left"/>
        <w:spacing w:line="360" w:lineRule="auto"/>
        <w:rPr>
          <w:rFonts w:ascii="宋体" w:hAnsi="宋体" w:cs="仿宋"/>
          <w:sz w:val="24"/>
          <w:szCs w:val="24"/>
        </w:rPr>
      </w:pPr>
      <w:r>
        <w:rPr>
          <w:rFonts w:hint="eastAsia" w:ascii="宋体" w:hAnsi="宋体" w:cs="仿宋"/>
          <w:sz w:val="24"/>
          <w:szCs w:val="24"/>
        </w:rPr>
        <w:t xml:space="preserve">1.6m：被采集人脚底到鼻尖的垂直距离[平均值(单位米)]</w:t>
      </w:r>
      <w:r/>
    </w:p>
    <w:p>
      <w:pPr>
        <w:pStyle w:val="916"/>
        <w:ind w:left="0" w:firstLine="480"/>
        <w:spacing w:line="360" w:lineRule="auto"/>
        <w:rPr>
          <w:rFonts w:ascii="宋体" w:hAnsi="宋体"/>
          <w:sz w:val="24"/>
          <w:szCs w:val="24"/>
        </w:rPr>
      </w:pPr>
      <w:r>
        <w:rPr>
          <w:rFonts w:hint="eastAsia" w:ascii="宋体" w:hAnsi="宋体"/>
          <w:sz w:val="24"/>
          <w:szCs w:val="24"/>
        </w:rPr>
        <w:t xml:space="preserve">（6）摄像机通过防护罩引出线缆穿304不锈钢金属软管，管内电源线缆供电电压为安全低压。</w:t>
      </w:r>
      <w:r/>
    </w:p>
    <w:p>
      <w:pPr>
        <w:ind w:firstLine="480"/>
        <w:spacing w:line="360" w:lineRule="auto"/>
        <w:rPr>
          <w:rFonts w:ascii="宋体" w:hAnsi="宋体"/>
          <w:sz w:val="24"/>
          <w:szCs w:val="24"/>
        </w:rPr>
      </w:pPr>
      <w:r>
        <w:rPr>
          <w:rFonts w:hint="eastAsia" w:ascii="宋体" w:hAnsi="宋体"/>
          <w:bCs/>
          <w:sz w:val="24"/>
          <w:szCs w:val="24"/>
        </w:rPr>
        <w:t xml:space="preserve">3.8.11 </w:t>
      </w:r>
      <w:r>
        <w:rPr>
          <w:rFonts w:hint="eastAsia" w:ascii="宋体" w:hAnsi="宋体"/>
          <w:sz w:val="24"/>
          <w:szCs w:val="24"/>
        </w:rPr>
        <w:t xml:space="preserve">电缆、光缆的施工要求</w:t>
      </w:r>
      <w:r/>
    </w:p>
    <w:p>
      <w:pPr>
        <w:ind w:firstLine="480"/>
        <w:spacing w:line="360" w:lineRule="auto"/>
        <w:rPr>
          <w:rFonts w:ascii="宋体" w:hAnsi="宋体"/>
          <w:sz w:val="24"/>
          <w:szCs w:val="24"/>
        </w:rPr>
      </w:pPr>
      <w:r>
        <w:rPr>
          <w:rFonts w:hint="eastAsia" w:ascii="宋体" w:hAnsi="宋体"/>
          <w:sz w:val="24"/>
          <w:szCs w:val="24"/>
        </w:rPr>
        <w:t xml:space="preserve">（1）严格执行现行的国家标准规范中的条款：《电气装置安装工程电缆线路施工及验收规范(GB50168)》、《电气装置安装工程接地装置施工及验收规范(GB50169)》涉及到本工程的条款；《民用闭路监视电视系统工程技术规范(GB50198)》第4.3；《电气装置安装低压电气施工及验收规范(GB50254)》、《建筑电气工程施</w:t>
      </w:r>
      <w:r>
        <w:rPr>
          <w:rFonts w:hint="eastAsia" w:ascii="宋体" w:hAnsi="宋体"/>
          <w:sz w:val="24"/>
          <w:szCs w:val="24"/>
        </w:rPr>
        <w:t xml:space="preserve">工质量验收规范(GB50303)》；《综合布线系统工程验收规范(GB50312)》第5、6、7、8、9章涉及到本工程的条款；《智能建筑工程质量验收规范(GB50339)》第8章；《安全防范工程技术标准(GB50348)》第3.11、3.12；《安全防范工程通用规范（GB55029）》；《通信管道工程施工及验收规范(GB/T50374)》第2、3、4、5、6、7、8章；《智能建筑工程施工规范(GB50606)》第4、5章；《通信线路工程验收规范(GB51171)》、涉及到本工程的条款；《民用建筑电气设计标准(</w:t>
      </w:r>
      <w:r>
        <w:rPr>
          <w:rFonts w:ascii="宋体" w:hAnsi="宋体"/>
          <w:sz w:val="24"/>
          <w:szCs w:val="24"/>
        </w:rPr>
        <w:t xml:space="preserve">GB51348</w:t>
      </w:r>
      <w:r>
        <w:rPr>
          <w:rFonts w:hint="eastAsia" w:ascii="宋体" w:hAnsi="宋体"/>
          <w:sz w:val="24"/>
          <w:szCs w:val="24"/>
        </w:rPr>
        <w:t xml:space="preserve">)》等、《安防线缆(GA/T1297)》涉及到本工程的章节条款。</w:t>
      </w:r>
      <w:r/>
    </w:p>
    <w:p>
      <w:pPr>
        <w:ind w:firstLine="480"/>
        <w:spacing w:line="360" w:lineRule="auto"/>
        <w:rPr>
          <w:rFonts w:ascii="宋体" w:hAnsi="宋体"/>
          <w:sz w:val="24"/>
          <w:szCs w:val="24"/>
        </w:rPr>
      </w:pPr>
      <w:r>
        <w:rPr>
          <w:rFonts w:hint="eastAsia" w:ascii="宋体" w:hAnsi="宋体"/>
          <w:sz w:val="24"/>
          <w:szCs w:val="24"/>
        </w:rPr>
        <w:t xml:space="preserve">（2）以上标准中的强制性条文必须严格执行。由专业技能的持证人员实施。市电供电部分验收由国家电网南通供电公司按规程验收合格后供电，管线归属本工程验收范围内。</w:t>
      </w:r>
      <w:r/>
    </w:p>
    <w:p>
      <w:pPr>
        <w:ind w:firstLine="480"/>
        <w:spacing w:line="360" w:lineRule="auto"/>
        <w:rPr>
          <w:rFonts w:ascii="宋体" w:hAnsi="宋体"/>
          <w:sz w:val="24"/>
          <w:szCs w:val="24"/>
        </w:rPr>
      </w:pPr>
      <w:r>
        <w:rPr>
          <w:rFonts w:hint="eastAsia" w:ascii="宋体" w:hAnsi="宋体"/>
          <w:sz w:val="24"/>
          <w:szCs w:val="24"/>
        </w:rPr>
        <w:t xml:space="preserve">（3）电源电缆穿PE管直接埋地敷设，必须符合《电气装置安装工程电缆线路施工及验收规范(GB50168)》第4章、第5章；《建筑电气工程施工质量验收规范(GB50303)》所涉及到的要求和相关标准；《民用建筑电气设计标准(</w:t>
      </w:r>
      <w:r>
        <w:rPr>
          <w:rFonts w:ascii="宋体" w:hAnsi="宋体"/>
          <w:sz w:val="24"/>
          <w:szCs w:val="24"/>
        </w:rPr>
        <w:t xml:space="preserve">GB51348</w:t>
      </w:r>
      <w:r>
        <w:rPr>
          <w:rFonts w:hint="eastAsia" w:ascii="宋体" w:hAnsi="宋体"/>
          <w:sz w:val="24"/>
          <w:szCs w:val="24"/>
        </w:rPr>
        <w:t xml:space="preserve">)》第</w:t>
      </w:r>
      <w:r>
        <w:rPr>
          <w:rFonts w:ascii="宋体" w:hAnsi="宋体"/>
          <w:sz w:val="24"/>
          <w:szCs w:val="24"/>
        </w:rPr>
        <w:t xml:space="preserve">26</w:t>
      </w:r>
      <w:r>
        <w:rPr>
          <w:rFonts w:hint="eastAsia" w:ascii="宋体" w:hAnsi="宋体"/>
          <w:sz w:val="24"/>
          <w:szCs w:val="24"/>
        </w:rPr>
        <w:t xml:space="preserve">章。</w:t>
      </w:r>
      <w:r/>
    </w:p>
    <w:p>
      <w:pPr>
        <w:ind w:firstLine="480"/>
        <w:spacing w:line="360" w:lineRule="auto"/>
        <w:rPr>
          <w:rFonts w:ascii="宋体" w:hAnsi="宋体"/>
          <w:sz w:val="24"/>
          <w:szCs w:val="24"/>
        </w:rPr>
      </w:pPr>
      <w:r>
        <w:rPr>
          <w:rFonts w:hint="eastAsia" w:ascii="宋体" w:hAnsi="宋体"/>
          <w:sz w:val="24"/>
          <w:szCs w:val="24"/>
        </w:rPr>
        <w:t xml:space="preserve">（4）传输光缆穿PE管直接埋地敷设，必须符合《通信管道工程施工及验收规范(GB/T50374)》第7章铺设管道表7.1.3通信管道管顶至路面的最小埋设深度表(m)的要求、7.3.基础、7.5塑料管道铺设、7.5.5管道铺设应符合下列规定等；《通信线路工程验收规范(GB51171)》涉及到的相关标准。</w:t>
      </w:r>
      <w:r/>
    </w:p>
    <w:p>
      <w:pPr>
        <w:ind w:firstLine="480"/>
        <w:spacing w:line="360" w:lineRule="auto"/>
        <w:rPr>
          <w:rFonts w:ascii="宋体" w:hAnsi="宋体"/>
          <w:sz w:val="24"/>
          <w:szCs w:val="24"/>
        </w:rPr>
      </w:pPr>
      <w:r>
        <w:rPr>
          <w:rFonts w:hint="eastAsia" w:ascii="宋体" w:hAnsi="宋体"/>
          <w:sz w:val="24"/>
          <w:szCs w:val="24"/>
        </w:rPr>
        <w:t xml:space="preserve">（5）信号传</w:t>
      </w:r>
      <w:r>
        <w:rPr>
          <w:rFonts w:hint="eastAsia" w:ascii="宋体" w:hAnsi="宋体"/>
          <w:sz w:val="24"/>
          <w:szCs w:val="24"/>
        </w:rPr>
        <w:t xml:space="preserve">输光纤和电源电缆采用地埋管道敷设，若暂时做不到的，需阐述理由，报监理方，最终经建设方同意，并承诺在以后的线路建设或改建中一并入地（不受质保期的限制），保证系统的恢复和正常运行，且不再收取任何费用，包括线路的改道等。不得利用非中标单位的资源，否则产生的一切后果由中标方负责。电缆管道和光缆管道铺设、人(手)孔、管道建筑必须按标准执行，涉及到标准中的强制条文必须严格执行。因线路管道工程施工、电缆、光缆敷设涉及到的标准和标准中的章节条款较多，在此不再一一编列，由施工承包单位按本章所列的有关标准详细查阅后按规定执行。</w:t>
      </w:r>
      <w:r/>
    </w:p>
    <w:p>
      <w:pPr>
        <w:ind w:firstLine="480"/>
        <w:spacing w:line="360" w:lineRule="auto"/>
        <w:rPr>
          <w:rFonts w:ascii="宋体" w:hAnsi="宋体"/>
          <w:sz w:val="24"/>
          <w:szCs w:val="24"/>
        </w:rPr>
      </w:pPr>
      <w:r>
        <w:rPr>
          <w:rFonts w:hint="eastAsia" w:ascii="宋体" w:hAnsi="宋体"/>
          <w:sz w:val="24"/>
          <w:szCs w:val="24"/>
        </w:rPr>
        <w:t xml:space="preserve">（6）传输管道的铺设起点为各个摄像机安装点，400mm*600mm单井盖手孔井，井深大于800mm，前端每个监控单点须有不少于2芯光缆铺设到位，光缆在手井内进入户外熔接包与皮纤</w:t>
      </w:r>
      <w:r>
        <w:rPr>
          <w:rFonts w:hint="eastAsia" w:ascii="宋体" w:hAnsi="宋体"/>
          <w:sz w:val="24"/>
          <w:szCs w:val="24"/>
        </w:rPr>
        <w:t xml:space="preserve">光缆熔接, 户外熔纤包固定手井壁墙上，熔接测试合格后，皮纤带法兰的另一头插入感知采集点交换机的光口中，也可以将皮纤带法兰的一端供来自感知采集点光交换机的跳纤插入；终点为汇聚站手孔600mm*800mm双井盖，井深大于1000mm，按3.11.9第3款要求施工；若光缆、电缆引出地面时需用镀锌钢管保护，高度为地面上不得低于2.5米，地下部分为0.3-0.5米；光电缆应有保护措施，《智能建筑工程质量验收规范(GB50339)》4.1.1为强制性条文，电力线缆和信号线缆严禁在同管同槽内敷设；《民用建筑电气设计标准(</w:t>
      </w:r>
      <w:r>
        <w:rPr>
          <w:rFonts w:ascii="宋体" w:hAnsi="宋体"/>
          <w:sz w:val="24"/>
          <w:szCs w:val="24"/>
        </w:rPr>
        <w:t xml:space="preserve">GB51348</w:t>
      </w:r>
      <w:r>
        <w:rPr>
          <w:rFonts w:hint="eastAsia" w:ascii="宋体" w:hAnsi="宋体"/>
          <w:sz w:val="24"/>
          <w:szCs w:val="24"/>
        </w:rPr>
        <w:t xml:space="preserve">))》第</w:t>
      </w:r>
      <w:r>
        <w:rPr>
          <w:rFonts w:ascii="宋体" w:hAnsi="宋体"/>
          <w:sz w:val="24"/>
          <w:szCs w:val="24"/>
        </w:rPr>
        <w:t xml:space="preserve">26</w:t>
      </w:r>
      <w:r>
        <w:rPr>
          <w:rFonts w:hint="eastAsia" w:ascii="宋体" w:hAnsi="宋体"/>
          <w:sz w:val="24"/>
          <w:szCs w:val="24"/>
        </w:rPr>
        <w:t xml:space="preserve">章交流220V供电线路应单独穿导管敷设，必须贯彻执行标准。</w:t>
      </w:r>
      <w:r/>
    </w:p>
    <w:p>
      <w:pPr>
        <w:ind w:firstLine="480"/>
        <w:spacing w:line="360" w:lineRule="auto"/>
        <w:rPr>
          <w:rFonts w:ascii="宋体" w:hAnsi="宋体"/>
          <w:sz w:val="24"/>
          <w:szCs w:val="24"/>
        </w:rPr>
      </w:pPr>
      <w:r>
        <w:rPr>
          <w:rFonts w:hint="eastAsia" w:ascii="宋体" w:hAnsi="宋体"/>
          <w:sz w:val="24"/>
          <w:szCs w:val="24"/>
        </w:rPr>
        <w:t xml:space="preserve">（7）汇聚站内汇聚交换机至数据中心接入交换机设备之间，该传输线路利用已向运营商租用的裸光纤。</w:t>
      </w:r>
      <w:r/>
    </w:p>
    <w:p>
      <w:pPr>
        <w:ind w:firstLine="480"/>
        <w:spacing w:line="360" w:lineRule="auto"/>
        <w:rPr>
          <w:rFonts w:ascii="宋体" w:hAnsi="宋体"/>
          <w:sz w:val="24"/>
          <w:szCs w:val="24"/>
        </w:rPr>
      </w:pPr>
      <w:r>
        <w:rPr>
          <w:rFonts w:hint="eastAsia" w:ascii="宋体" w:hAnsi="宋体"/>
          <w:sz w:val="24"/>
          <w:szCs w:val="24"/>
        </w:rPr>
        <w:t xml:space="preserve">（8）本系</w:t>
      </w:r>
      <w:r>
        <w:rPr>
          <w:rFonts w:hint="eastAsia" w:ascii="宋体" w:hAnsi="宋体"/>
          <w:sz w:val="24"/>
          <w:szCs w:val="24"/>
        </w:rPr>
        <w:t xml:space="preserve">统为公安专用系统须保密，为此信号传输网络必须是专网专用，全部采用裸光纤的方式组成，前端信号全都通过专线专缆传输至已规划的区域汇聚点，再次重申：一律不允许共用运营商光缆，不允许进入运营商光交箱或在运营商光交箱内跳接，禁止与其他系统复接和复用等交叉使用的情况出现，纯属公安自建专用光缆链路。采集点至区域汇聚点光缆线路产权归属南通市公安局南通经济技术开发区分局，线缆可与运营商地下管道共管，线缆独立敷设，承建方改造管道时，必须一并处理，不得遗弃，共管部分的管道南通市公安局南通经济技术开发区分局拥有永久免费缆线占用权。</w:t>
      </w:r>
      <w:r/>
    </w:p>
    <w:p>
      <w:pPr>
        <w:ind w:firstLine="480"/>
        <w:spacing w:line="360" w:lineRule="auto"/>
        <w:rPr>
          <w:rFonts w:ascii="宋体" w:hAnsi="宋体"/>
          <w:sz w:val="24"/>
          <w:szCs w:val="24"/>
        </w:rPr>
      </w:pPr>
      <w:r>
        <w:rPr>
          <w:rFonts w:hint="eastAsia" w:ascii="宋体" w:hAnsi="宋体"/>
          <w:sz w:val="24"/>
          <w:szCs w:val="24"/>
        </w:rPr>
        <w:t xml:space="preserve">（9）考虑到系统的可靠性及时应对可能发生的意外事故，线路设计时应尽可能的考虑应急备用方案，必须保证每路至少应增加一根备用光纤。</w:t>
      </w:r>
      <w:r/>
    </w:p>
    <w:p>
      <w:pPr>
        <w:ind w:firstLine="480"/>
        <w:spacing w:line="360" w:lineRule="auto"/>
        <w:rPr>
          <w:rFonts w:ascii="宋体" w:hAnsi="宋体"/>
          <w:sz w:val="24"/>
          <w:szCs w:val="24"/>
        </w:rPr>
      </w:pPr>
      <w:r>
        <w:rPr>
          <w:rFonts w:hint="eastAsia" w:ascii="宋体" w:hAnsi="宋体"/>
          <w:sz w:val="24"/>
          <w:szCs w:val="24"/>
        </w:rPr>
        <w:t xml:space="preserve">（10）地下管道敷设、架空敷设及光纤熔接等，质量管理要求和验收规定，严格按本章所列的有关标准中的章节条款执行。</w:t>
      </w:r>
      <w:r/>
    </w:p>
    <w:p>
      <w:pPr>
        <w:ind w:firstLine="480"/>
        <w:spacing w:line="360" w:lineRule="auto"/>
        <w:rPr>
          <w:rFonts w:ascii="宋体" w:hAnsi="宋体"/>
          <w:sz w:val="24"/>
          <w:szCs w:val="24"/>
        </w:rPr>
      </w:pPr>
      <w:r>
        <w:rPr>
          <w:rFonts w:hint="eastAsia" w:ascii="宋体" w:hAnsi="宋体"/>
          <w:bCs/>
          <w:sz w:val="24"/>
          <w:szCs w:val="24"/>
        </w:rPr>
        <w:t xml:space="preserve">3.8.12 </w:t>
      </w:r>
      <w:r>
        <w:rPr>
          <w:rFonts w:hint="eastAsia" w:ascii="宋体" w:hAnsi="宋体"/>
          <w:sz w:val="24"/>
          <w:szCs w:val="24"/>
        </w:rPr>
        <w:t xml:space="preserve">数据质量要求：</w:t>
      </w:r>
      <w:r/>
    </w:p>
    <w:p>
      <w:pPr>
        <w:ind w:firstLine="480"/>
        <w:jc w:val="left"/>
        <w:spacing w:line="360" w:lineRule="auto"/>
        <w:rPr>
          <w:rFonts w:ascii="宋体" w:hAnsi="宋体" w:cs="仿宋"/>
          <w:bCs/>
          <w:sz w:val="24"/>
          <w:szCs w:val="24"/>
        </w:rPr>
      </w:pPr>
      <w:r>
        <w:rPr>
          <w:rFonts w:hint="eastAsia" w:ascii="宋体" w:hAnsi="宋体" w:cs="仿宋"/>
          <w:bCs/>
          <w:sz w:val="24"/>
          <w:szCs w:val="24"/>
        </w:rPr>
        <w:t xml:space="preserve">投标人须按照采购人要求，对本项目建设的所有前端点位进行精细凋试，确保数据质量达到上级关于视图考核有关要求：</w:t>
      </w:r>
      <w:r/>
    </w:p>
    <w:p>
      <w:pPr>
        <w:ind w:firstLine="480"/>
        <w:jc w:val="left"/>
        <w:spacing w:line="360" w:lineRule="auto"/>
        <w:rPr>
          <w:rFonts w:ascii="宋体" w:hAnsi="宋体" w:cs="仿宋"/>
          <w:bCs/>
          <w:sz w:val="24"/>
          <w:szCs w:val="24"/>
        </w:rPr>
      </w:pPr>
      <w:r>
        <w:rPr>
          <w:rFonts w:hint="eastAsia" w:ascii="宋体" w:hAnsi="宋体" w:cs="仿宋"/>
          <w:bCs/>
          <w:sz w:val="24"/>
          <w:szCs w:val="24"/>
        </w:rPr>
        <w:t xml:space="preserve">（1）投标人须承诺本项目建设的所有设备日均在线率不得低于98%。</w:t>
      </w:r>
      <w:r/>
    </w:p>
    <w:p>
      <w:pPr>
        <w:ind w:firstLine="480"/>
        <w:jc w:val="left"/>
        <w:spacing w:line="360" w:lineRule="auto"/>
        <w:rPr>
          <w:rFonts w:ascii="宋体" w:hAnsi="宋体" w:cs="仿宋"/>
          <w:bCs/>
          <w:sz w:val="24"/>
          <w:szCs w:val="24"/>
        </w:rPr>
      </w:pPr>
      <w:r>
        <w:rPr>
          <w:rFonts w:hint="eastAsia" w:ascii="宋体" w:hAnsi="宋体" w:cs="仿宋"/>
          <w:bCs/>
          <w:sz w:val="24"/>
          <w:szCs w:val="24"/>
        </w:rPr>
        <w:t xml:space="preserve">（2）投标人须承诺本项目建设的所有具备人像抓拍采集能力的设备日均建模达标率不得低于90%。（定义：对小图中人脸清晰度、瞳距、俯仰角等进行综合评分。按百分制计算，低于30分的视为人像建模不达标）。</w:t>
      </w:r>
      <w:r/>
    </w:p>
    <w:p>
      <w:pPr>
        <w:ind w:firstLine="480"/>
        <w:spacing w:line="360" w:lineRule="auto"/>
        <w:rPr>
          <w:rFonts w:ascii="宋体" w:hAnsi="宋体" w:cs="仿宋"/>
          <w:bCs/>
          <w:sz w:val="24"/>
          <w:szCs w:val="24"/>
        </w:rPr>
      </w:pPr>
      <w:r>
        <w:rPr>
          <w:rFonts w:hint="eastAsia" w:ascii="宋体" w:hAnsi="宋体" w:cs="仿宋"/>
          <w:bCs/>
          <w:sz w:val="24"/>
          <w:szCs w:val="24"/>
        </w:rPr>
        <w:t xml:space="preserve">（3）投标人须承诺本项目建设的所有具备人车同拍采集能力的设备日均人车有效关联率不得低于90%。</w:t>
      </w:r>
      <w:r/>
    </w:p>
    <w:p>
      <w:pPr>
        <w:ind w:firstLine="720"/>
        <w:spacing w:line="360" w:lineRule="auto"/>
        <w:rPr>
          <w:rFonts w:ascii="宋体" w:hAnsi="宋体" w:cs="仿宋"/>
          <w:sz w:val="24"/>
          <w:szCs w:val="24"/>
        </w:rPr>
      </w:pPr>
      <w:r>
        <w:rPr>
          <w:rFonts w:hint="eastAsia" w:ascii="宋体" w:hAnsi="宋体" w:cs="仿宋"/>
          <w:sz w:val="24"/>
          <w:szCs w:val="24"/>
        </w:rPr>
        <w:t xml:space="preserve">3.8.13 证明材料或承诺函</w:t>
      </w:r>
      <w:r/>
    </w:p>
    <w:p>
      <w:pPr>
        <w:ind w:firstLine="720"/>
        <w:spacing w:line="360" w:lineRule="auto"/>
        <w:rPr>
          <w:rFonts w:ascii="宋体" w:hAnsi="宋体" w:cs="仿宋"/>
          <w:sz w:val="24"/>
          <w:szCs w:val="24"/>
        </w:rPr>
      </w:pPr>
      <w:r>
        <w:rPr>
          <w:rFonts w:hint="eastAsia" w:ascii="宋体" w:hAnsi="宋体" w:cs="宋体"/>
          <w:sz w:val="24"/>
          <w:szCs w:val="24"/>
        </w:rPr>
        <w:t xml:space="preserve">（1）加“★”项为关键参数表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2"/>
        <w:gridCol w:w="9287"/>
      </w:tblGrid>
      <w:tr>
        <w:trPr>
          <w:trHeight w:val="395"/>
        </w:trPr>
        <w:tc>
          <w:tcPr>
            <w:tcW w:w="652" w:type="dxa"/>
            <w:vAlign w:val="center"/>
            <w:textDirection w:val="lrTb"/>
            <w:noWrap w:val="false"/>
          </w:tcPr>
          <w:p>
            <w:pPr>
              <w:jc w:val="center"/>
            </w:pPr>
            <w:r>
              <w:t xml:space="preserve">序号</w:t>
            </w:r>
            <w:r/>
          </w:p>
        </w:tc>
        <w:tc>
          <w:tcPr>
            <w:tcW w:w="9287" w:type="dxa"/>
            <w:vAlign w:val="center"/>
            <w:textDirection w:val="lrTb"/>
            <w:noWrap w:val="false"/>
          </w:tcPr>
          <w:p>
            <w:pPr>
              <w:pStyle w:val="834"/>
              <w:jc w:val="center"/>
              <w:spacing w:before="0" w:after="0"/>
            </w:pPr>
            <w:r>
              <w:rPr>
                <w:rFonts w:hint="eastAsia" w:ascii="宋体" w:hAnsi="宋体" w:eastAsia="宋体" w:cs="宋体"/>
                <w:b w:val="0"/>
                <w:bCs w:val="0"/>
                <w:sz w:val="21"/>
                <w:szCs w:val="21"/>
              </w:rPr>
              <w:t xml:space="preserve">加“★”项证明材料或承诺函要求</w:t>
            </w:r>
            <w:r/>
          </w:p>
        </w:tc>
      </w:tr>
      <w:tr>
        <w:trPr>
          <w:trHeight w:val="1266"/>
        </w:trPr>
        <w:tc>
          <w:tcPr>
            <w:tcW w:w="652" w:type="dxa"/>
            <w:vAlign w:val="center"/>
            <w:textDirection w:val="lrTb"/>
            <w:noWrap w:val="false"/>
          </w:tcPr>
          <w:p>
            <w:pPr>
              <w:jc w:val="center"/>
              <w:rPr>
                <w:rFonts w:ascii="宋体" w:hAnsi="宋体" w:cs="宋体"/>
              </w:rPr>
            </w:pPr>
            <w:r>
              <w:rPr>
                <w:rFonts w:hint="eastAsia" w:ascii="宋体" w:hAnsi="宋体" w:cs="宋体"/>
              </w:rPr>
              <w:t xml:space="preserve">1</w:t>
            </w:r>
            <w:r/>
          </w:p>
        </w:tc>
        <w:tc>
          <w:tcPr>
            <w:tcW w:w="9287" w:type="dxa"/>
            <w:vAlign w:val="center"/>
            <w:textDirection w:val="lrTb"/>
            <w:noWrap w:val="false"/>
          </w:tcPr>
          <w:p>
            <w:pPr>
              <w:pStyle w:val="834"/>
              <w:spacing w:before="0" w:after="0"/>
              <w:rPr>
                <w:rFonts w:ascii="宋体" w:hAnsi="宋体" w:eastAsia="宋体" w:cs="宋体"/>
                <w:b w:val="0"/>
                <w:bCs w:val="0"/>
                <w:sz w:val="21"/>
                <w:szCs w:val="21"/>
              </w:rPr>
            </w:pPr>
            <w:r>
              <w:rPr>
                <w:rFonts w:hint="eastAsia" w:ascii="宋体" w:hAnsi="宋体" w:eastAsia="宋体" w:cs="宋体"/>
                <w:b w:val="0"/>
                <w:bCs w:val="0"/>
                <w:sz w:val="21"/>
                <w:szCs w:val="21"/>
              </w:rPr>
              <w:t xml:space="preserve">双目球型摄像机：内置三个及以上镜头，其中全景摄像机内置2个镜头，细节摄像机内置1个镜头，可以输出全景和细节两路视频图像；提供法定检测机构出具检测合格的报告的扫描件或提供投标人出具的承诺函</w:t>
            </w:r>
            <w:r/>
          </w:p>
        </w:tc>
      </w:tr>
      <w:tr>
        <w:trPr>
          <w:trHeight w:val="90"/>
        </w:trPr>
        <w:tc>
          <w:tcPr>
            <w:tcW w:w="652" w:type="dxa"/>
            <w:vAlign w:val="center"/>
            <w:textDirection w:val="lrTb"/>
            <w:noWrap w:val="false"/>
          </w:tcPr>
          <w:p>
            <w:pPr>
              <w:jc w:val="center"/>
              <w:rPr>
                <w:rFonts w:ascii="宋体" w:hAnsi="宋体" w:cs="宋体"/>
              </w:rPr>
            </w:pPr>
            <w:r>
              <w:rPr>
                <w:rFonts w:hint="eastAsia" w:ascii="宋体" w:hAnsi="宋体" w:cs="宋体"/>
              </w:rPr>
              <w:t xml:space="preserve">2</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双目球型摄像机：分辨率:全景≥3600×1600，细节≥2560×1440；提供法定检测机构出具检测合格的报告的扫描件或提供投标人出具的承诺函</w:t>
            </w:r>
            <w:r/>
          </w:p>
        </w:tc>
      </w:tr>
      <w:tr>
        <w:trPr>
          <w:trHeight w:val="885"/>
        </w:trPr>
        <w:tc>
          <w:tcPr>
            <w:tcW w:w="652" w:type="dxa"/>
            <w:vAlign w:val="center"/>
            <w:textDirection w:val="lrTb"/>
            <w:noWrap w:val="false"/>
          </w:tcPr>
          <w:p>
            <w:pPr>
              <w:ind w:firstLine="480"/>
              <w:spacing w:line="360" w:lineRule="auto"/>
              <w:rPr>
                <w:rFonts w:ascii="宋体" w:hAnsi="宋体" w:cs="宋体"/>
              </w:rPr>
            </w:pPr>
            <w:r>
              <w:rPr>
                <w:rFonts w:hint="eastAsia" w:ascii="宋体" w:hAnsi="宋体" w:cs="宋体"/>
              </w:rPr>
              <w:t xml:space="preserve">3</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人车卡口相机：图像分辨率: ≥4096×2160；提供法定检测机构出具检测合格的报告的扫描件或提供投标人出具的承诺函</w:t>
            </w:r>
            <w:r/>
          </w:p>
        </w:tc>
      </w:tr>
      <w:tr>
        <w:trPr>
          <w:trHeight w:val="395"/>
        </w:trPr>
        <w:tc>
          <w:tcPr>
            <w:tcW w:w="652" w:type="dxa"/>
            <w:vAlign w:val="center"/>
            <w:textDirection w:val="lrTb"/>
            <w:noWrap w:val="false"/>
          </w:tcPr>
          <w:p>
            <w:pPr>
              <w:jc w:val="center"/>
              <w:rPr>
                <w:rFonts w:ascii="宋体" w:hAnsi="宋体" w:cs="宋体"/>
              </w:rPr>
            </w:pPr>
            <w:r>
              <w:rPr>
                <w:rFonts w:hint="eastAsia" w:ascii="宋体" w:hAnsi="宋体" w:cs="宋体"/>
              </w:rPr>
              <w:t xml:space="preserve">4</w:t>
            </w:r>
            <w:r/>
          </w:p>
        </w:tc>
        <w:tc>
          <w:tcPr>
            <w:tcW w:w="9287" w:type="dxa"/>
            <w:vAlign w:val="center"/>
            <w:textDirection w:val="lrTb"/>
            <w:noWrap w:val="false"/>
          </w:tcPr>
          <w:p>
            <w:pPr>
              <w:rPr>
                <w:rFonts w:ascii="宋体" w:hAnsi="宋体" w:cs="宋体"/>
              </w:rPr>
            </w:pPr>
            <w:r>
              <w:rPr>
                <w:rFonts w:hint="eastAsia" w:ascii="宋体" w:hAnsi="宋体" w:cs="宋体"/>
              </w:rPr>
              <w:t xml:space="preserve">多目拼接高清摄像机：像素：不小于3200万，全景画面由8个传感器拼接而成，可实现360度的全景监控；提供法定检测机构出具检测合格的报告的扫描件或提供投标人出具的承诺函</w:t>
            </w:r>
            <w:r/>
          </w:p>
        </w:tc>
      </w:tr>
      <w:tr>
        <w:trPr>
          <w:trHeight w:val="885"/>
        </w:trPr>
        <w:tc>
          <w:tcPr>
            <w:tcW w:w="652" w:type="dxa"/>
            <w:vAlign w:val="center"/>
            <w:textDirection w:val="lrTb"/>
            <w:noWrap w:val="false"/>
          </w:tcPr>
          <w:p>
            <w:pPr>
              <w:jc w:val="center"/>
              <w:rPr>
                <w:rFonts w:ascii="宋体" w:hAnsi="宋体" w:cs="宋体"/>
              </w:rPr>
            </w:pPr>
            <w:r>
              <w:rPr>
                <w:rFonts w:hint="eastAsia" w:ascii="宋体" w:hAnsi="宋体" w:cs="宋体"/>
              </w:rPr>
              <w:t xml:space="preserve">5</w:t>
            </w:r>
            <w:r/>
          </w:p>
        </w:tc>
        <w:tc>
          <w:tcPr>
            <w:tcW w:w="9287" w:type="dxa"/>
            <w:vAlign w:val="center"/>
            <w:textDirection w:val="lrTb"/>
            <w:noWrap w:val="false"/>
          </w:tcPr>
          <w:p>
            <w:pPr>
              <w:rPr>
                <w:rFonts w:ascii="宋体" w:hAnsi="宋体" w:cs="宋体"/>
              </w:rPr>
            </w:pPr>
            <w:r>
              <w:rPr>
                <w:rFonts w:hint="eastAsia" w:ascii="宋体" w:hAnsi="宋体" w:cs="宋体"/>
              </w:rPr>
              <w:t xml:space="preserve">多目拼接高清摄像机：全景摄像机传感器 CMOS；提供法定检测机构出具检测合格的报告的扫描件或提供投标人出具的承诺函</w:t>
            </w:r>
            <w:r/>
          </w:p>
        </w:tc>
      </w:tr>
      <w:tr>
        <w:trPr>
          <w:trHeight w:val="885"/>
        </w:trPr>
        <w:tc>
          <w:tcPr>
            <w:tcW w:w="652" w:type="dxa"/>
            <w:vAlign w:val="center"/>
            <w:textDirection w:val="lrTb"/>
            <w:noWrap w:val="false"/>
          </w:tcPr>
          <w:p>
            <w:pPr>
              <w:jc w:val="center"/>
              <w:rPr>
                <w:rFonts w:ascii="宋体" w:hAnsi="宋体" w:cs="宋体"/>
              </w:rPr>
            </w:pPr>
            <w:r>
              <w:rPr>
                <w:rFonts w:hint="eastAsia" w:ascii="宋体" w:hAnsi="宋体" w:cs="宋体"/>
              </w:rPr>
              <w:t xml:space="preserve">6</w:t>
            </w:r>
            <w:r/>
          </w:p>
        </w:tc>
        <w:tc>
          <w:tcPr>
            <w:tcW w:w="9287" w:type="dxa"/>
            <w:vAlign w:val="center"/>
            <w:textDirection w:val="lrTb"/>
            <w:noWrap w:val="false"/>
          </w:tcPr>
          <w:p>
            <w:pPr>
              <w:rPr>
                <w:rFonts w:ascii="宋体" w:hAnsi="宋体" w:cs="宋体"/>
              </w:rPr>
            </w:pPr>
            <w:r>
              <w:rPr>
                <w:rFonts w:hint="eastAsia" w:ascii="宋体" w:hAnsi="宋体" w:cs="宋体"/>
              </w:rPr>
              <w:t xml:space="preserve">多目拼接高清摄像机：主视频满足≥45倍光学变倍，镜头焦距≥248mm；提供法定检测机构出具检测合格的报告的扫描件或提供投标人出具的承诺函</w:t>
            </w:r>
            <w:r/>
          </w:p>
        </w:tc>
      </w:tr>
      <w:tr>
        <w:trPr>
          <w:trHeight w:val="885"/>
        </w:trPr>
        <w:tc>
          <w:tcPr>
            <w:tcW w:w="652" w:type="dxa"/>
            <w:vAlign w:val="center"/>
            <w:textDirection w:val="lrTb"/>
            <w:noWrap w:val="false"/>
          </w:tcPr>
          <w:p>
            <w:pPr>
              <w:jc w:val="center"/>
              <w:rPr>
                <w:rFonts w:ascii="宋体" w:hAnsi="宋体" w:cs="宋体"/>
              </w:rPr>
            </w:pPr>
            <w:r>
              <w:rPr>
                <w:rFonts w:hint="eastAsia" w:ascii="宋体" w:hAnsi="宋体" w:cs="宋体"/>
              </w:rPr>
              <w:t xml:space="preserve">7</w:t>
            </w:r>
            <w:r/>
          </w:p>
        </w:tc>
        <w:tc>
          <w:tcPr>
            <w:tcW w:w="9287" w:type="dxa"/>
            <w:vAlign w:val="center"/>
            <w:textDirection w:val="lrTb"/>
            <w:noWrap w:val="false"/>
          </w:tcPr>
          <w:p>
            <w:pPr>
              <w:rPr>
                <w:rFonts w:ascii="宋体" w:hAnsi="宋体" w:cs="宋体"/>
              </w:rPr>
            </w:pPr>
            <w:r>
              <w:rPr>
                <w:rFonts w:hint="eastAsia" w:ascii="宋体" w:hAnsi="宋体" w:cs="宋体"/>
              </w:rPr>
              <w:t xml:space="preserve">多目拼接高清摄像机：最低照度彩色≤0.0002lx（F1.2）；黑白≤0.0001lx（F1.2）；提供法定检测机构出具检测合格的报告的扫描件或提供投标人出具的承诺函</w:t>
            </w:r>
            <w:r/>
          </w:p>
        </w:tc>
      </w:tr>
      <w:tr>
        <w:trPr>
          <w:trHeight w:val="885"/>
        </w:trPr>
        <w:tc>
          <w:tcPr>
            <w:tcW w:w="652" w:type="dxa"/>
            <w:vAlign w:val="center"/>
            <w:textDirection w:val="lrTb"/>
            <w:noWrap w:val="false"/>
          </w:tcPr>
          <w:p>
            <w:pPr>
              <w:jc w:val="center"/>
              <w:rPr>
                <w:rFonts w:ascii="宋体" w:hAnsi="宋体" w:cs="宋体"/>
              </w:rPr>
            </w:pPr>
            <w:r>
              <w:rPr>
                <w:rFonts w:hint="eastAsia" w:ascii="宋体" w:hAnsi="宋体" w:cs="宋体"/>
              </w:rPr>
              <w:t xml:space="preserve">8</w:t>
            </w:r>
            <w:r/>
          </w:p>
        </w:tc>
        <w:tc>
          <w:tcPr>
            <w:tcW w:w="9287" w:type="dxa"/>
            <w:vAlign w:val="center"/>
            <w:textDirection w:val="lrTb"/>
            <w:noWrap w:val="false"/>
          </w:tcPr>
          <w:p>
            <w:pPr>
              <w:rPr>
                <w:rFonts w:ascii="宋体" w:hAnsi="宋体" w:cs="宋体"/>
              </w:rPr>
            </w:pPr>
            <w:r>
              <w:rPr>
                <w:rFonts w:hint="eastAsia" w:ascii="宋体" w:hAnsi="宋体" w:cs="宋体"/>
              </w:rPr>
              <w:t xml:space="preserve">多目拼接高清摄像机：球机补光≥500米；提供法定检测机构出具检测合格的报告的扫描件或提供投标人出具的承诺函</w:t>
            </w:r>
            <w:r/>
          </w:p>
        </w:tc>
      </w:tr>
      <w:tr>
        <w:trPr>
          <w:trHeight w:val="885"/>
        </w:trPr>
        <w:tc>
          <w:tcPr>
            <w:tcW w:w="652" w:type="dxa"/>
            <w:vAlign w:val="center"/>
            <w:textDirection w:val="lrTb"/>
            <w:noWrap w:val="false"/>
          </w:tcPr>
          <w:p>
            <w:pPr>
              <w:jc w:val="center"/>
              <w:rPr>
                <w:rFonts w:ascii="宋体" w:hAnsi="宋体" w:cs="宋体"/>
              </w:rPr>
            </w:pPr>
            <w:r>
              <w:rPr>
                <w:rFonts w:hint="eastAsia" w:ascii="宋体" w:hAnsi="宋体" w:cs="宋体"/>
              </w:rPr>
              <w:t xml:space="preserve">9</w:t>
            </w:r>
            <w:r/>
          </w:p>
        </w:tc>
        <w:tc>
          <w:tcPr>
            <w:tcW w:w="9287" w:type="dxa"/>
            <w:vAlign w:val="center"/>
            <w:textDirection w:val="lrTb"/>
            <w:noWrap w:val="false"/>
          </w:tcPr>
          <w:p>
            <w:pPr>
              <w:rPr>
                <w:rFonts w:ascii="宋体" w:hAnsi="宋体" w:cs="宋体"/>
              </w:rPr>
            </w:pPr>
            <w:r>
              <w:rPr>
                <w:rFonts w:hint="eastAsia" w:ascii="宋体" w:hAnsi="宋体" w:cs="宋体"/>
              </w:rPr>
              <w:t xml:space="preserve">双目结构化摄像机：像素: 通道1（全景）≥400万，通道,2（细节）≥800万；提供法定检测机构出具检测合格的报告的扫描件或提供投标人出具的承诺函</w:t>
            </w:r>
            <w:r/>
          </w:p>
        </w:tc>
      </w:tr>
      <w:tr>
        <w:trPr>
          <w:trHeight w:val="706"/>
        </w:trPr>
        <w:tc>
          <w:tcPr>
            <w:tcW w:w="652" w:type="dxa"/>
            <w:vAlign w:val="center"/>
            <w:textDirection w:val="lrTb"/>
            <w:noWrap w:val="false"/>
          </w:tcPr>
          <w:p>
            <w:pPr>
              <w:jc w:val="center"/>
              <w:rPr>
                <w:rFonts w:ascii="宋体" w:hAnsi="宋体" w:cs="宋体"/>
              </w:rPr>
            </w:pPr>
            <w:r>
              <w:rPr>
                <w:rFonts w:hint="eastAsia" w:ascii="宋体" w:hAnsi="宋体" w:cs="宋体"/>
              </w:rPr>
              <w:t xml:space="preserve">10</w:t>
            </w:r>
            <w:r/>
          </w:p>
        </w:tc>
        <w:tc>
          <w:tcPr>
            <w:tcW w:w="9287" w:type="dxa"/>
            <w:vAlign w:val="center"/>
            <w:textDirection w:val="lrTb"/>
            <w:noWrap w:val="false"/>
          </w:tcPr>
          <w:p>
            <w:pPr>
              <w:rPr>
                <w:rFonts w:ascii="宋体" w:hAnsi="宋体" w:cs="宋体"/>
              </w:rPr>
            </w:pPr>
            <w:r>
              <w:rPr>
                <w:rFonts w:hint="eastAsia" w:ascii="宋体" w:hAnsi="宋体" w:cs="宋体"/>
              </w:rPr>
              <w:t xml:space="preserve">双目结构化摄像机：照度：</w:t>
            </w:r>
            <w:r>
              <w:rPr>
                <w:rFonts w:hint="eastAsia" w:ascii="宋体" w:hAnsi="宋体"/>
                <w:color w:val="000000"/>
              </w:rPr>
              <w:t xml:space="preserve">彩色模式≤0.002Lux（F1.2）、黑白模式≤0.000</w:t>
            </w:r>
            <w:r>
              <w:rPr>
                <w:rFonts w:ascii="宋体" w:hAnsi="宋体"/>
                <w:color w:val="000000"/>
              </w:rPr>
              <w:t xml:space="preserve">2</w:t>
            </w:r>
            <w:r>
              <w:rPr>
                <w:rFonts w:hint="eastAsia" w:ascii="宋体" w:hAnsi="宋体"/>
                <w:color w:val="000000"/>
              </w:rPr>
              <w:t xml:space="preserve">Lux（F1.2）</w:t>
            </w:r>
            <w:r>
              <w:rPr>
                <w:rFonts w:hint="eastAsia" w:ascii="宋体" w:hAnsi="宋体" w:cs="宋体"/>
              </w:rPr>
              <w:t xml:space="preserve">；提供法定检测机构出具检测合格的报告的扫描件或提供投标人出具的承诺函</w:t>
            </w:r>
            <w:r/>
          </w:p>
        </w:tc>
      </w:tr>
      <w:tr>
        <w:trPr>
          <w:trHeight w:val="885"/>
        </w:trPr>
        <w:tc>
          <w:tcPr>
            <w:tcW w:w="652" w:type="dxa"/>
            <w:vAlign w:val="center"/>
            <w:textDirection w:val="lrTb"/>
            <w:noWrap w:val="false"/>
          </w:tcPr>
          <w:p>
            <w:pPr>
              <w:jc w:val="center"/>
              <w:rPr>
                <w:rFonts w:ascii="宋体" w:hAnsi="宋体" w:cs="宋体"/>
              </w:rPr>
            </w:pPr>
            <w:r>
              <w:rPr>
                <w:rFonts w:hint="eastAsia" w:ascii="宋体" w:hAnsi="宋体" w:cs="宋体"/>
              </w:rPr>
              <w:t xml:space="preserve">11</w:t>
            </w:r>
            <w:r/>
          </w:p>
        </w:tc>
        <w:tc>
          <w:tcPr>
            <w:tcW w:w="9287" w:type="dxa"/>
            <w:vAlign w:val="center"/>
            <w:textDirection w:val="lrTb"/>
            <w:noWrap w:val="false"/>
          </w:tcPr>
          <w:p>
            <w:pPr>
              <w:rPr>
                <w:rFonts w:ascii="宋体" w:hAnsi="宋体" w:cs="宋体"/>
              </w:rPr>
            </w:pPr>
            <w:r>
              <w:rPr>
                <w:rFonts w:hint="eastAsia" w:ascii="宋体" w:hAnsi="宋体" w:cs="宋体"/>
              </w:rPr>
              <w:t xml:space="preserve">双目结构化摄像机：内置GPU芯片，整机峰值算力≥4TOPS（INT8精度）；提供法定检测机构出具检测合格的报告的扫描件或提供投标人出具的承诺函</w:t>
            </w:r>
            <w:r/>
          </w:p>
        </w:tc>
      </w:tr>
      <w:tr>
        <w:trPr>
          <w:trHeight w:val="885"/>
        </w:trPr>
        <w:tc>
          <w:tcPr>
            <w:tcW w:w="652" w:type="dxa"/>
            <w:vAlign w:val="center"/>
            <w:textDirection w:val="lrTb"/>
            <w:noWrap w:val="false"/>
          </w:tcPr>
          <w:p>
            <w:pPr>
              <w:jc w:val="center"/>
              <w:rPr>
                <w:rFonts w:ascii="宋体" w:hAnsi="宋体" w:cs="宋体"/>
              </w:rPr>
            </w:pPr>
            <w:r>
              <w:rPr>
                <w:rFonts w:hint="eastAsia" w:ascii="宋体" w:hAnsi="宋体" w:cs="宋体"/>
              </w:rPr>
              <w:t xml:space="preserve">12</w:t>
            </w:r>
            <w:r/>
          </w:p>
        </w:tc>
        <w:tc>
          <w:tcPr>
            <w:tcW w:w="9287" w:type="dxa"/>
            <w:vAlign w:val="center"/>
            <w:textDirection w:val="lrTb"/>
            <w:noWrap w:val="false"/>
          </w:tcPr>
          <w:p>
            <w:pPr>
              <w:rPr>
                <w:rFonts w:ascii="宋体" w:hAnsi="宋体" w:cs="宋体"/>
              </w:rPr>
            </w:pPr>
            <w:r>
              <w:rPr>
                <w:rFonts w:hint="eastAsia" w:ascii="宋体" w:hAnsi="宋体" w:cs="宋体"/>
              </w:rPr>
              <w:t xml:space="preserve">防雷、防水型工业级以太网光交换机（1光4电 10/100M）：工作温度：-40～85℃ ；提供法定检测机构出具检测合格的报告的扫描件或提供投标人出具的承诺函</w:t>
            </w:r>
            <w:r/>
          </w:p>
        </w:tc>
      </w:tr>
      <w:tr>
        <w:trPr>
          <w:trHeight w:val="885"/>
        </w:trPr>
        <w:tc>
          <w:tcPr>
            <w:tcW w:w="652" w:type="dxa"/>
            <w:vAlign w:val="center"/>
            <w:textDirection w:val="lrTb"/>
            <w:noWrap w:val="false"/>
          </w:tcPr>
          <w:p>
            <w:pPr>
              <w:jc w:val="center"/>
              <w:rPr>
                <w:rFonts w:ascii="宋体" w:hAnsi="宋体" w:cs="宋体"/>
              </w:rPr>
            </w:pPr>
            <w:r>
              <w:rPr>
                <w:rFonts w:hint="eastAsia" w:ascii="宋体" w:hAnsi="宋体" w:cs="宋体"/>
              </w:rPr>
              <w:t xml:space="preserve">13</w:t>
            </w:r>
            <w:r/>
          </w:p>
        </w:tc>
        <w:tc>
          <w:tcPr>
            <w:tcW w:w="9287" w:type="dxa"/>
            <w:vAlign w:val="center"/>
            <w:textDirection w:val="lrTb"/>
            <w:noWrap w:val="false"/>
          </w:tcPr>
          <w:p>
            <w:pPr>
              <w:rPr>
                <w:rFonts w:ascii="宋体" w:hAnsi="宋体" w:cs="宋体"/>
              </w:rPr>
            </w:pPr>
            <w:r>
              <w:rPr>
                <w:rFonts w:hint="eastAsia" w:ascii="宋体" w:hAnsi="宋体" w:cs="宋体"/>
              </w:rPr>
              <w:t xml:space="preserve">防雷、防水型工业级以太网光交换机（1光4电 10/100M）：供电：AC24V±30% ；提供法定检测机构出具检测合格的报告的扫描件或提供投标人出具的承诺函</w:t>
            </w:r>
            <w:r/>
          </w:p>
        </w:tc>
      </w:tr>
      <w:tr>
        <w:trPr>
          <w:trHeight w:val="885"/>
        </w:trPr>
        <w:tc>
          <w:tcPr>
            <w:tcW w:w="652" w:type="dxa"/>
            <w:vAlign w:val="center"/>
            <w:textDirection w:val="lrTb"/>
            <w:noWrap w:val="false"/>
          </w:tcPr>
          <w:p>
            <w:pPr>
              <w:jc w:val="center"/>
              <w:rPr>
                <w:rFonts w:ascii="宋体" w:hAnsi="宋体" w:cs="宋体"/>
              </w:rPr>
            </w:pPr>
            <w:r>
              <w:rPr>
                <w:rFonts w:hint="eastAsia" w:ascii="宋体" w:hAnsi="宋体" w:cs="宋体"/>
              </w:rPr>
              <w:t xml:space="preserve">14</w:t>
            </w:r>
            <w:r/>
          </w:p>
        </w:tc>
        <w:tc>
          <w:tcPr>
            <w:tcW w:w="9287" w:type="dxa"/>
            <w:vAlign w:val="center"/>
            <w:textDirection w:val="lrTb"/>
            <w:noWrap w:val="false"/>
          </w:tcPr>
          <w:p>
            <w:pPr>
              <w:rPr>
                <w:rFonts w:ascii="宋体" w:hAnsi="宋体" w:cs="宋体"/>
              </w:rPr>
            </w:pPr>
            <w:r>
              <w:rPr>
                <w:rFonts w:hint="eastAsia" w:ascii="宋体" w:hAnsi="宋体" w:cs="宋体"/>
              </w:rPr>
              <w:t xml:space="preserve">防雷、防水型工业级以太网光交换机（1光4电 10/100M）：防水防尘等级：</w:t>
            </w:r>
            <w:r>
              <w:rPr>
                <w:rFonts w:hint="eastAsia" w:ascii="宋体" w:hAnsi="宋体"/>
                <w:color w:val="000000"/>
                <w:sz w:val="24"/>
              </w:rPr>
              <w:t xml:space="preserve">≥</w:t>
            </w:r>
            <w:r>
              <w:rPr>
                <w:rFonts w:hint="eastAsia" w:ascii="宋体" w:hAnsi="宋体" w:cs="宋体"/>
              </w:rPr>
              <w:t xml:space="preserve">IP66；提供法定检测机构出具检测合格的报告的扫描件或提供投标人出具的承诺函</w:t>
            </w:r>
            <w:r/>
          </w:p>
        </w:tc>
      </w:tr>
      <w:tr>
        <w:trPr>
          <w:trHeight w:val="395"/>
        </w:trPr>
        <w:tc>
          <w:tcPr>
            <w:tcW w:w="652" w:type="dxa"/>
            <w:vAlign w:val="center"/>
            <w:textDirection w:val="lrTb"/>
            <w:noWrap w:val="false"/>
          </w:tcPr>
          <w:p>
            <w:pPr>
              <w:jc w:val="center"/>
              <w:rPr>
                <w:rFonts w:ascii="宋体" w:hAnsi="宋体" w:cs="宋体"/>
              </w:rPr>
            </w:pPr>
            <w:r>
              <w:rPr>
                <w:rFonts w:hint="eastAsia" w:ascii="宋体" w:hAnsi="宋体" w:cs="宋体"/>
              </w:rPr>
              <w:t xml:space="preserve">15</w:t>
            </w:r>
            <w:r/>
          </w:p>
        </w:tc>
        <w:tc>
          <w:tcPr>
            <w:tcW w:w="9287" w:type="dxa"/>
            <w:vAlign w:val="center"/>
            <w:textDirection w:val="lrTb"/>
            <w:noWrap w:val="false"/>
          </w:tcPr>
          <w:p>
            <w:pPr>
              <w:rPr>
                <w:rFonts w:ascii="宋体" w:hAnsi="宋体" w:cs="宋体"/>
              </w:rPr>
            </w:pPr>
            <w:r>
              <w:rPr>
                <w:rFonts w:hint="eastAsia" w:ascii="宋体" w:hAnsi="宋体" w:cs="宋体"/>
              </w:rPr>
              <w:t xml:space="preserve">高集成化汇聚交换机（工业级）（96/4口）：工作温度：-40～85℃；提供法定检测机构出具检测合格的报告的扫描件或提供投标人出具的承诺函</w:t>
            </w:r>
            <w:r/>
          </w:p>
        </w:tc>
      </w:tr>
      <w:tr>
        <w:trPr>
          <w:trHeight w:val="885"/>
        </w:trPr>
        <w:tc>
          <w:tcPr>
            <w:tcW w:w="652" w:type="dxa"/>
            <w:vAlign w:val="center"/>
            <w:textDirection w:val="lrTb"/>
            <w:noWrap w:val="false"/>
          </w:tcPr>
          <w:p>
            <w:pPr>
              <w:jc w:val="center"/>
              <w:rPr>
                <w:rFonts w:ascii="宋体" w:hAnsi="宋体" w:cs="宋体"/>
              </w:rPr>
            </w:pPr>
            <w:r>
              <w:rPr>
                <w:rFonts w:hint="eastAsia" w:ascii="宋体" w:hAnsi="宋体" w:cs="宋体"/>
              </w:rPr>
              <w:t xml:space="preserve">16</w:t>
            </w:r>
            <w:r/>
          </w:p>
        </w:tc>
        <w:tc>
          <w:tcPr>
            <w:tcW w:w="9287" w:type="dxa"/>
            <w:vAlign w:val="center"/>
            <w:textDirection w:val="lrTb"/>
            <w:noWrap w:val="false"/>
          </w:tcPr>
          <w:p>
            <w:pPr>
              <w:pStyle w:val="1155"/>
              <w:ind w:firstLine="480"/>
              <w:spacing w:line="360" w:lineRule="auto"/>
              <w:rPr>
                <w:rFonts w:ascii="宋体" w:hAnsi="宋体" w:cs="宋体"/>
              </w:rPr>
            </w:pPr>
            <w:r>
              <w:rPr>
                <w:rFonts w:hint="eastAsia" w:ascii="宋体" w:hAnsi="宋体" w:cs="宋体"/>
              </w:rPr>
              <w:t xml:space="preserve">高集成化汇聚交换机（工业级）（96/4口）：</w:t>
            </w:r>
            <w:r>
              <w:rPr>
                <w:rFonts w:hint="eastAsia" w:ascii="宋体" w:hAnsi="宋体"/>
                <w:color w:val="000000"/>
                <w:sz w:val="24"/>
                <w:szCs w:val="24"/>
              </w:rPr>
              <w:t xml:space="preserve">内置浪涌和静电保护，满足GB/T17626-5的3级及以上防雷标准</w:t>
            </w:r>
            <w:r>
              <w:rPr>
                <w:rFonts w:hint="eastAsia" w:ascii="宋体" w:hAnsi="宋体" w:cs="宋体"/>
              </w:rPr>
              <w:t xml:space="preserve">；提供法定检测机构出具检测合格的报告的扫描件或提供投标人出具的承诺函</w:t>
            </w:r>
            <w:r/>
          </w:p>
        </w:tc>
      </w:tr>
      <w:tr>
        <w:trPr>
          <w:trHeight w:val="885"/>
        </w:trPr>
        <w:tc>
          <w:tcPr>
            <w:tcW w:w="652" w:type="dxa"/>
            <w:vAlign w:val="center"/>
            <w:textDirection w:val="lrTb"/>
            <w:noWrap w:val="false"/>
          </w:tcPr>
          <w:p>
            <w:pPr>
              <w:jc w:val="center"/>
              <w:rPr>
                <w:rFonts w:ascii="宋体" w:hAnsi="宋体" w:cs="宋体"/>
              </w:rPr>
            </w:pPr>
            <w:r>
              <w:rPr>
                <w:rFonts w:hint="eastAsia" w:ascii="宋体" w:hAnsi="宋体" w:cs="宋体"/>
              </w:rPr>
              <w:t xml:space="preserve">17</w:t>
            </w:r>
            <w:r/>
          </w:p>
        </w:tc>
        <w:tc>
          <w:tcPr>
            <w:tcW w:w="9287" w:type="dxa"/>
            <w:vAlign w:val="center"/>
            <w:textDirection w:val="lrTb"/>
            <w:noWrap w:val="false"/>
          </w:tcPr>
          <w:p>
            <w:pPr>
              <w:rPr>
                <w:rFonts w:ascii="宋体" w:hAnsi="宋体" w:cs="宋体"/>
              </w:rPr>
            </w:pPr>
            <w:r>
              <w:rPr>
                <w:rFonts w:hint="eastAsia" w:ascii="宋体" w:hAnsi="宋体" w:cs="宋体"/>
              </w:rPr>
              <w:t xml:space="preserve">高集成化汇聚交换机（工业级）（48/4口）：工作温度：-40～85℃；提供法定检测机构出具检测合格的报告的扫描件或提供投标人出具的承诺函</w:t>
            </w:r>
            <w:r/>
          </w:p>
        </w:tc>
      </w:tr>
      <w:tr>
        <w:trPr>
          <w:trHeight w:val="395"/>
        </w:trPr>
        <w:tc>
          <w:tcPr>
            <w:tcW w:w="652" w:type="dxa"/>
            <w:vAlign w:val="center"/>
            <w:textDirection w:val="lrTb"/>
            <w:noWrap w:val="false"/>
          </w:tcPr>
          <w:p>
            <w:pPr>
              <w:jc w:val="center"/>
              <w:rPr>
                <w:rFonts w:ascii="宋体" w:hAnsi="宋体" w:cs="宋体"/>
              </w:rPr>
            </w:pPr>
            <w:r>
              <w:rPr>
                <w:rFonts w:hint="eastAsia" w:ascii="宋体" w:hAnsi="宋体" w:cs="宋体"/>
              </w:rPr>
              <w:t xml:space="preserve">18</w:t>
            </w:r>
            <w:r/>
          </w:p>
        </w:tc>
        <w:tc>
          <w:tcPr>
            <w:tcW w:w="9287" w:type="dxa"/>
            <w:vAlign w:val="center"/>
            <w:textDirection w:val="lrTb"/>
            <w:noWrap w:val="false"/>
          </w:tcPr>
          <w:p>
            <w:pPr>
              <w:pStyle w:val="1155"/>
              <w:ind w:firstLine="0"/>
              <w:spacing w:line="360" w:lineRule="auto"/>
              <w:rPr>
                <w:rFonts w:ascii="宋体" w:hAnsi="宋体" w:cs="宋体"/>
              </w:rPr>
            </w:pPr>
            <w:r>
              <w:rPr>
                <w:rFonts w:hint="eastAsia" w:ascii="宋体" w:hAnsi="宋体" w:cs="宋体"/>
                <w:szCs w:val="21"/>
                <w:lang w:val="en-US"/>
              </w:rPr>
              <w:t xml:space="preserve">高集成化汇聚交换机（工业级）（48/4口）：内置浪涌和静电保护，满足GB/T17626-5的3级及以上防雷标准；提供法定检测机构出具检测合格的报告的扫描件或提供投标人出具的承诺函</w:t>
            </w:r>
            <w:r/>
          </w:p>
        </w:tc>
      </w:tr>
      <w:tr>
        <w:trPr>
          <w:trHeight w:val="395"/>
        </w:trPr>
        <w:tc>
          <w:tcPr>
            <w:tcW w:w="652" w:type="dxa"/>
            <w:vAlign w:val="center"/>
            <w:textDirection w:val="lrTb"/>
            <w:noWrap w:val="false"/>
          </w:tcPr>
          <w:p>
            <w:pPr>
              <w:jc w:val="center"/>
              <w:rPr>
                <w:rFonts w:ascii="宋体" w:hAnsi="宋体" w:cs="宋体"/>
              </w:rPr>
            </w:pPr>
            <w:r>
              <w:rPr>
                <w:rFonts w:ascii="宋体" w:hAnsi="宋体" w:cs="宋体"/>
              </w:rPr>
              <w:t xml:space="preserve">19</w:t>
            </w:r>
            <w:r/>
          </w:p>
        </w:tc>
        <w:tc>
          <w:tcPr>
            <w:tcW w:w="9287" w:type="dxa"/>
            <w:vAlign w:val="center"/>
            <w:textDirection w:val="lrTb"/>
            <w:noWrap w:val="false"/>
          </w:tcPr>
          <w:p>
            <w:pPr>
              <w:rPr>
                <w:rFonts w:ascii="宋体" w:hAnsi="宋体" w:cs="宋体"/>
              </w:rPr>
            </w:pPr>
            <w:r>
              <w:rPr>
                <w:rFonts w:hint="eastAsia" w:ascii="宋体" w:hAnsi="宋体" w:cs="宋体"/>
              </w:rPr>
              <w:t xml:space="preserve">动态人像图片布控告警授权:人脸授权接入南通市公安局南通经济技术开发区分局现有人像智能感知平台，实现图片解析，将解析后的数据上传到南通市局公安网人像档案平台，实现特征级联、无缝对接、人脸比对、布控、告警等要求。投标时提供承诺函</w:t>
            </w:r>
            <w:r/>
          </w:p>
        </w:tc>
      </w:tr>
      <w:tr>
        <w:trPr>
          <w:trHeight w:val="567"/>
        </w:trPr>
        <w:tc>
          <w:tcPr>
            <w:tcW w:w="652" w:type="dxa"/>
            <w:vAlign w:val="center"/>
            <w:textDirection w:val="lrTb"/>
            <w:noWrap w:val="false"/>
          </w:tcPr>
          <w:p>
            <w:pPr>
              <w:jc w:val="center"/>
              <w:spacing w:line="360" w:lineRule="auto"/>
              <w:rPr>
                <w:rFonts w:ascii="宋体" w:hAnsi="宋体" w:cs="宋体"/>
              </w:rPr>
            </w:pPr>
            <w:r>
              <w:rPr>
                <w:rFonts w:ascii="宋体" w:hAnsi="宋体" w:cs="宋体"/>
              </w:rPr>
              <w:t xml:space="preserve">20</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视图存储:兼容性：视频图片存储能够统与南通市公安局南通经济技术开发区分局现网视频存储平台形成统一存储资源池，统一管理,并能够被现网视频云平台纳管，投标时提供兼容性承诺函。</w:t>
            </w:r>
            <w:r/>
          </w:p>
        </w:tc>
      </w:tr>
    </w:tbl>
    <w:p>
      <w:pPr>
        <w:ind w:firstLine="480"/>
        <w:spacing w:line="360" w:lineRule="auto"/>
        <w:rPr>
          <w:rFonts w:ascii="宋体" w:hAnsi="宋体" w:cs="仿宋"/>
          <w:bCs/>
          <w:sz w:val="24"/>
          <w:szCs w:val="24"/>
        </w:rPr>
      </w:pPr>
      <w:r>
        <w:rPr>
          <w:rFonts w:ascii="宋体" w:hAnsi="宋体" w:cs="仿宋"/>
          <w:bCs/>
          <w:sz w:val="24"/>
          <w:szCs w:val="24"/>
        </w:rPr>
      </w:r>
      <w:r/>
    </w:p>
    <w:p>
      <w:pPr>
        <w:ind w:firstLine="480"/>
        <w:spacing w:line="360" w:lineRule="auto"/>
        <w:rPr>
          <w:rFonts w:ascii="宋体" w:hAnsi="宋体" w:cs="仿宋"/>
          <w:bCs/>
          <w:sz w:val="24"/>
          <w:szCs w:val="24"/>
        </w:rPr>
      </w:pPr>
      <w:r>
        <w:rPr>
          <w:rFonts w:hint="eastAsia" w:ascii="宋体" w:hAnsi="宋体" w:cs="仿宋"/>
          <w:sz w:val="24"/>
          <w:szCs w:val="24"/>
        </w:rPr>
        <w:t xml:space="preserve">（2）其他证明材料或承诺函表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2"/>
        <w:gridCol w:w="9287"/>
      </w:tblGrid>
      <w:tr>
        <w:trPr>
          <w:trHeight w:val="567"/>
        </w:trPr>
        <w:tc>
          <w:tcPr>
            <w:tcW w:w="652" w:type="dxa"/>
            <w:vAlign w:val="center"/>
            <w:textDirection w:val="lrTb"/>
            <w:noWrap w:val="false"/>
          </w:tcPr>
          <w:p>
            <w:pPr>
              <w:jc w:val="center"/>
            </w:pPr>
            <w:r>
              <w:t xml:space="preserve">序号</w:t>
            </w:r>
            <w:r/>
          </w:p>
        </w:tc>
        <w:tc>
          <w:tcPr>
            <w:tcW w:w="9287" w:type="dxa"/>
            <w:vAlign w:val="center"/>
            <w:textDirection w:val="lrTb"/>
            <w:noWrap w:val="false"/>
          </w:tcPr>
          <w:p>
            <w:pPr>
              <w:jc w:val="center"/>
              <w:spacing w:line="360" w:lineRule="auto"/>
            </w:pPr>
            <w:r>
              <w:rPr>
                <w:rFonts w:hint="eastAsia" w:ascii="宋体" w:hAnsi="宋体" w:cs="宋体"/>
              </w:rPr>
              <w:t xml:space="preserve">其他证明材料或承诺函</w:t>
            </w:r>
            <w:r/>
          </w:p>
        </w:tc>
      </w:tr>
      <w:tr>
        <w:trPr>
          <w:trHeight w:val="567"/>
        </w:trPr>
        <w:tc>
          <w:tcPr>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防雷、防水型工业级以太网光交换机（1光4电 10/100M）：提供工信部入网证书；</w:t>
            </w:r>
            <w:r/>
          </w:p>
        </w:tc>
      </w:tr>
      <w:tr>
        <w:trPr>
          <w:trHeight w:val="567"/>
        </w:trPr>
        <w:tc>
          <w:tcPr>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高集成化汇聚交换机（工业级）（96/4口）：提供工信部入网证书；</w:t>
            </w:r>
            <w:r/>
          </w:p>
        </w:tc>
      </w:tr>
      <w:tr>
        <w:trPr>
          <w:trHeight w:val="567"/>
        </w:trPr>
        <w:tc>
          <w:tcPr>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高集成化汇聚交换机（工业级）（48/4口）：提供工信部入网证书；</w:t>
            </w:r>
            <w:r/>
          </w:p>
        </w:tc>
      </w:tr>
      <w:tr>
        <w:trPr>
          <w:trHeight w:val="567"/>
        </w:trPr>
        <w:tc>
          <w:tcPr>
            <w:tcW w:w="652" w:type="dxa"/>
            <w:vAlign w:val="center"/>
            <w:textDirection w:val="lrTb"/>
            <w:noWrap w:val="false"/>
          </w:tcPr>
          <w:p>
            <w:pPr>
              <w:jc w:val="center"/>
              <w:spacing w:line="360" w:lineRule="auto"/>
              <w:rPr>
                <w:rFonts w:ascii="宋体" w:hAnsi="宋体" w:cs="宋体"/>
              </w:rPr>
            </w:pPr>
            <w:r>
              <w:rPr>
                <w:rFonts w:ascii="宋体" w:hAnsi="宋体" w:cs="宋体"/>
              </w:rPr>
              <w:t xml:space="preserve">4</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视图存储：非OEM产品，拥有自主知识产权。提供国家版权局颁发的《计算机软件著作权登记证书》扫描件</w:t>
            </w:r>
            <w:r/>
          </w:p>
        </w:tc>
      </w:tr>
      <w:tr>
        <w:trPr>
          <w:trHeight w:val="567"/>
        </w:trPr>
        <w:tc>
          <w:tcPr>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视图存储：全对称分布式架构，无独立元数据节点，性能、容量随节点数增加而线性增加。提供证明材料扫描件</w:t>
            </w:r>
            <w:r/>
          </w:p>
        </w:tc>
      </w:tr>
      <w:tr>
        <w:trPr>
          <w:trHeight w:val="567"/>
        </w:trPr>
        <w:tc>
          <w:tcPr>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视图存储：支持多个小文件（＜1M）写入后聚合成一个文件。提供具有CNAS检验合格报告扫描件</w:t>
            </w:r>
            <w:r/>
          </w:p>
        </w:tc>
      </w:tr>
      <w:tr>
        <w:trPr>
          <w:trHeight w:val="567"/>
        </w:trPr>
        <w:tc>
          <w:tcPr>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视图存储：前端网络类型可支持1GE/10GE/25GE/40GE/100Gbps Infiniband ，后端网络类型可支持10GE/25GE/100GbpsInfiniband。提供证明材料扫描件</w:t>
            </w:r>
            <w:r/>
          </w:p>
        </w:tc>
      </w:tr>
      <w:tr>
        <w:trPr>
          <w:trHeight w:val="567"/>
        </w:trPr>
        <w:tc>
          <w:tcPr>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视图存储：为满足后续向IPV6网络平滑演进，管理网络及前端网络均应支持IPV6，支持单节点同时IPV4+IPV6。投标时提供证明材料扫描件</w:t>
            </w:r>
            <w:r/>
          </w:p>
        </w:tc>
      </w:tr>
      <w:tr>
        <w:trPr>
          <w:trHeight w:val="567"/>
        </w:trPr>
        <w:tc>
          <w:tcPr>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视图存储：单节点可支持文件数40亿，单目录支持百万文件/目录，最大支持单个文件大于等于64TB。投标时提供证明材料扫描件</w:t>
            </w:r>
            <w:r/>
          </w:p>
        </w:tc>
      </w:tr>
      <w:tr>
        <w:trPr>
          <w:trHeight w:val="567"/>
        </w:trPr>
        <w:tc>
          <w:tcPr>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视图存储：支持数据切片存于不同节点的不同硬盘，具有节点和硬盘级的双层负载均衡，支持根据轮循、节点连接数、CPU 使用率、节点吞吐量、节点综合负载等均衡策略进行负载均衡。投标时提供证明材扫描件</w:t>
            </w:r>
            <w:r/>
          </w:p>
        </w:tc>
      </w:tr>
      <w:tr>
        <w:trPr>
          <w:trHeight w:val="567"/>
        </w:trPr>
        <w:tc>
          <w:tcPr>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视图存储：可以提供统计报表、监控分析、趋势预测、性能对比、诊断分析等。提供截图或用户手册扫描件</w:t>
            </w:r>
            <w:r/>
          </w:p>
        </w:tc>
      </w:tr>
      <w:tr>
        <w:trPr>
          <w:trHeight w:val="567"/>
        </w:trPr>
        <w:tc>
          <w:tcPr>
            <w:tcW w:w="652" w:type="dxa"/>
            <w:vAlign w:val="center"/>
            <w:textDirection w:val="lrTb"/>
            <w:noWrap w:val="false"/>
          </w:tcPr>
          <w:p>
            <w:pPr>
              <w:jc w:val="center"/>
              <w:spacing w:line="360" w:lineRule="auto"/>
              <w:rPr>
                <w:rFonts w:ascii="宋体" w:hAnsi="宋体" w:cs="宋体"/>
              </w:rPr>
            </w:pPr>
            <w:r>
              <w:rPr>
                <w:rFonts w:ascii="宋体" w:hAnsi="宋体" w:cs="宋体"/>
              </w:rPr>
              <w:t xml:space="preserve">12</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数据质量要求：投标人须承诺本项目建设的所有设备日均在线率不得低于98%。</w:t>
            </w:r>
            <w:r/>
          </w:p>
        </w:tc>
      </w:tr>
      <w:tr>
        <w:trPr>
          <w:trHeight w:val="567"/>
        </w:trPr>
        <w:tc>
          <w:tcPr>
            <w:tcW w:w="652" w:type="dxa"/>
            <w:vAlign w:val="center"/>
            <w:textDirection w:val="lrTb"/>
            <w:noWrap w:val="false"/>
          </w:tcPr>
          <w:p>
            <w:pPr>
              <w:jc w:val="center"/>
              <w:spacing w:line="360" w:lineRule="auto"/>
              <w:rPr>
                <w:rFonts w:ascii="宋体" w:hAnsi="宋体" w:cs="宋体"/>
              </w:rPr>
            </w:pPr>
            <w:r>
              <w:rPr>
                <w:rFonts w:ascii="宋体" w:hAnsi="宋体" w:cs="宋体"/>
              </w:rPr>
              <w:t xml:space="preserve">13</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数据质量要求：投标人须承诺本项目建设的所有具备人像抓拍采集能力的设备日均建模达标率不得低于90%。（定义：对小图中人脸清晰度、瞳距、俯仰角等进行综合评分。按百分制计算，低于30分的视为人像建模不达标）。</w:t>
            </w:r>
            <w:r/>
          </w:p>
        </w:tc>
      </w:tr>
      <w:tr>
        <w:trPr>
          <w:trHeight w:val="567"/>
        </w:trPr>
        <w:tc>
          <w:tcPr>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14</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数据质量要求：投标人须承诺本项目建设的所有具备人车同拍采集能力的设备日均人车有效关联率不得低于90%。</w:t>
            </w:r>
            <w:r/>
          </w:p>
        </w:tc>
      </w:tr>
      <w:tr>
        <w:trPr>
          <w:trHeight w:val="567"/>
        </w:trPr>
        <w:tc>
          <w:tcPr>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15</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工期要求：投标人提供逾期违约承诺函</w:t>
            </w:r>
            <w:r/>
          </w:p>
        </w:tc>
      </w:tr>
      <w:tr>
        <w:trPr>
          <w:trHeight w:val="567"/>
        </w:trPr>
        <w:tc>
          <w:tcPr>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W w:w="9287" w:type="dxa"/>
            <w:vAlign w:val="center"/>
            <w:textDirection w:val="lrTb"/>
            <w:noWrap w:val="false"/>
          </w:tcPr>
          <w:p>
            <w:pPr>
              <w:spacing w:line="360" w:lineRule="auto"/>
              <w:rPr>
                <w:rFonts w:ascii="宋体" w:hAnsi="宋体" w:cs="宋体"/>
              </w:rPr>
            </w:pPr>
            <w:r>
              <w:rPr>
                <w:rFonts w:hint="eastAsia" w:ascii="宋体" w:hAnsi="宋体" w:cs="宋体"/>
              </w:rPr>
              <w:t xml:space="preserve">服务承诺 ：（1）拥有一支专业及专职的维修维护队伍，派出的维护队伍必须征得甲方认可。配备必要的工程机械和工具，有一定的施工、维修、维护的经验和新增设备的接入能力，提供7*24小时维保服务。系统出现故障时，接报后即时响应，1小时内到场，查明原因，一般故障2小时内解决，重大故障应启动应急备用方案，最长不超过24h，投标人提供承诺函。</w:t>
            </w:r>
            <w:r/>
          </w:p>
        </w:tc>
      </w:tr>
    </w:tbl>
    <w:p>
      <w:pPr>
        <w:ind w:firstLine="480"/>
        <w:spacing w:line="360" w:lineRule="auto"/>
        <w:rPr>
          <w:rFonts w:ascii="宋体" w:hAnsi="宋体" w:cs="仿宋"/>
          <w:bCs/>
          <w:sz w:val="24"/>
          <w:szCs w:val="24"/>
        </w:rPr>
      </w:pPr>
      <w:r>
        <w:rPr>
          <w:rFonts w:ascii="宋体" w:hAnsi="宋体" w:cs="仿宋"/>
          <w:bCs/>
          <w:sz w:val="24"/>
          <w:szCs w:val="24"/>
        </w:rPr>
      </w:r>
      <w:r/>
    </w:p>
    <w:p>
      <w:pPr>
        <w:ind w:firstLine="480"/>
        <w:spacing w:line="360" w:lineRule="auto"/>
        <w:rPr>
          <w:rFonts w:ascii="宋体" w:hAnsi="宋体" w:cs="仿宋"/>
          <w:bCs/>
          <w:sz w:val="24"/>
          <w:szCs w:val="24"/>
        </w:rPr>
      </w:pPr>
      <w:r>
        <w:rPr>
          <w:rFonts w:ascii="宋体" w:hAnsi="宋体" w:cs="仿宋"/>
          <w:bCs/>
          <w:sz w:val="24"/>
          <w:szCs w:val="24"/>
        </w:rPr>
      </w:r>
      <w:r/>
    </w:p>
    <w:p>
      <w:pPr>
        <w:pStyle w:val="832"/>
        <w:ind w:firstLine="482"/>
        <w:spacing w:before="0" w:after="0" w:line="360" w:lineRule="auto"/>
        <w:rPr>
          <w:rFonts w:ascii="宋体" w:hAnsi="宋体" w:eastAsia="宋体" w:cs="宋体"/>
          <w:b/>
          <w:bCs/>
          <w:sz w:val="24"/>
          <w:szCs w:val="24"/>
        </w:rPr>
      </w:pPr>
      <w:r>
        <w:rPr>
          <w:rFonts w:hint="eastAsia" w:ascii="宋体" w:hAnsi="宋体" w:eastAsia="宋体" w:cs="宋体"/>
          <w:b/>
          <w:bCs/>
          <w:sz w:val="24"/>
          <w:szCs w:val="24"/>
        </w:rPr>
        <w:t xml:space="preserve">3.9 工期要求</w:t>
      </w:r>
      <w:r/>
    </w:p>
    <w:p>
      <w:pPr>
        <w:ind w:firstLine="480"/>
        <w:jc w:val="left"/>
        <w:spacing w:line="360" w:lineRule="auto"/>
        <w:rPr>
          <w:rFonts w:ascii="宋体" w:hAnsi="宋体" w:cs="仿宋"/>
          <w:bCs/>
          <w:sz w:val="24"/>
          <w:szCs w:val="24"/>
        </w:rPr>
      </w:pPr>
      <w:r>
        <w:rPr>
          <w:rFonts w:hint="eastAsia" w:ascii="宋体" w:hAnsi="宋体" w:cs="仿宋"/>
          <w:bCs/>
          <w:sz w:val="24"/>
          <w:szCs w:val="24"/>
        </w:rPr>
        <w:t xml:space="preserve">本项目施工工期为200个日历天（从开工通知书发出次日起至竣工终验合格之日止进行计算，含试运行30天）。</w:t>
      </w:r>
      <w:r/>
    </w:p>
    <w:p>
      <w:pPr>
        <w:ind w:firstLine="480"/>
        <w:jc w:val="left"/>
        <w:spacing w:line="360" w:lineRule="auto"/>
        <w:rPr>
          <w:rFonts w:ascii="宋体" w:hAnsi="宋体" w:cs="仿宋"/>
          <w:b/>
          <w:bCs/>
          <w:sz w:val="24"/>
          <w:szCs w:val="24"/>
        </w:rPr>
      </w:pPr>
      <w:r>
        <w:rPr>
          <w:rFonts w:ascii="宋体" w:hAnsi="宋体" w:cs="仿宋"/>
          <w:bCs/>
          <w:sz w:val="24"/>
          <w:szCs w:val="24"/>
        </w:rPr>
        <w:t xml:space="preserve">中标人</w:t>
      </w:r>
      <w:r>
        <w:rPr>
          <w:rFonts w:hint="eastAsia" w:ascii="宋体" w:hAnsi="宋体" w:cs="仿宋"/>
          <w:bCs/>
          <w:sz w:val="24"/>
          <w:szCs w:val="24"/>
        </w:rPr>
        <w:t xml:space="preserve">必须在规定工期内完成本项目的终验。未按时完成的，中标人必须承担违约赔偿责任，按合同总额×0.1%×超延天数，支付工期超延违约金（最高限额为合同总额的10%），在合同款中扣减，法律法规界定的不可抗力因素除外。若工期超延逾140天，采购人可终止项目合同，已完成的合格产品有效工程量按60%计量结算，同时责令中标人退场。采购人有权要求中标人赔偿因工期超延给采购人带来的损失（投标人提供逾期违约承诺函）。</w:t>
      </w:r>
      <w:r/>
    </w:p>
    <w:p>
      <w:pPr>
        <w:pStyle w:val="832"/>
        <w:ind w:firstLine="482"/>
        <w:spacing w:before="0" w:after="0" w:line="360" w:lineRule="auto"/>
        <w:rPr>
          <w:rFonts w:ascii="宋体" w:hAnsi="宋体" w:eastAsia="宋体" w:cs="宋体"/>
          <w:b/>
          <w:bCs/>
          <w:sz w:val="24"/>
          <w:szCs w:val="24"/>
        </w:rPr>
      </w:pPr>
      <w:r>
        <w:rPr>
          <w:rFonts w:hint="eastAsia" w:ascii="宋体" w:hAnsi="宋体" w:eastAsia="宋体" w:cs="宋体"/>
          <w:b/>
          <w:bCs/>
          <w:sz w:val="24"/>
          <w:szCs w:val="24"/>
        </w:rPr>
        <w:t xml:space="preserve">3.10 施工组织设计</w:t>
      </w:r>
      <w:r/>
    </w:p>
    <w:p>
      <w:pPr>
        <w:pStyle w:val="833"/>
        <w:ind w:firstLine="48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3.10.1 施工组织设计方案的编制要求</w:t>
      </w:r>
      <w:r/>
    </w:p>
    <w:p>
      <w:pPr>
        <w:ind w:firstLine="720"/>
        <w:jc w:val="left"/>
        <w:spacing w:line="360" w:lineRule="auto"/>
        <w:rPr>
          <w:rFonts w:ascii="宋体" w:hAnsi="宋体" w:cs="仿宋"/>
          <w:sz w:val="24"/>
          <w:szCs w:val="24"/>
        </w:rPr>
      </w:pPr>
      <w:r>
        <w:rPr>
          <w:rFonts w:hint="eastAsia" w:ascii="宋体" w:hAnsi="宋体" w:cs="仿宋"/>
          <w:sz w:val="24"/>
          <w:szCs w:val="24"/>
        </w:rPr>
        <w:t xml:space="preserve">编制本工程的施工组织设计方案必须执行现行国家标准《建筑施工组织设计规范(GB/T 50502)》中第3章基本规定；第4章施工组织总设计；第5章单位工程施工组织设计；第6章施工方案；第7章主要施工管理计划中的有关规定；《安全防范工程技术文件编制深度要求(GA/T1185)》中的有关规定。</w:t>
      </w:r>
      <w:r/>
    </w:p>
    <w:p>
      <w:pPr>
        <w:pStyle w:val="833"/>
        <w:ind w:firstLine="48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3.10.2 主要内容应有</w:t>
      </w:r>
      <w:r/>
    </w:p>
    <w:p>
      <w:pPr>
        <w:pStyle w:val="834"/>
        <w:ind w:firstLine="482"/>
        <w:spacing w:before="0" w:after="0" w:line="360" w:lineRule="auto"/>
        <w:rPr>
          <w:rFonts w:ascii="宋体" w:hAnsi="宋体" w:eastAsia="宋体" w:cs="宋体"/>
        </w:rPr>
      </w:pPr>
      <w:r>
        <w:rPr>
          <w:rFonts w:hint="eastAsia" w:ascii="宋体" w:hAnsi="宋体" w:eastAsia="宋体" w:cs="宋体"/>
        </w:rPr>
        <w:t xml:space="preserve">3.10.2.1 工程概况及编制依据。</w:t>
      </w:r>
      <w:r/>
    </w:p>
    <w:p>
      <w:pPr>
        <w:pStyle w:val="834"/>
        <w:ind w:firstLine="482"/>
        <w:spacing w:before="0" w:after="0" w:line="360" w:lineRule="auto"/>
        <w:rPr>
          <w:rFonts w:ascii="宋体" w:hAnsi="宋体" w:eastAsia="宋体" w:cs="宋体"/>
        </w:rPr>
      </w:pPr>
      <w:r>
        <w:rPr>
          <w:rFonts w:hint="eastAsia" w:ascii="宋体" w:hAnsi="宋体" w:eastAsia="宋体" w:cs="宋体"/>
        </w:rPr>
        <w:t xml:space="preserve">3.10.2.2 施工组织部署：</w:t>
      </w:r>
      <w:r/>
    </w:p>
    <w:p>
      <w:pPr>
        <w:pStyle w:val="916"/>
        <w:numPr>
          <w:ilvl w:val="0"/>
          <w:numId w:val="8"/>
        </w:numPr>
        <w:ind w:left="851" w:hanging="425"/>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项目管理机构设置及岗位职责；</w:t>
      </w:r>
      <w:r/>
    </w:p>
    <w:p>
      <w:pPr>
        <w:pStyle w:val="916"/>
        <w:numPr>
          <w:ilvl w:val="0"/>
          <w:numId w:val="8"/>
        </w:numPr>
        <w:ind w:left="851" w:hanging="425"/>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项目管理目标；</w:t>
      </w:r>
      <w:r/>
    </w:p>
    <w:p>
      <w:pPr>
        <w:pStyle w:val="916"/>
        <w:numPr>
          <w:ilvl w:val="0"/>
          <w:numId w:val="8"/>
        </w:numPr>
        <w:ind w:left="851" w:hanging="425"/>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管理制度的建立；</w:t>
      </w:r>
      <w:r/>
    </w:p>
    <w:p>
      <w:pPr>
        <w:pStyle w:val="916"/>
        <w:numPr>
          <w:ilvl w:val="0"/>
          <w:numId w:val="8"/>
        </w:numPr>
        <w:ind w:left="851" w:hanging="425"/>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管理措施；</w:t>
      </w:r>
      <w:r/>
    </w:p>
    <w:p>
      <w:pPr>
        <w:pStyle w:val="916"/>
        <w:numPr>
          <w:ilvl w:val="0"/>
          <w:numId w:val="8"/>
        </w:numPr>
        <w:ind w:left="851" w:hanging="425"/>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施工总体协调。</w:t>
      </w:r>
      <w:r/>
    </w:p>
    <w:p>
      <w:pPr>
        <w:pStyle w:val="834"/>
        <w:ind w:firstLine="482"/>
        <w:spacing w:before="0" w:after="0" w:line="360" w:lineRule="auto"/>
        <w:rPr>
          <w:rFonts w:ascii="宋体" w:hAnsi="宋体" w:eastAsia="宋体" w:cs="宋体"/>
        </w:rPr>
      </w:pPr>
      <w:r>
        <w:rPr>
          <w:rFonts w:hint="eastAsia" w:ascii="宋体" w:hAnsi="宋体" w:eastAsia="宋体" w:cs="宋体"/>
        </w:rPr>
        <w:t xml:space="preserve">3.10.2.3 分级管理：</w:t>
      </w:r>
      <w:r/>
    </w:p>
    <w:p>
      <w:pPr>
        <w:pStyle w:val="916"/>
        <w:numPr>
          <w:ilvl w:val="0"/>
          <w:numId w:val="9"/>
        </w:numPr>
        <w:ind w:left="709" w:hanging="273"/>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管理与协调；</w:t>
      </w:r>
      <w:r/>
    </w:p>
    <w:p>
      <w:pPr>
        <w:pStyle w:val="916"/>
        <w:numPr>
          <w:ilvl w:val="0"/>
          <w:numId w:val="9"/>
        </w:numPr>
        <w:ind w:left="709" w:hanging="273"/>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质量监控要点。</w:t>
      </w:r>
      <w:r/>
    </w:p>
    <w:p>
      <w:pPr>
        <w:pStyle w:val="834"/>
        <w:ind w:firstLine="482"/>
        <w:spacing w:before="0" w:after="0" w:line="360" w:lineRule="auto"/>
        <w:rPr>
          <w:rFonts w:ascii="宋体" w:hAnsi="宋体" w:eastAsia="宋体" w:cs="宋体"/>
        </w:rPr>
      </w:pPr>
      <w:r>
        <w:rPr>
          <w:rFonts w:hint="eastAsia" w:ascii="宋体" w:hAnsi="宋体" w:eastAsia="宋体" w:cs="宋体"/>
        </w:rPr>
        <w:t xml:space="preserve">3.10.2.4 施工准备；</w:t>
      </w:r>
      <w:r/>
    </w:p>
    <w:p>
      <w:pPr>
        <w:pStyle w:val="834"/>
        <w:ind w:firstLine="482"/>
        <w:spacing w:before="0" w:after="0" w:line="360" w:lineRule="auto"/>
        <w:rPr>
          <w:rFonts w:ascii="宋体" w:hAnsi="宋体" w:eastAsia="宋体" w:cs="宋体"/>
        </w:rPr>
      </w:pPr>
      <w:r>
        <w:rPr>
          <w:rFonts w:hint="eastAsia" w:ascii="宋体" w:hAnsi="宋体" w:eastAsia="宋体" w:cs="宋体"/>
        </w:rPr>
        <w:t xml:space="preserve">3.10.2.5 施工进度控制：</w:t>
      </w:r>
      <w:r/>
    </w:p>
    <w:p>
      <w:pPr>
        <w:pStyle w:val="916"/>
        <w:numPr>
          <w:ilvl w:val="3"/>
          <w:numId w:val="10"/>
        </w:numPr>
        <w:ind w:left="709" w:hanging="142"/>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工程总控计划；</w:t>
      </w:r>
      <w:r/>
    </w:p>
    <w:p>
      <w:pPr>
        <w:pStyle w:val="916"/>
        <w:numPr>
          <w:ilvl w:val="3"/>
          <w:numId w:val="10"/>
        </w:numPr>
        <w:ind w:left="709" w:hanging="142"/>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施工主要机具及检测设备计划；</w:t>
      </w:r>
      <w:r/>
    </w:p>
    <w:p>
      <w:pPr>
        <w:pStyle w:val="916"/>
        <w:numPr>
          <w:ilvl w:val="3"/>
          <w:numId w:val="10"/>
        </w:numPr>
        <w:ind w:left="709" w:hanging="142"/>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劳动力计划安排；</w:t>
      </w:r>
      <w:r/>
    </w:p>
    <w:p>
      <w:pPr>
        <w:pStyle w:val="916"/>
        <w:numPr>
          <w:ilvl w:val="3"/>
          <w:numId w:val="10"/>
        </w:numPr>
        <w:ind w:left="709" w:hanging="142"/>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工期保证措施。</w:t>
      </w:r>
      <w:r/>
    </w:p>
    <w:p>
      <w:pPr>
        <w:pStyle w:val="834"/>
        <w:ind w:firstLine="482"/>
        <w:spacing w:before="0" w:after="0" w:line="360" w:lineRule="auto"/>
        <w:rPr>
          <w:rFonts w:ascii="宋体" w:hAnsi="宋体" w:eastAsia="宋体" w:cs="宋体"/>
        </w:rPr>
      </w:pPr>
      <w:r>
        <w:rPr>
          <w:rFonts w:hint="eastAsia" w:ascii="宋体" w:hAnsi="宋体" w:eastAsia="宋体" w:cs="宋体"/>
        </w:rPr>
        <w:t xml:space="preserve">3.10.2.6 分项工程的主要施工方法和技术要求：</w:t>
      </w:r>
      <w:r/>
    </w:p>
    <w:p>
      <w:pPr>
        <w:pStyle w:val="916"/>
        <w:numPr>
          <w:ilvl w:val="0"/>
          <w:numId w:val="11"/>
        </w:numPr>
        <w:ind w:hanging="273"/>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基础与立杆分项、检验批工程施工方法及质量要求；</w:t>
      </w:r>
      <w:r/>
    </w:p>
    <w:p>
      <w:pPr>
        <w:pStyle w:val="916"/>
        <w:numPr>
          <w:ilvl w:val="0"/>
          <w:numId w:val="11"/>
        </w:numPr>
        <w:ind w:hanging="273"/>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管路敷设分项、检验批工程施工方法及质量要求；</w:t>
      </w:r>
      <w:r/>
    </w:p>
    <w:p>
      <w:pPr>
        <w:pStyle w:val="916"/>
        <w:numPr>
          <w:ilvl w:val="0"/>
          <w:numId w:val="11"/>
        </w:numPr>
        <w:ind w:hanging="273"/>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汇聚点分项、检验批工程施工方法及质量要求；</w:t>
      </w:r>
      <w:r/>
    </w:p>
    <w:p>
      <w:pPr>
        <w:pStyle w:val="916"/>
        <w:numPr>
          <w:ilvl w:val="0"/>
          <w:numId w:val="11"/>
        </w:numPr>
        <w:ind w:hanging="273"/>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供电、防雷与接地分项、检验批工程施工方法及质量要求；</w:t>
      </w:r>
      <w:r/>
    </w:p>
    <w:p>
      <w:pPr>
        <w:pStyle w:val="916"/>
        <w:numPr>
          <w:ilvl w:val="0"/>
          <w:numId w:val="11"/>
        </w:numPr>
        <w:ind w:hanging="273"/>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前端主要设备的安装、调试分项、检验施工方法及质量要求；</w:t>
      </w:r>
      <w:r/>
    </w:p>
    <w:p>
      <w:pPr>
        <w:pStyle w:val="916"/>
        <w:numPr>
          <w:ilvl w:val="0"/>
          <w:numId w:val="11"/>
        </w:numPr>
        <w:ind w:hanging="273"/>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电源设备安装分项、检验批工程施工方法及质量要求；</w:t>
      </w:r>
      <w:r/>
    </w:p>
    <w:p>
      <w:pPr>
        <w:pStyle w:val="916"/>
        <w:numPr>
          <w:ilvl w:val="0"/>
          <w:numId w:val="11"/>
        </w:numPr>
        <w:ind w:hanging="273"/>
        <w:jc w:val="left"/>
        <w:spacing w:line="360" w:lineRule="auto"/>
        <w:tabs>
          <w:tab w:val="left" w:pos="142" w:leader="none"/>
        </w:tabs>
        <w:rPr>
          <w:rFonts w:ascii="宋体" w:hAnsi="宋体" w:cs="仿宋"/>
          <w:bCs/>
          <w:sz w:val="24"/>
          <w:szCs w:val="24"/>
        </w:rPr>
      </w:pPr>
      <w:r>
        <w:rPr>
          <w:rFonts w:hint="eastAsia" w:ascii="宋体" w:hAnsi="宋体" w:cs="仿宋"/>
          <w:sz w:val="24"/>
          <w:szCs w:val="24"/>
        </w:rPr>
        <w:t xml:space="preserve">电气安装各分项、检验批工程施工方法及质量要求及电气通病的预防措施。</w:t>
      </w:r>
      <w:r/>
    </w:p>
    <w:p>
      <w:pPr>
        <w:pStyle w:val="834"/>
        <w:ind w:firstLine="482"/>
        <w:spacing w:before="0" w:after="0" w:line="360" w:lineRule="auto"/>
        <w:rPr>
          <w:rFonts w:ascii="宋体" w:hAnsi="宋体" w:eastAsia="宋体" w:cs="宋体"/>
        </w:rPr>
      </w:pPr>
      <w:r>
        <w:rPr>
          <w:rFonts w:hint="eastAsia" w:ascii="宋体" w:hAnsi="宋体" w:eastAsia="宋体" w:cs="宋体"/>
        </w:rPr>
        <w:t xml:space="preserve">3.10.2.7 质量管理措施：</w:t>
      </w:r>
      <w:r/>
    </w:p>
    <w:p>
      <w:pPr>
        <w:pStyle w:val="916"/>
        <w:numPr>
          <w:ilvl w:val="0"/>
          <w:numId w:val="12"/>
        </w:numPr>
        <w:ind w:hanging="273"/>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质量管理；</w:t>
      </w:r>
      <w:r/>
    </w:p>
    <w:p>
      <w:pPr>
        <w:pStyle w:val="916"/>
        <w:numPr>
          <w:ilvl w:val="0"/>
          <w:numId w:val="12"/>
        </w:numPr>
        <w:ind w:hanging="273"/>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技术保证。</w:t>
      </w:r>
      <w:r/>
    </w:p>
    <w:p>
      <w:pPr>
        <w:pStyle w:val="834"/>
        <w:ind w:firstLine="482"/>
        <w:spacing w:before="0" w:after="0" w:line="360" w:lineRule="auto"/>
        <w:rPr>
          <w:rFonts w:ascii="宋体" w:hAnsi="宋体" w:eastAsia="宋体" w:cs="宋体"/>
        </w:rPr>
      </w:pPr>
      <w:r>
        <w:rPr>
          <w:rFonts w:hint="eastAsia" w:ascii="宋体" w:hAnsi="宋体" w:eastAsia="宋体" w:cs="宋体"/>
        </w:rPr>
        <w:t xml:space="preserve">3.10.2.8 施工管理措施：</w:t>
      </w:r>
      <w:r/>
    </w:p>
    <w:p>
      <w:pPr>
        <w:pStyle w:val="916"/>
        <w:numPr>
          <w:ilvl w:val="1"/>
          <w:numId w:val="13"/>
        </w:numPr>
        <w:ind w:left="246" w:firstLine="319"/>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安全管理措施；</w:t>
      </w:r>
      <w:r/>
    </w:p>
    <w:p>
      <w:pPr>
        <w:pStyle w:val="916"/>
        <w:numPr>
          <w:ilvl w:val="1"/>
          <w:numId w:val="13"/>
        </w:numPr>
        <w:ind w:left="246" w:firstLine="319"/>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物资管理措施；</w:t>
      </w:r>
      <w:r/>
    </w:p>
    <w:p>
      <w:pPr>
        <w:pStyle w:val="916"/>
        <w:numPr>
          <w:ilvl w:val="1"/>
          <w:numId w:val="13"/>
        </w:numPr>
        <w:ind w:left="246" w:firstLine="319"/>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文明施工及成品保护措施；</w:t>
      </w:r>
      <w:r/>
    </w:p>
    <w:p>
      <w:pPr>
        <w:pStyle w:val="916"/>
        <w:numPr>
          <w:ilvl w:val="1"/>
          <w:numId w:val="13"/>
        </w:numPr>
        <w:ind w:left="246" w:firstLine="319"/>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消防、环保与节能。</w:t>
      </w:r>
      <w:r/>
    </w:p>
    <w:p>
      <w:pPr>
        <w:pStyle w:val="834"/>
        <w:ind w:firstLine="482"/>
        <w:spacing w:before="0" w:after="0" w:line="360" w:lineRule="auto"/>
        <w:rPr>
          <w:rFonts w:ascii="宋体" w:hAnsi="宋体" w:eastAsia="宋体" w:cs="宋体"/>
        </w:rPr>
      </w:pPr>
      <w:r>
        <w:rPr>
          <w:rFonts w:hint="eastAsia" w:ascii="宋体" w:hAnsi="宋体" w:eastAsia="宋体" w:cs="宋体"/>
        </w:rPr>
        <w:t xml:space="preserve">3.10.2.9 工程档案和资料管理：</w:t>
      </w:r>
      <w:r/>
    </w:p>
    <w:p>
      <w:pPr>
        <w:pStyle w:val="916"/>
        <w:numPr>
          <w:ilvl w:val="0"/>
          <w:numId w:val="14"/>
        </w:numPr>
        <w:ind w:hanging="273"/>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工程资料；</w:t>
      </w:r>
      <w:r/>
    </w:p>
    <w:p>
      <w:pPr>
        <w:pStyle w:val="916"/>
        <w:numPr>
          <w:ilvl w:val="0"/>
          <w:numId w:val="14"/>
        </w:numPr>
        <w:ind w:hanging="273"/>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技术档案和资料管理。</w:t>
      </w:r>
      <w:r/>
    </w:p>
    <w:p>
      <w:pPr>
        <w:pStyle w:val="834"/>
        <w:ind w:firstLine="482"/>
        <w:spacing w:before="0" w:after="0" w:line="360" w:lineRule="auto"/>
        <w:rPr>
          <w:rFonts w:ascii="宋体" w:hAnsi="宋体" w:eastAsia="宋体" w:cs="宋体"/>
        </w:rPr>
      </w:pPr>
      <w:r>
        <w:rPr>
          <w:rFonts w:hint="eastAsia" w:ascii="宋体" w:hAnsi="宋体" w:eastAsia="宋体" w:cs="宋体"/>
        </w:rPr>
        <w:t xml:space="preserve">3.10.2.10 工程竣工后的服务</w:t>
      </w:r>
      <w:r/>
    </w:p>
    <w:p>
      <w:pPr>
        <w:pStyle w:val="916"/>
        <w:numPr>
          <w:ilvl w:val="0"/>
          <w:numId w:val="15"/>
        </w:numPr>
        <w:ind w:hanging="273"/>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工程保修；</w:t>
      </w:r>
      <w:r/>
    </w:p>
    <w:p>
      <w:pPr>
        <w:pStyle w:val="916"/>
        <w:numPr>
          <w:ilvl w:val="0"/>
          <w:numId w:val="15"/>
        </w:numPr>
        <w:ind w:hanging="273"/>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向使用方递交《系统安全运行指南》、《系统设备保修手册》、《系统培训学习资料》等；</w:t>
      </w:r>
      <w:r/>
    </w:p>
    <w:p>
      <w:pPr>
        <w:pStyle w:val="916"/>
        <w:numPr>
          <w:ilvl w:val="0"/>
          <w:numId w:val="15"/>
        </w:numPr>
        <w:ind w:hanging="273"/>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提供技术培训；</w:t>
      </w:r>
      <w:r/>
    </w:p>
    <w:p>
      <w:pPr>
        <w:pStyle w:val="916"/>
        <w:numPr>
          <w:ilvl w:val="0"/>
          <w:numId w:val="15"/>
        </w:numPr>
        <w:ind w:hanging="273"/>
        <w:jc w:val="left"/>
        <w:spacing w:line="360" w:lineRule="auto"/>
        <w:tabs>
          <w:tab w:val="left" w:pos="142" w:leader="none"/>
        </w:tabs>
        <w:rPr>
          <w:rFonts w:ascii="宋体" w:hAnsi="宋体" w:cs="仿宋"/>
          <w:sz w:val="24"/>
          <w:szCs w:val="24"/>
        </w:rPr>
      </w:pPr>
      <w:r>
        <w:rPr>
          <w:rFonts w:hint="eastAsia" w:ascii="宋体" w:hAnsi="宋体" w:cs="仿宋"/>
          <w:sz w:val="24"/>
          <w:szCs w:val="24"/>
        </w:rPr>
        <w:t xml:space="preserve">系统的维护和保修细则。</w:t>
      </w:r>
      <w:r/>
    </w:p>
    <w:p>
      <w:pPr>
        <w:ind w:firstLine="426"/>
        <w:jc w:val="left"/>
        <w:spacing w:line="360" w:lineRule="auto"/>
        <w:rPr>
          <w:rFonts w:ascii="宋体" w:hAnsi="宋体" w:cs="仿宋"/>
          <w:sz w:val="24"/>
          <w:szCs w:val="24"/>
        </w:rPr>
      </w:pPr>
      <w:r>
        <w:rPr>
          <w:rFonts w:hint="eastAsia" w:ascii="宋体" w:hAnsi="宋体" w:cs="仿宋"/>
          <w:sz w:val="24"/>
          <w:szCs w:val="24"/>
        </w:rPr>
        <w:t xml:space="preserve">编制的施工组织设计要严格贯彻执行现行标准中的强制条文，要结合实际，并在文件中要有所体现。</w:t>
      </w:r>
      <w:r/>
    </w:p>
    <w:p>
      <w:pPr>
        <w:pStyle w:val="833"/>
        <w:ind w:firstLine="482"/>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3.10.3 项目管理</w:t>
      </w:r>
      <w:r/>
    </w:p>
    <w:p>
      <w:pPr>
        <w:ind w:firstLine="480"/>
        <w:jc w:val="left"/>
        <w:spacing w:line="360" w:lineRule="auto"/>
        <w:rPr>
          <w:rFonts w:ascii="宋体" w:hAnsi="宋体" w:cs="仿宋"/>
          <w:sz w:val="24"/>
          <w:szCs w:val="24"/>
        </w:rPr>
      </w:pPr>
      <w:r>
        <w:rPr>
          <w:rFonts w:hint="eastAsia" w:ascii="宋体" w:hAnsi="宋体" w:cs="仿宋"/>
          <w:sz w:val="24"/>
          <w:szCs w:val="24"/>
        </w:rPr>
        <w:t xml:space="preserve">工程实施时，中标方必须向建设方、监理方上报，施工组织设计中项目管理机构设置及岗位职责，专职人员名单，具体为：项目经理1名、技术负责人1名、施工管理负责人1名、安全管理负责人1名、材料员1名、资料员1名、质检员1员、现场施工管理人员3名，须提供该相关人员的资质证书。经建设方、监理方核准后才能进行施工作业。专职人员在项目工程实施期间未经建设方同意不得无理由更换。如需更换须征得见建设方同意。</w:t>
      </w:r>
      <w:r/>
    </w:p>
    <w:p>
      <w:pPr>
        <w:pStyle w:val="83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3.11 售后服务及其他（含培训、维护等）</w:t>
      </w:r>
      <w:r/>
    </w:p>
    <w:p>
      <w:pPr>
        <w:ind w:firstLine="567"/>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严格执行中华人民共和国国务院颁发的《建设工程质量管理条例》，认真贯彻执行《安全防范系统维护保养规范(GA</w:t>
      </w:r>
      <w:r>
        <w:rPr>
          <w:rFonts w:ascii="宋体" w:hAnsi="宋体"/>
          <w:sz w:val="24"/>
          <w:szCs w:val="24"/>
        </w:rPr>
        <w:t xml:space="preserve">/T </w:t>
      </w:r>
      <w:r>
        <w:rPr>
          <w:rFonts w:hint="eastAsia" w:ascii="宋体" w:hAnsi="宋体"/>
          <w:sz w:val="24"/>
          <w:szCs w:val="24"/>
        </w:rPr>
        <w:t xml:space="preserve">1081)》、《安全防范工程视频图像维保规范(DB/T3206-1001)》标准。中标单位在签订本工程合同时，必须同时与南通市公安局南通经济技术开发区分局签订视频图像系统维保协议和保密协议。</w:t>
      </w:r>
      <w:r/>
    </w:p>
    <w:p>
      <w:pPr>
        <w:ind w:firstLine="567"/>
        <w:jc w:val="left"/>
        <w:spacing w:line="360" w:lineRule="auto"/>
        <w:rPr>
          <w:rFonts w:ascii="宋体" w:hAnsi="宋体"/>
          <w:sz w:val="24"/>
          <w:szCs w:val="24"/>
        </w:rPr>
      </w:pPr>
      <w:r>
        <w:rPr>
          <w:rFonts w:hint="eastAsia" w:ascii="宋体" w:hAnsi="宋体"/>
          <w:sz w:val="24"/>
          <w:szCs w:val="24"/>
        </w:rPr>
        <w:t xml:space="preserve">（1）本工程新建部分：维保期为</w:t>
      </w:r>
      <w:r>
        <w:rPr>
          <w:rFonts w:ascii="宋体" w:hAnsi="宋体"/>
          <w:sz w:val="24"/>
          <w:szCs w:val="24"/>
        </w:rPr>
        <w:t xml:space="preserve">5</w:t>
      </w:r>
      <w:r>
        <w:rPr>
          <w:rFonts w:hint="eastAsia" w:ascii="宋体" w:hAnsi="宋体"/>
          <w:sz w:val="24"/>
          <w:szCs w:val="24"/>
        </w:rPr>
        <w:t xml:space="preserve">年(根据中华人民共和国国务院颁发的《建设工程质量管理条例》规定该类工程义务维保期2年，以后</w:t>
      </w:r>
      <w:r>
        <w:rPr>
          <w:rFonts w:ascii="宋体" w:hAnsi="宋体"/>
          <w:sz w:val="24"/>
          <w:szCs w:val="24"/>
        </w:rPr>
        <w:t xml:space="preserve">3</w:t>
      </w:r>
      <w:r>
        <w:rPr>
          <w:rFonts w:hint="eastAsia" w:ascii="宋体" w:hAnsi="宋体"/>
          <w:sz w:val="24"/>
          <w:szCs w:val="24"/>
        </w:rPr>
        <w:t xml:space="preserve">年为本工程续延保期)。时间从本工程终验合格交付之日起计，因有偿续延维保期内服务费用已列入工程中标总价中，所以</w:t>
      </w:r>
      <w:r>
        <w:rPr>
          <w:rFonts w:ascii="宋体" w:hAnsi="宋体"/>
          <w:sz w:val="24"/>
          <w:szCs w:val="24"/>
        </w:rPr>
        <w:t xml:space="preserve">5</w:t>
      </w:r>
      <w:r>
        <w:rPr>
          <w:rFonts w:hint="eastAsia" w:ascii="宋体" w:hAnsi="宋体"/>
          <w:sz w:val="24"/>
          <w:szCs w:val="24"/>
        </w:rPr>
        <w:t xml:space="preserve">年维保期内乙方负责无偿为本系统所有设备的维护、维修，确保甲方系统（工程）正常使用。设备进场报验时提供针对南通市公安局南通经济技术开发区分局本项目设备的原厂5年质保承诺函（杆件提供原厂20年质保承诺函）。</w:t>
      </w:r>
      <w:r/>
    </w:p>
    <w:p>
      <w:pPr>
        <w:ind w:firstLine="480"/>
        <w:spacing w:line="500" w:lineRule="exact"/>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本工程维护部分：维保期为5年（除续保的存储设备提供原厂2年维保服务外）。时间从本工程终验合格交付次日起计，因有偿续延维保期内服务费用已列入工程中标总价中，维保期内中标人负责无偿为本系统所有设备的维护、维修，在维保期内确保采购人系统正常使用。本项目购买原厂延保服务的机房精密空调（60个月）、存储设备（24个月），在项目验收前提供针对南通市公安局南通经济技术开发区分局设备的原厂延保服务承诺函。</w:t>
      </w:r>
      <w:r/>
    </w:p>
    <w:p>
      <w:pPr>
        <w:ind w:firstLine="567"/>
        <w:jc w:val="left"/>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在维保期内，乙方负责重大活动、节假日期间进行保障服务，平常每隔3个月进行一次设备巡检、前端摄像机防尘壳(含球机)镜前玻璃除尘；杆上有关设备检查维护；视场内障物的清除；供电线路；传输线路；机房设备、存储、软硬件维护和保养。</w:t>
      </w:r>
      <w:r/>
    </w:p>
    <w:p>
      <w:pPr>
        <w:ind w:firstLine="567"/>
        <w:jc w:val="left"/>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）《建筑物电子信息系统防雷技术规范(GB50343-2012)》第8.1.2规定：每年在雷雨季节到来之前，应进行一次定期全面检测维护。</w:t>
      </w:r>
      <w:r/>
    </w:p>
    <w:p>
      <w:pPr>
        <w:ind w:firstLine="567"/>
        <w:jc w:val="left"/>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）5年内及时对非人为因素产生的设备故障进行免费修理和更换处理。</w:t>
      </w:r>
      <w:r/>
    </w:p>
    <w:p>
      <w:pPr>
        <w:ind w:firstLine="480"/>
        <w:jc w:val="left"/>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服务承诺 </w:t>
      </w:r>
      <w:r/>
    </w:p>
    <w:p>
      <w:pPr>
        <w:ind w:firstLine="567"/>
        <w:jc w:val="left"/>
        <w:spacing w:line="360" w:lineRule="auto"/>
        <w:rPr>
          <w:rFonts w:ascii="宋体" w:hAnsi="宋体"/>
          <w:b/>
          <w:bCs/>
          <w:sz w:val="24"/>
          <w:szCs w:val="24"/>
        </w:rPr>
      </w:pPr>
      <w:r>
        <w:rPr>
          <w:rFonts w:hint="eastAsia" w:ascii="宋体" w:hAnsi="宋体"/>
          <w:b/>
          <w:bCs/>
          <w:sz w:val="24"/>
          <w:szCs w:val="24"/>
        </w:rPr>
        <w:t xml:space="preserve">（1）拥有一支专业及专职的维修维护队伍，派出的维护队伍必须征得甲方认可。配备必要的工程机械和工具，有一定的施工、维修、维护的经验和新增设备的接入能力，提供7*24小时维保服务。系统出现故障时，接报后即时响应，1小时内到场，查明原因，一般故障2小时内解决，重大故障应启动应急备用方案，最长不超过24h（投标人提供承诺函）。</w:t>
      </w:r>
      <w:r/>
    </w:p>
    <w:p>
      <w:pPr>
        <w:ind w:firstLine="567"/>
        <w:jc w:val="left"/>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中标方在本工程的维保期内若不能兑现服务与承诺，拖延或不履行维护保养责任，建设方有权委托第三方进行该系统的维护与保养，由此产生的费用以及因质量缺陷造成的损失中标方承担赔偿责任，从工程质保金中扣除。</w:t>
      </w:r>
      <w:r/>
    </w:p>
    <w:p>
      <w:pPr>
        <w:pStyle w:val="83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3.12 培训</w:t>
      </w:r>
      <w:r/>
    </w:p>
    <w:p>
      <w:pPr>
        <w:ind w:firstLine="480"/>
        <w:jc w:val="left"/>
        <w:spacing w:line="360" w:lineRule="auto"/>
        <w:rPr>
          <w:rFonts w:ascii="宋体" w:hAnsi="宋体" w:cs="仿宋"/>
          <w:sz w:val="24"/>
          <w:szCs w:val="24"/>
        </w:rPr>
      </w:pPr>
      <w:r>
        <w:rPr>
          <w:rFonts w:hint="eastAsia" w:ascii="宋体" w:hAnsi="宋体" w:cs="仿宋"/>
          <w:sz w:val="24"/>
          <w:szCs w:val="24"/>
        </w:rPr>
        <w:t xml:space="preserve">项目终验前，对使用人员进行操作培训，包教包会；</w:t>
      </w:r>
      <w:r/>
    </w:p>
    <w:p>
      <w:pPr>
        <w:ind w:firstLine="480"/>
        <w:jc w:val="left"/>
        <w:spacing w:line="360" w:lineRule="auto"/>
        <w:rPr>
          <w:rFonts w:ascii="宋体" w:hAnsi="宋体" w:cs="仿宋"/>
          <w:sz w:val="24"/>
          <w:szCs w:val="24"/>
        </w:rPr>
      </w:pPr>
      <w:r>
        <w:rPr>
          <w:rFonts w:hint="eastAsia" w:ascii="宋体" w:hAnsi="宋体" w:cs="仿宋"/>
          <w:sz w:val="24"/>
          <w:szCs w:val="24"/>
        </w:rPr>
        <w:t xml:space="preserve">并提供详细的培训计划包括时间、方式、《系统培训学习资料》等。</w:t>
      </w:r>
      <w:r/>
    </w:p>
    <w:p>
      <w:pPr>
        <w:pStyle w:val="83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3.13 关于验收</w:t>
      </w:r>
      <w:r/>
    </w:p>
    <w:p>
      <w:pPr>
        <w:ind w:firstLine="480"/>
        <w:jc w:val="left"/>
        <w:spacing w:line="360" w:lineRule="auto"/>
        <w:rPr>
          <w:rFonts w:ascii="宋体" w:hAnsi="宋体" w:cs="仿宋"/>
          <w:sz w:val="24"/>
          <w:szCs w:val="24"/>
        </w:rPr>
      </w:pPr>
      <w:r>
        <w:rPr>
          <w:rFonts w:hint="eastAsia" w:ascii="宋体" w:hAnsi="宋体" w:cs="仿宋"/>
          <w:sz w:val="24"/>
          <w:szCs w:val="24"/>
        </w:rPr>
        <w:t xml:space="preserve">委托法定检测机构对该系统进行检测，检测合格后，凭第三方法定检测机构出具的本系统检测合格的报告，按规定向采购人、监理方申请办理手续进入终验程序。</w:t>
      </w:r>
      <w:r/>
    </w:p>
    <w:p>
      <w:pPr>
        <w:ind w:firstLine="480"/>
        <w:jc w:val="left"/>
        <w:spacing w:line="360" w:lineRule="auto"/>
        <w:rPr>
          <w:rFonts w:ascii="宋体" w:hAnsi="宋体" w:cs="仿宋"/>
          <w:sz w:val="24"/>
          <w:szCs w:val="24"/>
        </w:rPr>
      </w:pPr>
      <w:r>
        <w:rPr>
          <w:rFonts w:hint="eastAsia" w:ascii="宋体" w:hAnsi="宋体" w:cs="仿宋"/>
          <w:sz w:val="24"/>
          <w:szCs w:val="24"/>
        </w:rPr>
        <w:t xml:space="preserve">本系统建成后，应符合现行的国家标准、行业标准及有关规范，并达到本工程招标文件的要求，验收按《安全防范系统验收规则(GA308)》、《安全防范工程技术标准(GB50348)》、《安全防范工程通用规范（GB55029）》等现行标准执行，并符合项目采购需求。</w:t>
      </w:r>
      <w:r/>
    </w:p>
    <w:p>
      <w:pPr>
        <w:jc w:val="left"/>
        <w:spacing w:line="360" w:lineRule="auto"/>
        <w:rPr>
          <w:rFonts w:ascii="宋体" w:hAnsi="宋体" w:cs="仿宋"/>
          <w:sz w:val="24"/>
          <w:szCs w:val="24"/>
        </w:rPr>
        <w:sectPr>
          <w:footerReference w:type="default" r:id="rId10"/>
          <w:footerReference w:type="first" r:id="rId11"/>
          <w:footnotePr/>
          <w:endnotePr/>
          <w:type w:val="nextPage"/>
          <w:pgSz w:w="11907" w:h="16840" w:orient="portrait"/>
          <w:pgMar w:top="1134" w:right="851" w:bottom="851" w:left="992" w:header="851" w:footer="675" w:gutter="0"/>
          <w:cols w:num="1" w:sep="0" w:space="720" w:equalWidth="1"/>
          <w:docGrid w:linePitch="360"/>
          <w:titlePg/>
        </w:sectPr>
      </w:pPr>
      <w:r>
        <w:rPr>
          <w:rFonts w:ascii="宋体" w:hAnsi="宋体" w:cs="仿宋"/>
          <w:sz w:val="24"/>
          <w:szCs w:val="24"/>
        </w:rPr>
      </w:r>
      <w:r/>
    </w:p>
    <w:p>
      <w:pPr>
        <w:pStyle w:val="83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3.14设备器材清单</w:t>
      </w:r>
      <w:r/>
    </w:p>
    <w:tbl>
      <w:tblPr>
        <w:tblW w:w="14758" w:type="dxa"/>
        <w:tblInd w:w="100" w:type="dxa"/>
        <w:tblLook w:val="04A0" w:firstRow="1" w:lastRow="0" w:firstColumn="1" w:lastColumn="0" w:noHBand="0" w:noVBand="1"/>
      </w:tblPr>
      <w:tblGrid>
        <w:gridCol w:w="1385"/>
        <w:gridCol w:w="4553"/>
        <w:gridCol w:w="4777"/>
        <w:gridCol w:w="1179"/>
        <w:gridCol w:w="1014"/>
        <w:gridCol w:w="1850"/>
      </w:tblGrid>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名称</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标书要求</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单位</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备注</w:t>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一</w:t>
            </w:r>
            <w:r/>
          </w:p>
        </w:tc>
        <w:tc>
          <w:tcPr>
            <w:gridSpan w:val="4"/>
            <w:tcBorders>
              <w:top w:val="single" w:color="000000" w:sz="4" w:space="0"/>
              <w:left w:val="single" w:color="000000" w:sz="4" w:space="0"/>
              <w:bottom w:val="single" w:color="000000" w:sz="4" w:space="0"/>
              <w:right w:val="single" w:color="000000" w:sz="4" w:space="0"/>
            </w:tcBorders>
            <w:tcW w:w="11523" w:type="dxa"/>
            <w:textDirection w:val="lrTb"/>
            <w:noWrap w:val="false"/>
          </w:tcPr>
          <w:p>
            <w:pPr>
              <w:jc w:val="left"/>
              <w:widowControl/>
              <w:rPr>
                <w:rFonts w:ascii="仿宋" w:hAnsi="仿宋" w:eastAsia="仿宋" w:cs="仿宋"/>
                <w:b/>
                <w:bCs/>
                <w:sz w:val="22"/>
                <w:szCs w:val="22"/>
              </w:rPr>
            </w:pPr>
            <w:r>
              <w:rPr>
                <w:rFonts w:hint="eastAsia" w:ascii="仿宋" w:hAnsi="仿宋" w:eastAsia="仿宋" w:cs="仿宋"/>
                <w:b/>
                <w:bCs/>
                <w:sz w:val="22"/>
                <w:szCs w:val="22"/>
              </w:rPr>
              <w:t xml:space="preserve">前端感知采集设备器材与配套件更新维护</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1 </w:t>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双目球型摄像机</w:t>
            </w:r>
            <w:r/>
          </w:p>
        </w:tc>
        <w:tc>
          <w:tcPr>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3.6.1.1</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363 </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605"/>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2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双目结构化摄像机安装维护</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摄像机甲供，安装、5年维护</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218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配置电源适配器</w:t>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3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人车卡口相机</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3.6.1.2</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39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4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卡口闪光灯</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3.6.1.3</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63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5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多目拼接高清摄像机</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3.6.1.4</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10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605"/>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6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防雷、防水型工业级以太网光交换机（1光4电 10/100M）</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3.6.2.1</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480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7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高集成化汇聚交换机（96/4）</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3.6.2.2</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2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8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高集成化汇聚交换机（48/4）</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3.6.2.3</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4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9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辅材辅料</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补光灯、连接线缆、PDU、理线架、辅材辅料等</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项</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二</w:t>
            </w:r>
            <w:r/>
          </w:p>
        </w:tc>
        <w:tc>
          <w:tcPr>
            <w:gridSpan w:val="4"/>
            <w:tcBorders>
              <w:top w:val="single" w:color="000000" w:sz="4" w:space="0"/>
              <w:left w:val="single" w:color="000000" w:sz="4" w:space="0"/>
              <w:bottom w:val="single" w:color="000000" w:sz="4" w:space="0"/>
              <w:right w:val="single" w:color="000000" w:sz="4" w:space="0"/>
            </w:tcBorders>
            <w:tcW w:w="11523" w:type="dxa"/>
            <w:textDirection w:val="lrTb"/>
            <w:noWrap w:val="false"/>
          </w:tcPr>
          <w:p>
            <w:pPr>
              <w:jc w:val="left"/>
              <w:widowControl/>
              <w:rPr>
                <w:rFonts w:ascii="仿宋" w:hAnsi="仿宋" w:eastAsia="仿宋" w:cs="仿宋"/>
                <w:b/>
                <w:bCs/>
                <w:sz w:val="22"/>
                <w:szCs w:val="22"/>
              </w:rPr>
            </w:pPr>
            <w:r>
              <w:rPr>
                <w:rFonts w:hint="eastAsia" w:ascii="仿宋" w:hAnsi="仿宋" w:eastAsia="仿宋" w:cs="仿宋"/>
                <w:b/>
                <w:bCs/>
                <w:sz w:val="22"/>
                <w:szCs w:val="22"/>
              </w:rPr>
              <w:t xml:space="preserve">通信与供电线路维护</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1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通信线路维护</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前端监控点位至汇聚点线路维护5年</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480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条</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维护期5年</w:t>
            </w:r>
            <w:r/>
          </w:p>
        </w:tc>
      </w:tr>
      <w:tr>
        <w:trPr>
          <w:trHeight w:val="605"/>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2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ind w:firstLine="660"/>
              <w:widowControl/>
              <w:rPr>
                <w:rFonts w:ascii="仿宋" w:hAnsi="仿宋" w:eastAsia="仿宋" w:cs="仿宋"/>
                <w:sz w:val="22"/>
                <w:szCs w:val="22"/>
              </w:rPr>
            </w:pPr>
            <w:r>
              <w:rPr>
                <w:rFonts w:ascii="仿宋" w:hAnsi="仿宋" w:eastAsia="仿宋" w:cs="仿宋"/>
                <w:sz w:val="22"/>
                <w:szCs w:val="22"/>
              </w:rPr>
            </w:r>
            <w:r/>
          </w:p>
          <w:p>
            <w:pPr>
              <w:ind w:firstLine="660"/>
              <w:widowControl/>
              <w:rPr>
                <w:rFonts w:ascii="仿宋" w:hAnsi="仿宋" w:eastAsia="仿宋" w:cs="仿宋"/>
                <w:sz w:val="22"/>
                <w:szCs w:val="22"/>
              </w:rPr>
            </w:pPr>
            <w:r>
              <w:rPr>
                <w:rFonts w:hint="eastAsia" w:ascii="仿宋" w:hAnsi="仿宋" w:eastAsia="仿宋" w:cs="仿宋"/>
                <w:sz w:val="22"/>
                <w:szCs w:val="22"/>
              </w:rPr>
              <w:t xml:space="preserve">监控点位低压供电线路维护</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前端监控杆件至安全低压集合供配电装置供电线路维护5年</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480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条</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维护期5年</w:t>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三</w:t>
            </w:r>
            <w:r/>
          </w:p>
        </w:tc>
        <w:tc>
          <w:tcPr>
            <w:gridSpan w:val="4"/>
            <w:tcBorders>
              <w:top w:val="single" w:color="000000" w:sz="4" w:space="0"/>
              <w:left w:val="single" w:color="000000" w:sz="4" w:space="0"/>
              <w:bottom w:val="single" w:color="000000" w:sz="4" w:space="0"/>
              <w:right w:val="single" w:color="000000" w:sz="4" w:space="0"/>
            </w:tcBorders>
            <w:tcW w:w="11523" w:type="dxa"/>
            <w:textDirection w:val="lrTb"/>
            <w:noWrap w:val="false"/>
          </w:tcPr>
          <w:p>
            <w:pPr>
              <w:jc w:val="left"/>
              <w:widowControl/>
              <w:rPr>
                <w:rFonts w:ascii="仿宋" w:hAnsi="仿宋" w:eastAsia="仿宋" w:cs="仿宋"/>
                <w:b/>
                <w:bCs/>
                <w:sz w:val="22"/>
                <w:szCs w:val="22"/>
              </w:rPr>
            </w:pPr>
            <w:r>
              <w:rPr>
                <w:rFonts w:hint="eastAsia" w:ascii="仿宋" w:hAnsi="仿宋" w:eastAsia="仿宋" w:cs="仿宋"/>
                <w:b/>
                <w:bCs/>
                <w:sz w:val="22"/>
                <w:szCs w:val="22"/>
              </w:rPr>
              <w:t xml:space="preserve">机房设施维护</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1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数据中心精密空调</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60个月，原厂服务</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4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2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视频图片存储系统</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24个月，原厂服务，介质保留服务</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19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3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业务存储系统控制器</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24个月，原厂服务，介质保留服务</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4</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业务存储系统扩展柜</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24个月，原厂服务，介质保留服务</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四</w:t>
            </w:r>
            <w:r/>
          </w:p>
        </w:tc>
        <w:tc>
          <w:tcPr>
            <w:gridSpan w:val="4"/>
            <w:tcBorders>
              <w:top w:val="single" w:color="000000" w:sz="4" w:space="0"/>
              <w:left w:val="single" w:color="000000" w:sz="4" w:space="0"/>
              <w:bottom w:val="single" w:color="000000" w:sz="4" w:space="0"/>
              <w:right w:val="single" w:color="000000" w:sz="4" w:space="0"/>
            </w:tcBorders>
            <w:tcW w:w="11523" w:type="dxa"/>
            <w:textDirection w:val="lrTb"/>
            <w:noWrap w:val="false"/>
          </w:tcPr>
          <w:p>
            <w:pPr>
              <w:jc w:val="left"/>
              <w:widowControl/>
              <w:rPr>
                <w:rFonts w:ascii="仿宋" w:hAnsi="仿宋" w:eastAsia="仿宋" w:cs="仿宋"/>
                <w:b/>
                <w:bCs/>
                <w:sz w:val="22"/>
                <w:szCs w:val="22"/>
              </w:rPr>
            </w:pPr>
            <w:r>
              <w:rPr>
                <w:rFonts w:hint="eastAsia" w:ascii="仿宋" w:hAnsi="仿宋" w:eastAsia="仿宋" w:cs="仿宋"/>
                <w:b/>
                <w:bCs/>
                <w:sz w:val="22"/>
                <w:szCs w:val="22"/>
              </w:rPr>
              <w:t xml:space="preserve">前端新增感知点位及配套件</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双目球型摄像机</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3.6.1.1</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2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2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双目结构化摄像机</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3.6.1.5</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15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3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动态人像图片布控告警授权</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3.6.5</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17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路</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4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杆件（H4L0.5）、基础、接地、防雷器</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3.6.3</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13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5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杆件（H7L3）、基础、接地、防雷器</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3.6.3</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4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590"/>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6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防雷、防水型工业级以太网光交换机（1光4电 10/100M）</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3.6.2.1</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17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898"/>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7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ascii="仿宋" w:hAnsi="仿宋" w:eastAsia="仿宋" w:cs="仿宋"/>
                <w:sz w:val="22"/>
                <w:szCs w:val="22"/>
              </w:rPr>
            </w:r>
            <w:r/>
          </w:p>
          <w:p>
            <w:pPr>
              <w:jc w:val="center"/>
              <w:widowControl/>
              <w:rPr>
                <w:rFonts w:ascii="仿宋" w:hAnsi="仿宋" w:eastAsia="仿宋" w:cs="仿宋"/>
                <w:sz w:val="22"/>
                <w:szCs w:val="22"/>
              </w:rPr>
            </w:pPr>
            <w:r>
              <w:rPr>
                <w:rFonts w:hint="eastAsia" w:ascii="仿宋" w:hAnsi="仿宋" w:eastAsia="仿宋" w:cs="仿宋"/>
                <w:sz w:val="22"/>
                <w:szCs w:val="22"/>
              </w:rPr>
              <w:t xml:space="preserve">供电线路</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含完成该子项的全部主、辅材料、人工费、以及配合费、市政、绿化等部门的协调、路面修复、绿化恢复补偿等一切费用。</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17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条</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898"/>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8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ascii="仿宋" w:hAnsi="仿宋" w:eastAsia="仿宋" w:cs="仿宋"/>
                <w:sz w:val="22"/>
                <w:szCs w:val="22"/>
              </w:rPr>
            </w:r>
            <w:r/>
          </w:p>
          <w:p>
            <w:pPr>
              <w:jc w:val="center"/>
              <w:widowControl/>
              <w:rPr>
                <w:rFonts w:ascii="仿宋" w:hAnsi="仿宋" w:eastAsia="仿宋" w:cs="仿宋"/>
                <w:sz w:val="22"/>
                <w:szCs w:val="22"/>
              </w:rPr>
            </w:pPr>
            <w:r>
              <w:rPr>
                <w:rFonts w:hint="eastAsia" w:ascii="仿宋" w:hAnsi="仿宋" w:eastAsia="仿宋" w:cs="仿宋"/>
                <w:sz w:val="22"/>
                <w:szCs w:val="22"/>
              </w:rPr>
              <w:t xml:space="preserve">通信线路</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含完成该子项的全部主、辅材料、人工费、以及配合费、市政、绿化等部门的协调、路面修复、绿化恢复补偿等一切费用。</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17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条</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898"/>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9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ascii="仿宋" w:hAnsi="仿宋" w:eastAsia="仿宋" w:cs="仿宋"/>
                <w:sz w:val="22"/>
                <w:szCs w:val="22"/>
              </w:rPr>
            </w:r>
            <w:r/>
          </w:p>
          <w:p>
            <w:pPr>
              <w:jc w:val="center"/>
              <w:widowControl/>
              <w:rPr>
                <w:rFonts w:ascii="仿宋" w:hAnsi="仿宋" w:eastAsia="仿宋" w:cs="仿宋"/>
                <w:sz w:val="22"/>
                <w:szCs w:val="22"/>
              </w:rPr>
            </w:pPr>
            <w:r>
              <w:rPr>
                <w:rFonts w:hint="eastAsia" w:ascii="仿宋" w:hAnsi="仿宋" w:eastAsia="仿宋" w:cs="仿宋"/>
                <w:sz w:val="22"/>
                <w:szCs w:val="22"/>
              </w:rPr>
              <w:t xml:space="preserve">安全低压集合供配电装置</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ascii="仿宋" w:hAnsi="仿宋" w:eastAsia="仿宋" w:cs="仿宋"/>
                <w:sz w:val="22"/>
                <w:szCs w:val="22"/>
              </w:rPr>
            </w:r>
            <w:r/>
          </w:p>
          <w:p>
            <w:pPr>
              <w:jc w:val="center"/>
              <w:widowControl/>
              <w:rPr>
                <w:rFonts w:ascii="仿宋" w:hAnsi="仿宋" w:eastAsia="仿宋" w:cs="仿宋"/>
                <w:sz w:val="22"/>
                <w:szCs w:val="22"/>
              </w:rPr>
            </w:pPr>
            <w:r>
              <w:rPr>
                <w:rFonts w:hint="eastAsia" w:ascii="仿宋" w:hAnsi="仿宋" w:eastAsia="仿宋" w:cs="仿宋"/>
                <w:sz w:val="22"/>
                <w:szCs w:val="22"/>
              </w:rPr>
              <w:t xml:space="preserve">3.6.4</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10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ascii="仿宋" w:hAnsi="仿宋" w:eastAsia="仿宋" w:cs="仿宋"/>
                <w:sz w:val="22"/>
                <w:szCs w:val="22"/>
              </w:rPr>
            </w:r>
            <w:r/>
          </w:p>
          <w:p>
            <w:pPr>
              <w:jc w:val="center"/>
              <w:widowControl/>
              <w:rPr>
                <w:rFonts w:ascii="仿宋" w:hAnsi="仿宋" w:eastAsia="仿宋" w:cs="仿宋"/>
                <w:sz w:val="22"/>
                <w:szCs w:val="22"/>
              </w:rPr>
            </w:pPr>
            <w:r>
              <w:rPr>
                <w:rFonts w:hint="eastAsia" w:ascii="仿宋" w:hAnsi="仿宋" w:eastAsia="仿宋" w:cs="仿宋"/>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五</w:t>
            </w:r>
            <w:r/>
          </w:p>
        </w:tc>
        <w:tc>
          <w:tcPr>
            <w:gridSpan w:val="4"/>
            <w:tcBorders>
              <w:top w:val="single" w:color="000000" w:sz="4" w:space="0"/>
              <w:left w:val="single" w:color="000000" w:sz="4" w:space="0"/>
              <w:bottom w:val="single" w:color="000000" w:sz="4" w:space="0"/>
              <w:right w:val="single" w:color="000000" w:sz="4" w:space="0"/>
            </w:tcBorders>
            <w:tcW w:w="11523" w:type="dxa"/>
            <w:textDirection w:val="lrTb"/>
            <w:noWrap w:val="false"/>
          </w:tcPr>
          <w:p>
            <w:pPr>
              <w:jc w:val="left"/>
              <w:widowControl/>
              <w:rPr>
                <w:rFonts w:ascii="仿宋" w:hAnsi="仿宋" w:eastAsia="仿宋" w:cs="仿宋"/>
                <w:sz w:val="22"/>
                <w:szCs w:val="22"/>
              </w:rPr>
            </w:pPr>
            <w:r>
              <w:rPr>
                <w:rFonts w:hint="eastAsia" w:ascii="仿宋" w:hAnsi="仿宋" w:eastAsia="仿宋" w:cs="仿宋"/>
                <w:sz w:val="22"/>
                <w:szCs w:val="22"/>
              </w:rPr>
              <w:t xml:space="preserve">后端设施</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1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视图存储</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3.6.6</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套</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2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视频云存储实施服务</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视频云存储纳入现有视频云系统，实施服务。</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项</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3 </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万兆光模块</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10GE多模光模块</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12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个</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31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hint="eastAsia" w:ascii="仿宋" w:hAnsi="仿宋" w:eastAsia="仿宋" w:cs="仿宋"/>
                <w:b/>
                <w:bCs/>
                <w:sz w:val="22"/>
                <w:szCs w:val="22"/>
              </w:rPr>
              <w:t xml:space="preserve">4</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工作终端</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w:t>
            </w:r>
            <w:r>
              <w:rPr>
                <w:rFonts w:ascii="仿宋" w:hAnsi="仿宋" w:eastAsia="仿宋" w:cs="仿宋"/>
                <w:sz w:val="22"/>
                <w:szCs w:val="22"/>
              </w:rPr>
              <w:t xml:space="preserve">.6.7</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2</w:t>
            </w:r>
            <w:r>
              <w:rPr>
                <w:rFonts w:ascii="仿宋" w:hAnsi="仿宋" w:eastAsia="仿宋" w:cs="仿宋"/>
                <w:sz w:val="22"/>
                <w:szCs w:val="22"/>
              </w:rPr>
              <w:t xml:space="preserve">5</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r>
        <w:trPr>
          <w:trHeight w:val="407"/>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ascii="仿宋" w:hAnsi="仿宋" w:eastAsia="仿宋" w:cs="仿宋"/>
                <w:b/>
                <w:bCs/>
                <w:sz w:val="22"/>
                <w:szCs w:val="22"/>
              </w:rPr>
              <w:t xml:space="preserve">5</w:t>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打印终端</w:t>
            </w:r>
            <w:r/>
          </w:p>
        </w:tc>
        <w:tc>
          <w:tcPr>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3.6.</w:t>
            </w:r>
            <w:r>
              <w:rPr>
                <w:rFonts w:ascii="仿宋" w:hAnsi="仿宋" w:eastAsia="仿宋" w:cs="仿宋"/>
                <w:sz w:val="22"/>
                <w:szCs w:val="22"/>
              </w:rPr>
              <w:t xml:space="preserve">8</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台</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rPr>
                <w:rFonts w:ascii="仿宋" w:hAnsi="仿宋" w:eastAsia="仿宋" w:cs="仿宋"/>
                <w:sz w:val="22"/>
                <w:szCs w:val="22"/>
              </w:rPr>
            </w:pPr>
            <w:r>
              <w:rPr>
                <w:rFonts w:hint="eastAsia" w:ascii="仿宋" w:hAnsi="仿宋" w:eastAsia="仿宋" w:cs="仿宋"/>
                <w:sz w:val="22"/>
                <w:szCs w:val="22"/>
              </w:rPr>
              <w:t xml:space="preserve">含200张打印纸</w:t>
            </w:r>
            <w:r/>
          </w:p>
        </w:tc>
      </w:tr>
      <w:tr>
        <w:trPr>
          <w:trHeight w:val="333"/>
        </w:trPr>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rFonts w:ascii="仿宋" w:hAnsi="仿宋" w:eastAsia="仿宋" w:cs="仿宋"/>
                <w:b/>
                <w:bCs/>
                <w:sz w:val="22"/>
                <w:szCs w:val="22"/>
              </w:rPr>
            </w:pPr>
            <w:r>
              <w:rPr>
                <w:rFonts w:ascii="仿宋" w:hAnsi="仿宋" w:eastAsia="仿宋" w:cs="仿宋"/>
                <w:b/>
                <w:bCs/>
                <w:sz w:val="22"/>
                <w:szCs w:val="22"/>
              </w:rPr>
              <w:t xml:space="preserve">6</w:t>
            </w:r>
            <w:r/>
          </w:p>
        </w:tc>
        <w:tc>
          <w:tcPr>
            <w:tcBorders>
              <w:top w:val="single" w:color="000000" w:sz="4" w:space="0"/>
              <w:left w:val="single" w:color="000000" w:sz="4" w:space="0"/>
              <w:bottom w:val="single" w:color="000000" w:sz="4" w:space="0"/>
              <w:right w:val="single" w:color="000000" w:sz="4" w:space="0"/>
            </w:tcBorders>
            <w:tcW w:w="4553"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辅材</w:t>
            </w:r>
            <w:r/>
          </w:p>
        </w:tc>
        <w:tc>
          <w:tcPr>
            <w:tcBorders>
              <w:top w:val="single" w:color="000000" w:sz="4" w:space="0"/>
              <w:left w:val="single" w:color="000000" w:sz="4" w:space="0"/>
              <w:bottom w:val="single" w:color="000000" w:sz="4" w:space="0"/>
              <w:right w:val="single" w:color="000000" w:sz="4" w:space="0"/>
            </w:tcBorders>
            <w:tcW w:w="4777"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数据跳线、光纤跳线、理线架等</w:t>
            </w:r>
            <w:r/>
          </w:p>
        </w:tc>
        <w:tc>
          <w:tcPr>
            <w:tcBorders>
              <w:top w:val="single" w:color="000000" w:sz="4" w:space="0"/>
              <w:left w:val="single" w:color="000000" w:sz="4" w:space="0"/>
              <w:bottom w:val="single" w:color="000000" w:sz="4" w:space="0"/>
              <w:right w:val="single" w:color="000000" w:sz="4" w:space="0"/>
            </w:tcBorders>
            <w:tcW w:w="1179"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 </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项</w:t>
            </w:r>
            <w:r/>
          </w:p>
        </w:tc>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jc w:val="center"/>
              <w:rPr>
                <w:rFonts w:ascii="仿宋" w:hAnsi="仿宋" w:eastAsia="仿宋" w:cs="仿宋"/>
                <w:sz w:val="22"/>
                <w:szCs w:val="22"/>
              </w:rPr>
            </w:pPr>
            <w:r>
              <w:rPr>
                <w:rFonts w:ascii="仿宋" w:hAnsi="仿宋" w:eastAsia="仿宋" w:cs="仿宋"/>
                <w:sz w:val="22"/>
                <w:szCs w:val="22"/>
              </w:rPr>
            </w:r>
            <w:r/>
          </w:p>
        </w:tc>
      </w:tr>
    </w:tbl>
    <w:p>
      <w:pPr>
        <w:spacing w:line="360" w:lineRule="auto"/>
        <w:rPr>
          <w:rFonts w:ascii="宋体" w:hAnsi="宋体" w:cs="仿宋"/>
          <w:bCs/>
          <w:sz w:val="24"/>
          <w:szCs w:val="24"/>
        </w:rPr>
      </w:pPr>
      <w:r>
        <w:rPr>
          <w:rFonts w:ascii="宋体" w:hAnsi="宋体" w:cs="仿宋"/>
          <w:bCs/>
          <w:sz w:val="24"/>
          <w:szCs w:val="24"/>
        </w:rPr>
      </w:r>
      <w:r/>
    </w:p>
    <w:p>
      <w:pPr>
        <w:rPr>
          <w:rFonts w:ascii="宋体" w:hAnsi="宋体" w:cs="仿宋"/>
          <w:sz w:val="24"/>
          <w:szCs w:val="24"/>
        </w:rPr>
        <w:sectPr>
          <w:footnotePr/>
          <w:endnotePr/>
          <w:type w:val="nextPage"/>
          <w:pgSz w:w="16840" w:h="11907" w:orient="landscape"/>
          <w:pgMar w:top="851" w:right="851" w:bottom="992" w:left="1134" w:header="851" w:footer="675" w:gutter="0"/>
          <w:cols w:num="1" w:sep="0" w:space="720" w:equalWidth="1"/>
          <w:docGrid w:linePitch="360"/>
          <w:titlePg/>
        </w:sectPr>
      </w:pPr>
      <w:r>
        <w:rPr>
          <w:rFonts w:ascii="宋体" w:hAnsi="宋体" w:cs="仿宋"/>
          <w:sz w:val="24"/>
          <w:szCs w:val="24"/>
        </w:rPr>
      </w:r>
      <w:r/>
    </w:p>
    <w:p>
      <w:pPr>
        <w:pStyle w:val="850"/>
        <w:ind w:firstLine="482"/>
        <w:spacing w:before="120" w:after="120" w:line="360" w:lineRule="auto"/>
        <w:tabs>
          <w:tab w:val="left" w:pos="0" w:leader="none"/>
        </w:tabs>
        <w:rPr>
          <w:rFonts w:ascii="宋体" w:hAnsi="宋体" w:cs="宋体"/>
          <w:bCs/>
          <w:sz w:val="24"/>
          <w:szCs w:val="24"/>
        </w:rPr>
      </w:pPr>
      <w:r/>
      <w:bookmarkStart w:id="219" w:name="_Hlk187612342"/>
      <w:r>
        <w:rPr>
          <w:rFonts w:hint="eastAsia" w:ascii="宋体" w:hAnsi="宋体" w:cs="宋体"/>
          <w:bCs/>
          <w:sz w:val="24"/>
          <w:szCs w:val="24"/>
        </w:rPr>
        <w:t xml:space="preserve">4、采购标的数量、采购项目交付或者实施的时间和地点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1.采购标的的数量：详见本标的第三部分项目需求中3.14节。</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2.采购项目交付时间：</w:t>
      </w:r>
      <w:r>
        <w:rPr>
          <w:rFonts w:hint="eastAsia" w:ascii="宋体" w:hAnsi="宋体" w:cs="宋体"/>
          <w:bCs/>
          <w:sz w:val="24"/>
          <w:szCs w:val="24"/>
        </w:rPr>
        <w:t xml:space="preserve">本项目施工工期为200个日历天（从开工通知书发出次日起计算，至竣工终验日止）。</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3.采购项目交付地点：采购人指定地点。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4.工期违约责任：</w:t>
      </w:r>
      <w:r>
        <w:rPr>
          <w:rFonts w:hint="eastAsia" w:ascii="宋体" w:hAnsi="宋体" w:cs="宋体"/>
          <w:bCs/>
          <w:sz w:val="24"/>
          <w:szCs w:val="24"/>
        </w:rPr>
        <w:t xml:space="preserve">中标人必须在规定工期内完成本项目的终验。未按时完成的，中标人必须承担违约赔偿责任，按合同总额×0.1%×超延天数，支付工期超延违约金（最高限额为合同总额的10%），在合同款中扣减，法律法规界定的不可抗力因素除外。若工期超延逾140天，采购人可终止项目合同，已完成的合格产品有效工程量按60%计量结算，同时责令中标人退场。采购人有权要求中标人赔偿因工期超延给采购人带来的损失（</w:t>
      </w:r>
      <w:r>
        <w:rPr>
          <w:rFonts w:hint="eastAsia" w:ascii="宋体" w:hAnsi="宋体" w:cs="仿宋"/>
          <w:bCs/>
          <w:sz w:val="24"/>
          <w:szCs w:val="24"/>
        </w:rPr>
        <w:t xml:space="preserve">投标人提供逾期违约承诺函</w:t>
      </w:r>
      <w:r>
        <w:rPr>
          <w:rFonts w:hint="eastAsia" w:ascii="宋体" w:hAnsi="宋体" w:cs="宋体"/>
          <w:bCs/>
          <w:sz w:val="24"/>
          <w:szCs w:val="24"/>
        </w:rPr>
        <w:t xml:space="preserve">）。</w:t>
      </w:r>
      <w:r/>
    </w:p>
    <w:p>
      <w:pPr>
        <w:pStyle w:val="850"/>
        <w:ind w:firstLine="482"/>
        <w:spacing w:before="120" w:after="120" w:line="360" w:lineRule="auto"/>
        <w:tabs>
          <w:tab w:val="left" w:pos="0" w:leader="none"/>
        </w:tabs>
        <w:rPr>
          <w:rFonts w:ascii="宋体" w:hAnsi="宋体" w:cs="宋体"/>
          <w:bCs/>
          <w:sz w:val="24"/>
          <w:szCs w:val="24"/>
        </w:rPr>
      </w:pPr>
      <w:r>
        <w:rPr>
          <w:rFonts w:hint="eastAsia" w:ascii="宋体" w:hAnsi="宋体" w:cs="宋体"/>
          <w:bCs/>
          <w:sz w:val="24"/>
          <w:szCs w:val="24"/>
        </w:rPr>
        <w:t xml:space="preserve">5、采购标的需满足的服务标准、期限、效率等要求</w:t>
      </w:r>
      <w:r/>
    </w:p>
    <w:p>
      <w:pPr>
        <w:ind w:firstLine="480"/>
        <w:spacing w:line="360" w:lineRule="auto"/>
        <w:rPr>
          <w:rFonts w:ascii="宋体" w:hAnsi="宋体" w:cs="宋体"/>
          <w:sz w:val="24"/>
          <w:szCs w:val="24"/>
        </w:rPr>
      </w:pPr>
      <w:r>
        <w:rPr>
          <w:rFonts w:hint="eastAsia" w:ascii="宋体" w:hAnsi="宋体" w:cs="宋体"/>
          <w:sz w:val="24"/>
          <w:szCs w:val="24"/>
        </w:rPr>
        <w:t xml:space="preserve">必须满足本标的中本项目需求详细说明文件3.11售后服务及其他（含培训、维护等）要求</w:t>
      </w:r>
      <w:r/>
    </w:p>
    <w:p>
      <w:pPr>
        <w:ind w:firstLine="480"/>
        <w:spacing w:line="360" w:lineRule="auto"/>
        <w:rPr>
          <w:rFonts w:ascii="宋体" w:hAnsi="宋体" w:cs="宋体"/>
          <w:sz w:val="24"/>
          <w:szCs w:val="24"/>
        </w:rPr>
      </w:pPr>
      <w:r>
        <w:rPr>
          <w:rFonts w:hint="eastAsia" w:ascii="宋体" w:hAnsi="宋体" w:cs="宋体"/>
          <w:sz w:val="24"/>
          <w:szCs w:val="24"/>
        </w:rPr>
        <w:t xml:space="preserve">1．终验前中标人必须提供由第三方法定检测机构出具系统合格的检测报告，报监理方申请该项目进入终验。</w:t>
      </w:r>
      <w:r/>
    </w:p>
    <w:p>
      <w:pPr>
        <w:ind w:firstLine="480"/>
        <w:spacing w:line="360" w:lineRule="auto"/>
        <w:rPr>
          <w:rFonts w:ascii="宋体" w:hAnsi="宋体" w:cs="宋体"/>
          <w:sz w:val="24"/>
          <w:szCs w:val="24"/>
        </w:rPr>
      </w:pPr>
      <w:r>
        <w:rPr>
          <w:rFonts w:hint="eastAsia" w:ascii="宋体" w:hAnsi="宋体" w:cs="宋体"/>
          <w:sz w:val="24"/>
          <w:szCs w:val="24"/>
        </w:rPr>
        <w:t xml:space="preserve">2．验收按《安全防范系统验收规则(GA308)》、《安全防范工程技术标准(GB50348)》、《安全防范工程通用规范（GB55029）》等现行标准执行。</w:t>
      </w:r>
      <w:r/>
    </w:p>
    <w:p>
      <w:pPr>
        <w:ind w:firstLine="480"/>
        <w:spacing w:line="360" w:lineRule="auto"/>
        <w:rPr>
          <w:rFonts w:ascii="宋体" w:hAnsi="宋体" w:cs="宋体"/>
          <w:sz w:val="24"/>
          <w:szCs w:val="24"/>
        </w:rPr>
      </w:pPr>
      <w:r>
        <w:rPr>
          <w:rFonts w:hint="eastAsia" w:ascii="宋体" w:hAnsi="宋体" w:cs="宋体"/>
          <w:sz w:val="24"/>
          <w:szCs w:val="24"/>
        </w:rPr>
        <w:t xml:space="preserve">3．投标人在投标响应文件中提供的项目验收方案，在中标后会作为中标人与采购人签订的合同技术文件内的项目验收条款的依据之一  </w:t>
      </w:r>
      <w:r/>
    </w:p>
    <w:p>
      <w:pPr>
        <w:pStyle w:val="850"/>
        <w:ind w:firstLine="482"/>
        <w:spacing w:before="120" w:after="120" w:line="360" w:lineRule="auto"/>
        <w:tabs>
          <w:tab w:val="left" w:pos="0" w:leader="none"/>
        </w:tabs>
        <w:rPr>
          <w:rFonts w:ascii="宋体" w:hAnsi="宋体" w:cs="宋体"/>
          <w:bCs/>
          <w:sz w:val="24"/>
          <w:szCs w:val="24"/>
        </w:rPr>
      </w:pPr>
      <w:r>
        <w:rPr>
          <w:rFonts w:hint="eastAsia" w:ascii="宋体" w:hAnsi="宋体" w:cs="宋体"/>
          <w:bCs/>
          <w:sz w:val="24"/>
          <w:szCs w:val="24"/>
        </w:rPr>
        <w:t xml:space="preserve">7、非单一产品采购项目，采购标的中的核心产品</w:t>
      </w:r>
      <w:r/>
    </w:p>
    <w:p>
      <w:pPr>
        <w:pStyle w:val="850"/>
        <w:ind w:left="142" w:firstLine="510"/>
        <w:spacing w:before="120" w:after="120" w:line="360" w:lineRule="auto"/>
        <w:tabs>
          <w:tab w:val="left" w:pos="0" w:leader="none"/>
        </w:tabs>
        <w:rPr>
          <w:rFonts w:ascii="宋体" w:hAnsi="宋体" w:cs="宋体"/>
          <w:spacing w:val="7"/>
          <w:sz w:val="24"/>
          <w:szCs w:val="24"/>
          <w:shd w:val="clear" w:color="auto" w:fill="ffffff"/>
        </w:rPr>
      </w:pPr>
      <w:r>
        <w:rPr>
          <w:rFonts w:hint="eastAsia" w:ascii="宋体" w:hAnsi="宋体" w:cs="宋体"/>
          <w:spacing w:val="7"/>
          <w:sz w:val="24"/>
          <w:szCs w:val="24"/>
          <w:shd w:val="clear" w:color="auto" w:fill="ffffff"/>
        </w:rPr>
        <w:t xml:space="preserve">/</w:t>
      </w:r>
      <w:r/>
    </w:p>
    <w:p>
      <w:pPr>
        <w:pStyle w:val="850"/>
        <w:ind w:firstLine="482"/>
        <w:spacing w:before="120" w:after="120" w:line="360" w:lineRule="auto"/>
        <w:tabs>
          <w:tab w:val="left" w:pos="0" w:leader="none"/>
        </w:tabs>
        <w:rPr>
          <w:rFonts w:ascii="宋体" w:hAnsi="宋体" w:cs="宋体"/>
          <w:bCs/>
          <w:sz w:val="24"/>
          <w:szCs w:val="24"/>
        </w:rPr>
      </w:pPr>
      <w:r>
        <w:rPr>
          <w:rFonts w:hint="eastAsia" w:ascii="宋体" w:hAnsi="宋体" w:cs="宋体"/>
          <w:bCs/>
          <w:sz w:val="24"/>
          <w:szCs w:val="24"/>
        </w:rPr>
        <w:t xml:space="preserve">8、采购需求中必须满足的其他实质性要求和条件</w:t>
      </w:r>
      <w:r/>
    </w:p>
    <w:p>
      <w:pPr>
        <w:ind w:firstLine="480"/>
        <w:spacing w:line="360" w:lineRule="auto"/>
        <w:rPr>
          <w:rFonts w:ascii="宋体" w:hAnsi="宋体" w:cs="宋体"/>
          <w:b/>
          <w:sz w:val="24"/>
          <w:szCs w:val="24"/>
        </w:rPr>
      </w:pPr>
      <w:r>
        <w:rPr>
          <w:rFonts w:hint="eastAsia" w:ascii="宋体" w:hAnsi="宋体" w:cs="宋体"/>
          <w:b/>
          <w:sz w:val="24"/>
          <w:szCs w:val="24"/>
        </w:rPr>
        <w:t xml:space="preserve">8</w:t>
      </w:r>
      <w:r>
        <w:rPr>
          <w:rFonts w:ascii="宋体" w:hAnsi="宋体" w:cs="宋体"/>
          <w:b/>
          <w:sz w:val="24"/>
          <w:szCs w:val="24"/>
        </w:rPr>
        <w:t xml:space="preserve">.1技术部分符合性要求</w:t>
      </w:r>
      <w:r/>
    </w:p>
    <w:p>
      <w:pPr>
        <w:ind w:firstLine="480"/>
        <w:spacing w:line="360" w:lineRule="auto"/>
        <w:rPr>
          <w:rFonts w:ascii="宋体" w:hAnsi="宋体" w:cs="仿宋"/>
          <w:i/>
          <w:iCs/>
          <w:sz w:val="24"/>
          <w:szCs w:val="24"/>
          <w:u w:val="single"/>
        </w:rPr>
      </w:pPr>
      <w:r>
        <w:rPr>
          <w:rFonts w:hint="eastAsia" w:ascii="宋体" w:hAnsi="宋体" w:cs="仿宋"/>
          <w:i/>
          <w:iCs/>
          <w:sz w:val="24"/>
          <w:szCs w:val="24"/>
          <w:u w:val="single"/>
        </w:rPr>
        <w:t xml:space="preserve">1.本项目要求中标人按国标、行标技术规范，免费配合完成本项目前端摄像机视图输出信息与后端存储、服务器及应用平台的对接、调试、接入等工作。（投标人提供承诺函）</w:t>
      </w:r>
      <w:r/>
    </w:p>
    <w:p>
      <w:pPr>
        <w:ind w:firstLine="480"/>
        <w:spacing w:line="360" w:lineRule="auto"/>
        <w:rPr>
          <w:rFonts w:ascii="宋体" w:hAnsi="宋体" w:cs="宋体"/>
          <w:sz w:val="24"/>
          <w:szCs w:val="24"/>
        </w:rPr>
      </w:pPr>
      <w:r>
        <w:rPr>
          <w:rFonts w:hint="eastAsia" w:ascii="宋体" w:hAnsi="宋体" w:cs="宋体"/>
          <w:i/>
          <w:iCs/>
          <w:sz w:val="24"/>
          <w:szCs w:val="24"/>
          <w:u w:val="single"/>
        </w:rPr>
        <w:t xml:space="preserve">2. 中标人中标后必须提供符合招标文件要求的全部型号摄像机样品，同时提交检测报告，由采购人、监理、采购人技术服务代表负责样品的封样测试和检测工作。投标人投标时必须提供承诺函，承诺项目中采购的摄像机的设备型号、技术参数、关键部件及图像效果与样品完全一致，进场的检测报告与样品检测报告完全一致</w:t>
      </w:r>
      <w:r>
        <w:rPr>
          <w:rFonts w:hint="eastAsia" w:ascii="宋体" w:hAnsi="宋体" w:cs="宋体"/>
          <w:sz w:val="24"/>
          <w:szCs w:val="24"/>
        </w:rPr>
        <w:t xml:space="preserve">。</w:t>
      </w:r>
      <w:r/>
    </w:p>
    <w:p>
      <w:pPr>
        <w:ind w:firstLine="480"/>
        <w:spacing w:line="360" w:lineRule="auto"/>
        <w:rPr>
          <w:rFonts w:ascii="宋体" w:hAnsi="宋体" w:cs="宋体"/>
          <w:b/>
          <w:sz w:val="24"/>
          <w:szCs w:val="24"/>
        </w:rPr>
      </w:pPr>
      <w:r>
        <w:rPr>
          <w:rFonts w:hint="eastAsia" w:ascii="宋体" w:hAnsi="宋体" w:cs="宋体"/>
          <w:b/>
          <w:sz w:val="24"/>
          <w:szCs w:val="24"/>
        </w:rPr>
        <w:t xml:space="preserve">8</w:t>
      </w:r>
      <w:r>
        <w:rPr>
          <w:rFonts w:ascii="宋体" w:hAnsi="宋体" w:cs="宋体"/>
          <w:b/>
          <w:sz w:val="24"/>
          <w:szCs w:val="24"/>
        </w:rPr>
        <w:t xml:space="preserve">.2</w:t>
      </w:r>
      <w:r>
        <w:rPr>
          <w:rFonts w:hint="eastAsia" w:ascii="宋体" w:hAnsi="宋体" w:cs="宋体"/>
          <w:b/>
          <w:sz w:val="24"/>
          <w:szCs w:val="24"/>
        </w:rPr>
        <w:t xml:space="preserve">商务</w:t>
      </w:r>
      <w:r>
        <w:rPr>
          <w:rFonts w:ascii="宋体" w:hAnsi="宋体" w:cs="宋体"/>
          <w:b/>
          <w:sz w:val="24"/>
          <w:szCs w:val="24"/>
        </w:rPr>
        <w:t xml:space="preserve">部分符合性要求</w:t>
      </w:r>
      <w:r/>
    </w:p>
    <w:p>
      <w:pPr>
        <w:ind w:firstLine="480"/>
        <w:spacing w:line="360" w:lineRule="auto"/>
        <w:rPr>
          <w:rFonts w:ascii="宋体" w:hAnsi="宋体" w:cs="宋体"/>
          <w:b/>
          <w:i/>
          <w:sz w:val="24"/>
          <w:szCs w:val="24"/>
          <w:u w:val="single"/>
        </w:rPr>
      </w:pPr>
      <w:r>
        <w:rPr>
          <w:rFonts w:hint="eastAsia" w:ascii="宋体" w:hAnsi="宋体" w:cs="宋体"/>
          <w:b/>
          <w:i/>
          <w:sz w:val="24"/>
          <w:szCs w:val="24"/>
          <w:u w:val="single"/>
        </w:rPr>
        <w:t xml:space="preserve">主要设备参数中加“</w:t>
      </w:r>
      <w:r>
        <w:rPr>
          <w:rFonts w:hint="eastAsia" w:ascii="宋体" w:hAnsi="宋体" w:cs="宋体"/>
          <w:b/>
          <w:i/>
          <w:u w:val="single"/>
        </w:rPr>
        <w:t xml:space="preserve">★</w:t>
      </w:r>
      <w:r>
        <w:rPr>
          <w:rFonts w:hint="eastAsia" w:ascii="宋体" w:hAnsi="宋体" w:cs="宋体"/>
          <w:b/>
          <w:i/>
          <w:sz w:val="24"/>
          <w:szCs w:val="24"/>
          <w:u w:val="single"/>
        </w:rPr>
        <w:t xml:space="preserve">”项为关键参数，不得负偏离，负偏离做废标处理，需逐一响应。</w:t>
      </w:r>
      <w:r/>
    </w:p>
    <w:p>
      <w:pPr>
        <w:pStyle w:val="850"/>
        <w:ind w:firstLine="482"/>
        <w:spacing w:before="120" w:after="120" w:line="360" w:lineRule="auto"/>
        <w:tabs>
          <w:tab w:val="left" w:pos="0" w:leader="none"/>
        </w:tabs>
        <w:rPr>
          <w:rFonts w:ascii="宋体" w:hAnsi="宋体" w:cs="宋体"/>
          <w:bCs/>
          <w:sz w:val="24"/>
          <w:szCs w:val="24"/>
        </w:rPr>
      </w:pPr>
      <w:r>
        <w:rPr>
          <w:rFonts w:hint="eastAsia" w:ascii="宋体" w:hAnsi="宋体" w:cs="宋体"/>
          <w:bCs/>
          <w:sz w:val="24"/>
          <w:szCs w:val="24"/>
        </w:rPr>
        <w:t xml:space="preserve">9、采购标的付款方式</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项目审计：终验合格后，由第三方审计单位对工程量进行审计，按照投标文件中《分项报价明细表》内的单价和审计后的工程量进行最终结算。</w:t>
      </w:r>
      <w:r/>
    </w:p>
    <w:p>
      <w:pPr>
        <w:ind w:firstLine="482"/>
        <w:jc w:val="left"/>
        <w:spacing w:line="500" w:lineRule="exact"/>
        <w:widowControl/>
        <w:rPr>
          <w:rFonts w:ascii="宋体" w:hAnsi="宋体"/>
          <w:b/>
          <w:bCs/>
          <w:sz w:val="24"/>
          <w:szCs w:val="24"/>
        </w:rPr>
      </w:pPr>
      <w:r>
        <w:rPr>
          <w:rFonts w:hint="eastAsia" w:ascii="宋体" w:hAnsi="宋体"/>
          <w:b/>
          <w:bCs/>
          <w:sz w:val="24"/>
          <w:szCs w:val="24"/>
        </w:rPr>
        <w:t xml:space="preserve">签订合同后一个月内支付合同价的30%（金额大写：   ）， 余款（按审计价计算）于终验合格后次月起分60个月付清。乙方在质保期内未按照售后服务要求执行的，按200元/次在当月支付金额中扣除。 </w:t>
      </w:r>
      <w:r/>
    </w:p>
    <w:p>
      <w:pPr>
        <w:pStyle w:val="850"/>
        <w:ind w:firstLine="482"/>
        <w:spacing w:before="120" w:after="120" w:line="360" w:lineRule="auto"/>
        <w:tabs>
          <w:tab w:val="left" w:pos="0" w:leader="none"/>
        </w:tabs>
        <w:rPr>
          <w:rFonts w:ascii="宋体" w:hAnsi="宋体" w:cs="宋体"/>
          <w:bCs/>
          <w:sz w:val="24"/>
          <w:szCs w:val="24"/>
        </w:rPr>
      </w:pPr>
      <w:r>
        <w:rPr>
          <w:rFonts w:hint="eastAsia" w:ascii="宋体" w:hAnsi="宋体" w:cs="宋体"/>
          <w:bCs/>
          <w:sz w:val="24"/>
          <w:szCs w:val="24"/>
        </w:rPr>
        <w:t xml:space="preserve">10、履约保证金</w:t>
      </w:r>
      <w:r/>
    </w:p>
    <w:p>
      <w:pPr>
        <w:pStyle w:val="850"/>
        <w:ind w:left="142" w:firstLine="480"/>
        <w:spacing w:before="120" w:after="120" w:line="360" w:lineRule="auto"/>
        <w:tabs>
          <w:tab w:val="left" w:pos="0" w:leader="none"/>
        </w:tabs>
        <w:rPr>
          <w:rFonts w:ascii="宋体" w:hAnsi="宋体" w:cs="宋体"/>
          <w:b w:val="0"/>
          <w:bCs/>
          <w:sz w:val="24"/>
          <w:szCs w:val="24"/>
        </w:rPr>
      </w:pPr>
      <w:r>
        <w:rPr>
          <w:rFonts w:hint="eastAsia" w:ascii="宋体" w:hAnsi="宋体" w:cs="宋体"/>
          <w:b w:val="0"/>
          <w:bCs/>
          <w:sz w:val="24"/>
          <w:szCs w:val="24"/>
        </w:rPr>
        <w:t xml:space="preserve">1.本项目成交后的履约保证金为项目合同总价款的5％（待成交供应商按时保质保量完成合同履约后予以退还），成交供应商的履约保证金可以以转账、支票、汇票、本票或者金融机构、担保机构出具的保函、履约保证金保险、现金等形式缴纳。</w:t>
      </w:r>
      <w:r/>
    </w:p>
    <w:p>
      <w:pPr>
        <w:pStyle w:val="850"/>
        <w:ind w:left="142" w:firstLine="480"/>
        <w:spacing w:before="120" w:after="120" w:line="360" w:lineRule="auto"/>
        <w:tabs>
          <w:tab w:val="left" w:pos="0" w:leader="none"/>
        </w:tabs>
        <w:rPr>
          <w:rFonts w:ascii="宋体" w:hAnsi="宋体" w:cs="宋体"/>
          <w:b w:val="0"/>
          <w:bCs/>
          <w:sz w:val="24"/>
          <w:szCs w:val="24"/>
        </w:rPr>
      </w:pPr>
      <w:r>
        <w:rPr>
          <w:rFonts w:hint="eastAsia" w:ascii="宋体" w:hAnsi="宋体" w:cs="宋体"/>
          <w:b w:val="0"/>
          <w:bCs/>
          <w:sz w:val="24"/>
          <w:szCs w:val="24"/>
        </w:rPr>
        <w:t xml:space="preserve">注明：对政府采购信用档案中无不良记录的中小企业可免收履约保证金。</w:t>
      </w:r>
      <w:r/>
    </w:p>
    <w:p>
      <w:pPr>
        <w:pStyle w:val="850"/>
        <w:ind w:left="142" w:firstLine="480"/>
        <w:spacing w:before="120" w:after="120" w:line="360" w:lineRule="auto"/>
        <w:tabs>
          <w:tab w:val="left" w:pos="0" w:leader="none"/>
        </w:tabs>
        <w:rPr>
          <w:rFonts w:ascii="宋体" w:hAnsi="宋体" w:cs="宋体"/>
          <w:b w:val="0"/>
          <w:bCs/>
          <w:sz w:val="24"/>
          <w:szCs w:val="24"/>
        </w:rPr>
      </w:pPr>
      <w:r>
        <w:rPr>
          <w:rFonts w:hint="eastAsia" w:ascii="宋体" w:hAnsi="宋体" w:cs="宋体"/>
          <w:b w:val="0"/>
          <w:bCs/>
          <w:sz w:val="24"/>
          <w:szCs w:val="24"/>
        </w:rPr>
        <w:t xml:space="preserve">2.成交供应商全部履约合同义务，经采购单位验收合格无质量、进度等问题的，采购人在验收合格后一次性退还履约保证金；</w:t>
      </w:r>
      <w:r/>
    </w:p>
    <w:p>
      <w:pPr>
        <w:pStyle w:val="850"/>
        <w:ind w:left="142" w:firstLine="480"/>
        <w:spacing w:before="120" w:after="120" w:line="360" w:lineRule="auto"/>
        <w:tabs>
          <w:tab w:val="left" w:pos="0" w:leader="none"/>
        </w:tabs>
        <w:rPr>
          <w:rFonts w:ascii="宋体" w:hAnsi="宋体" w:cs="宋体"/>
          <w:b w:val="0"/>
          <w:bCs/>
          <w:sz w:val="24"/>
          <w:szCs w:val="24"/>
        </w:rPr>
      </w:pPr>
      <w:r>
        <w:rPr>
          <w:rFonts w:hint="eastAsia" w:ascii="宋体" w:hAnsi="宋体" w:cs="宋体"/>
          <w:b w:val="0"/>
          <w:bCs/>
          <w:sz w:val="24"/>
          <w:szCs w:val="24"/>
        </w:rPr>
        <w:t xml:space="preserve">3.发生以下情况的，履约保证金不予退还或部分退还：</w:t>
      </w:r>
      <w:r/>
    </w:p>
    <w:p>
      <w:pPr>
        <w:pStyle w:val="850"/>
        <w:ind w:left="142" w:firstLine="480"/>
        <w:spacing w:before="120" w:after="120" w:line="360" w:lineRule="auto"/>
        <w:tabs>
          <w:tab w:val="left" w:pos="0" w:leader="none"/>
        </w:tabs>
        <w:rPr>
          <w:rFonts w:ascii="宋体" w:hAnsi="宋体" w:cs="宋体"/>
          <w:b w:val="0"/>
          <w:bCs/>
          <w:sz w:val="24"/>
          <w:szCs w:val="24"/>
        </w:rPr>
      </w:pPr>
      <w:r>
        <w:rPr>
          <w:rFonts w:hint="eastAsia" w:ascii="宋体" w:hAnsi="宋体" w:cs="宋体"/>
          <w:b w:val="0"/>
          <w:bCs/>
          <w:sz w:val="24"/>
          <w:szCs w:val="24"/>
        </w:rPr>
        <w:t xml:space="preserve">a.签订合同后，成交供应商不履行合同义务的，采购单位有权全额扣除履约保证金，全额不予退还，同时采购单位亦有权终止合同，中标供应商还须承担相应的法律赔偿责任。</w:t>
      </w:r>
      <w:r/>
    </w:p>
    <w:p>
      <w:pPr>
        <w:pStyle w:val="850"/>
        <w:ind w:left="142" w:firstLine="480"/>
        <w:spacing w:before="120" w:after="120" w:line="360" w:lineRule="auto"/>
        <w:tabs>
          <w:tab w:val="left" w:pos="0" w:leader="none"/>
        </w:tabs>
        <w:rPr>
          <w:rFonts w:ascii="宋体" w:hAnsi="宋体" w:cs="宋体"/>
          <w:b w:val="0"/>
          <w:bCs/>
          <w:sz w:val="24"/>
          <w:szCs w:val="24"/>
        </w:rPr>
      </w:pPr>
      <w:r>
        <w:rPr>
          <w:rFonts w:hint="eastAsia" w:ascii="宋体" w:hAnsi="宋体" w:cs="宋体"/>
          <w:b w:val="0"/>
          <w:bCs/>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pStyle w:val="850"/>
        <w:ind w:left="142" w:firstLine="480"/>
        <w:spacing w:before="120" w:after="120" w:line="360" w:lineRule="auto"/>
        <w:tabs>
          <w:tab w:val="left" w:pos="0" w:leader="none"/>
        </w:tabs>
        <w:rPr>
          <w:rFonts w:ascii="宋体" w:hAnsi="宋体" w:cs="宋体"/>
          <w:b w:val="0"/>
          <w:bCs/>
          <w:sz w:val="24"/>
          <w:szCs w:val="24"/>
        </w:rPr>
      </w:pPr>
      <w:r>
        <w:rPr>
          <w:rFonts w:hint="eastAsia" w:ascii="宋体" w:hAnsi="宋体" w:cs="宋体"/>
          <w:b w:val="0"/>
          <w:bCs/>
          <w:sz w:val="24"/>
          <w:szCs w:val="24"/>
        </w:rPr>
        <w:t xml:space="preserve">4.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模块在线申请履约保证保险投保。</w:t>
      </w:r>
      <w:r/>
    </w:p>
    <w:p>
      <w:pPr>
        <w:pStyle w:val="850"/>
        <w:ind w:firstLine="482"/>
        <w:spacing w:before="120" w:after="120" w:line="360" w:lineRule="auto"/>
        <w:tabs>
          <w:tab w:val="left" w:pos="0" w:leader="none"/>
        </w:tabs>
        <w:rPr>
          <w:rFonts w:ascii="宋体" w:hAnsi="宋体" w:cs="宋体"/>
          <w:bCs/>
          <w:sz w:val="24"/>
          <w:szCs w:val="24"/>
        </w:rPr>
      </w:pPr>
      <w:r/>
      <w:bookmarkStart w:id="220" w:name="_Hlk187612360"/>
      <w:r>
        <w:rPr>
          <w:rFonts w:hint="eastAsia" w:ascii="宋体" w:hAnsi="宋体" w:cs="宋体"/>
          <w:bCs/>
          <w:sz w:val="24"/>
          <w:szCs w:val="24"/>
        </w:rPr>
        <w:t xml:space="preserve">11、本项目不接受进口产品投标</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本次招标不接受进口产品</w:t>
      </w:r>
      <w:bookmarkEnd w:id="219"/>
      <w:r>
        <w:rPr>
          <w:rFonts w:hint="eastAsia" w:ascii="宋体" w:hAnsi="宋体" w:cs="宋体"/>
          <w:sz w:val="24"/>
          <w:szCs w:val="24"/>
        </w:rPr>
        <w:t xml:space="preserve">,指通过海关报关验放进入中国境内且产自关境外的产品。</w:t>
      </w:r>
      <w:bookmarkEnd w:id="220"/>
      <w:r/>
      <w:r/>
    </w:p>
    <w:p>
      <w:pPr>
        <w:pStyle w:val="850"/>
        <w:ind w:firstLine="482"/>
        <w:spacing w:before="120" w:after="120" w:line="360" w:lineRule="auto"/>
        <w:tabs>
          <w:tab w:val="left" w:pos="0" w:leader="none"/>
        </w:tabs>
        <w:rPr>
          <w:rFonts w:ascii="宋体" w:hAnsi="宋体" w:cs="宋体"/>
          <w:bCs/>
          <w:sz w:val="24"/>
          <w:szCs w:val="24"/>
        </w:rPr>
      </w:pPr>
      <w:r>
        <w:rPr>
          <w:rFonts w:hint="eastAsia" w:ascii="宋体" w:hAnsi="宋体" w:cs="宋体"/>
          <w:bCs/>
          <w:sz w:val="24"/>
          <w:szCs w:val="24"/>
        </w:rPr>
        <w:t xml:space="preserve">12、采购标的的其他技术、服务等要求</w:t>
      </w:r>
      <w:r/>
    </w:p>
    <w:p>
      <w:pPr>
        <w:pStyle w:val="850"/>
        <w:ind w:left="142" w:firstLine="480"/>
        <w:spacing w:before="120" w:after="120" w:line="360" w:lineRule="auto"/>
        <w:tabs>
          <w:tab w:val="left" w:pos="0" w:leader="none"/>
        </w:tabs>
        <w:rPr>
          <w:rFonts w:ascii="宋体" w:hAnsi="宋体" w:cs="宋体"/>
          <w:b w:val="0"/>
          <w:bCs/>
          <w:sz w:val="24"/>
          <w:szCs w:val="24"/>
        </w:rPr>
      </w:pPr>
      <w:r>
        <w:rPr>
          <w:rFonts w:hint="eastAsia" w:ascii="宋体" w:hAnsi="宋体" w:cs="宋体"/>
          <w:b w:val="0"/>
          <w:bCs/>
          <w:sz w:val="24"/>
          <w:szCs w:val="24"/>
        </w:rPr>
        <w:t xml:space="preserve">【一】政府采购中实施本国产品标准及相关政策</w:t>
      </w:r>
      <w:r/>
    </w:p>
    <w:p>
      <w:pPr>
        <w:pStyle w:val="850"/>
        <w:ind w:left="142" w:firstLine="480"/>
        <w:spacing w:before="120" w:after="120" w:line="360" w:lineRule="auto"/>
        <w:tabs>
          <w:tab w:val="left" w:pos="0" w:leader="none"/>
        </w:tabs>
        <w:rPr>
          <w:rFonts w:ascii="宋体" w:hAnsi="宋体" w:cs="宋体"/>
          <w:b w:val="0"/>
          <w:bCs/>
          <w:sz w:val="24"/>
          <w:szCs w:val="24"/>
        </w:rPr>
      </w:pPr>
      <w:r>
        <w:rPr>
          <w:rFonts w:hint="eastAsia" w:ascii="宋体" w:hAnsi="宋体" w:cs="宋体"/>
          <w:b w:val="0"/>
          <w:bCs/>
          <w:sz w:val="24"/>
          <w:szCs w:val="24"/>
        </w:rPr>
        <w:t xml:space="preserve">1.本项目对采购本国产品给予政策支持，具体内容见招标文件“第四部分 开标和评标”。</w:t>
      </w:r>
      <w:r/>
    </w:p>
    <w:p>
      <w:pPr>
        <w:pStyle w:val="850"/>
        <w:ind w:left="142" w:firstLine="480"/>
        <w:spacing w:before="120" w:after="120" w:line="360" w:lineRule="auto"/>
        <w:tabs>
          <w:tab w:val="left" w:pos="0" w:leader="none"/>
        </w:tabs>
        <w:rPr>
          <w:rFonts w:ascii="宋体" w:hAnsi="宋体" w:cs="宋体"/>
          <w:b w:val="0"/>
          <w:bCs/>
          <w:sz w:val="24"/>
          <w:szCs w:val="24"/>
        </w:rPr>
      </w:pPr>
      <w:r>
        <w:rPr>
          <w:rFonts w:hint="eastAsia" w:ascii="宋体" w:hAnsi="宋体" w:cs="宋体"/>
          <w:b w:val="0"/>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0"/>
        <w:ind w:left="142" w:firstLine="480"/>
        <w:spacing w:before="120" w:after="120" w:line="360" w:lineRule="auto"/>
        <w:tabs>
          <w:tab w:val="left" w:pos="0" w:leader="none"/>
        </w:tabs>
        <w:rPr>
          <w:rFonts w:ascii="宋体" w:hAnsi="宋体" w:cs="宋体"/>
          <w:b w:val="0"/>
          <w:bCs/>
          <w:sz w:val="24"/>
          <w:szCs w:val="24"/>
        </w:rPr>
      </w:pPr>
      <w:r>
        <w:rPr>
          <w:rFonts w:hint="eastAsia" w:ascii="宋体" w:hAnsi="宋体" w:cs="宋体"/>
          <w:b w:val="0"/>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0"/>
        <w:ind w:left="142" w:firstLine="480"/>
        <w:spacing w:before="120" w:after="120" w:line="360" w:lineRule="auto"/>
        <w:tabs>
          <w:tab w:val="left" w:pos="0" w:leader="none"/>
        </w:tabs>
        <w:rPr>
          <w:rFonts w:ascii="宋体" w:hAnsi="宋体" w:cs="宋体"/>
          <w:b w:val="0"/>
          <w:bCs/>
          <w:sz w:val="24"/>
          <w:szCs w:val="24"/>
        </w:rPr>
      </w:pPr>
      <w:r>
        <w:rPr>
          <w:rFonts w:hint="eastAsia" w:ascii="宋体" w:hAnsi="宋体" w:cs="宋体"/>
          <w:b w:val="0"/>
          <w:bCs/>
          <w:sz w:val="24"/>
          <w:szCs w:val="24"/>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pStyle w:val="850"/>
        <w:ind w:left="142" w:firstLine="480"/>
        <w:spacing w:before="120" w:after="120" w:line="360" w:lineRule="auto"/>
        <w:tabs>
          <w:tab w:val="left" w:pos="0" w:leader="none"/>
        </w:tabs>
        <w:rPr>
          <w:rFonts w:ascii="宋体" w:hAnsi="宋体" w:cs="宋体"/>
          <w:b w:val="0"/>
          <w:bCs/>
          <w:sz w:val="24"/>
          <w:szCs w:val="24"/>
        </w:rPr>
      </w:pPr>
      <w:r>
        <w:rPr>
          <w:rFonts w:hint="eastAsia" w:ascii="宋体" w:hAnsi="宋体" w:cs="宋体"/>
          <w:b w:val="0"/>
          <w:bCs/>
          <w:sz w:val="24"/>
          <w:szCs w:val="24"/>
        </w:rPr>
        <w:t xml:space="preserve">品目清单见《关于印发环境标志产品政府采购品目清单的通知》（财库〔2019〕18号）、《关于印发节能产品政府采购品目清单的通知》（财库〔2019〕19号）。</w:t>
      </w:r>
      <w:r/>
    </w:p>
    <w:p>
      <w:pPr>
        <w:pStyle w:val="850"/>
        <w:ind w:left="142" w:firstLine="480"/>
        <w:spacing w:before="120" w:after="120" w:line="360" w:lineRule="auto"/>
        <w:tabs>
          <w:tab w:val="left" w:pos="0" w:leader="none"/>
        </w:tabs>
        <w:rPr>
          <w:rFonts w:ascii="宋体" w:hAnsi="宋体" w:cs="宋体"/>
          <w:b w:val="0"/>
          <w:bCs/>
          <w:sz w:val="24"/>
          <w:szCs w:val="24"/>
        </w:rPr>
      </w:pPr>
      <w:r>
        <w:rPr>
          <w:rFonts w:hint="eastAsia" w:ascii="宋体" w:hAnsi="宋体" w:cs="宋体"/>
          <w:b w:val="0"/>
          <w:bCs/>
          <w:sz w:val="24"/>
          <w:szCs w:val="24"/>
        </w:rPr>
        <w:t xml:space="preserve">需求标准见《商品包装政府采购需求标准（试行）》《快递包装政府采购需求标准（试行）》（财办库〔2020〕123号）、《绿色数据中心政府采购需求标准（试行）》（财库〔2023〕7号）。</w:t>
      </w:r>
      <w:r/>
    </w:p>
    <w:p>
      <w:pPr>
        <w:pStyle w:val="1047"/>
        <w:rPr>
          <w:rFonts w:ascii="宋体" w:hAnsi="宋体" w:cs="宋体"/>
          <w:bCs/>
          <w:sz w:val="24"/>
        </w:rPr>
      </w:pPr>
      <w:r>
        <w:rPr>
          <w:rFonts w:hint="eastAsia"/>
        </w:rPr>
        <w:br w:type="page" w:clear="all"/>
      </w:r>
      <w:bookmarkStart w:id="221" w:name="_Toc219796292"/>
      <w:r/>
      <w:bookmarkStart w:id="222" w:name="_Toc120614281"/>
      <w:r>
        <w:rPr>
          <w:rFonts w:hint="eastAsia" w:ascii="宋体" w:hAnsi="宋体" w:eastAsia="宋体" w:cs="宋体"/>
          <w:bCs/>
          <w:sz w:val="44"/>
        </w:rPr>
        <w:t xml:space="preserve">第五章  评标方法与评标标准</w:t>
      </w:r>
      <w:bookmarkEnd w:id="221"/>
      <w:r/>
      <w:r/>
    </w:p>
    <w:p>
      <w:pPr>
        <w:pStyle w:val="1127"/>
        <w:ind w:firstLine="439"/>
        <w:rPr>
          <w:rFonts w:ascii="宋体" w:hAnsi="宋体" w:cs="宋体"/>
        </w:rPr>
      </w:pPr>
      <w:r>
        <w:rPr>
          <w:rFonts w:hint="eastAsia" w:ascii="宋体" w:hAnsi="宋体" w:cs="宋体"/>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33"/>
        <w:gridCol w:w="6536"/>
      </w:tblGrid>
      <w:tr>
        <w:trPr/>
        <w:tc>
          <w:tcPr>
            <w:tcW w:w="1436" w:type="pct"/>
            <w:vAlign w:val="center"/>
            <w:textDirection w:val="lrTb"/>
            <w:noWrap w:val="false"/>
          </w:tcPr>
          <w:p>
            <w:pPr>
              <w:jc w:val="center"/>
              <w:spacing w:line="480" w:lineRule="exact"/>
              <w:rPr>
                <w:rFonts w:ascii="宋体" w:hAnsi="宋体" w:cs="宋体"/>
                <w:sz w:val="24"/>
                <w:szCs w:val="24"/>
              </w:rPr>
            </w:pPr>
            <w:r>
              <w:rPr>
                <w:rFonts w:hint="eastAsia" w:ascii="宋体" w:hAnsi="宋体" w:cs="宋体"/>
                <w:sz w:val="24"/>
                <w:szCs w:val="24"/>
              </w:rPr>
              <w:t xml:space="preserve">选取中标候选人数量</w:t>
            </w:r>
            <w:r/>
          </w:p>
        </w:tc>
        <w:tc>
          <w:tcPr>
            <w:tcW w:w="3564" w:type="pct"/>
            <w:vAlign w:val="center"/>
            <w:textDirection w:val="lrTb"/>
            <w:noWrap w:val="false"/>
          </w:tcPr>
          <w:p>
            <w:pPr>
              <w:jc w:val="center"/>
              <w:spacing w:line="480" w:lineRule="exact"/>
              <w:rPr>
                <w:rFonts w:ascii="宋体" w:hAnsi="宋体" w:cs="宋体"/>
                <w:sz w:val="24"/>
                <w:szCs w:val="24"/>
              </w:rPr>
            </w:pPr>
            <w:r>
              <w:rPr>
                <w:rFonts w:hint="eastAsia" w:ascii="宋体" w:hAnsi="宋体" w:cs="宋体"/>
                <w:sz w:val="24"/>
                <w:szCs w:val="24"/>
              </w:rPr>
              <w:t xml:space="preserve">选取中标候选人的原则</w:t>
            </w:r>
            <w:r/>
          </w:p>
        </w:tc>
      </w:tr>
      <w:tr>
        <w:trPr/>
        <w:tc>
          <w:tcPr>
            <w:tcW w:w="1436" w:type="pct"/>
            <w:vAlign w:val="center"/>
            <w:textDirection w:val="lrTb"/>
            <w:noWrap w:val="false"/>
          </w:tcPr>
          <w:p>
            <w:pPr>
              <w:jc w:val="center"/>
              <w:spacing w:line="480" w:lineRule="exact"/>
              <w:rPr>
                <w:rFonts w:ascii="宋体" w:hAnsi="宋体" w:cs="宋体"/>
                <w:sz w:val="24"/>
                <w:szCs w:val="24"/>
              </w:rPr>
            </w:pPr>
            <w:r>
              <w:rPr>
                <w:rFonts w:hint="eastAsia" w:ascii="宋体" w:hAnsi="宋体" w:cs="宋体"/>
                <w:sz w:val="24"/>
                <w:szCs w:val="24"/>
              </w:rPr>
              <w:t xml:space="preserve">1</w:t>
            </w:r>
            <w:r/>
          </w:p>
        </w:tc>
        <w:tc>
          <w:tcPr>
            <w:tcW w:w="3564" w:type="pct"/>
            <w:vAlign w:val="center"/>
            <w:textDirection w:val="lrTb"/>
            <w:noWrap w:val="false"/>
          </w:tcPr>
          <w:p>
            <w:pPr>
              <w:jc w:val="center"/>
              <w:spacing w:line="480" w:lineRule="exact"/>
              <w:rPr>
                <w:rFonts w:ascii="宋体" w:hAnsi="宋体" w:cs="宋体"/>
                <w:sz w:val="24"/>
                <w:szCs w:val="24"/>
              </w:rPr>
            </w:pPr>
            <w:r>
              <w:rPr>
                <w:rFonts w:hint="eastAsia" w:ascii="宋体" w:hAnsi="宋体" w:cs="宋体"/>
                <w:sz w:val="24"/>
                <w:szCs w:val="24"/>
              </w:rPr>
              <w:t xml:space="preserve">满足招标文件全部实质性要求，且按照评审因素的量化指标评审得分最高的投标人为中标候选人。</w:t>
            </w:r>
            <w:r/>
          </w:p>
        </w:tc>
      </w:tr>
    </w:tbl>
    <w:p>
      <w:pPr>
        <w:pStyle w:val="1127"/>
        <w:ind w:firstLine="482"/>
        <w:spacing w:line="0" w:lineRule="atLeast"/>
        <w:rPr>
          <w:rFonts w:ascii="宋体" w:hAnsi="宋体" w:cs="宋体"/>
          <w:b/>
        </w:rPr>
      </w:pPr>
      <w:r>
        <w:rPr>
          <w:rFonts w:hint="eastAsia" w:ascii="宋体" w:hAnsi="宋体" w:cs="宋体"/>
          <w:b/>
        </w:rPr>
        <w:t xml:space="preserve">评标方法与评标标准</w:t>
      </w:r>
      <w:r/>
    </w:p>
    <w:p>
      <w:pPr>
        <w:pStyle w:val="1127"/>
        <w:ind w:firstLine="482"/>
        <w:spacing w:line="480" w:lineRule="exact"/>
        <w:rPr>
          <w:rFonts w:ascii="宋体" w:hAnsi="宋体" w:cs="宋体"/>
          <w:b/>
        </w:rPr>
      </w:pPr>
      <w:r>
        <w:rPr>
          <w:rFonts w:hint="eastAsia" w:ascii="宋体" w:hAnsi="宋体" w:cs="宋体"/>
          <w:b/>
        </w:rPr>
        <w:t xml:space="preserve">1、价格分：30分</w:t>
      </w:r>
      <w:r/>
    </w:p>
    <w:p>
      <w:pPr>
        <w:pStyle w:val="1127"/>
        <w:ind w:firstLine="562"/>
        <w:spacing w:line="480" w:lineRule="exact"/>
        <w:rPr>
          <w:rFonts w:ascii="宋体" w:hAnsi="宋体" w:cs="宋体"/>
          <w:b/>
        </w:rPr>
      </w:pPr>
      <w:r>
        <w:rPr>
          <w:rFonts w:hint="eastAsia" w:ascii="宋体" w:hAnsi="宋体" w:cs="宋体"/>
          <w:b/>
        </w:rPr>
        <w:t xml:space="preserve">价格分统一采用低价优先法计算，即满足招标文件要求且投标价格最低的投标报价为评标基准价，其价格分为满分。其他投标人的价格分统一按照下列公式计算：</w:t>
      </w:r>
      <w:r/>
    </w:p>
    <w:p>
      <w:pPr>
        <w:pStyle w:val="1127"/>
        <w:ind w:firstLine="562"/>
        <w:spacing w:line="480" w:lineRule="exact"/>
        <w:rPr>
          <w:rFonts w:ascii="宋体" w:hAnsi="宋体" w:cs="宋体"/>
          <w:b/>
        </w:rPr>
      </w:pPr>
      <w:r>
        <w:rPr>
          <w:rFonts w:hint="eastAsia" w:ascii="宋体" w:hAnsi="宋体" w:cs="宋体"/>
          <w:b/>
        </w:rPr>
        <w:t xml:space="preserve">投标报价得分=（评标基准价/投标报价）×价格权值×100</w:t>
      </w:r>
      <w:r/>
    </w:p>
    <w:p>
      <w:pPr>
        <w:ind w:firstLine="482"/>
        <w:jc w:val="left"/>
        <w:spacing w:line="360" w:lineRule="auto"/>
        <w:shd w:val="clear" w:color="auto" w:fill="ffffff"/>
        <w:widowControl/>
        <w:rPr>
          <w:rFonts w:ascii="宋体" w:hAnsi="宋体" w:cs="宋体"/>
          <w:b/>
          <w:sz w:val="24"/>
          <w:szCs w:val="24"/>
          <w:lang w:val="zh-CN"/>
        </w:rPr>
      </w:pPr>
      <w:r>
        <w:rPr>
          <w:rFonts w:hint="eastAsia" w:ascii="宋体" w:hAnsi="宋体" w:cs="宋体"/>
          <w:b/>
          <w:sz w:val="24"/>
          <w:szCs w:val="24"/>
          <w:lang w:val="zh-CN"/>
        </w:rPr>
        <w:t xml:space="preserve">按照《关于推动解决政府采购异常低价问题的通知》（财库〔2026〕2号文）的要求</w:t>
      </w:r>
      <w:r/>
    </w:p>
    <w:p>
      <w:pPr>
        <w:ind w:firstLine="482"/>
        <w:jc w:val="left"/>
        <w:spacing w:line="360" w:lineRule="auto"/>
        <w:shd w:val="clear" w:color="auto" w:fill="ffffff"/>
        <w:widowControl/>
        <w:rPr>
          <w:rFonts w:ascii="宋体" w:hAnsi="宋体" w:cs="宋体"/>
          <w:b/>
          <w:sz w:val="24"/>
          <w:szCs w:val="24"/>
          <w:lang w:val="zh-CN"/>
        </w:rPr>
      </w:pPr>
      <w:r>
        <w:rPr>
          <w:rFonts w:hint="eastAsia" w:ascii="宋体" w:hAnsi="宋体" w:cs="宋体"/>
          <w:b/>
          <w:sz w:val="24"/>
          <w:szCs w:val="24"/>
          <w:lang w:val="zh-CN"/>
        </w:rPr>
        <w:t xml:space="preserve">（一）本项目如出现下列情形之一的，评审委员会应当启动异常低价投标（响应）审查程序：</w:t>
      </w:r>
      <w:r/>
    </w:p>
    <w:p>
      <w:pPr>
        <w:ind w:firstLine="482"/>
        <w:jc w:val="left"/>
        <w:spacing w:line="360" w:lineRule="auto"/>
        <w:shd w:val="clear" w:color="auto" w:fill="ffffff"/>
        <w:widowControl/>
        <w:rPr>
          <w:rFonts w:ascii="宋体" w:hAnsi="宋体" w:cs="宋体"/>
          <w:b/>
          <w:sz w:val="24"/>
          <w:szCs w:val="24"/>
          <w:lang w:val="zh-CN"/>
        </w:rPr>
      </w:pPr>
      <w:r>
        <w:rPr>
          <w:rFonts w:hint="eastAsia" w:ascii="宋体" w:hAnsi="宋体" w:cs="宋体"/>
          <w:b/>
          <w:sz w:val="24"/>
          <w:szCs w:val="24"/>
          <w:lang w:val="zh-CN"/>
        </w:rPr>
        <w:t xml:space="preserve">1.投标（响应）报价低于全部通过符合性审查供应商投标（响应）报价平均值50%的，即投标（响应）报价&lt;全部通过符合性审查供应商投标（响应）报价平均值×50%；</w:t>
      </w:r>
      <w:r/>
    </w:p>
    <w:p>
      <w:pPr>
        <w:ind w:firstLine="482"/>
        <w:jc w:val="left"/>
        <w:spacing w:line="360" w:lineRule="auto"/>
        <w:shd w:val="clear" w:color="auto" w:fill="ffffff"/>
        <w:widowControl/>
        <w:rPr>
          <w:rFonts w:ascii="宋体" w:hAnsi="宋体" w:cs="宋体"/>
          <w:b/>
          <w:sz w:val="24"/>
          <w:szCs w:val="24"/>
          <w:lang w:val="zh-CN"/>
        </w:rPr>
      </w:pPr>
      <w:r>
        <w:rPr>
          <w:rFonts w:hint="eastAsia" w:ascii="宋体" w:hAnsi="宋体" w:cs="宋体"/>
          <w:b/>
          <w:sz w:val="24"/>
          <w:szCs w:val="24"/>
          <w:lang w:val="zh-CN"/>
        </w:rPr>
        <w:t xml:space="preserve">2.投标（响应）报价低于通过符合性审查的次低报价供应商投标（响应）报价50%的，即投标（响应）报价&lt;通过符合性审查的次低报价供应商投标（响应）报价×50%；</w:t>
      </w:r>
      <w:r/>
    </w:p>
    <w:p>
      <w:pPr>
        <w:ind w:firstLine="482"/>
        <w:jc w:val="left"/>
        <w:spacing w:line="360" w:lineRule="auto"/>
        <w:shd w:val="clear" w:color="auto" w:fill="ffffff"/>
        <w:widowControl/>
        <w:rPr>
          <w:rFonts w:ascii="宋体" w:hAnsi="宋体" w:cs="宋体"/>
          <w:b/>
          <w:sz w:val="24"/>
          <w:szCs w:val="24"/>
          <w:lang w:val="zh-CN"/>
        </w:rPr>
      </w:pPr>
      <w:r>
        <w:rPr>
          <w:rFonts w:hint="eastAsia" w:ascii="宋体" w:hAnsi="宋体" w:cs="宋体"/>
          <w:b/>
          <w:sz w:val="24"/>
          <w:szCs w:val="24"/>
          <w:lang w:val="zh-CN"/>
        </w:rPr>
        <w:t xml:space="preserve">3.投标（响应）报价低于采购项目最高限价45%的，即投标（响应）报价&lt;采购项目最高限价×45%；</w:t>
      </w:r>
      <w:r/>
    </w:p>
    <w:p>
      <w:pPr>
        <w:ind w:firstLine="482"/>
        <w:jc w:val="left"/>
        <w:spacing w:line="360" w:lineRule="auto"/>
        <w:shd w:val="clear" w:color="auto" w:fill="ffffff"/>
        <w:widowControl/>
        <w:rPr>
          <w:rFonts w:ascii="宋体" w:hAnsi="宋体" w:cs="宋体"/>
          <w:b/>
          <w:sz w:val="24"/>
          <w:szCs w:val="24"/>
          <w:lang w:val="zh-CN"/>
        </w:rPr>
      </w:pPr>
      <w:r>
        <w:rPr>
          <w:rFonts w:hint="eastAsia" w:ascii="宋体" w:hAnsi="宋体" w:cs="宋体"/>
          <w:b/>
          <w:sz w:val="24"/>
          <w:szCs w:val="24"/>
          <w:lang w:val="zh-CN"/>
        </w:rPr>
        <w:t xml:space="preserve">4.评审委员会基于专业判断，认为供应商报价过低，有可能影响产品质量或者不能诚信履约的其他情形。</w:t>
      </w:r>
      <w:r/>
    </w:p>
    <w:p>
      <w:pPr>
        <w:ind w:firstLine="482"/>
        <w:jc w:val="left"/>
        <w:spacing w:line="360" w:lineRule="auto"/>
        <w:shd w:val="clear" w:color="auto" w:fill="ffffff"/>
        <w:widowControl/>
        <w:rPr>
          <w:rFonts w:ascii="宋体" w:hAnsi="宋体" w:cs="宋体"/>
          <w:b/>
          <w:sz w:val="24"/>
          <w:szCs w:val="24"/>
          <w:lang w:val="zh-CN"/>
        </w:rPr>
      </w:pPr>
      <w:r>
        <w:rPr>
          <w:rFonts w:hint="eastAsia" w:ascii="宋体" w:hAnsi="宋体" w:cs="宋体"/>
          <w:b/>
          <w:sz w:val="24"/>
          <w:szCs w:val="24"/>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360" w:lineRule="auto"/>
        <w:shd w:val="clear" w:color="auto" w:fill="ffffff"/>
        <w:widowControl/>
        <w:rPr>
          <w:rFonts w:ascii="宋体" w:hAnsi="宋体" w:cs="宋体"/>
          <w:b/>
          <w:sz w:val="24"/>
          <w:szCs w:val="24"/>
          <w:lang w:val="zh-CN"/>
        </w:rPr>
      </w:pPr>
      <w:r>
        <w:rPr>
          <w:rFonts w:hint="eastAsia" w:ascii="宋体" w:hAnsi="宋体" w:cs="宋体"/>
          <w:b/>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58"/>
        <w:spacing w:line="360" w:lineRule="auto"/>
        <w:rPr>
          <w:rFonts w:ascii="宋体" w:eastAsia="宋体" w:cs="宋体"/>
          <w:b/>
          <w:sz w:val="24"/>
          <w:szCs w:val="24"/>
          <w:lang w:eastAsia="zh-CN"/>
        </w:rPr>
      </w:pPr>
      <w:r>
        <w:rPr>
          <w:rFonts w:hint="eastAsia" w:ascii="宋体" w:eastAsia="宋体" w:cs="宋体"/>
          <w:b/>
          <w:sz w:val="24"/>
          <w:szCs w:val="24"/>
          <w:lang w:eastAsia="zh-CN"/>
        </w:rPr>
        <w:t xml:space="preserve">2、技术分：</w:t>
      </w:r>
      <w:r>
        <w:rPr>
          <w:rFonts w:ascii="宋体" w:eastAsia="宋体" w:cs="宋体"/>
          <w:b/>
          <w:sz w:val="24"/>
          <w:szCs w:val="24"/>
          <w:lang w:eastAsia="zh-CN"/>
        </w:rPr>
        <w:t xml:space="preserve">31</w:t>
      </w:r>
      <w:r>
        <w:rPr>
          <w:rFonts w:hint="eastAsia" w:ascii="宋体" w:eastAsia="宋体" w:cs="宋体"/>
          <w:b/>
          <w:sz w:val="24"/>
          <w:szCs w:val="24"/>
          <w:lang w:eastAsia="zh-CN"/>
        </w:rPr>
        <w:t xml:space="preserve">分</w:t>
      </w:r>
      <w:r/>
    </w:p>
    <w:p>
      <w:pPr>
        <w:pStyle w:val="1158"/>
        <w:spacing w:line="360" w:lineRule="auto"/>
        <w:rPr>
          <w:rFonts w:ascii="宋体" w:eastAsia="宋体"/>
          <w:sz w:val="24"/>
          <w:szCs w:val="24"/>
          <w:lang w:eastAsia="zh-CN"/>
        </w:rPr>
      </w:pPr>
      <w:r>
        <w:rPr>
          <w:rFonts w:ascii="宋体" w:eastAsia="宋体"/>
          <w:sz w:val="24"/>
          <w:szCs w:val="24"/>
          <w:lang w:eastAsia="zh-CN"/>
        </w:rPr>
        <w:t xml:space="preserve">各投标人得分为评委会成员评分的算术平均分，分值保留小数点后两位。</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418"/>
        <w:gridCol w:w="6095"/>
        <w:gridCol w:w="981"/>
      </w:tblGrid>
      <w:tr>
        <w:trPr>
          <w:jc w:val="center"/>
        </w:trPr>
        <w:tc>
          <w:tcPr>
            <w:tcW w:w="675"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1418"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评分点</w:t>
            </w:r>
            <w:r/>
          </w:p>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名称</w:t>
            </w:r>
            <w:r/>
          </w:p>
        </w:tc>
        <w:tc>
          <w:tcPr>
            <w:tcW w:w="6095"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评审标准</w:t>
            </w:r>
            <w:r/>
          </w:p>
        </w:tc>
        <w:tc>
          <w:tcPr>
            <w:tcW w:w="981"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主/客观分</w:t>
            </w:r>
            <w:r/>
          </w:p>
        </w:tc>
      </w:tr>
      <w:tr>
        <w:trPr>
          <w:jc w:val="center"/>
        </w:trPr>
        <w:tc>
          <w:tcPr>
            <w:tcW w:w="675" w:type="dxa"/>
            <w:vAlign w:val="center"/>
            <w:textDirection w:val="lrTb"/>
            <w:noWrap w:val="false"/>
          </w:tcPr>
          <w:p>
            <w:pPr>
              <w:jc w:val="center"/>
              <w:spacing w:line="500" w:lineRule="exact"/>
              <w:rPr>
                <w:rFonts w:ascii="仿宋" w:hAnsi="仿宋" w:eastAsia="仿宋" w:cs="仿宋"/>
                <w:bCs/>
                <w:sz w:val="24"/>
                <w:szCs w:val="24"/>
              </w:rPr>
            </w:pPr>
            <w:r>
              <w:rPr>
                <w:rFonts w:hint="eastAsia" w:ascii="仿宋" w:hAnsi="仿宋" w:eastAsia="仿宋" w:cs="仿宋"/>
                <w:bCs/>
                <w:sz w:val="24"/>
                <w:szCs w:val="24"/>
              </w:rPr>
              <w:t xml:space="preserve">1</w:t>
            </w:r>
            <w:r/>
          </w:p>
        </w:tc>
        <w:tc>
          <w:tcPr>
            <w:tcW w:w="1418" w:type="dxa"/>
            <w:vAlign w:val="center"/>
            <w:textDirection w:val="lrTb"/>
            <w:noWrap w:val="false"/>
          </w:tcPr>
          <w:p>
            <w:pPr>
              <w:jc w:val="center"/>
              <w:spacing w:line="520" w:lineRule="exact"/>
              <w:rPr>
                <w:rFonts w:ascii="宋体" w:hAnsi="宋体" w:cs="宋体"/>
                <w:b/>
                <w:sz w:val="24"/>
                <w:szCs w:val="24"/>
              </w:rPr>
            </w:pPr>
            <w:r>
              <w:rPr>
                <w:rFonts w:hint="eastAsia" w:ascii="宋体" w:hAnsi="宋体" w:cs="宋体"/>
                <w:b/>
                <w:sz w:val="24"/>
                <w:szCs w:val="24"/>
              </w:rPr>
              <w:t xml:space="preserve">施工组织方案</w:t>
            </w:r>
            <w:r/>
          </w:p>
          <w:p>
            <w:pPr>
              <w:jc w:val="center"/>
              <w:spacing w:line="520" w:lineRule="exact"/>
              <w:rPr>
                <w:rFonts w:ascii="仿宋" w:hAnsi="仿宋" w:eastAsia="仿宋" w:cs="仿宋"/>
                <w:bCs/>
                <w:sz w:val="24"/>
                <w:szCs w:val="24"/>
              </w:rPr>
            </w:pPr>
            <w:r>
              <w:rPr>
                <w:rFonts w:hint="eastAsia" w:ascii="宋体" w:hAnsi="宋体" w:cs="宋体"/>
                <w:b/>
                <w:sz w:val="24"/>
                <w:szCs w:val="24"/>
              </w:rPr>
              <w:t xml:space="preserve">（1</w:t>
            </w:r>
            <w:r>
              <w:rPr>
                <w:rFonts w:ascii="宋体" w:hAnsi="宋体" w:cs="宋体"/>
                <w:b/>
                <w:sz w:val="24"/>
                <w:szCs w:val="24"/>
              </w:rPr>
              <w:t xml:space="preserve">2</w:t>
            </w:r>
            <w:r>
              <w:rPr>
                <w:rFonts w:hint="eastAsia" w:ascii="宋体" w:hAnsi="宋体" w:cs="宋体"/>
                <w:b/>
                <w:sz w:val="24"/>
                <w:szCs w:val="24"/>
              </w:rPr>
              <w:t xml:space="preserve">分）</w:t>
            </w:r>
            <w:r/>
          </w:p>
        </w:tc>
        <w:tc>
          <w:tcPr>
            <w:tcW w:w="6095" w:type="dxa"/>
            <w:vAlign w:val="center"/>
            <w:textDirection w:val="lrTb"/>
            <w:noWrap w:val="false"/>
          </w:tcPr>
          <w:p>
            <w:pPr>
              <w:ind w:firstLine="422"/>
              <w:spacing w:line="520" w:lineRule="exact"/>
              <w:rPr>
                <w:rFonts w:ascii="宋体" w:hAnsi="宋体" w:cs="宋体"/>
                <w:b/>
                <w:sz w:val="24"/>
                <w:szCs w:val="24"/>
              </w:rPr>
            </w:pPr>
            <w:r>
              <w:rPr>
                <w:rFonts w:hint="eastAsia" w:ascii="宋体" w:hAnsi="宋体" w:cs="宋体"/>
                <w:b/>
                <w:sz w:val="24"/>
                <w:szCs w:val="24"/>
              </w:rPr>
              <w:t xml:space="preserve">以下各项须经横向对比后打分。</w:t>
            </w:r>
            <w:r/>
          </w:p>
          <w:p>
            <w:pPr>
              <w:ind w:firstLine="360"/>
              <w:spacing w:line="520" w:lineRule="exact"/>
              <w:rPr>
                <w:rFonts w:ascii="宋体" w:hAnsi="宋体" w:cs="宋体"/>
                <w:sz w:val="24"/>
                <w:szCs w:val="24"/>
              </w:rPr>
            </w:pPr>
            <w:r>
              <w:rPr>
                <w:rFonts w:hint="eastAsia" w:ascii="宋体" w:hAnsi="宋体" w:cs="宋体"/>
                <w:sz w:val="24"/>
                <w:szCs w:val="24"/>
              </w:rPr>
              <w:t xml:space="preserve">1.详细的可操作性的施工进度计划，施工进度计划详细，可操作性强的得2分；施工进度计划较为详细，可操作性一般的得1分；施工进度计划无实质性内容，不具可操作性的得0分；</w:t>
            </w:r>
            <w:r/>
          </w:p>
          <w:p>
            <w:pPr>
              <w:ind w:firstLine="360"/>
              <w:spacing w:line="520" w:lineRule="exact"/>
              <w:rPr>
                <w:rFonts w:ascii="宋体" w:hAnsi="宋体" w:cs="宋体"/>
                <w:sz w:val="24"/>
                <w:szCs w:val="24"/>
              </w:rPr>
            </w:pPr>
            <w:r>
              <w:rPr>
                <w:rFonts w:hint="eastAsia" w:ascii="宋体" w:hAnsi="宋体" w:cs="宋体"/>
                <w:sz w:val="24"/>
                <w:szCs w:val="24"/>
              </w:rPr>
              <w:t xml:space="preserve">2.具体的安全、文明施工管理措施，安全、文明施工管理措施完善，可操作性强得2分；安全、文明施工管理措施较为完善，可操作性一般的得1分；无实质性内容，不具可操作性的得0分；</w:t>
            </w:r>
            <w:r/>
          </w:p>
          <w:p>
            <w:pPr>
              <w:ind w:firstLine="360"/>
              <w:spacing w:line="520" w:lineRule="exact"/>
              <w:rPr>
                <w:rFonts w:ascii="宋体" w:hAnsi="宋体" w:cs="宋体"/>
                <w:sz w:val="24"/>
                <w:szCs w:val="24"/>
              </w:rPr>
            </w:pPr>
            <w:r>
              <w:rPr>
                <w:rFonts w:hint="eastAsia" w:ascii="宋体" w:hAnsi="宋体" w:cs="宋体"/>
                <w:sz w:val="24"/>
                <w:szCs w:val="24"/>
              </w:rPr>
              <w:t xml:space="preserve">3.劳动力、机械设备投入计划与保证措施，劳动力、机械设备投入充足，保证到位的得2分；劳动力、机械设备投入较为充足，保证较为到位的得1分；劳动力、机械设备投入不足，保证差的得0分；</w:t>
            </w:r>
            <w:r/>
          </w:p>
          <w:p>
            <w:pPr>
              <w:ind w:firstLine="360"/>
              <w:spacing w:line="520" w:lineRule="exact"/>
              <w:rPr>
                <w:rFonts w:ascii="宋体" w:hAnsi="宋体" w:cs="宋体"/>
                <w:sz w:val="24"/>
                <w:szCs w:val="24"/>
              </w:rPr>
            </w:pPr>
            <w:r>
              <w:rPr>
                <w:rFonts w:hint="eastAsia" w:ascii="宋体" w:hAnsi="宋体" w:cs="宋体"/>
                <w:sz w:val="24"/>
                <w:szCs w:val="24"/>
              </w:rPr>
              <w:t xml:space="preserve">4.材料采购及资金投入计划与保证措施，材料采购计划和资金投入计划全面详细，保证到位的得2分；材料采购计划和资金投入计划内容一般，保证较为到位的得1分；材料采购计划和资金投入计划差，保证差的得0分；</w:t>
            </w:r>
            <w:r/>
          </w:p>
          <w:p>
            <w:pPr>
              <w:ind w:firstLine="360"/>
              <w:spacing w:line="520" w:lineRule="exact"/>
              <w:rPr>
                <w:rFonts w:ascii="宋体" w:hAnsi="宋体" w:cs="宋体"/>
                <w:sz w:val="24"/>
                <w:szCs w:val="24"/>
              </w:rPr>
            </w:pPr>
            <w:r>
              <w:rPr>
                <w:rFonts w:hint="eastAsia" w:ascii="宋体" w:hAnsi="宋体" w:cs="宋体"/>
                <w:sz w:val="24"/>
                <w:szCs w:val="24"/>
              </w:rPr>
              <w:t xml:space="preserve">5.具有指导性的子系统设备安装、供电、防雷接地、管线建设、缆线敷设安装工艺文件(细则)，安装工艺文件指导性强，内容全面详细的得2分；安装工艺文件指导性一般，内容基本覆盖的得1分；安装工艺文件没有指导性，无实质内容的得0分；</w:t>
            </w:r>
            <w:r/>
          </w:p>
          <w:p>
            <w:pPr>
              <w:ind w:firstLine="360"/>
              <w:spacing w:line="520" w:lineRule="exact"/>
              <w:rPr>
                <w:rFonts w:ascii="宋体" w:hAnsi="宋体" w:cs="宋体"/>
                <w:sz w:val="24"/>
                <w:szCs w:val="24"/>
              </w:rPr>
            </w:pPr>
            <w:r>
              <w:rPr>
                <w:rFonts w:hint="eastAsia" w:ascii="宋体" w:hAnsi="宋体" w:cs="宋体"/>
                <w:sz w:val="24"/>
                <w:szCs w:val="24"/>
              </w:rPr>
              <w:t xml:space="preserve">6.具有本工程分项验收标准和验收自检表(样表)，验收标准明确详细，样表内容具体的得1分；验收标准较为详细，样表内容一般的得0.5分；验收标准不全面，操作性差的得0分；</w:t>
            </w:r>
            <w:r/>
          </w:p>
          <w:p>
            <w:pPr>
              <w:ind w:firstLine="360"/>
              <w:spacing w:line="520" w:lineRule="exact"/>
              <w:rPr>
                <w:rFonts w:ascii="仿宋" w:hAnsi="仿宋" w:eastAsia="仿宋" w:cs="仿宋"/>
                <w:bCs/>
                <w:sz w:val="24"/>
                <w:szCs w:val="24"/>
              </w:rPr>
            </w:pPr>
            <w:r>
              <w:rPr>
                <w:rFonts w:hint="eastAsia" w:ascii="宋体" w:hAnsi="宋体" w:cs="宋体"/>
                <w:sz w:val="24"/>
                <w:szCs w:val="24"/>
              </w:rPr>
              <w:t xml:space="preserve">7.有分项(含隐蔽工程)检测标准和具体方法，检测标准详细明确，方法具体可操作的得1分；检测标准较为详细明确，方法可操作性一般的得0.5分；检测标准模糊，内容不全面，操作性差的得0分；</w:t>
            </w:r>
            <w:r/>
          </w:p>
        </w:tc>
        <w:tc>
          <w:tcPr>
            <w:tcW w:w="981" w:type="dxa"/>
            <w:vAlign w:val="center"/>
            <w:textDirection w:val="lrTb"/>
            <w:noWrap w:val="false"/>
          </w:tcPr>
          <w:p>
            <w:pPr>
              <w:jc w:val="center"/>
              <w:spacing w:line="500" w:lineRule="exact"/>
              <w:rPr>
                <w:rFonts w:ascii="仿宋" w:hAnsi="仿宋" w:eastAsia="仿宋" w:cs="仿宋"/>
                <w:bCs/>
                <w:sz w:val="24"/>
                <w:szCs w:val="24"/>
              </w:rPr>
            </w:pPr>
            <w:r>
              <w:rPr>
                <w:rFonts w:hint="eastAsia" w:ascii="仿宋" w:hAnsi="仿宋" w:eastAsia="仿宋" w:cs="仿宋"/>
                <w:bCs/>
                <w:sz w:val="24"/>
                <w:szCs w:val="24"/>
              </w:rPr>
              <w:t xml:space="preserve">主观分</w:t>
            </w:r>
            <w:r/>
          </w:p>
        </w:tc>
      </w:tr>
      <w:tr>
        <w:trPr>
          <w:jc w:val="center"/>
        </w:trPr>
        <w:tc>
          <w:tcPr>
            <w:tcW w:w="675"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1418" w:type="dxa"/>
            <w:vAlign w:val="center"/>
            <w:textDirection w:val="lrTb"/>
            <w:noWrap w:val="false"/>
          </w:tcPr>
          <w:p>
            <w:pPr>
              <w:jc w:val="center"/>
              <w:spacing w:line="520" w:lineRule="exact"/>
              <w:rPr>
                <w:rFonts w:ascii="宋体" w:hAnsi="宋体" w:cs="宋体"/>
                <w:b/>
                <w:bCs/>
                <w:sz w:val="24"/>
                <w:szCs w:val="24"/>
              </w:rPr>
            </w:pPr>
            <w:r>
              <w:rPr>
                <w:rFonts w:hint="eastAsia" w:ascii="宋体" w:hAnsi="宋体" w:cs="宋体"/>
                <w:b/>
                <w:bCs/>
                <w:sz w:val="24"/>
                <w:szCs w:val="24"/>
              </w:rPr>
              <w:t xml:space="preserve">合理化建议</w:t>
            </w:r>
            <w:r/>
          </w:p>
          <w:p>
            <w:pPr>
              <w:jc w:val="center"/>
              <w:spacing w:line="520" w:lineRule="exact"/>
              <w:rPr>
                <w:rFonts w:ascii="宋体" w:hAnsi="宋体" w:cs="宋体"/>
                <w:b/>
                <w:bCs/>
                <w:sz w:val="24"/>
                <w:szCs w:val="24"/>
              </w:rPr>
            </w:pPr>
            <w:r>
              <w:rPr>
                <w:rFonts w:hint="eastAsia" w:ascii="宋体" w:hAnsi="宋体" w:cs="宋体"/>
                <w:b/>
                <w:bCs/>
                <w:sz w:val="24"/>
                <w:szCs w:val="24"/>
              </w:rPr>
              <w:t xml:space="preserve">（</w:t>
            </w:r>
            <w:r>
              <w:rPr>
                <w:rFonts w:ascii="宋体" w:hAnsi="宋体" w:cs="宋体"/>
                <w:b/>
                <w:bCs/>
                <w:sz w:val="24"/>
                <w:szCs w:val="24"/>
              </w:rPr>
              <w:t xml:space="preserve">6</w:t>
            </w:r>
            <w:r>
              <w:rPr>
                <w:rFonts w:hint="eastAsia" w:ascii="宋体" w:hAnsi="宋体" w:cs="宋体"/>
                <w:b/>
                <w:bCs/>
                <w:sz w:val="24"/>
                <w:szCs w:val="24"/>
              </w:rPr>
              <w:t xml:space="preserve">分）</w:t>
            </w:r>
            <w:r/>
          </w:p>
        </w:tc>
        <w:tc>
          <w:tcPr>
            <w:tcW w:w="6095" w:type="dxa"/>
            <w:vAlign w:val="center"/>
            <w:textDirection w:val="lrTb"/>
            <w:noWrap w:val="false"/>
          </w:tcPr>
          <w:p>
            <w:pPr>
              <w:ind w:firstLine="420"/>
              <w:spacing w:line="520" w:lineRule="exact"/>
              <w:rPr>
                <w:rFonts w:ascii="宋体" w:hAnsi="宋体" w:cs="宋体"/>
                <w:sz w:val="24"/>
                <w:szCs w:val="24"/>
              </w:rPr>
            </w:pPr>
            <w:r>
              <w:rPr>
                <w:rFonts w:hint="eastAsia" w:ascii="宋体" w:hAnsi="宋体" w:cs="宋体"/>
                <w:sz w:val="24"/>
                <w:szCs w:val="24"/>
              </w:rPr>
              <w:t xml:space="preserve">以下各项须经横向对比后打分。</w:t>
            </w:r>
            <w:r/>
          </w:p>
          <w:p>
            <w:pPr>
              <w:ind w:firstLine="420"/>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.提供</w:t>
            </w:r>
            <w:r>
              <w:rPr>
                <w:rFonts w:hint="eastAsia" w:ascii="宋体" w:hAnsi="宋体" w:cs="宋体"/>
                <w:sz w:val="24"/>
                <w:szCs w:val="24"/>
              </w:rPr>
              <w:t xml:space="preserve">前端点位布设建议，评委横向比较，有实质性建议、内容具体合理的得</w:t>
            </w:r>
            <w:r>
              <w:rPr>
                <w:rFonts w:ascii="宋体" w:hAnsi="宋体" w:cs="宋体"/>
                <w:sz w:val="24"/>
                <w:szCs w:val="24"/>
              </w:rPr>
              <w:t xml:space="preserve">1</w:t>
            </w:r>
            <w:r>
              <w:rPr>
                <w:rFonts w:hint="eastAsia" w:ascii="宋体" w:hAnsi="宋体" w:cs="宋体"/>
                <w:sz w:val="24"/>
                <w:szCs w:val="24"/>
              </w:rPr>
              <w:t xml:space="preserve">分；建议一般、有可取之处的得</w:t>
            </w:r>
            <w:r>
              <w:rPr>
                <w:rFonts w:ascii="宋体" w:hAnsi="宋体" w:cs="宋体"/>
                <w:sz w:val="24"/>
                <w:szCs w:val="24"/>
              </w:rPr>
              <w:t xml:space="preserve">0.5</w:t>
            </w:r>
            <w:r>
              <w:rPr>
                <w:rFonts w:hint="eastAsia" w:ascii="宋体" w:hAnsi="宋体" w:cs="宋体"/>
                <w:sz w:val="24"/>
                <w:szCs w:val="24"/>
              </w:rPr>
              <w:t xml:space="preserve">分；内容空洞、无实质性建议的得0分。</w:t>
            </w:r>
            <w:r/>
          </w:p>
          <w:p>
            <w:pPr>
              <w:ind w:firstLine="420"/>
              <w:spacing w:line="520" w:lineRule="exact"/>
              <w:rPr>
                <w:rFonts w:ascii="宋体" w:hAnsi="宋体" w:cs="宋体"/>
                <w:sz w:val="24"/>
                <w:szCs w:val="24"/>
              </w:rPr>
            </w:pPr>
            <w:r>
              <w:rPr>
                <w:rFonts w:ascii="宋体" w:hAnsi="宋体" w:cs="宋体"/>
                <w:sz w:val="24"/>
                <w:szCs w:val="24"/>
              </w:rPr>
              <w:t xml:space="preserve">2.提供本项目</w:t>
            </w:r>
            <w:r>
              <w:rPr>
                <w:rFonts w:hint="eastAsia" w:ascii="宋体" w:hAnsi="宋体" w:cs="宋体"/>
                <w:sz w:val="24"/>
                <w:szCs w:val="24"/>
              </w:rPr>
              <w:t xml:space="preserve">取电及通信线路维护建议，评委横向比较，有实质性建议、内容具体合理的得</w:t>
            </w:r>
            <w:r>
              <w:rPr>
                <w:rFonts w:ascii="宋体" w:hAnsi="宋体" w:cs="宋体"/>
                <w:sz w:val="24"/>
                <w:szCs w:val="24"/>
              </w:rPr>
              <w:t xml:space="preserve">1</w:t>
            </w:r>
            <w:r>
              <w:rPr>
                <w:rFonts w:hint="eastAsia" w:ascii="宋体" w:hAnsi="宋体" w:cs="宋体"/>
                <w:sz w:val="24"/>
                <w:szCs w:val="24"/>
              </w:rPr>
              <w:t xml:space="preserve">分；建议一般、有可取之处的得</w:t>
            </w:r>
            <w:r>
              <w:rPr>
                <w:rFonts w:ascii="宋体" w:hAnsi="宋体" w:cs="宋体"/>
                <w:sz w:val="24"/>
                <w:szCs w:val="24"/>
              </w:rPr>
              <w:t xml:space="preserve">0.5</w:t>
            </w:r>
            <w:r>
              <w:rPr>
                <w:rFonts w:hint="eastAsia" w:ascii="宋体" w:hAnsi="宋体" w:cs="宋体"/>
                <w:sz w:val="24"/>
                <w:szCs w:val="24"/>
              </w:rPr>
              <w:t xml:space="preserve">分；内容空洞、无实质性建议的得0分。</w:t>
            </w:r>
            <w:r/>
          </w:p>
          <w:p>
            <w:pPr>
              <w:ind w:firstLine="420"/>
              <w:spacing w:line="520" w:lineRule="exact"/>
              <w:rPr>
                <w:rFonts w:ascii="宋体" w:hAnsi="宋体" w:cs="宋体"/>
                <w:sz w:val="24"/>
                <w:szCs w:val="24"/>
              </w:rPr>
            </w:pPr>
            <w:r>
              <w:rPr>
                <w:rFonts w:ascii="宋体" w:hAnsi="宋体" w:cs="宋体"/>
                <w:sz w:val="24"/>
                <w:szCs w:val="24"/>
              </w:rPr>
              <w:t xml:space="preserve">3.提供</w:t>
            </w:r>
            <w:r>
              <w:rPr>
                <w:rFonts w:hint="eastAsia" w:ascii="宋体" w:hAnsi="宋体" w:cs="宋体"/>
                <w:sz w:val="24"/>
                <w:szCs w:val="24"/>
              </w:rPr>
              <w:t xml:space="preserve">云存储系统维护建议，评委横向比较，有实质性建议、内容具体合理的得</w:t>
            </w:r>
            <w:r>
              <w:rPr>
                <w:rFonts w:ascii="宋体" w:hAnsi="宋体" w:cs="宋体"/>
                <w:sz w:val="24"/>
                <w:szCs w:val="24"/>
              </w:rPr>
              <w:t xml:space="preserve">2</w:t>
            </w:r>
            <w:r>
              <w:rPr>
                <w:rFonts w:hint="eastAsia" w:ascii="宋体" w:hAnsi="宋体" w:cs="宋体"/>
                <w:sz w:val="24"/>
                <w:szCs w:val="24"/>
              </w:rPr>
              <w:t xml:space="preserve">分；建议一般、有可取之处的得</w:t>
            </w:r>
            <w:r>
              <w:rPr>
                <w:rFonts w:ascii="宋体" w:hAnsi="宋体" w:cs="宋体"/>
                <w:sz w:val="24"/>
                <w:szCs w:val="24"/>
              </w:rPr>
              <w:t xml:space="preserve">1</w:t>
            </w:r>
            <w:r>
              <w:rPr>
                <w:rFonts w:hint="eastAsia" w:ascii="宋体" w:hAnsi="宋体" w:cs="宋体"/>
                <w:sz w:val="24"/>
                <w:szCs w:val="24"/>
              </w:rPr>
              <w:t xml:space="preserve">分；内容空洞、无实质性建议的得0分。</w:t>
            </w:r>
            <w:r/>
          </w:p>
          <w:p>
            <w:pPr>
              <w:ind w:firstLine="420"/>
              <w:spacing w:line="520" w:lineRule="exact"/>
              <w:rPr>
                <w:rFonts w:ascii="宋体" w:hAnsi="宋体" w:cs="宋体"/>
                <w:sz w:val="24"/>
                <w:szCs w:val="24"/>
              </w:rPr>
            </w:pPr>
            <w:r>
              <w:rPr>
                <w:rFonts w:ascii="宋体" w:hAnsi="宋体" w:cs="宋体"/>
                <w:sz w:val="24"/>
                <w:szCs w:val="24"/>
              </w:rPr>
              <w:t xml:space="preserve">4.提供</w:t>
            </w:r>
            <w:r>
              <w:rPr>
                <w:rFonts w:hint="eastAsia" w:ascii="宋体" w:hAnsi="宋体" w:cs="宋体"/>
                <w:sz w:val="24"/>
                <w:szCs w:val="24"/>
              </w:rPr>
              <w:t xml:space="preserve">数据中心精密空调维护建议，评委横向比较，有实质性建议、内容具体合理的得</w:t>
            </w:r>
            <w:r>
              <w:rPr>
                <w:rFonts w:ascii="宋体" w:hAnsi="宋体" w:cs="宋体"/>
                <w:sz w:val="24"/>
                <w:szCs w:val="24"/>
              </w:rPr>
              <w:t xml:space="preserve">1</w:t>
            </w:r>
            <w:r>
              <w:rPr>
                <w:rFonts w:hint="eastAsia" w:ascii="宋体" w:hAnsi="宋体" w:cs="宋体"/>
                <w:sz w:val="24"/>
                <w:szCs w:val="24"/>
              </w:rPr>
              <w:t xml:space="preserve">分；建议一般、有可取之处的得</w:t>
            </w:r>
            <w:r>
              <w:rPr>
                <w:rFonts w:ascii="宋体" w:hAnsi="宋体" w:cs="宋体"/>
                <w:sz w:val="24"/>
                <w:szCs w:val="24"/>
              </w:rPr>
              <w:t xml:space="preserve">0.5</w:t>
            </w:r>
            <w:r>
              <w:rPr>
                <w:rFonts w:hint="eastAsia" w:ascii="宋体" w:hAnsi="宋体" w:cs="宋体"/>
                <w:sz w:val="24"/>
                <w:szCs w:val="24"/>
              </w:rPr>
              <w:t xml:space="preserve">分；内容空洞、无实质性建议的得0分。</w:t>
            </w:r>
            <w:r/>
          </w:p>
          <w:p>
            <w:pPr>
              <w:ind w:firstLine="420"/>
              <w:spacing w:line="520" w:lineRule="exact"/>
              <w:rPr>
                <w:rFonts w:ascii="宋体" w:hAnsi="宋体" w:cs="宋体"/>
                <w:sz w:val="24"/>
                <w:szCs w:val="24"/>
              </w:rPr>
            </w:pPr>
            <w:r>
              <w:rPr>
                <w:rFonts w:ascii="宋体" w:hAnsi="宋体" w:cs="宋体"/>
                <w:sz w:val="24"/>
                <w:szCs w:val="24"/>
              </w:rPr>
              <w:t xml:space="preserve">5.提供</w:t>
            </w:r>
            <w:r>
              <w:rPr>
                <w:rFonts w:hint="eastAsia" w:ascii="宋体" w:hAnsi="宋体" w:cs="宋体"/>
                <w:sz w:val="24"/>
                <w:szCs w:val="24"/>
              </w:rPr>
              <w:t xml:space="preserve">云存储资源扩容建议，评委横向比较，有实质性建议、内容具体合理的得</w:t>
            </w:r>
            <w:r>
              <w:rPr>
                <w:rFonts w:ascii="宋体" w:hAnsi="宋体" w:cs="宋体"/>
                <w:sz w:val="24"/>
                <w:szCs w:val="24"/>
              </w:rPr>
              <w:t xml:space="preserve">1</w:t>
            </w:r>
            <w:r>
              <w:rPr>
                <w:rFonts w:hint="eastAsia" w:ascii="宋体" w:hAnsi="宋体" w:cs="宋体"/>
                <w:sz w:val="24"/>
                <w:szCs w:val="24"/>
              </w:rPr>
              <w:t xml:space="preserve">分；建议一般、有可取之处的得</w:t>
            </w:r>
            <w:r>
              <w:rPr>
                <w:rFonts w:ascii="宋体" w:hAnsi="宋体" w:cs="宋体"/>
                <w:sz w:val="24"/>
                <w:szCs w:val="24"/>
              </w:rPr>
              <w:t xml:space="preserve">0.5</w:t>
            </w:r>
            <w:r>
              <w:rPr>
                <w:rFonts w:hint="eastAsia" w:ascii="宋体" w:hAnsi="宋体" w:cs="宋体"/>
                <w:sz w:val="24"/>
                <w:szCs w:val="24"/>
              </w:rPr>
              <w:t xml:space="preserve">分；内容空洞、无实质性建议的得0分。</w:t>
            </w:r>
            <w:r/>
          </w:p>
        </w:tc>
        <w:tc>
          <w:tcPr>
            <w:tcW w:w="981" w:type="dxa"/>
            <w:vAlign w:val="center"/>
            <w:textDirection w:val="lrTb"/>
            <w:noWrap w:val="false"/>
          </w:tcPr>
          <w:p>
            <w:pPr>
              <w:jc w:val="center"/>
              <w:spacing w:line="500" w:lineRule="exact"/>
              <w:rPr>
                <w:rFonts w:ascii="仿宋" w:hAnsi="仿宋" w:eastAsia="仿宋" w:cs="仿宋"/>
                <w:bCs/>
                <w:sz w:val="24"/>
                <w:szCs w:val="24"/>
              </w:rPr>
            </w:pPr>
            <w:r>
              <w:rPr>
                <w:rFonts w:hint="eastAsia" w:ascii="仿宋" w:hAnsi="仿宋" w:eastAsia="仿宋" w:cs="仿宋"/>
                <w:bCs/>
                <w:sz w:val="24"/>
                <w:szCs w:val="24"/>
              </w:rPr>
              <w:t xml:space="preserve">主观分</w:t>
            </w:r>
            <w:r/>
          </w:p>
        </w:tc>
      </w:tr>
      <w:tr>
        <w:trPr>
          <w:jc w:val="center"/>
        </w:trPr>
        <w:tc>
          <w:tcPr>
            <w:tcW w:w="675"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3</w:t>
            </w:r>
            <w:r/>
          </w:p>
        </w:tc>
        <w:tc>
          <w:tcPr>
            <w:tcW w:w="1418" w:type="dxa"/>
            <w:vAlign w:val="center"/>
            <w:textDirection w:val="lrTb"/>
            <w:noWrap w:val="false"/>
          </w:tcPr>
          <w:p>
            <w:pPr>
              <w:jc w:val="center"/>
              <w:spacing w:line="520" w:lineRule="exact"/>
              <w:rPr>
                <w:rFonts w:ascii="宋体" w:hAnsi="宋体" w:cs="宋体"/>
                <w:b/>
                <w:bCs/>
                <w:sz w:val="24"/>
                <w:szCs w:val="24"/>
              </w:rPr>
            </w:pPr>
            <w:r>
              <w:rPr>
                <w:rFonts w:hint="eastAsia" w:ascii="宋体" w:hAnsi="宋体" w:cs="宋体"/>
                <w:b/>
                <w:bCs/>
                <w:sz w:val="24"/>
                <w:szCs w:val="24"/>
              </w:rPr>
              <w:t xml:space="preserve">售后服务</w:t>
            </w:r>
            <w:r/>
          </w:p>
          <w:p>
            <w:pPr>
              <w:jc w:val="center"/>
              <w:spacing w:line="520" w:lineRule="exact"/>
              <w:rPr>
                <w:rFonts w:ascii="宋体" w:hAnsi="宋体" w:cs="宋体"/>
                <w:b/>
                <w:bCs/>
                <w:sz w:val="24"/>
                <w:szCs w:val="24"/>
              </w:rPr>
            </w:pPr>
            <w:r>
              <w:rPr>
                <w:rFonts w:hint="eastAsia" w:ascii="宋体" w:hAnsi="宋体" w:cs="宋体"/>
                <w:b/>
                <w:bCs/>
                <w:sz w:val="24"/>
                <w:szCs w:val="24"/>
              </w:rPr>
              <w:t xml:space="preserve">（</w:t>
            </w:r>
            <w:r>
              <w:rPr>
                <w:rFonts w:ascii="宋体" w:hAnsi="宋体" w:cs="宋体"/>
                <w:b/>
                <w:bCs/>
                <w:sz w:val="24"/>
                <w:szCs w:val="24"/>
              </w:rPr>
              <w:t xml:space="preserve">5</w:t>
            </w:r>
            <w:r>
              <w:rPr>
                <w:rFonts w:hint="eastAsia" w:ascii="宋体" w:hAnsi="宋体" w:cs="宋体"/>
                <w:b/>
                <w:bCs/>
                <w:sz w:val="24"/>
                <w:szCs w:val="24"/>
              </w:rPr>
              <w:t xml:space="preserve">分）</w:t>
            </w:r>
            <w:r/>
          </w:p>
        </w:tc>
        <w:tc>
          <w:tcPr>
            <w:tcW w:w="6095" w:type="dxa"/>
            <w:vAlign w:val="center"/>
            <w:textDirection w:val="lrTb"/>
            <w:noWrap w:val="false"/>
          </w:tcPr>
          <w:p>
            <w:pPr>
              <w:ind w:firstLine="420"/>
              <w:spacing w:line="520" w:lineRule="exact"/>
              <w:rPr>
                <w:rFonts w:ascii="宋体" w:hAnsi="宋体" w:cs="宋体"/>
                <w:sz w:val="24"/>
                <w:szCs w:val="24"/>
              </w:rPr>
            </w:pPr>
            <w:r>
              <w:rPr>
                <w:rFonts w:hint="eastAsia" w:ascii="宋体" w:hAnsi="宋体" w:cs="宋体"/>
                <w:sz w:val="24"/>
                <w:szCs w:val="24"/>
              </w:rPr>
              <w:t xml:space="preserve">提供详细的售后服务承诺，包括质保期服务内容、售后保障措施及重大活动应急保障预案、备品备件清单。评委横向比较，内容全面，承诺具体的得5分，内容一般得3分，差得1分。无售后服务承诺、质保承诺的不得分。</w:t>
            </w:r>
            <w:r/>
          </w:p>
        </w:tc>
        <w:tc>
          <w:tcPr>
            <w:tcW w:w="981" w:type="dxa"/>
            <w:vAlign w:val="center"/>
            <w:textDirection w:val="lrTb"/>
            <w:noWrap w:val="false"/>
          </w:tcPr>
          <w:p>
            <w:pPr>
              <w:jc w:val="center"/>
              <w:spacing w:line="500" w:lineRule="exact"/>
              <w:rPr>
                <w:rFonts w:ascii="仿宋" w:hAnsi="仿宋" w:eastAsia="仿宋" w:cs="仿宋"/>
                <w:bCs/>
                <w:sz w:val="24"/>
                <w:szCs w:val="24"/>
              </w:rPr>
            </w:pPr>
            <w:r>
              <w:rPr>
                <w:rFonts w:hint="eastAsia" w:ascii="仿宋" w:hAnsi="仿宋" w:eastAsia="仿宋" w:cs="仿宋"/>
                <w:bCs/>
                <w:sz w:val="24"/>
                <w:szCs w:val="24"/>
              </w:rPr>
              <w:t xml:space="preserve">主观分</w:t>
            </w:r>
            <w:r/>
          </w:p>
        </w:tc>
      </w:tr>
      <w:tr>
        <w:trPr>
          <w:jc w:val="center"/>
        </w:trPr>
        <w:tc>
          <w:tcPr>
            <w:tcW w:w="675"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4</w:t>
            </w:r>
            <w:r/>
          </w:p>
        </w:tc>
        <w:tc>
          <w:tcPr>
            <w:tcW w:w="1418" w:type="dxa"/>
            <w:vAlign w:val="center"/>
            <w:textDirection w:val="lrTb"/>
            <w:noWrap w:val="false"/>
          </w:tcPr>
          <w:p>
            <w:pPr>
              <w:jc w:val="center"/>
              <w:spacing w:line="520" w:lineRule="exact"/>
              <w:rPr>
                <w:rFonts w:ascii="宋体" w:hAnsi="宋体" w:cs="宋体"/>
                <w:b/>
                <w:bCs/>
                <w:sz w:val="24"/>
                <w:szCs w:val="24"/>
              </w:rPr>
            </w:pPr>
            <w:r>
              <w:rPr>
                <w:rFonts w:hint="eastAsia" w:ascii="宋体" w:hAnsi="宋体" w:cs="宋体"/>
                <w:b/>
                <w:bCs/>
                <w:sz w:val="24"/>
                <w:szCs w:val="24"/>
              </w:rPr>
              <w:t xml:space="preserve">述标</w:t>
            </w:r>
            <w:r/>
          </w:p>
          <w:p>
            <w:pPr>
              <w:jc w:val="center"/>
              <w:spacing w:line="520" w:lineRule="exact"/>
              <w:rPr>
                <w:rFonts w:ascii="宋体" w:hAnsi="宋体" w:cs="宋体"/>
                <w:sz w:val="24"/>
                <w:szCs w:val="24"/>
              </w:rPr>
            </w:pPr>
            <w:r>
              <w:rPr>
                <w:rFonts w:hint="eastAsia" w:ascii="宋体" w:hAnsi="宋体" w:cs="宋体"/>
                <w:b/>
                <w:bCs/>
                <w:sz w:val="24"/>
                <w:szCs w:val="24"/>
              </w:rPr>
              <w:t xml:space="preserve">（8分）</w:t>
            </w:r>
            <w:r/>
          </w:p>
        </w:tc>
        <w:tc>
          <w:tcPr>
            <w:tcW w:w="6095" w:type="dxa"/>
            <w:vAlign w:val="center"/>
            <w:textDirection w:val="lrTb"/>
            <w:noWrap w:val="false"/>
          </w:tcPr>
          <w:p>
            <w:pPr>
              <w:ind w:firstLine="420"/>
              <w:spacing w:line="520" w:lineRule="exact"/>
              <w:rPr>
                <w:rFonts w:ascii="宋体" w:hAnsi="宋体" w:cs="宋体"/>
                <w:sz w:val="24"/>
                <w:szCs w:val="24"/>
              </w:rPr>
            </w:pPr>
            <w:r>
              <w:rPr>
                <w:rFonts w:hint="eastAsia" w:ascii="宋体" w:hAnsi="宋体" w:cs="宋体"/>
                <w:sz w:val="24"/>
                <w:szCs w:val="24"/>
              </w:rPr>
              <w:t xml:space="preserve">录制述标视频（含音频），根据投标人自身特点和优势进行述标，时间不超过5分钟：</w:t>
            </w:r>
            <w:r/>
          </w:p>
          <w:p>
            <w:pPr>
              <w:ind w:firstLine="420"/>
              <w:spacing w:line="520" w:lineRule="exact"/>
              <w:rPr>
                <w:rFonts w:ascii="宋体" w:hAnsi="宋体" w:cs="宋体"/>
                <w:sz w:val="24"/>
                <w:szCs w:val="24"/>
              </w:rPr>
            </w:pPr>
            <w:r>
              <w:rPr>
                <w:rFonts w:hint="eastAsia" w:ascii="宋体" w:hAnsi="宋体" w:cs="宋体"/>
                <w:sz w:val="24"/>
                <w:szCs w:val="24"/>
              </w:rPr>
              <w:t xml:space="preserve">（1）如何执行《公共区域智能视频采集设备布建规则(公安部科技信息化局》规则；为保证本工程如期完成，如何进行现场质量管理、施工管理、工期管理、安全管理、资料管理。阐述详实，得5分；阐述一般，得3分；阐述较差，得1分。</w:t>
            </w:r>
            <w:r/>
          </w:p>
          <w:p>
            <w:pPr>
              <w:ind w:firstLine="420"/>
              <w:spacing w:line="520" w:lineRule="exact"/>
              <w:rPr>
                <w:rFonts w:ascii="宋体" w:hAnsi="宋体" w:cs="宋体"/>
                <w:sz w:val="24"/>
                <w:szCs w:val="24"/>
              </w:rPr>
            </w:pPr>
            <w:r>
              <w:rPr>
                <w:rFonts w:hint="eastAsia" w:ascii="宋体" w:hAnsi="宋体" w:cs="宋体"/>
                <w:sz w:val="24"/>
                <w:szCs w:val="24"/>
              </w:rPr>
              <w:t xml:space="preserve">（2）根据本项目建设要求，着重于过保通信线路维护、供电线路维护、视图存储系统维护方案。阐述详实，得3分；阐述一般，得2分；阐述较差，得1分。</w:t>
            </w:r>
            <w:r/>
          </w:p>
          <w:p>
            <w:pPr>
              <w:ind w:firstLine="420"/>
              <w:spacing w:line="520" w:lineRule="exact"/>
              <w:rPr>
                <w:rFonts w:ascii="宋体" w:hAnsi="宋体" w:cs="宋体"/>
                <w:sz w:val="24"/>
                <w:szCs w:val="24"/>
              </w:rPr>
            </w:pPr>
            <w:r>
              <w:rPr>
                <w:rFonts w:hint="eastAsia" w:ascii="宋体" w:hAnsi="宋体" w:cs="宋体"/>
                <w:sz w:val="24"/>
                <w:szCs w:val="24"/>
              </w:rPr>
              <w:t xml:space="preserve">注：投标人视频时间超过5分钟的，仅根据视频前5分钟所演示讲解内容评分，视频文件压缩后大小控制在300MB以内（视频文件直接上传至系统）。演示视频未提供或者无法打开的视为未实质性响应。</w:t>
            </w:r>
            <w:r/>
          </w:p>
        </w:tc>
        <w:tc>
          <w:tcPr>
            <w:tcW w:w="981" w:type="dxa"/>
            <w:vAlign w:val="center"/>
            <w:textDirection w:val="lrTb"/>
            <w:noWrap w:val="false"/>
          </w:tcPr>
          <w:p>
            <w:pPr>
              <w:jc w:val="center"/>
              <w:spacing w:line="500" w:lineRule="exact"/>
              <w:rPr>
                <w:rFonts w:ascii="仿宋" w:hAnsi="仿宋" w:eastAsia="仿宋" w:cs="仿宋"/>
                <w:bCs/>
                <w:sz w:val="24"/>
                <w:szCs w:val="24"/>
              </w:rPr>
            </w:pPr>
            <w:r>
              <w:rPr>
                <w:rFonts w:hint="eastAsia" w:ascii="仿宋" w:hAnsi="仿宋" w:eastAsia="仿宋" w:cs="仿宋"/>
                <w:bCs/>
                <w:sz w:val="24"/>
                <w:szCs w:val="24"/>
              </w:rPr>
              <w:t xml:space="preserve">主观分</w:t>
            </w:r>
            <w:r/>
          </w:p>
        </w:tc>
      </w:tr>
    </w:tbl>
    <w:p>
      <w:pPr>
        <w:pStyle w:val="1127"/>
        <w:ind w:firstLine="598"/>
        <w:spacing w:line="0" w:lineRule="atLeast"/>
      </w:pPr>
      <w:r>
        <w:rPr>
          <w:rFonts w:hint="eastAsia" w:ascii="宋体" w:hAnsi="宋体"/>
          <w:b/>
        </w:rPr>
        <w:t xml:space="preserve">3、商务分：</w:t>
      </w:r>
      <w:r>
        <w:rPr>
          <w:rFonts w:ascii="宋体" w:hAnsi="宋体"/>
          <w:b/>
        </w:rPr>
        <w:t xml:space="preserve">39</w:t>
      </w:r>
      <w:r>
        <w:rPr>
          <w:rFonts w:hint="eastAsia" w:ascii="宋体" w:hAnsi="宋体"/>
          <w:b/>
        </w:rPr>
        <w:t xml:space="preserve">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418"/>
        <w:gridCol w:w="6095"/>
        <w:gridCol w:w="981"/>
      </w:tblGrid>
      <w:tr>
        <w:trPr>
          <w:jc w:val="center"/>
        </w:trPr>
        <w:tc>
          <w:tcPr>
            <w:tcW w:w="675"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1418"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评分点</w:t>
            </w:r>
            <w:r/>
          </w:p>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名称</w:t>
            </w:r>
            <w:r/>
          </w:p>
        </w:tc>
        <w:tc>
          <w:tcPr>
            <w:tcW w:w="6095"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评审标准</w:t>
            </w:r>
            <w:r/>
          </w:p>
        </w:tc>
        <w:tc>
          <w:tcPr>
            <w:tcW w:w="981"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主/客观分</w:t>
            </w:r>
            <w:r/>
          </w:p>
        </w:tc>
      </w:tr>
      <w:tr>
        <w:trPr>
          <w:jc w:val="center"/>
        </w:trPr>
        <w:tc>
          <w:tcPr>
            <w:tcW w:w="675" w:type="dxa"/>
            <w:vAlign w:val="center"/>
            <w:textDirection w:val="lrTb"/>
            <w:noWrap w:val="false"/>
          </w:tcPr>
          <w:p>
            <w:pPr>
              <w:jc w:val="center"/>
              <w:spacing w:line="460" w:lineRule="exact"/>
              <w:widowControl/>
              <w:rPr>
                <w:rFonts w:ascii="仿宋" w:hAnsi="仿宋" w:eastAsia="仿宋" w:cs="仿宋"/>
                <w:b/>
                <w:bCs/>
                <w:sz w:val="24"/>
                <w:szCs w:val="24"/>
              </w:rPr>
            </w:pPr>
            <w:r>
              <w:rPr>
                <w:rFonts w:hint="eastAsia" w:ascii="仿宋" w:hAnsi="仿宋" w:eastAsia="仿宋" w:cs="仿宋"/>
                <w:sz w:val="24"/>
                <w:szCs w:val="24"/>
              </w:rPr>
              <w:t xml:space="preserve">1</w:t>
            </w:r>
            <w:r/>
          </w:p>
        </w:tc>
        <w:tc>
          <w:tcPr>
            <w:tcW w:w="1418" w:type="dxa"/>
            <w:vAlign w:val="center"/>
            <w:textDirection w:val="lrTb"/>
            <w:noWrap w:val="false"/>
          </w:tcPr>
          <w:p>
            <w:pPr>
              <w:jc w:val="center"/>
              <w:spacing w:line="520" w:lineRule="exact"/>
              <w:rPr>
                <w:rFonts w:ascii="宋体" w:hAnsi="宋体" w:cs="宋体"/>
                <w:b/>
                <w:sz w:val="24"/>
                <w:szCs w:val="24"/>
              </w:rPr>
            </w:pPr>
            <w:r>
              <w:rPr>
                <w:rFonts w:hint="eastAsia" w:ascii="宋体" w:hAnsi="宋体" w:cs="宋体"/>
                <w:b/>
                <w:sz w:val="24"/>
                <w:szCs w:val="24"/>
              </w:rPr>
              <w:t xml:space="preserve">企业业绩</w:t>
            </w:r>
            <w:r/>
          </w:p>
          <w:p>
            <w:pPr>
              <w:jc w:val="center"/>
              <w:spacing w:line="520" w:lineRule="exact"/>
              <w:rPr>
                <w:rFonts w:ascii="宋体" w:hAnsi="宋体" w:cs="宋体"/>
                <w:sz w:val="24"/>
                <w:szCs w:val="24"/>
              </w:rPr>
            </w:pPr>
            <w:r>
              <w:rPr>
                <w:rFonts w:hint="eastAsia" w:ascii="宋体" w:hAnsi="宋体" w:cs="宋体"/>
                <w:b/>
                <w:sz w:val="24"/>
                <w:szCs w:val="24"/>
              </w:rPr>
              <w:t xml:space="preserve">（2分）</w:t>
            </w:r>
            <w:r/>
          </w:p>
        </w:tc>
        <w:tc>
          <w:tcPr>
            <w:tcW w:w="6095" w:type="dxa"/>
            <w:vAlign w:val="center"/>
            <w:textDirection w:val="lrTb"/>
            <w:noWrap w:val="false"/>
          </w:tcPr>
          <w:p>
            <w:pPr>
              <w:ind w:firstLine="420"/>
              <w:spacing w:line="520" w:lineRule="exact"/>
              <w:rPr>
                <w:rFonts w:ascii="宋体" w:hAnsi="宋体" w:cs="宋体"/>
                <w:sz w:val="24"/>
                <w:szCs w:val="24"/>
              </w:rPr>
            </w:pPr>
            <w:r>
              <w:rPr>
                <w:rFonts w:hint="eastAsia" w:ascii="宋体" w:hAnsi="宋体" w:cs="宋体"/>
                <w:sz w:val="24"/>
                <w:szCs w:val="24"/>
              </w:rPr>
              <w:t xml:space="preserve">投标人2022年4月1日以来具有类似案例（包括但不限于平安城市、天网工程、雪亮工程、电子警察、治安监控）的业绩：每个得 1 分，本项最高2分。（以提供的“①中标通知书；②完整的合同文本扫描件；③竣工验收证明，三者缺一不可。”这3份文件齐全作为1个案例业绩考评，业绩时间以合同订立时间为准。</w:t>
            </w:r>
            <w:r/>
          </w:p>
        </w:tc>
        <w:tc>
          <w:tcPr>
            <w:tcW w:w="981" w:type="dxa"/>
            <w:vAlign w:val="center"/>
            <w:textDirection w:val="lrTb"/>
            <w:noWrap w:val="false"/>
          </w:tcPr>
          <w:p>
            <w:pPr>
              <w:jc w:val="center"/>
              <w:spacing w:line="500" w:lineRule="exact"/>
              <w:rPr>
                <w:rFonts w:ascii="仿宋" w:hAnsi="仿宋" w:eastAsia="仿宋" w:cs="仿宋"/>
                <w:bCs/>
                <w:sz w:val="24"/>
                <w:szCs w:val="24"/>
              </w:rPr>
            </w:pPr>
            <w:r>
              <w:rPr>
                <w:rFonts w:hint="eastAsia" w:ascii="仿宋" w:hAnsi="仿宋" w:eastAsia="仿宋" w:cs="仿宋"/>
                <w:bCs/>
                <w:sz w:val="24"/>
                <w:szCs w:val="24"/>
              </w:rPr>
              <w:t xml:space="preserve">客观分</w:t>
            </w:r>
            <w:r/>
          </w:p>
        </w:tc>
      </w:tr>
      <w:tr>
        <w:trPr>
          <w:jc w:val="center"/>
        </w:trPr>
        <w:tc>
          <w:tcPr>
            <w:tcW w:w="675" w:type="dxa"/>
            <w:vAlign w:val="center"/>
            <w:textDirection w:val="lrTb"/>
            <w:noWrap w:val="false"/>
          </w:tcPr>
          <w:p>
            <w:pPr>
              <w:jc w:val="center"/>
              <w:spacing w:line="460" w:lineRule="exact"/>
              <w:widowControl/>
              <w:rPr>
                <w:rFonts w:ascii="仿宋" w:hAnsi="仿宋" w:eastAsia="仿宋" w:cs="仿宋"/>
                <w:sz w:val="24"/>
                <w:szCs w:val="24"/>
              </w:rPr>
            </w:pPr>
            <w:r>
              <w:rPr>
                <w:rFonts w:hint="eastAsia" w:ascii="仿宋" w:hAnsi="仿宋" w:eastAsia="仿宋" w:cs="仿宋"/>
                <w:sz w:val="24"/>
                <w:szCs w:val="24"/>
              </w:rPr>
              <w:t xml:space="preserve">2</w:t>
            </w:r>
            <w:r/>
          </w:p>
        </w:tc>
        <w:tc>
          <w:tcPr>
            <w:tcW w:w="1418" w:type="dxa"/>
            <w:vAlign w:val="center"/>
            <w:textDirection w:val="lrTb"/>
            <w:noWrap w:val="false"/>
          </w:tcPr>
          <w:p>
            <w:pPr>
              <w:jc w:val="center"/>
              <w:spacing w:line="520" w:lineRule="exact"/>
              <w:rPr>
                <w:rFonts w:ascii="宋体" w:hAnsi="宋体" w:cs="宋体"/>
                <w:b/>
                <w:bCs/>
                <w:sz w:val="24"/>
                <w:szCs w:val="24"/>
              </w:rPr>
            </w:pPr>
            <w:r>
              <w:rPr>
                <w:rFonts w:hint="eastAsia" w:ascii="宋体" w:hAnsi="宋体" w:cs="宋体"/>
                <w:b/>
                <w:bCs/>
                <w:sz w:val="24"/>
                <w:szCs w:val="24"/>
              </w:rPr>
              <w:t xml:space="preserve">产品技术部分</w:t>
            </w:r>
            <w:r/>
          </w:p>
          <w:p>
            <w:pPr>
              <w:jc w:val="center"/>
              <w:spacing w:line="520" w:lineRule="exact"/>
              <w:rPr>
                <w:rFonts w:ascii="宋体" w:hAnsi="宋体" w:cs="宋体"/>
                <w:b/>
                <w:bCs/>
                <w:sz w:val="24"/>
                <w:szCs w:val="24"/>
              </w:rPr>
            </w:pPr>
            <w:r>
              <w:rPr>
                <w:rFonts w:hint="eastAsia" w:ascii="宋体" w:hAnsi="宋体" w:cs="宋体"/>
                <w:b/>
                <w:bCs/>
                <w:sz w:val="24"/>
                <w:szCs w:val="24"/>
              </w:rPr>
              <w:t xml:space="preserve">（20分）</w:t>
            </w:r>
            <w:r/>
          </w:p>
        </w:tc>
        <w:tc>
          <w:tcPr>
            <w:tcW w:w="6095" w:type="dxa"/>
            <w:vAlign w:val="center"/>
            <w:textDirection w:val="lrTb"/>
            <w:noWrap w:val="false"/>
          </w:tcPr>
          <w:p>
            <w:pPr>
              <w:ind w:firstLine="480"/>
              <w:spacing w:line="520" w:lineRule="exact"/>
              <w:rPr>
                <w:rFonts w:ascii="宋体" w:hAnsi="宋体" w:cs="宋体"/>
                <w:sz w:val="24"/>
                <w:szCs w:val="24"/>
              </w:rPr>
            </w:pPr>
            <w:r>
              <w:rPr>
                <w:rFonts w:hint="eastAsia" w:ascii="宋体" w:hAnsi="宋体" w:cs="宋体"/>
                <w:sz w:val="24"/>
                <w:szCs w:val="24"/>
              </w:rPr>
              <w:t xml:space="preserve">根据项目技术要求所明确的产品性能、技术参数与招标文件的适合性打分，投标产品技术参数和配置完全满足招标文件要求的得20分。</w:t>
            </w:r>
            <w:r/>
          </w:p>
          <w:p>
            <w:pPr>
              <w:ind w:firstLine="480"/>
              <w:spacing w:line="520" w:lineRule="exact"/>
              <w:rPr>
                <w:rFonts w:ascii="宋体" w:hAnsi="宋体" w:cs="宋体"/>
                <w:sz w:val="24"/>
                <w:szCs w:val="24"/>
              </w:rPr>
            </w:pPr>
            <w:r>
              <w:rPr>
                <w:rFonts w:hint="eastAsia" w:ascii="宋体" w:hAnsi="宋体" w:cs="宋体"/>
                <w:sz w:val="24"/>
                <w:szCs w:val="24"/>
              </w:rPr>
              <w:t xml:space="preserve">本招标文件中要求由</w:t>
            </w:r>
            <w:r>
              <w:rPr>
                <w:rFonts w:hint="eastAsia" w:ascii="宋体" w:hAnsi="宋体"/>
                <w:sz w:val="24"/>
                <w:szCs w:val="24"/>
              </w:rPr>
              <w:t xml:space="preserve">法定检测机构出具检测合格的报告或提供投标人出具的承诺函</w:t>
            </w:r>
            <w:r>
              <w:rPr>
                <w:rFonts w:hint="eastAsia" w:ascii="宋体" w:hAnsi="宋体" w:cs="宋体"/>
                <w:sz w:val="24"/>
                <w:szCs w:val="24"/>
              </w:rPr>
              <w:t xml:space="preserve">，按照顺序自行罗列提供指引。</w:t>
            </w:r>
            <w:r/>
          </w:p>
          <w:p>
            <w:pPr>
              <w:ind w:firstLine="480"/>
              <w:spacing w:line="520" w:lineRule="exact"/>
              <w:rPr>
                <w:rFonts w:ascii="宋体" w:hAnsi="宋体" w:cs="宋体"/>
                <w:sz w:val="24"/>
                <w:szCs w:val="24"/>
              </w:rPr>
            </w:pPr>
            <w:r>
              <w:rPr>
                <w:rFonts w:hint="eastAsia" w:ascii="宋体" w:hAnsi="宋体" w:cs="宋体"/>
                <w:sz w:val="24"/>
                <w:szCs w:val="24"/>
              </w:rPr>
              <w:t xml:space="preserve">1、加“★”项为关键参数，不得负偏离，负偏离作废标处理。</w:t>
            </w:r>
            <w:r/>
          </w:p>
          <w:p>
            <w:pPr>
              <w:ind w:firstLine="480"/>
              <w:spacing w:line="520" w:lineRule="exact"/>
              <w:rPr>
                <w:rFonts w:ascii="宋体" w:hAnsi="宋体" w:cs="宋体"/>
                <w:sz w:val="24"/>
                <w:szCs w:val="24"/>
              </w:rPr>
            </w:pPr>
            <w:r>
              <w:rPr>
                <w:rFonts w:hint="eastAsia" w:ascii="宋体" w:hAnsi="宋体" w:cs="宋体"/>
                <w:sz w:val="24"/>
                <w:szCs w:val="24"/>
              </w:rPr>
              <w:t xml:space="preserve">2、3.8.13条</w:t>
            </w:r>
            <w:r>
              <w:rPr>
                <w:rFonts w:hint="eastAsia" w:ascii="宋体" w:hAnsi="宋体" w:cs="仿宋"/>
                <w:sz w:val="24"/>
                <w:szCs w:val="24"/>
              </w:rPr>
              <w:t xml:space="preserve">（2）其他证明材料或承诺函表</w:t>
            </w:r>
            <w:r>
              <w:rPr>
                <w:rFonts w:hint="eastAsia" w:ascii="宋体" w:hAnsi="宋体" w:cs="宋体"/>
                <w:sz w:val="24"/>
                <w:szCs w:val="24"/>
              </w:rPr>
              <w:t xml:space="preserve">中要求提供的其他证明材料或承诺函，需按要求提供相应材料，每缺一项扣 2 分，超过10项不符合即可认定为非实质性响应招标文件要求，作废标处理。</w:t>
            </w:r>
            <w:r/>
          </w:p>
          <w:p>
            <w:pPr>
              <w:ind w:firstLine="480"/>
              <w:spacing w:line="520" w:lineRule="exact"/>
              <w:rPr>
                <w:rFonts w:ascii="宋体" w:hAnsi="宋体" w:cs="宋体"/>
                <w:sz w:val="24"/>
                <w:szCs w:val="24"/>
              </w:rPr>
            </w:pPr>
            <w:r>
              <w:rPr>
                <w:rFonts w:hint="eastAsia" w:ascii="宋体" w:hAnsi="宋体" w:cs="宋体"/>
                <w:sz w:val="24"/>
                <w:szCs w:val="24"/>
              </w:rPr>
              <w:t xml:space="preserve">3、投标人须对照招标文件中针对招标产品提出的技术要求，填写《技术偏离表》。每项负偏离扣1分。</w:t>
            </w:r>
            <w:r/>
          </w:p>
        </w:tc>
        <w:tc>
          <w:tcPr>
            <w:tcW w:w="981" w:type="dxa"/>
            <w:vAlign w:val="center"/>
            <w:textDirection w:val="lrTb"/>
            <w:noWrap w:val="false"/>
          </w:tcPr>
          <w:p>
            <w:pPr>
              <w:jc w:val="center"/>
              <w:widowControl/>
              <w:rPr>
                <w:rFonts w:ascii="仿宋" w:hAnsi="仿宋" w:eastAsia="仿宋" w:cs="仿宋"/>
                <w:bCs/>
                <w:sz w:val="24"/>
                <w:szCs w:val="24"/>
              </w:rPr>
            </w:pPr>
            <w:r>
              <w:rPr>
                <w:rFonts w:hint="eastAsia" w:ascii="仿宋" w:hAnsi="仿宋" w:eastAsia="仿宋" w:cs="仿宋"/>
                <w:bCs/>
                <w:sz w:val="24"/>
                <w:szCs w:val="24"/>
              </w:rPr>
              <w:t xml:space="preserve">客观分</w:t>
            </w:r>
            <w:r/>
          </w:p>
        </w:tc>
      </w:tr>
      <w:tr>
        <w:trPr>
          <w:jc w:val="center"/>
          <w:trHeight w:val="1125"/>
        </w:trPr>
        <w:tc>
          <w:tcPr>
            <w:tcW w:w="675" w:type="dxa"/>
            <w:vAlign w:val="center"/>
            <w:textDirection w:val="lrTb"/>
            <w:noWrap w:val="false"/>
          </w:tcPr>
          <w:p>
            <w:pPr>
              <w:jc w:val="center"/>
              <w:spacing w:line="460" w:lineRule="exact"/>
              <w:widowControl/>
              <w:rPr>
                <w:rFonts w:ascii="仿宋" w:hAnsi="仿宋" w:eastAsia="仿宋" w:cs="仿宋"/>
                <w:sz w:val="24"/>
                <w:szCs w:val="24"/>
              </w:rPr>
            </w:pPr>
            <w:r>
              <w:rPr>
                <w:rFonts w:hint="eastAsia" w:ascii="仿宋" w:hAnsi="仿宋" w:eastAsia="仿宋" w:cs="仿宋"/>
                <w:sz w:val="24"/>
                <w:szCs w:val="24"/>
              </w:rPr>
              <w:t xml:space="preserve">3</w:t>
            </w:r>
            <w:r/>
          </w:p>
        </w:tc>
        <w:tc>
          <w:tcPr>
            <w:tcW w:w="1418" w:type="dxa"/>
            <w:vAlign w:val="center"/>
            <w:textDirection w:val="lrTb"/>
            <w:noWrap w:val="false"/>
          </w:tcPr>
          <w:p>
            <w:pPr>
              <w:jc w:val="center"/>
              <w:spacing w:line="520" w:lineRule="exact"/>
              <w:rPr>
                <w:rFonts w:ascii="宋体" w:hAnsi="宋体" w:cs="宋体"/>
                <w:b/>
                <w:bCs/>
                <w:sz w:val="24"/>
                <w:szCs w:val="24"/>
              </w:rPr>
            </w:pPr>
            <w:r>
              <w:rPr>
                <w:rFonts w:hint="eastAsia" w:ascii="宋体" w:hAnsi="宋体" w:cs="宋体"/>
                <w:b/>
                <w:bCs/>
                <w:sz w:val="24"/>
                <w:szCs w:val="24"/>
              </w:rPr>
              <w:t xml:space="preserve">工期承诺</w:t>
            </w:r>
            <w:r/>
          </w:p>
          <w:p>
            <w:pPr>
              <w:jc w:val="center"/>
              <w:spacing w:line="520" w:lineRule="exact"/>
              <w:rPr>
                <w:rFonts w:ascii="宋体" w:hAnsi="宋体" w:cs="宋体"/>
                <w:b/>
                <w:bCs/>
                <w:sz w:val="24"/>
                <w:szCs w:val="24"/>
              </w:rPr>
            </w:pPr>
            <w:r>
              <w:rPr>
                <w:rFonts w:hint="eastAsia" w:ascii="宋体" w:hAnsi="宋体" w:cs="宋体"/>
                <w:b/>
                <w:bCs/>
                <w:sz w:val="24"/>
                <w:szCs w:val="24"/>
              </w:rPr>
              <w:t xml:space="preserve">（3分）</w:t>
            </w:r>
            <w:r/>
          </w:p>
        </w:tc>
        <w:tc>
          <w:tcPr>
            <w:tcW w:w="6095" w:type="dxa"/>
            <w:vAlign w:val="center"/>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工期在招标文件要求的基础上每提前5天完成加1分，满分得3分，格式自拟；</w:t>
            </w:r>
            <w:r/>
          </w:p>
        </w:tc>
        <w:tc>
          <w:tcPr>
            <w:tcW w:w="981" w:type="dxa"/>
            <w:vAlign w:val="center"/>
            <w:textDirection w:val="lrTb"/>
            <w:noWrap w:val="false"/>
          </w:tcPr>
          <w:p>
            <w:pPr>
              <w:jc w:val="center"/>
              <w:widowControl/>
              <w:rPr>
                <w:rFonts w:ascii="仿宋" w:hAnsi="仿宋" w:eastAsia="仿宋" w:cs="仿宋"/>
                <w:bCs/>
                <w:sz w:val="24"/>
                <w:szCs w:val="24"/>
              </w:rPr>
            </w:pPr>
            <w:r>
              <w:rPr>
                <w:rFonts w:hint="eastAsia" w:ascii="仿宋" w:hAnsi="仿宋" w:eastAsia="仿宋" w:cs="仿宋"/>
                <w:bCs/>
                <w:sz w:val="24"/>
                <w:szCs w:val="24"/>
              </w:rPr>
              <w:t xml:space="preserve">客观分</w:t>
            </w:r>
            <w:r/>
          </w:p>
        </w:tc>
      </w:tr>
      <w:tr>
        <w:trPr>
          <w:jc w:val="center"/>
        </w:trPr>
        <w:tc>
          <w:tcPr>
            <w:tcW w:w="675" w:type="dxa"/>
            <w:vAlign w:val="center"/>
            <w:textDirection w:val="lrTb"/>
            <w:noWrap w:val="false"/>
          </w:tcPr>
          <w:p>
            <w:pPr>
              <w:jc w:val="center"/>
              <w:spacing w:line="460" w:lineRule="exact"/>
              <w:widowControl/>
              <w:rPr>
                <w:rFonts w:ascii="仿宋" w:hAnsi="仿宋" w:eastAsia="仿宋" w:cs="仿宋"/>
                <w:sz w:val="24"/>
                <w:szCs w:val="24"/>
              </w:rPr>
            </w:pPr>
            <w:r>
              <w:rPr>
                <w:rFonts w:hint="eastAsia" w:ascii="仿宋" w:hAnsi="仿宋" w:eastAsia="仿宋" w:cs="仿宋"/>
                <w:sz w:val="24"/>
                <w:szCs w:val="24"/>
              </w:rPr>
              <w:t xml:space="preserve">4</w:t>
            </w:r>
            <w:r/>
          </w:p>
        </w:tc>
        <w:tc>
          <w:tcPr>
            <w:tcW w:w="1418" w:type="dxa"/>
            <w:vAlign w:val="center"/>
            <w:textDirection w:val="lrTb"/>
            <w:noWrap w:val="false"/>
          </w:tcPr>
          <w:p>
            <w:pPr>
              <w:jc w:val="center"/>
              <w:spacing w:line="520" w:lineRule="exact"/>
              <w:rPr>
                <w:rFonts w:ascii="宋体" w:hAnsi="宋体" w:cs="宋体"/>
                <w:b/>
                <w:bCs/>
                <w:sz w:val="24"/>
                <w:szCs w:val="24"/>
              </w:rPr>
            </w:pPr>
            <w:r>
              <w:rPr>
                <w:rFonts w:hint="eastAsia" w:ascii="宋体" w:hAnsi="宋体" w:cs="宋体"/>
                <w:b/>
                <w:bCs/>
                <w:sz w:val="24"/>
                <w:szCs w:val="24"/>
              </w:rPr>
              <w:t xml:space="preserve">深化设计承诺</w:t>
            </w:r>
            <w:r/>
          </w:p>
          <w:p>
            <w:pPr>
              <w:jc w:val="center"/>
              <w:spacing w:line="460" w:lineRule="exact"/>
              <w:widowControl/>
              <w:rPr>
                <w:rFonts w:ascii="仿宋" w:hAnsi="仿宋" w:eastAsia="仿宋" w:cs="仿宋"/>
                <w:sz w:val="24"/>
                <w:szCs w:val="24"/>
              </w:rPr>
            </w:pPr>
            <w:r>
              <w:rPr>
                <w:rFonts w:hint="eastAsia" w:ascii="宋体" w:hAnsi="宋体" w:cs="宋体"/>
                <w:b/>
                <w:bCs/>
                <w:sz w:val="24"/>
                <w:szCs w:val="24"/>
              </w:rPr>
              <w:t xml:space="preserve">（1分）</w:t>
            </w:r>
            <w:r/>
          </w:p>
        </w:tc>
        <w:tc>
          <w:tcPr>
            <w:tcW w:w="6095" w:type="dxa"/>
            <w:vAlign w:val="center"/>
            <w:textDirection w:val="lrTb"/>
            <w:noWrap w:val="false"/>
          </w:tcPr>
          <w:p>
            <w:pPr>
              <w:jc w:val="left"/>
              <w:spacing w:line="440" w:lineRule="exact"/>
              <w:widowControl/>
              <w:rPr>
                <w:rFonts w:ascii="仿宋" w:hAnsi="仿宋" w:eastAsia="仿宋" w:cs="仿宋"/>
                <w:sz w:val="24"/>
                <w:szCs w:val="24"/>
              </w:rPr>
            </w:pPr>
            <w:r>
              <w:rPr>
                <w:rFonts w:hint="eastAsia" w:ascii="宋体" w:hAnsi="宋体" w:cs="宋体"/>
                <w:sz w:val="24"/>
                <w:szCs w:val="24"/>
              </w:rPr>
              <w:t xml:space="preserve">承诺中标后配合设计公司完成通讯线路路由及供电路由的深化设计，得1分；</w:t>
            </w:r>
            <w:r/>
          </w:p>
        </w:tc>
        <w:tc>
          <w:tcPr>
            <w:tcW w:w="981" w:type="dxa"/>
            <w:vAlign w:val="center"/>
            <w:textDirection w:val="lrTb"/>
            <w:noWrap w:val="false"/>
          </w:tcPr>
          <w:p>
            <w:pPr>
              <w:jc w:val="center"/>
              <w:spacing w:line="460" w:lineRule="exact"/>
              <w:widowControl/>
              <w:rPr>
                <w:rFonts w:ascii="仿宋" w:hAnsi="仿宋" w:eastAsia="仿宋" w:cs="仿宋"/>
                <w:bCs/>
                <w:sz w:val="24"/>
                <w:szCs w:val="24"/>
              </w:rPr>
            </w:pPr>
            <w:r>
              <w:rPr>
                <w:rFonts w:hint="eastAsia" w:ascii="仿宋" w:hAnsi="仿宋" w:eastAsia="仿宋" w:cs="仿宋"/>
                <w:bCs/>
                <w:sz w:val="24"/>
                <w:szCs w:val="24"/>
              </w:rPr>
              <w:t xml:space="preserve">客观分</w:t>
            </w:r>
            <w:r/>
          </w:p>
        </w:tc>
      </w:tr>
      <w:tr>
        <w:trPr>
          <w:jc w:val="center"/>
        </w:trPr>
        <w:tc>
          <w:tcPr>
            <w:tcW w:w="675" w:type="dxa"/>
            <w:vAlign w:val="center"/>
            <w:textDirection w:val="lrTb"/>
            <w:noWrap w:val="false"/>
          </w:tcPr>
          <w:p>
            <w:pPr>
              <w:jc w:val="center"/>
              <w:spacing w:line="460" w:lineRule="exact"/>
              <w:widowControl/>
              <w:rPr>
                <w:rFonts w:ascii="仿宋" w:hAnsi="仿宋" w:eastAsia="仿宋" w:cs="仿宋"/>
                <w:sz w:val="24"/>
                <w:szCs w:val="24"/>
              </w:rPr>
            </w:pPr>
            <w:r>
              <w:rPr>
                <w:rFonts w:hint="eastAsia" w:ascii="仿宋" w:hAnsi="仿宋" w:eastAsia="仿宋" w:cs="仿宋"/>
                <w:sz w:val="24"/>
                <w:szCs w:val="24"/>
              </w:rPr>
              <w:t xml:space="preserve">5</w:t>
            </w:r>
            <w:r/>
          </w:p>
        </w:tc>
        <w:tc>
          <w:tcPr>
            <w:tcW w:w="1418" w:type="dxa"/>
            <w:vAlign w:val="center"/>
            <w:textDirection w:val="lrTb"/>
            <w:noWrap w:val="false"/>
          </w:tcPr>
          <w:p>
            <w:pPr>
              <w:jc w:val="center"/>
              <w:spacing w:line="520" w:lineRule="exact"/>
              <w:rPr>
                <w:rFonts w:ascii="宋体" w:hAnsi="宋体" w:cs="宋体"/>
                <w:b/>
                <w:bCs/>
                <w:sz w:val="24"/>
                <w:szCs w:val="24"/>
              </w:rPr>
            </w:pPr>
            <w:r>
              <w:rPr>
                <w:rFonts w:hint="eastAsia" w:ascii="宋体" w:hAnsi="宋体" w:cs="宋体"/>
                <w:b/>
                <w:bCs/>
                <w:sz w:val="24"/>
                <w:szCs w:val="24"/>
              </w:rPr>
              <w:t xml:space="preserve">管理团队</w:t>
            </w:r>
            <w:r/>
          </w:p>
          <w:p>
            <w:pPr>
              <w:jc w:val="center"/>
              <w:spacing w:line="520" w:lineRule="exact"/>
              <w:rPr>
                <w:rFonts w:ascii="宋体" w:hAnsi="宋体" w:cs="宋体"/>
                <w:b/>
                <w:bCs/>
                <w:sz w:val="24"/>
                <w:szCs w:val="24"/>
              </w:rPr>
            </w:pPr>
            <w:r>
              <w:rPr>
                <w:rFonts w:hint="eastAsia" w:ascii="宋体" w:hAnsi="宋体" w:cs="宋体"/>
                <w:b/>
                <w:bCs/>
                <w:sz w:val="24"/>
                <w:szCs w:val="24"/>
              </w:rPr>
              <w:t xml:space="preserve">（13分）</w:t>
            </w:r>
            <w:r/>
          </w:p>
        </w:tc>
        <w:tc>
          <w:tcPr>
            <w:tcW w:w="6095" w:type="dxa"/>
            <w:vAlign w:val="center"/>
            <w:textDirection w:val="lrTb"/>
            <w:noWrap w:val="false"/>
          </w:tcPr>
          <w:p>
            <w:pPr>
              <w:ind w:firstLine="422"/>
              <w:spacing w:line="520" w:lineRule="exact"/>
              <w:rPr>
                <w:rFonts w:ascii="宋体" w:hAnsi="宋体" w:cs="宋体"/>
                <w:b/>
                <w:sz w:val="24"/>
                <w:szCs w:val="24"/>
              </w:rPr>
            </w:pPr>
            <w:r>
              <w:rPr>
                <w:rFonts w:hint="eastAsia" w:ascii="宋体" w:hAnsi="宋体" w:cs="宋体"/>
                <w:b/>
                <w:sz w:val="24"/>
                <w:szCs w:val="24"/>
              </w:rPr>
              <w:t xml:space="preserve">投标单位拟派本项目的项目总负责人、技术负责人，不得担任其它项目的项目总负责人或技术负责人。</w:t>
            </w:r>
            <w:r/>
          </w:p>
          <w:p>
            <w:pPr>
              <w:ind w:firstLine="422"/>
              <w:spacing w:line="520" w:lineRule="exact"/>
              <w:rPr>
                <w:rFonts w:ascii="宋体" w:hAnsi="宋体" w:cs="宋体"/>
                <w:sz w:val="24"/>
                <w:szCs w:val="24"/>
              </w:rPr>
            </w:pPr>
            <w:r>
              <w:rPr>
                <w:rFonts w:hint="eastAsia" w:ascii="宋体" w:hAnsi="宋体" w:cs="宋体"/>
                <w:b/>
                <w:sz w:val="24"/>
                <w:szCs w:val="24"/>
              </w:rPr>
              <w:t xml:space="preserve">项目总负责人1人（3分）：</w:t>
            </w:r>
            <w:r>
              <w:rPr>
                <w:rFonts w:hint="eastAsia" w:ascii="宋体" w:hAnsi="宋体" w:cs="宋体"/>
                <w:sz w:val="24"/>
                <w:szCs w:val="24"/>
              </w:rPr>
              <w:t xml:space="preserve">拟派本项目的项目总负责人具有高级工程师职称的，得3分；</w:t>
            </w:r>
            <w:r/>
          </w:p>
          <w:p>
            <w:pPr>
              <w:ind w:firstLine="422"/>
              <w:spacing w:line="520" w:lineRule="exact"/>
              <w:rPr>
                <w:rFonts w:ascii="宋体" w:hAnsi="宋体" w:cs="宋体"/>
                <w:sz w:val="24"/>
                <w:szCs w:val="24"/>
              </w:rPr>
            </w:pPr>
            <w:r>
              <w:rPr>
                <w:rFonts w:hint="eastAsia" w:ascii="宋体" w:hAnsi="宋体" w:cs="宋体"/>
                <w:b/>
                <w:sz w:val="24"/>
                <w:szCs w:val="24"/>
              </w:rPr>
              <w:t xml:space="preserve">项目技术负责人1人（3分）：</w:t>
            </w:r>
            <w:r>
              <w:rPr>
                <w:rFonts w:hint="eastAsia" w:ascii="宋体" w:hAnsi="宋体" w:cs="宋体"/>
                <w:sz w:val="24"/>
                <w:szCs w:val="24"/>
              </w:rPr>
              <w:t xml:space="preserve">拟派本项目的技术负责人具有高级工程师职称的，得3分；</w:t>
            </w:r>
            <w:r/>
          </w:p>
          <w:p>
            <w:pPr>
              <w:ind w:firstLine="422"/>
              <w:spacing w:line="520" w:lineRule="exact"/>
              <w:rPr>
                <w:rFonts w:ascii="宋体" w:hAnsi="宋体" w:cs="宋体"/>
                <w:sz w:val="24"/>
                <w:szCs w:val="24"/>
              </w:rPr>
            </w:pPr>
            <w:r>
              <w:rPr>
                <w:rFonts w:hint="eastAsia" w:ascii="宋体" w:hAnsi="宋体" w:cs="宋体"/>
                <w:b/>
                <w:sz w:val="24"/>
                <w:szCs w:val="24"/>
              </w:rPr>
              <w:t xml:space="preserve">团队其他成员不少于7人（7分）：</w:t>
            </w:r>
            <w:r>
              <w:rPr>
                <w:rFonts w:hint="eastAsia" w:ascii="宋体" w:hAnsi="宋体" w:cs="宋体"/>
                <w:sz w:val="24"/>
                <w:szCs w:val="24"/>
              </w:rPr>
              <w:t xml:space="preserve">现场施工管理人员（中级及以上工程师职称）1名、专职安全员1名（提供安全员C证）、专职光纤线路协调员（中标单位线路部门专业人员）1名、质检员1名、摄像机原厂认证工程师1名、登高作业人员1名、电工作业人员1名，如一人多证的只得1分，最高7分。</w:t>
            </w:r>
            <w:r/>
          </w:p>
          <w:p>
            <w:pPr>
              <w:ind w:firstLine="422"/>
              <w:spacing w:line="520" w:lineRule="exact"/>
              <w:rPr>
                <w:rFonts w:ascii="宋体" w:hAnsi="宋体" w:cs="宋体"/>
                <w:sz w:val="24"/>
                <w:szCs w:val="24"/>
              </w:rPr>
            </w:pPr>
            <w:r>
              <w:rPr>
                <w:rFonts w:hint="eastAsia" w:ascii="宋体" w:hAnsi="宋体" w:cs="宋体"/>
                <w:sz w:val="24"/>
                <w:szCs w:val="24"/>
              </w:rPr>
              <w:t xml:space="preserve">注：以上人员投标时提供相应证书或证明文件的复印件、劳动合同扫描件及近3个月中任意一个月的由社保部门出具的投标单位缴纳社保记录扫描件。</w:t>
            </w:r>
            <w:r/>
          </w:p>
        </w:tc>
        <w:tc>
          <w:tcPr>
            <w:tcW w:w="981" w:type="dxa"/>
            <w:vAlign w:val="center"/>
            <w:textDirection w:val="lrTb"/>
            <w:noWrap w:val="false"/>
          </w:tcPr>
          <w:p>
            <w:pPr>
              <w:jc w:val="center"/>
              <w:spacing w:line="460" w:lineRule="exact"/>
              <w:widowControl/>
              <w:rPr>
                <w:rFonts w:ascii="仿宋" w:hAnsi="仿宋" w:eastAsia="仿宋" w:cs="仿宋"/>
                <w:bCs/>
                <w:sz w:val="24"/>
                <w:szCs w:val="24"/>
              </w:rPr>
            </w:pPr>
            <w:r>
              <w:rPr>
                <w:rFonts w:hint="eastAsia" w:ascii="仿宋" w:hAnsi="仿宋" w:eastAsia="仿宋" w:cs="仿宋"/>
                <w:bCs/>
                <w:sz w:val="24"/>
                <w:szCs w:val="24"/>
              </w:rPr>
              <w:t xml:space="preserve">客观分</w:t>
            </w:r>
            <w:r/>
          </w:p>
        </w:tc>
      </w:tr>
    </w:tbl>
    <w:p>
      <w:pPr>
        <w:ind w:firstLine="360"/>
        <w:spacing w:line="360" w:lineRule="auto"/>
        <w:rPr>
          <w:rFonts w:ascii="宋体" w:hAnsi="宋体" w:cs="宋体"/>
          <w:sz w:val="24"/>
          <w:szCs w:val="24"/>
        </w:rPr>
      </w:pPr>
      <w:r>
        <w:rPr>
          <w:rFonts w:hint="eastAsia" w:ascii="宋体" w:hAnsi="宋体" w:cs="宋体"/>
          <w:sz w:val="24"/>
          <w:szCs w:val="24"/>
        </w:rPr>
        <w:t xml:space="preserve">注：供应商应在领取中标通知书前，提供投标文件中涉及的相关证明材料原件送交采购人核查，所提供材料必须真实可靠，发现弄虚作假行为，一经发现和查实作虚假应标处理。</w:t>
      </w:r>
      <w:r/>
    </w:p>
    <w:p>
      <w:pPr>
        <w:pStyle w:val="1127"/>
        <w:numPr>
          <w:ilvl w:val="0"/>
          <w:numId w:val="16"/>
        </w:numPr>
        <w:ind w:firstLine="598"/>
        <w:spacing w:line="0" w:lineRule="atLeast"/>
        <w:rPr>
          <w:rFonts w:ascii="宋体" w:hAnsi="宋体" w:cs="宋体"/>
          <w:b/>
        </w:rPr>
      </w:pPr>
      <w:r>
        <w:rPr>
          <w:rFonts w:hint="eastAsia" w:ascii="宋体" w:hAnsi="宋体" w:cs="宋体"/>
          <w:b/>
        </w:rPr>
        <w:t xml:space="preserve">政府采购政策功能落实</w:t>
      </w:r>
      <w:r/>
    </w:p>
    <w:p>
      <w:pPr>
        <w:ind w:firstLine="480"/>
        <w:spacing w:line="360" w:lineRule="auto"/>
        <w:rPr>
          <w:rFonts w:ascii="宋体" w:hAnsi="宋体" w:cs="宋体"/>
          <w:sz w:val="24"/>
          <w:szCs w:val="24"/>
        </w:rPr>
      </w:pPr>
      <w:r>
        <w:rPr>
          <w:rFonts w:hint="eastAsia" w:ascii="宋体" w:hAnsi="宋体" w:cs="宋体"/>
          <w:sz w:val="24"/>
          <w:szCs w:val="24"/>
        </w:rPr>
        <w:t xml:space="preserve">4.1．专门面向中小企业采购的项目或者采购包，不再执行价格评审优惠的扶持政策。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4.2．非专门面向中小企业采购的项目或者采购包，执行以下价格评审优惠的扶持政策。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（1）小微型企业价格扣除：</w:t>
      </w:r>
      <w:r/>
    </w:p>
    <w:p>
      <w:pPr>
        <w:ind w:firstLine="480"/>
        <w:spacing w:line="360" w:lineRule="auto"/>
        <w:rPr>
          <w:rFonts w:ascii="宋体" w:hAnsi="宋体" w:cs="宋体"/>
          <w:sz w:val="24"/>
          <w:szCs w:val="24"/>
        </w:rPr>
      </w:pPr>
      <w:r>
        <w:rPr>
          <w:rFonts w:hint="eastAsia" w:ascii="宋体" w:hAnsi="宋体" w:cs="宋体"/>
          <w:sz w:val="24"/>
          <w:szCs w:val="24"/>
        </w:rPr>
        <w:t xml:space="preserve">1、对小型和微型企业产品给予10%的扣除价格，用扣除后的价格参与评审。</w:t>
      </w:r>
      <w:r/>
    </w:p>
    <w:p>
      <w:pPr>
        <w:ind w:firstLine="480"/>
        <w:spacing w:line="360" w:lineRule="auto"/>
        <w:rPr>
          <w:rFonts w:ascii="宋体" w:hAnsi="宋体" w:cs="宋体"/>
          <w:sz w:val="24"/>
          <w:szCs w:val="24"/>
        </w:rPr>
      </w:pPr>
      <w:r>
        <w:rPr>
          <w:rFonts w:hint="eastAsia" w:ascii="宋体" w:hAnsi="宋体" w:cs="宋体"/>
          <w:sz w:val="24"/>
          <w:szCs w:val="24"/>
        </w:rPr>
        <w:t xml:space="preserve">2、供应商需按照《政府采购促进中小企业发展管理办法》（财库〔2020〕46号）的规定提供相应的《中小企业声明函》。</w:t>
      </w:r>
      <w:r/>
    </w:p>
    <w:p>
      <w:pPr>
        <w:ind w:firstLine="480"/>
        <w:spacing w:line="360" w:lineRule="auto"/>
        <w:rPr>
          <w:rFonts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ind w:firstLine="480"/>
        <w:spacing w:line="360" w:lineRule="auto"/>
        <w:rPr>
          <w:rFonts w:ascii="宋体" w:hAnsi="宋体" w:cs="宋体"/>
          <w:sz w:val="24"/>
          <w:szCs w:val="24"/>
        </w:rPr>
      </w:pPr>
      <w:r>
        <w:rPr>
          <w:rFonts w:hint="eastAsia" w:ascii="宋体" w:hAnsi="宋体" w:cs="宋体"/>
          <w:sz w:val="24"/>
          <w:szCs w:val="24"/>
        </w:rPr>
        <w:t xml:space="preserve">（2）残疾人福利单位价格扣除：</w:t>
      </w:r>
      <w:r/>
    </w:p>
    <w:p>
      <w:pPr>
        <w:ind w:firstLine="480"/>
        <w:spacing w:line="360" w:lineRule="auto"/>
        <w:rPr>
          <w:rFonts w:ascii="宋体" w:hAnsi="宋体" w:cs="宋体"/>
          <w:sz w:val="24"/>
          <w:szCs w:val="24"/>
        </w:rPr>
      </w:pPr>
      <w:r>
        <w:rPr>
          <w:rFonts w:hint="eastAsia" w:ascii="宋体" w:hAnsi="宋体" w:cs="宋体"/>
          <w:sz w:val="24"/>
          <w:szCs w:val="24"/>
        </w:rPr>
        <w:t xml:space="preserve">1、对残疾人福利性单位，给予10%的价格扣除，用扣除后的价格参与评审。</w:t>
      </w:r>
      <w:r/>
    </w:p>
    <w:p>
      <w:pPr>
        <w:ind w:firstLine="480"/>
        <w:spacing w:line="360" w:lineRule="auto"/>
        <w:rPr>
          <w:rFonts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p>
    <w:p>
      <w:pPr>
        <w:ind w:firstLine="787"/>
        <w:spacing w:line="360" w:lineRule="auto"/>
        <w:rPr>
          <w:rFonts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p>
    <w:p>
      <w:pPr>
        <w:ind w:firstLine="480"/>
        <w:spacing w:line="360" w:lineRule="auto"/>
        <w:rPr>
          <w:rFonts w:ascii="宋体" w:hAnsi="宋体" w:cs="宋体"/>
          <w:sz w:val="24"/>
          <w:szCs w:val="24"/>
        </w:rPr>
      </w:pPr>
      <w:r>
        <w:rPr>
          <w:rFonts w:hint="eastAsia" w:ascii="宋体" w:hAnsi="宋体" w:cs="宋体"/>
          <w:sz w:val="24"/>
          <w:szCs w:val="24"/>
        </w:rPr>
        <w:t xml:space="preserve">（3）监狱和戒毒企业价格扣除</w:t>
      </w:r>
      <w:r/>
    </w:p>
    <w:p>
      <w:pPr>
        <w:ind w:firstLine="480"/>
        <w:spacing w:line="360" w:lineRule="auto"/>
        <w:rPr>
          <w:rFonts w:ascii="宋体" w:hAnsi="宋体" w:cs="宋体"/>
          <w:sz w:val="24"/>
          <w:szCs w:val="24"/>
        </w:rPr>
      </w:pPr>
      <w:r>
        <w:rPr>
          <w:rFonts w:hint="eastAsia" w:ascii="宋体" w:hAnsi="宋体" w:cs="宋体"/>
          <w:sz w:val="24"/>
          <w:szCs w:val="24"/>
        </w:rPr>
        <w:t xml:space="preserve">1、对监狱和戒毒企业（简称监狱企业）给予10%的价格扣除，用扣除后的价格参与评审。</w:t>
      </w:r>
      <w:r/>
    </w:p>
    <w:p>
      <w:pPr>
        <w:ind w:firstLine="480"/>
        <w:spacing w:line="360" w:lineRule="auto"/>
        <w:rPr>
          <w:rFonts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p>
    <w:p>
      <w:pPr>
        <w:ind w:firstLine="480"/>
        <w:spacing w:line="360" w:lineRule="auto"/>
        <w:rPr>
          <w:rFonts w:ascii="宋体" w:hAnsi="宋体" w:cs="宋体"/>
          <w:sz w:val="24"/>
          <w:szCs w:val="24"/>
        </w:rPr>
      </w:pPr>
      <w:r>
        <w:rPr>
          <w:rFonts w:hint="eastAsia" w:ascii="宋体" w:hAnsi="宋体" w:cs="宋体"/>
          <w:sz w:val="24"/>
          <w:szCs w:val="24"/>
        </w:rPr>
        <w:t xml:space="preserve">（4）残疾人福利单位、监狱企业属于小型、微型企业的，不重复享受政策。</w:t>
      </w:r>
      <w:r/>
    </w:p>
    <w:p>
      <w:pPr>
        <w:ind w:firstLine="480"/>
        <w:spacing w:line="360" w:lineRule="auto"/>
        <w:rPr>
          <w:rFonts w:ascii="宋体" w:hAnsi="宋体" w:cs="宋体"/>
          <w:sz w:val="24"/>
          <w:szCs w:val="24"/>
        </w:rPr>
      </w:pPr>
      <w:r>
        <w:rPr>
          <w:rFonts w:hint="eastAsia" w:ascii="宋体" w:hAnsi="宋体" w:cs="宋体"/>
          <w:sz w:val="24"/>
          <w:szCs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480"/>
        <w:spacing w:line="360" w:lineRule="auto"/>
        <w:rPr>
          <w:rFonts w:ascii="宋体" w:hAnsi="宋体" w:cs="宋体"/>
          <w:sz w:val="24"/>
          <w:szCs w:val="24"/>
        </w:rPr>
      </w:pPr>
      <w:r>
        <w:rPr>
          <w:rFonts w:hint="eastAsia" w:ascii="宋体" w:hAnsi="宋体" w:cs="宋体"/>
          <w:sz w:val="24"/>
          <w:szCs w:val="24"/>
        </w:rPr>
        <w:t xml:space="preserve">（6）联合体各方均为小型、微型企业（残疾人福利单位、监狱企业）的，联合体享受上述同类价格扣除，用扣除后的价格参与评审。</w:t>
      </w:r>
      <w:r/>
    </w:p>
    <w:p>
      <w:pPr>
        <w:ind w:firstLine="480"/>
        <w:spacing w:line="360" w:lineRule="auto"/>
        <w:rPr>
          <w:rFonts w:ascii="宋体" w:hAnsi="宋体" w:cs="宋体"/>
          <w:sz w:val="24"/>
          <w:szCs w:val="24"/>
        </w:rPr>
      </w:pPr>
      <w:r>
        <w:rPr>
          <w:rFonts w:hint="eastAsia" w:ascii="宋体" w:hAnsi="宋体" w:cs="宋体"/>
          <w:sz w:val="24"/>
          <w:szCs w:val="24"/>
        </w:rPr>
        <w:t xml:space="preserve">4.3、采购本国产品的支持政策</w:t>
      </w:r>
      <w:r/>
    </w:p>
    <w:p>
      <w:pPr>
        <w:ind w:firstLine="480"/>
        <w:spacing w:line="360" w:lineRule="auto"/>
        <w:rPr>
          <w:rFonts w:ascii="宋体" w:hAnsi="宋体" w:cs="宋体"/>
          <w:sz w:val="24"/>
          <w:szCs w:val="24"/>
        </w:rPr>
      </w:pPr>
      <w:r>
        <w:rPr>
          <w:rFonts w:hint="eastAsia" w:ascii="宋体" w:hAnsi="宋体" w:cs="宋体"/>
          <w:sz w:val="24"/>
          <w:szCs w:val="24"/>
        </w:rPr>
        <w:t xml:space="preserve">4.3.1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宋体"/>
          <w:sz w:val="24"/>
          <w:szCs w:val="24"/>
        </w:rPr>
      </w:pPr>
      <w:r>
        <w:rPr>
          <w:rFonts w:hint="eastAsia" w:ascii="宋体" w:hAnsi="宋体" w:cs="宋体"/>
          <w:sz w:val="24"/>
          <w:szCs w:val="24"/>
        </w:rPr>
        <w:t xml:space="preserve">4.3.2 当采购项目或者采购包中含有多种产品，供应商为该采购项目或者采购包提供的符合本国产品标准的产品成本之和占该供应商提供的全部产品成本之和的比例达到80%以上时（供应商需在“第五部分 投标文件格式”的“附件</w:t>
      </w:r>
      <w:r>
        <w:rPr>
          <w:rFonts w:ascii="宋体" w:hAnsi="宋体" w:cs="宋体"/>
          <w:sz w:val="24"/>
          <w:szCs w:val="24"/>
        </w:rPr>
        <w:t xml:space="preserve">2</w:t>
      </w:r>
      <w:r>
        <w:rPr>
          <w:rFonts w:hint="eastAsia" w:ascii="宋体" w:hAnsi="宋体" w:cs="宋体"/>
          <w:sz w:val="24"/>
          <w:szCs w:val="24"/>
        </w:rPr>
        <w:t xml:space="preserve"> 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ascii="宋体" w:hAnsi="宋体" w:cs="宋体"/>
          <w:sz w:val="24"/>
          <w:szCs w:val="24"/>
        </w:rPr>
      </w:pPr>
      <w:r>
        <w:rPr>
          <w:rFonts w:hint="eastAsia" w:ascii="宋体" w:hAnsi="宋体" w:cs="宋体"/>
          <w:sz w:val="24"/>
          <w:szCs w:val="24"/>
        </w:rPr>
        <w:t xml:space="preserve">4.3.3 供应商需按照招标文件的要求提供《关于符合本国产品标准的声明函》（以下简称《声明函》），如不提供将不享受本国产品价格评审优惠。</w:t>
      </w:r>
      <w:r/>
    </w:p>
    <w:p>
      <w:pPr>
        <w:ind w:firstLine="480"/>
        <w:spacing w:line="360" w:lineRule="auto"/>
        <w:rPr>
          <w:rFonts w:ascii="宋体" w:hAnsi="宋体" w:cs="宋体"/>
          <w:sz w:val="24"/>
          <w:szCs w:val="24"/>
        </w:rPr>
      </w:pPr>
      <w:r>
        <w:rPr>
          <w:rFonts w:hint="eastAsia" w:ascii="宋体" w:hAnsi="宋体" w:cs="宋体"/>
          <w:sz w:val="24"/>
          <w:szCs w:val="24"/>
        </w:rPr>
        <w:t xml:space="preserve">4.3.4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cs="宋体"/>
          <w:sz w:val="24"/>
          <w:szCs w:val="24"/>
        </w:rPr>
      </w:pPr>
      <w:r>
        <w:rPr>
          <w:rFonts w:hint="eastAsia" w:ascii="宋体" w:hAnsi="宋体" w:cs="宋体"/>
          <w:sz w:val="24"/>
          <w:szCs w:val="24"/>
        </w:rPr>
        <w:t xml:space="preserve">4.3.5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27"/>
        <w:ind w:firstLine="598"/>
        <w:spacing w:line="0" w:lineRule="atLeast"/>
        <w:rPr>
          <w:rFonts w:ascii="宋体" w:hAnsi="宋体" w:cs="宋体"/>
          <w:b/>
        </w:rPr>
      </w:pPr>
      <w:r>
        <w:rPr>
          <w:rFonts w:hint="eastAsia" w:ascii="宋体" w:hAnsi="宋体" w:cs="宋体"/>
          <w:b/>
        </w:rPr>
        <w:t xml:space="preserve">5、中标人的确定</w:t>
      </w:r>
      <w:r>
        <w:rPr>
          <w:rFonts w:hint="eastAsia" w:ascii="宋体" w:hAnsi="宋体" w:cs="宋体"/>
          <w:b/>
        </w:rPr>
        <w:tab/>
      </w:r>
      <w:r/>
    </w:p>
    <w:p>
      <w:pPr>
        <w:ind w:firstLine="480"/>
        <w:spacing w:line="360" w:lineRule="auto"/>
        <w:rPr>
          <w:rFonts w:ascii="宋体" w:hAnsi="宋体" w:cs="宋体"/>
          <w:sz w:val="24"/>
          <w:szCs w:val="24"/>
        </w:rPr>
      </w:pPr>
      <w:r>
        <w:rPr>
          <w:rFonts w:hint="eastAsia" w:ascii="宋体" w:hAnsi="宋体" w:cs="宋体"/>
          <w:sz w:val="24"/>
          <w:szCs w:val="24"/>
        </w:rPr>
        <w:t xml:space="preserve">评委会认为投标人的报价明显低于其他通过符合性审查投标人的报价，有可能影响产品质量或者不能诚信履约的，应当要求其在合理的时间内提供书面说明，必要时提交相关证明材料；投标人不能证明其报价合理性的，评委会应当将其作为无效投标处理。</w:t>
      </w:r>
      <w:r/>
    </w:p>
    <w:p>
      <w:pPr>
        <w:ind w:firstLine="480"/>
        <w:spacing w:line="360" w:lineRule="auto"/>
        <w:rPr>
          <w:rFonts w:ascii="宋体" w:hAnsi="宋体" w:cs="宋体"/>
          <w:sz w:val="24"/>
          <w:szCs w:val="24"/>
        </w:rPr>
      </w:pPr>
      <w:r>
        <w:rPr>
          <w:rFonts w:hint="eastAsia" w:ascii="宋体" w:hAnsi="宋体" w:cs="宋体"/>
          <w:sz w:val="24"/>
          <w:szCs w:val="24"/>
        </w:rPr>
        <w:t xml:space="preserve">评委对中标候选人报价总表和明细表进行审核，应审核供应商投标报价是否前后一致、大小写金额是否一致、总价金额与单价汇总金额是否一致。对过高过低报价的并作为中标候选人的，应重点审核报价明细表是否有重大重复报价或漏项报价等情况，一经发现，现场请中标候选人予以澄清，明显过错或不能澄清的，经超半数以上评委认定，有权取消供应商中标候选人资格。</w:t>
      </w:r>
      <w:r/>
    </w:p>
    <w:p>
      <w:pPr>
        <w:ind w:firstLine="480"/>
        <w:spacing w:line="360" w:lineRule="auto"/>
        <w:rPr>
          <w:rFonts w:ascii="宋体" w:hAnsi="宋体" w:cs="宋体"/>
          <w:sz w:val="24"/>
          <w:szCs w:val="24"/>
        </w:rPr>
      </w:pPr>
      <w:r>
        <w:rPr>
          <w:rFonts w:hint="eastAsia" w:ascii="宋体" w:hAnsi="宋体" w:cs="宋体"/>
          <w:sz w:val="24"/>
          <w:szCs w:val="24"/>
        </w:rPr>
        <w:t xml:space="preserve">评委会汇总各评委评分后，按照得分从高到低的顺序推荐三名中标候选人，并编写评标报告。</w:t>
      </w:r>
      <w:r/>
    </w:p>
    <w:p>
      <w:pPr>
        <w:ind w:firstLine="482"/>
        <w:spacing w:line="360" w:lineRule="auto"/>
        <w:rPr>
          <w:rFonts w:ascii="宋体" w:hAnsi="宋体" w:cs="宋体"/>
          <w:sz w:val="24"/>
          <w:szCs w:val="24"/>
        </w:rPr>
      </w:pPr>
      <w:r>
        <w:rPr>
          <w:rFonts w:hint="eastAsia" w:ascii="宋体" w:hAnsi="宋体" w:cs="宋体"/>
          <w:b/>
          <w:sz w:val="24"/>
          <w:szCs w:val="24"/>
        </w:rPr>
        <w:t xml:space="preserve">采购人委托评委会</w:t>
      </w:r>
      <w:r>
        <w:rPr>
          <w:rFonts w:hint="eastAsia" w:ascii="宋体" w:hAnsi="宋体" w:cs="宋体"/>
          <w:sz w:val="24"/>
          <w:szCs w:val="24"/>
        </w:rPr>
        <w:t xml:space="preserve">在评标报告确定的中标候选人名单中按顺序确定中标人。如最终评审得分出现相同最高分，则推荐最终报价较低的投标人为成交供应商；评审得分且最终报价均相同的，则按现场签到顺序依次抽取顺序号，再按抽取的顺序号依次随机抽取确定成交候选人。</w:t>
      </w:r>
      <w:r/>
    </w:p>
    <w:p>
      <w:pPr>
        <w:ind w:firstLine="482"/>
        <w:spacing w:line="360" w:lineRule="auto"/>
        <w:rPr>
          <w:rFonts w:ascii="宋体" w:hAnsi="宋体" w:cs="宋体"/>
          <w:sz w:val="24"/>
          <w:szCs w:val="24"/>
        </w:rPr>
      </w:pPr>
      <w:r>
        <w:rPr>
          <w:rFonts w:hint="eastAsia" w:ascii="宋体" w:hAnsi="宋体" w:cs="宋体"/>
          <w:b/>
          <w:sz w:val="24"/>
          <w:szCs w:val="24"/>
        </w:rPr>
        <w:t xml:space="preserve">6、采购代理机构宣布评标结果。</w:t>
      </w:r>
      <w:r/>
    </w:p>
    <w:p>
      <w:pPr>
        <w:ind w:firstLine="482"/>
        <w:spacing w:line="360" w:lineRule="auto"/>
        <w:rPr>
          <w:rFonts w:ascii="宋体" w:hAnsi="宋体" w:cs="宋体"/>
          <w:b/>
          <w:sz w:val="24"/>
          <w:szCs w:val="24"/>
        </w:rPr>
      </w:pPr>
      <w:r>
        <w:rPr>
          <w:rFonts w:hint="eastAsia" w:ascii="宋体" w:hAnsi="宋体" w:cs="宋体"/>
          <w:b/>
          <w:sz w:val="24"/>
          <w:szCs w:val="24"/>
        </w:rPr>
        <w:t xml:space="preserve">7、公告中标结果</w:t>
      </w:r>
      <w:r/>
    </w:p>
    <w:p>
      <w:pPr>
        <w:ind w:firstLine="480"/>
        <w:spacing w:line="360" w:lineRule="auto"/>
        <w:rPr>
          <w:rFonts w:ascii="宋体" w:hAnsi="宋体" w:cs="宋体"/>
          <w:b/>
          <w:sz w:val="24"/>
          <w:szCs w:val="24"/>
        </w:rPr>
      </w:pPr>
      <w:r>
        <w:rPr>
          <w:rFonts w:hint="eastAsia" w:ascii="宋体" w:hAnsi="宋体" w:cs="宋体"/>
          <w:sz w:val="24"/>
          <w:szCs w:val="24"/>
        </w:rPr>
        <w:t xml:space="preserve">自确定中标人之日起2个工作日内，在江苏政府采购网站公告中标结果，公告期限为1个工作日。</w:t>
      </w:r>
      <w:r/>
    </w:p>
    <w:p>
      <w:pPr>
        <w:ind w:firstLine="482"/>
        <w:spacing w:line="360" w:lineRule="auto"/>
        <w:rPr>
          <w:rFonts w:ascii="宋体" w:hAnsi="宋体" w:cs="宋体"/>
          <w:b/>
          <w:sz w:val="24"/>
          <w:szCs w:val="24"/>
        </w:rPr>
      </w:pPr>
      <w:r>
        <w:rPr>
          <w:rFonts w:hint="eastAsia" w:ascii="宋体" w:hAnsi="宋体" w:cs="宋体"/>
          <w:b/>
          <w:sz w:val="24"/>
          <w:szCs w:val="24"/>
        </w:rPr>
        <w:t xml:space="preserve">8、发放中标通知书</w:t>
      </w:r>
      <w:r/>
    </w:p>
    <w:p>
      <w:pPr>
        <w:ind w:firstLine="480"/>
        <w:spacing w:line="360" w:lineRule="auto"/>
        <w:rPr>
          <w:rFonts w:ascii="宋体" w:hAnsi="宋体" w:cs="宋体"/>
          <w:sz w:val="24"/>
          <w:szCs w:val="24"/>
        </w:rPr>
      </w:pPr>
      <w:r>
        <w:rPr>
          <w:rFonts w:hint="eastAsia" w:ascii="宋体" w:hAnsi="宋体" w:cs="宋体"/>
          <w:sz w:val="24"/>
          <w:szCs w:val="24"/>
        </w:rPr>
        <w:t xml:space="preserve">中标通知书发放条件和途径：中标结果公告公示期结束后，供应商可至代理单位领取中标通知书。</w:t>
      </w:r>
      <w:r/>
    </w:p>
    <w:p>
      <w:pPr>
        <w:ind w:firstLine="480"/>
        <w:spacing w:line="360" w:lineRule="auto"/>
        <w:rPr>
          <w:rFonts w:ascii="宋体" w:hAnsi="宋体" w:cs="宋体"/>
          <w:sz w:val="24"/>
          <w:szCs w:val="24"/>
        </w:rPr>
      </w:pPr>
      <w:r>
        <w:rPr>
          <w:rFonts w:hint="eastAsia" w:ascii="宋体" w:hAnsi="宋体" w:cs="宋体"/>
          <w:sz w:val="24"/>
          <w:szCs w:val="24"/>
        </w:rPr>
        <w:t xml:space="preserve">中标通知书发出后，采购人不得违法改变中标结果，中标供应商无正当理由不得放弃中标。</w:t>
      </w:r>
      <w:r/>
    </w:p>
    <w:p>
      <w:pPr>
        <w:ind w:firstLine="482"/>
        <w:spacing w:line="360" w:lineRule="auto"/>
        <w:rPr>
          <w:rFonts w:ascii="宋体" w:hAnsi="宋体" w:cs="宋体"/>
          <w:b/>
          <w:sz w:val="24"/>
          <w:szCs w:val="24"/>
        </w:rPr>
      </w:pPr>
      <w:r>
        <w:rPr>
          <w:rFonts w:hint="eastAsia" w:ascii="宋体" w:hAnsi="宋体" w:cs="宋体"/>
          <w:b/>
          <w:sz w:val="24"/>
          <w:szCs w:val="24"/>
        </w:rPr>
        <w:t xml:space="preserve">9、其他注意事项</w:t>
      </w:r>
      <w:r/>
    </w:p>
    <w:p>
      <w:pPr>
        <w:ind w:firstLine="480"/>
        <w:spacing w:line="360" w:lineRule="auto"/>
        <w:rPr>
          <w:rFonts w:ascii="宋体" w:hAnsi="宋体" w:cs="宋体"/>
          <w:sz w:val="24"/>
          <w:szCs w:val="24"/>
        </w:rPr>
      </w:pPr>
      <w:r>
        <w:rPr>
          <w:rFonts w:hint="eastAsia" w:ascii="宋体" w:hAnsi="宋体" w:cs="宋体"/>
          <w:sz w:val="24"/>
          <w:szCs w:val="24"/>
        </w:rPr>
        <w:t xml:space="preserve">9.1．在投标、开标时间，投标人不得向评委询问情况，不得进行旨在影响评标结果的活动。</w:t>
      </w:r>
      <w:r/>
    </w:p>
    <w:p>
      <w:pPr>
        <w:ind w:firstLine="480"/>
        <w:spacing w:line="360" w:lineRule="auto"/>
        <w:rPr>
          <w:rFonts w:ascii="宋体" w:hAnsi="宋体" w:cs="宋体"/>
          <w:sz w:val="24"/>
          <w:szCs w:val="24"/>
        </w:rPr>
      </w:pPr>
      <w:r>
        <w:rPr>
          <w:rFonts w:hint="eastAsia" w:ascii="宋体" w:hAnsi="宋体" w:cs="宋体"/>
          <w:sz w:val="24"/>
          <w:szCs w:val="24"/>
        </w:rPr>
        <w:t xml:space="preserve">9.2．评委会不得向投标人解释落标原因。</w:t>
      </w:r>
      <w:r/>
    </w:p>
    <w:p>
      <w:pPr>
        <w:ind w:firstLine="480"/>
        <w:spacing w:line="360" w:lineRule="auto"/>
        <w:rPr>
          <w:rFonts w:ascii="宋体" w:hAnsi="宋体" w:cs="宋体"/>
          <w:sz w:val="24"/>
          <w:szCs w:val="24"/>
        </w:rPr>
      </w:pPr>
      <w:r>
        <w:rPr>
          <w:rFonts w:hint="eastAsia" w:ascii="宋体" w:hAnsi="宋体" w:cs="宋体"/>
          <w:sz w:val="24"/>
          <w:szCs w:val="24"/>
        </w:rPr>
        <w:t xml:space="preserve">9.3．在投标、评标过程中，如果投标人联合故意抬高报价或出现其他不正当行为，采购人有权中止投标或评标。</w:t>
      </w:r>
      <w:r/>
    </w:p>
    <w:p>
      <w:pPr>
        <w:ind w:firstLine="480"/>
        <w:spacing w:line="360" w:lineRule="auto"/>
      </w:pPr>
      <w:r>
        <w:rPr>
          <w:rFonts w:hint="eastAsia" w:ascii="宋体" w:hAnsi="宋体" w:cs="宋体"/>
          <w:sz w:val="24"/>
          <w:szCs w:val="24"/>
        </w:rPr>
        <w:t xml:space="preserve">9.4．凡在投标、开标过程中，已提示是否异议的事项，投标人当时没有提出异议的，事后不得针对上述事项提出质疑。</w:t>
      </w:r>
      <w:r/>
    </w:p>
    <w:p>
      <w:pPr>
        <w:pStyle w:val="1047"/>
        <w:rPr>
          <w:rFonts w:ascii="宋体" w:hAnsi="宋体" w:eastAsia="宋体" w:cs="宋体"/>
          <w:bCs/>
          <w:sz w:val="44"/>
        </w:rPr>
      </w:pPr>
      <w:r>
        <w:rPr>
          <w:rFonts w:hint="eastAsia" w:ascii="宋体" w:hAnsi="宋体" w:eastAsia="宋体" w:cs="宋体"/>
          <w:bCs/>
          <w:sz w:val="44"/>
        </w:rPr>
        <w:br w:type="page" w:clear="all"/>
      </w:r>
      <w:bookmarkStart w:id="223" w:name="_Toc219796293"/>
      <w:r>
        <w:rPr>
          <w:rFonts w:hint="eastAsia" w:ascii="宋体" w:hAnsi="宋体" w:eastAsia="宋体" w:cs="宋体"/>
          <w:bCs/>
          <w:sz w:val="44"/>
        </w:rPr>
        <w:t xml:space="preserve">第六章  投标</w:t>
      </w:r>
      <w:bookmarkEnd w:id="201"/>
      <w:r/>
      <w:bookmarkEnd w:id="202"/>
      <w:r/>
      <w:bookmarkEnd w:id="222"/>
      <w:r>
        <w:rPr>
          <w:rFonts w:hint="eastAsia" w:ascii="宋体" w:hAnsi="宋体" w:eastAsia="宋体" w:cs="宋体"/>
          <w:bCs/>
          <w:sz w:val="44"/>
        </w:rPr>
        <w:t xml:space="preserve">文件格式</w:t>
      </w:r>
      <w:bookmarkEnd w:id="223"/>
      <w:r/>
      <w:r/>
    </w:p>
    <w:p>
      <w:pPr>
        <w:jc w:val="center"/>
        <w:rPr>
          <w:rFonts w:ascii="宋体" w:hAnsi="宋体" w:cs="宋体"/>
          <w:b/>
          <w:sz w:val="72"/>
        </w:rPr>
      </w:pPr>
      <w:r/>
      <w:bookmarkStart w:id="224" w:name="_Hlt26671244"/>
      <w:r/>
      <w:bookmarkStart w:id="225" w:name="_Hlt26955039"/>
      <w:r/>
      <w:bookmarkStart w:id="226" w:name="_Toc26554094"/>
      <w:r/>
      <w:bookmarkStart w:id="227" w:name="_Toc49090576"/>
      <w:r/>
      <w:bookmarkStart w:id="228" w:name="_Toc120614282"/>
      <w:r/>
      <w:bookmarkEnd w:id="224"/>
      <w:r/>
      <w:bookmarkEnd w:id="225"/>
      <w:r/>
      <w:r/>
    </w:p>
    <w:p>
      <w:pPr>
        <w:jc w:val="center"/>
        <w:rPr>
          <w:rFonts w:ascii="宋体" w:hAnsi="宋体" w:cs="宋体"/>
          <w:b/>
          <w:sz w:val="72"/>
        </w:rPr>
      </w:pPr>
      <w:r>
        <w:rPr>
          <w:rFonts w:hint="eastAsia" w:ascii="宋体" w:hAnsi="宋体" w:cs="宋体"/>
          <w:b/>
          <w:sz w:val="72"/>
        </w:rPr>
        <w:t xml:space="preserve">投  标  文  件</w:t>
      </w:r>
      <w:r/>
    </w:p>
    <w:p>
      <w:pPr>
        <w:jc w:val="center"/>
        <w:rPr>
          <w:rFonts w:ascii="宋体" w:hAnsi="宋体" w:cs="宋体"/>
          <w:b/>
          <w:sz w:val="72"/>
        </w:rPr>
      </w:pPr>
      <w:r>
        <w:rPr>
          <w:rFonts w:ascii="宋体" w:hAnsi="宋体" w:cs="宋体"/>
          <w:b/>
          <w:sz w:val="72"/>
        </w:rPr>
      </w:r>
      <w:r/>
    </w:p>
    <w:p>
      <w:pPr>
        <w:jc w:val="center"/>
        <w:rPr>
          <w:rFonts w:ascii="宋体" w:hAnsi="宋体" w:cs="宋体"/>
          <w:b/>
          <w:sz w:val="72"/>
        </w:rPr>
      </w:pPr>
      <w:r>
        <w:rPr>
          <w:rFonts w:ascii="宋体" w:hAnsi="宋体" w:cs="宋体"/>
          <w:b/>
          <w:sz w:val="72"/>
        </w:rPr>
      </w:r>
      <w:r/>
    </w:p>
    <w:p>
      <w:pPr>
        <w:jc w:val="cente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ind w:firstLine="1084"/>
        <w:spacing w:line="360" w:lineRule="auto"/>
        <w:rPr>
          <w:rFonts w:ascii="宋体" w:hAnsi="宋体" w:cs="宋体"/>
          <w:b/>
          <w:sz w:val="36"/>
        </w:rPr>
      </w:pPr>
      <w:r>
        <w:rPr>
          <w:rFonts w:hint="eastAsia" w:ascii="宋体" w:hAnsi="宋体" w:cs="宋体"/>
          <w:b/>
          <w:sz w:val="36"/>
        </w:rPr>
        <w:t xml:space="preserve">项 目 名 称：</w:t>
      </w:r>
      <w:r/>
    </w:p>
    <w:p>
      <w:pPr>
        <w:ind w:firstLine="1084"/>
        <w:spacing w:line="360" w:lineRule="auto"/>
        <w:rPr>
          <w:rFonts w:ascii="宋体" w:hAnsi="宋体" w:cs="宋体"/>
          <w:b/>
          <w:sz w:val="36"/>
          <w:u w:val="single"/>
        </w:rPr>
      </w:pPr>
      <w:r>
        <w:rPr>
          <w:rFonts w:hint="eastAsia" w:ascii="宋体" w:hAnsi="宋体" w:cs="宋体"/>
          <w:b/>
          <w:sz w:val="36"/>
        </w:rPr>
        <w:t xml:space="preserve">项 目 编 号：</w:t>
      </w:r>
      <w:r/>
    </w:p>
    <w:p>
      <w:pPr>
        <w:spacing w:line="360" w:lineRule="auto"/>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（加盖CA电子公章）</w:t>
      </w:r>
      <w:r/>
    </w:p>
    <w:p>
      <w:pPr>
        <w:spacing w:line="360" w:lineRule="auto"/>
        <w:rPr>
          <w:rFonts w:ascii="宋体" w:hAnsi="宋体" w:cs="宋体"/>
          <w:b/>
          <w:sz w:val="36"/>
          <w:u w:val="single"/>
        </w:rPr>
      </w:pPr>
      <w:r>
        <w:rPr>
          <w:rFonts w:hint="eastAsia" w:ascii="宋体" w:hAnsi="宋体" w:cs="宋体"/>
          <w:b/>
          <w:sz w:val="36"/>
        </w:rPr>
        <w:t xml:space="preserve">      日      期 ：</w:t>
      </w:r>
      <w:r/>
    </w:p>
    <w:p>
      <w:pPr>
        <w:jc w:val="center"/>
        <w:spacing w:line="440" w:lineRule="exact"/>
        <w:rPr>
          <w:rFonts w:ascii="宋体" w:hAnsi="宋体" w:cs="宋体"/>
          <w:b/>
          <w:bCs/>
          <w:sz w:val="32"/>
          <w:szCs w:val="32"/>
        </w:rPr>
      </w:pPr>
      <w:r>
        <w:rPr>
          <w:rFonts w:ascii="宋体" w:hAnsi="宋体" w:cs="宋体"/>
          <w:b/>
          <w:bCs/>
          <w:sz w:val="32"/>
          <w:szCs w:val="32"/>
        </w:rPr>
      </w:r>
      <w:r/>
    </w:p>
    <w:p>
      <w:pPr>
        <w:spacing w:line="440" w:lineRule="exact"/>
        <w:rPr>
          <w:rFonts w:ascii="宋体" w:hAnsi="宋体" w:cs="宋体"/>
        </w:rPr>
      </w:pPr>
      <w:r>
        <w:rPr>
          <w:rFonts w:ascii="宋体" w:hAnsi="宋体" w:cs="宋体"/>
        </w:rPr>
      </w:r>
      <w:r/>
    </w:p>
    <w:p>
      <w:pPr>
        <w:spacing w:line="440" w:lineRule="exact"/>
        <w:rPr>
          <w:rFonts w:ascii="宋体" w:hAnsi="宋体" w:cs="宋体"/>
        </w:rPr>
      </w:pPr>
      <w:r>
        <w:rPr>
          <w:rFonts w:ascii="宋体" w:hAnsi="宋体" w:cs="宋体"/>
        </w:rPr>
      </w:r>
      <w:r/>
    </w:p>
    <w:p>
      <w:pPr>
        <w:spacing w:line="440" w:lineRule="exact"/>
        <w:rPr>
          <w:rFonts w:ascii="宋体" w:hAnsi="宋体" w:cs="宋体"/>
        </w:rPr>
      </w:pPr>
      <w:r>
        <w:rPr>
          <w:rFonts w:ascii="宋体" w:hAnsi="宋体" w:cs="宋体"/>
        </w:rPr>
      </w:r>
      <w:r/>
    </w:p>
    <w:p>
      <w:pPr>
        <w:spacing w:line="440" w:lineRule="exact"/>
        <w:rPr>
          <w:rFonts w:ascii="宋体" w:hAnsi="宋体" w:cs="宋体"/>
        </w:rPr>
      </w:pPr>
      <w:r>
        <w:rPr>
          <w:rFonts w:ascii="宋体" w:hAnsi="宋体" w:cs="宋体"/>
        </w:rPr>
      </w:r>
      <w:r/>
    </w:p>
    <w:p>
      <w:pPr>
        <w:spacing w:line="440" w:lineRule="exact"/>
        <w:rPr>
          <w:rFonts w:ascii="宋体" w:hAnsi="宋体" w:cs="宋体"/>
        </w:rPr>
      </w:pPr>
      <w:r>
        <w:rPr>
          <w:rFonts w:ascii="宋体" w:hAnsi="宋体" w:cs="宋体"/>
        </w:rPr>
      </w:r>
      <w:r/>
    </w:p>
    <w:p>
      <w:pPr>
        <w:spacing w:line="440" w:lineRule="exact"/>
        <w:rPr>
          <w:rFonts w:ascii="宋体" w:hAnsi="宋体" w:cs="宋体"/>
        </w:rPr>
      </w:pPr>
      <w:r>
        <w:rPr>
          <w:rFonts w:ascii="宋体" w:hAnsi="宋体" w:cs="宋体"/>
        </w:rPr>
      </w:r>
      <w:r/>
    </w:p>
    <w:p>
      <w:pPr>
        <w:spacing w:line="440" w:lineRule="exact"/>
        <w:rPr>
          <w:rFonts w:ascii="宋体" w:hAnsi="宋体" w:cs="宋体"/>
        </w:rPr>
      </w:pPr>
      <w:r>
        <w:rPr>
          <w:rFonts w:ascii="宋体" w:hAnsi="宋体" w:cs="宋体"/>
        </w:rPr>
      </w:r>
      <w:r/>
    </w:p>
    <w:p>
      <w:pPr>
        <w:spacing w:line="440" w:lineRule="exact"/>
        <w:rPr>
          <w:rFonts w:ascii="宋体" w:hAnsi="宋体" w:cs="宋体"/>
        </w:rPr>
      </w:pPr>
      <w:r>
        <w:rPr>
          <w:rFonts w:ascii="宋体" w:hAnsi="宋体" w:cs="宋体"/>
        </w:rPr>
      </w:r>
      <w:r/>
    </w:p>
    <w:p>
      <w:pPr>
        <w:spacing w:line="440" w:lineRule="exact"/>
        <w:rPr>
          <w:rFonts w:ascii="宋体" w:hAnsi="宋体" w:cs="宋体"/>
        </w:rPr>
      </w:pPr>
      <w:r>
        <w:rPr>
          <w:rFonts w:ascii="宋体" w:hAnsi="宋体" w:cs="宋体"/>
        </w:rPr>
      </w:r>
      <w:r/>
    </w:p>
    <w:p>
      <w:pPr>
        <w:spacing w:line="440" w:lineRule="exact"/>
        <w:rPr>
          <w:rFonts w:ascii="宋体" w:hAnsi="宋体" w:cs="宋体"/>
        </w:rPr>
      </w:pPr>
      <w:r>
        <w:rPr>
          <w:rFonts w:ascii="宋体" w:hAnsi="宋体" w:cs="宋体"/>
        </w:rPr>
      </w:r>
      <w:r/>
    </w:p>
    <w:p>
      <w:pPr>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hint="eastAsia" w:ascii="宋体" w:hAnsi="宋体" w:cs="宋体"/>
          <w:b/>
          <w:bCs/>
          <w:sz w:val="32"/>
          <w:szCs w:val="32"/>
        </w:rPr>
        <w:t xml:space="preserve">投标文件目录</w:t>
      </w:r>
      <w:r/>
    </w:p>
    <w:p>
      <w:pPr>
        <w:jc w:val="center"/>
        <w:spacing w:line="440" w:lineRule="exact"/>
        <w:rPr>
          <w:rFonts w:ascii="宋体" w:hAnsi="宋体" w:cs="宋体"/>
          <w:b/>
          <w:bCs/>
          <w:sz w:val="32"/>
          <w:szCs w:val="32"/>
        </w:rPr>
      </w:pPr>
      <w:r>
        <w:rPr>
          <w:rFonts w:ascii="宋体" w:hAnsi="宋体" w:cs="宋体"/>
          <w:b/>
          <w:bCs/>
          <w:sz w:val="32"/>
          <w:szCs w:val="32"/>
        </w:rPr>
      </w:r>
      <w:r/>
    </w:p>
    <w:p>
      <w:pPr>
        <w:ind w:left="480"/>
        <w:spacing w:line="480" w:lineRule="exact"/>
        <w:rPr>
          <w:rFonts w:ascii="宋体" w:hAnsi="宋体" w:cs="宋体"/>
          <w:b/>
          <w:sz w:val="24"/>
          <w:szCs w:val="24"/>
        </w:rPr>
      </w:pPr>
      <w:r>
        <w:rPr>
          <w:rFonts w:hint="eastAsia" w:ascii="宋体" w:hAnsi="宋体" w:cs="宋体"/>
          <w:b/>
          <w:sz w:val="24"/>
          <w:szCs w:val="24"/>
        </w:rPr>
        <w:t xml:space="preserve">一、基本目录</w:t>
      </w:r>
      <w:r/>
    </w:p>
    <w:p>
      <w:pPr>
        <w:ind w:left="480"/>
        <w:spacing w:line="480" w:lineRule="exact"/>
        <w:rPr>
          <w:rFonts w:ascii="宋体" w:hAnsi="宋体" w:cs="宋体"/>
          <w:sz w:val="24"/>
          <w:szCs w:val="24"/>
        </w:rPr>
      </w:pPr>
      <w:r>
        <w:rPr>
          <w:rFonts w:hint="eastAsia" w:ascii="宋体" w:hAnsi="宋体" w:cs="宋体"/>
          <w:sz w:val="24"/>
          <w:szCs w:val="24"/>
        </w:rPr>
        <w:t xml:space="preserve">1.开标一览表（格式见附件1）</w:t>
      </w:r>
      <w:r/>
    </w:p>
    <w:p>
      <w:pPr>
        <w:ind w:left="480"/>
        <w:spacing w:line="480" w:lineRule="exact"/>
        <w:rPr>
          <w:rFonts w:ascii="宋体" w:hAnsi="宋体" w:cs="宋体"/>
          <w:sz w:val="24"/>
          <w:szCs w:val="24"/>
        </w:rPr>
      </w:pPr>
      <w:r>
        <w:rPr>
          <w:rFonts w:hint="eastAsia" w:ascii="宋体" w:hAnsi="宋体" w:cs="宋体"/>
          <w:sz w:val="24"/>
          <w:szCs w:val="24"/>
        </w:rPr>
        <w:t xml:space="preserve">2.投标分项报价表（格式见附件2）</w:t>
      </w:r>
      <w:r/>
    </w:p>
    <w:p>
      <w:pPr>
        <w:ind w:left="480"/>
        <w:spacing w:line="480" w:lineRule="exact"/>
        <w:rPr>
          <w:rFonts w:ascii="宋体" w:hAnsi="宋体" w:cs="宋体"/>
          <w:sz w:val="24"/>
          <w:szCs w:val="24"/>
        </w:rPr>
      </w:pPr>
      <w:r>
        <w:rPr>
          <w:rFonts w:hint="eastAsia" w:ascii="宋体" w:hAnsi="宋体" w:cs="宋体"/>
          <w:sz w:val="24"/>
          <w:szCs w:val="24"/>
        </w:rPr>
        <w:t xml:space="preserve">3.技术要求响应及偏离表（格式见附件3）</w:t>
      </w:r>
      <w:r/>
    </w:p>
    <w:p>
      <w:pPr>
        <w:ind w:firstLine="480"/>
        <w:spacing w:line="480" w:lineRule="exact"/>
        <w:rPr>
          <w:rFonts w:ascii="宋体" w:hAnsi="宋体" w:cs="宋体"/>
          <w:sz w:val="24"/>
          <w:szCs w:val="24"/>
        </w:rPr>
      </w:pPr>
      <w:r>
        <w:rPr>
          <w:rFonts w:hint="eastAsia" w:ascii="宋体" w:hAnsi="宋体" w:cs="宋体"/>
          <w:sz w:val="24"/>
          <w:szCs w:val="24"/>
        </w:rPr>
        <w:t xml:space="preserve">4.商务要求响应及偏离表（格式见附件4）</w:t>
      </w:r>
      <w:r/>
    </w:p>
    <w:p>
      <w:pPr>
        <w:ind w:left="480"/>
        <w:spacing w:line="480" w:lineRule="exact"/>
        <w:rPr>
          <w:rFonts w:ascii="宋体" w:hAnsi="宋体" w:cs="宋体"/>
          <w:b/>
          <w:sz w:val="24"/>
          <w:szCs w:val="24"/>
        </w:rPr>
      </w:pPr>
      <w:r>
        <w:rPr>
          <w:rFonts w:hint="eastAsia" w:ascii="宋体" w:hAnsi="宋体" w:cs="宋体"/>
          <w:b/>
          <w:sz w:val="24"/>
          <w:szCs w:val="24"/>
        </w:rPr>
        <w:t xml:space="preserve">二、资格审查内容</w:t>
      </w:r>
      <w:r/>
    </w:p>
    <w:p>
      <w:pPr>
        <w:ind w:firstLine="560"/>
        <w:rPr>
          <w:rFonts w:ascii="宋体" w:hAnsi="宋体" w:cs="宋体"/>
          <w:b/>
          <w:sz w:val="24"/>
          <w:szCs w:val="24"/>
        </w:rPr>
      </w:pPr>
      <w:r>
        <w:rPr>
          <w:rFonts w:hint="eastAsia" w:ascii="宋体" w:hAnsi="宋体" w:cs="宋体"/>
          <w:sz w:val="24"/>
          <w:szCs w:val="24"/>
        </w:rPr>
        <w:t xml:space="preserve">1.投标人符合《政府采购法》第二十二条规定条件的声明函（格式见附件5）</w:t>
      </w:r>
      <w:r/>
    </w:p>
    <w:p>
      <w:pPr>
        <w:ind w:firstLine="560"/>
        <w:spacing w:line="480" w:lineRule="exact"/>
        <w:rPr>
          <w:rFonts w:ascii="宋体" w:hAnsi="宋体" w:cs="宋体"/>
          <w:sz w:val="24"/>
          <w:szCs w:val="24"/>
        </w:rPr>
      </w:pPr>
      <w:r>
        <w:rPr>
          <w:rFonts w:hint="eastAsia" w:ascii="宋体" w:hAnsi="宋体" w:cs="宋体"/>
          <w:sz w:val="24"/>
          <w:szCs w:val="24"/>
        </w:rPr>
        <w:t xml:space="preserve">2.有效的营业执照</w:t>
      </w:r>
      <w:r/>
    </w:p>
    <w:p>
      <w:pPr>
        <w:ind w:firstLine="560"/>
        <w:spacing w:line="480" w:lineRule="exact"/>
        <w:rPr>
          <w:rFonts w:ascii="宋体" w:hAnsi="宋体" w:cs="宋体"/>
          <w:sz w:val="24"/>
          <w:szCs w:val="24"/>
        </w:rPr>
      </w:pPr>
      <w:r>
        <w:rPr>
          <w:rFonts w:hint="eastAsia" w:ascii="宋体" w:hAnsi="宋体" w:cs="宋体"/>
          <w:sz w:val="24"/>
          <w:szCs w:val="24"/>
        </w:rPr>
        <w:t xml:space="preserve">3.未被“信用中国”网站、“中国政府采购网”列入失信被执行人、重大税收违法案件当事人名单、政府采购严重违法失信行为记录名单</w:t>
      </w:r>
      <w:r/>
    </w:p>
    <w:p>
      <w:pPr>
        <w:ind w:firstLine="560"/>
        <w:spacing w:line="480" w:lineRule="exact"/>
        <w:rPr>
          <w:rFonts w:ascii="宋体" w:hAnsi="宋体" w:cs="宋体"/>
          <w:sz w:val="24"/>
          <w:szCs w:val="24"/>
        </w:rPr>
      </w:pPr>
      <w:r>
        <w:rPr>
          <w:rFonts w:hint="eastAsia" w:ascii="宋体" w:hAnsi="宋体" w:cs="宋体"/>
          <w:sz w:val="24"/>
          <w:szCs w:val="24"/>
        </w:rPr>
        <w:t xml:space="preserve">4. 法人授权书（格式见附件6）</w:t>
      </w:r>
      <w:r/>
    </w:p>
    <w:p>
      <w:pPr>
        <w:ind w:firstLine="560"/>
        <w:spacing w:line="480" w:lineRule="exact"/>
        <w:rPr>
          <w:rFonts w:ascii="宋体" w:hAnsi="宋体" w:cs="宋体"/>
          <w:sz w:val="24"/>
          <w:szCs w:val="24"/>
        </w:rPr>
      </w:pPr>
      <w:r>
        <w:rPr>
          <w:rFonts w:hint="eastAsia" w:ascii="宋体" w:hAnsi="宋体" w:cs="宋体"/>
          <w:sz w:val="24"/>
          <w:szCs w:val="24"/>
        </w:rPr>
        <w:t xml:space="preserve">5. 投标函（格式见附件7）</w:t>
      </w:r>
      <w:r/>
    </w:p>
    <w:p>
      <w:pPr>
        <w:ind w:firstLine="560"/>
        <w:spacing w:line="360" w:lineRule="auto"/>
        <w:rPr>
          <w:rFonts w:ascii="宋体" w:hAnsi="宋体" w:cs="宋体"/>
          <w:sz w:val="24"/>
          <w:szCs w:val="24"/>
        </w:rPr>
      </w:pPr>
      <w:r>
        <w:rPr>
          <w:rFonts w:hint="eastAsia" w:ascii="宋体" w:hAnsi="宋体" w:cs="宋体"/>
          <w:sz w:val="24"/>
          <w:szCs w:val="24"/>
        </w:rPr>
        <w:t xml:space="preserve">6. 本项目的特定资格要求：投标人必须是具有本地通信线路资源的基础运营商（提供相关证明文件），若分支机构投标的，须提供分支机构的营业执照及总公司出具给分支机构的授权书（同一家运营商只能一家分支机构参与投标）。</w:t>
      </w:r>
      <w:r/>
    </w:p>
    <w:p>
      <w:pPr>
        <w:ind w:firstLine="560"/>
        <w:spacing w:line="480" w:lineRule="exact"/>
        <w:rPr>
          <w:rFonts w:ascii="宋体" w:hAnsi="宋体" w:cs="宋体"/>
          <w:sz w:val="24"/>
          <w:szCs w:val="24"/>
        </w:rPr>
      </w:pPr>
      <w:r>
        <w:rPr>
          <w:rFonts w:hint="eastAsia" w:ascii="宋体" w:hAnsi="宋体" w:cs="宋体"/>
          <w:sz w:val="24"/>
          <w:szCs w:val="24"/>
        </w:rPr>
        <w:t xml:space="preserve">7.中小微企业声明函（如果本项目专门面向中小微型企业采购，则必须提供。格式见附件8、9）</w:t>
      </w:r>
      <w:r/>
    </w:p>
    <w:p>
      <w:pPr>
        <w:ind w:firstLine="560"/>
        <w:spacing w:line="360" w:lineRule="auto"/>
        <w:rPr>
          <w:rFonts w:ascii="宋体" w:hAnsi="宋体" w:cs="宋体"/>
          <w:sz w:val="24"/>
          <w:szCs w:val="24"/>
        </w:rPr>
      </w:pPr>
      <w:r>
        <w:rPr>
          <w:rFonts w:hint="eastAsia" w:ascii="宋体" w:hAnsi="宋体" w:cs="宋体"/>
          <w:sz w:val="24"/>
          <w:szCs w:val="24"/>
        </w:rPr>
        <w:t xml:space="preserve">8. 残疾人福利性单位声明函（如果本项目专门面向中小微型企业采购，供应商为残疾人福利性单位并提供本单位制造的货物，或者提供其他残疾人福利性单位制造的货物，则必须提供。格式见附件10）</w:t>
      </w:r>
      <w:r/>
    </w:p>
    <w:p>
      <w:pPr>
        <w:ind w:firstLine="560"/>
        <w:spacing w:line="360" w:lineRule="auto"/>
        <w:rPr>
          <w:rFonts w:ascii="宋体" w:hAnsi="宋体" w:cs="宋体"/>
          <w:sz w:val="24"/>
          <w:szCs w:val="24"/>
        </w:rPr>
      </w:pPr>
      <w:r>
        <w:rPr>
          <w:rFonts w:hint="eastAsia" w:ascii="宋体" w:hAnsi="宋体" w:cs="宋体"/>
          <w:sz w:val="24"/>
          <w:szCs w:val="24"/>
        </w:rPr>
        <w:t xml:space="preserve">9. 监狱和戒毒企业证明材料</w:t>
      </w:r>
      <w:r/>
    </w:p>
    <w:p>
      <w:pPr>
        <w:ind w:firstLine="560"/>
        <w:spacing w:line="360" w:lineRule="auto"/>
        <w:rPr>
          <w:rFonts w:ascii="宋体" w:hAnsi="宋体" w:cs="宋体"/>
          <w:sz w:val="24"/>
          <w:szCs w:val="24"/>
        </w:rPr>
      </w:pPr>
      <w:r>
        <w:rPr>
          <w:rFonts w:hint="eastAsia" w:ascii="宋体" w:hAnsi="宋体" w:cs="宋体"/>
          <w:sz w:val="24"/>
          <w:szCs w:val="24"/>
        </w:rPr>
        <w:t xml:space="preserve">10、关于符合本国产品标准的声明函</w:t>
      </w:r>
      <w:r/>
    </w:p>
    <w:p>
      <w:pPr>
        <w:pStyle w:val="1065"/>
        <w:ind w:firstLine="480"/>
        <w:rPr>
          <w:rFonts w:ascii="宋体" w:hAnsi="宋体" w:eastAsia="宋体" w:cs="宋体"/>
          <w:sz w:val="24"/>
          <w:szCs w:val="24"/>
        </w:rPr>
      </w:pPr>
      <w:r>
        <w:rPr>
          <w:rFonts w:hint="eastAsia" w:ascii="宋体" w:hAnsi="宋体" w:eastAsia="宋体" w:cs="宋体"/>
          <w:sz w:val="24"/>
          <w:szCs w:val="24"/>
        </w:rPr>
        <w:t xml:space="preserve">总备注：上述“资格审查内容”中1-6条投标人必须在投标文件中提供相关材料，否则作无效投标处理；</w:t>
      </w:r>
      <w:r/>
    </w:p>
    <w:p>
      <w:pPr>
        <w:ind w:left="480"/>
        <w:spacing w:line="480" w:lineRule="exact"/>
        <w:rPr>
          <w:rFonts w:ascii="宋体" w:hAnsi="宋体" w:cs="宋体"/>
          <w:b/>
          <w:sz w:val="24"/>
          <w:szCs w:val="24"/>
        </w:rPr>
      </w:pPr>
      <w:r>
        <w:rPr>
          <w:rFonts w:hint="eastAsia" w:ascii="宋体" w:hAnsi="宋体" w:cs="宋体"/>
          <w:b/>
          <w:sz w:val="24"/>
          <w:szCs w:val="24"/>
        </w:rPr>
        <w:t xml:space="preserve">三、符合性审查内容</w:t>
      </w:r>
      <w:r/>
    </w:p>
    <w:p>
      <w:pPr>
        <w:ind w:firstLine="560"/>
        <w:spacing w:line="480" w:lineRule="exact"/>
        <w:rPr>
          <w:rFonts w:ascii="宋体" w:hAnsi="宋体" w:cs="宋体"/>
          <w:b/>
          <w:bCs/>
          <w:sz w:val="24"/>
          <w:szCs w:val="24"/>
        </w:rPr>
      </w:pPr>
      <w:r/>
      <w:bookmarkStart w:id="229" w:name="_Toc120614284"/>
      <w:r/>
      <w:bookmarkEnd w:id="226"/>
      <w:r/>
      <w:bookmarkEnd w:id="227"/>
      <w:r/>
      <w:bookmarkEnd w:id="228"/>
      <w:r>
        <w:rPr>
          <w:rFonts w:hint="eastAsia" w:ascii="宋体" w:hAnsi="宋体" w:cs="宋体"/>
          <w:sz w:val="24"/>
          <w:szCs w:val="24"/>
        </w:rPr>
        <w:t xml:space="preserve">投标人必须对采购需求中加斜体下划线的实质性要求逐条做出响应，并按照招标文件要求提供证明材料，否则做无效投标处理。</w:t>
      </w:r>
      <w:r/>
    </w:p>
    <w:p>
      <w:pPr>
        <w:rPr>
          <w:rFonts w:ascii="宋体" w:hAnsi="宋体" w:cs="宋体"/>
          <w:b/>
          <w:bCs/>
          <w:sz w:val="24"/>
          <w:szCs w:val="24"/>
        </w:rPr>
      </w:pPr>
      <w:r>
        <w:rPr>
          <w:rFonts w:ascii="宋体" w:hAnsi="宋体" w:cs="宋体"/>
          <w:b/>
          <w:bCs/>
          <w:sz w:val="24"/>
          <w:szCs w:val="24"/>
        </w:rPr>
        <w:br w:type="page" w:clear="all"/>
      </w:r>
      <w:r/>
    </w:p>
    <w:p>
      <w:pPr>
        <w:jc w:val="center"/>
        <w:rPr>
          <w:b/>
          <w:sz w:val="28"/>
        </w:rPr>
      </w:pPr>
      <w:r>
        <w:rPr>
          <w:rFonts w:hint="eastAsia"/>
          <w:b/>
          <w:sz w:val="28"/>
        </w:rPr>
        <w:t xml:space="preserve">附件</w:t>
      </w:r>
      <w:r>
        <w:rPr>
          <w:rFonts w:hint="eastAsia"/>
          <w:b/>
          <w:sz w:val="28"/>
        </w:rPr>
        <w:t xml:space="preserve">1  </w:t>
      </w:r>
      <w:r>
        <w:rPr>
          <w:rFonts w:hint="eastAsia"/>
          <w:b/>
          <w:sz w:val="28"/>
        </w:rPr>
        <w:t xml:space="preserve">开标一览表</w:t>
      </w:r>
      <w:r/>
    </w:p>
    <w:p>
      <w:pPr>
        <w:jc w:val="center"/>
        <w:rPr>
          <w:rFonts w:ascii="宋体" w:hAnsi="宋体" w:cs="宋体"/>
          <w:b/>
          <w:bCs/>
          <w:sz w:val="24"/>
          <w:szCs w:val="24"/>
        </w:rPr>
      </w:pPr>
      <w:r>
        <w:rPr>
          <w:rFonts w:ascii="宋体" w:hAnsi="宋体" w:cs="宋体"/>
          <w:b/>
          <w:bCs/>
          <w:sz w:val="24"/>
          <w:szCs w:val="24"/>
        </w:rPr>
      </w:r>
      <w:r/>
    </w:p>
    <w:p>
      <w:pPr>
        <w:pStyle w:val="1065"/>
        <w:ind w:firstLine="480"/>
        <w:rPr>
          <w:rFonts w:ascii="宋体" w:hAnsi="宋体" w:eastAsia="宋体" w:cs="宋体"/>
          <w:sz w:val="24"/>
          <w:szCs w:val="24"/>
        </w:rPr>
      </w:pPr>
      <w:r>
        <w:rPr>
          <w:rFonts w:hint="eastAsia" w:ascii="宋体" w:hAnsi="宋体" w:eastAsia="宋体" w:cs="宋体"/>
          <w:sz w:val="24"/>
          <w:szCs w:val="24"/>
        </w:rPr>
        <w:t xml:space="preserve">投标人全称（加盖CA电子签章）：</w:t>
      </w:r>
      <w:r/>
    </w:p>
    <w:p>
      <w:pPr>
        <w:pStyle w:val="1065"/>
        <w:ind w:firstLine="480"/>
        <w:rPr>
          <w:rFonts w:ascii="宋体" w:hAnsi="宋体" w:eastAsia="宋体" w:cs="宋体"/>
          <w:sz w:val="24"/>
          <w:szCs w:val="24"/>
        </w:rPr>
      </w:pPr>
      <w:r>
        <w:rPr>
          <w:rFonts w:hint="eastAsia" w:ascii="宋体" w:hAnsi="宋体" w:eastAsia="宋体" w:cs="宋体"/>
          <w:sz w:val="24"/>
          <w:szCs w:val="24"/>
        </w:rPr>
        <w:t xml:space="preserve">项目名称：</w:t>
      </w:r>
      <w:r/>
    </w:p>
    <w:p>
      <w:pPr>
        <w:pStyle w:val="1065"/>
        <w:ind w:firstLine="480"/>
        <w:rPr>
          <w:rFonts w:ascii="宋体" w:hAnsi="宋体" w:eastAsia="宋体" w:cs="宋体"/>
          <w:sz w:val="24"/>
          <w:szCs w:val="24"/>
        </w:rPr>
      </w:pPr>
      <w:r>
        <w:rPr>
          <w:rFonts w:hint="eastAsia" w:ascii="宋体" w:hAnsi="宋体" w:eastAsia="宋体" w:cs="宋体"/>
          <w:sz w:val="24"/>
          <w:szCs w:val="24"/>
        </w:rPr>
        <w:t xml:space="preserve">项目编号：                                  </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                      投标总报价</w:t>
            </w:r>
            <w:r/>
          </w:p>
        </w:tc>
      </w:tr>
      <w:tr>
        <w:trPr>
          <w:cantSplit/>
          <w:trHeight w:val="612"/>
        </w:trPr>
        <w:tc>
          <w:tcPr>
            <w:tcW w:w="8206" w:type="dxa"/>
            <w:vAlign w:val="center"/>
            <w:textDirection w:val="lrTb"/>
            <w:noWrap w:val="false"/>
          </w:tcPr>
          <w:p>
            <w:pPr>
              <w:pStyle w:val="1127"/>
              <w:ind w:firstLine="0"/>
              <w:spacing w:before="0" w:after="0" w:line="500" w:lineRule="exact"/>
              <w:rPr>
                <w:rFonts w:ascii="宋体" w:hAnsi="宋体" w:cs="宋体"/>
              </w:rPr>
            </w:pPr>
            <w:r>
              <w:rPr>
                <w:rFonts w:hint="eastAsia" w:ascii="宋体" w:hAnsi="宋体" w:cs="宋体"/>
              </w:rPr>
              <w:t xml:space="preserve">小写：                             （人民币：元）</w:t>
            </w:r>
            <w:r/>
          </w:p>
        </w:tc>
      </w:tr>
    </w:tbl>
    <w:p>
      <w:pPr>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hint="eastAsia" w:ascii="宋体" w:hAnsi="宋体" w:cs="宋体"/>
          <w:sz w:val="24"/>
          <w:szCs w:val="24"/>
        </w:rPr>
        <w:t xml:space="preserve">                                              日期： 年月日</w:t>
      </w:r>
      <w:r/>
    </w:p>
    <w:p>
      <w:pPr>
        <w:rPr>
          <w:rFonts w:ascii="宋体" w:hAnsi="宋体" w:cs="宋体"/>
          <w:sz w:val="24"/>
          <w:szCs w:val="24"/>
        </w:rPr>
      </w:pPr>
      <w:r>
        <w:rPr>
          <w:rFonts w:ascii="宋体" w:hAnsi="宋体" w:cs="宋体"/>
          <w:sz w:val="24"/>
          <w:szCs w:val="24"/>
        </w:rPr>
      </w:r>
      <w:r/>
    </w:p>
    <w:p>
      <w:pPr>
        <w:rPr>
          <w:rFonts w:ascii="宋体" w:hAnsi="宋体" w:cs="宋体"/>
          <w:b/>
          <w:sz w:val="24"/>
          <w:szCs w:val="24"/>
        </w:rPr>
      </w:pPr>
      <w:r>
        <w:rPr>
          <w:rFonts w:ascii="宋体" w:hAnsi="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bCs/>
          <w:sz w:val="24"/>
          <w:szCs w:val="24"/>
        </w:rPr>
      </w:pPr>
      <w:r>
        <w:rPr>
          <w:rFonts w:ascii="宋体" w:hAnsi="宋体" w:eastAsia="宋体" w:cs="宋体"/>
          <w:b/>
          <w:sz w:val="24"/>
          <w:szCs w:val="24"/>
        </w:rPr>
      </w:r>
      <w:r>
        <w:rPr>
          <w:rFonts w:ascii="宋体" w:hAnsi="宋体" w:eastAsia="宋体" w:cs="宋体"/>
          <w:b/>
          <w:sz w:val="24"/>
          <w:szCs w:val="24"/>
        </w:rPr>
      </w:r>
      <w:r/>
    </w:p>
    <w:p>
      <w:pPr>
        <w:pStyle w:val="1065"/>
        <w:rPr>
          <w:rFonts w:ascii="宋体" w:hAnsi="宋体" w:eastAsia="宋体" w:cs="宋体"/>
          <w:b/>
          <w:bCs/>
          <w:sz w:val="24"/>
          <w:szCs w:val="24"/>
        </w:rPr>
      </w:pPr>
      <w:r>
        <w:rPr>
          <w:rFonts w:ascii="宋体" w:hAnsi="宋体" w:eastAsia="宋体" w:cs="宋体"/>
          <w:b/>
          <w:bCs/>
          <w:sz w:val="24"/>
          <w:szCs w:val="24"/>
        </w:rPr>
      </w:r>
      <w:r>
        <w:rPr>
          <w:rFonts w:ascii="宋体" w:hAnsi="宋体" w:eastAsia="宋体" w:cs="宋体"/>
          <w:b/>
          <w:bCs/>
          <w:sz w:val="24"/>
          <w:szCs w:val="24"/>
        </w:rPr>
      </w:r>
      <w:r/>
    </w:p>
    <w:p>
      <w:pPr>
        <w:pStyle w:val="1065"/>
        <w:rPr>
          <w:rFonts w:ascii="宋体" w:hAnsi="宋体" w:eastAsia="宋体" w:cs="宋体"/>
          <w:b/>
          <w:bCs/>
          <w:sz w:val="24"/>
          <w:szCs w:val="24"/>
        </w:rPr>
      </w:pPr>
      <w:r>
        <w:rPr>
          <w:rFonts w:ascii="宋体" w:hAnsi="宋体" w:eastAsia="宋体" w:cs="宋体"/>
          <w:b/>
          <w:bCs/>
          <w:sz w:val="24"/>
          <w:szCs w:val="24"/>
        </w:rPr>
      </w:r>
      <w:r>
        <w:rPr>
          <w:rFonts w:ascii="宋体" w:hAnsi="宋体" w:eastAsia="宋体" w:cs="宋体"/>
          <w:b/>
          <w:bCs/>
          <w:sz w:val="24"/>
          <w:szCs w:val="24"/>
        </w:rPr>
      </w:r>
      <w:r/>
    </w:p>
    <w:p>
      <w:pPr>
        <w:pStyle w:val="1065"/>
        <w:rPr>
          <w:rFonts w:ascii="宋体" w:hAnsi="宋体" w:eastAsia="宋体" w:cs="宋体"/>
          <w:b/>
          <w:bCs/>
          <w:sz w:val="24"/>
          <w:szCs w:val="24"/>
        </w:rPr>
      </w:pPr>
      <w:r>
        <w:rPr>
          <w:rFonts w:ascii="宋体" w:hAnsi="宋体" w:eastAsia="宋体" w:cs="宋体"/>
          <w:b/>
          <w:bCs/>
          <w:sz w:val="24"/>
          <w:szCs w:val="24"/>
        </w:rPr>
      </w:r>
      <w:r>
        <w:rPr>
          <w:rFonts w:ascii="宋体" w:hAnsi="宋体" w:eastAsia="宋体" w:cs="宋体"/>
          <w:b/>
          <w:bCs/>
          <w:sz w:val="24"/>
          <w:szCs w:val="24"/>
        </w:rPr>
      </w:r>
      <w:r/>
    </w:p>
    <w:p>
      <w:pPr>
        <w:pStyle w:val="1065"/>
        <w:rPr>
          <w:rFonts w:ascii="宋体" w:hAnsi="宋体" w:eastAsia="宋体" w:cs="宋体"/>
          <w:b/>
          <w:bCs/>
          <w:sz w:val="24"/>
          <w:szCs w:val="24"/>
        </w:rPr>
      </w:pPr>
      <w:r>
        <w:rPr>
          <w:rFonts w:ascii="宋体" w:hAnsi="宋体" w:eastAsia="宋体" w:cs="宋体"/>
          <w:b/>
          <w:bCs/>
          <w:sz w:val="24"/>
          <w:szCs w:val="24"/>
        </w:rPr>
      </w:r>
      <w:r>
        <w:rPr>
          <w:rFonts w:ascii="宋体" w:hAnsi="宋体" w:eastAsia="宋体" w:cs="宋体"/>
          <w:b/>
          <w:bCs/>
          <w:sz w:val="24"/>
          <w:szCs w:val="24"/>
        </w:rPr>
      </w:r>
      <w:r/>
    </w:p>
    <w:p>
      <w:pPr>
        <w:pStyle w:val="1065"/>
        <w:rPr>
          <w:rFonts w:ascii="宋体" w:hAnsi="宋体" w:eastAsia="宋体" w:cs="宋体"/>
          <w:b/>
          <w:bCs/>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jc w:val="center"/>
        <w:rPr>
          <w:b/>
          <w:sz w:val="28"/>
        </w:rPr>
      </w:pPr>
      <w:r>
        <w:rPr>
          <w:rFonts w:hint="eastAsia"/>
          <w:b/>
          <w:sz w:val="28"/>
        </w:rPr>
        <w:t xml:space="preserve">附件</w:t>
      </w:r>
      <w:r>
        <w:rPr>
          <w:rFonts w:hint="eastAsia"/>
          <w:b/>
          <w:sz w:val="28"/>
        </w:rPr>
        <w:t xml:space="preserve">2  </w:t>
      </w:r>
      <w:r>
        <w:rPr>
          <w:rFonts w:hint="eastAsia"/>
          <w:b/>
          <w:sz w:val="28"/>
        </w:rPr>
        <w:t xml:space="preserve">分项报价明细表（货物类）</w:t>
      </w:r>
      <w:r/>
    </w:p>
    <w:p>
      <w:pPr>
        <w:spacing w:line="400" w:lineRule="exact"/>
        <w:rPr>
          <w:rFonts w:ascii="宋体" w:hAnsi="宋体" w:cs="宋体"/>
          <w:sz w:val="28"/>
          <w:szCs w:val="28"/>
        </w:rPr>
      </w:pPr>
      <w:r>
        <w:rPr>
          <w:rFonts w:hint="eastAsia" w:ascii="宋体" w:hAnsi="宋体" w:cs="宋体"/>
          <w:sz w:val="28"/>
          <w:szCs w:val="28"/>
        </w:rPr>
        <w:t xml:space="preserve">投标人（盖章）：</w:t>
      </w:r>
      <w:r/>
    </w:p>
    <w:tbl>
      <w:tblPr>
        <w:tblW w:w="98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842" w:hRule="exact"/>
        </w:trPr>
        <w:tc>
          <w:tcPr>
            <w:tcW w:w="1037"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tcW w:w="134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名称</w:t>
            </w:r>
            <w:r/>
          </w:p>
        </w:tc>
        <w:tc>
          <w:tcPr>
            <w:tcW w:w="121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规格型号</w:t>
            </w:r>
            <w:r/>
          </w:p>
        </w:tc>
        <w:tc>
          <w:tcPr>
            <w:tcW w:w="1276"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品牌</w:t>
            </w:r>
            <w:r/>
          </w:p>
        </w:tc>
        <w:tc>
          <w:tcPr>
            <w:tcW w:w="992"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单位</w:t>
            </w:r>
            <w:r/>
          </w:p>
        </w:tc>
        <w:tc>
          <w:tcPr>
            <w:tcW w:w="85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数量</w:t>
            </w:r>
            <w:r/>
          </w:p>
        </w:tc>
        <w:tc>
          <w:tcPr>
            <w:tcW w:w="85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单价</w:t>
            </w:r>
            <w:r/>
          </w:p>
        </w:tc>
        <w:tc>
          <w:tcPr>
            <w:tcW w:w="85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金额</w:t>
            </w:r>
            <w:r/>
          </w:p>
        </w:tc>
        <w:tc>
          <w:tcPr>
            <w:tcW w:w="1403"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备注</w:t>
            </w:r>
            <w:r/>
          </w:p>
        </w:tc>
      </w:tr>
      <w:tr>
        <w:trPr>
          <w:cantSplit/>
          <w:jc w:val="center"/>
          <w:trHeight w:val="479"/>
        </w:trPr>
        <w:tc>
          <w:tcPr>
            <w:tcW w:w="10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13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9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2"/>
        </w:trPr>
        <w:tc>
          <w:tcPr>
            <w:tcW w:w="10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13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9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13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9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13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9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3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9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441"/>
        </w:trPr>
        <w:tc>
          <w:tcPr>
            <w:tcW w:w="10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合计</w:t>
            </w:r>
            <w:r/>
          </w:p>
        </w:tc>
        <w:tc>
          <w:tcPr>
            <w:gridSpan w:val="8"/>
            <w:tcW w:w="877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bl>
    <w:p>
      <w:pPr>
        <w:rPr>
          <w:rFonts w:ascii="宋体" w:hAnsi="宋体" w:cs="宋体"/>
          <w:b/>
          <w:sz w:val="24"/>
          <w:szCs w:val="24"/>
        </w:rPr>
      </w:pPr>
      <w:r>
        <w:rPr>
          <w:rFonts w:ascii="宋体" w:hAnsi="宋体" w:cs="宋体"/>
          <w:b/>
          <w:sz w:val="24"/>
          <w:szCs w:val="24"/>
        </w:rPr>
      </w:r>
      <w:r/>
    </w:p>
    <w:p>
      <w:pPr>
        <w:ind w:firstLine="560"/>
        <w:spacing w:line="480" w:lineRule="exact"/>
        <w:rPr>
          <w:rFonts w:ascii="宋体" w:hAnsi="宋体" w:cs="宋体"/>
          <w:b/>
          <w:bCs/>
          <w:sz w:val="24"/>
          <w:szCs w:val="24"/>
        </w:rPr>
      </w:pPr>
      <w:r>
        <w:rPr>
          <w:rFonts w:hint="eastAsia" w:ascii="宋体" w:hAnsi="宋体" w:cs="宋体"/>
          <w:b/>
          <w:bCs/>
          <w:sz w:val="24"/>
          <w:szCs w:val="24"/>
        </w:rPr>
        <w:t xml:space="preserve">备注：投标人必须详细填报设备器材清单中各个子项的名称、品牌、规格型号、数量、单位、单价、金额。且本表各分项报价合计应当与投标报价总表报价合计相等。投标人必须按照以上要求填报。</w:t>
      </w:r>
      <w:r/>
    </w:p>
    <w:p>
      <w:pPr>
        <w:ind w:firstLine="560"/>
        <w:spacing w:line="480" w:lineRule="exact"/>
        <w:rPr>
          <w:rFonts w:ascii="宋体" w:hAnsi="宋体" w:cs="宋体"/>
          <w:b/>
          <w:bCs/>
          <w:sz w:val="24"/>
          <w:szCs w:val="24"/>
        </w:rPr>
      </w:pPr>
      <w:r>
        <w:rPr>
          <w:rFonts w:hint="eastAsia" w:ascii="宋体" w:hAnsi="宋体" w:cs="宋体"/>
          <w:b/>
          <w:bCs/>
          <w:sz w:val="24"/>
          <w:szCs w:val="24"/>
        </w:rPr>
        <w:t xml:space="preserve">投标报价应包括设备购置、货物运输、系统集成、安装调试、设备接入、封样测试、抽样检测费、第三方系统检测、竣工验收、使用培训、售后服务、系统维保费、税金、赔补费、不可预见费用，及可能超出招标文件描述的所有一切费用。除采购人提出的合理增补或变更外，不得追加任何费用；除另有合同约定外，采购人无需再向中标人另行支付其他费用。</w:t>
      </w:r>
      <w:r/>
    </w:p>
    <w:p>
      <w:pPr>
        <w:ind w:firstLine="560"/>
        <w:spacing w:line="480" w:lineRule="exact"/>
        <w:rPr>
          <w:rFonts w:ascii="宋体" w:hAnsi="宋体" w:cs="宋体"/>
          <w:b/>
          <w:bCs/>
          <w:sz w:val="24"/>
          <w:szCs w:val="24"/>
        </w:rPr>
      </w:pPr>
      <w:r>
        <w:rPr>
          <w:rFonts w:hint="eastAsia" w:ascii="宋体" w:hAnsi="宋体" w:cs="宋体"/>
          <w:b/>
          <w:bCs/>
          <w:sz w:val="24"/>
          <w:szCs w:val="24"/>
        </w:rPr>
        <w:t xml:space="preserve">合同期间的政策性调整及市场风险等风险费用已包含在投标报价中，结算时不予调整。</w:t>
      </w:r>
      <w:r/>
    </w:p>
    <w:p>
      <w:pPr>
        <w:ind w:firstLine="560"/>
        <w:spacing w:line="480" w:lineRule="exact"/>
        <w:rPr>
          <w:rFonts w:ascii="宋体" w:hAnsi="宋体" w:cs="宋体"/>
          <w:b/>
          <w:bCs/>
          <w:sz w:val="24"/>
          <w:szCs w:val="24"/>
        </w:rPr>
      </w:pPr>
      <w:r>
        <w:rPr>
          <w:rFonts w:hint="eastAsia" w:ascii="宋体" w:hAnsi="宋体" w:cs="宋体"/>
          <w:b/>
          <w:bCs/>
          <w:sz w:val="24"/>
          <w:szCs w:val="24"/>
        </w:rPr>
        <w:t xml:space="preserve">2. “投标分项报价表”中“投标总报价”数额应当与“开标一览表”中“投标总报价”数额一致。</w:t>
      </w:r>
      <w:r/>
    </w:p>
    <w:p>
      <w:pPr>
        <w:jc w:val="center"/>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bCs/>
          <w:sz w:val="24"/>
          <w:szCs w:val="24"/>
        </w:rPr>
      </w:pPr>
      <w:r>
        <w:rPr>
          <w:rFonts w:ascii="宋体" w:hAnsi="宋体" w:cs="宋体"/>
          <w:b/>
          <w:sz w:val="24"/>
          <w:szCs w:val="24"/>
        </w:rPr>
      </w:r>
      <w:r>
        <w:rPr>
          <w:rFonts w:ascii="宋体" w:hAnsi="宋体" w:cs="宋体"/>
          <w:b/>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rPr>
          <w:b/>
          <w:sz w:val="28"/>
        </w:rPr>
      </w:pPr>
      <w:r>
        <w:rPr>
          <w:rFonts w:hint="eastAsia"/>
          <w:b/>
          <w:sz w:val="28"/>
        </w:rPr>
        <w:t xml:space="preserve">附件</w:t>
      </w:r>
      <w:r>
        <w:rPr>
          <w:rFonts w:hint="eastAsia"/>
          <w:b/>
          <w:sz w:val="28"/>
        </w:rPr>
        <w:t xml:space="preserve">3  </w:t>
      </w:r>
      <w:r>
        <w:rPr>
          <w:rFonts w:hint="eastAsia"/>
          <w:b/>
          <w:sz w:val="28"/>
        </w:rPr>
        <w:t xml:space="preserve">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2283"/>
      </w:tblGrid>
      <w:tr>
        <w:trPr>
          <w:cantSplit/>
        </w:trPr>
        <w:tc>
          <w:tcPr>
            <w:tcW w:w="54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招标文件技术要求</w:t>
            </w:r>
            <w:r/>
          </w:p>
        </w:tc>
        <w:tc>
          <w:tcPr>
            <w:tcW w:w="285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投标响应情况</w:t>
            </w:r>
            <w:r/>
          </w:p>
        </w:tc>
        <w:tc>
          <w:tcPr>
            <w:tcW w:w="22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228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2283" w:type="dxa"/>
            <w:textDirection w:val="lrTb"/>
            <w:noWrap w:val="false"/>
          </w:tcPr>
          <w:p>
            <w:pPr>
              <w:jc w:val="center"/>
              <w:rPr>
                <w:rFonts w:ascii="宋体" w:hAnsi="宋体" w:cs="宋体"/>
                <w:sz w:val="24"/>
                <w:szCs w:val="24"/>
              </w:rPr>
            </w:pPr>
            <w:r>
              <w:rPr>
                <w:rFonts w:ascii="宋体" w:hAnsi="宋体" w:cs="宋体"/>
                <w:sz w:val="24"/>
                <w:szCs w:val="24"/>
              </w:rPr>
            </w:r>
            <w:r/>
          </w:p>
        </w:tc>
      </w:tr>
    </w:tbl>
    <w:p>
      <w:pPr>
        <w:ind w:firstLine="560"/>
        <w:spacing w:line="480" w:lineRule="exact"/>
        <w:rPr>
          <w:rFonts w:ascii="宋体" w:hAnsi="宋体" w:cs="宋体"/>
          <w:sz w:val="24"/>
          <w:szCs w:val="24"/>
        </w:rPr>
      </w:pPr>
      <w:r/>
      <w:bookmarkStart w:id="230" w:name="_Toc14066"/>
      <w:r/>
      <w:bookmarkStart w:id="231" w:name="_Toc27942"/>
      <w:r/>
      <w:bookmarkStart w:id="232" w:name="_Toc11012"/>
      <w:r/>
      <w:bookmarkStart w:id="233" w:name="_Toc17519"/>
      <w:r/>
      <w:bookmarkStart w:id="234" w:name="_Toc4145"/>
      <w:r>
        <w:rPr>
          <w:rFonts w:hint="eastAsia" w:ascii="宋体" w:hAnsi="宋体" w:cs="宋体"/>
          <w:sz w:val="24"/>
          <w:szCs w:val="24"/>
        </w:rPr>
        <w:t xml:space="preserve">附件3-1  证明材料1，证明材料2，……</w:t>
      </w:r>
      <w:bookmarkEnd w:id="230"/>
      <w:r/>
      <w:bookmarkEnd w:id="231"/>
      <w:r/>
      <w:bookmarkEnd w:id="232"/>
      <w:r/>
      <w:bookmarkEnd w:id="233"/>
      <w:r/>
      <w:bookmarkEnd w:id="234"/>
      <w:r/>
      <w:r/>
    </w:p>
    <w:p>
      <w:pPr>
        <w:ind w:firstLine="560"/>
        <w:spacing w:line="480" w:lineRule="exact"/>
        <w:rPr>
          <w:rFonts w:ascii="宋体" w:hAnsi="宋体" w:cs="宋体"/>
          <w:sz w:val="24"/>
          <w:szCs w:val="24"/>
        </w:rPr>
      </w:pPr>
      <w:r>
        <w:rPr>
          <w:rFonts w:hint="eastAsia" w:ascii="宋体" w:hAnsi="宋体" w:cs="宋体"/>
          <w:sz w:val="24"/>
          <w:szCs w:val="24"/>
        </w:rPr>
        <w:t xml:space="preserve">备注：</w:t>
      </w:r>
      <w:r/>
    </w:p>
    <w:p>
      <w:pPr>
        <w:ind w:firstLine="560"/>
        <w:spacing w:line="480" w:lineRule="exact"/>
        <w:rPr>
          <w:rFonts w:ascii="宋体" w:hAnsi="宋体" w:cs="宋体"/>
          <w:sz w:val="24"/>
          <w:szCs w:val="24"/>
        </w:rPr>
      </w:pPr>
      <w:r>
        <w:rPr>
          <w:rFonts w:hint="eastAsia" w:ascii="宋体" w:hAnsi="宋体" w:cs="宋体"/>
          <w:sz w:val="24"/>
          <w:szCs w:val="24"/>
        </w:rPr>
        <w:t xml:space="preserve">投标人需对重要技术参数（标记“</w:t>
      </w:r>
      <w:r>
        <w:rPr>
          <w:rFonts w:hint="eastAsia" w:ascii="宋体" w:hAnsi="宋体" w:cs="宋体"/>
          <w:b/>
        </w:rPr>
        <w:t xml:space="preserve">★</w:t>
      </w:r>
      <w:r>
        <w:rPr>
          <w:rFonts w:hint="eastAsia" w:ascii="宋体" w:hAnsi="宋体" w:cs="宋体"/>
          <w:sz w:val="24"/>
          <w:szCs w:val="24"/>
        </w:rPr>
        <w:t xml:space="preserve">”号项参数为重要参数）逐条做出明确响应</w:t>
      </w:r>
      <w:r/>
    </w:p>
    <w:p>
      <w:pPr>
        <w:ind w:firstLine="560"/>
        <w:spacing w:line="480" w:lineRule="exact"/>
        <w:rPr>
          <w:rFonts w:ascii="宋体" w:hAnsi="宋体" w:cs="宋体"/>
          <w:sz w:val="24"/>
          <w:szCs w:val="24"/>
        </w:rPr>
      </w:pPr>
      <w:r>
        <w:rPr>
          <w:rFonts w:hint="eastAsia" w:ascii="宋体" w:hAnsi="宋体" w:cs="宋体"/>
          <w:sz w:val="24"/>
          <w:szCs w:val="24"/>
        </w:rPr>
        <w:t xml:space="preserve">如果招标文件要求提供证明材料，投标人需将证明材料列于该表之下。</w:t>
      </w:r>
      <w:r/>
    </w:p>
    <w:p>
      <w:pPr>
        <w:ind w:firstLine="560"/>
        <w:spacing w:line="480" w:lineRule="exact"/>
        <w:rPr>
          <w:rFonts w:ascii="宋体" w:hAnsi="宋体" w:cs="宋体"/>
          <w:sz w:val="24"/>
          <w:szCs w:val="24"/>
        </w:rPr>
      </w:pPr>
      <w:r>
        <w:rPr>
          <w:rFonts w:hint="eastAsia" w:ascii="宋体" w:hAnsi="宋体" w:cs="宋体"/>
          <w:sz w:val="24"/>
          <w:szCs w:val="24"/>
        </w:rPr>
        <w:t xml:space="preserve">一般技术参数（即非“</w:t>
      </w:r>
      <w:r>
        <w:rPr>
          <w:rFonts w:hint="eastAsia" w:ascii="宋体" w:hAnsi="宋体" w:cs="宋体"/>
          <w:b/>
        </w:rPr>
        <w:t xml:space="preserve">★</w:t>
      </w:r>
      <w:r>
        <w:rPr>
          <w:rFonts w:hint="eastAsia" w:ascii="宋体" w:hAnsi="宋体" w:cs="宋体"/>
          <w:sz w:val="24"/>
          <w:szCs w:val="24"/>
        </w:rPr>
        <w:t xml:space="preserve">”号参数）存在正偏离或负偏离，需提供相关证明材料，否则默认视为符合响应。</w:t>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ascii="宋体" w:hAnsi="宋体" w:cs="宋体"/>
          <w:b/>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1065"/>
        <w:rPr>
          <w:rFonts w:ascii="宋体" w:hAnsi="宋体" w:eastAsia="宋体" w:cs="宋体"/>
          <w:sz w:val="24"/>
          <w:szCs w:val="24"/>
        </w:rPr>
      </w:pPr>
      <w:r>
        <w:rPr>
          <w:rFonts w:ascii="宋体" w:hAnsi="宋体" w:eastAsia="宋体" w:cs="宋体"/>
          <w:sz w:val="24"/>
          <w:szCs w:val="24"/>
        </w:rPr>
      </w:r>
      <w:r/>
    </w:p>
    <w:p>
      <w:pPr>
        <w:pStyle w:val="1065"/>
        <w:rPr>
          <w:rFonts w:ascii="宋体" w:hAnsi="宋体" w:eastAsia="宋体" w:cs="宋体"/>
          <w:sz w:val="24"/>
          <w:szCs w:val="24"/>
        </w:rPr>
      </w:pPr>
      <w:r>
        <w:rPr>
          <w:rFonts w:ascii="宋体" w:hAnsi="宋体" w:eastAsia="宋体" w:cs="宋体"/>
          <w:sz w:val="24"/>
          <w:szCs w:val="24"/>
        </w:rPr>
      </w:r>
      <w:r/>
    </w:p>
    <w:p>
      <w:pPr>
        <w:pStyle w:val="1065"/>
        <w:rPr>
          <w:rFonts w:ascii="宋体" w:hAnsi="宋体" w:eastAsia="宋体" w:cs="宋体"/>
          <w:sz w:val="24"/>
          <w:szCs w:val="24"/>
        </w:rPr>
      </w:pPr>
      <w:r>
        <w:rPr>
          <w:rFonts w:ascii="宋体" w:hAnsi="宋体" w:eastAsia="宋体" w:cs="宋体"/>
          <w:sz w:val="24"/>
          <w:szCs w:val="24"/>
        </w:rPr>
      </w:r>
      <w:r/>
    </w:p>
    <w:p>
      <w:pPr>
        <w:pStyle w:val="1065"/>
        <w:rPr>
          <w:rFonts w:ascii="宋体" w:hAnsi="宋体" w:eastAsia="宋体" w:cs="宋体"/>
          <w:sz w:val="24"/>
          <w:szCs w:val="24"/>
        </w:rPr>
      </w:pPr>
      <w:r>
        <w:rPr>
          <w:rFonts w:ascii="宋体" w:hAnsi="宋体" w:eastAsia="宋体" w:cs="宋体"/>
          <w:sz w:val="24"/>
          <w:szCs w:val="24"/>
        </w:rPr>
      </w:r>
      <w:r/>
    </w:p>
    <w:p>
      <w:pPr>
        <w:pStyle w:val="1065"/>
        <w:rPr>
          <w:rFonts w:ascii="宋体" w:hAnsi="宋体" w:eastAsia="宋体" w:cs="宋体"/>
          <w:sz w:val="24"/>
          <w:szCs w:val="24"/>
        </w:rPr>
      </w:pPr>
      <w:r>
        <w:rPr>
          <w:rFonts w:ascii="宋体" w:hAnsi="宋体" w:eastAsia="宋体" w:cs="宋体"/>
          <w:sz w:val="24"/>
          <w:szCs w:val="24"/>
        </w:rPr>
      </w:r>
      <w:r/>
    </w:p>
    <w:p>
      <w:pPr>
        <w:pStyle w:val="1065"/>
        <w:rPr>
          <w:rFonts w:ascii="宋体" w:hAnsi="宋体" w:eastAsia="宋体" w:cs="宋体"/>
          <w:sz w:val="24"/>
          <w:szCs w:val="24"/>
        </w:rPr>
      </w:pPr>
      <w:r>
        <w:rPr>
          <w:rFonts w:ascii="宋体" w:hAnsi="宋体" w:eastAsia="宋体" w:cs="宋体"/>
          <w:sz w:val="24"/>
          <w:szCs w:val="24"/>
        </w:rPr>
      </w:r>
      <w:r/>
    </w:p>
    <w:p>
      <w:pPr>
        <w:pStyle w:val="1065"/>
        <w:rPr>
          <w:rFonts w:ascii="宋体" w:hAnsi="宋体" w:eastAsia="宋体" w:cs="宋体"/>
          <w:sz w:val="24"/>
          <w:szCs w:val="24"/>
        </w:rPr>
      </w:pPr>
      <w:r>
        <w:rPr>
          <w:rFonts w:ascii="宋体" w:hAnsi="宋体" w:eastAsia="宋体" w:cs="宋体"/>
          <w:sz w:val="24"/>
          <w:szCs w:val="24"/>
        </w:rPr>
      </w:r>
      <w:r/>
    </w:p>
    <w:p>
      <w:pPr>
        <w:pStyle w:val="1065"/>
        <w:rPr>
          <w:rFonts w:ascii="宋体" w:hAnsi="宋体" w:eastAsia="宋体" w:cs="宋体"/>
          <w:sz w:val="24"/>
          <w:szCs w:val="24"/>
        </w:rPr>
      </w:pPr>
      <w:r>
        <w:rPr>
          <w:rFonts w:ascii="宋体" w:hAnsi="宋体" w:eastAsia="宋体" w:cs="宋体"/>
          <w:sz w:val="24"/>
          <w:szCs w:val="24"/>
        </w:rPr>
      </w:r>
      <w:r/>
    </w:p>
    <w:p>
      <w:pPr>
        <w:pStyle w:val="1065"/>
        <w:rPr>
          <w:rFonts w:ascii="宋体" w:hAnsi="宋体" w:cs="宋体"/>
          <w:b/>
          <w:sz w:val="24"/>
          <w:szCs w:val="24"/>
        </w:rPr>
      </w:pPr>
      <w:r/>
      <w:bookmarkStart w:id="235" w:name="_Hlt26955054"/>
      <w:r/>
      <w:bookmarkEnd w:id="235"/>
      <w:r>
        <w:rPr>
          <w:rFonts w:ascii="宋体" w:hAnsi="宋体" w:eastAsia="宋体" w:cs="宋体"/>
          <w:sz w:val="24"/>
          <w:szCs w:val="24"/>
        </w:rPr>
        <w:br w:type="page" w:clear="all"/>
      </w:r>
      <w:r/>
    </w:p>
    <w:p>
      <w:pPr>
        <w:jc w:val="center"/>
        <w:rPr>
          <w:b/>
          <w:sz w:val="28"/>
        </w:rPr>
      </w:pPr>
      <w:r>
        <w:rPr>
          <w:rFonts w:hint="eastAsia"/>
          <w:b/>
          <w:sz w:val="28"/>
        </w:rPr>
        <w:t xml:space="preserve">附件</w:t>
      </w:r>
      <w:r>
        <w:rPr>
          <w:rFonts w:hint="eastAsia"/>
          <w:b/>
          <w:sz w:val="28"/>
        </w:rPr>
        <w:t xml:space="preserve">4  </w:t>
      </w:r>
      <w:r>
        <w:rPr>
          <w:rFonts w:hint="eastAsia"/>
          <w:b/>
          <w:sz w:val="28"/>
        </w:rPr>
        <w:t xml:space="preserve">商务要求响应及偏离表</w:t>
      </w:r>
      <w:r/>
    </w:p>
    <w:p>
      <w:pPr>
        <w:ind w:firstLine="361"/>
        <w:spacing w:line="360" w:lineRule="auto"/>
        <w:rPr>
          <w:rFonts w:ascii="宋体" w:hAnsi="宋体" w:cs="宋体"/>
          <w:b/>
          <w:sz w:val="24"/>
          <w:szCs w:val="24"/>
        </w:rPr>
      </w:pPr>
      <w:r>
        <w:rPr>
          <w:rFonts w:ascii="宋体" w:hAnsi="宋体" w:cs="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2268"/>
      </w:tblGrid>
      <w:tr>
        <w:trPr>
          <w:cantSplit/>
        </w:trPr>
        <w:tc>
          <w:tcPr>
            <w:tcW w:w="682" w:type="dxa"/>
            <w:vAlign w:val="center"/>
            <w:textDirection w:val="lrTb"/>
            <w:noWrap w:val="false"/>
          </w:tcPr>
          <w:p>
            <w:pPr>
              <w:jc w:val="center"/>
              <w:rPr>
                <w:rFonts w:ascii="宋体" w:hAnsi="宋体" w:cs="宋体"/>
                <w:sz w:val="24"/>
                <w:szCs w:val="24"/>
              </w:rPr>
            </w:pPr>
            <w:r/>
            <w:bookmarkStart w:id="236" w:name="_Hlt26955056"/>
            <w:r/>
            <w:bookmarkStart w:id="237" w:name="_Hlt26671372"/>
            <w:r/>
            <w:bookmarkStart w:id="238" w:name="_Hlt26782999"/>
            <w:r/>
            <w:bookmarkStart w:id="239" w:name="_Hlt26671343"/>
            <w:r/>
            <w:bookmarkStart w:id="240" w:name="_Hlt26955064"/>
            <w:r/>
            <w:bookmarkStart w:id="241" w:name="_Hlt26609391"/>
            <w:r/>
            <w:bookmarkStart w:id="242" w:name="_Hlt24879081"/>
            <w:r/>
            <w:bookmarkStart w:id="243" w:name="_Hlt26580838"/>
            <w:r/>
            <w:bookmarkEnd w:id="236"/>
            <w:r/>
            <w:bookmarkEnd w:id="237"/>
            <w:r/>
            <w:bookmarkEnd w:id="238"/>
            <w:r/>
            <w:bookmarkEnd w:id="239"/>
            <w:r/>
            <w:bookmarkEnd w:id="240"/>
            <w:r/>
            <w:bookmarkEnd w:id="241"/>
            <w:r/>
            <w:bookmarkEnd w:id="242"/>
            <w:r/>
            <w:bookmarkEnd w:id="243"/>
            <w:r>
              <w:rPr>
                <w:rFonts w:hint="eastAsia" w:ascii="宋体" w:hAnsi="宋体" w:cs="宋体"/>
                <w:sz w:val="24"/>
                <w:szCs w:val="24"/>
              </w:rPr>
              <w:t xml:space="preserve">序号</w:t>
            </w:r>
            <w:r/>
          </w:p>
        </w:tc>
        <w:tc>
          <w:tcPr>
            <w:tcW w:w="268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招标文件商务要求</w:t>
            </w:r>
            <w:r/>
          </w:p>
        </w:tc>
        <w:tc>
          <w:tcPr>
            <w:tcW w:w="28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投标响应情况</w:t>
            </w:r>
            <w:r/>
          </w:p>
        </w:tc>
        <w:tc>
          <w:tcPr>
            <w:tcW w:w="22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超出、符合或偏离</w:t>
            </w:r>
            <w:r/>
          </w:p>
        </w:tc>
      </w:tr>
      <w:tr>
        <w:trPr>
          <w:cantSplit/>
          <w:trHeight w:val="640"/>
        </w:trPr>
        <w:tc>
          <w:tcPr>
            <w:tcW w:w="682" w:type="dxa"/>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2688" w:type="dxa"/>
            <w:textDirection w:val="lrTb"/>
            <w:noWrap w:val="false"/>
          </w:tcPr>
          <w:p>
            <w:pPr>
              <w:jc w:val="center"/>
              <w:rPr>
                <w:rFonts w:ascii="宋体" w:hAnsi="宋体" w:cs="宋体"/>
                <w:sz w:val="24"/>
                <w:szCs w:val="24"/>
              </w:rPr>
            </w:pPr>
            <w:r>
              <w:rPr>
                <w:rFonts w:ascii="宋体" w:hAnsi="宋体" w:cs="宋体"/>
                <w:sz w:val="24"/>
                <w:szCs w:val="24"/>
              </w:rPr>
            </w:r>
            <w:r/>
          </w:p>
        </w:tc>
        <w:tc>
          <w:tcPr>
            <w:tcW w:w="2883" w:type="dxa"/>
            <w:textDirection w:val="lrTb"/>
            <w:noWrap w:val="false"/>
          </w:tcPr>
          <w:p>
            <w:pPr>
              <w:jc w:val="center"/>
              <w:rPr>
                <w:rFonts w:ascii="宋体" w:hAnsi="宋体" w:cs="宋体"/>
                <w:sz w:val="24"/>
                <w:szCs w:val="24"/>
              </w:rPr>
            </w:pPr>
            <w:r>
              <w:rPr>
                <w:rFonts w:ascii="宋体" w:hAnsi="宋体" w:cs="宋体"/>
                <w:sz w:val="24"/>
                <w:szCs w:val="24"/>
              </w:rPr>
            </w:r>
            <w:r/>
          </w:p>
        </w:tc>
        <w:tc>
          <w:tcPr>
            <w:tcW w:w="2268"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682" w:type="dxa"/>
            <w:textDirection w:val="lrTb"/>
            <w:noWrap w:val="false"/>
          </w:tcPr>
          <w:p>
            <w:pPr>
              <w:jc w:val="center"/>
              <w:rPr>
                <w:rFonts w:ascii="宋体" w:hAnsi="宋体" w:cs="宋体"/>
                <w:sz w:val="24"/>
                <w:szCs w:val="24"/>
              </w:rPr>
            </w:pPr>
            <w:r>
              <w:rPr>
                <w:rFonts w:ascii="宋体" w:hAnsi="宋体" w:cs="宋体"/>
                <w:sz w:val="24"/>
                <w:szCs w:val="24"/>
              </w:rPr>
            </w:r>
            <w:r/>
          </w:p>
        </w:tc>
        <w:tc>
          <w:tcPr>
            <w:tcW w:w="2688" w:type="dxa"/>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2883" w:type="dxa"/>
            <w:textDirection w:val="lrTb"/>
            <w:noWrap w:val="false"/>
          </w:tcPr>
          <w:p>
            <w:pPr>
              <w:jc w:val="center"/>
              <w:rPr>
                <w:rFonts w:ascii="宋体" w:hAnsi="宋体" w:cs="宋体"/>
                <w:sz w:val="24"/>
                <w:szCs w:val="24"/>
              </w:rPr>
            </w:pPr>
            <w:r>
              <w:rPr>
                <w:rFonts w:ascii="宋体" w:hAnsi="宋体" w:cs="宋体"/>
                <w:sz w:val="24"/>
                <w:szCs w:val="24"/>
              </w:rPr>
            </w:r>
            <w:r/>
          </w:p>
        </w:tc>
        <w:tc>
          <w:tcPr>
            <w:tcW w:w="2268" w:type="dxa"/>
            <w:textDirection w:val="lrTb"/>
            <w:noWrap w:val="false"/>
          </w:tcPr>
          <w:p>
            <w:pPr>
              <w:jc w:val="center"/>
              <w:rPr>
                <w:rFonts w:ascii="宋体" w:hAnsi="宋体" w:cs="宋体"/>
                <w:sz w:val="24"/>
                <w:szCs w:val="24"/>
              </w:rPr>
            </w:pPr>
            <w:r>
              <w:rPr>
                <w:rFonts w:ascii="宋体" w:hAnsi="宋体" w:cs="宋体"/>
                <w:sz w:val="24"/>
                <w:szCs w:val="24"/>
              </w:rPr>
            </w:r>
            <w:r/>
          </w:p>
        </w:tc>
      </w:tr>
    </w:tbl>
    <w:p>
      <w:pPr>
        <w:ind w:firstLine="560"/>
        <w:spacing w:line="480" w:lineRule="exact"/>
        <w:rPr>
          <w:rFonts w:ascii="宋体" w:hAnsi="宋体" w:cs="宋体"/>
          <w:sz w:val="24"/>
          <w:szCs w:val="24"/>
        </w:rPr>
      </w:pPr>
      <w:r/>
      <w:bookmarkStart w:id="244" w:name="_Toc24768"/>
      <w:r/>
      <w:bookmarkStart w:id="245" w:name="_Toc3831"/>
      <w:r/>
      <w:bookmarkStart w:id="246" w:name="_Toc8940"/>
      <w:r/>
      <w:bookmarkStart w:id="247" w:name="_Toc11985"/>
      <w:r/>
      <w:bookmarkStart w:id="248" w:name="_Toc16927"/>
      <w:r>
        <w:rPr>
          <w:rFonts w:hint="eastAsia" w:ascii="宋体" w:hAnsi="宋体" w:cs="宋体"/>
          <w:sz w:val="24"/>
          <w:szCs w:val="24"/>
        </w:rPr>
        <w:t xml:space="preserve">附件4-1  证明材料1，证明材料2，……</w:t>
      </w:r>
      <w:bookmarkEnd w:id="244"/>
      <w:r/>
      <w:bookmarkEnd w:id="245"/>
      <w:r/>
      <w:bookmarkEnd w:id="246"/>
      <w:r/>
      <w:bookmarkEnd w:id="247"/>
      <w:r/>
      <w:bookmarkEnd w:id="248"/>
      <w:r/>
      <w:r/>
    </w:p>
    <w:p>
      <w:pPr>
        <w:ind w:firstLine="560"/>
        <w:spacing w:line="480" w:lineRule="exact"/>
        <w:rPr>
          <w:rFonts w:ascii="宋体" w:hAnsi="宋体" w:cs="宋体"/>
          <w:sz w:val="24"/>
          <w:szCs w:val="24"/>
        </w:rPr>
      </w:pPr>
      <w:r>
        <w:rPr>
          <w:rFonts w:hint="eastAsia" w:ascii="宋体" w:hAnsi="宋体" w:cs="宋体"/>
          <w:sz w:val="24"/>
          <w:szCs w:val="24"/>
        </w:rPr>
        <w:t xml:space="preserve">备注：</w:t>
      </w:r>
      <w:r/>
    </w:p>
    <w:p>
      <w:pPr>
        <w:ind w:firstLine="560"/>
        <w:spacing w:line="480" w:lineRule="exact"/>
        <w:rPr>
          <w:rFonts w:ascii="宋体" w:hAnsi="宋体" w:cs="宋体"/>
          <w:sz w:val="24"/>
          <w:szCs w:val="24"/>
        </w:rPr>
      </w:pPr>
      <w:r>
        <w:rPr>
          <w:rFonts w:hint="eastAsia" w:ascii="宋体" w:hAnsi="宋体" w:cs="宋体"/>
          <w:sz w:val="24"/>
          <w:szCs w:val="24"/>
        </w:rPr>
        <w:t xml:space="preserve">1.投标人需对商务要求（未加斜体下划线的非实质性要求）逐条做出明确响应。</w:t>
      </w:r>
      <w:r/>
    </w:p>
    <w:p>
      <w:pPr>
        <w:ind w:firstLine="560"/>
        <w:spacing w:line="480" w:lineRule="exact"/>
        <w:rPr>
          <w:rFonts w:ascii="宋体" w:hAnsi="宋体" w:cs="宋体"/>
          <w:sz w:val="24"/>
          <w:szCs w:val="24"/>
        </w:rPr>
      </w:pPr>
      <w:r>
        <w:rPr>
          <w:rFonts w:hint="eastAsia" w:ascii="宋体" w:hAnsi="宋体" w:cs="宋体"/>
          <w:sz w:val="24"/>
          <w:szCs w:val="24"/>
        </w:rPr>
        <w:t xml:space="preserve">2.如果招标文件要求提供证明材料，投标人需将证明材料列于该表之下。</w:t>
      </w:r>
      <w:r/>
    </w:p>
    <w:p>
      <w:pPr>
        <w:ind w:firstLine="560"/>
        <w:spacing w:line="480" w:lineRule="exact"/>
        <w:rPr>
          <w:rFonts w:ascii="宋体" w:hAnsi="宋体" w:cs="宋体"/>
          <w:sz w:val="24"/>
          <w:szCs w:val="24"/>
        </w:rPr>
      </w:pPr>
      <w:r>
        <w:rPr>
          <w:rFonts w:ascii="宋体" w:hAnsi="宋体" w:cs="宋体"/>
          <w:sz w:val="24"/>
          <w:szCs w:val="24"/>
        </w:rPr>
      </w:r>
      <w:r/>
    </w:p>
    <w:p>
      <w:pPr>
        <w:pStyle w:val="1065"/>
        <w:rPr>
          <w:rFonts w:ascii="宋体" w:hAnsi="宋体" w:eastAsia="宋体" w:cs="宋体"/>
          <w:b/>
          <w:sz w:val="24"/>
          <w:szCs w:val="24"/>
        </w:rPr>
      </w:pPr>
      <w:r/>
      <w:bookmarkStart w:id="249" w:name="_Toc22668"/>
      <w:r/>
      <w:bookmarkStart w:id="250" w:name="_Toc11709"/>
      <w:r/>
      <w:bookmarkStart w:id="251" w:name="_Toc5624"/>
      <w:r/>
      <w:bookmarkStart w:id="252" w:name="_Toc13278"/>
      <w:r/>
      <w:bookmarkStart w:id="253" w:name="_Toc10386"/>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rFonts w:ascii="宋体" w:hAnsi="宋体" w:eastAsia="宋体" w:cs="宋体"/>
          <w:b/>
          <w:sz w:val="24"/>
          <w:szCs w:val="24"/>
        </w:rPr>
      </w:pPr>
      <w:r>
        <w:rPr>
          <w:rFonts w:ascii="宋体" w:hAnsi="宋体" w:eastAsia="宋体" w:cs="宋体"/>
          <w:b/>
          <w:sz w:val="24"/>
          <w:szCs w:val="24"/>
        </w:rPr>
      </w:r>
      <w:r/>
    </w:p>
    <w:p>
      <w:pPr>
        <w:pStyle w:val="1065"/>
        <w:rPr>
          <w:b/>
          <w:sz w:val="28"/>
        </w:rPr>
      </w:pPr>
      <w:r>
        <w:rPr>
          <w:rFonts w:ascii="宋体" w:hAnsi="宋体" w:eastAsia="宋体" w:cs="宋体"/>
          <w:b/>
          <w:sz w:val="24"/>
          <w:szCs w:val="24"/>
        </w:rPr>
        <w:br w:type="page" w:clear="all"/>
      </w:r>
      <w:r>
        <w:rPr>
          <w:rFonts w:hint="eastAsia"/>
          <w:b/>
          <w:sz w:val="28"/>
        </w:rPr>
        <w:t xml:space="preserve">附件5</w:t>
      </w:r>
      <w:bookmarkEnd w:id="249"/>
      <w:r/>
      <w:bookmarkEnd w:id="250"/>
      <w:r/>
      <w:bookmarkEnd w:id="251"/>
      <w:r/>
      <w:bookmarkEnd w:id="252"/>
      <w:r/>
      <w:bookmarkEnd w:id="253"/>
      <w:r>
        <w:rPr>
          <w:rFonts w:hint="eastAsia"/>
          <w:b/>
          <w:sz w:val="28"/>
        </w:rPr>
        <w:t xml:space="preserve">  投标人符合《政府采购法》第二十二条规定条件的声明函</w:t>
      </w:r>
      <w:r/>
    </w:p>
    <w:p>
      <w:pPr>
        <w:spacing w:line="460" w:lineRule="exact"/>
        <w:rPr>
          <w:rFonts w:ascii="宋体" w:hAnsi="宋体" w:cs="宋体"/>
          <w:b/>
          <w:bCs/>
          <w:sz w:val="24"/>
          <w:szCs w:val="24"/>
        </w:rPr>
      </w:pPr>
      <w:r>
        <w:rPr>
          <w:rFonts w:ascii="宋体" w:hAnsi="宋体" w:cs="宋体"/>
          <w:b/>
          <w:bCs/>
          <w:sz w:val="24"/>
          <w:szCs w:val="24"/>
        </w:rPr>
      </w:r>
      <w:r/>
    </w:p>
    <w:p>
      <w:pPr>
        <w:ind w:firstLine="480"/>
        <w:spacing w:line="520" w:lineRule="exact"/>
        <w:rPr>
          <w:rFonts w:ascii="宋体" w:hAnsi="宋体" w:cs="宋体"/>
          <w:b/>
          <w:bCs/>
          <w:sz w:val="24"/>
          <w:szCs w:val="24"/>
        </w:rPr>
      </w:pPr>
      <w:r>
        <w:rPr>
          <w:rFonts w:hint="eastAsia" w:ascii="宋体" w:hAnsi="宋体" w:cs="宋体"/>
          <w:bCs/>
          <w:sz w:val="24"/>
          <w:szCs w:val="24"/>
        </w:rPr>
        <w:t xml:space="preserve">我单位参加</w:t>
      </w:r>
      <w:r>
        <w:rPr>
          <w:rFonts w:hint="eastAsia" w:ascii="宋体" w:hAnsi="宋体" w:cs="宋体"/>
          <w:bCs/>
          <w:sz w:val="24"/>
          <w:szCs w:val="24"/>
          <w:u w:val="single"/>
        </w:rPr>
        <w:t xml:space="preserve">________________ _</w:t>
      </w:r>
      <w:r>
        <w:rPr>
          <w:rFonts w:hint="eastAsia" w:ascii="宋体" w:hAnsi="宋体" w:cs="宋体"/>
          <w:bCs/>
          <w:sz w:val="24"/>
          <w:szCs w:val="24"/>
        </w:rPr>
        <w:t xml:space="preserve">（项目名称），</w:t>
      </w:r>
      <w:r>
        <w:rPr>
          <w:rFonts w:hint="eastAsia" w:ascii="宋体" w:hAnsi="宋体" w:cs="宋体"/>
          <w:bCs/>
          <w:sz w:val="24"/>
          <w:szCs w:val="24"/>
          <w:u w:val="single"/>
        </w:rPr>
        <w:t xml:space="preserve">_______ __________</w:t>
      </w:r>
      <w:r>
        <w:rPr>
          <w:rFonts w:hint="eastAsia" w:ascii="宋体" w:hAnsi="宋体" w:cs="宋体"/>
          <w:bCs/>
          <w:sz w:val="24"/>
          <w:szCs w:val="24"/>
        </w:rPr>
        <w:t xml:space="preserve">（项目编号）投标活动。针对《中华人民共和国政府采购法》第二十二条规定做出如下声明：</w:t>
      </w:r>
      <w:r/>
    </w:p>
    <w:p>
      <w:pPr>
        <w:ind w:firstLine="482"/>
        <w:spacing w:line="520" w:lineRule="exact"/>
        <w:rPr>
          <w:rFonts w:ascii="宋体" w:hAnsi="宋体" w:cs="宋体"/>
          <w:sz w:val="24"/>
          <w:szCs w:val="24"/>
        </w:rPr>
      </w:pPr>
      <w:r>
        <w:rPr>
          <w:rFonts w:hint="eastAsia" w:ascii="宋体" w:hAnsi="宋体" w:cs="宋体"/>
          <w:bCs/>
          <w:sz w:val="24"/>
          <w:szCs w:val="24"/>
        </w:rPr>
        <w:t xml:space="preserve">1.我单位具有独立承担民事责任的能力；</w:t>
      </w:r>
      <w:r/>
    </w:p>
    <w:p>
      <w:pPr>
        <w:ind w:firstLine="482"/>
        <w:spacing w:line="520" w:lineRule="exact"/>
        <w:rPr>
          <w:rFonts w:ascii="宋体" w:hAnsi="宋体" w:cs="宋体"/>
          <w:sz w:val="24"/>
          <w:szCs w:val="24"/>
        </w:rPr>
      </w:pPr>
      <w:r>
        <w:rPr>
          <w:rFonts w:hint="eastAsia" w:ascii="宋体" w:hAnsi="宋体" w:cs="宋体"/>
          <w:sz w:val="24"/>
          <w:szCs w:val="24"/>
        </w:rPr>
        <w:t xml:space="preserve">2.我单位具有良好的商业信誉和健全的财务会计制度；</w:t>
      </w:r>
      <w:r/>
    </w:p>
    <w:p>
      <w:pPr>
        <w:ind w:firstLine="482"/>
        <w:spacing w:line="520" w:lineRule="exact"/>
        <w:rPr>
          <w:rFonts w:ascii="宋体" w:hAnsi="宋体" w:cs="宋体"/>
          <w:sz w:val="24"/>
          <w:szCs w:val="24"/>
        </w:rPr>
      </w:pPr>
      <w:r>
        <w:rPr>
          <w:rFonts w:hint="eastAsia" w:ascii="宋体" w:hAnsi="宋体" w:cs="宋体"/>
          <w:sz w:val="24"/>
          <w:szCs w:val="24"/>
        </w:rPr>
        <w:t xml:space="preserve">3.我单位具有履行合同所必需的设备和专业技术能力；</w:t>
      </w:r>
      <w:r/>
    </w:p>
    <w:p>
      <w:pPr>
        <w:ind w:firstLine="482"/>
        <w:spacing w:line="520" w:lineRule="exact"/>
        <w:rPr>
          <w:rFonts w:ascii="宋体" w:hAnsi="宋体" w:cs="宋体"/>
          <w:sz w:val="24"/>
          <w:szCs w:val="24"/>
        </w:rPr>
      </w:pPr>
      <w:r>
        <w:rPr>
          <w:rFonts w:hint="eastAsia" w:ascii="宋体" w:hAnsi="宋体" w:cs="宋体"/>
          <w:sz w:val="24"/>
          <w:szCs w:val="24"/>
        </w:rPr>
        <w:t xml:space="preserve">4.我单位有依法缴纳税收和社会保障资金的良好记录；</w:t>
      </w:r>
      <w:r/>
    </w:p>
    <w:p>
      <w:pPr>
        <w:ind w:firstLine="482"/>
        <w:spacing w:line="520" w:lineRule="exact"/>
        <w:rPr>
          <w:rFonts w:ascii="宋体" w:hAnsi="宋体" w:cs="宋体"/>
          <w:sz w:val="24"/>
          <w:szCs w:val="24"/>
        </w:rPr>
      </w:pPr>
      <w:r>
        <w:rPr>
          <w:rFonts w:hint="eastAsia" w:ascii="宋体" w:hAnsi="宋体" w:cs="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auto"/>
        <w:rPr>
          <w:rFonts w:ascii="宋体" w:hAnsi="宋体" w:cs="宋体"/>
          <w:sz w:val="24"/>
          <w:szCs w:val="24"/>
        </w:rPr>
      </w:pPr>
      <w:r>
        <w:rPr>
          <w:rFonts w:hint="eastAsia" w:ascii="宋体" w:hAnsi="宋体" w:cs="宋体"/>
          <w:sz w:val="24"/>
          <w:szCs w:val="24"/>
        </w:rPr>
        <w:t xml:space="preserve">6.我单位满足法律、行政法规规定的其他条件。</w:t>
      </w:r>
      <w:r/>
    </w:p>
    <w:p>
      <w:pPr>
        <w:pStyle w:val="913"/>
        <w:ind w:firstLine="0"/>
        <w:rPr>
          <w:rFonts w:ascii="宋体" w:hAnsi="宋体" w:cs="宋体"/>
          <w:sz w:val="24"/>
          <w:szCs w:val="24"/>
        </w:rPr>
      </w:pPr>
      <w:r/>
      <w:bookmarkStart w:id="254" w:name="_Hlt26671374"/>
      <w:r/>
      <w:bookmarkStart w:id="255" w:name="_Hlt26955066"/>
      <w:r/>
      <w:bookmarkStart w:id="256" w:name="_Hlt26609389"/>
      <w:r/>
      <w:bookmarkStart w:id="257" w:name="_Toc462564146"/>
      <w:r/>
      <w:bookmarkEnd w:id="254"/>
      <w:r/>
      <w:bookmarkEnd w:id="255"/>
      <w:r/>
      <w:bookmarkEnd w:id="256"/>
      <w:r/>
      <w:r/>
    </w:p>
    <w:p>
      <w:pPr>
        <w:jc w:val="center"/>
        <w:rPr>
          <w:rFonts w:ascii="宋体" w:hAnsi="宋体" w:cs="宋体"/>
          <w:b/>
          <w:sz w:val="24"/>
          <w:szCs w:val="24"/>
        </w:rPr>
      </w:pPr>
      <w:r/>
      <w:bookmarkStart w:id="258" w:name="_格式2__法定代表人授权书"/>
      <w:r/>
      <w:bookmarkEnd w:id="257"/>
      <w:r/>
      <w:bookmarkEnd w:id="258"/>
      <w:r/>
      <w:r/>
    </w:p>
    <w:p>
      <w:pPr>
        <w:jc w:val="center"/>
        <w:rPr>
          <w:rFonts w:ascii="宋体" w:hAnsi="宋体" w:cs="宋体"/>
          <w:b/>
          <w:sz w:val="24"/>
          <w:szCs w:val="24"/>
        </w:rPr>
      </w:pPr>
      <w:r>
        <w:rPr>
          <w:rFonts w:ascii="宋体" w:hAnsi="宋体" w:cs="宋体"/>
          <w:b/>
          <w:sz w:val="24"/>
          <w:szCs w:val="24"/>
        </w:rPr>
      </w:r>
      <w:r/>
    </w:p>
    <w:p>
      <w:pPr>
        <w:rPr>
          <w:rFonts w:ascii="宋体" w:hAnsi="宋体" w:cs="宋体"/>
          <w:b/>
          <w:sz w:val="24"/>
          <w:szCs w:val="24"/>
        </w:rPr>
      </w:pPr>
      <w:r>
        <w:rPr>
          <w:rFonts w:ascii="宋体" w:hAnsi="宋体" w:cs="宋体"/>
          <w:b/>
          <w:sz w:val="24"/>
          <w:szCs w:val="24"/>
        </w:rPr>
      </w:r>
      <w:r/>
    </w:p>
    <w:p>
      <w:pPr>
        <w:jc w:val="center"/>
        <w:spacing w:line="460" w:lineRule="exact"/>
        <w:rPr>
          <w:rFonts w:ascii="宋体" w:hAnsi="宋体" w:cs="宋体"/>
          <w:bCs/>
          <w:sz w:val="24"/>
          <w:szCs w:val="24"/>
        </w:rPr>
      </w:pPr>
      <w:r>
        <w:rPr>
          <w:rFonts w:hint="eastAsia" w:ascii="宋体" w:hAnsi="宋体" w:cs="宋体"/>
          <w:bCs/>
          <w:sz w:val="24"/>
          <w:szCs w:val="24"/>
        </w:rPr>
        <w:t xml:space="preserve">  承诺人名称（公章）：</w:t>
      </w:r>
      <w:r/>
    </w:p>
    <w:p>
      <w:pPr>
        <w:jc w:val="right"/>
        <w:spacing w:line="460" w:lineRule="exact"/>
        <w:rPr>
          <w:rFonts w:ascii="宋体" w:hAnsi="宋体" w:cs="宋体"/>
          <w:bCs/>
          <w:sz w:val="24"/>
          <w:szCs w:val="24"/>
        </w:rPr>
      </w:pPr>
      <w:r>
        <w:rPr>
          <w:rFonts w:ascii="宋体" w:hAnsi="宋体" w:cs="宋体"/>
          <w:bCs/>
          <w:sz w:val="24"/>
          <w:szCs w:val="24"/>
        </w:rPr>
      </w:r>
      <w:r/>
    </w:p>
    <w:p>
      <w:pPr>
        <w:jc w:val="right"/>
        <w:spacing w:line="460" w:lineRule="exact"/>
        <w:rPr>
          <w:rFonts w:ascii="宋体" w:hAnsi="宋体" w:cs="宋体"/>
          <w:bCs/>
          <w:sz w:val="24"/>
          <w:szCs w:val="24"/>
        </w:rPr>
      </w:pPr>
      <w:r>
        <w:rPr>
          <w:rFonts w:hint="eastAsia" w:ascii="宋体" w:hAnsi="宋体" w:cs="宋体"/>
          <w:bCs/>
          <w:sz w:val="24"/>
          <w:szCs w:val="24"/>
        </w:rPr>
        <w:t xml:space="preserve">                                 日期：</w:t>
      </w:r>
      <w:r>
        <w:rPr>
          <w:rFonts w:hint="eastAsia" w:ascii="宋体" w:hAnsi="宋体" w:cs="宋体"/>
          <w:bCs/>
          <w:sz w:val="24"/>
          <w:szCs w:val="24"/>
          <w:u w:val="single"/>
        </w:rPr>
        <w:t xml:space="preserve">______</w:t>
      </w:r>
      <w:r>
        <w:rPr>
          <w:rFonts w:hint="eastAsia" w:ascii="宋体" w:hAnsi="宋体" w:cs="宋体"/>
          <w:bCs/>
          <w:sz w:val="24"/>
          <w:szCs w:val="24"/>
        </w:rPr>
        <w:t xml:space="preserve">年月日</w:t>
      </w:r>
      <w:r/>
    </w:p>
    <w:p>
      <w:pPr>
        <w:rPr>
          <w:rFonts w:ascii="宋体" w:hAnsi="宋体" w:cs="宋体"/>
          <w:b/>
          <w:sz w:val="24"/>
          <w:szCs w:val="24"/>
        </w:rPr>
      </w:pPr>
      <w:r>
        <w:rPr>
          <w:rFonts w:ascii="宋体" w:hAnsi="宋体" w:cs="宋体"/>
          <w:b/>
          <w:sz w:val="24"/>
          <w:szCs w:val="24"/>
        </w:rPr>
      </w:r>
      <w:r/>
    </w:p>
    <w:p>
      <w:pPr>
        <w:jc w:val="center"/>
        <w:rPr>
          <w:rFonts w:ascii="宋体" w:hAnsi="宋体" w:cs="宋体"/>
          <w:i/>
          <w:sz w:val="24"/>
          <w:szCs w:val="24"/>
          <w:u w:val="single"/>
        </w:rPr>
      </w:pPr>
      <w:r>
        <w:rPr>
          <w:rFonts w:ascii="宋体" w:hAnsi="宋体" w:cs="宋体"/>
          <w:i/>
          <w:sz w:val="24"/>
          <w:szCs w:val="24"/>
          <w:u w:val="single"/>
        </w:rPr>
      </w:r>
      <w:r/>
    </w:p>
    <w:p>
      <w:pPr>
        <w:jc w:val="center"/>
        <w:rPr>
          <w:rFonts w:ascii="宋体" w:hAnsi="宋体" w:cs="宋体"/>
          <w:i/>
          <w:sz w:val="24"/>
          <w:szCs w:val="24"/>
          <w:u w:val="single"/>
        </w:rPr>
      </w:pPr>
      <w:r>
        <w:rPr>
          <w:rFonts w:ascii="宋体" w:hAnsi="宋体" w:cs="宋体"/>
          <w:i/>
          <w:sz w:val="24"/>
          <w:szCs w:val="24"/>
          <w:u w:val="single"/>
        </w:rPr>
      </w:r>
      <w:r/>
    </w:p>
    <w:p>
      <w:pPr>
        <w:jc w:val="center"/>
        <w:rPr>
          <w:rFonts w:ascii="宋体" w:hAnsi="宋体" w:cs="宋体"/>
          <w:i/>
          <w:sz w:val="24"/>
          <w:szCs w:val="24"/>
          <w:u w:val="single"/>
        </w:rPr>
      </w:pPr>
      <w:r>
        <w:rPr>
          <w:rFonts w:ascii="宋体" w:hAnsi="宋体" w:cs="宋体"/>
          <w:i/>
          <w:sz w:val="24"/>
          <w:szCs w:val="24"/>
          <w:u w:val="single"/>
        </w:rPr>
      </w:r>
      <w:r/>
    </w:p>
    <w:p>
      <w:pPr>
        <w:jc w:val="center"/>
        <w:rPr>
          <w:rFonts w:ascii="宋体" w:hAnsi="宋体" w:cs="宋体"/>
          <w:i/>
          <w:sz w:val="24"/>
          <w:szCs w:val="24"/>
          <w:u w:val="single"/>
        </w:rPr>
      </w:pPr>
      <w:r>
        <w:rPr>
          <w:rFonts w:ascii="宋体" w:hAnsi="宋体" w:cs="宋体"/>
          <w:i/>
          <w:sz w:val="24"/>
          <w:szCs w:val="24"/>
          <w:u w:val="single"/>
        </w:rPr>
      </w:r>
      <w:r/>
    </w:p>
    <w:p>
      <w:pPr>
        <w:jc w:val="center"/>
        <w:rPr>
          <w:rFonts w:ascii="宋体" w:hAnsi="宋体" w:cs="宋体"/>
          <w:i/>
          <w:sz w:val="24"/>
          <w:szCs w:val="24"/>
          <w:u w:val="single"/>
        </w:rPr>
      </w:pPr>
      <w:r>
        <w:rPr>
          <w:rFonts w:ascii="宋体" w:hAnsi="宋体" w:cs="宋体"/>
          <w:i/>
          <w:sz w:val="24"/>
          <w:szCs w:val="24"/>
          <w:u w:val="single"/>
        </w:rPr>
      </w:r>
      <w:r/>
    </w:p>
    <w:p>
      <w:pPr>
        <w:jc w:val="center"/>
        <w:rPr>
          <w:rFonts w:ascii="宋体" w:hAnsi="宋体" w:cs="宋体"/>
          <w:i/>
          <w:sz w:val="24"/>
          <w:szCs w:val="24"/>
          <w:u w:val="single"/>
        </w:rPr>
      </w:pPr>
      <w:r>
        <w:rPr>
          <w:rFonts w:ascii="宋体" w:hAnsi="宋体" w:cs="宋体"/>
          <w:i/>
          <w:sz w:val="24"/>
          <w:szCs w:val="24"/>
          <w:u w:val="single"/>
        </w:rPr>
      </w:r>
      <w:r/>
    </w:p>
    <w:p>
      <w:pPr>
        <w:jc w:val="center"/>
        <w:rPr>
          <w:rFonts w:ascii="宋体" w:hAnsi="宋体" w:cs="宋体"/>
          <w:i/>
          <w:sz w:val="24"/>
          <w:szCs w:val="24"/>
          <w:u w:val="single"/>
        </w:rPr>
      </w:pPr>
      <w:r>
        <w:rPr>
          <w:rFonts w:ascii="宋体" w:hAnsi="宋体" w:cs="宋体"/>
          <w:i/>
          <w:sz w:val="24"/>
          <w:szCs w:val="24"/>
          <w:u w:val="single"/>
        </w:rPr>
      </w:r>
      <w:r/>
    </w:p>
    <w:p>
      <w:pPr>
        <w:pStyle w:val="1065"/>
        <w:ind w:firstLine="0"/>
        <w:rPr>
          <w:rFonts w:ascii="宋体" w:hAnsi="宋体" w:eastAsia="宋体" w:cs="宋体"/>
          <w:bCs/>
          <w:i/>
          <w:sz w:val="24"/>
          <w:szCs w:val="24"/>
          <w:u w:val="single"/>
        </w:rPr>
      </w:pPr>
      <w:r>
        <w:rPr>
          <w:rFonts w:ascii="宋体" w:hAnsi="宋体" w:eastAsia="宋体" w:cs="宋体"/>
          <w:i/>
          <w:sz w:val="24"/>
          <w:szCs w:val="24"/>
          <w:u w:val="single"/>
        </w:rPr>
      </w:r>
      <w:r>
        <w:rPr>
          <w:rFonts w:ascii="宋体" w:hAnsi="宋体" w:eastAsia="宋体" w:cs="宋体"/>
          <w:i/>
          <w:sz w:val="24"/>
          <w:szCs w:val="24"/>
          <w:u w:val="single"/>
        </w:rPr>
      </w:r>
      <w:r/>
    </w:p>
    <w:p>
      <w:pPr>
        <w:pStyle w:val="1065"/>
        <w:ind w:firstLine="0"/>
        <w:rPr>
          <w:rFonts w:ascii="宋体" w:hAnsi="宋体" w:eastAsia="宋体" w:cs="宋体"/>
          <w:bCs/>
          <w:i/>
          <w:sz w:val="24"/>
          <w:szCs w:val="24"/>
          <w:u w:val="single"/>
        </w:rPr>
      </w:pPr>
      <w:r>
        <w:rPr>
          <w:rFonts w:ascii="宋体" w:hAnsi="宋体" w:eastAsia="宋体" w:cs="宋体"/>
          <w:bCs/>
          <w:i/>
          <w:sz w:val="24"/>
          <w:szCs w:val="24"/>
          <w:u w:val="single"/>
        </w:rPr>
      </w:r>
      <w:r>
        <w:rPr>
          <w:rFonts w:ascii="宋体" w:hAnsi="宋体" w:eastAsia="宋体" w:cs="宋体"/>
          <w:bCs/>
          <w:i/>
          <w:sz w:val="24"/>
          <w:szCs w:val="24"/>
          <w:u w:val="single"/>
        </w:rPr>
      </w:r>
      <w:r/>
    </w:p>
    <w:p>
      <w:pPr>
        <w:pStyle w:val="1065"/>
        <w:ind w:firstLine="0"/>
        <w:rPr>
          <w:rFonts w:ascii="宋体" w:hAnsi="宋体" w:eastAsia="宋体" w:cs="宋体"/>
          <w:bCs/>
          <w:i/>
          <w:sz w:val="24"/>
          <w:szCs w:val="24"/>
          <w:u w:val="single"/>
        </w:rPr>
      </w:pPr>
      <w:r>
        <w:rPr>
          <w:rFonts w:ascii="宋体" w:hAnsi="宋体" w:eastAsia="宋体" w:cs="宋体"/>
          <w:i/>
          <w:sz w:val="24"/>
          <w:szCs w:val="24"/>
          <w:u w:val="single"/>
        </w:rPr>
      </w:r>
      <w:r/>
    </w:p>
    <w:p>
      <w:pPr>
        <w:jc w:val="center"/>
        <w:rPr>
          <w:b/>
          <w:sz w:val="28"/>
        </w:rPr>
      </w:pPr>
      <w:r>
        <w:rPr>
          <w:rFonts w:hint="eastAsia"/>
          <w:b/>
          <w:sz w:val="28"/>
        </w:rPr>
        <w:t xml:space="preserve">附件</w:t>
      </w:r>
      <w:r>
        <w:rPr>
          <w:rFonts w:hint="eastAsia"/>
          <w:b/>
          <w:sz w:val="28"/>
        </w:rPr>
        <w:t xml:space="preserve">6  </w:t>
      </w:r>
      <w:r>
        <w:rPr>
          <w:rFonts w:hint="eastAsia"/>
          <w:b/>
          <w:sz w:val="28"/>
        </w:rPr>
        <w:t xml:space="preserve">法人授权书</w:t>
      </w:r>
      <w:r/>
    </w:p>
    <w:p>
      <w:pPr>
        <w:pStyle w:val="1125"/>
        <w:ind w:firstLine="480"/>
        <w:spacing w:line="360" w:lineRule="auto"/>
        <w:rPr>
          <w:rFonts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本授权书声明：____________（投标人名称）授权________________（被授权人的姓名）为我方就JSZC-320000-</w:t>
      </w:r>
      <w:r>
        <w:rPr>
          <w:rFonts w:hint="eastAsia" w:ascii="宋体" w:hAnsi="宋体" w:cs="宋体"/>
          <w:sz w:val="24"/>
          <w:szCs w:val="24"/>
          <w:u w:val="single"/>
        </w:rPr>
        <w:t xml:space="preserve">***</w:t>
      </w:r>
      <w:r>
        <w:rPr>
          <w:rFonts w:hint="eastAsia" w:ascii="宋体" w:hAnsi="宋体" w:cs="宋体"/>
          <w:sz w:val="24"/>
          <w:szCs w:val="24"/>
        </w:rPr>
        <w:t xml:space="preserve">号项目采购活动的合法代理人，以本单位名义全权处理一切与该项目采购有关的事务。</w:t>
      </w:r>
      <w:r/>
    </w:p>
    <w:p>
      <w:pPr>
        <w:pStyle w:val="1125"/>
        <w:ind w:firstLine="480"/>
        <w:spacing w:line="360" w:lineRule="auto"/>
        <w:rPr>
          <w:rFonts w:ascii="宋体" w:hAnsi="宋体" w:cs="宋体"/>
          <w:sz w:val="24"/>
          <w:szCs w:val="24"/>
        </w:rPr>
      </w:pPr>
      <w:r>
        <w:rPr>
          <w:rFonts w:hint="eastAsia" w:ascii="宋体" w:hAnsi="宋体" w:cs="宋体"/>
          <w:sz w:val="24"/>
          <w:szCs w:val="24"/>
        </w:rPr>
        <w:t xml:space="preserve">本授权书于______年____月____日起生效，特此声明。</w:t>
      </w:r>
      <w:r/>
    </w:p>
    <w:p>
      <w:pPr>
        <w:pStyle w:val="1125"/>
        <w:ind w:firstLine="0"/>
        <w:spacing w:line="360" w:lineRule="auto"/>
        <w:rPr>
          <w:rFonts w:ascii="宋体" w:hAnsi="宋体" w:cs="宋体"/>
          <w:sz w:val="24"/>
          <w:szCs w:val="24"/>
          <w:u w:val="single"/>
        </w:rPr>
      </w:pPr>
      <w:r>
        <w:rPr>
          <w:rFonts w:hint="eastAsia" w:ascii="宋体" w:hAnsi="宋体" w:cs="宋体"/>
          <w:sz w:val="24"/>
          <w:szCs w:val="24"/>
        </w:rPr>
        <w:t xml:space="preserve">          被授权人身份证号码：</w:t>
      </w:r>
      <w:r/>
    </w:p>
    <w:p>
      <w:pPr>
        <w:pStyle w:val="1125"/>
        <w:ind w:firstLine="0"/>
        <w:spacing w:line="360" w:lineRule="auto"/>
        <w:rPr>
          <w:rFonts w:ascii="宋体" w:hAnsi="宋体" w:cs="宋体"/>
          <w:sz w:val="24"/>
          <w:szCs w:val="24"/>
          <w:u w:val="single"/>
        </w:rPr>
      </w:pPr>
      <w:r>
        <w:rPr>
          <w:rFonts w:hint="eastAsia" w:ascii="宋体" w:hAnsi="宋体" w:cs="宋体"/>
          <w:sz w:val="24"/>
          <w:szCs w:val="24"/>
        </w:rPr>
        <w:t xml:space="preserve">          被授权人联系电话：（手机）</w:t>
      </w:r>
      <w:r/>
    </w:p>
    <w:p>
      <w:pPr>
        <w:pStyle w:val="1125"/>
        <w:ind w:firstLine="1200"/>
        <w:spacing w:line="360" w:lineRule="auto"/>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pStyle w:val="1125"/>
        <w:ind w:firstLine="480"/>
        <w:spacing w:line="360" w:lineRule="auto"/>
        <w:rPr>
          <w:rFonts w:ascii="宋体" w:hAnsi="宋体" w:cs="宋体"/>
          <w:sz w:val="24"/>
          <w:szCs w:val="24"/>
          <w:u w:val="single"/>
        </w:rPr>
      </w:pPr>
      <w:r>
        <w:rPr>
          <w:rFonts w:hint="eastAsia" w:ascii="宋体" w:hAnsi="宋体" w:cs="宋体"/>
          <w:sz w:val="24"/>
          <w:szCs w:val="24"/>
        </w:rPr>
        <w:t xml:space="preserve">      单位地址：</w:t>
      </w:r>
      <w:r/>
    </w:p>
    <w:p>
      <w:pPr>
        <w:pStyle w:val="1125"/>
        <w:ind w:firstLine="480"/>
        <w:spacing w:line="360" w:lineRule="auto"/>
        <w:rPr>
          <w:rFonts w:ascii="宋体" w:hAnsi="宋体" w:cs="宋体"/>
          <w:sz w:val="24"/>
          <w:szCs w:val="24"/>
        </w:rPr>
      </w:pPr>
      <w:r>
        <w:rPr>
          <w:rFonts w:hint="eastAsia" w:ascii="宋体" w:hAnsi="宋体" w:cs="宋体"/>
          <w:sz w:val="24"/>
          <w:szCs w:val="24"/>
        </w:rPr>
        <w:t xml:space="preserve">      日期：</w:t>
      </w:r>
      <w:bookmarkStart w:id="259" w:name="_Hlt26955070"/>
      <w:r/>
      <w:bookmarkStart w:id="260" w:name="_Hlt26671380"/>
      <w:r/>
      <w:bookmarkStart w:id="261" w:name="_格式3__银行出具的资信证明"/>
      <w:r/>
      <w:bookmarkEnd w:id="259"/>
      <w:r/>
      <w:bookmarkEnd w:id="260"/>
      <w:r/>
      <w:bookmarkEnd w:id="261"/>
      <w:r/>
      <w:r/>
    </w:p>
    <w:p>
      <w:pPr>
        <w:pStyle w:val="913"/>
        <w:spacing w:line="360" w:lineRule="auto"/>
        <w:rPr>
          <w:rFonts w:ascii="宋体" w:hAnsi="宋体" w:cs="宋体"/>
          <w:i/>
          <w:sz w:val="24"/>
          <w:szCs w:val="24"/>
          <w:u w:val="single"/>
        </w:rPr>
      </w:pPr>
      <w:r>
        <w:rPr>
          <w:rFonts w:ascii="宋体" w:hAnsi="宋体" w:cs="宋体"/>
          <w:i/>
          <w:sz w:val="24"/>
          <w:szCs w:val="24"/>
          <w:u w:val="single"/>
        </w:rPr>
      </w:r>
      <w:r/>
    </w:p>
    <w:p>
      <w:pPr>
        <w:pStyle w:val="913"/>
        <w:ind w:firstLine="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Cs/>
          <w:sz w:val="24"/>
          <w:szCs w:val="24"/>
        </w:rPr>
      </w:pPr>
      <w:r>
        <w:rPr>
          <w:rFonts w:ascii="宋体" w:hAnsi="宋体" w:cs="宋体"/>
          <w:bCs/>
          <w:sz w:val="24"/>
          <w:szCs w:val="24"/>
        </w:rPr>
      </w:r>
      <w:r/>
    </w:p>
    <w:p>
      <w:pPr>
        <w:ind w:firstLine="1560"/>
        <w:spacing w:line="360" w:lineRule="auto"/>
        <w:rPr>
          <w:rFonts w:ascii="宋体" w:hAnsi="宋体" w:cs="宋体"/>
          <w:bCs/>
          <w:sz w:val="24"/>
          <w:szCs w:val="24"/>
        </w:rPr>
      </w:pPr>
      <w:r>
        <w:rPr>
          <w:rFonts w:hint="eastAsia" w:ascii="宋体" w:hAnsi="宋体" w:cs="宋体"/>
          <w:bCs/>
          <w:sz w:val="24"/>
          <w:szCs w:val="24"/>
        </w:rPr>
        <w:t xml:space="preserve">身份证正反面</w:t>
      </w:r>
      <w:r/>
    </w:p>
    <w:p>
      <w:pPr>
        <w:jc w:val="center"/>
        <w:rPr>
          <w:rFonts w:ascii="宋体" w:hAnsi="宋体" w:cs="宋体"/>
          <w:bCs/>
          <w:i/>
          <w:sz w:val="24"/>
          <w:szCs w:val="24"/>
          <w:u w:val="single"/>
        </w:rPr>
      </w:pPr>
      <w:r>
        <w:rPr>
          <w:rFonts w:hint="eastAsia" w:ascii="宋体" w:hAnsi="宋体" w:cs="宋体"/>
          <w:bCs/>
          <w:sz w:val="24"/>
          <w:szCs w:val="24"/>
        </w:rPr>
        <w:br w:type="page" w:clear="all"/>
      </w:r>
      <w:r>
        <w:rPr>
          <w:rFonts w:hint="eastAsia"/>
          <w:b/>
          <w:sz w:val="28"/>
        </w:rPr>
        <w:t xml:space="preserve">附件</w:t>
      </w:r>
      <w:r>
        <w:rPr>
          <w:rFonts w:hint="eastAsia"/>
          <w:b/>
          <w:sz w:val="28"/>
        </w:rPr>
        <w:t xml:space="preserve">7  </w:t>
      </w:r>
      <w:r>
        <w:rPr>
          <w:rFonts w:hint="eastAsia"/>
          <w:b/>
          <w:sz w:val="28"/>
        </w:rPr>
        <w:t xml:space="preserve">投标函</w:t>
      </w:r>
      <w:r/>
    </w:p>
    <w:p>
      <w:pPr>
        <w:pStyle w:val="1127"/>
        <w:ind w:firstLine="0"/>
        <w:spacing w:before="0" w:after="0" w:line="420" w:lineRule="exact"/>
        <w:rPr>
          <w:rFonts w:ascii="宋体" w:hAnsi="宋体" w:cs="宋体"/>
        </w:rPr>
      </w:pPr>
      <w:r>
        <w:rPr>
          <w:rFonts w:hint="eastAsia" w:ascii="宋体" w:hAnsi="宋体" w:cs="宋体"/>
        </w:rPr>
        <w:t xml:space="preserve">致：</w:t>
      </w:r>
      <w:r/>
    </w:p>
    <w:p>
      <w:pPr>
        <w:pStyle w:val="1127"/>
        <w:spacing w:before="0" w:after="0" w:line="420" w:lineRule="exact"/>
        <w:rPr>
          <w:rFonts w:ascii="宋体" w:hAnsi="宋体" w:cs="宋体"/>
        </w:rPr>
      </w:pPr>
      <w:r>
        <w:rPr>
          <w:rFonts w:hint="eastAsia" w:ascii="宋体" w:hAnsi="宋体" w:cs="宋体"/>
        </w:rPr>
        <w:t xml:space="preserve">根据贵方的***号招标文件，正式授权______(被授权人姓名)代表我方______________（投标人的名称），全权处理本次项目投标的有关事宜。</w:t>
      </w:r>
      <w:r/>
    </w:p>
    <w:p>
      <w:pPr>
        <w:pStyle w:val="1127"/>
        <w:spacing w:before="0" w:after="0" w:line="420" w:lineRule="exact"/>
        <w:rPr>
          <w:rFonts w:ascii="宋体" w:hAnsi="宋体" w:cs="宋体"/>
        </w:rPr>
      </w:pPr>
      <w:r>
        <w:rPr>
          <w:rFonts w:hint="eastAsia" w:ascii="宋体" w:hAnsi="宋体" w:cs="宋体"/>
        </w:rPr>
        <w:t xml:space="preserve">据此函，__________（被授权人签字或盖章）兹宣布同意如下：</w:t>
      </w:r>
      <w:r/>
    </w:p>
    <w:p>
      <w:pPr>
        <w:pStyle w:val="1127"/>
        <w:spacing w:before="0" w:after="0" w:line="420" w:lineRule="exact"/>
        <w:rPr>
          <w:rFonts w:ascii="宋体" w:hAnsi="宋体" w:cs="宋体"/>
        </w:rPr>
      </w:pPr>
      <w:r>
        <w:rPr>
          <w:rFonts w:hint="eastAsia" w:ascii="宋体" w:hAnsi="宋体" w:cs="宋体"/>
        </w:rPr>
        <w:t xml:space="preserve">1.按招标文件规定的各项要求，向买方提供所需服务（包含与服务相关的货物）。</w:t>
      </w:r>
      <w:r/>
    </w:p>
    <w:p>
      <w:pPr>
        <w:pStyle w:val="1127"/>
        <w:spacing w:before="0" w:after="0" w:line="420" w:lineRule="exact"/>
        <w:rPr>
          <w:rFonts w:ascii="宋体" w:hAnsi="宋体" w:cs="宋体"/>
        </w:rPr>
      </w:pPr>
      <w:r>
        <w:rPr>
          <w:rFonts w:hint="eastAsia" w:ascii="宋体" w:hAnsi="宋体" w:cs="宋体"/>
        </w:rPr>
        <w:t xml:space="preserve">2.我们完全理解贵方不一定将合同授予最低报价的投标人。</w:t>
      </w:r>
      <w:r/>
    </w:p>
    <w:p>
      <w:pPr>
        <w:pStyle w:val="1127"/>
        <w:spacing w:before="0" w:after="0" w:line="420" w:lineRule="exact"/>
        <w:rPr>
          <w:rFonts w:ascii="宋体" w:hAnsi="宋体" w:cs="宋体"/>
        </w:rPr>
      </w:pPr>
      <w:r>
        <w:rPr>
          <w:rFonts w:hint="eastAsia" w:ascii="宋体" w:hAnsi="宋体" w:cs="宋体"/>
        </w:rPr>
        <w:t xml:space="preserve">3.我们已详细审核全部招标文件及其有效补充文件，我们知道必须放弃提出含糊不清或误解问题的权利。</w:t>
      </w:r>
      <w:r/>
    </w:p>
    <w:p>
      <w:pPr>
        <w:pStyle w:val="1127"/>
        <w:spacing w:before="0" w:after="0" w:line="420" w:lineRule="exact"/>
        <w:rPr>
          <w:rFonts w:ascii="宋体" w:hAnsi="宋体" w:cs="宋体"/>
        </w:rPr>
      </w:pPr>
      <w:r>
        <w:rPr>
          <w:rFonts w:hint="eastAsia" w:ascii="宋体" w:hAnsi="宋体" w:cs="宋体"/>
        </w:rPr>
        <w:t xml:space="preserve">4.我们同意从规定的开标日期起遵循本投标文件，并在规定的投标有效期期满之前均具有约束力。</w:t>
      </w:r>
      <w:r/>
    </w:p>
    <w:p>
      <w:pPr>
        <w:pStyle w:val="1127"/>
        <w:spacing w:before="0" w:after="0" w:line="420" w:lineRule="exact"/>
        <w:rPr>
          <w:rFonts w:ascii="宋体" w:hAnsi="宋体" w:cs="宋体"/>
        </w:rPr>
      </w:pPr>
      <w:r>
        <w:rPr>
          <w:rFonts w:hint="eastAsia" w:ascii="宋体" w:hAnsi="宋体" w:cs="宋体"/>
        </w:rPr>
        <w:t xml:space="preserve">5.同意向贵方提供贵方可能另外要求的与投标有关的任何证据或资料，并保证我方已提供和将要提供的文件是真实的、准确的。</w:t>
      </w:r>
      <w:r/>
    </w:p>
    <w:p>
      <w:pPr>
        <w:pStyle w:val="1127"/>
        <w:spacing w:before="0" w:after="0" w:line="420" w:lineRule="exact"/>
        <w:rPr>
          <w:rFonts w:ascii="宋体" w:hAnsi="宋体" w:cs="宋体"/>
        </w:rPr>
      </w:pPr>
      <w:r>
        <w:rPr>
          <w:rFonts w:hint="eastAsia" w:ascii="宋体" w:hAnsi="宋体" w:cs="宋体"/>
        </w:rPr>
        <w:t xml:space="preserve">6.一旦我方中标,我方将根据招标文件的规定，严格履行合同的责任和义务,并保证在招标文件规定的时间完成项目，交付买方验收、使用。</w:t>
      </w:r>
      <w:r/>
    </w:p>
    <w:p>
      <w:pPr>
        <w:pStyle w:val="1127"/>
        <w:spacing w:before="0" w:after="0" w:line="420" w:lineRule="exact"/>
        <w:rPr>
          <w:rFonts w:ascii="宋体" w:hAnsi="宋体" w:cs="宋体"/>
        </w:rPr>
      </w:pPr>
      <w:r>
        <w:rPr>
          <w:rFonts w:hint="eastAsia" w:ascii="宋体" w:hAnsi="宋体" w:cs="宋体"/>
        </w:rPr>
        <w:t xml:space="preserve">7.与本投标有关的正式通讯地址为：</w:t>
      </w:r>
      <w:r/>
    </w:p>
    <w:p>
      <w:pPr>
        <w:pStyle w:val="1127"/>
        <w:ind w:left="420"/>
        <w:spacing w:before="0" w:after="0" w:line="420" w:lineRule="exact"/>
        <w:rPr>
          <w:rFonts w:ascii="宋体" w:hAnsi="宋体" w:cs="宋体"/>
        </w:rPr>
      </w:pPr>
      <w:r>
        <w:rPr>
          <w:rFonts w:hint="eastAsia" w:ascii="宋体" w:hAnsi="宋体" w:cs="宋体"/>
        </w:rPr>
        <w:t xml:space="preserve">地          址：</w:t>
      </w:r>
      <w:r/>
    </w:p>
    <w:p>
      <w:pPr>
        <w:pStyle w:val="1127"/>
        <w:ind w:left="420"/>
        <w:spacing w:before="0" w:after="0" w:line="420" w:lineRule="exact"/>
        <w:rPr>
          <w:rFonts w:ascii="宋体" w:hAnsi="宋体" w:cs="宋体"/>
        </w:rPr>
      </w:pPr>
      <w:r>
        <w:rPr>
          <w:rFonts w:hint="eastAsia" w:ascii="宋体" w:hAnsi="宋体" w:cs="宋体"/>
        </w:rPr>
        <w:t xml:space="preserve">邮          编：</w:t>
      </w:r>
      <w:r/>
    </w:p>
    <w:p>
      <w:pPr>
        <w:pStyle w:val="1127"/>
        <w:ind w:left="420"/>
        <w:spacing w:before="0" w:after="0" w:line="420" w:lineRule="exact"/>
        <w:rPr>
          <w:rFonts w:ascii="宋体" w:hAnsi="宋体" w:cs="宋体"/>
        </w:rPr>
      </w:pPr>
      <w:r>
        <w:rPr>
          <w:rFonts w:hint="eastAsia" w:ascii="宋体" w:hAnsi="宋体" w:cs="宋体"/>
        </w:rPr>
        <w:t xml:space="preserve">电          话：</w:t>
      </w:r>
      <w:r/>
    </w:p>
    <w:p>
      <w:pPr>
        <w:pStyle w:val="1127"/>
        <w:ind w:left="420"/>
        <w:spacing w:before="0" w:after="0" w:line="420" w:lineRule="exact"/>
        <w:rPr>
          <w:rFonts w:ascii="宋体" w:hAnsi="宋体" w:cs="宋体"/>
        </w:rPr>
      </w:pPr>
      <w:r>
        <w:rPr>
          <w:rFonts w:hint="eastAsia" w:ascii="宋体" w:hAnsi="宋体" w:cs="宋体"/>
        </w:rPr>
        <w:t xml:space="preserve">传          真：</w:t>
      </w:r>
      <w:r/>
    </w:p>
    <w:p>
      <w:pPr>
        <w:pStyle w:val="1127"/>
        <w:ind w:left="420"/>
        <w:spacing w:before="0" w:after="0" w:line="420" w:lineRule="exact"/>
        <w:rPr>
          <w:rFonts w:ascii="宋体" w:hAnsi="宋体" w:cs="宋体"/>
        </w:rPr>
      </w:pPr>
      <w:r>
        <w:rPr>
          <w:rFonts w:hint="eastAsia" w:ascii="宋体" w:hAnsi="宋体" w:cs="宋体"/>
        </w:rPr>
        <w:t xml:space="preserve">投标人开户行：</w:t>
      </w:r>
      <w:r/>
    </w:p>
    <w:p>
      <w:pPr>
        <w:pStyle w:val="1127"/>
        <w:ind w:left="420"/>
        <w:spacing w:before="0" w:after="0" w:line="420" w:lineRule="exact"/>
        <w:rPr>
          <w:rFonts w:ascii="宋体" w:hAnsi="宋体" w:cs="宋体"/>
        </w:rPr>
      </w:pPr>
      <w:r>
        <w:rPr>
          <w:rFonts w:hint="eastAsia" w:ascii="宋体" w:hAnsi="宋体" w:cs="宋体"/>
        </w:rPr>
        <w:t xml:space="preserve">账          号： </w:t>
      </w:r>
      <w:r/>
    </w:p>
    <w:p>
      <w:pPr>
        <w:pStyle w:val="1127"/>
        <w:ind w:left="420"/>
        <w:spacing w:before="0" w:after="0" w:line="420" w:lineRule="exact"/>
        <w:rPr>
          <w:rFonts w:ascii="宋体" w:hAnsi="宋体" w:cs="宋体"/>
        </w:rPr>
      </w:pPr>
      <w:r>
        <w:rPr>
          <w:rFonts w:hint="eastAsia" w:ascii="宋体" w:hAnsi="宋体" w:cs="宋体"/>
        </w:rPr>
        <w:t xml:space="preserve">日           期：________年____月____日</w:t>
      </w:r>
      <w:r/>
    </w:p>
    <w:p>
      <w:pPr>
        <w:ind w:firstLine="240"/>
        <w:jc w:val="center"/>
        <w:spacing w:line="560" w:lineRule="exact"/>
        <w:rPr>
          <w:rFonts w:ascii="宋体" w:hAnsi="宋体" w:cs="宋体"/>
          <w:bCs/>
          <w:sz w:val="24"/>
          <w:szCs w:val="24"/>
        </w:rPr>
      </w:pPr>
      <w:r>
        <w:rPr>
          <w:rFonts w:ascii="宋体" w:hAnsi="宋体" w:cs="宋体"/>
          <w:bCs/>
          <w:sz w:val="24"/>
          <w:szCs w:val="24"/>
        </w:rPr>
      </w:r>
      <w:r/>
    </w:p>
    <w:p>
      <w:pPr>
        <w:ind w:firstLine="240"/>
        <w:jc w:val="center"/>
        <w:spacing w:line="560" w:lineRule="exact"/>
        <w:rPr>
          <w:rFonts w:ascii="宋体" w:hAnsi="宋体" w:cs="宋体"/>
          <w:bCs/>
          <w:sz w:val="24"/>
          <w:szCs w:val="24"/>
        </w:rPr>
      </w:pPr>
      <w:r>
        <w:rPr>
          <w:rFonts w:ascii="宋体" w:hAnsi="宋体" w:cs="宋体"/>
          <w:bCs/>
          <w:sz w:val="24"/>
          <w:szCs w:val="24"/>
        </w:rPr>
      </w:r>
      <w:r/>
    </w:p>
    <w:p>
      <w:pPr>
        <w:ind w:firstLine="240"/>
        <w:jc w:val="center"/>
        <w:spacing w:line="560" w:lineRule="exact"/>
        <w:rPr>
          <w:rFonts w:ascii="宋体" w:hAnsi="宋体" w:cs="宋体"/>
          <w:bCs/>
          <w:sz w:val="24"/>
          <w:szCs w:val="24"/>
        </w:rPr>
      </w:pPr>
      <w:r>
        <w:rPr>
          <w:rFonts w:ascii="宋体" w:hAnsi="宋体" w:cs="宋体"/>
          <w:bCs/>
          <w:sz w:val="24"/>
          <w:szCs w:val="24"/>
        </w:rPr>
      </w:r>
      <w:r/>
    </w:p>
    <w:p>
      <w:pPr>
        <w:ind w:firstLine="240"/>
        <w:jc w:val="center"/>
        <w:spacing w:line="560" w:lineRule="exact"/>
        <w:rPr>
          <w:rFonts w:ascii="宋体" w:hAnsi="宋体" w:cs="宋体"/>
          <w:bCs/>
          <w:sz w:val="24"/>
          <w:szCs w:val="24"/>
        </w:rPr>
      </w:pPr>
      <w:r>
        <w:rPr>
          <w:rFonts w:ascii="宋体" w:hAnsi="宋体" w:cs="宋体"/>
          <w:bCs/>
          <w:sz w:val="24"/>
          <w:szCs w:val="24"/>
        </w:rPr>
      </w:r>
      <w:r/>
    </w:p>
    <w:p>
      <w:pPr>
        <w:ind w:firstLine="240"/>
        <w:jc w:val="center"/>
        <w:spacing w:line="560" w:lineRule="exact"/>
        <w:rPr>
          <w:rFonts w:ascii="宋体" w:hAnsi="宋体" w:cs="宋体"/>
          <w:bCs/>
          <w:sz w:val="24"/>
          <w:szCs w:val="24"/>
        </w:rPr>
      </w:pPr>
      <w:r>
        <w:rPr>
          <w:rFonts w:ascii="宋体" w:hAnsi="宋体" w:cs="宋体"/>
          <w:bCs/>
          <w:sz w:val="24"/>
          <w:szCs w:val="24"/>
        </w:rPr>
      </w:r>
      <w:r/>
    </w:p>
    <w:p>
      <w:pPr>
        <w:ind w:firstLine="240"/>
        <w:jc w:val="center"/>
        <w:spacing w:line="560" w:lineRule="exact"/>
        <w:rPr>
          <w:rFonts w:ascii="宋体" w:hAnsi="宋体" w:cs="宋体"/>
          <w:bCs/>
          <w:sz w:val="24"/>
          <w:szCs w:val="24"/>
        </w:rPr>
      </w:pPr>
      <w:r>
        <w:rPr>
          <w:rFonts w:ascii="宋体" w:hAnsi="宋体" w:cs="宋体"/>
          <w:bCs/>
          <w:sz w:val="24"/>
          <w:szCs w:val="24"/>
        </w:rPr>
      </w:r>
      <w:r/>
    </w:p>
    <w:p>
      <w:pPr>
        <w:jc w:val="center"/>
        <w:spacing w:line="460" w:lineRule="exact"/>
        <w:rPr>
          <w:rFonts w:ascii="宋体" w:hAnsi="宋体" w:cs="宋体"/>
          <w:b/>
          <w:sz w:val="24"/>
          <w:szCs w:val="24"/>
        </w:rPr>
      </w:pPr>
      <w:r>
        <w:rPr>
          <w:rFonts w:ascii="宋体" w:hAnsi="宋体" w:cs="宋体"/>
          <w:b/>
          <w:sz w:val="24"/>
          <w:szCs w:val="24"/>
        </w:rPr>
      </w:r>
      <w:r/>
    </w:p>
    <w:p>
      <w:pPr>
        <w:jc w:val="center"/>
        <w:rPr>
          <w:b/>
          <w:sz w:val="28"/>
        </w:rPr>
      </w:pPr>
      <w:r>
        <w:rPr>
          <w:rFonts w:hint="eastAsia"/>
          <w:b/>
          <w:sz w:val="28"/>
        </w:rPr>
        <w:t xml:space="preserve">附件</w:t>
      </w:r>
      <w:r>
        <w:rPr>
          <w:rFonts w:hint="eastAsia"/>
          <w:b/>
          <w:sz w:val="28"/>
        </w:rPr>
        <w:t xml:space="preserve">8   </w:t>
      </w:r>
      <w:r>
        <w:rPr>
          <w:rFonts w:hint="eastAsia"/>
          <w:b/>
          <w:sz w:val="28"/>
        </w:rPr>
        <w:t xml:space="preserve">中小企业声明函（货物）</w:t>
      </w:r>
      <w:r/>
    </w:p>
    <w:p>
      <w:pPr>
        <w:pStyle w:val="1155"/>
        <w:ind w:firstLine="480"/>
        <w:spacing w:line="360" w:lineRule="auto"/>
        <w:rPr>
          <w:rFonts w:ascii="宋体" w:hAnsi="宋体"/>
          <w:sz w:val="24"/>
          <w:szCs w:val="24"/>
          <w:lang w:bidi="zh-CN"/>
        </w:rPr>
      </w:pPr>
      <w:r>
        <w:rPr>
          <w:rFonts w:hint="eastAsia" w:ascii="宋体" w:hAnsi="宋体"/>
          <w:sz w:val="24"/>
          <w:szCs w:val="24"/>
          <w:lang w:bidi="zh-CN"/>
        </w:rPr>
        <w:t xml:space="preserve">本公司（联合体）郑重声明，根据《政府采购促进中小企业发展管理办法》（财库﹝2020﹞46 号）的规定，本公司（联合体）参加</w:t>
      </w:r>
      <w:r>
        <w:rPr>
          <w:rFonts w:hint="eastAsia" w:ascii="宋体" w:hAnsi="宋体"/>
          <w:sz w:val="24"/>
          <w:szCs w:val="24"/>
          <w:u w:val="single"/>
          <w:lang w:bidi="zh-CN"/>
        </w:rPr>
        <w:t xml:space="preserve">（单位名称）</w:t>
      </w:r>
      <w:r>
        <w:rPr>
          <w:rFonts w:hint="eastAsia" w:ascii="宋体" w:hAnsi="宋体"/>
          <w:sz w:val="24"/>
          <w:szCs w:val="24"/>
          <w:lang w:bidi="zh-CN"/>
        </w:rPr>
        <w:t xml:space="preserve">的</w:t>
      </w:r>
      <w:r>
        <w:rPr>
          <w:rFonts w:hint="eastAsia" w:ascii="宋体" w:hAnsi="宋体"/>
          <w:sz w:val="24"/>
          <w:szCs w:val="24"/>
          <w:u w:val="single"/>
          <w:lang w:bidi="zh-CN"/>
        </w:rPr>
        <w:t xml:space="preserve">（项目名称）</w:t>
      </w:r>
      <w:r>
        <w:rPr>
          <w:rFonts w:hint="eastAsia" w:ascii="宋体" w:hAnsi="宋体"/>
          <w:sz w:val="24"/>
          <w:szCs w:val="24"/>
          <w:lang w:bidi="zh-CN"/>
        </w:rPr>
        <w:t xml:space="preserve">采购活动，提供的货物全部由符合政策要求的中小企业制造。相关企业（含联合体中的中小企业、签订分包意向协议的中小企业） 的具体情况如下：</w:t>
      </w:r>
      <w:r/>
    </w:p>
    <w:p>
      <w:pPr>
        <w:pStyle w:val="1155"/>
        <w:ind w:firstLine="480"/>
        <w:spacing w:line="360" w:lineRule="auto"/>
        <w:rPr>
          <w:rFonts w:ascii="宋体" w:hAnsi="宋体"/>
          <w:sz w:val="24"/>
          <w:szCs w:val="24"/>
          <w:lang w:bidi="zh-CN"/>
        </w:rPr>
      </w:pPr>
      <w:r>
        <w:rPr>
          <w:rFonts w:hint="eastAsia" w:ascii="宋体" w:hAnsi="宋体"/>
          <w:sz w:val="24"/>
          <w:szCs w:val="24"/>
          <w:lang w:bidi="zh-CN"/>
        </w:rPr>
        <w:t xml:space="preserve">1.</w:t>
      </w:r>
      <w:r>
        <w:rPr>
          <w:rFonts w:hint="eastAsia" w:ascii="宋体" w:hAnsi="宋体"/>
          <w:sz w:val="24"/>
          <w:szCs w:val="24"/>
          <w:u w:val="single"/>
          <w:lang w:bidi="zh-CN"/>
        </w:rPr>
        <w:t xml:space="preserve"> （标的名称）</w:t>
      </w:r>
      <w:r>
        <w:rPr>
          <w:rFonts w:hint="eastAsia" w:ascii="宋体" w:hAnsi="宋体"/>
          <w:sz w:val="24"/>
          <w:szCs w:val="24"/>
          <w:lang w:bidi="zh-CN"/>
        </w:rPr>
        <w:t xml:space="preserve"> ，属于</w:t>
      </w:r>
      <w:r>
        <w:rPr>
          <w:rFonts w:hint="eastAsia" w:ascii="宋体" w:hAnsi="宋体"/>
          <w:sz w:val="24"/>
          <w:szCs w:val="24"/>
          <w:u w:val="single"/>
          <w:lang w:bidi="zh-CN"/>
        </w:rPr>
        <w:t xml:space="preserve">（采购文件中明确的所属行业）</w:t>
      </w:r>
      <w:r>
        <w:rPr>
          <w:rFonts w:hint="eastAsia" w:ascii="宋体" w:hAnsi="宋体"/>
          <w:sz w:val="24"/>
          <w:szCs w:val="24"/>
          <w:lang w:bidi="zh-CN"/>
        </w:rPr>
        <w:t xml:space="preserve">行业；制造商为</w:t>
      </w:r>
      <w:r>
        <w:rPr>
          <w:rFonts w:hint="eastAsia" w:ascii="宋体" w:hAnsi="宋体"/>
          <w:sz w:val="24"/>
          <w:szCs w:val="24"/>
          <w:u w:val="single"/>
          <w:lang w:bidi="zh-CN"/>
        </w:rPr>
        <w:t xml:space="preserve">（企业名称）</w:t>
      </w:r>
      <w:r>
        <w:rPr>
          <w:rFonts w:hint="eastAsia" w:ascii="宋体" w:hAnsi="宋体"/>
          <w:sz w:val="24"/>
          <w:szCs w:val="24"/>
          <w:lang w:bidi="zh-CN"/>
        </w:rPr>
        <w:t xml:space="preserve">，从业人员</w:t>
      </w:r>
      <w:r>
        <w:rPr>
          <w:rFonts w:hint="eastAsia" w:ascii="宋体" w:hAnsi="宋体"/>
          <w:sz w:val="24"/>
          <w:szCs w:val="24"/>
          <w:u w:val="single"/>
          <w:lang w:bidi="zh-CN"/>
        </w:rPr>
        <w:tab/>
      </w:r>
      <w:r>
        <w:rPr>
          <w:rFonts w:hint="eastAsia" w:ascii="宋体" w:hAnsi="宋体"/>
          <w:sz w:val="24"/>
          <w:szCs w:val="24"/>
          <w:lang w:bidi="zh-CN"/>
        </w:rPr>
        <w:t xml:space="preserve">人，营业收入为</w:t>
      </w:r>
      <w:r>
        <w:rPr>
          <w:rFonts w:hint="eastAsia" w:ascii="宋体" w:hAnsi="宋体"/>
          <w:sz w:val="24"/>
          <w:szCs w:val="24"/>
          <w:u w:val="single"/>
          <w:lang w:bidi="zh-CN"/>
        </w:rPr>
        <w:tab/>
      </w:r>
      <w:r>
        <w:rPr>
          <w:rFonts w:hint="eastAsia" w:ascii="宋体" w:hAnsi="宋体"/>
          <w:sz w:val="24"/>
          <w:szCs w:val="24"/>
          <w:lang w:bidi="zh-CN"/>
        </w:rPr>
        <w:t xml:space="preserve">万元，资产总额为</w:t>
      </w:r>
      <w:r>
        <w:rPr>
          <w:rFonts w:hint="eastAsia" w:ascii="宋体" w:hAnsi="宋体"/>
          <w:sz w:val="24"/>
          <w:szCs w:val="24"/>
          <w:u w:val="single"/>
          <w:lang w:bidi="zh-CN"/>
        </w:rPr>
        <w:tab/>
      </w:r>
      <w:r>
        <w:rPr>
          <w:rFonts w:hint="eastAsia" w:ascii="宋体" w:hAnsi="宋体"/>
          <w:sz w:val="24"/>
          <w:szCs w:val="24"/>
          <w:lang w:bidi="zh-CN"/>
        </w:rPr>
        <w:t xml:space="preserve">万元，属于</w:t>
      </w:r>
      <w:r>
        <w:rPr>
          <w:rFonts w:hint="eastAsia" w:ascii="宋体" w:hAnsi="宋体"/>
          <w:sz w:val="24"/>
          <w:szCs w:val="24"/>
          <w:u w:val="single"/>
          <w:lang w:bidi="zh-CN"/>
        </w:rPr>
        <w:t xml:space="preserve">（中型企业、小型企业、微型企业）</w:t>
      </w:r>
      <w:r>
        <w:rPr>
          <w:rFonts w:hint="eastAsia" w:ascii="宋体" w:hAnsi="宋体"/>
          <w:sz w:val="24"/>
          <w:szCs w:val="24"/>
          <w:lang w:bidi="zh-CN"/>
        </w:rPr>
        <w:t xml:space="preserve">；</w:t>
      </w:r>
      <w:r/>
    </w:p>
    <w:p>
      <w:pPr>
        <w:pStyle w:val="1155"/>
        <w:ind w:firstLine="480"/>
        <w:spacing w:line="360" w:lineRule="auto"/>
        <w:rPr>
          <w:rFonts w:ascii="宋体" w:hAnsi="宋体"/>
          <w:sz w:val="24"/>
          <w:szCs w:val="24"/>
          <w:lang w:bidi="zh-CN"/>
        </w:rPr>
      </w:pPr>
      <w:r>
        <w:rPr>
          <w:rFonts w:hint="eastAsia" w:ascii="宋体" w:hAnsi="宋体"/>
          <w:sz w:val="24"/>
          <w:szCs w:val="24"/>
          <w:lang w:bidi="zh-CN"/>
        </w:rPr>
        <w:t xml:space="preserve">2.</w:t>
      </w:r>
      <w:r>
        <w:rPr>
          <w:rFonts w:hint="eastAsia" w:ascii="宋体" w:hAnsi="宋体"/>
          <w:sz w:val="24"/>
          <w:szCs w:val="24"/>
          <w:u w:val="single"/>
          <w:lang w:bidi="zh-CN"/>
        </w:rPr>
        <w:t xml:space="preserve">（标的名称） </w:t>
      </w:r>
      <w:r>
        <w:rPr>
          <w:rFonts w:hint="eastAsia" w:ascii="宋体" w:hAnsi="宋体"/>
          <w:sz w:val="24"/>
          <w:szCs w:val="24"/>
          <w:lang w:bidi="zh-CN"/>
        </w:rPr>
        <w:t xml:space="preserve">，属于</w:t>
      </w:r>
      <w:r>
        <w:rPr>
          <w:rFonts w:hint="eastAsia" w:ascii="宋体" w:hAnsi="宋体"/>
          <w:sz w:val="24"/>
          <w:szCs w:val="24"/>
          <w:u w:val="single"/>
          <w:lang w:bidi="zh-CN"/>
        </w:rPr>
        <w:t xml:space="preserve">（采购文件中明确的所属行业）</w:t>
      </w:r>
      <w:r>
        <w:rPr>
          <w:rFonts w:hint="eastAsia" w:ascii="宋体" w:hAnsi="宋体"/>
          <w:sz w:val="24"/>
          <w:szCs w:val="24"/>
          <w:lang w:bidi="zh-CN"/>
        </w:rPr>
        <w:t xml:space="preserve">行业；制造商为</w:t>
      </w:r>
      <w:r>
        <w:rPr>
          <w:rFonts w:hint="eastAsia" w:ascii="宋体" w:hAnsi="宋体"/>
          <w:sz w:val="24"/>
          <w:szCs w:val="24"/>
          <w:u w:val="single"/>
          <w:lang w:bidi="zh-CN"/>
        </w:rPr>
        <w:t xml:space="preserve">（企业名称）</w:t>
      </w:r>
      <w:r>
        <w:rPr>
          <w:rFonts w:hint="eastAsia" w:ascii="宋体" w:hAnsi="宋体"/>
          <w:sz w:val="24"/>
          <w:szCs w:val="24"/>
          <w:lang w:bidi="zh-CN"/>
        </w:rPr>
        <w:t xml:space="preserve">，从业人员</w:t>
      </w:r>
      <w:r>
        <w:rPr>
          <w:rFonts w:hint="eastAsia" w:ascii="宋体" w:hAnsi="宋体"/>
          <w:sz w:val="24"/>
          <w:szCs w:val="24"/>
          <w:u w:val="single"/>
          <w:lang w:bidi="zh-CN"/>
        </w:rPr>
        <w:tab/>
      </w:r>
      <w:r>
        <w:rPr>
          <w:rFonts w:hint="eastAsia" w:ascii="宋体" w:hAnsi="宋体"/>
          <w:sz w:val="24"/>
          <w:szCs w:val="24"/>
          <w:lang w:bidi="zh-CN"/>
        </w:rPr>
        <w:t xml:space="preserve">人，营业收入为</w:t>
      </w:r>
      <w:r>
        <w:rPr>
          <w:rFonts w:hint="eastAsia" w:ascii="宋体" w:hAnsi="宋体"/>
          <w:sz w:val="24"/>
          <w:szCs w:val="24"/>
          <w:u w:val="single"/>
          <w:lang w:bidi="zh-CN"/>
        </w:rPr>
        <w:tab/>
      </w:r>
      <w:r>
        <w:rPr>
          <w:rFonts w:hint="eastAsia" w:ascii="宋体" w:hAnsi="宋体"/>
          <w:sz w:val="24"/>
          <w:szCs w:val="24"/>
          <w:lang w:bidi="zh-CN"/>
        </w:rPr>
        <w:t xml:space="preserve">万元，资产总额为</w:t>
      </w:r>
      <w:r>
        <w:rPr>
          <w:rFonts w:hint="eastAsia" w:ascii="宋体" w:hAnsi="宋体"/>
          <w:sz w:val="24"/>
          <w:szCs w:val="24"/>
          <w:u w:val="single"/>
          <w:lang w:bidi="zh-CN"/>
        </w:rPr>
        <w:tab/>
      </w:r>
      <w:r>
        <w:rPr>
          <w:rFonts w:hint="eastAsia" w:ascii="宋体" w:hAnsi="宋体"/>
          <w:sz w:val="24"/>
          <w:szCs w:val="24"/>
          <w:lang w:bidi="zh-CN"/>
        </w:rPr>
        <w:t xml:space="preserve">万元，属于</w:t>
      </w:r>
      <w:r>
        <w:rPr>
          <w:rFonts w:hint="eastAsia" w:ascii="宋体" w:hAnsi="宋体"/>
          <w:sz w:val="24"/>
          <w:szCs w:val="24"/>
          <w:u w:val="single"/>
          <w:lang w:bidi="zh-CN"/>
        </w:rPr>
        <w:t xml:space="preserve">（中型企业、小型企业、微型企业）</w:t>
      </w:r>
      <w:r>
        <w:rPr>
          <w:rFonts w:hint="eastAsia" w:ascii="宋体" w:hAnsi="宋体"/>
          <w:sz w:val="24"/>
          <w:szCs w:val="24"/>
          <w:lang w:bidi="zh-CN"/>
        </w:rPr>
        <w:t xml:space="preserve">；</w:t>
      </w:r>
      <w:r/>
    </w:p>
    <w:p>
      <w:pPr>
        <w:pStyle w:val="1155"/>
        <w:ind w:firstLine="480"/>
        <w:spacing w:line="360" w:lineRule="auto"/>
        <w:rPr>
          <w:rFonts w:ascii="宋体" w:hAnsi="宋体"/>
          <w:sz w:val="24"/>
          <w:szCs w:val="24"/>
          <w:lang w:bidi="zh-CN"/>
        </w:rPr>
      </w:pPr>
      <w:r>
        <w:rPr>
          <w:rFonts w:hint="eastAsia" w:ascii="宋体" w:hAnsi="宋体"/>
          <w:sz w:val="24"/>
          <w:szCs w:val="24"/>
          <w:lang w:bidi="zh-CN"/>
        </w:rPr>
        <w:t xml:space="preserve">……</w:t>
      </w:r>
      <w:r/>
    </w:p>
    <w:p>
      <w:pPr>
        <w:pStyle w:val="1155"/>
        <w:ind w:firstLine="480"/>
        <w:spacing w:line="360" w:lineRule="auto"/>
        <w:rPr>
          <w:rFonts w:ascii="宋体" w:hAnsi="宋体"/>
          <w:sz w:val="24"/>
          <w:szCs w:val="24"/>
          <w:lang w:bidi="zh-CN"/>
        </w:rPr>
      </w:pPr>
      <w:r>
        <w:rPr>
          <w:rFonts w:hint="eastAsia" w:ascii="宋体" w:hAnsi="宋体"/>
          <w:sz w:val="24"/>
          <w:szCs w:val="24"/>
          <w:lang w:bidi="zh-CN"/>
        </w:rPr>
        <w:t xml:space="preserve">以上企业，不属于大企业的分支机构，不存在控股股东为大企业的情形，也不存在与大企业的负责人为同一人的情形。</w:t>
      </w:r>
      <w:r/>
    </w:p>
    <w:p>
      <w:pPr>
        <w:pStyle w:val="1155"/>
        <w:ind w:firstLine="480"/>
        <w:spacing w:line="360" w:lineRule="auto"/>
        <w:rPr>
          <w:rFonts w:ascii="宋体" w:hAnsi="宋体"/>
          <w:sz w:val="24"/>
          <w:szCs w:val="24"/>
          <w:lang w:bidi="zh-CN"/>
        </w:rPr>
      </w:pPr>
      <w:r>
        <w:rPr>
          <w:rFonts w:hint="eastAsia" w:ascii="宋体" w:hAnsi="宋体"/>
          <w:sz w:val="24"/>
          <w:szCs w:val="24"/>
          <w:lang w:bidi="zh-CN"/>
        </w:rPr>
        <w:t xml:space="preserve">本企业对上述声明内容的真实性负责。如有虚假，将依法承担相应责任。</w:t>
      </w:r>
      <w:r/>
    </w:p>
    <w:p>
      <w:pPr>
        <w:pStyle w:val="1155"/>
        <w:ind w:firstLine="480"/>
        <w:spacing w:line="360" w:lineRule="auto"/>
        <w:rPr>
          <w:rFonts w:ascii="宋体" w:hAnsi="宋体"/>
          <w:sz w:val="24"/>
          <w:szCs w:val="24"/>
          <w:lang w:bidi="zh-CN"/>
        </w:rPr>
      </w:pPr>
      <w:r>
        <w:rPr>
          <w:rFonts w:ascii="宋体" w:hAnsi="宋体"/>
          <w:sz w:val="24"/>
          <w:szCs w:val="24"/>
          <w:lang w:bidi="zh-CN"/>
        </w:rPr>
      </w:r>
      <w:r/>
    </w:p>
    <w:p>
      <w:pPr>
        <w:pStyle w:val="1155"/>
        <w:ind w:firstLine="480"/>
        <w:jc w:val="right"/>
        <w:spacing w:line="360" w:lineRule="auto"/>
        <w:rPr>
          <w:rFonts w:ascii="宋体" w:hAnsi="宋体"/>
          <w:sz w:val="24"/>
          <w:szCs w:val="24"/>
          <w:lang w:bidi="zh-CN"/>
        </w:rPr>
      </w:pPr>
      <w:r>
        <w:rPr>
          <w:rFonts w:hint="eastAsia" w:ascii="宋体" w:hAnsi="宋体"/>
          <w:sz w:val="24"/>
          <w:szCs w:val="24"/>
          <w:lang w:bidi="zh-CN"/>
        </w:rPr>
        <w:t xml:space="preserve">                      企业名称（盖章）：</w:t>
      </w:r>
      <w:r/>
    </w:p>
    <w:p>
      <w:pPr>
        <w:pStyle w:val="1155"/>
        <w:ind w:firstLine="480"/>
        <w:jc w:val="right"/>
        <w:spacing w:line="360" w:lineRule="auto"/>
        <w:rPr>
          <w:rFonts w:ascii="宋体" w:hAnsi="宋体"/>
          <w:sz w:val="24"/>
          <w:szCs w:val="24"/>
          <w:lang w:bidi="zh-CN"/>
        </w:rPr>
      </w:pPr>
      <w:r>
        <w:rPr>
          <w:rFonts w:hint="eastAsia" w:ascii="宋体" w:hAnsi="宋体"/>
          <w:sz w:val="24"/>
          <w:szCs w:val="24"/>
          <w:lang w:bidi="zh-CN"/>
        </w:rPr>
        <w:t xml:space="preserve">          日期：</w:t>
      </w:r>
      <w:r/>
    </w:p>
    <w:p>
      <w:pPr>
        <w:ind w:firstLine="240"/>
        <w:spacing w:line="360" w:lineRule="auto"/>
        <w:rPr>
          <w:rFonts w:ascii="宋体" w:hAnsi="宋体" w:cs="宋体"/>
          <w:sz w:val="24"/>
          <w:szCs w:val="24"/>
        </w:rPr>
      </w:pPr>
      <w:r>
        <w:rPr>
          <w:rFonts w:hint="eastAsia" w:ascii="宋体" w:hAnsi="宋体" w:cs="宋体"/>
          <w:sz w:val="24"/>
          <w:szCs w:val="24"/>
        </w:rPr>
        <w:t xml:space="preserve">备注：</w:t>
      </w:r>
      <w:r/>
    </w:p>
    <w:p>
      <w:pPr>
        <w:ind w:firstLine="480"/>
        <w:spacing w:line="360" w:lineRule="auto"/>
        <w:rPr>
          <w:rFonts w:ascii="宋体" w:hAnsi="宋体" w:cs="宋体"/>
          <w:sz w:val="24"/>
          <w:szCs w:val="24"/>
        </w:rPr>
      </w:pPr>
      <w:r>
        <w:rPr>
          <w:rFonts w:hint="eastAsia" w:ascii="宋体" w:hAnsi="宋体" w:cs="宋体"/>
          <w:sz w:val="24"/>
          <w:szCs w:val="24"/>
        </w:rPr>
        <w:t xml:space="preserve">1.从业人员、营业收入、资产总额填报上一年度数据，无上一年度数据的新成立企业可不填报。</w:t>
      </w:r>
      <w:r/>
    </w:p>
    <w:p>
      <w:pPr>
        <w:ind w:firstLine="480"/>
        <w:spacing w:line="360" w:lineRule="auto"/>
        <w:rPr>
          <w:rFonts w:ascii="宋体" w:hAnsi="宋体" w:cs="宋体"/>
          <w:sz w:val="24"/>
          <w:szCs w:val="24"/>
        </w:rPr>
      </w:pPr>
      <w:r>
        <w:rPr>
          <w:rFonts w:hint="eastAsia" w:ascii="宋体" w:hAnsi="宋体" w:cs="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360" w:lineRule="auto"/>
        <w:rPr>
          <w:rFonts w:ascii="宋体" w:hAnsi="宋体" w:cs="宋体"/>
          <w:sz w:val="24"/>
          <w:szCs w:val="24"/>
        </w:rPr>
      </w:pPr>
      <w:r>
        <w:rPr>
          <w:rFonts w:hint="eastAsia" w:ascii="宋体" w:hAnsi="宋体" w:cs="宋体"/>
          <w:sz w:val="24"/>
          <w:szCs w:val="24"/>
        </w:rPr>
        <w:t xml:space="preserve">3.供应商自行勾选制造商的企业规模类型。</w:t>
      </w:r>
      <w:r/>
    </w:p>
    <w:p>
      <w:pPr>
        <w:ind w:firstLine="480"/>
        <w:jc w:val="center"/>
        <w:spacing w:line="360" w:lineRule="auto"/>
        <w:rPr>
          <w:rFonts w:ascii="宋体" w:hAnsi="宋体" w:cs="宋体"/>
          <w:sz w:val="24"/>
          <w:szCs w:val="24"/>
        </w:rPr>
      </w:pPr>
      <w:r>
        <w:rPr>
          <w:rFonts w:hint="eastAsia" w:ascii="宋体" w:hAnsi="宋体" w:cs="宋体"/>
          <w:b/>
          <w:sz w:val="24"/>
          <w:szCs w:val="24"/>
        </w:rPr>
        <w:br w:type="page" w:clear="all"/>
        <w:t xml:space="preserve">附件9 </w:t>
      </w:r>
      <w:r>
        <w:rPr>
          <w:rFonts w:hint="eastAsia"/>
          <w:b/>
          <w:sz w:val="28"/>
        </w:rPr>
        <w:t xml:space="preserve">中小企业声明函（服务）</w:t>
      </w:r>
      <w:r/>
    </w:p>
    <w:p>
      <w:pPr>
        <w:ind w:firstLine="48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p>
    <w:p>
      <w:pPr>
        <w:ind w:firstLine="480"/>
        <w:spacing w:line="360" w:lineRule="auto"/>
        <w:rPr>
          <w:rFonts w:ascii="宋体" w:hAnsi="宋体" w:cs="宋体"/>
          <w:sz w:val="24"/>
          <w:szCs w:val="24"/>
        </w:rPr>
      </w:pPr>
      <w:r>
        <w:rPr>
          <w:rFonts w:hint="eastAsia" w:ascii="宋体" w:hAnsi="宋体" w:cs="宋体"/>
          <w:sz w:val="24"/>
          <w:szCs w:val="24"/>
        </w:rPr>
        <w:t xml:space="preserve">1.（标的名称），属于（采购文件中明确的所属行业）；承建（承接）企业为（企业名称），从业人员 </w:t>
      </w:r>
      <w:r>
        <w:rPr>
          <w:rFonts w:hint="eastAsia" w:ascii="宋体" w:hAnsi="宋体" w:cs="宋体"/>
          <w:sz w:val="24"/>
          <w:szCs w:val="24"/>
        </w:rPr>
        <w:tab/>
        <w:t xml:space="preserve">人，营业收入为 </w:t>
      </w:r>
      <w:r>
        <w:rPr>
          <w:rFonts w:hint="eastAsia" w:ascii="宋体" w:hAnsi="宋体" w:cs="宋体"/>
          <w:sz w:val="24"/>
          <w:szCs w:val="24"/>
        </w:rPr>
        <w:tab/>
        <w:t xml:space="preserve">万元，资产总额为 </w:t>
      </w:r>
      <w:r>
        <w:rPr>
          <w:rFonts w:hint="eastAsia" w:ascii="宋体" w:hAnsi="宋体" w:cs="宋体"/>
          <w:sz w:val="24"/>
          <w:szCs w:val="24"/>
        </w:rPr>
        <w:tab/>
        <w:t xml:space="preserve">万元，属于（中型企业、小型企业、微型企业）；</w:t>
      </w:r>
      <w:r/>
    </w:p>
    <w:p>
      <w:pPr>
        <w:ind w:firstLine="480"/>
        <w:spacing w:line="360" w:lineRule="auto"/>
        <w:rPr>
          <w:rFonts w:ascii="宋体" w:hAnsi="宋体" w:cs="宋体"/>
          <w:sz w:val="24"/>
          <w:szCs w:val="24"/>
        </w:rPr>
      </w:pPr>
      <w:r>
        <w:rPr>
          <w:rFonts w:hint="eastAsia" w:ascii="宋体" w:hAnsi="宋体" w:cs="宋体"/>
          <w:sz w:val="24"/>
          <w:szCs w:val="24"/>
        </w:rPr>
        <w:t xml:space="preserve">2.（标的名称），属于（采购文件中明确的所属行业）；承建（承接）企业为（企业名称），从业人员 </w:t>
      </w:r>
      <w:r>
        <w:rPr>
          <w:rFonts w:hint="eastAsia" w:ascii="宋体" w:hAnsi="宋体" w:cs="宋体"/>
          <w:sz w:val="24"/>
          <w:szCs w:val="24"/>
        </w:rPr>
        <w:tab/>
        <w:t xml:space="preserve">人，营业收入为 </w:t>
      </w:r>
      <w:r>
        <w:rPr>
          <w:rFonts w:hint="eastAsia" w:ascii="宋体" w:hAnsi="宋体" w:cs="宋体"/>
          <w:sz w:val="24"/>
          <w:szCs w:val="24"/>
        </w:rPr>
        <w:tab/>
        <w:t xml:space="preserve">万元，资产总额为 </w:t>
      </w:r>
      <w:r>
        <w:rPr>
          <w:rFonts w:hint="eastAsia" w:ascii="宋体" w:hAnsi="宋体" w:cs="宋体"/>
          <w:sz w:val="24"/>
          <w:szCs w:val="24"/>
        </w:rPr>
        <w:tab/>
        <w:t xml:space="preserve">万元，属于（中型企业、小型企业、微型企业）；</w:t>
      </w:r>
      <w:r/>
    </w:p>
    <w:p>
      <w:pPr>
        <w:ind w:firstLine="480"/>
        <w:spacing w:line="360" w:lineRule="auto"/>
        <w:rPr>
          <w:rFonts w:ascii="宋体" w:hAnsi="宋体" w:cs="宋体"/>
          <w:sz w:val="24"/>
          <w:szCs w:val="24"/>
        </w:rPr>
      </w:pP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企业名称（盖章）：</w:t>
      </w:r>
      <w:r/>
    </w:p>
    <w:p>
      <w:pPr>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日期：</w:t>
      </w:r>
      <w:r/>
    </w:p>
    <w:p>
      <w:pPr>
        <w:ind w:firstLine="480"/>
        <w:spacing w:line="360" w:lineRule="auto"/>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highlight w:val="none"/>
        </w:rPr>
      </w:r>
      <w:r>
        <w:rPr>
          <w:rFonts w:hint="eastAsia" w:ascii="宋体" w:hAnsi="宋体" w:cs="宋体"/>
          <w:sz w:val="24"/>
          <w:szCs w:val="24"/>
          <w:highlight w:val="none"/>
        </w:rPr>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hint="eastAsia"/>
          <w:b/>
          <w:sz w:val="28"/>
        </w:rPr>
        <w:t xml:space="preserve">附件</w:t>
      </w:r>
      <w:r>
        <w:rPr>
          <w:rFonts w:hint="eastAsia"/>
          <w:b/>
          <w:sz w:val="28"/>
        </w:rPr>
        <w:t xml:space="preserve">10   </w:t>
      </w:r>
      <w:r>
        <w:rPr>
          <w:rFonts w:hint="eastAsia"/>
          <w:b/>
          <w:sz w:val="28"/>
        </w:rPr>
        <w:t xml:space="preserve">残疾人福利性单位声明函</w:t>
      </w:r>
      <w:r/>
    </w:p>
    <w:p>
      <w:pPr>
        <w:ind w:firstLine="480"/>
        <w:spacing w:line="588" w:lineRule="exact"/>
        <w:rPr>
          <w:rFonts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141号）的规定，本单位为符合条件的残疾人福利性单位，且本单位参加______单位的采购文件编号为JSZC-320000-****的项目采购活动由本单位提供服务。</w:t>
      </w:r>
      <w:r/>
    </w:p>
    <w:p>
      <w:pPr>
        <w:ind w:firstLine="480"/>
        <w:spacing w:line="588" w:lineRule="exact"/>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588" w:lineRule="exact"/>
        <w:rPr>
          <w:rFonts w:ascii="宋体" w:hAnsi="宋体" w:cs="宋体"/>
          <w:sz w:val="24"/>
          <w:szCs w:val="24"/>
        </w:rPr>
      </w:pPr>
      <w:r>
        <w:rPr>
          <w:rFonts w:ascii="宋体" w:hAnsi="宋体" w:cs="宋体"/>
          <w:sz w:val="24"/>
          <w:szCs w:val="24"/>
        </w:rPr>
      </w:r>
      <w:r/>
    </w:p>
    <w:p>
      <w:pPr>
        <w:ind w:firstLine="480"/>
        <w:spacing w:line="588" w:lineRule="exact"/>
        <w:rPr>
          <w:rFonts w:ascii="宋体" w:hAnsi="宋体" w:cs="宋体"/>
          <w:sz w:val="24"/>
          <w:szCs w:val="24"/>
        </w:rPr>
      </w:pPr>
      <w:r>
        <w:rPr>
          <w:rFonts w:hint="eastAsia" w:ascii="宋体" w:hAnsi="宋体" w:cs="宋体"/>
          <w:sz w:val="24"/>
          <w:szCs w:val="24"/>
        </w:rPr>
        <w:t xml:space="preserve">备注：</w:t>
      </w:r>
      <w:r/>
    </w:p>
    <w:p>
      <w:pPr>
        <w:ind w:firstLine="480"/>
        <w:spacing w:line="588" w:lineRule="exact"/>
        <w:rPr>
          <w:rFonts w:ascii="宋体" w:hAnsi="宋体" w:cs="宋体"/>
          <w:sz w:val="24"/>
          <w:szCs w:val="24"/>
        </w:rPr>
      </w:pPr>
      <w:r>
        <w:rPr>
          <w:rFonts w:hint="eastAsia" w:ascii="宋体" w:hAnsi="宋体" w:cs="宋体"/>
          <w:sz w:val="24"/>
          <w:szCs w:val="24"/>
        </w:rPr>
        <w:t xml:space="preserve">1.专门面向中小微型企业采购的项目，供应商为残疾人福利性单位，必须提供此声明函，否则将不能通过资格审查。</w:t>
      </w:r>
      <w:r/>
    </w:p>
    <w:p>
      <w:pPr>
        <w:ind w:firstLine="480"/>
        <w:spacing w:line="588" w:lineRule="exact"/>
        <w:rPr>
          <w:rFonts w:ascii="宋体" w:hAnsi="宋体" w:cs="宋体"/>
          <w:sz w:val="24"/>
          <w:szCs w:val="24"/>
        </w:rPr>
      </w:pPr>
      <w:r>
        <w:rPr>
          <w:rFonts w:hint="eastAsia" w:ascii="宋体" w:hAnsi="宋体" w:cs="宋体"/>
          <w:sz w:val="24"/>
          <w:szCs w:val="24"/>
        </w:rPr>
        <w:t xml:space="preserve">2. 非专门面向中小微型企业采购的项目，供应商如不提供此声明函，价格将不做相应扣除。</w:t>
      </w:r>
      <w:r/>
    </w:p>
    <w:p>
      <w:pPr>
        <w:ind w:firstLine="480"/>
        <w:spacing w:line="588" w:lineRule="exact"/>
        <w:rPr>
          <w:rFonts w:ascii="宋体" w:hAnsi="宋体" w:cs="宋体"/>
          <w:sz w:val="24"/>
          <w:szCs w:val="24"/>
        </w:rPr>
      </w:pPr>
      <w:r>
        <w:rPr>
          <w:rFonts w:hint="eastAsia" w:ascii="宋体" w:hAnsi="宋体" w:cs="宋体"/>
          <w:sz w:val="24"/>
          <w:szCs w:val="24"/>
        </w:rPr>
        <w:t xml:space="preserve">3.中标/成交供应商为残疾人福利性单位的，此声明函将随中标/成交结果同时公告，接受社会监督。</w:t>
      </w:r>
      <w:r/>
    </w:p>
    <w:p>
      <w:pPr>
        <w:ind w:firstLine="624"/>
        <w:spacing w:line="588" w:lineRule="exact"/>
        <w:rPr>
          <w:rFonts w:ascii="宋体" w:hAnsi="宋体" w:cs="宋体"/>
          <w:spacing w:val="6"/>
          <w:sz w:val="24"/>
          <w:szCs w:val="24"/>
        </w:rPr>
      </w:pPr>
      <w:r>
        <w:rPr>
          <w:rFonts w:ascii="宋体" w:hAnsi="宋体" w:cs="宋体"/>
          <w:spacing w:val="6"/>
          <w:sz w:val="24"/>
          <w:szCs w:val="24"/>
        </w:rPr>
      </w:r>
      <w:r/>
    </w:p>
    <w:p>
      <w:pPr>
        <w:ind w:right="1560" w:firstLine="624"/>
        <w:jc w:val="center"/>
        <w:spacing w:line="588" w:lineRule="exact"/>
        <w:tabs>
          <w:tab w:val="left" w:pos="4860" w:leader="none"/>
        </w:tabs>
        <w:rPr>
          <w:rFonts w:ascii="宋体" w:hAnsi="宋体" w:cs="宋体"/>
          <w:sz w:val="24"/>
          <w:szCs w:val="24"/>
        </w:rPr>
      </w:pPr>
      <w:r>
        <w:rPr>
          <w:rFonts w:hint="eastAsia" w:ascii="宋体" w:hAnsi="宋体" w:cs="宋体"/>
          <w:sz w:val="24"/>
          <w:szCs w:val="24"/>
        </w:rPr>
        <w:t xml:space="preserve">          供应商全称（加盖CA电子公章）：</w:t>
      </w:r>
      <w:r/>
    </w:p>
    <w:p>
      <w:pPr>
        <w:ind w:right="1560" w:firstLine="480"/>
        <w:jc w:val="center"/>
        <w:spacing w:line="588" w:lineRule="exact"/>
        <w:tabs>
          <w:tab w:val="left" w:pos="4860" w:leader="none"/>
        </w:tabs>
        <w:rPr>
          <w:rFonts w:ascii="宋体" w:hAnsi="宋体" w:cs="宋体"/>
          <w:sz w:val="24"/>
          <w:szCs w:val="24"/>
        </w:rPr>
      </w:pPr>
      <w:r>
        <w:rPr>
          <w:rFonts w:hint="eastAsia" w:ascii="宋体" w:hAnsi="宋体" w:cs="宋体"/>
          <w:sz w:val="24"/>
          <w:szCs w:val="24"/>
        </w:rPr>
        <w:t xml:space="preserve">        日  期：</w:t>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rPr>
          <w:rFonts w:ascii="Calibri" w:hAnsi="Calibri"/>
          <w:b/>
          <w:bCs/>
          <w:sz w:val="32"/>
          <w:szCs w:val="32"/>
        </w:rPr>
      </w:pPr>
      <w:r>
        <w:rPr>
          <w:rFonts w:hint="eastAsia"/>
          <w:b/>
          <w:sz w:val="28"/>
        </w:rPr>
        <w:t xml:space="preserve">附件</w:t>
      </w:r>
      <w:r>
        <w:rPr>
          <w:rFonts w:hint="eastAsia"/>
          <w:b/>
          <w:sz w:val="28"/>
        </w:rPr>
        <w:t xml:space="preserve">11   </w:t>
      </w:r>
      <w:r>
        <w:rPr>
          <w:rFonts w:hint="eastAsia" w:ascii="Calibri" w:hAnsi="Calibri"/>
          <w:b/>
          <w:bCs/>
          <w:sz w:val="32"/>
          <w:szCs w:val="32"/>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80"/>
        <w:spacing w:line="588" w:lineRule="exact"/>
        <w:rPr>
          <w:rFonts w:ascii="宋体" w:hAnsi="宋体" w:cs="宋体"/>
          <w:sz w:val="24"/>
          <w:szCs w:val="24"/>
        </w:rPr>
      </w:pPr>
      <w:r>
        <w:rPr>
          <w:rFonts w:hint="eastAsia" w:ascii="宋体" w:hAnsi="宋体" w:cs="宋体"/>
          <w:sz w:val="24"/>
          <w:szCs w:val="24"/>
        </w:rPr>
        <w:t xml:space="preserve">（格式自拟）</w:t>
      </w:r>
      <w:r/>
    </w:p>
    <w:p>
      <w:pPr>
        <w:ind w:firstLine="480"/>
        <w:spacing w:line="588" w:lineRule="exact"/>
        <w:rPr>
          <w:rFonts w:ascii="宋体" w:hAnsi="宋体" w:cs="宋体"/>
          <w:sz w:val="24"/>
          <w:szCs w:val="24"/>
        </w:rPr>
      </w:pPr>
      <w:r>
        <w:rPr>
          <w:rFonts w:ascii="宋体" w:hAnsi="宋体" w:cs="宋体"/>
          <w:sz w:val="24"/>
          <w:szCs w:val="24"/>
        </w:rPr>
      </w:r>
      <w:r/>
    </w:p>
    <w:p>
      <w:pPr>
        <w:ind w:firstLine="480"/>
        <w:spacing w:line="588" w:lineRule="exact"/>
        <w:rPr>
          <w:rFonts w:ascii="宋体" w:hAnsi="宋体" w:cs="宋体"/>
          <w:sz w:val="24"/>
          <w:szCs w:val="24"/>
        </w:rPr>
      </w:pPr>
      <w:r>
        <w:rPr>
          <w:rFonts w:hint="eastAsia" w:ascii="宋体" w:hAnsi="宋体"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rPr>
        <w:outlineLvl w:val="0"/>
      </w:pPr>
      <w:r>
        <w:rPr>
          <w:sz w:val="28"/>
          <w:szCs w:val="28"/>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rPr>
          <w:b/>
          <w:sz w:val="28"/>
        </w:rPr>
      </w:pPr>
      <w:r>
        <w:rPr>
          <w:rFonts w:hint="eastAsia"/>
          <w:b/>
          <w:sz w:val="28"/>
        </w:rPr>
        <w:t xml:space="preserve">附件</w:t>
      </w:r>
      <w:r>
        <w:rPr>
          <w:rFonts w:hint="eastAsia"/>
          <w:b/>
          <w:sz w:val="28"/>
        </w:rPr>
        <w:t xml:space="preserve">12 </w:t>
      </w:r>
      <w:r>
        <w:rPr>
          <w:rFonts w:hint="eastAsia"/>
          <w:b/>
          <w:sz w:val="28"/>
        </w:rPr>
        <w:t xml:space="preserve">关于符合本国产品标准的声明函（采购包号：</w:t>
      </w:r>
      <w:r>
        <w:rPr>
          <w:rFonts w:hint="eastAsia"/>
          <w:b/>
          <w:sz w:val="28"/>
        </w:rPr>
        <w:t xml:space="preserve">  </w:t>
      </w:r>
      <w:r>
        <w:rPr>
          <w:rFonts w:hint="eastAsia"/>
          <w:b/>
          <w:sz w:val="28"/>
        </w:rPr>
        <w:t xml:space="preserve">）</w:t>
      </w:r>
      <w:r/>
    </w:p>
    <w:p>
      <w:pPr>
        <w:pStyle w:val="1106"/>
        <w:ind w:firstLine="420"/>
        <w:spacing w:before="0" w:beforeAutospacing="0" w:after="0" w:afterAutospacing="0" w:line="0" w:lineRule="atLeast"/>
        <w:rPr>
          <w:color w:val="ff0000"/>
        </w:rPr>
      </w:pPr>
      <w:r>
        <w:rPr>
          <w:color w:val="ff0000"/>
        </w:rPr>
      </w:r>
      <w:r/>
    </w:p>
    <w:p>
      <w:pPr>
        <w:pStyle w:val="1106"/>
        <w:ind w:firstLine="420"/>
        <w:spacing w:before="0" w:beforeAutospacing="0" w:after="0" w:afterAutospacing="0" w:line="0" w:lineRule="atLeast"/>
        <w:rPr>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06"/>
        <w:ind w:firstLine="420"/>
        <w:spacing w:before="30" w:beforeAutospacing="0" w:after="30" w:afterAutospacing="0" w:line="0" w:lineRule="atLeast"/>
        <w:rPr>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1495425</wp:posOffset>
                </wp:positionH>
                <wp:positionV relativeFrom="paragraph">
                  <wp:posOffset>458470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117.8pt;mso-position-horizontal:absolute;mso-position-vertical-relative:text;margin-top:36.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504825</wp:posOffset>
                </wp:positionH>
                <wp:positionV relativeFrom="paragraph">
                  <wp:posOffset>457835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2336;o:allowoverlap:true;o:allowincell:true;mso-position-horizontal-relative:text;margin-left:39.8pt;mso-position-horizontal:absolute;mso-position-vertical-relative:text;margin-top:36.0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2214880</wp:posOffset>
                </wp:positionH>
                <wp:positionV relativeFrom="paragraph">
                  <wp:posOffset>273050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3360;o:allowoverlap:true;o:allowincell:true;mso-position-horizontal-relative:text;margin-left:174.4pt;mso-position-horizontal:absolute;mso-position-vertical-relative:text;margin-top:21.5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438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643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745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shd w:val="clear" w:color="auto" w:fill="ffffff"/>
        </w:rPr>
        <w:t xml:space="preserve">1.</w:t>
      </w:r>
      <w:r>
        <w:rPr>
          <w:rStyle w:val="1172"/>
          <w:rFonts w:hint="eastAsia" w:ascii="宋体" w:hAnsi="宋体" w:cs="宋体"/>
          <w:color w:val="000000"/>
          <w:u w:val="single"/>
          <w:shd w:val="clear" w:color="auto" w:fill="ffffff"/>
        </w:rPr>
        <w:t xml:space="preserve">（产品名称1）</w:t>
      </w:r>
      <w:r>
        <w:rPr>
          <w:rStyle w:val="1172"/>
          <w:rFonts w:hint="eastAsia" w:ascii="宋体" w:hAnsi="宋体" w:cs="宋体"/>
          <w:color w:val="000000"/>
          <w:shd w:val="clear" w:color="auto" w:fill="ffffff"/>
          <w:vertAlign w:val="superscript"/>
        </w:rPr>
        <w:t xml:space="preserve">1</w:t>
      </w:r>
      <w:r>
        <w:rPr>
          <w:rFonts w:hint="eastAsia"/>
          <w:color w:val="000000"/>
          <w:shd w:val="clear" w:color="auto" w:fill="ffffff"/>
        </w:rPr>
        <w:t xml:space="preserve">，生产厂为</w:t>
      </w:r>
      <w:r>
        <w:rPr>
          <w:rStyle w:val="1172"/>
          <w:rFonts w:hint="eastAsia" w:ascii="宋体" w:hAnsi="宋体" w:cs="宋体"/>
          <w:color w:val="000000"/>
          <w:u w:val="single"/>
          <w:shd w:val="clear" w:color="auto" w:fill="ffffff"/>
        </w:rPr>
        <w:t xml:space="preserve">（厂名）</w:t>
      </w:r>
      <w:r>
        <w:rPr>
          <w:rStyle w:val="1172"/>
          <w:rFonts w:hint="eastAsia" w:ascii="宋体" w:hAnsi="宋体" w:cs="宋体"/>
          <w:color w:val="000000"/>
          <w:shd w:val="clear" w:color="auto" w:fill="ffffff"/>
          <w:vertAlign w:val="superscript"/>
        </w:rPr>
        <w:t xml:space="preserve">2</w:t>
      </w:r>
      <w:r>
        <w:rPr>
          <w:rFonts w:hint="eastAsia"/>
          <w:color w:val="000000"/>
          <w:shd w:val="clear" w:color="auto" w:fill="ffffff"/>
        </w:rPr>
        <w:t xml:space="preserve">，厂址为</w:t>
      </w:r>
      <w:r>
        <w:rPr>
          <w:rStyle w:val="1172"/>
          <w:rFonts w:hint="eastAsia" w:ascii="宋体" w:hAnsi="宋体" w:cs="宋体"/>
          <w:color w:val="000000"/>
          <w:u w:val="single"/>
          <w:shd w:val="clear" w:color="auto" w:fill="ffffff"/>
        </w:rPr>
        <w:t xml:space="preserve">（生产厂址）</w:t>
      </w:r>
      <w:r>
        <w:rPr>
          <w:rFonts w:hint="eastAsia"/>
          <w:color w:val="000000"/>
          <w:shd w:val="clear" w:color="auto" w:fill="ffffff"/>
        </w:rPr>
        <w:t xml:space="preserve">。</w:t>
      </w:r>
      <w:r>
        <w:rPr>
          <w:rStyle w:val="1172"/>
          <w:rFonts w:hint="eastAsia" w:ascii="宋体" w:hAnsi="宋体" w:cs="宋体"/>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1172"/>
          <w:rFonts w:hint="eastAsia" w:ascii="宋体" w:hAnsi="宋体" w:cs="宋体"/>
          <w:color w:val="000000"/>
          <w:u w:val="single"/>
          <w:shd w:val="clear" w:color="auto" w:fill="ffffff"/>
        </w:rPr>
        <w:t xml:space="preserve">（规定比例）</w:t>
      </w:r>
      <w:r>
        <w:rPr>
          <w:rStyle w:val="1172"/>
          <w:rFonts w:hint="eastAsia" w:ascii="宋体" w:hAnsi="宋体" w:cs="宋体"/>
          <w:color w:val="000000"/>
          <w:shd w:val="clear" w:color="auto" w:fill="ffffff"/>
          <w:vertAlign w:val="superscript"/>
        </w:rPr>
        <w:t xml:space="preserve">3</w:t>
      </w:r>
      <w:r>
        <w:rPr>
          <w:rFonts w:hint="eastAsia"/>
          <w:color w:val="000000"/>
          <w:shd w:val="clear" w:color="auto" w:fill="ffffff"/>
        </w:rPr>
        <w:t xml:space="preserve">。</w:t>
      </w:r>
      <w:r>
        <w:rPr>
          <w:rStyle w:val="1172"/>
          <w:rFonts w:hint="eastAsia" w:ascii="宋体" w:hAnsi="宋体" w:cs="宋体"/>
          <w:color w:val="000000"/>
          <w:u w:val="single"/>
          <w:shd w:val="clear" w:color="auto" w:fill="ffffff"/>
        </w:rPr>
        <w:t xml:space="preserve">（产品名称1）</w:t>
      </w:r>
      <w:r>
        <w:rPr>
          <w:rFonts w:hint="eastAsia"/>
          <w:color w:val="000000"/>
          <w:shd w:val="clear" w:color="auto" w:fill="ffffff"/>
        </w:rPr>
        <w:t xml:space="preserve">的</w:t>
      </w:r>
      <w:r>
        <w:rPr>
          <w:rStyle w:val="1172"/>
          <w:rFonts w:hint="eastAsia" w:ascii="宋体" w:hAnsi="宋体" w:cs="宋体"/>
          <w:color w:val="000000"/>
          <w:u w:val="single"/>
          <w:shd w:val="clear" w:color="auto" w:fill="ffffff"/>
        </w:rPr>
        <w:t xml:space="preserve">（关键组件）</w:t>
      </w:r>
      <w:r>
        <w:rPr>
          <w:rStyle w:val="1172"/>
          <w:rFonts w:hint="eastAsia" w:ascii="宋体" w:hAnsi="宋体" w:cs="宋体"/>
          <w:color w:val="000000"/>
          <w:shd w:val="clear" w:color="auto" w:fill="ffffff"/>
          <w:vertAlign w:val="superscript"/>
        </w:rPr>
        <w:t xml:space="preserve">4</w:t>
      </w:r>
      <w:r>
        <w:rPr>
          <w:rFonts w:hint="eastAsia"/>
          <w:color w:val="000000"/>
          <w:shd w:val="clear" w:color="auto" w:fill="ffffff"/>
        </w:rPr>
        <w:t xml:space="preserve">在中国境内生产。</w:t>
      </w:r>
      <w:r>
        <w:rPr>
          <w:rStyle w:val="1172"/>
          <w:rFonts w:hint="eastAsia" w:ascii="宋体" w:hAnsi="宋体" w:cs="宋体"/>
          <w:color w:val="000000"/>
          <w:u w:val="single"/>
          <w:shd w:val="clear" w:color="auto" w:fill="ffffff"/>
        </w:rPr>
        <w:t xml:space="preserve">（产品名称1）</w:t>
      </w:r>
      <w:r>
        <w:rPr>
          <w:rFonts w:hint="eastAsia"/>
          <w:color w:val="000000"/>
          <w:shd w:val="clear" w:color="auto" w:fill="ffffff"/>
        </w:rPr>
        <w:t xml:space="preserve">的</w:t>
      </w:r>
      <w:r>
        <w:rPr>
          <w:rStyle w:val="1172"/>
          <w:rFonts w:hint="eastAsia" w:ascii="宋体" w:hAnsi="宋体" w:cs="宋体"/>
          <w:color w:val="000000"/>
          <w:u w:val="single"/>
          <w:shd w:val="clear" w:color="auto" w:fill="ffffff"/>
        </w:rPr>
        <w:t xml:space="preserve">（关键工序）</w:t>
      </w:r>
      <w:r>
        <w:rPr>
          <w:rStyle w:val="1172"/>
          <w:rFonts w:hint="eastAsia" w:ascii="宋体" w:hAnsi="宋体" w:cs="宋体"/>
          <w:color w:val="000000"/>
          <w:shd w:val="clear" w:color="auto" w:fill="ffffff"/>
          <w:vertAlign w:val="superscript"/>
        </w:rPr>
        <w:t xml:space="preserve">5</w:t>
      </w:r>
      <w:r>
        <w:rPr>
          <w:rFonts w:hint="eastAsia"/>
          <w:color w:val="000000"/>
          <w:shd w:val="clear" w:color="auto" w:fill="ffffff"/>
        </w:rPr>
        <w:t xml:space="preserve">在中国境内完成。</w:t>
      </w:r>
      <w:r/>
    </w:p>
    <w:p>
      <w:pPr>
        <w:pStyle w:val="1106"/>
        <w:ind w:firstLine="420"/>
        <w:spacing w:before="30" w:beforeAutospacing="0" w:after="30" w:afterAutospacing="0" w:line="0" w:lineRule="atLeast"/>
        <w:rPr>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478155</wp:posOffset>
                </wp:positionH>
                <wp:positionV relativeFrom="paragraph">
                  <wp:posOffset>448310</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8480;o:allowoverlap:true;o:allowincell:true;mso-position-horizontal-relative:text;margin-left:37.6pt;mso-position-horizontal:absolute;mso-position-vertical-relative:text;margin-top:35.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1273810</wp:posOffset>
                </wp:positionH>
                <wp:positionV relativeFrom="paragraph">
                  <wp:posOffset>462280</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100.3pt;mso-position-horizontal:absolute;mso-position-vertical-relative:text;margin-top:36.4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1844675</wp:posOffset>
                </wp:positionH>
                <wp:positionV relativeFrom="paragraph">
                  <wp:posOffset>224790</wp:posOffset>
                </wp:positionV>
                <wp:extent cx="81661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0528;o:allowoverlap:true;o:allowincell:true;mso-position-horizontal-relative:text;margin-left:145.2pt;mso-position-horizontal:absolute;mso-position-vertical-relative:text;margin-top:17.7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-24764</wp:posOffset>
                </wp:positionH>
                <wp:positionV relativeFrom="paragraph">
                  <wp:posOffset>288290</wp:posOffset>
                </wp:positionV>
                <wp:extent cx="234315" cy="869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1552;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7462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shd w:val="clear" w:color="auto" w:fill="ffffff"/>
        </w:rPr>
        <w:t xml:space="preserve">2.</w:t>
      </w:r>
      <w:r>
        <w:rPr>
          <w:rStyle w:val="1172"/>
          <w:rFonts w:hint="eastAsia" w:ascii="宋体" w:hAnsi="宋体" w:cs="宋体"/>
          <w:color w:val="000000"/>
          <w:u w:val="single"/>
          <w:shd w:val="clear" w:color="auto" w:fill="ffffff"/>
        </w:rPr>
        <w:t xml:space="preserve">（产品名称2）</w:t>
      </w:r>
      <w:r>
        <w:rPr>
          <w:rFonts w:hint="eastAsia"/>
          <w:color w:val="000000"/>
          <w:shd w:val="clear" w:color="auto" w:fill="ffffff"/>
        </w:rPr>
        <w:t xml:space="preserve">，生产厂为</w:t>
      </w:r>
      <w:r>
        <w:rPr>
          <w:rStyle w:val="1172"/>
          <w:rFonts w:hint="eastAsia" w:ascii="宋体" w:hAnsi="宋体" w:cs="宋体"/>
          <w:color w:val="000000"/>
          <w:u w:val="single"/>
          <w:shd w:val="clear" w:color="auto" w:fill="ffffff"/>
        </w:rPr>
        <w:t xml:space="preserve">（厂名）</w:t>
      </w:r>
      <w:r>
        <w:rPr>
          <w:rFonts w:hint="eastAsia"/>
          <w:color w:val="000000"/>
          <w:shd w:val="clear" w:color="auto" w:fill="ffffff"/>
        </w:rPr>
        <w:t xml:space="preserve">，厂址为</w:t>
      </w:r>
      <w:r>
        <w:rPr>
          <w:rStyle w:val="1172"/>
          <w:rFonts w:hint="eastAsia" w:ascii="宋体" w:hAnsi="宋体" w:cs="宋体"/>
          <w:color w:val="000000"/>
          <w:u w:val="single"/>
          <w:shd w:val="clear" w:color="auto" w:fill="ffffff"/>
        </w:rPr>
        <w:t xml:space="preserve">（生产厂址）</w:t>
      </w:r>
      <w:r>
        <w:rPr>
          <w:rFonts w:hint="eastAsia"/>
          <w:color w:val="000000"/>
          <w:shd w:val="clear" w:color="auto" w:fill="ffffff"/>
        </w:rPr>
        <w:t xml:space="preserve">。</w:t>
      </w:r>
      <w:r>
        <w:rPr>
          <w:rStyle w:val="1172"/>
          <w:rFonts w:hint="eastAsia" w:ascii="宋体" w:hAnsi="宋体" w:cs="宋体"/>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Style w:val="1172"/>
          <w:rFonts w:hint="eastAsia" w:ascii="宋体" w:hAnsi="宋体" w:cs="宋体"/>
          <w:color w:val="000000"/>
          <w:u w:val="single"/>
          <w:shd w:val="clear" w:color="auto" w:fill="ffffff"/>
        </w:rPr>
        <w:t xml:space="preserve">（规定比例）</w:t>
      </w:r>
      <w:r>
        <w:rPr>
          <w:rFonts w:hint="eastAsia"/>
          <w:color w:val="000000"/>
          <w:shd w:val="clear" w:color="auto" w:fill="ffffff"/>
        </w:rPr>
        <w:t xml:space="preserve">。</w:t>
      </w:r>
      <w:r>
        <w:rPr>
          <w:rStyle w:val="1172"/>
          <w:rFonts w:hint="eastAsia" w:ascii="宋体" w:hAnsi="宋体" w:cs="宋体"/>
          <w:color w:val="000000"/>
          <w:u w:val="single"/>
          <w:shd w:val="clear" w:color="auto" w:fill="ffffff"/>
        </w:rPr>
        <w:t xml:space="preserve">（产品名称2）</w:t>
      </w:r>
      <w:r>
        <w:rPr>
          <w:rFonts w:hint="eastAsia"/>
          <w:color w:val="000000"/>
          <w:shd w:val="clear" w:color="auto" w:fill="ffffff"/>
        </w:rPr>
        <w:t xml:space="preserve">的</w:t>
      </w:r>
      <w:r>
        <w:rPr>
          <w:rStyle w:val="1172"/>
          <w:rFonts w:hint="eastAsia" w:ascii="宋体" w:hAnsi="宋体" w:cs="宋体"/>
          <w:color w:val="000000"/>
          <w:u w:val="single"/>
          <w:shd w:val="clear" w:color="auto" w:fill="ffffff"/>
        </w:rPr>
        <w:t xml:space="preserve">（关键组件）</w:t>
      </w:r>
      <w:r>
        <w:rPr>
          <w:rFonts w:hint="eastAsia"/>
          <w:color w:val="000000"/>
          <w:shd w:val="clear" w:color="auto" w:fill="ffffff"/>
        </w:rPr>
        <w:t xml:space="preserve">在中国境内生产。</w:t>
      </w:r>
      <w:r>
        <w:rPr>
          <w:rStyle w:val="1172"/>
          <w:rFonts w:hint="eastAsia" w:ascii="宋体" w:hAnsi="宋体" w:cs="宋体"/>
          <w:color w:val="000000"/>
          <w:u w:val="single"/>
          <w:shd w:val="clear" w:color="auto" w:fill="ffffff"/>
        </w:rPr>
        <w:t xml:space="preserve">（产品名称1）</w:t>
      </w:r>
      <w:r>
        <w:rPr>
          <w:rFonts w:hint="eastAsia"/>
          <w:color w:val="000000"/>
          <w:shd w:val="clear" w:color="auto" w:fill="ffffff"/>
        </w:rPr>
        <w:t xml:space="preserve">的</w:t>
      </w:r>
      <w:r>
        <w:rPr>
          <w:rStyle w:val="1172"/>
          <w:rFonts w:hint="eastAsia" w:ascii="宋体" w:hAnsi="宋体" w:cs="宋体"/>
          <w:color w:val="000000"/>
          <w:u w:val="single"/>
          <w:shd w:val="clear" w:color="auto" w:fill="ffffff"/>
        </w:rPr>
        <w:t xml:space="preserve">（关键工序）</w:t>
      </w:r>
      <w:r>
        <w:rPr>
          <w:rFonts w:hint="eastAsia"/>
          <w:color w:val="000000"/>
          <w:shd w:val="clear" w:color="auto" w:fill="ffffff"/>
        </w:rPr>
        <w:t xml:space="preserve">在中国境内完成。</w:t>
      </w:r>
      <w:r/>
    </w:p>
    <w:p>
      <w:pPr>
        <w:pStyle w:val="1106"/>
        <w:ind w:firstLine="420"/>
        <w:spacing w:before="30" w:beforeAutospacing="0" w:after="30" w:afterAutospacing="0" w:line="0" w:lineRule="atLeast"/>
        <w:rPr>
          <w:color w:val="000000"/>
        </w:rPr>
      </w:pPr>
      <w:r>
        <w:rPr>
          <w:rFonts w:hint="eastAsia"/>
          <w:color w:val="000000"/>
          <w:shd w:val="clear" w:color="auto" w:fill="ffffff"/>
        </w:rPr>
        <w:t xml:space="preserve">……</w:t>
      </w:r>
      <w:r/>
    </w:p>
    <w:p>
      <w:pPr>
        <w:pStyle w:val="1106"/>
        <w:ind w:firstLine="420"/>
        <w:spacing w:before="30" w:beforeAutospacing="0" w:after="30" w:afterAutospacing="0" w:line="0" w:lineRule="atLeast"/>
        <w:rPr>
          <w:color w:val="000000"/>
        </w:rPr>
      </w:pPr>
      <w:r>
        <w:rPr>
          <w:rFonts w:hint="eastAsia"/>
          <w:color w:val="000000"/>
          <w:shd w:val="clear" w:color="auto" w:fill="ffffff"/>
        </w:rPr>
        <w:t xml:space="preserve">本公司（单位）对上述声明内容的真实性负责。如有虚假，愿承担相应法律责任。</w:t>
      </w:r>
      <w:r/>
    </w:p>
    <w:p>
      <w:pPr>
        <w:pStyle w:val="1106"/>
        <w:spacing w:before="30" w:beforeAutospacing="0" w:after="30" w:afterAutospacing="0" w:line="0" w:lineRule="atLeast"/>
        <w:rPr>
          <w:color w:val="000000"/>
        </w:rPr>
      </w:pPr>
      <w:r>
        <w:rPr>
          <w:color w:val="000000"/>
        </w:rPr>
      </w:r>
      <w:r/>
    </w:p>
    <w:p>
      <w:pPr>
        <w:pStyle w:val="1106"/>
        <w:ind w:right="480" w:firstLine="3720"/>
        <w:spacing w:before="30" w:beforeAutospacing="0" w:after="30" w:afterAutospacing="0" w:line="0" w:lineRule="atLeast"/>
        <w:rPr>
          <w:color w:val="000000"/>
        </w:rPr>
      </w:pPr>
      <w:r>
        <w:rPr>
          <w:rFonts w:hint="eastAsia"/>
          <w:color w:val="000000"/>
          <w:shd w:val="clear" w:color="auto" w:fill="ffffff"/>
        </w:rPr>
        <w:t xml:space="preserve">公司（单位）名称（盖章）：　        </w:t>
      </w:r>
      <w:r/>
    </w:p>
    <w:p>
      <w:pPr>
        <w:pStyle w:val="1106"/>
        <w:jc w:val="center"/>
        <w:spacing w:before="30" w:beforeAutospacing="0" w:after="30" w:afterAutospacing="0" w:line="0" w:lineRule="atLeast"/>
        <w:rPr>
          <w:color w:val="000000"/>
        </w:rPr>
      </w:pPr>
      <w:r>
        <w:rPr>
          <w:rFonts w:hint="eastAsia"/>
          <w:color w:val="000000"/>
          <w:shd w:val="clear" w:color="auto" w:fill="ffffff"/>
        </w:rPr>
        <w:t xml:space="preserve">                                日期：　   年　  月　  日         </w:t>
      </w:r>
      <w:r/>
    </w:p>
    <w:p>
      <w:pPr>
        <w:pStyle w:val="1106"/>
        <w:spacing w:before="30" w:beforeAutospacing="0" w:after="30" w:afterAutospacing="0" w:line="0" w:lineRule="atLeast"/>
        <w:rPr>
          <w:color w:val="000000"/>
        </w:rPr>
      </w:pPr>
      <w:r>
        <w:rPr>
          <w:rFonts w:hint="eastAsia"/>
          <w:color w:val="000000"/>
          <w:shd w:val="clear" w:color="auto" w:fill="ffffff"/>
        </w:rPr>
        <w:t xml:space="preserve">__________________</w:t>
      </w:r>
      <w:r/>
    </w:p>
    <w:p>
      <w:pPr>
        <w:pStyle w:val="1106"/>
        <w:spacing w:before="30" w:beforeAutospacing="0" w:after="30" w:afterAutospacing="0" w:line="0" w:lineRule="atLeast"/>
        <w:rPr>
          <w:color w:val="000000"/>
          <w:sz w:val="22"/>
        </w:rPr>
      </w:pPr>
      <w:r>
        <w:rPr>
          <w:rFonts w:hint="eastAsia"/>
          <w:color w:val="000000"/>
          <w:sz w:val="22"/>
          <w:shd w:val="clear" w:color="auto" w:fill="ffffff"/>
        </w:rPr>
        <w:t xml:space="preserve">1.产品如有型号，请在“产品名称”栏一并填写。</w:t>
      </w:r>
      <w:r/>
    </w:p>
    <w:p>
      <w:pPr>
        <w:pStyle w:val="1106"/>
        <w:spacing w:before="30" w:beforeAutospacing="0" w:after="30" w:afterAutospacing="0" w:line="0" w:lineRule="atLeast"/>
        <w:rPr>
          <w:color w:val="000000"/>
          <w:sz w:val="22"/>
        </w:rPr>
      </w:pPr>
      <w:r>
        <w:rPr>
          <w:rFonts w:hint="eastAsia"/>
          <w:color w:val="000000"/>
          <w:sz w:val="22"/>
          <w:shd w:val="clear" w:color="auto" w:fill="ffffff"/>
        </w:rPr>
        <w:t xml:space="preserve">2.生产厂名与厂址应与生产厂营业执照载明的相关信息保持一致。</w:t>
      </w:r>
      <w:r/>
    </w:p>
    <w:p>
      <w:pPr>
        <w:pStyle w:val="1106"/>
        <w:spacing w:before="30" w:beforeAutospacing="0" w:after="30" w:afterAutospacing="0" w:line="0" w:lineRule="atLeast"/>
        <w:rPr>
          <w:color w:val="000000"/>
          <w:sz w:val="22"/>
        </w:rPr>
      </w:pPr>
      <w:r>
        <w:rPr>
          <w:rFonts w:hint="eastAsia"/>
          <w:color w:val="000000"/>
          <w:sz w:val="22"/>
          <w:shd w:val="clear" w:color="auto" w:fill="ffffff"/>
        </w:rPr>
        <w:t xml:space="preserve">3.该产品的中国境内生产的组件成本占比相关要求实施前，“规定比例”栏可不填，下同。</w:t>
      </w:r>
      <w:r/>
    </w:p>
    <w:p>
      <w:pPr>
        <w:pStyle w:val="1106"/>
        <w:spacing w:before="30" w:beforeAutospacing="0" w:after="30" w:afterAutospacing="0" w:line="0" w:lineRule="atLeast"/>
        <w:rPr>
          <w:color w:val="000000"/>
          <w:sz w:val="22"/>
        </w:rPr>
      </w:pPr>
      <w:r>
        <w:rPr>
          <w:rFonts w:hint="eastAsia"/>
          <w:color w:val="000000"/>
          <w:sz w:val="22"/>
          <w:shd w:val="clear" w:color="auto" w:fill="ffffff"/>
        </w:rPr>
        <w:t xml:space="preserve">4.该产品的关键组件要求实施前，“关键组件”栏可不填，下同。</w:t>
      </w:r>
      <w:r/>
    </w:p>
    <w:p>
      <w:pPr>
        <w:pStyle w:val="1106"/>
        <w:spacing w:before="30" w:beforeAutospacing="0" w:after="30" w:afterAutospacing="0" w:line="0" w:lineRule="atLeast"/>
        <w:rPr>
          <w:color w:val="000000"/>
          <w:sz w:val="22"/>
          <w:shd w:val="clear" w:color="auto" w:fill="ffffff"/>
        </w:rPr>
      </w:pPr>
      <w:r>
        <w:rPr>
          <w:rFonts w:hint="eastAsia"/>
          <w:color w:val="000000"/>
          <w:sz w:val="22"/>
          <w:shd w:val="clear" w:color="auto" w:fill="ffffff"/>
        </w:rPr>
        <w:t xml:space="preserve">5.该产品的关键工序要求实施前，“关键工序”栏可不填，下同。</w:t>
      </w:r>
      <w:r/>
    </w:p>
    <w:p>
      <w:pPr>
        <w:pStyle w:val="1106"/>
        <w:spacing w:before="30" w:beforeAutospacing="0" w:after="30" w:afterAutospacing="0" w:line="0" w:lineRule="atLeast"/>
        <w:rPr>
          <w:color w:val="000000"/>
          <w:sz w:val="22"/>
          <w:shd w:val="clear" w:color="auto" w:fill="ffffff"/>
        </w:rPr>
      </w:pPr>
      <w:r>
        <w:rPr>
          <w:rFonts w:hint="eastAsia"/>
          <w:color w:val="000000"/>
          <w:sz w:val="22"/>
          <w:shd w:val="clear" w:color="auto" w:fill="ffffff"/>
        </w:rPr>
        <w:t xml:space="preserve">6.用斜线划除的地方无需填写。</w:t>
      </w:r>
      <w:r/>
    </w:p>
    <w:p>
      <w:pPr>
        <w:spacing w:line="300" w:lineRule="auto"/>
        <w:rPr>
          <w:sz w:val="28"/>
          <w:szCs w:val="28"/>
        </w:rPr>
        <w:outlineLvl w:val="0"/>
      </w:pPr>
      <w:r>
        <w:rPr>
          <w:sz w:val="28"/>
          <w:szCs w:val="28"/>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bCs/>
          <w:sz w:val="24"/>
          <w:szCs w:val="24"/>
        </w:rPr>
      </w:pPr>
      <w:r>
        <w:rPr>
          <w:rFonts w:ascii="宋体" w:hAnsi="宋体" w:cs="宋体"/>
          <w:b/>
          <w:sz w:val="24"/>
          <w:szCs w:val="24"/>
        </w:rPr>
      </w:r>
      <w:r>
        <w:rPr>
          <w:rFonts w:ascii="宋体" w:hAnsi="宋体" w:cs="宋体"/>
          <w:b/>
          <w:sz w:val="24"/>
          <w:szCs w:val="24"/>
        </w:rPr>
      </w:r>
      <w:r/>
    </w:p>
    <w:p>
      <w:pPr>
        <w:jc w:val="center"/>
        <w:spacing w:line="560" w:lineRule="exact"/>
        <w:rPr>
          <w:rFonts w:ascii="宋体" w:hAnsi="宋体" w:cs="宋体"/>
          <w:b/>
          <w:bCs/>
          <w:sz w:val="24"/>
          <w:szCs w:val="24"/>
        </w:rPr>
      </w:pPr>
      <w:r>
        <w:rPr>
          <w:rFonts w:ascii="宋体" w:hAnsi="宋体" w:cs="宋体"/>
          <w:b/>
          <w:bCs/>
          <w:sz w:val="24"/>
          <w:szCs w:val="24"/>
        </w:rPr>
      </w:r>
      <w:r>
        <w:rPr>
          <w:rFonts w:ascii="宋体" w:hAnsi="宋体" w:cs="宋体"/>
          <w:b/>
          <w:bCs/>
          <w:sz w:val="24"/>
          <w:szCs w:val="24"/>
        </w:rPr>
      </w:r>
      <w:r/>
    </w:p>
    <w:p>
      <w:pPr>
        <w:jc w:val="center"/>
        <w:spacing w:line="560" w:lineRule="exact"/>
        <w:rPr>
          <w:rFonts w:ascii="宋体" w:hAnsi="宋体" w:cs="宋体"/>
          <w:b/>
          <w:bCs/>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bookmarkEnd w:id="192"/>
      <w:r/>
      <w:bookmarkEnd w:id="193"/>
      <w:r/>
      <w:bookmarkEnd w:id="229"/>
      <w:r/>
      <w:r/>
    </w:p>
    <w:p>
      <w:pPr>
        <w:jc w:val="center"/>
        <w:rPr>
          <w:rFonts w:ascii="宋体" w:hAnsi="宋体" w:cs="宋体"/>
          <w:b/>
          <w:bCs/>
          <w:sz w:val="24"/>
          <w:szCs w:val="24"/>
        </w:rPr>
      </w:pPr>
      <w:r>
        <w:rPr>
          <w:rFonts w:hint="eastAsia" w:ascii="宋体" w:hAnsi="宋体" w:cs="宋体"/>
          <w:b/>
          <w:bCs/>
          <w:sz w:val="24"/>
          <w:szCs w:val="24"/>
        </w:rPr>
        <w:t xml:space="preserve">质疑函范本</w:t>
      </w:r>
      <w:r/>
    </w:p>
    <w:p>
      <w:pPr>
        <w:spacing w:before="290"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spacing w:line="360" w:lineRule="auto"/>
        <w:rPr>
          <w:rFonts w:ascii="宋体" w:hAnsi="宋体" w:cs="宋体"/>
          <w:sz w:val="24"/>
          <w:szCs w:val="24"/>
        </w:rPr>
      </w:pPr>
      <w:r>
        <w:rPr>
          <w:rFonts w:hint="eastAsia" w:ascii="宋体" w:hAnsi="宋体" w:cs="宋体"/>
          <w:sz w:val="24"/>
          <w:szCs w:val="24"/>
        </w:rPr>
        <w:t xml:space="preserve">地址：邮编：</w:t>
      </w:r>
      <w:r/>
    </w:p>
    <w:p>
      <w:pPr>
        <w:spacing w:line="360" w:lineRule="auto"/>
        <w:rPr>
          <w:rFonts w:ascii="宋体" w:hAnsi="宋体" w:cs="宋体"/>
          <w:sz w:val="24"/>
          <w:szCs w:val="24"/>
        </w:rPr>
      </w:pPr>
      <w:r>
        <w:rPr>
          <w:rFonts w:hint="eastAsia" w:ascii="宋体" w:hAnsi="宋体" w:cs="宋体"/>
          <w:sz w:val="24"/>
          <w:szCs w:val="24"/>
        </w:rPr>
        <w:t xml:space="preserve">联系人：联系电话：</w:t>
      </w:r>
      <w:r/>
    </w:p>
    <w:p>
      <w:pPr>
        <w:spacing w:line="360" w:lineRule="auto"/>
        <w:rPr>
          <w:rFonts w:ascii="宋体" w:hAnsi="宋体" w:cs="宋体"/>
          <w:sz w:val="24"/>
          <w:szCs w:val="24"/>
          <w:u w:val="single"/>
        </w:rPr>
      </w:pPr>
      <w:r>
        <w:rPr>
          <w:rFonts w:hint="eastAsia" w:ascii="宋体" w:hAnsi="宋体" w:cs="宋体"/>
          <w:sz w:val="24"/>
          <w:szCs w:val="24"/>
        </w:rPr>
        <w:t xml:space="preserve">授权代表：</w:t>
      </w:r>
      <w:r/>
    </w:p>
    <w:p>
      <w:pPr>
        <w:spacing w:line="360" w:lineRule="auto"/>
        <w:rPr>
          <w:rFonts w:ascii="宋体" w:hAnsi="宋体" w:cs="宋体"/>
          <w:sz w:val="24"/>
          <w:szCs w:val="24"/>
        </w:rPr>
      </w:pPr>
      <w:r>
        <w:rPr>
          <w:rFonts w:hint="eastAsia" w:ascii="宋体" w:hAnsi="宋体" w:cs="宋体"/>
          <w:sz w:val="24"/>
          <w:szCs w:val="24"/>
        </w:rPr>
        <w:t xml:space="preserve">联系电话：</w:t>
      </w:r>
      <w:r/>
    </w:p>
    <w:p>
      <w:pPr>
        <w:spacing w:line="360" w:lineRule="auto"/>
        <w:rPr>
          <w:rFonts w:ascii="宋体" w:hAnsi="宋体" w:cs="宋体"/>
          <w:sz w:val="24"/>
          <w:szCs w:val="24"/>
        </w:rPr>
      </w:pPr>
      <w:r>
        <w:rPr>
          <w:rFonts w:hint="eastAsia" w:ascii="宋体" w:hAnsi="宋体" w:cs="宋体"/>
          <w:sz w:val="24"/>
          <w:szCs w:val="24"/>
        </w:rPr>
        <w:t xml:space="preserve">地址： 邮编：</w:t>
      </w:r>
      <w:r/>
    </w:p>
    <w:p>
      <w:pPr>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spacing w:line="360" w:lineRule="auto"/>
        <w:rPr>
          <w:rFonts w:ascii="宋体" w:hAnsi="宋体" w:cs="宋体"/>
          <w:sz w:val="24"/>
          <w:szCs w:val="24"/>
        </w:rPr>
      </w:pPr>
      <w:r>
        <w:rPr>
          <w:rFonts w:hint="eastAsia" w:ascii="宋体" w:hAnsi="宋体" w:cs="宋体"/>
          <w:sz w:val="24"/>
          <w:szCs w:val="24"/>
        </w:rPr>
        <w:t xml:space="preserve">质疑项目的名称：</w:t>
      </w:r>
      <w:r/>
    </w:p>
    <w:p>
      <w:pPr>
        <w:spacing w:line="360" w:lineRule="auto"/>
        <w:rPr>
          <w:rFonts w:ascii="宋体" w:hAnsi="宋体" w:cs="宋体"/>
          <w:sz w:val="24"/>
          <w:szCs w:val="24"/>
        </w:rPr>
      </w:pPr>
      <w:r>
        <w:rPr>
          <w:rFonts w:hint="eastAsia" w:ascii="宋体" w:hAnsi="宋体" w:cs="宋体"/>
          <w:sz w:val="24"/>
          <w:szCs w:val="24"/>
        </w:rPr>
        <w:t xml:space="preserve">质疑项目的编号：包号：</w:t>
      </w:r>
      <w:r/>
    </w:p>
    <w:p>
      <w:pPr>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spacing w:line="360" w:lineRule="auto"/>
        <w:rPr>
          <w:rFonts w:ascii="宋体" w:hAnsi="宋体" w:cs="宋体"/>
          <w:sz w:val="24"/>
          <w:szCs w:val="24"/>
        </w:rPr>
      </w:pPr>
      <w:r>
        <w:rPr>
          <w:rFonts w:hint="eastAsia" w:ascii="宋体" w:hAnsi="宋体" w:cs="宋体"/>
          <w:sz w:val="24"/>
          <w:szCs w:val="24"/>
        </w:rPr>
        <w:t xml:space="preserve">采购文件获取日期：</w:t>
      </w:r>
      <w:r/>
    </w:p>
    <w:p>
      <w:pPr>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spacing w:line="360" w:lineRule="auto"/>
        <w:rPr>
          <w:rFonts w:ascii="宋体" w:hAnsi="宋体" w:cs="宋体"/>
          <w:sz w:val="24"/>
          <w:szCs w:val="24"/>
          <w:u w:val="single"/>
        </w:rPr>
      </w:pPr>
      <w:r>
        <w:rPr>
          <w:rFonts w:hint="eastAsia" w:ascii="宋体" w:hAnsi="宋体" w:cs="宋体"/>
          <w:sz w:val="24"/>
          <w:szCs w:val="24"/>
        </w:rPr>
        <w:t xml:space="preserve">质疑事项1：</w:t>
      </w:r>
      <w:r/>
    </w:p>
    <w:p>
      <w:pPr>
        <w:spacing w:line="360" w:lineRule="auto"/>
        <w:rPr>
          <w:rFonts w:ascii="宋体" w:hAnsi="宋体" w:cs="宋体"/>
          <w:sz w:val="24"/>
          <w:szCs w:val="24"/>
          <w:u w:val="single"/>
        </w:rPr>
      </w:pPr>
      <w:r>
        <w:rPr>
          <w:rFonts w:hint="eastAsia" w:ascii="宋体" w:hAnsi="宋体" w:cs="宋体"/>
          <w:sz w:val="24"/>
          <w:szCs w:val="24"/>
        </w:rPr>
        <w:t xml:space="preserve">事实依据：</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u w:val="single"/>
        </w:rPr>
      </w:pPr>
      <w:r>
        <w:rPr>
          <w:rFonts w:hint="eastAsia" w:ascii="宋体" w:hAnsi="宋体" w:cs="宋体"/>
          <w:sz w:val="24"/>
          <w:szCs w:val="24"/>
        </w:rPr>
        <w:t xml:space="preserve">法律依据：</w:t>
      </w:r>
      <w:r/>
    </w:p>
    <w:p>
      <w:pPr>
        <w:spacing w:line="360" w:lineRule="auto"/>
        <w:rPr>
          <w:rFonts w:ascii="宋体" w:hAnsi="宋体" w:cs="宋体"/>
          <w:sz w:val="24"/>
          <w:szCs w:val="24"/>
          <w:u w:val="single"/>
        </w:rPr>
      </w:pPr>
      <w:r>
        <w:rPr>
          <w:rFonts w:ascii="宋体" w:hAnsi="宋体" w:cs="宋体"/>
          <w:sz w:val="24"/>
          <w:szCs w:val="24"/>
          <w:u w:val="single"/>
        </w:rPr>
      </w:r>
      <w:r/>
    </w:p>
    <w:p>
      <w:pPr>
        <w:spacing w:line="360" w:lineRule="auto"/>
        <w:rPr>
          <w:rFonts w:ascii="宋体" w:hAnsi="宋体" w:cs="宋体"/>
          <w:sz w:val="24"/>
          <w:szCs w:val="24"/>
          <w:u w:val="single"/>
        </w:rPr>
      </w:pPr>
      <w:r>
        <w:rPr>
          <w:rFonts w:hint="eastAsia" w:ascii="宋体" w:hAnsi="宋体" w:cs="宋体"/>
          <w:sz w:val="24"/>
          <w:szCs w:val="24"/>
        </w:rPr>
        <w:t xml:space="preserve">质疑事项2</w:t>
      </w:r>
      <w:r/>
    </w:p>
    <w:p>
      <w:pPr>
        <w:spacing w:line="360" w:lineRule="auto"/>
        <w:rPr>
          <w:rFonts w:ascii="宋体" w:hAnsi="宋体" w:cs="宋体"/>
          <w:sz w:val="24"/>
          <w:szCs w:val="24"/>
        </w:rPr>
      </w:pPr>
      <w:r>
        <w:rPr>
          <w:rFonts w:hint="eastAsia" w:ascii="宋体" w:hAnsi="宋体" w:cs="宋体"/>
          <w:sz w:val="24"/>
          <w:szCs w:val="24"/>
        </w:rPr>
        <w:t xml:space="preserve">……</w:t>
      </w:r>
      <w:r/>
    </w:p>
    <w:p>
      <w:pPr>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spacing w:line="360" w:lineRule="auto"/>
        <w:rPr>
          <w:rFonts w:ascii="宋体" w:hAnsi="宋体" w:cs="宋体"/>
          <w:sz w:val="24"/>
          <w:szCs w:val="24"/>
          <w:u w:val="single"/>
        </w:rPr>
      </w:pPr>
      <w:r>
        <w:rPr>
          <w:rFonts w:hint="eastAsia" w:ascii="宋体" w:hAnsi="宋体" w:cs="宋体"/>
          <w:sz w:val="24"/>
          <w:szCs w:val="24"/>
        </w:rPr>
        <w:t xml:space="preserve">请求：</w:t>
      </w:r>
      <w:r/>
    </w:p>
    <w:p>
      <w:pPr>
        <w:rPr>
          <w:rFonts w:ascii="宋体" w:hAnsi="宋体" w:cs="宋体"/>
          <w:sz w:val="24"/>
          <w:szCs w:val="24"/>
        </w:rPr>
      </w:pPr>
      <w:r>
        <w:rPr>
          <w:rFonts w:hint="eastAsia" w:ascii="宋体" w:hAnsi="宋体" w:cs="宋体"/>
          <w:sz w:val="24"/>
          <w:szCs w:val="24"/>
        </w:rPr>
        <w:t xml:space="preserve">签字(签章)：                   公章：                      </w:t>
      </w:r>
      <w:r/>
    </w:p>
    <w:p>
      <w:pPr>
        <w:rPr>
          <w:rFonts w:ascii="宋体" w:hAnsi="宋体" w:cs="宋体"/>
          <w:sz w:val="24"/>
          <w:szCs w:val="24"/>
        </w:rPr>
      </w:pPr>
      <w:r>
        <w:rPr>
          <w:rFonts w:hint="eastAsia" w:ascii="宋体" w:hAnsi="宋体" w:cs="宋体"/>
          <w:sz w:val="24"/>
          <w:szCs w:val="24"/>
        </w:rPr>
        <w:t xml:space="preserve">日期：    </w:t>
      </w:r>
      <w:r/>
    </w:p>
    <w:p>
      <w:pPr>
        <w:spacing w:line="400" w:lineRule="exact"/>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13"/>
        <w:spacing w:line="360" w:lineRule="auto"/>
        <w:rPr>
          <w:rFonts w:ascii="宋体" w:hAnsi="宋体" w:cs="宋体"/>
          <w:sz w:val="24"/>
          <w:szCs w:val="24"/>
        </w:rPr>
      </w:pPr>
      <w:r>
        <w:rPr>
          <w:rFonts w:ascii="宋体" w:hAnsi="宋体" w:cs="宋体"/>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Calibri">
    <w:panose1 w:val="020F0502020204030204"/>
  </w:font>
  <w:font w:name="楷体_GB2312">
    <w:panose1 w:val="02010609060101010101"/>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4"/>
                            <w:jc w:val="center"/>
                          </w:pPr>
                          <w:fldSimple w:instr="PAGE \* MERGEFORMAT">
                            <w:r>
                              <w:rPr>
                                <w:lang w:val="zh-CN"/>
                              </w:rPr>
                              <w:t xml:space="preserve">1</w:t>
                            </w:r>
                          </w:fldSimple>
                          <w:r>
                            <w:rPr>
                              <w:lang w:val="zh-CN"/>
                            </w:rPr>
                          </w:r>
                          <w:r>
                            <w:rPr>
                              <w:lang w:val="zh-CN"/>
                            </w:rPr>
                          </w:r>
                          <w:r/>
                        </w:p>
                      </w:txbxContent>
                    </wps:txbx>
                    <wps:bodyPr wrap="none" lIns="0" tIns="0" rIns="0" bIns="0" upright="1">
                      <a:spAutoFit/>
                    </wps:bodyPr>
                  </wps:wsp>
                </a:graphicData>
              </a:graphic>
            </wp:anchor>
          </w:drawing>
        </mc:Choice>
        <mc:Fallback>
          <w:pict>
            <v:shape id="shape 0" o:spid="_x0000_s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4"/>
                      <w:jc w:val="center"/>
                    </w:pPr>
                    <w:fldSimple w:instr="PAGE \* MERGEFORMAT">
                      <w:r>
                        <w:rPr>
                          <w:lang w:val="zh-CN"/>
                        </w:rPr>
                        <w:t xml:space="preserve">1</w:t>
                      </w:r>
                    </w:fldSimple>
                    <w:r>
                      <w:rPr>
                        <w:lang w:val="zh-CN"/>
                      </w:rPr>
                    </w:r>
                    <w:r>
                      <w:rPr>
                        <w:lang w:val="zh-CN"/>
                      </w:rPr>
                    </w:r>
                    <w:r/>
                  </w:p>
                </w:txbxContent>
              </v:textbox>
            </v:shape>
          </w:pict>
        </mc:Fallback>
      </mc:AlternateContent>
    </w:r>
    <w:r/>
  </w:p>
  <w:p>
    <w:pPr>
      <w:pStyle w:val="854"/>
      <w:tabs>
        <w:tab w:val="center" w:pos="5271" w:leader="none"/>
        <w:tab w:val="clear" w:pos="7143" w:leader="none"/>
        <w:tab w:val="clear" w:pos="14287" w:leader="none"/>
      </w:tabs>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lear" w:pos="7143" w:leader="none"/>
        <w:tab w:val="center" w:pos="7667"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14935" cy="1479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854"/>
                          </w:pPr>
                          <w:fldSimple w:instr="PAGE \* MERGEFORMAT">
                            <w:r>
                              <w:t xml:space="preserve">1</w:t>
                            </w:r>
                          </w:fldSimple>
                          <w:r/>
                          <w:r/>
                        </w:p>
                        <w:p>
                          <w:r/>
                          <w:r/>
                        </w:p>
                      </w:txbxContent>
                    </wps:txbx>
                    <wps:bodyPr wrap="none" lIns="0" tIns="0" rIns="0" bIns="0" upright="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854"/>
                    </w:pPr>
                    <w:fldSimple w:instr="PAGE \* MERGEFORMAT">
                      <w:r>
                        <w:t xml:space="preserve">1</w:t>
                      </w:r>
                    </w:fldSimple>
                    <w:r/>
                    <w:r/>
                  </w:p>
                  <w:p>
                    <w:r/>
                    <w:r/>
                  </w:p>
                </w:txbxContent>
              </v:textbox>
            </v:shape>
          </w:pict>
        </mc:Fallback>
      </mc:AlternateContent>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1"/>
                            <w:rPr>
                              <w:rStyle w:val="1114"/>
                              <w:rFonts w:ascii="宋体" w:hAnsi="宋体"/>
                            </w:rPr>
                          </w:pPr>
                          <w:r>
                            <w:rPr>
                              <w:rFonts w:ascii="宋体" w:hAnsi="宋体"/>
                            </w:rPr>
                            <w:fldChar w:fldCharType="begin"/>
                          </w:r>
                          <w:r>
                            <w:rPr>
                              <w:rStyle w:val="1114"/>
                              <w:rFonts w:ascii="宋体" w:hAnsi="宋体"/>
                            </w:rPr>
                            <w:instrText xml:space="preserve">PAGE  </w:instrText>
                          </w:r>
                          <w:r>
                            <w:rPr>
                              <w:rFonts w:ascii="宋体" w:hAnsi="宋体"/>
                            </w:rPr>
                            <w:fldChar w:fldCharType="separate"/>
                          </w:r>
                          <w:r>
                            <w:rPr>
                              <w:rStyle w:val="1114"/>
                              <w:rFonts w:ascii="宋体" w:hAnsi="宋体"/>
                            </w:rPr>
                            <w:t xml:space="preserve">66</w:t>
                          </w:r>
                          <w:r>
                            <w:rPr>
                              <w:rFonts w:ascii="宋体" w:hAnsi="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1"/>
                      <w:rPr>
                        <w:rStyle w:val="1114"/>
                        <w:rFonts w:ascii="宋体" w:hAnsi="宋体"/>
                      </w:rPr>
                    </w:pPr>
                    <w:r>
                      <w:rPr>
                        <w:rFonts w:ascii="宋体" w:hAnsi="宋体"/>
                      </w:rPr>
                      <w:fldChar w:fldCharType="begin"/>
                    </w:r>
                    <w:r>
                      <w:rPr>
                        <w:rStyle w:val="1114"/>
                        <w:rFonts w:ascii="宋体" w:hAnsi="宋体"/>
                      </w:rPr>
                      <w:instrText xml:space="preserve">PAGE  </w:instrText>
                    </w:r>
                    <w:r>
                      <w:rPr>
                        <w:rFonts w:ascii="宋体" w:hAnsi="宋体"/>
                      </w:rPr>
                      <w:fldChar w:fldCharType="separate"/>
                    </w:r>
                    <w:r>
                      <w:rPr>
                        <w:rStyle w:val="1114"/>
                        <w:rFonts w:ascii="宋体" w:hAnsi="宋体"/>
                      </w:rPr>
                      <w:t xml:space="preserve">66</w:t>
                    </w:r>
                    <w:r>
                      <w:rPr>
                        <w:rFonts w:ascii="宋体" w:hAnsi="宋体"/>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rPr>
        <w:rStyle w:val="1114"/>
      </w:rPr>
      <w:framePr w:wrap="around" w:vAnchor="text" w:hAnchor="margin" w:xAlign="center" w:y="1"/>
    </w:pPr>
    <w:r>
      <w:fldChar w:fldCharType="begin"/>
    </w:r>
    <w:r>
      <w:rPr>
        <w:rStyle w:val="1114"/>
      </w:rPr>
      <w:instrText xml:space="preserve">PAGE  </w:instrText>
    </w:r>
    <w:r>
      <w:fldChar w:fldCharType="separate"/>
    </w:r>
    <w:r>
      <w:rPr>
        <w:rStyle w:val="1114"/>
      </w:rPr>
      <w:t xml:space="preserve">1</w:t>
    </w:r>
    <w:r>
      <w:fldChar w:fldCharType="end"/>
    </w:r>
    <w:r/>
  </w:p>
  <w:p>
    <w:pPr>
      <w:pStyle w:val="10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chineseCountingThousand"/>
      <w:isLgl w:val="false"/>
      <w:suff w:val="tab"/>
      <w:lvlText w:val="第%1部分"/>
      <w:lvlJc w:val="left"/>
      <w:pPr>
        <w:ind w:left="1135" w:firstLine="0"/>
      </w:pPr>
      <w:rPr>
        <w:sz w:val="28"/>
        <w:szCs w:val="28"/>
      </w:rPr>
    </w:lvl>
    <w:lvl w:ilvl="1">
      <w:start w:val="1"/>
      <w:numFmt w:val="decimal"/>
      <w:isLgl w:val="false"/>
      <w:suff w:val="tab"/>
      <w:lvlText w:val="（%2）"/>
      <w:lvlJc w:val="left"/>
      <w:pPr>
        <w:ind w:left="0" w:firstLine="0"/>
      </w:pPr>
    </w:lvl>
    <w:lvl w:ilvl="2">
      <w:start w:val="1"/>
      <w:numFmt w:val="decimal"/>
      <w:isLgl w:val="false"/>
      <w:suff w:val="tab"/>
      <w:lvlText w:val="%1.%2.%3"/>
      <w:lvlJc w:val="left"/>
      <w:pPr>
        <w:ind w:left="283" w:firstLine="0"/>
      </w:pPr>
      <w:rPr>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0" w:firstLine="0"/>
      </w:pPr>
      <w:rPr>
        <w:rFonts w:ascii="等线" w:hAnsi="等线" w:eastAsia="等线"/>
        <w:b w:val="0"/>
      </w:r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3">
    <w:multiLevelType w:val="hybridMultilevel"/>
    <w:lvl w:ilvl="0">
      <w:start w:val="3"/>
      <w:numFmt w:val="bullet"/>
      <w:isLgl w:val="false"/>
      <w:suff w:val="tab"/>
      <w:lvlText w:val="★"/>
      <w:lvlJc w:val="left"/>
      <w:pPr>
        <w:ind w:left="840" w:hanging="360"/>
      </w:pPr>
      <w:rPr>
        <w:rFonts w:hint="eastAsia" w:ascii="宋体" w:hAnsi="宋体" w:eastAsia="宋体" w:cs="Times New Roman"/>
      </w:rPr>
    </w:lvl>
    <w:lvl w:ilvl="1">
      <w:start w:val="1"/>
      <w:numFmt w:val="bullet"/>
      <w:isLgl w:val="false"/>
      <w:suff w:val="tab"/>
      <w:lvlText w:val=""/>
      <w:lvlJc w:val="left"/>
      <w:pPr>
        <w:ind w:left="1360" w:hanging="440"/>
      </w:pPr>
      <w:rPr>
        <w:rFonts w:ascii="Wingdings" w:hAnsi="Wingdings"/>
      </w:rPr>
    </w:lvl>
    <w:lvl w:ilvl="2">
      <w:start w:val="1"/>
      <w:numFmt w:val="bullet"/>
      <w:isLgl w:val="false"/>
      <w:suff w:val="tab"/>
      <w:lvlText w:val=""/>
      <w:lvlJc w:val="left"/>
      <w:pPr>
        <w:ind w:left="1800" w:hanging="440"/>
      </w:pPr>
      <w:rPr>
        <w:rFonts w:ascii="Wingdings" w:hAnsi="Wingdings"/>
      </w:rPr>
    </w:lvl>
    <w:lvl w:ilvl="3">
      <w:start w:val="1"/>
      <w:numFmt w:val="bullet"/>
      <w:isLgl w:val="false"/>
      <w:suff w:val="tab"/>
      <w:lvlText w:val=""/>
      <w:lvlJc w:val="left"/>
      <w:pPr>
        <w:ind w:left="2240" w:hanging="440"/>
      </w:pPr>
      <w:rPr>
        <w:rFonts w:ascii="Wingdings" w:hAnsi="Wingdings"/>
      </w:rPr>
    </w:lvl>
    <w:lvl w:ilvl="4">
      <w:start w:val="1"/>
      <w:numFmt w:val="bullet"/>
      <w:isLgl w:val="false"/>
      <w:suff w:val="tab"/>
      <w:lvlText w:val=""/>
      <w:lvlJc w:val="left"/>
      <w:pPr>
        <w:ind w:left="2680" w:hanging="440"/>
      </w:pPr>
      <w:rPr>
        <w:rFonts w:ascii="Wingdings" w:hAnsi="Wingdings"/>
      </w:rPr>
    </w:lvl>
    <w:lvl w:ilvl="5">
      <w:start w:val="1"/>
      <w:numFmt w:val="bullet"/>
      <w:isLgl w:val="false"/>
      <w:suff w:val="tab"/>
      <w:lvlText w:val=""/>
      <w:lvlJc w:val="left"/>
      <w:pPr>
        <w:ind w:left="3120" w:hanging="440"/>
      </w:pPr>
      <w:rPr>
        <w:rFonts w:ascii="Wingdings" w:hAnsi="Wingdings"/>
      </w:rPr>
    </w:lvl>
    <w:lvl w:ilvl="6">
      <w:start w:val="1"/>
      <w:numFmt w:val="bullet"/>
      <w:isLgl w:val="false"/>
      <w:suff w:val="tab"/>
      <w:lvlText w:val=""/>
      <w:lvlJc w:val="left"/>
      <w:pPr>
        <w:ind w:left="3560" w:hanging="440"/>
      </w:pPr>
      <w:rPr>
        <w:rFonts w:ascii="Wingdings" w:hAnsi="Wingdings"/>
      </w:rPr>
    </w:lvl>
    <w:lvl w:ilvl="7">
      <w:start w:val="1"/>
      <w:numFmt w:val="bullet"/>
      <w:isLgl w:val="false"/>
      <w:suff w:val="tab"/>
      <w:lvlText w:val=""/>
      <w:lvlJc w:val="left"/>
      <w:pPr>
        <w:ind w:left="4000" w:hanging="440"/>
      </w:pPr>
      <w:rPr>
        <w:rFonts w:ascii="Wingdings" w:hAnsi="Wingdings"/>
      </w:rPr>
    </w:lvl>
    <w:lvl w:ilvl="8">
      <w:start w:val="1"/>
      <w:numFmt w:val="bullet"/>
      <w:isLgl w:val="false"/>
      <w:suff w:val="tab"/>
      <w:lvlText w:val=""/>
      <w:lvlJc w:val="left"/>
      <w:pPr>
        <w:ind w:left="4440" w:hanging="440"/>
      </w:pPr>
      <w:rPr>
        <w:rFonts w:ascii="Wingdings" w:hAnsi="Wingdings"/>
      </w:rPr>
    </w:lvl>
  </w:abstractNum>
  <w:abstractNum w:abstractNumId="4">
    <w:multiLevelType w:val="hybridMultilevel"/>
    <w:lvl w:ilvl="0">
      <w:start w:val="1"/>
      <w:numFmt w:val="decimal"/>
      <w:isLgl w:val="false"/>
      <w:suff w:val="tab"/>
      <w:lvlText w:val="（%1）"/>
      <w:lvlJc w:val="left"/>
      <w:pPr>
        <w:ind w:left="1130" w:hanging="420"/>
      </w:pPr>
      <w:rPr>
        <w:lang w:val="en-US"/>
      </w:rPr>
    </w:lvl>
    <w:lvl w:ilvl="1">
      <w:start w:val="1"/>
      <w:numFmt w:val="lowerLetter"/>
      <w:isLgl w:val="false"/>
      <w:suff w:val="tab"/>
      <w:lvlText w:val="%2)"/>
      <w:lvlJc w:val="left"/>
      <w:pPr>
        <w:ind w:left="1550" w:hanging="420"/>
      </w:pPr>
    </w:lvl>
    <w:lvl w:ilvl="2">
      <w:start w:val="1"/>
      <w:numFmt w:val="lowerRoman"/>
      <w:isLgl w:val="false"/>
      <w:suff w:val="tab"/>
      <w:lvlText w:val="%3."/>
      <w:lvlJc w:val="right"/>
      <w:pPr>
        <w:ind w:left="1970" w:hanging="420"/>
      </w:pPr>
    </w:lvl>
    <w:lvl w:ilvl="3">
      <w:start w:val="1"/>
      <w:numFmt w:val="decimal"/>
      <w:isLgl w:val="false"/>
      <w:suff w:val="tab"/>
      <w:lvlText w:val="%4."/>
      <w:lvlJc w:val="left"/>
      <w:pPr>
        <w:ind w:left="2390" w:hanging="420"/>
      </w:pPr>
    </w:lvl>
    <w:lvl w:ilvl="4">
      <w:start w:val="1"/>
      <w:numFmt w:val="lowerLetter"/>
      <w:isLgl w:val="false"/>
      <w:suff w:val="tab"/>
      <w:lvlText w:val="%5)"/>
      <w:lvlJc w:val="left"/>
      <w:pPr>
        <w:ind w:left="2810" w:hanging="420"/>
      </w:pPr>
    </w:lvl>
    <w:lvl w:ilvl="5">
      <w:start w:val="1"/>
      <w:numFmt w:val="lowerRoman"/>
      <w:isLgl w:val="false"/>
      <w:suff w:val="tab"/>
      <w:lvlText w:val="%6."/>
      <w:lvlJc w:val="right"/>
      <w:pPr>
        <w:ind w:left="3230" w:hanging="420"/>
      </w:pPr>
    </w:lvl>
    <w:lvl w:ilvl="6">
      <w:start w:val="1"/>
      <w:numFmt w:val="decimal"/>
      <w:isLgl w:val="false"/>
      <w:suff w:val="tab"/>
      <w:lvlText w:val="%7."/>
      <w:lvlJc w:val="left"/>
      <w:pPr>
        <w:ind w:left="3650" w:hanging="420"/>
      </w:pPr>
    </w:lvl>
    <w:lvl w:ilvl="7">
      <w:start w:val="1"/>
      <w:numFmt w:val="lowerLetter"/>
      <w:isLgl w:val="false"/>
      <w:suff w:val="tab"/>
      <w:lvlText w:val="%8)"/>
      <w:lvlJc w:val="left"/>
      <w:pPr>
        <w:ind w:left="4070" w:hanging="420"/>
      </w:pPr>
    </w:lvl>
    <w:lvl w:ilvl="8">
      <w:start w:val="1"/>
      <w:numFmt w:val="lowerRoman"/>
      <w:isLgl w:val="false"/>
      <w:suff w:val="tab"/>
      <w:lvlText w:val="%9."/>
      <w:lvlJc w:val="right"/>
      <w:pPr>
        <w:ind w:left="4490" w:hanging="420"/>
      </w:pPr>
    </w:lvl>
  </w:abstractNum>
  <w:abstractNum w:abstractNumId="5">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tab"/>
      <w:lvlText w:val="%1."/>
      <w:lvlJc w:val="left"/>
      <w:pPr>
        <w:ind w:left="6" w:firstLine="420"/>
      </w:pPr>
      <w:rPr>
        <w:rFonts w:hint="eastAsia"/>
      </w:rPr>
    </w:lvl>
    <w:lvl w:ilvl="1">
      <w:start w:val="1"/>
      <w:numFmt w:val="decimal"/>
      <w:isLgl w:val="false"/>
      <w:suff w:val="tab"/>
      <w:lvlText w:val="%2)"/>
      <w:lvlJc w:val="left"/>
      <w:pPr>
        <w:ind w:left="1200" w:hanging="360"/>
      </w:pPr>
    </w:lvl>
    <w:lvl w:ilvl="2">
      <w:start w:val="1"/>
      <w:numFmt w:val="lowerRoman"/>
      <w:isLgl w:val="false"/>
      <w:suff w:val="tab"/>
      <w:lvlText w:val="%3."/>
      <w:lvlJc w:val="right"/>
      <w:pPr>
        <w:ind w:left="1680" w:hanging="420"/>
      </w:pPr>
      <w:rPr>
        <w:rFonts w:hint="eastAsia"/>
      </w:rPr>
    </w:lvl>
    <w:lvl w:ilvl="3">
      <w:start w:val="1"/>
      <w:numFmt w:val="decimal"/>
      <w:isLgl w:val="false"/>
      <w:suff w:val="tab"/>
      <w:lvlText w:val="%4."/>
      <w:lvlJc w:val="left"/>
      <w:pPr>
        <w:ind w:left="2100" w:hanging="420"/>
      </w:pPr>
      <w:rPr>
        <w:rFonts w:hint="eastAsia"/>
      </w:rPr>
    </w:lvl>
    <w:lvl w:ilvl="4">
      <w:start w:val="1"/>
      <w:numFmt w:val="lowerLetter"/>
      <w:isLgl w:val="false"/>
      <w:suff w:val="tab"/>
      <w:lvlText w:val="%5)"/>
      <w:lvlJc w:val="left"/>
      <w:pPr>
        <w:ind w:left="2520" w:hanging="420"/>
      </w:pPr>
      <w:rPr>
        <w:rFonts w:hint="eastAsia"/>
      </w:rPr>
    </w:lvl>
    <w:lvl w:ilvl="5">
      <w:start w:val="1"/>
      <w:numFmt w:val="lowerRoman"/>
      <w:isLgl w:val="false"/>
      <w:suff w:val="tab"/>
      <w:lvlText w:val="%6."/>
      <w:lvlJc w:val="right"/>
      <w:pPr>
        <w:ind w:left="2940" w:hanging="420"/>
      </w:pPr>
      <w:rPr>
        <w:rFonts w:hint="eastAsia"/>
      </w:rPr>
    </w:lvl>
    <w:lvl w:ilvl="6">
      <w:start w:val="1"/>
      <w:numFmt w:val="decimal"/>
      <w:isLgl w:val="false"/>
      <w:suff w:val="tab"/>
      <w:lvlText w:val="%7."/>
      <w:lvlJc w:val="left"/>
      <w:pPr>
        <w:ind w:left="3360" w:hanging="420"/>
      </w:pPr>
      <w:rPr>
        <w:rFonts w:hint="eastAsia"/>
      </w:rPr>
    </w:lvl>
    <w:lvl w:ilvl="7">
      <w:start w:val="1"/>
      <w:numFmt w:val="lowerLetter"/>
      <w:isLgl w:val="false"/>
      <w:suff w:val="tab"/>
      <w:lvlText w:val="%8)"/>
      <w:lvlJc w:val="left"/>
      <w:pPr>
        <w:ind w:left="3780" w:hanging="420"/>
      </w:pPr>
      <w:rPr>
        <w:rFonts w:hint="eastAsia"/>
      </w:rPr>
    </w:lvl>
    <w:lvl w:ilvl="8">
      <w:start w:val="1"/>
      <w:numFmt w:val="lowerRoman"/>
      <w:isLgl w:val="false"/>
      <w:suff w:val="tab"/>
      <w:lvlText w:val="%9."/>
      <w:lvlJc w:val="right"/>
      <w:pPr>
        <w:ind w:left="4200" w:hanging="420"/>
      </w:pPr>
      <w:rPr>
        <w:rFonts w:hint="eastAsia"/>
      </w:rPr>
    </w:lvl>
  </w:abstractNum>
  <w:abstractNum w:abstractNumId="7">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5"/>
      <w:isLgl w:val="false"/>
      <w:suff w:val="nothing"/>
      <w:lvlText w:val=""/>
      <w:lvlJc w:val="left"/>
      <w:pPr>
        <w:ind w:left="0" w:firstLine="0"/>
      </w:pPr>
      <w:rPr>
        <w:rFonts w:hint="eastAsia"/>
      </w:rPr>
    </w:lvl>
    <w:lvl w:ilvl="6">
      <w:start w:val="1"/>
      <w:numFmt w:val="decimal"/>
      <w:pStyle w:val="1057"/>
      <w:isLgl w:val="false"/>
      <w:suff w:val="nothing"/>
      <w:lvlText w:val=""/>
      <w:lvlJc w:val="left"/>
      <w:pPr>
        <w:ind w:left="0" w:firstLine="0"/>
      </w:pPr>
      <w:rPr>
        <w:rFonts w:hint="eastAsia"/>
      </w:rPr>
    </w:lvl>
    <w:lvl w:ilvl="7">
      <w:start w:val="1"/>
      <w:numFmt w:val="decimal"/>
      <w:pStyle w:val="1059"/>
      <w:isLgl w:val="false"/>
      <w:suff w:val="nothing"/>
      <w:lvlText w:val=""/>
      <w:lvlJc w:val="left"/>
      <w:pPr>
        <w:ind w:left="0" w:firstLine="0"/>
      </w:pPr>
      <w:rPr>
        <w:rFonts w:hint="eastAsia"/>
      </w:rPr>
    </w:lvl>
    <w:lvl w:ilvl="8">
      <w:start w:val="1"/>
      <w:numFmt w:val="decimal"/>
      <w:pStyle w:val="1061"/>
      <w:isLgl w:val="false"/>
      <w:suff w:val="nothing"/>
      <w:lvlText w:val=""/>
      <w:lvlJc w:val="left"/>
      <w:pPr>
        <w:ind w:left="0" w:firstLine="0"/>
      </w:pPr>
      <w:rPr>
        <w:rFonts w:hint="eastAsia"/>
      </w:rPr>
    </w:lvl>
  </w:abstractNum>
  <w:abstractNum w:abstractNumId="10">
    <w:multiLevelType w:val="hybridMultilevel"/>
    <w:lvl w:ilvl="0">
      <w:start w:val="1"/>
      <w:numFmt w:val="upperLetter"/>
      <w:pStyle w:val="11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3">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4">
    <w:multiLevelType w:val="hybridMultilevel"/>
    <w:lvl w:ilvl="0">
      <w:start w:val="1"/>
      <w:numFmt w:val="decimal"/>
      <w:pStyle w:val="113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1"/>
      <w:numFmt w:val="decimal"/>
      <w:isLgl w:val="false"/>
      <w:suff w:val="tab"/>
      <w:lvlText w:val="%1."/>
      <w:lvlJc w:val="left"/>
      <w:pPr>
        <w:ind w:left="846"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9"/>
  </w:num>
  <w:num w:numId="2">
    <w:abstractNumId w:val="10"/>
  </w:num>
  <w:num w:numId="3">
    <w:abstractNumId w:val="14"/>
  </w:num>
  <w:num w:numId="4">
    <w:abstractNumId w:val="8"/>
  </w:num>
  <w:num w:numId="5">
    <w:abstractNumId w:val="15"/>
  </w:num>
  <w:num w:numId="6">
    <w:abstractNumId w:val="6"/>
  </w:num>
  <w:num w:numId="7">
    <w:abstractNumId w:val="3"/>
  </w:num>
  <w:num w:numId="8">
    <w:abstractNumId w:val="4"/>
  </w:num>
  <w:num w:numId="9">
    <w:abstractNumId w:val="12"/>
  </w:num>
  <w:num w:numId="10">
    <w:abstractNumId w:val="11"/>
  </w:num>
  <w:num w:numId="11">
    <w:abstractNumId w:val="7"/>
  </w:num>
  <w:num w:numId="12">
    <w:abstractNumId w:val="5"/>
  </w:num>
  <w:num w:numId="13">
    <w:abstractNumId w:val="2"/>
  </w:num>
  <w:num w:numId="14">
    <w:abstractNumId w:val="13"/>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9">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8">
    <w:name w:val="TOC Heading"/>
    <w:uiPriority w:val="39"/>
    <w:unhideWhenUsed/>
  </w:style>
  <w:style w:type="paragraph" w:styleId="829" w:default="1">
    <w:name w:val="Normal"/>
    <w:qFormat/>
    <w:pPr>
      <w:jc w:val="both"/>
      <w:widowControl w:val="off"/>
    </w:pPr>
    <w:rPr>
      <w:sz w:val="21"/>
      <w:szCs w:val="21"/>
    </w:rPr>
  </w:style>
  <w:style w:type="paragraph" w:styleId="830">
    <w:name w:val="Heading 1"/>
    <w:basedOn w:val="829"/>
    <w:next w:val="829"/>
    <w:link w:val="893"/>
    <w:uiPriority w:val="9"/>
    <w:qFormat/>
    <w:pPr>
      <w:keepLines/>
      <w:keepNext/>
      <w:spacing w:before="480" w:after="200"/>
      <w:outlineLvl w:val="0"/>
    </w:pPr>
    <w:rPr>
      <w:rFonts w:ascii="Arial" w:hAnsi="Arial" w:eastAsia="Arial"/>
      <w:sz w:val="40"/>
      <w:szCs w:val="40"/>
    </w:rPr>
  </w:style>
  <w:style w:type="paragraph" w:styleId="831">
    <w:name w:val="Heading 2"/>
    <w:basedOn w:val="829"/>
    <w:next w:val="829"/>
    <w:link w:val="894"/>
    <w:uiPriority w:val="9"/>
    <w:qFormat/>
    <w:pPr>
      <w:keepLines/>
      <w:keepNext/>
      <w:spacing w:before="360" w:after="200"/>
      <w:outlineLvl w:val="1"/>
    </w:pPr>
    <w:rPr>
      <w:rFonts w:ascii="Arial" w:hAnsi="Arial" w:eastAsia="Arial"/>
      <w:sz w:val="34"/>
      <w:szCs w:val="20"/>
    </w:rPr>
  </w:style>
  <w:style w:type="paragraph" w:styleId="832">
    <w:name w:val="Heading 3"/>
    <w:basedOn w:val="829"/>
    <w:next w:val="829"/>
    <w:link w:val="895"/>
    <w:qFormat/>
    <w:pPr>
      <w:keepLines/>
      <w:keepNext/>
      <w:spacing w:before="320" w:after="200"/>
      <w:outlineLvl w:val="2"/>
    </w:pPr>
    <w:rPr>
      <w:rFonts w:ascii="Arial" w:hAnsi="Arial" w:eastAsia="Arial"/>
      <w:sz w:val="30"/>
      <w:szCs w:val="30"/>
    </w:rPr>
  </w:style>
  <w:style w:type="paragraph" w:styleId="833">
    <w:name w:val="Heading 4"/>
    <w:basedOn w:val="829"/>
    <w:next w:val="829"/>
    <w:link w:val="896"/>
    <w:qFormat/>
    <w:pPr>
      <w:keepLines/>
      <w:keepNext/>
      <w:spacing w:before="320" w:after="200"/>
      <w:outlineLvl w:val="3"/>
    </w:pPr>
    <w:rPr>
      <w:rFonts w:ascii="Arial" w:hAnsi="Arial" w:eastAsia="Arial"/>
      <w:b/>
      <w:bCs/>
      <w:sz w:val="26"/>
      <w:szCs w:val="26"/>
    </w:rPr>
  </w:style>
  <w:style w:type="paragraph" w:styleId="834">
    <w:name w:val="Heading 5"/>
    <w:basedOn w:val="829"/>
    <w:next w:val="829"/>
    <w:link w:val="897"/>
    <w:uiPriority w:val="9"/>
    <w:qFormat/>
    <w:pPr>
      <w:keepLines/>
      <w:keepNext/>
      <w:spacing w:before="320" w:after="200"/>
      <w:outlineLvl w:val="4"/>
    </w:pPr>
    <w:rPr>
      <w:rFonts w:ascii="Arial" w:hAnsi="Arial" w:eastAsia="Arial"/>
      <w:b/>
      <w:bCs/>
      <w:sz w:val="24"/>
      <w:szCs w:val="24"/>
    </w:rPr>
  </w:style>
  <w:style w:type="paragraph" w:styleId="835">
    <w:name w:val="Heading 6"/>
    <w:basedOn w:val="829"/>
    <w:next w:val="829"/>
    <w:link w:val="898"/>
    <w:uiPriority w:val="9"/>
    <w:qFormat/>
    <w:pPr>
      <w:keepLines/>
      <w:keepNext/>
      <w:spacing w:before="320" w:after="200"/>
      <w:outlineLvl w:val="5"/>
    </w:pPr>
    <w:rPr>
      <w:rFonts w:ascii="Arial" w:hAnsi="Arial" w:eastAsia="Arial"/>
      <w:b/>
      <w:bCs/>
      <w:sz w:val="22"/>
      <w:szCs w:val="22"/>
    </w:rPr>
  </w:style>
  <w:style w:type="paragraph" w:styleId="836">
    <w:name w:val="Heading 7"/>
    <w:basedOn w:val="829"/>
    <w:next w:val="829"/>
    <w:link w:val="899"/>
    <w:uiPriority w:val="9"/>
    <w:qFormat/>
    <w:pPr>
      <w:keepLines/>
      <w:keepNext/>
      <w:spacing w:before="320" w:after="200"/>
      <w:outlineLvl w:val="6"/>
    </w:pPr>
    <w:rPr>
      <w:rFonts w:ascii="Arial" w:hAnsi="Arial" w:eastAsia="Arial"/>
      <w:b/>
      <w:bCs/>
      <w:i/>
      <w:iCs/>
      <w:sz w:val="22"/>
      <w:szCs w:val="22"/>
    </w:rPr>
  </w:style>
  <w:style w:type="paragraph" w:styleId="837">
    <w:name w:val="Heading 8"/>
    <w:basedOn w:val="829"/>
    <w:next w:val="829"/>
    <w:link w:val="900"/>
    <w:uiPriority w:val="9"/>
    <w:qFormat/>
    <w:pPr>
      <w:keepLines/>
      <w:keepNext/>
      <w:spacing w:before="320" w:after="200"/>
      <w:outlineLvl w:val="7"/>
    </w:pPr>
    <w:rPr>
      <w:rFonts w:ascii="Arial" w:hAnsi="Arial" w:eastAsia="Arial"/>
      <w:i/>
      <w:iCs/>
      <w:sz w:val="22"/>
      <w:szCs w:val="22"/>
    </w:rPr>
  </w:style>
  <w:style w:type="paragraph" w:styleId="838">
    <w:name w:val="Heading 9"/>
    <w:basedOn w:val="829"/>
    <w:next w:val="829"/>
    <w:link w:val="901"/>
    <w:uiPriority w:val="9"/>
    <w:qFormat/>
    <w:pPr>
      <w:keepLines/>
      <w:keepNext/>
      <w:spacing w:before="320" w:after="200"/>
      <w:outlineLvl w:val="8"/>
    </w:pPr>
    <w:rPr>
      <w:rFonts w:ascii="Arial" w:hAnsi="Arial" w:eastAsia="Arial"/>
      <w:i/>
      <w:iCs/>
    </w:rPr>
  </w:style>
  <w:style w:type="character" w:styleId="839" w:default="1">
    <w:name w:val="Default Paragraph Font"/>
    <w:uiPriority w:val="1"/>
    <w:semiHidden/>
    <w:unhideWhenUsed/>
  </w:style>
  <w:style w:type="table" w:styleId="840" w:default="1">
    <w:name w:val="Normal Table"/>
    <w:uiPriority w:val="99"/>
    <w:semiHidden/>
    <w:unhideWhenUsed/>
    <w:qFormat/>
    <w:tblPr>
      <w:tblInd w:w="0" w:type="dxa"/>
      <w:tblCellMar>
        <w:left w:w="108" w:type="dxa"/>
        <w:top w:w="0" w:type="dxa"/>
        <w:right w:w="108" w:type="dxa"/>
        <w:bottom w:w="0" w:type="dxa"/>
      </w:tblCellMar>
    </w:tblPr>
  </w:style>
  <w:style w:type="numbering" w:styleId="841" w:default="1">
    <w:name w:val="No List"/>
    <w:uiPriority w:val="99"/>
    <w:semiHidden/>
    <w:unhideWhenUsed/>
  </w:style>
  <w:style w:type="paragraph" w:styleId="842">
    <w:name w:val="toc 7"/>
    <w:basedOn w:val="829"/>
    <w:next w:val="829"/>
    <w:uiPriority w:val="39"/>
    <w:unhideWhenUsed/>
    <w:qFormat/>
    <w:pPr>
      <w:ind w:left="1701"/>
      <w:spacing w:after="57"/>
    </w:pPr>
  </w:style>
  <w:style w:type="paragraph" w:styleId="843">
    <w:name w:val="Caption"/>
    <w:basedOn w:val="829"/>
    <w:next w:val="829"/>
    <w:uiPriority w:val="35"/>
    <w:qFormat/>
    <w:pPr>
      <w:spacing w:line="276" w:lineRule="auto"/>
    </w:pPr>
    <w:rPr>
      <w:b/>
      <w:bCs/>
      <w:color w:val="4f81bd"/>
      <w:sz w:val="18"/>
      <w:szCs w:val="18"/>
    </w:rPr>
  </w:style>
  <w:style w:type="paragraph" w:styleId="844">
    <w:name w:val="annotation text"/>
    <w:basedOn w:val="829"/>
    <w:link w:val="1169"/>
    <w:uiPriority w:val="99"/>
    <w:semiHidden/>
    <w:unhideWhenUsed/>
    <w:qFormat/>
    <w:pPr>
      <w:jc w:val="left"/>
    </w:pPr>
  </w:style>
  <w:style w:type="paragraph" w:styleId="845">
    <w:name w:val="Body Text"/>
    <w:basedOn w:val="829"/>
    <w:next w:val="829"/>
    <w:uiPriority w:val="99"/>
    <w:unhideWhenUsed/>
    <w:qFormat/>
    <w:pPr>
      <w:spacing w:after="120"/>
    </w:pPr>
  </w:style>
  <w:style w:type="paragraph" w:styleId="846">
    <w:name w:val="Body Text Indent"/>
    <w:basedOn w:val="829"/>
    <w:next w:val="847"/>
    <w:qFormat/>
    <w:pPr>
      <w:ind w:left="765"/>
    </w:pPr>
    <w:rPr>
      <w:rFonts w:ascii="仿宋_GB2312" w:eastAsia="仿宋_GB2312"/>
      <w:sz w:val="28"/>
    </w:rPr>
  </w:style>
  <w:style w:type="paragraph" w:styleId="847">
    <w:name w:val="envelope return"/>
    <w:basedOn w:val="829"/>
    <w:uiPriority w:val="99"/>
    <w:unhideWhenUsed/>
    <w:qFormat/>
    <w:rPr>
      <w:rFonts w:ascii="Arial" w:hAnsi="Arial"/>
    </w:rPr>
  </w:style>
  <w:style w:type="paragraph" w:styleId="848">
    <w:name w:val="toc 5"/>
    <w:basedOn w:val="829"/>
    <w:next w:val="829"/>
    <w:uiPriority w:val="39"/>
    <w:unhideWhenUsed/>
    <w:qFormat/>
    <w:pPr>
      <w:ind w:left="1134"/>
      <w:spacing w:after="57"/>
    </w:pPr>
  </w:style>
  <w:style w:type="paragraph" w:styleId="849">
    <w:name w:val="toc 3"/>
    <w:basedOn w:val="829"/>
    <w:next w:val="829"/>
    <w:uiPriority w:val="39"/>
    <w:unhideWhenUsed/>
    <w:qFormat/>
    <w:pPr>
      <w:ind w:left="567"/>
      <w:spacing w:after="57"/>
    </w:pPr>
  </w:style>
  <w:style w:type="paragraph" w:styleId="850">
    <w:name w:val="Plain Text"/>
    <w:basedOn w:val="829"/>
    <w:qFormat/>
    <w:pPr>
      <w:jc w:val="left"/>
    </w:pPr>
    <w:rPr>
      <w:rFonts w:hAnsi="Courier New"/>
      <w:b/>
    </w:rPr>
  </w:style>
  <w:style w:type="paragraph" w:styleId="851">
    <w:name w:val="toc 8"/>
    <w:basedOn w:val="829"/>
    <w:next w:val="829"/>
    <w:uiPriority w:val="39"/>
    <w:unhideWhenUsed/>
    <w:qFormat/>
    <w:pPr>
      <w:ind w:left="1984"/>
      <w:spacing w:after="57"/>
    </w:pPr>
  </w:style>
  <w:style w:type="paragraph" w:styleId="852">
    <w:name w:val="endnote text"/>
    <w:basedOn w:val="829"/>
    <w:link w:val="902"/>
    <w:uiPriority w:val="99"/>
    <w:unhideWhenUsed/>
    <w:qFormat/>
    <w:rPr>
      <w:sz w:val="20"/>
      <w:szCs w:val="20"/>
    </w:rPr>
  </w:style>
  <w:style w:type="paragraph" w:styleId="853">
    <w:name w:val="Balloon Text"/>
    <w:basedOn w:val="829"/>
    <w:link w:val="1171"/>
    <w:uiPriority w:val="99"/>
    <w:semiHidden/>
    <w:unhideWhenUsed/>
    <w:qFormat/>
    <w:rPr>
      <w:sz w:val="18"/>
      <w:szCs w:val="18"/>
    </w:rPr>
  </w:style>
  <w:style w:type="paragraph" w:styleId="854">
    <w:name w:val="Footer"/>
    <w:basedOn w:val="829"/>
    <w:link w:val="903"/>
    <w:uiPriority w:val="99"/>
    <w:unhideWhenUsed/>
    <w:qFormat/>
    <w:pPr>
      <w:tabs>
        <w:tab w:val="center" w:pos="7143" w:leader="none"/>
        <w:tab w:val="right" w:pos="14287" w:leader="none"/>
      </w:tabs>
    </w:pPr>
  </w:style>
  <w:style w:type="paragraph" w:styleId="855">
    <w:name w:val="Header"/>
    <w:basedOn w:val="829"/>
    <w:link w:val="904"/>
    <w:uiPriority w:val="99"/>
    <w:unhideWhenUsed/>
    <w:qFormat/>
    <w:pPr>
      <w:tabs>
        <w:tab w:val="center" w:pos="7143" w:leader="none"/>
        <w:tab w:val="right" w:pos="14287" w:leader="none"/>
      </w:tabs>
    </w:pPr>
  </w:style>
  <w:style w:type="paragraph" w:styleId="856">
    <w:name w:val="toc 1"/>
    <w:basedOn w:val="829"/>
    <w:next w:val="829"/>
    <w:uiPriority w:val="39"/>
    <w:unhideWhenUsed/>
    <w:qFormat/>
    <w:pPr>
      <w:spacing w:after="57"/>
    </w:pPr>
    <w:rPr>
      <w:b/>
      <w:sz w:val="32"/>
    </w:rPr>
  </w:style>
  <w:style w:type="paragraph" w:styleId="857">
    <w:name w:val="toc 4"/>
    <w:basedOn w:val="829"/>
    <w:next w:val="829"/>
    <w:uiPriority w:val="39"/>
    <w:unhideWhenUsed/>
    <w:qFormat/>
    <w:pPr>
      <w:ind w:left="850"/>
      <w:spacing w:after="57"/>
    </w:pPr>
  </w:style>
  <w:style w:type="paragraph" w:styleId="858">
    <w:name w:val="Subtitle"/>
    <w:basedOn w:val="829"/>
    <w:next w:val="829"/>
    <w:link w:val="905"/>
    <w:uiPriority w:val="11"/>
    <w:qFormat/>
    <w:pPr>
      <w:spacing w:before="200" w:after="200"/>
    </w:pPr>
    <w:rPr>
      <w:sz w:val="24"/>
      <w:szCs w:val="24"/>
    </w:rPr>
  </w:style>
  <w:style w:type="paragraph" w:styleId="859">
    <w:name w:val="footnote text"/>
    <w:basedOn w:val="829"/>
    <w:link w:val="906"/>
    <w:uiPriority w:val="99"/>
    <w:unhideWhenUsed/>
    <w:qFormat/>
    <w:pPr>
      <w:spacing w:after="40"/>
    </w:pPr>
    <w:rPr>
      <w:sz w:val="18"/>
      <w:szCs w:val="20"/>
    </w:rPr>
  </w:style>
  <w:style w:type="paragraph" w:styleId="860">
    <w:name w:val="toc 6"/>
    <w:basedOn w:val="829"/>
    <w:next w:val="829"/>
    <w:uiPriority w:val="39"/>
    <w:unhideWhenUsed/>
    <w:qFormat/>
    <w:pPr>
      <w:ind w:left="1417"/>
      <w:spacing w:after="57"/>
    </w:pPr>
  </w:style>
  <w:style w:type="paragraph" w:styleId="861">
    <w:name w:val="table of figures"/>
    <w:basedOn w:val="829"/>
    <w:next w:val="829"/>
    <w:uiPriority w:val="99"/>
    <w:unhideWhenUsed/>
    <w:qFormat/>
  </w:style>
  <w:style w:type="paragraph" w:styleId="862">
    <w:name w:val="toc 2"/>
    <w:basedOn w:val="829"/>
    <w:next w:val="829"/>
    <w:uiPriority w:val="39"/>
    <w:unhideWhenUsed/>
    <w:qFormat/>
    <w:pPr>
      <w:ind w:left="283"/>
      <w:spacing w:after="57"/>
    </w:pPr>
  </w:style>
  <w:style w:type="paragraph" w:styleId="863">
    <w:name w:val="toc 9"/>
    <w:basedOn w:val="829"/>
    <w:next w:val="829"/>
    <w:uiPriority w:val="39"/>
    <w:unhideWhenUsed/>
    <w:qFormat/>
    <w:pPr>
      <w:ind w:left="2268"/>
      <w:spacing w:after="57"/>
    </w:pPr>
  </w:style>
  <w:style w:type="paragraph" w:styleId="864">
    <w:name w:val="Normal (Web)"/>
    <w:basedOn w:val="829"/>
    <w:qFormat/>
    <w:pPr>
      <w:jc w:val="left"/>
      <w:spacing w:before="100" w:beforeAutospacing="1" w:after="100" w:afterAutospacing="1"/>
      <w:widowControl/>
    </w:pPr>
    <w:rPr>
      <w:rFonts w:ascii="宋体" w:hAnsi="宋体"/>
      <w:sz w:val="24"/>
      <w:szCs w:val="24"/>
    </w:rPr>
  </w:style>
  <w:style w:type="paragraph" w:styleId="865">
    <w:name w:val="Title"/>
    <w:basedOn w:val="829"/>
    <w:next w:val="829"/>
    <w:link w:val="907"/>
    <w:uiPriority w:val="10"/>
    <w:qFormat/>
    <w:pPr>
      <w:contextualSpacing/>
      <w:spacing w:before="300" w:after="200"/>
    </w:pPr>
    <w:rPr>
      <w:sz w:val="48"/>
      <w:szCs w:val="48"/>
    </w:rPr>
  </w:style>
  <w:style w:type="paragraph" w:styleId="866">
    <w:name w:val="annotation subject"/>
    <w:basedOn w:val="844"/>
    <w:next w:val="844"/>
    <w:link w:val="1170"/>
    <w:uiPriority w:val="99"/>
    <w:semiHidden/>
    <w:unhideWhenUsed/>
    <w:qFormat/>
    <w:rPr>
      <w:b/>
      <w:bCs/>
    </w:rPr>
  </w:style>
  <w:style w:type="table" w:styleId="867">
    <w:name w:val="Table Grid"/>
    <w:uiPriority w:val="39"/>
    <w:qFormat/>
    <w:tblPr>
      <w:tblCellMar>
        <w:left w:w="0" w:type="dxa"/>
        <w:top w:w="0" w:type="dxa"/>
        <w:right w:w="0" w:type="dxa"/>
        <w:bottom w:w="0" w:type="dxa"/>
      </w:tblCellMar>
    </w:tblPr>
  </w:style>
  <w:style w:type="character" w:styleId="868">
    <w:name w:val="endnote reference"/>
    <w:uiPriority w:val="99"/>
    <w:unhideWhenUsed/>
    <w:qFormat/>
    <w:rPr>
      <w:vertAlign w:val="superscript"/>
    </w:rPr>
  </w:style>
  <w:style w:type="character" w:styleId="869">
    <w:name w:val="Hyperlink"/>
    <w:uiPriority w:val="99"/>
    <w:unhideWhenUsed/>
    <w:qFormat/>
    <w:rPr>
      <w:color w:val="0000ff"/>
      <w:u w:val="single"/>
    </w:rPr>
  </w:style>
  <w:style w:type="character" w:styleId="870">
    <w:name w:val="annotation reference"/>
    <w:uiPriority w:val="99"/>
    <w:semiHidden/>
    <w:unhideWhenUsed/>
    <w:qFormat/>
    <w:rPr>
      <w:sz w:val="21"/>
      <w:szCs w:val="21"/>
    </w:rPr>
  </w:style>
  <w:style w:type="character" w:styleId="871">
    <w:name w:val="footnote reference"/>
    <w:uiPriority w:val="99"/>
    <w:unhideWhenUsed/>
    <w:qFormat/>
    <w:rPr>
      <w:vertAlign w:val="superscript"/>
    </w:rPr>
  </w:style>
  <w:style w:type="character" w:styleId="872" w:customStyle="1">
    <w:name w:val="Heading 1 Char"/>
    <w:uiPriority w:val="9"/>
    <w:qFormat/>
    <w:rPr>
      <w:rFonts w:ascii="Arial" w:hAnsi="Arial" w:eastAsia="Arial" w:cs="Arial"/>
      <w:sz w:val="40"/>
      <w:szCs w:val="40"/>
    </w:rPr>
  </w:style>
  <w:style w:type="character" w:styleId="873" w:customStyle="1">
    <w:name w:val="Heading 2 Char"/>
    <w:uiPriority w:val="9"/>
    <w:qFormat/>
    <w:rPr>
      <w:rFonts w:ascii="Arial" w:hAnsi="Arial" w:eastAsia="Arial" w:cs="Arial"/>
      <w:sz w:val="34"/>
    </w:rPr>
  </w:style>
  <w:style w:type="character" w:styleId="874" w:customStyle="1">
    <w:name w:val="Heading 3 Char"/>
    <w:uiPriority w:val="9"/>
    <w:qFormat/>
    <w:rPr>
      <w:rFonts w:ascii="Arial" w:hAnsi="Arial" w:eastAsia="Arial" w:cs="Arial"/>
      <w:sz w:val="30"/>
      <w:szCs w:val="30"/>
    </w:rPr>
  </w:style>
  <w:style w:type="character" w:styleId="875" w:customStyle="1">
    <w:name w:val="Heading 4 Char"/>
    <w:uiPriority w:val="9"/>
    <w:qFormat/>
    <w:rPr>
      <w:rFonts w:ascii="Arial" w:hAnsi="Arial" w:eastAsia="Arial" w:cs="Arial"/>
      <w:b/>
      <w:bCs/>
      <w:sz w:val="26"/>
      <w:szCs w:val="26"/>
    </w:rPr>
  </w:style>
  <w:style w:type="character" w:styleId="876" w:customStyle="1">
    <w:name w:val="Heading 5 Char"/>
    <w:uiPriority w:val="9"/>
    <w:qFormat/>
    <w:rPr>
      <w:rFonts w:ascii="Arial" w:hAnsi="Arial" w:eastAsia="Arial" w:cs="Arial"/>
      <w:b/>
      <w:bCs/>
      <w:sz w:val="24"/>
      <w:szCs w:val="24"/>
    </w:rPr>
  </w:style>
  <w:style w:type="character" w:styleId="877" w:customStyle="1">
    <w:name w:val="Heading 6 Char"/>
    <w:uiPriority w:val="9"/>
    <w:qFormat/>
    <w:rPr>
      <w:rFonts w:ascii="Arial" w:hAnsi="Arial" w:eastAsia="Arial" w:cs="Arial"/>
      <w:b/>
      <w:bCs/>
      <w:sz w:val="22"/>
      <w:szCs w:val="22"/>
    </w:rPr>
  </w:style>
  <w:style w:type="character" w:styleId="878" w:customStyle="1">
    <w:name w:val="Heading 7 Char"/>
    <w:uiPriority w:val="9"/>
    <w:qFormat/>
    <w:rPr>
      <w:rFonts w:ascii="Arial" w:hAnsi="Arial" w:eastAsia="Arial" w:cs="Arial"/>
      <w:b/>
      <w:bCs/>
      <w:i/>
      <w:iCs/>
      <w:sz w:val="22"/>
      <w:szCs w:val="22"/>
    </w:rPr>
  </w:style>
  <w:style w:type="character" w:styleId="879" w:customStyle="1">
    <w:name w:val="Heading 8 Char"/>
    <w:uiPriority w:val="9"/>
    <w:qFormat/>
    <w:rPr>
      <w:rFonts w:ascii="Arial" w:hAnsi="Arial" w:eastAsia="Arial" w:cs="Arial"/>
      <w:i/>
      <w:iCs/>
      <w:sz w:val="22"/>
      <w:szCs w:val="22"/>
    </w:rPr>
  </w:style>
  <w:style w:type="character" w:styleId="880" w:customStyle="1">
    <w:name w:val="Heading 9 Char"/>
    <w:uiPriority w:val="9"/>
    <w:qFormat/>
    <w:rPr>
      <w:rFonts w:ascii="Arial" w:hAnsi="Arial" w:eastAsia="Arial" w:cs="Arial"/>
      <w:i/>
      <w:iCs/>
      <w:sz w:val="21"/>
      <w:szCs w:val="21"/>
    </w:rPr>
  </w:style>
  <w:style w:type="paragraph" w:styleId="881">
    <w:name w:val="List Paragraph"/>
    <w:basedOn w:val="829"/>
    <w:uiPriority w:val="34"/>
    <w:qFormat/>
    <w:pPr>
      <w:contextualSpacing/>
      <w:ind w:left="720"/>
    </w:pPr>
  </w:style>
  <w:style w:type="paragraph" w:styleId="882">
    <w:name w:val="No Spacing"/>
    <w:uiPriority w:val="1"/>
    <w:qFormat/>
  </w:style>
  <w:style w:type="character" w:styleId="883" w:customStyle="1">
    <w:name w:val="Title Char"/>
    <w:uiPriority w:val="10"/>
    <w:qFormat/>
    <w:rPr>
      <w:sz w:val="48"/>
      <w:szCs w:val="48"/>
    </w:rPr>
  </w:style>
  <w:style w:type="character" w:styleId="884" w:customStyle="1">
    <w:name w:val="Subtitle Char"/>
    <w:uiPriority w:val="11"/>
    <w:qFormat/>
    <w:rPr>
      <w:sz w:val="24"/>
      <w:szCs w:val="24"/>
    </w:rPr>
  </w:style>
  <w:style w:type="paragraph" w:styleId="885">
    <w:name w:val="Quote"/>
    <w:basedOn w:val="829"/>
    <w:next w:val="829"/>
    <w:link w:val="918"/>
    <w:uiPriority w:val="29"/>
    <w:qFormat/>
    <w:pPr>
      <w:ind w:left="720" w:right="720"/>
    </w:pPr>
    <w:rPr>
      <w:i/>
      <w:sz w:val="20"/>
      <w:szCs w:val="20"/>
    </w:rPr>
  </w:style>
  <w:style w:type="character" w:styleId="886" w:customStyle="1">
    <w:name w:val="Quote Char"/>
    <w:uiPriority w:val="29"/>
    <w:qFormat/>
    <w:rPr>
      <w:i/>
    </w:rPr>
  </w:style>
  <w:style w:type="paragraph" w:styleId="887">
    <w:name w:val="Intense Quote"/>
    <w:basedOn w:val="829"/>
    <w:next w:val="829"/>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88" w:customStyle="1">
    <w:name w:val="Intense Quote Char"/>
    <w:uiPriority w:val="30"/>
    <w:qFormat/>
    <w:rPr>
      <w:i/>
    </w:rPr>
  </w:style>
  <w:style w:type="character" w:styleId="889" w:customStyle="1">
    <w:name w:val="Header Char"/>
    <w:uiPriority w:val="99"/>
    <w:qFormat/>
  </w:style>
  <w:style w:type="character" w:styleId="890" w:customStyle="1">
    <w:name w:val="Caption Char"/>
    <w:uiPriority w:val="99"/>
    <w:qFormat/>
  </w:style>
  <w:style w:type="character" w:styleId="891" w:customStyle="1">
    <w:name w:val="Footnote Text Char"/>
    <w:uiPriority w:val="99"/>
    <w:qFormat/>
    <w:rPr>
      <w:sz w:val="18"/>
    </w:rPr>
  </w:style>
  <w:style w:type="character" w:styleId="892" w:customStyle="1">
    <w:name w:val="Endnote Text Char"/>
    <w:uiPriority w:val="99"/>
    <w:qFormat/>
    <w:rPr>
      <w:sz w:val="20"/>
    </w:rPr>
  </w:style>
  <w:style w:type="character" w:styleId="893" w:customStyle="1">
    <w:name w:val="标题 1 Char1"/>
    <w:link w:val="830"/>
    <w:uiPriority w:val="9"/>
    <w:qFormat/>
    <w:rPr>
      <w:rFonts w:ascii="Arial" w:hAnsi="Arial" w:eastAsia="Arial" w:cs="Arial"/>
      <w:sz w:val="40"/>
      <w:szCs w:val="40"/>
    </w:rPr>
  </w:style>
  <w:style w:type="character" w:styleId="894" w:customStyle="1">
    <w:name w:val="标题 2 Char2"/>
    <w:link w:val="831"/>
    <w:qFormat/>
    <w:rPr>
      <w:rFonts w:ascii="Cambria" w:hAnsi="Cambria"/>
      <w:b/>
      <w:bCs/>
      <w:sz w:val="30"/>
      <w:szCs w:val="32"/>
    </w:rPr>
  </w:style>
  <w:style w:type="character" w:styleId="895" w:customStyle="1">
    <w:name w:val="标题 3 Char1"/>
    <w:link w:val="832"/>
    <w:uiPriority w:val="9"/>
    <w:qFormat/>
    <w:rPr>
      <w:rFonts w:ascii="Arial" w:hAnsi="Arial" w:eastAsia="Arial" w:cs="Arial"/>
      <w:sz w:val="30"/>
      <w:szCs w:val="30"/>
    </w:rPr>
  </w:style>
  <w:style w:type="character" w:styleId="896" w:customStyle="1">
    <w:name w:val="标题 4 Char1"/>
    <w:link w:val="833"/>
    <w:uiPriority w:val="9"/>
    <w:qFormat/>
    <w:rPr>
      <w:rFonts w:ascii="Arial" w:hAnsi="Arial" w:eastAsia="Arial" w:cs="Arial"/>
      <w:b/>
      <w:bCs/>
      <w:sz w:val="26"/>
      <w:szCs w:val="26"/>
    </w:rPr>
  </w:style>
  <w:style w:type="character" w:styleId="897" w:customStyle="1">
    <w:name w:val="标题 5 Char1"/>
    <w:link w:val="834"/>
    <w:uiPriority w:val="9"/>
    <w:qFormat/>
    <w:rPr>
      <w:rFonts w:ascii="Arial" w:hAnsi="Arial" w:eastAsia="Arial" w:cs="Arial"/>
      <w:b/>
      <w:bCs/>
      <w:sz w:val="24"/>
      <w:szCs w:val="24"/>
    </w:rPr>
  </w:style>
  <w:style w:type="character" w:styleId="898" w:customStyle="1">
    <w:name w:val="标题 6 Char1"/>
    <w:link w:val="835"/>
    <w:uiPriority w:val="9"/>
    <w:qFormat/>
    <w:rPr>
      <w:rFonts w:ascii="Arial" w:hAnsi="Arial" w:eastAsia="Arial" w:cs="Arial"/>
      <w:b/>
      <w:bCs/>
      <w:sz w:val="22"/>
      <w:szCs w:val="22"/>
    </w:rPr>
  </w:style>
  <w:style w:type="character" w:styleId="899" w:customStyle="1">
    <w:name w:val="标题 7 Char1"/>
    <w:link w:val="836"/>
    <w:uiPriority w:val="9"/>
    <w:qFormat/>
    <w:rPr>
      <w:rFonts w:ascii="Arial" w:hAnsi="Arial" w:eastAsia="Arial" w:cs="Arial"/>
      <w:b/>
      <w:bCs/>
      <w:i/>
      <w:iCs/>
      <w:sz w:val="22"/>
      <w:szCs w:val="22"/>
    </w:rPr>
  </w:style>
  <w:style w:type="character" w:styleId="900" w:customStyle="1">
    <w:name w:val="标题 8 Char1"/>
    <w:link w:val="837"/>
    <w:uiPriority w:val="9"/>
    <w:qFormat/>
    <w:rPr>
      <w:rFonts w:ascii="Arial" w:hAnsi="Arial" w:eastAsia="Arial" w:cs="Arial"/>
      <w:i/>
      <w:iCs/>
      <w:sz w:val="22"/>
      <w:szCs w:val="22"/>
    </w:rPr>
  </w:style>
  <w:style w:type="character" w:styleId="901" w:customStyle="1">
    <w:name w:val="标题 9 Char1"/>
    <w:link w:val="838"/>
    <w:uiPriority w:val="9"/>
    <w:qFormat/>
    <w:rPr>
      <w:rFonts w:ascii="Arial" w:hAnsi="Arial" w:eastAsia="Arial" w:cs="Arial"/>
      <w:i/>
      <w:iCs/>
      <w:sz w:val="21"/>
      <w:szCs w:val="21"/>
    </w:rPr>
  </w:style>
  <w:style w:type="character" w:styleId="902" w:customStyle="1">
    <w:name w:val="尾注文本 Char"/>
    <w:link w:val="852"/>
    <w:uiPriority w:val="99"/>
    <w:qFormat/>
    <w:rPr>
      <w:sz w:val="20"/>
    </w:rPr>
  </w:style>
  <w:style w:type="character" w:styleId="903" w:customStyle="1">
    <w:name w:val="页脚 Char1"/>
    <w:link w:val="854"/>
    <w:uiPriority w:val="99"/>
    <w:qFormat/>
  </w:style>
  <w:style w:type="character" w:styleId="904" w:customStyle="1">
    <w:name w:val="页眉 Char1"/>
    <w:link w:val="855"/>
    <w:uiPriority w:val="99"/>
    <w:qFormat/>
  </w:style>
  <w:style w:type="character" w:styleId="905" w:customStyle="1">
    <w:name w:val="副标题 Char"/>
    <w:link w:val="858"/>
    <w:uiPriority w:val="11"/>
    <w:qFormat/>
    <w:rPr>
      <w:sz w:val="24"/>
      <w:szCs w:val="24"/>
    </w:rPr>
  </w:style>
  <w:style w:type="character" w:styleId="906" w:customStyle="1">
    <w:name w:val="脚注文本 Char"/>
    <w:link w:val="859"/>
    <w:uiPriority w:val="99"/>
    <w:qFormat/>
    <w:rPr>
      <w:sz w:val="18"/>
    </w:rPr>
  </w:style>
  <w:style w:type="character" w:styleId="907" w:customStyle="1">
    <w:name w:val="标题 Char"/>
    <w:link w:val="865"/>
    <w:uiPriority w:val="10"/>
    <w:qFormat/>
    <w:rPr>
      <w:sz w:val="48"/>
      <w:szCs w:val="48"/>
    </w:rPr>
  </w:style>
  <w:style w:type="paragraph" w:styleId="908" w:customStyle="1">
    <w:name w:val="正文文本首行缩进1"/>
    <w:basedOn w:val="845"/>
    <w:qFormat/>
    <w:pPr>
      <w:ind w:firstLine="420"/>
    </w:pPr>
    <w:rPr>
      <w:szCs w:val="24"/>
    </w:rPr>
  </w:style>
  <w:style w:type="paragraph" w:styleId="909" w:customStyle="1">
    <w:name w:val="正文文本首行缩进 21"/>
    <w:basedOn w:val="846"/>
    <w:uiPriority w:val="99"/>
    <w:unhideWhenUsed/>
    <w:qFormat/>
    <w:pPr>
      <w:ind w:left="420" w:firstLine="420"/>
      <w:spacing w:after="120"/>
    </w:pPr>
    <w:rPr>
      <w:sz w:val="21"/>
      <w:szCs w:val="24"/>
    </w:rPr>
  </w:style>
  <w:style w:type="character" w:styleId="910" w:customStyle="1">
    <w:name w:val="标题 2 Char1"/>
    <w:uiPriority w:val="9"/>
    <w:qFormat/>
    <w:rPr>
      <w:rFonts w:ascii="Arial" w:hAnsi="Arial" w:eastAsia="Arial" w:cs="Arial"/>
      <w:sz w:val="34"/>
    </w:rPr>
  </w:style>
  <w:style w:type="character" w:styleId="911" w:customStyle="1">
    <w:name w:val="标题 3 Char"/>
    <w:link w:val="912"/>
    <w:qFormat/>
    <w:rPr>
      <w:rFonts w:ascii="Times New Roman" w:hAnsi="Times New Roman" w:eastAsia="宋体" w:cs="Times New Roman"/>
      <w:b/>
      <w:bCs/>
      <w:sz w:val="32"/>
      <w:szCs w:val="32"/>
    </w:rPr>
  </w:style>
  <w:style w:type="paragraph" w:styleId="912" w:customStyle="1">
    <w:name w:val="标题 31"/>
    <w:basedOn w:val="829"/>
    <w:next w:val="913"/>
    <w:link w:val="911"/>
    <w:qFormat/>
    <w:pPr>
      <w:keepLines/>
      <w:keepNext/>
      <w:spacing w:before="260" w:after="260" w:line="416" w:lineRule="auto"/>
      <w:outlineLvl w:val="2"/>
    </w:pPr>
    <w:rPr>
      <w:b/>
      <w:bCs/>
      <w:sz w:val="32"/>
      <w:szCs w:val="32"/>
    </w:rPr>
  </w:style>
  <w:style w:type="paragraph" w:styleId="913" w:customStyle="1">
    <w:name w:val="正文缩进1"/>
    <w:basedOn w:val="829"/>
    <w:link w:val="914"/>
    <w:qFormat/>
    <w:pPr>
      <w:ind w:firstLine="420"/>
    </w:pPr>
    <w:rPr>
      <w:sz w:val="20"/>
    </w:rPr>
  </w:style>
  <w:style w:type="character" w:styleId="914" w:customStyle="1">
    <w:name w:val="正文缩进 Char"/>
    <w:link w:val="913"/>
    <w:qFormat/>
    <w:rPr>
      <w:rFonts w:ascii="Times New Roman" w:hAnsi="Times New Roman" w:eastAsia="宋体" w:cs="Times New Roman"/>
      <w:szCs w:val="21"/>
    </w:rPr>
  </w:style>
  <w:style w:type="character" w:styleId="915" w:customStyle="1">
    <w:name w:val="font5 Char"/>
    <w:qFormat/>
    <w:rPr>
      <w:rFonts w:ascii="宋体" w:hAnsi="宋体" w:eastAsia="宋体"/>
      <w:sz w:val="28"/>
      <w:szCs w:val="28"/>
      <w:lang w:val="en-US" w:eastAsia="zh-CN" w:bidi="ar-SA"/>
    </w:rPr>
  </w:style>
  <w:style w:type="paragraph" w:styleId="916" w:customStyle="1">
    <w:name w:val="列表段落1"/>
    <w:basedOn w:val="829"/>
    <w:link w:val="917"/>
    <w:uiPriority w:val="34"/>
    <w:qFormat/>
    <w:pPr>
      <w:contextualSpacing/>
      <w:ind w:left="720"/>
    </w:pPr>
  </w:style>
  <w:style w:type="character" w:styleId="917" w:customStyle="1">
    <w:name w:val="列表段落 字符"/>
    <w:link w:val="916"/>
    <w:uiPriority w:val="34"/>
    <w:qFormat/>
    <w:rPr>
      <w:sz w:val="21"/>
      <w:szCs w:val="21"/>
    </w:rPr>
  </w:style>
  <w:style w:type="character" w:styleId="918" w:customStyle="1">
    <w:name w:val="引用 Char"/>
    <w:link w:val="885"/>
    <w:uiPriority w:val="29"/>
    <w:qFormat/>
    <w:rPr>
      <w:i/>
    </w:rPr>
  </w:style>
  <w:style w:type="character" w:styleId="919" w:customStyle="1">
    <w:name w:val="明显引用 Char"/>
    <w:link w:val="887"/>
    <w:uiPriority w:val="30"/>
    <w:qFormat/>
    <w:rPr>
      <w:i/>
    </w:rPr>
  </w:style>
  <w:style w:type="character" w:styleId="920" w:customStyle="1">
    <w:name w:val="Footer Char"/>
    <w:uiPriority w:val="99"/>
    <w:qFormat/>
  </w:style>
  <w:style w:type="table" w:styleId="921" w:customStyle="1">
    <w:name w:val="Table Grid Light"/>
    <w:uiPriority w:val="59"/>
    <w:qFormat/>
    <w:tblPr>
      <w:tblCellMar>
        <w:left w:w="0" w:type="dxa"/>
        <w:top w:w="0" w:type="dxa"/>
        <w:right w:w="0" w:type="dxa"/>
        <w:bottom w:w="0" w:type="dxa"/>
      </w:tblCellMar>
    </w:tblPr>
  </w:style>
  <w:style w:type="table" w:styleId="922" w:customStyle="1">
    <w:name w:val="无格式表格 11"/>
    <w:uiPriority w:val="59"/>
    <w:qFormat/>
    <w:tblPr>
      <w:tblCellMar>
        <w:left w:w="0" w:type="dxa"/>
        <w:top w:w="0" w:type="dxa"/>
        <w:right w:w="0" w:type="dxa"/>
        <w:bottom w:w="0" w:type="dxa"/>
      </w:tblCellMar>
    </w:tblPr>
  </w:style>
  <w:style w:type="table" w:styleId="923" w:customStyle="1">
    <w:name w:val="无格式表格 21"/>
    <w:uiPriority w:val="59"/>
    <w:qFormat/>
    <w:tblPr>
      <w:tblCellMar>
        <w:left w:w="0" w:type="dxa"/>
        <w:top w:w="0" w:type="dxa"/>
        <w:right w:w="0" w:type="dxa"/>
        <w:bottom w:w="0" w:type="dxa"/>
      </w:tblCellMar>
    </w:tblPr>
  </w:style>
  <w:style w:type="table" w:styleId="924" w:customStyle="1">
    <w:name w:val="无格式表格 31"/>
    <w:uiPriority w:val="99"/>
    <w:qFormat/>
    <w:tblPr>
      <w:tblCellMar>
        <w:left w:w="0" w:type="dxa"/>
        <w:top w:w="0" w:type="dxa"/>
        <w:right w:w="0" w:type="dxa"/>
        <w:bottom w:w="0" w:type="dxa"/>
      </w:tblCellMar>
    </w:tblPr>
  </w:style>
  <w:style w:type="table" w:styleId="925" w:customStyle="1">
    <w:name w:val="无格式表格 41"/>
    <w:uiPriority w:val="99"/>
    <w:qFormat/>
    <w:tblPr>
      <w:tblCellMar>
        <w:left w:w="0" w:type="dxa"/>
        <w:top w:w="0" w:type="dxa"/>
        <w:right w:w="0" w:type="dxa"/>
        <w:bottom w:w="0" w:type="dxa"/>
      </w:tblCellMar>
    </w:tblPr>
  </w:style>
  <w:style w:type="table" w:styleId="926" w:customStyle="1">
    <w:name w:val="无格式表格 51"/>
    <w:uiPriority w:val="99"/>
    <w:qFormat/>
    <w:tblPr>
      <w:tblCellMar>
        <w:left w:w="0" w:type="dxa"/>
        <w:top w:w="0" w:type="dxa"/>
        <w:right w:w="0" w:type="dxa"/>
        <w:bottom w:w="0" w:type="dxa"/>
      </w:tblCellMar>
    </w:tblPr>
  </w:style>
  <w:style w:type="table" w:styleId="927" w:customStyle="1">
    <w:name w:val="网格表 1 浅色1"/>
    <w:uiPriority w:val="99"/>
    <w:qFormat/>
    <w:tblPr>
      <w:tblCellMar>
        <w:left w:w="0" w:type="dxa"/>
        <w:top w:w="0" w:type="dxa"/>
        <w:right w:w="0" w:type="dxa"/>
        <w:bottom w:w="0" w:type="dxa"/>
      </w:tblCellMar>
    </w:tblPr>
  </w:style>
  <w:style w:type="table" w:styleId="928" w:customStyle="1">
    <w:name w:val="Grid Table 1 Light - Accent 1"/>
    <w:uiPriority w:val="99"/>
    <w:qFormat/>
    <w:tblPr>
      <w:tblCellMar>
        <w:left w:w="0" w:type="dxa"/>
        <w:top w:w="0" w:type="dxa"/>
        <w:right w:w="0" w:type="dxa"/>
        <w:bottom w:w="0" w:type="dxa"/>
      </w:tblCellMar>
    </w:tblPr>
  </w:style>
  <w:style w:type="table" w:styleId="929" w:customStyle="1">
    <w:name w:val="Grid Table 1 Light - Accent 2"/>
    <w:uiPriority w:val="99"/>
    <w:qFormat/>
    <w:tblPr>
      <w:tblCellMar>
        <w:left w:w="0" w:type="dxa"/>
        <w:top w:w="0" w:type="dxa"/>
        <w:right w:w="0" w:type="dxa"/>
        <w:bottom w:w="0" w:type="dxa"/>
      </w:tblCellMar>
    </w:tblPr>
  </w:style>
  <w:style w:type="table" w:styleId="930" w:customStyle="1">
    <w:name w:val="Grid Table 1 Light - Accent 3"/>
    <w:uiPriority w:val="99"/>
    <w:qFormat/>
    <w:tblPr>
      <w:tblCellMar>
        <w:left w:w="0" w:type="dxa"/>
        <w:top w:w="0" w:type="dxa"/>
        <w:right w:w="0" w:type="dxa"/>
        <w:bottom w:w="0" w:type="dxa"/>
      </w:tblCellMar>
    </w:tblPr>
  </w:style>
  <w:style w:type="table" w:styleId="931" w:customStyle="1">
    <w:name w:val="Grid Table 1 Light - Accent 4"/>
    <w:uiPriority w:val="99"/>
    <w:qFormat/>
    <w:tblPr>
      <w:tblCellMar>
        <w:left w:w="0" w:type="dxa"/>
        <w:top w:w="0" w:type="dxa"/>
        <w:right w:w="0" w:type="dxa"/>
        <w:bottom w:w="0" w:type="dxa"/>
      </w:tblCellMar>
    </w:tblPr>
  </w:style>
  <w:style w:type="table" w:styleId="932" w:customStyle="1">
    <w:name w:val="Grid Table 1 Light - Accent 5"/>
    <w:uiPriority w:val="99"/>
    <w:qFormat/>
    <w:tblPr>
      <w:tblCellMar>
        <w:left w:w="0" w:type="dxa"/>
        <w:top w:w="0" w:type="dxa"/>
        <w:right w:w="0" w:type="dxa"/>
        <w:bottom w:w="0" w:type="dxa"/>
      </w:tblCellMar>
    </w:tblPr>
  </w:style>
  <w:style w:type="table" w:styleId="933" w:customStyle="1">
    <w:name w:val="Grid Table 1 Light - Accent 6"/>
    <w:uiPriority w:val="99"/>
    <w:qFormat/>
    <w:tblPr>
      <w:tblCellMar>
        <w:left w:w="0" w:type="dxa"/>
        <w:top w:w="0" w:type="dxa"/>
        <w:right w:w="0" w:type="dxa"/>
        <w:bottom w:w="0" w:type="dxa"/>
      </w:tblCellMar>
    </w:tblPr>
  </w:style>
  <w:style w:type="table" w:styleId="934" w:customStyle="1">
    <w:name w:val="网格表 21"/>
    <w:uiPriority w:val="99"/>
    <w:qFormat/>
    <w:tblPr>
      <w:tblCellMar>
        <w:left w:w="0" w:type="dxa"/>
        <w:top w:w="0" w:type="dxa"/>
        <w:right w:w="0" w:type="dxa"/>
        <w:bottom w:w="0" w:type="dxa"/>
      </w:tblCellMar>
    </w:tblPr>
  </w:style>
  <w:style w:type="table" w:styleId="935" w:customStyle="1">
    <w:name w:val="Grid Table 2 - Accent 1"/>
    <w:uiPriority w:val="99"/>
    <w:qFormat/>
    <w:tblPr>
      <w:tblCellMar>
        <w:left w:w="0" w:type="dxa"/>
        <w:top w:w="0" w:type="dxa"/>
        <w:right w:w="0" w:type="dxa"/>
        <w:bottom w:w="0" w:type="dxa"/>
      </w:tblCellMar>
    </w:tblPr>
  </w:style>
  <w:style w:type="table" w:styleId="936" w:customStyle="1">
    <w:name w:val="Grid Table 2 - Accent 2"/>
    <w:uiPriority w:val="99"/>
    <w:qFormat/>
    <w:tblPr>
      <w:tblCellMar>
        <w:left w:w="0" w:type="dxa"/>
        <w:top w:w="0" w:type="dxa"/>
        <w:right w:w="0" w:type="dxa"/>
        <w:bottom w:w="0" w:type="dxa"/>
      </w:tblCellMar>
    </w:tblPr>
  </w:style>
  <w:style w:type="table" w:styleId="937" w:customStyle="1">
    <w:name w:val="Grid Table 2 - Accent 3"/>
    <w:uiPriority w:val="99"/>
    <w:qFormat/>
    <w:tblPr>
      <w:tblCellMar>
        <w:left w:w="0" w:type="dxa"/>
        <w:top w:w="0" w:type="dxa"/>
        <w:right w:w="0" w:type="dxa"/>
        <w:bottom w:w="0" w:type="dxa"/>
      </w:tblCellMar>
    </w:tblPr>
  </w:style>
  <w:style w:type="table" w:styleId="938" w:customStyle="1">
    <w:name w:val="Grid Table 2 - Accent 4"/>
    <w:uiPriority w:val="99"/>
    <w:qFormat/>
    <w:tblPr>
      <w:tblCellMar>
        <w:left w:w="0" w:type="dxa"/>
        <w:top w:w="0" w:type="dxa"/>
        <w:right w:w="0" w:type="dxa"/>
        <w:bottom w:w="0" w:type="dxa"/>
      </w:tblCellMar>
    </w:tblPr>
  </w:style>
  <w:style w:type="table" w:styleId="939" w:customStyle="1">
    <w:name w:val="Grid Table 2 - Accent 5"/>
    <w:uiPriority w:val="99"/>
    <w:qFormat/>
    <w:tblPr>
      <w:tblCellMar>
        <w:left w:w="0" w:type="dxa"/>
        <w:top w:w="0" w:type="dxa"/>
        <w:right w:w="0" w:type="dxa"/>
        <w:bottom w:w="0" w:type="dxa"/>
      </w:tblCellMar>
    </w:tblPr>
  </w:style>
  <w:style w:type="table" w:styleId="940" w:customStyle="1">
    <w:name w:val="Grid Table 2 - Accent 6"/>
    <w:uiPriority w:val="99"/>
    <w:qFormat/>
    <w:tblPr>
      <w:tblCellMar>
        <w:left w:w="0" w:type="dxa"/>
        <w:top w:w="0" w:type="dxa"/>
        <w:right w:w="0" w:type="dxa"/>
        <w:bottom w:w="0" w:type="dxa"/>
      </w:tblCellMar>
    </w:tblPr>
  </w:style>
  <w:style w:type="table" w:styleId="941" w:customStyle="1">
    <w:name w:val="网格表 31"/>
    <w:uiPriority w:val="99"/>
    <w:qFormat/>
    <w:tblPr>
      <w:tblCellMar>
        <w:left w:w="0" w:type="dxa"/>
        <w:top w:w="0" w:type="dxa"/>
        <w:right w:w="0" w:type="dxa"/>
        <w:bottom w:w="0" w:type="dxa"/>
      </w:tblCellMar>
    </w:tblPr>
  </w:style>
  <w:style w:type="table" w:styleId="942" w:customStyle="1">
    <w:name w:val="Grid Table 3 - Accent 1"/>
    <w:uiPriority w:val="99"/>
    <w:qFormat/>
    <w:tblPr>
      <w:tblCellMar>
        <w:left w:w="0" w:type="dxa"/>
        <w:top w:w="0" w:type="dxa"/>
        <w:right w:w="0" w:type="dxa"/>
        <w:bottom w:w="0" w:type="dxa"/>
      </w:tblCellMar>
    </w:tblPr>
  </w:style>
  <w:style w:type="table" w:styleId="943" w:customStyle="1">
    <w:name w:val="Grid Table 3 - Accent 2"/>
    <w:uiPriority w:val="99"/>
    <w:qFormat/>
    <w:tblPr>
      <w:tblCellMar>
        <w:left w:w="0" w:type="dxa"/>
        <w:top w:w="0" w:type="dxa"/>
        <w:right w:w="0" w:type="dxa"/>
        <w:bottom w:w="0" w:type="dxa"/>
      </w:tblCellMar>
    </w:tblPr>
  </w:style>
  <w:style w:type="table" w:styleId="944" w:customStyle="1">
    <w:name w:val="Grid Table 3 - Accent 3"/>
    <w:uiPriority w:val="99"/>
    <w:qFormat/>
    <w:tblPr>
      <w:tblCellMar>
        <w:left w:w="0" w:type="dxa"/>
        <w:top w:w="0" w:type="dxa"/>
        <w:right w:w="0" w:type="dxa"/>
        <w:bottom w:w="0" w:type="dxa"/>
      </w:tblCellMar>
    </w:tblPr>
  </w:style>
  <w:style w:type="table" w:styleId="945" w:customStyle="1">
    <w:name w:val="Grid Table 3 - Accent 4"/>
    <w:uiPriority w:val="99"/>
    <w:qFormat/>
    <w:tblPr>
      <w:tblCellMar>
        <w:left w:w="0" w:type="dxa"/>
        <w:top w:w="0" w:type="dxa"/>
        <w:right w:w="0" w:type="dxa"/>
        <w:bottom w:w="0" w:type="dxa"/>
      </w:tblCellMar>
    </w:tblPr>
  </w:style>
  <w:style w:type="table" w:styleId="946" w:customStyle="1">
    <w:name w:val="Grid Table 3 - Accent 5"/>
    <w:uiPriority w:val="99"/>
    <w:qFormat/>
    <w:tblPr>
      <w:tblCellMar>
        <w:left w:w="0" w:type="dxa"/>
        <w:top w:w="0" w:type="dxa"/>
        <w:right w:w="0" w:type="dxa"/>
        <w:bottom w:w="0" w:type="dxa"/>
      </w:tblCellMar>
    </w:tblPr>
  </w:style>
  <w:style w:type="table" w:styleId="947" w:customStyle="1">
    <w:name w:val="Grid Table 3 - Accent 6"/>
    <w:uiPriority w:val="99"/>
    <w:qFormat/>
    <w:tblPr>
      <w:tblCellMar>
        <w:left w:w="0" w:type="dxa"/>
        <w:top w:w="0" w:type="dxa"/>
        <w:right w:w="0" w:type="dxa"/>
        <w:bottom w:w="0" w:type="dxa"/>
      </w:tblCellMar>
    </w:tblPr>
  </w:style>
  <w:style w:type="table" w:styleId="948" w:customStyle="1">
    <w:name w:val="网格表 41"/>
    <w:uiPriority w:val="59"/>
    <w:qFormat/>
    <w:tblPr>
      <w:tblCellMar>
        <w:left w:w="0" w:type="dxa"/>
        <w:top w:w="0" w:type="dxa"/>
        <w:right w:w="0" w:type="dxa"/>
        <w:bottom w:w="0" w:type="dxa"/>
      </w:tblCellMar>
    </w:tblPr>
  </w:style>
  <w:style w:type="table" w:styleId="949" w:customStyle="1">
    <w:name w:val="Grid Table 4 - Accent 1"/>
    <w:uiPriority w:val="59"/>
    <w:qFormat/>
    <w:tblPr>
      <w:tblCellMar>
        <w:left w:w="0" w:type="dxa"/>
        <w:top w:w="0" w:type="dxa"/>
        <w:right w:w="0" w:type="dxa"/>
        <w:bottom w:w="0" w:type="dxa"/>
      </w:tblCellMar>
    </w:tblPr>
  </w:style>
  <w:style w:type="table" w:styleId="950" w:customStyle="1">
    <w:name w:val="Grid Table 4 - Accent 2"/>
    <w:uiPriority w:val="59"/>
    <w:qFormat/>
    <w:tblPr>
      <w:tblCellMar>
        <w:left w:w="0" w:type="dxa"/>
        <w:top w:w="0" w:type="dxa"/>
        <w:right w:w="0" w:type="dxa"/>
        <w:bottom w:w="0" w:type="dxa"/>
      </w:tblCellMar>
    </w:tblPr>
  </w:style>
  <w:style w:type="table" w:styleId="951" w:customStyle="1">
    <w:name w:val="Grid Table 4 - Accent 3"/>
    <w:uiPriority w:val="59"/>
    <w:qFormat/>
    <w:tblPr>
      <w:tblCellMar>
        <w:left w:w="0" w:type="dxa"/>
        <w:top w:w="0" w:type="dxa"/>
        <w:right w:w="0" w:type="dxa"/>
        <w:bottom w:w="0" w:type="dxa"/>
      </w:tblCellMar>
    </w:tblPr>
  </w:style>
  <w:style w:type="table" w:styleId="952" w:customStyle="1">
    <w:name w:val="Grid Table 4 - Accent 4"/>
    <w:uiPriority w:val="59"/>
    <w:qFormat/>
    <w:tblPr>
      <w:tblCellMar>
        <w:left w:w="0" w:type="dxa"/>
        <w:top w:w="0" w:type="dxa"/>
        <w:right w:w="0" w:type="dxa"/>
        <w:bottom w:w="0" w:type="dxa"/>
      </w:tblCellMar>
    </w:tblPr>
  </w:style>
  <w:style w:type="table" w:styleId="953" w:customStyle="1">
    <w:name w:val="Grid Table 4 - Accent 5"/>
    <w:uiPriority w:val="59"/>
    <w:qFormat/>
    <w:tblPr>
      <w:tblCellMar>
        <w:left w:w="0" w:type="dxa"/>
        <w:top w:w="0" w:type="dxa"/>
        <w:right w:w="0" w:type="dxa"/>
        <w:bottom w:w="0" w:type="dxa"/>
      </w:tblCellMar>
    </w:tblPr>
  </w:style>
  <w:style w:type="table" w:styleId="954" w:customStyle="1">
    <w:name w:val="Grid Table 4 - Accent 6"/>
    <w:uiPriority w:val="59"/>
    <w:qFormat/>
    <w:tblPr>
      <w:tblCellMar>
        <w:left w:w="0" w:type="dxa"/>
        <w:top w:w="0" w:type="dxa"/>
        <w:right w:w="0" w:type="dxa"/>
        <w:bottom w:w="0" w:type="dxa"/>
      </w:tblCellMar>
    </w:tblPr>
  </w:style>
  <w:style w:type="table" w:styleId="955" w:customStyle="1">
    <w:name w:val="网格表 5 深色1"/>
    <w:uiPriority w:val="99"/>
    <w:qFormat/>
    <w:tblPr>
      <w:tblCellMar>
        <w:left w:w="0" w:type="dxa"/>
        <w:top w:w="0" w:type="dxa"/>
        <w:right w:w="0" w:type="dxa"/>
        <w:bottom w:w="0" w:type="dxa"/>
      </w:tblCellMar>
    </w:tblPr>
  </w:style>
  <w:style w:type="table" w:styleId="956" w:customStyle="1">
    <w:name w:val="Grid Table 5 Dark- Accent 1"/>
    <w:uiPriority w:val="99"/>
    <w:qFormat/>
    <w:tblPr>
      <w:tblCellMar>
        <w:left w:w="0" w:type="dxa"/>
        <w:top w:w="0" w:type="dxa"/>
        <w:right w:w="0" w:type="dxa"/>
        <w:bottom w:w="0" w:type="dxa"/>
      </w:tblCellMar>
    </w:tblPr>
  </w:style>
  <w:style w:type="table" w:styleId="957" w:customStyle="1">
    <w:name w:val="Grid Table 5 Dark - Accent 2"/>
    <w:uiPriority w:val="99"/>
    <w:qFormat/>
    <w:tblPr>
      <w:tblCellMar>
        <w:left w:w="0" w:type="dxa"/>
        <w:top w:w="0" w:type="dxa"/>
        <w:right w:w="0" w:type="dxa"/>
        <w:bottom w:w="0" w:type="dxa"/>
      </w:tblCellMar>
    </w:tblPr>
  </w:style>
  <w:style w:type="table" w:styleId="958" w:customStyle="1">
    <w:name w:val="Grid Table 5 Dark - Accent 3"/>
    <w:uiPriority w:val="99"/>
    <w:qFormat/>
    <w:tblPr>
      <w:tblCellMar>
        <w:left w:w="0" w:type="dxa"/>
        <w:top w:w="0" w:type="dxa"/>
        <w:right w:w="0" w:type="dxa"/>
        <w:bottom w:w="0" w:type="dxa"/>
      </w:tblCellMar>
    </w:tblPr>
  </w:style>
  <w:style w:type="table" w:styleId="959" w:customStyle="1">
    <w:name w:val="Grid Table 5 Dark- Accent 4"/>
    <w:uiPriority w:val="99"/>
    <w:qFormat/>
    <w:tblPr>
      <w:tblCellMar>
        <w:left w:w="0" w:type="dxa"/>
        <w:top w:w="0" w:type="dxa"/>
        <w:right w:w="0" w:type="dxa"/>
        <w:bottom w:w="0" w:type="dxa"/>
      </w:tblCellMar>
    </w:tblPr>
  </w:style>
  <w:style w:type="table" w:styleId="960" w:customStyle="1">
    <w:name w:val="Grid Table 5 Dark - Accent 5"/>
    <w:uiPriority w:val="99"/>
    <w:qFormat/>
    <w:tblPr>
      <w:tblCellMar>
        <w:left w:w="0" w:type="dxa"/>
        <w:top w:w="0" w:type="dxa"/>
        <w:right w:w="0" w:type="dxa"/>
        <w:bottom w:w="0" w:type="dxa"/>
      </w:tblCellMar>
    </w:tblPr>
  </w:style>
  <w:style w:type="table" w:styleId="961" w:customStyle="1">
    <w:name w:val="Grid Table 5 Dark - Accent 6"/>
    <w:uiPriority w:val="99"/>
    <w:qFormat/>
    <w:tblPr>
      <w:tblCellMar>
        <w:left w:w="0" w:type="dxa"/>
        <w:top w:w="0" w:type="dxa"/>
        <w:right w:w="0" w:type="dxa"/>
        <w:bottom w:w="0" w:type="dxa"/>
      </w:tblCellMar>
    </w:tblPr>
  </w:style>
  <w:style w:type="table" w:styleId="962" w:customStyle="1">
    <w:name w:val="网格表 6 彩色1"/>
    <w:uiPriority w:val="99"/>
    <w:qFormat/>
    <w:tblPr>
      <w:tblCellMar>
        <w:left w:w="0" w:type="dxa"/>
        <w:top w:w="0" w:type="dxa"/>
        <w:right w:w="0" w:type="dxa"/>
        <w:bottom w:w="0" w:type="dxa"/>
      </w:tblCellMar>
    </w:tblPr>
  </w:style>
  <w:style w:type="table" w:styleId="963" w:customStyle="1">
    <w:name w:val="Grid Table 6 Colorful - Accent 1"/>
    <w:uiPriority w:val="99"/>
    <w:qFormat/>
    <w:tblPr>
      <w:tblCellMar>
        <w:left w:w="0" w:type="dxa"/>
        <w:top w:w="0" w:type="dxa"/>
        <w:right w:w="0" w:type="dxa"/>
        <w:bottom w:w="0" w:type="dxa"/>
      </w:tblCellMar>
    </w:tblPr>
  </w:style>
  <w:style w:type="table" w:styleId="964" w:customStyle="1">
    <w:name w:val="Grid Table 6 Colorful - Accent 2"/>
    <w:uiPriority w:val="99"/>
    <w:qFormat/>
    <w:tblPr>
      <w:tblCellMar>
        <w:left w:w="0" w:type="dxa"/>
        <w:top w:w="0" w:type="dxa"/>
        <w:right w:w="0" w:type="dxa"/>
        <w:bottom w:w="0" w:type="dxa"/>
      </w:tblCellMar>
    </w:tblPr>
  </w:style>
  <w:style w:type="table" w:styleId="965" w:customStyle="1">
    <w:name w:val="Grid Table 6 Colorful - Accent 3"/>
    <w:uiPriority w:val="99"/>
    <w:qFormat/>
    <w:tblPr>
      <w:tblCellMar>
        <w:left w:w="0" w:type="dxa"/>
        <w:top w:w="0" w:type="dxa"/>
        <w:right w:w="0" w:type="dxa"/>
        <w:bottom w:w="0" w:type="dxa"/>
      </w:tblCellMar>
    </w:tblPr>
  </w:style>
  <w:style w:type="table" w:styleId="966" w:customStyle="1">
    <w:name w:val="Grid Table 6 Colorful - Accent 4"/>
    <w:uiPriority w:val="99"/>
    <w:qFormat/>
    <w:tblPr>
      <w:tblCellMar>
        <w:left w:w="0" w:type="dxa"/>
        <w:top w:w="0" w:type="dxa"/>
        <w:right w:w="0" w:type="dxa"/>
        <w:bottom w:w="0" w:type="dxa"/>
      </w:tblCellMar>
    </w:tblPr>
  </w:style>
  <w:style w:type="table" w:styleId="967" w:customStyle="1">
    <w:name w:val="Grid Table 6 Colorful - Accent 5"/>
    <w:uiPriority w:val="99"/>
    <w:qFormat/>
    <w:tblPr>
      <w:tblCellMar>
        <w:left w:w="0" w:type="dxa"/>
        <w:top w:w="0" w:type="dxa"/>
        <w:right w:w="0" w:type="dxa"/>
        <w:bottom w:w="0" w:type="dxa"/>
      </w:tblCellMar>
    </w:tblPr>
  </w:style>
  <w:style w:type="table" w:styleId="968" w:customStyle="1">
    <w:name w:val="Grid Table 6 Colorful - Accent 6"/>
    <w:uiPriority w:val="99"/>
    <w:qFormat/>
    <w:tblPr>
      <w:tblCellMar>
        <w:left w:w="0" w:type="dxa"/>
        <w:top w:w="0" w:type="dxa"/>
        <w:right w:w="0" w:type="dxa"/>
        <w:bottom w:w="0" w:type="dxa"/>
      </w:tblCellMar>
    </w:tblPr>
  </w:style>
  <w:style w:type="table" w:styleId="969" w:customStyle="1">
    <w:name w:val="网格表 7 彩色1"/>
    <w:uiPriority w:val="99"/>
    <w:qFormat/>
    <w:tblPr>
      <w:tblCellMar>
        <w:left w:w="0" w:type="dxa"/>
        <w:top w:w="0" w:type="dxa"/>
        <w:right w:w="0" w:type="dxa"/>
        <w:bottom w:w="0" w:type="dxa"/>
      </w:tblCellMar>
    </w:tblPr>
  </w:style>
  <w:style w:type="table" w:styleId="970" w:customStyle="1">
    <w:name w:val="Grid Table 7 Colorful - Accent 1"/>
    <w:uiPriority w:val="99"/>
    <w:qFormat/>
    <w:tblPr>
      <w:tblCellMar>
        <w:left w:w="0" w:type="dxa"/>
        <w:top w:w="0" w:type="dxa"/>
        <w:right w:w="0" w:type="dxa"/>
        <w:bottom w:w="0" w:type="dxa"/>
      </w:tblCellMar>
    </w:tblPr>
  </w:style>
  <w:style w:type="table" w:styleId="971" w:customStyle="1">
    <w:name w:val="Grid Table 7 Colorful - Accent 2"/>
    <w:uiPriority w:val="99"/>
    <w:qFormat/>
    <w:tblPr>
      <w:tblCellMar>
        <w:left w:w="0" w:type="dxa"/>
        <w:top w:w="0" w:type="dxa"/>
        <w:right w:w="0" w:type="dxa"/>
        <w:bottom w:w="0" w:type="dxa"/>
      </w:tblCellMar>
    </w:tblPr>
  </w:style>
  <w:style w:type="table" w:styleId="972" w:customStyle="1">
    <w:name w:val="Grid Table 7 Colorful - Accent 3"/>
    <w:uiPriority w:val="99"/>
    <w:qFormat/>
    <w:tblPr>
      <w:tblCellMar>
        <w:left w:w="0" w:type="dxa"/>
        <w:top w:w="0" w:type="dxa"/>
        <w:right w:w="0" w:type="dxa"/>
        <w:bottom w:w="0" w:type="dxa"/>
      </w:tblCellMar>
    </w:tblPr>
  </w:style>
  <w:style w:type="table" w:styleId="973" w:customStyle="1">
    <w:name w:val="Grid Table 7 Colorful - Accent 4"/>
    <w:uiPriority w:val="99"/>
    <w:qFormat/>
    <w:tblPr>
      <w:tblCellMar>
        <w:left w:w="0" w:type="dxa"/>
        <w:top w:w="0" w:type="dxa"/>
        <w:right w:w="0" w:type="dxa"/>
        <w:bottom w:w="0" w:type="dxa"/>
      </w:tblCellMar>
    </w:tblPr>
  </w:style>
  <w:style w:type="table" w:styleId="974" w:customStyle="1">
    <w:name w:val="Grid Table 7 Colorful - Accent 5"/>
    <w:uiPriority w:val="99"/>
    <w:qFormat/>
    <w:tblPr>
      <w:tblCellMar>
        <w:left w:w="0" w:type="dxa"/>
        <w:top w:w="0" w:type="dxa"/>
        <w:right w:w="0" w:type="dxa"/>
        <w:bottom w:w="0" w:type="dxa"/>
      </w:tblCellMar>
    </w:tblPr>
  </w:style>
  <w:style w:type="table" w:styleId="975" w:customStyle="1">
    <w:name w:val="Grid Table 7 Colorful - Accent 6"/>
    <w:uiPriority w:val="99"/>
    <w:qFormat/>
    <w:tblPr>
      <w:tblCellMar>
        <w:left w:w="0" w:type="dxa"/>
        <w:top w:w="0" w:type="dxa"/>
        <w:right w:w="0" w:type="dxa"/>
        <w:bottom w:w="0" w:type="dxa"/>
      </w:tblCellMar>
    </w:tblPr>
  </w:style>
  <w:style w:type="table" w:styleId="976" w:customStyle="1">
    <w:name w:val="清单表 1 浅色1"/>
    <w:uiPriority w:val="99"/>
    <w:qFormat/>
    <w:tblPr>
      <w:tblCellMar>
        <w:left w:w="0" w:type="dxa"/>
        <w:top w:w="0" w:type="dxa"/>
        <w:right w:w="0" w:type="dxa"/>
        <w:bottom w:w="0" w:type="dxa"/>
      </w:tblCellMar>
    </w:tblPr>
  </w:style>
  <w:style w:type="table" w:styleId="977" w:customStyle="1">
    <w:name w:val="List Table 1 Light - Accent 1"/>
    <w:uiPriority w:val="99"/>
    <w:qFormat/>
    <w:tblPr>
      <w:tblCellMar>
        <w:left w:w="0" w:type="dxa"/>
        <w:top w:w="0" w:type="dxa"/>
        <w:right w:w="0" w:type="dxa"/>
        <w:bottom w:w="0" w:type="dxa"/>
      </w:tblCellMar>
    </w:tblPr>
  </w:style>
  <w:style w:type="table" w:styleId="978" w:customStyle="1">
    <w:name w:val="List Table 1 Light - Accent 2"/>
    <w:uiPriority w:val="99"/>
    <w:qFormat/>
    <w:tblPr>
      <w:tblCellMar>
        <w:left w:w="0" w:type="dxa"/>
        <w:top w:w="0" w:type="dxa"/>
        <w:right w:w="0" w:type="dxa"/>
        <w:bottom w:w="0" w:type="dxa"/>
      </w:tblCellMar>
    </w:tblPr>
  </w:style>
  <w:style w:type="table" w:styleId="979" w:customStyle="1">
    <w:name w:val="List Table 1 Light - Accent 3"/>
    <w:uiPriority w:val="99"/>
    <w:qFormat/>
    <w:tblPr>
      <w:tblCellMar>
        <w:left w:w="0" w:type="dxa"/>
        <w:top w:w="0" w:type="dxa"/>
        <w:right w:w="0" w:type="dxa"/>
        <w:bottom w:w="0" w:type="dxa"/>
      </w:tblCellMar>
    </w:tblPr>
  </w:style>
  <w:style w:type="table" w:styleId="980" w:customStyle="1">
    <w:name w:val="List Table 1 Light - Accent 4"/>
    <w:uiPriority w:val="99"/>
    <w:qFormat/>
    <w:tblPr>
      <w:tblCellMar>
        <w:left w:w="0" w:type="dxa"/>
        <w:top w:w="0" w:type="dxa"/>
        <w:right w:w="0" w:type="dxa"/>
        <w:bottom w:w="0" w:type="dxa"/>
      </w:tblCellMar>
    </w:tblPr>
  </w:style>
  <w:style w:type="table" w:styleId="981" w:customStyle="1">
    <w:name w:val="List Table 1 Light - Accent 5"/>
    <w:uiPriority w:val="99"/>
    <w:qFormat/>
    <w:tblPr>
      <w:tblCellMar>
        <w:left w:w="0" w:type="dxa"/>
        <w:top w:w="0" w:type="dxa"/>
        <w:right w:w="0" w:type="dxa"/>
        <w:bottom w:w="0" w:type="dxa"/>
      </w:tblCellMar>
    </w:tblPr>
  </w:style>
  <w:style w:type="table" w:styleId="982" w:customStyle="1">
    <w:name w:val="List Table 1 Light - Accent 6"/>
    <w:uiPriority w:val="99"/>
    <w:qFormat/>
    <w:tblPr>
      <w:tblCellMar>
        <w:left w:w="0" w:type="dxa"/>
        <w:top w:w="0" w:type="dxa"/>
        <w:right w:w="0" w:type="dxa"/>
        <w:bottom w:w="0" w:type="dxa"/>
      </w:tblCellMar>
    </w:tblPr>
  </w:style>
  <w:style w:type="table" w:styleId="983" w:customStyle="1">
    <w:name w:val="清单表 21"/>
    <w:uiPriority w:val="99"/>
    <w:qFormat/>
    <w:tblPr>
      <w:tblCellMar>
        <w:left w:w="0" w:type="dxa"/>
        <w:top w:w="0" w:type="dxa"/>
        <w:right w:w="0" w:type="dxa"/>
        <w:bottom w:w="0" w:type="dxa"/>
      </w:tblCellMar>
    </w:tblPr>
  </w:style>
  <w:style w:type="table" w:styleId="984" w:customStyle="1">
    <w:name w:val="List Table 2 - Accent 1"/>
    <w:uiPriority w:val="99"/>
    <w:qFormat/>
    <w:tblPr>
      <w:tblCellMar>
        <w:left w:w="0" w:type="dxa"/>
        <w:top w:w="0" w:type="dxa"/>
        <w:right w:w="0" w:type="dxa"/>
        <w:bottom w:w="0" w:type="dxa"/>
      </w:tblCellMar>
    </w:tblPr>
  </w:style>
  <w:style w:type="table" w:styleId="985" w:customStyle="1">
    <w:name w:val="List Table 2 - Accent 2"/>
    <w:uiPriority w:val="99"/>
    <w:qFormat/>
    <w:tblPr>
      <w:tblCellMar>
        <w:left w:w="0" w:type="dxa"/>
        <w:top w:w="0" w:type="dxa"/>
        <w:right w:w="0" w:type="dxa"/>
        <w:bottom w:w="0" w:type="dxa"/>
      </w:tblCellMar>
    </w:tblPr>
  </w:style>
  <w:style w:type="table" w:styleId="986" w:customStyle="1">
    <w:name w:val="List Table 2 - Accent 3"/>
    <w:uiPriority w:val="99"/>
    <w:qFormat/>
    <w:tblPr>
      <w:tblCellMar>
        <w:left w:w="0" w:type="dxa"/>
        <w:top w:w="0" w:type="dxa"/>
        <w:right w:w="0" w:type="dxa"/>
        <w:bottom w:w="0" w:type="dxa"/>
      </w:tblCellMar>
    </w:tblPr>
  </w:style>
  <w:style w:type="table" w:styleId="987" w:customStyle="1">
    <w:name w:val="List Table 2 - Accent 4"/>
    <w:uiPriority w:val="99"/>
    <w:qFormat/>
    <w:tblPr>
      <w:tblCellMar>
        <w:left w:w="0" w:type="dxa"/>
        <w:top w:w="0" w:type="dxa"/>
        <w:right w:w="0" w:type="dxa"/>
        <w:bottom w:w="0" w:type="dxa"/>
      </w:tblCellMar>
    </w:tblPr>
  </w:style>
  <w:style w:type="table" w:styleId="988" w:customStyle="1">
    <w:name w:val="List Table 2 - Accent 5"/>
    <w:uiPriority w:val="99"/>
    <w:qFormat/>
    <w:tblPr>
      <w:tblCellMar>
        <w:left w:w="0" w:type="dxa"/>
        <w:top w:w="0" w:type="dxa"/>
        <w:right w:w="0" w:type="dxa"/>
        <w:bottom w:w="0" w:type="dxa"/>
      </w:tblCellMar>
    </w:tblPr>
  </w:style>
  <w:style w:type="table" w:styleId="989" w:customStyle="1">
    <w:name w:val="List Table 2 - Accent 6"/>
    <w:uiPriority w:val="99"/>
    <w:qFormat/>
    <w:tblPr>
      <w:tblCellMar>
        <w:left w:w="0" w:type="dxa"/>
        <w:top w:w="0" w:type="dxa"/>
        <w:right w:w="0" w:type="dxa"/>
        <w:bottom w:w="0" w:type="dxa"/>
      </w:tblCellMar>
    </w:tblPr>
  </w:style>
  <w:style w:type="table" w:styleId="990" w:customStyle="1">
    <w:name w:val="清单表 31"/>
    <w:uiPriority w:val="99"/>
    <w:qFormat/>
    <w:tblPr>
      <w:tblCellMar>
        <w:left w:w="0" w:type="dxa"/>
        <w:top w:w="0" w:type="dxa"/>
        <w:right w:w="0" w:type="dxa"/>
        <w:bottom w:w="0" w:type="dxa"/>
      </w:tblCellMar>
    </w:tblPr>
  </w:style>
  <w:style w:type="table" w:styleId="991" w:customStyle="1">
    <w:name w:val="List Table 3 - Accent 1"/>
    <w:uiPriority w:val="99"/>
    <w:qFormat/>
    <w:tblPr>
      <w:tblCellMar>
        <w:left w:w="0" w:type="dxa"/>
        <w:top w:w="0" w:type="dxa"/>
        <w:right w:w="0" w:type="dxa"/>
        <w:bottom w:w="0" w:type="dxa"/>
      </w:tblCellMar>
    </w:tblPr>
  </w:style>
  <w:style w:type="table" w:styleId="992" w:customStyle="1">
    <w:name w:val="List Table 3 - Accent 2"/>
    <w:uiPriority w:val="99"/>
    <w:qFormat/>
    <w:tblPr>
      <w:tblCellMar>
        <w:left w:w="0" w:type="dxa"/>
        <w:top w:w="0" w:type="dxa"/>
        <w:right w:w="0" w:type="dxa"/>
        <w:bottom w:w="0" w:type="dxa"/>
      </w:tblCellMar>
    </w:tblPr>
  </w:style>
  <w:style w:type="table" w:styleId="993" w:customStyle="1">
    <w:name w:val="List Table 3 - Accent 3"/>
    <w:uiPriority w:val="99"/>
    <w:qFormat/>
    <w:tblPr>
      <w:tblCellMar>
        <w:left w:w="0" w:type="dxa"/>
        <w:top w:w="0" w:type="dxa"/>
        <w:right w:w="0" w:type="dxa"/>
        <w:bottom w:w="0" w:type="dxa"/>
      </w:tblCellMar>
    </w:tblPr>
  </w:style>
  <w:style w:type="table" w:styleId="994" w:customStyle="1">
    <w:name w:val="List Table 3 - Accent 4"/>
    <w:uiPriority w:val="99"/>
    <w:qFormat/>
    <w:tblPr>
      <w:tblCellMar>
        <w:left w:w="0" w:type="dxa"/>
        <w:top w:w="0" w:type="dxa"/>
        <w:right w:w="0" w:type="dxa"/>
        <w:bottom w:w="0" w:type="dxa"/>
      </w:tblCellMar>
    </w:tblPr>
  </w:style>
  <w:style w:type="table" w:styleId="995" w:customStyle="1">
    <w:name w:val="List Table 3 - Accent 5"/>
    <w:uiPriority w:val="99"/>
    <w:qFormat/>
    <w:tblPr>
      <w:tblCellMar>
        <w:left w:w="0" w:type="dxa"/>
        <w:top w:w="0" w:type="dxa"/>
        <w:right w:w="0" w:type="dxa"/>
        <w:bottom w:w="0" w:type="dxa"/>
      </w:tblCellMar>
    </w:tblPr>
  </w:style>
  <w:style w:type="table" w:styleId="996" w:customStyle="1">
    <w:name w:val="List Table 3 - Accent 6"/>
    <w:uiPriority w:val="99"/>
    <w:qFormat/>
    <w:tblPr>
      <w:tblCellMar>
        <w:left w:w="0" w:type="dxa"/>
        <w:top w:w="0" w:type="dxa"/>
        <w:right w:w="0" w:type="dxa"/>
        <w:bottom w:w="0" w:type="dxa"/>
      </w:tblCellMar>
    </w:tblPr>
  </w:style>
  <w:style w:type="table" w:styleId="997" w:customStyle="1">
    <w:name w:val="清单表 41"/>
    <w:uiPriority w:val="99"/>
    <w:qFormat/>
    <w:tblPr>
      <w:tblCellMar>
        <w:left w:w="0" w:type="dxa"/>
        <w:top w:w="0" w:type="dxa"/>
        <w:right w:w="0" w:type="dxa"/>
        <w:bottom w:w="0" w:type="dxa"/>
      </w:tblCellMar>
    </w:tblPr>
  </w:style>
  <w:style w:type="table" w:styleId="998" w:customStyle="1">
    <w:name w:val="List Table 4 - Accent 1"/>
    <w:uiPriority w:val="99"/>
    <w:qFormat/>
    <w:tblPr>
      <w:tblCellMar>
        <w:left w:w="0" w:type="dxa"/>
        <w:top w:w="0" w:type="dxa"/>
        <w:right w:w="0" w:type="dxa"/>
        <w:bottom w:w="0" w:type="dxa"/>
      </w:tblCellMar>
    </w:tblPr>
  </w:style>
  <w:style w:type="table" w:styleId="999" w:customStyle="1">
    <w:name w:val="List Table 4 - Accent 2"/>
    <w:uiPriority w:val="99"/>
    <w:qFormat/>
    <w:tblPr>
      <w:tblCellMar>
        <w:left w:w="0" w:type="dxa"/>
        <w:top w:w="0" w:type="dxa"/>
        <w:right w:w="0" w:type="dxa"/>
        <w:bottom w:w="0" w:type="dxa"/>
      </w:tblCellMar>
    </w:tblPr>
  </w:style>
  <w:style w:type="table" w:styleId="1000" w:customStyle="1">
    <w:name w:val="List Table 4 - Accent 3"/>
    <w:uiPriority w:val="99"/>
    <w:qFormat/>
    <w:tblPr>
      <w:tblCellMar>
        <w:left w:w="0" w:type="dxa"/>
        <w:top w:w="0" w:type="dxa"/>
        <w:right w:w="0" w:type="dxa"/>
        <w:bottom w:w="0" w:type="dxa"/>
      </w:tblCellMar>
    </w:tblPr>
  </w:style>
  <w:style w:type="table" w:styleId="1001" w:customStyle="1">
    <w:name w:val="List Table 4 - Accent 4"/>
    <w:uiPriority w:val="99"/>
    <w:qFormat/>
    <w:tblPr>
      <w:tblCellMar>
        <w:left w:w="0" w:type="dxa"/>
        <w:top w:w="0" w:type="dxa"/>
        <w:right w:w="0" w:type="dxa"/>
        <w:bottom w:w="0" w:type="dxa"/>
      </w:tblCellMar>
    </w:tblPr>
  </w:style>
  <w:style w:type="table" w:styleId="1002" w:customStyle="1">
    <w:name w:val="List Table 4 - Accent 5"/>
    <w:uiPriority w:val="99"/>
    <w:qFormat/>
    <w:tblPr>
      <w:tblCellMar>
        <w:left w:w="0" w:type="dxa"/>
        <w:top w:w="0" w:type="dxa"/>
        <w:right w:w="0" w:type="dxa"/>
        <w:bottom w:w="0" w:type="dxa"/>
      </w:tblCellMar>
    </w:tblPr>
  </w:style>
  <w:style w:type="table" w:styleId="1003" w:customStyle="1">
    <w:name w:val="List Table 4 - Accent 6"/>
    <w:uiPriority w:val="99"/>
    <w:qFormat/>
    <w:tblPr>
      <w:tblCellMar>
        <w:left w:w="0" w:type="dxa"/>
        <w:top w:w="0" w:type="dxa"/>
        <w:right w:w="0" w:type="dxa"/>
        <w:bottom w:w="0" w:type="dxa"/>
      </w:tblCellMar>
    </w:tblPr>
  </w:style>
  <w:style w:type="table" w:styleId="1004" w:customStyle="1">
    <w:name w:val="清单表 5 深色1"/>
    <w:uiPriority w:val="99"/>
    <w:qFormat/>
    <w:tblPr>
      <w:tblCellMar>
        <w:left w:w="0" w:type="dxa"/>
        <w:top w:w="0" w:type="dxa"/>
        <w:right w:w="0" w:type="dxa"/>
        <w:bottom w:w="0" w:type="dxa"/>
      </w:tblCellMar>
    </w:tblPr>
  </w:style>
  <w:style w:type="table" w:styleId="1005" w:customStyle="1">
    <w:name w:val="List Table 5 Dark - Accent 1"/>
    <w:uiPriority w:val="99"/>
    <w:qFormat/>
    <w:tblPr>
      <w:tblCellMar>
        <w:left w:w="0" w:type="dxa"/>
        <w:top w:w="0" w:type="dxa"/>
        <w:right w:w="0" w:type="dxa"/>
        <w:bottom w:w="0" w:type="dxa"/>
      </w:tblCellMar>
    </w:tblPr>
  </w:style>
  <w:style w:type="table" w:styleId="1006" w:customStyle="1">
    <w:name w:val="List Table 5 Dark - Accent 2"/>
    <w:uiPriority w:val="99"/>
    <w:qFormat/>
    <w:tblPr>
      <w:tblCellMar>
        <w:left w:w="0" w:type="dxa"/>
        <w:top w:w="0" w:type="dxa"/>
        <w:right w:w="0" w:type="dxa"/>
        <w:bottom w:w="0" w:type="dxa"/>
      </w:tblCellMar>
    </w:tblPr>
  </w:style>
  <w:style w:type="table" w:styleId="1007" w:customStyle="1">
    <w:name w:val="List Table 5 Dark - Accent 3"/>
    <w:uiPriority w:val="99"/>
    <w:qFormat/>
    <w:tblPr>
      <w:tblCellMar>
        <w:left w:w="0" w:type="dxa"/>
        <w:top w:w="0" w:type="dxa"/>
        <w:right w:w="0" w:type="dxa"/>
        <w:bottom w:w="0" w:type="dxa"/>
      </w:tblCellMar>
    </w:tblPr>
  </w:style>
  <w:style w:type="table" w:styleId="1008" w:customStyle="1">
    <w:name w:val="List Table 5 Dark - Accent 4"/>
    <w:uiPriority w:val="99"/>
    <w:qFormat/>
    <w:tblPr>
      <w:tblCellMar>
        <w:left w:w="0" w:type="dxa"/>
        <w:top w:w="0" w:type="dxa"/>
        <w:right w:w="0" w:type="dxa"/>
        <w:bottom w:w="0" w:type="dxa"/>
      </w:tblCellMar>
    </w:tblPr>
  </w:style>
  <w:style w:type="table" w:styleId="1009" w:customStyle="1">
    <w:name w:val="List Table 5 Dark - Accent 5"/>
    <w:uiPriority w:val="99"/>
    <w:qFormat/>
    <w:tblPr>
      <w:tblCellMar>
        <w:left w:w="0" w:type="dxa"/>
        <w:top w:w="0" w:type="dxa"/>
        <w:right w:w="0" w:type="dxa"/>
        <w:bottom w:w="0" w:type="dxa"/>
      </w:tblCellMar>
    </w:tblPr>
  </w:style>
  <w:style w:type="table" w:styleId="1010" w:customStyle="1">
    <w:name w:val="List Table 5 Dark - Accent 6"/>
    <w:uiPriority w:val="99"/>
    <w:qFormat/>
    <w:tblPr>
      <w:tblCellMar>
        <w:left w:w="0" w:type="dxa"/>
        <w:top w:w="0" w:type="dxa"/>
        <w:right w:w="0" w:type="dxa"/>
        <w:bottom w:w="0" w:type="dxa"/>
      </w:tblCellMar>
    </w:tblPr>
  </w:style>
  <w:style w:type="table" w:styleId="1011" w:customStyle="1">
    <w:name w:val="清单表 6 彩色1"/>
    <w:uiPriority w:val="99"/>
    <w:qFormat/>
    <w:tblPr>
      <w:tblCellMar>
        <w:left w:w="0" w:type="dxa"/>
        <w:top w:w="0" w:type="dxa"/>
        <w:right w:w="0" w:type="dxa"/>
        <w:bottom w:w="0" w:type="dxa"/>
      </w:tblCellMar>
    </w:tblPr>
  </w:style>
  <w:style w:type="table" w:styleId="1012" w:customStyle="1">
    <w:name w:val="List Table 6 Colorful - Accent 1"/>
    <w:uiPriority w:val="99"/>
    <w:qFormat/>
    <w:tblPr>
      <w:tblCellMar>
        <w:left w:w="0" w:type="dxa"/>
        <w:top w:w="0" w:type="dxa"/>
        <w:right w:w="0" w:type="dxa"/>
        <w:bottom w:w="0" w:type="dxa"/>
      </w:tblCellMar>
    </w:tblPr>
  </w:style>
  <w:style w:type="table" w:styleId="1013" w:customStyle="1">
    <w:name w:val="List Table 6 Colorful - Accent 2"/>
    <w:uiPriority w:val="99"/>
    <w:qFormat/>
    <w:tblPr>
      <w:tblCellMar>
        <w:left w:w="0" w:type="dxa"/>
        <w:top w:w="0" w:type="dxa"/>
        <w:right w:w="0" w:type="dxa"/>
        <w:bottom w:w="0" w:type="dxa"/>
      </w:tblCellMar>
    </w:tblPr>
  </w:style>
  <w:style w:type="table" w:styleId="1014" w:customStyle="1">
    <w:name w:val="List Table 6 Colorful - Accent 3"/>
    <w:uiPriority w:val="99"/>
    <w:qFormat/>
    <w:tblPr>
      <w:tblCellMar>
        <w:left w:w="0" w:type="dxa"/>
        <w:top w:w="0" w:type="dxa"/>
        <w:right w:w="0" w:type="dxa"/>
        <w:bottom w:w="0" w:type="dxa"/>
      </w:tblCellMar>
    </w:tblPr>
  </w:style>
  <w:style w:type="table" w:styleId="1015" w:customStyle="1">
    <w:name w:val="List Table 6 Colorful - Accent 4"/>
    <w:uiPriority w:val="99"/>
    <w:qFormat/>
    <w:tblPr>
      <w:tblCellMar>
        <w:left w:w="0" w:type="dxa"/>
        <w:top w:w="0" w:type="dxa"/>
        <w:right w:w="0" w:type="dxa"/>
        <w:bottom w:w="0" w:type="dxa"/>
      </w:tblCellMar>
    </w:tblPr>
  </w:style>
  <w:style w:type="table" w:styleId="1016" w:customStyle="1">
    <w:name w:val="List Table 6 Colorful - Accent 5"/>
    <w:uiPriority w:val="99"/>
    <w:qFormat/>
    <w:tblPr>
      <w:tblCellMar>
        <w:left w:w="0" w:type="dxa"/>
        <w:top w:w="0" w:type="dxa"/>
        <w:right w:w="0" w:type="dxa"/>
        <w:bottom w:w="0" w:type="dxa"/>
      </w:tblCellMar>
    </w:tblPr>
  </w:style>
  <w:style w:type="table" w:styleId="1017" w:customStyle="1">
    <w:name w:val="List Table 6 Colorful - Accent 6"/>
    <w:uiPriority w:val="99"/>
    <w:qFormat/>
    <w:tblPr>
      <w:tblCellMar>
        <w:left w:w="0" w:type="dxa"/>
        <w:top w:w="0" w:type="dxa"/>
        <w:right w:w="0" w:type="dxa"/>
        <w:bottom w:w="0" w:type="dxa"/>
      </w:tblCellMar>
    </w:tblPr>
  </w:style>
  <w:style w:type="table" w:styleId="1018" w:customStyle="1">
    <w:name w:val="清单表 7 彩色1"/>
    <w:uiPriority w:val="99"/>
    <w:qFormat/>
    <w:tblPr>
      <w:tblCellMar>
        <w:left w:w="0" w:type="dxa"/>
        <w:top w:w="0" w:type="dxa"/>
        <w:right w:w="0" w:type="dxa"/>
        <w:bottom w:w="0" w:type="dxa"/>
      </w:tblCellMar>
    </w:tblPr>
  </w:style>
  <w:style w:type="table" w:styleId="1019" w:customStyle="1">
    <w:name w:val="List Table 7 Colorful - Accent 1"/>
    <w:uiPriority w:val="99"/>
    <w:qFormat/>
    <w:tblPr>
      <w:tblCellMar>
        <w:left w:w="0" w:type="dxa"/>
        <w:top w:w="0" w:type="dxa"/>
        <w:right w:w="0" w:type="dxa"/>
        <w:bottom w:w="0" w:type="dxa"/>
      </w:tblCellMar>
    </w:tblPr>
  </w:style>
  <w:style w:type="table" w:styleId="1020" w:customStyle="1">
    <w:name w:val="List Table 7 Colorful - Accent 2"/>
    <w:uiPriority w:val="99"/>
    <w:qFormat/>
    <w:tblPr>
      <w:tblCellMar>
        <w:left w:w="0" w:type="dxa"/>
        <w:top w:w="0" w:type="dxa"/>
        <w:right w:w="0" w:type="dxa"/>
        <w:bottom w:w="0" w:type="dxa"/>
      </w:tblCellMar>
    </w:tblPr>
  </w:style>
  <w:style w:type="table" w:styleId="1021" w:customStyle="1">
    <w:name w:val="List Table 7 Colorful - Accent 3"/>
    <w:uiPriority w:val="99"/>
    <w:qFormat/>
    <w:tblPr>
      <w:tblCellMar>
        <w:left w:w="0" w:type="dxa"/>
        <w:top w:w="0" w:type="dxa"/>
        <w:right w:w="0" w:type="dxa"/>
        <w:bottom w:w="0" w:type="dxa"/>
      </w:tblCellMar>
    </w:tblPr>
  </w:style>
  <w:style w:type="table" w:styleId="1022" w:customStyle="1">
    <w:name w:val="List Table 7 Colorful - Accent 4"/>
    <w:uiPriority w:val="99"/>
    <w:qFormat/>
    <w:tblPr>
      <w:tblCellMar>
        <w:left w:w="0" w:type="dxa"/>
        <w:top w:w="0" w:type="dxa"/>
        <w:right w:w="0" w:type="dxa"/>
        <w:bottom w:w="0" w:type="dxa"/>
      </w:tblCellMar>
    </w:tblPr>
  </w:style>
  <w:style w:type="table" w:styleId="1023" w:customStyle="1">
    <w:name w:val="List Table 7 Colorful - Accent 5"/>
    <w:uiPriority w:val="99"/>
    <w:qFormat/>
    <w:tblPr>
      <w:tblCellMar>
        <w:left w:w="0" w:type="dxa"/>
        <w:top w:w="0" w:type="dxa"/>
        <w:right w:w="0" w:type="dxa"/>
        <w:bottom w:w="0" w:type="dxa"/>
      </w:tblCellMar>
    </w:tblPr>
  </w:style>
  <w:style w:type="table" w:styleId="1024" w:customStyle="1">
    <w:name w:val="List Table 7 Colorful - Accent 6"/>
    <w:uiPriority w:val="99"/>
    <w:qFormat/>
    <w:tblPr>
      <w:tblCellMar>
        <w:left w:w="0" w:type="dxa"/>
        <w:top w:w="0" w:type="dxa"/>
        <w:right w:w="0" w:type="dxa"/>
        <w:bottom w:w="0" w:type="dxa"/>
      </w:tblCellMar>
    </w:tblPr>
  </w:style>
  <w:style w:type="table" w:styleId="1025" w:customStyle="1">
    <w:name w:val="Lined - Accent"/>
    <w:uiPriority w:val="99"/>
    <w:qFormat/>
    <w:rPr>
      <w:color w:val="404040"/>
    </w:rPr>
    <w:tblPr>
      <w:tblCellMar>
        <w:left w:w="0" w:type="dxa"/>
        <w:top w:w="0" w:type="dxa"/>
        <w:right w:w="0" w:type="dxa"/>
        <w:bottom w:w="0" w:type="dxa"/>
      </w:tblCellMar>
    </w:tblPr>
  </w:style>
  <w:style w:type="table" w:styleId="1026" w:customStyle="1">
    <w:name w:val="Lined - Accent 1"/>
    <w:uiPriority w:val="99"/>
    <w:qFormat/>
    <w:rPr>
      <w:color w:val="404040"/>
    </w:rPr>
    <w:tblPr>
      <w:tblCellMar>
        <w:left w:w="0" w:type="dxa"/>
        <w:top w:w="0" w:type="dxa"/>
        <w:right w:w="0" w:type="dxa"/>
        <w:bottom w:w="0" w:type="dxa"/>
      </w:tblCellMar>
    </w:tblPr>
  </w:style>
  <w:style w:type="table" w:styleId="1027" w:customStyle="1">
    <w:name w:val="Lined - Accent 2"/>
    <w:uiPriority w:val="99"/>
    <w:qFormat/>
    <w:rPr>
      <w:color w:val="404040"/>
    </w:rPr>
    <w:tblPr>
      <w:tblCellMar>
        <w:left w:w="0" w:type="dxa"/>
        <w:top w:w="0" w:type="dxa"/>
        <w:right w:w="0" w:type="dxa"/>
        <w:bottom w:w="0" w:type="dxa"/>
      </w:tblCellMar>
    </w:tblPr>
  </w:style>
  <w:style w:type="table" w:styleId="1028" w:customStyle="1">
    <w:name w:val="Lined - Accent 3"/>
    <w:uiPriority w:val="99"/>
    <w:qFormat/>
    <w:rPr>
      <w:color w:val="404040"/>
    </w:rPr>
    <w:tblPr>
      <w:tblCellMar>
        <w:left w:w="0" w:type="dxa"/>
        <w:top w:w="0" w:type="dxa"/>
        <w:right w:w="0" w:type="dxa"/>
        <w:bottom w:w="0" w:type="dxa"/>
      </w:tblCellMar>
    </w:tblPr>
  </w:style>
  <w:style w:type="table" w:styleId="1029" w:customStyle="1">
    <w:name w:val="Lined - Accent 4"/>
    <w:uiPriority w:val="99"/>
    <w:qFormat/>
    <w:rPr>
      <w:color w:val="404040"/>
    </w:rPr>
    <w:tblPr>
      <w:tblCellMar>
        <w:left w:w="0" w:type="dxa"/>
        <w:top w:w="0" w:type="dxa"/>
        <w:right w:w="0" w:type="dxa"/>
        <w:bottom w:w="0" w:type="dxa"/>
      </w:tblCellMar>
    </w:tblPr>
  </w:style>
  <w:style w:type="table" w:styleId="1030" w:customStyle="1">
    <w:name w:val="Lined - Accent 5"/>
    <w:uiPriority w:val="99"/>
    <w:qFormat/>
    <w:rPr>
      <w:color w:val="404040"/>
    </w:rPr>
    <w:tblPr>
      <w:tblCellMar>
        <w:left w:w="0" w:type="dxa"/>
        <w:top w:w="0" w:type="dxa"/>
        <w:right w:w="0" w:type="dxa"/>
        <w:bottom w:w="0" w:type="dxa"/>
      </w:tblCellMar>
    </w:tblPr>
  </w:style>
  <w:style w:type="table" w:styleId="1031" w:customStyle="1">
    <w:name w:val="Lined - Accent 6"/>
    <w:uiPriority w:val="99"/>
    <w:qFormat/>
    <w:rPr>
      <w:color w:val="404040"/>
    </w:rPr>
    <w:tblPr>
      <w:tblCellMar>
        <w:left w:w="0" w:type="dxa"/>
        <w:top w:w="0" w:type="dxa"/>
        <w:right w:w="0" w:type="dxa"/>
        <w:bottom w:w="0" w:type="dxa"/>
      </w:tblCellMar>
    </w:tblPr>
  </w:style>
  <w:style w:type="table" w:styleId="1032" w:customStyle="1">
    <w:name w:val="Bordered &amp; Lined - Accent"/>
    <w:uiPriority w:val="99"/>
    <w:qFormat/>
    <w:rPr>
      <w:color w:val="404040"/>
    </w:rPr>
    <w:tblPr>
      <w:tblCellMar>
        <w:left w:w="0" w:type="dxa"/>
        <w:top w:w="0" w:type="dxa"/>
        <w:right w:w="0" w:type="dxa"/>
        <w:bottom w:w="0" w:type="dxa"/>
      </w:tblCellMar>
    </w:tblPr>
  </w:style>
  <w:style w:type="table" w:styleId="1033" w:customStyle="1">
    <w:name w:val="Bordered &amp; Lined - Accent 1"/>
    <w:uiPriority w:val="99"/>
    <w:qFormat/>
    <w:rPr>
      <w:color w:val="404040"/>
    </w:rPr>
    <w:tblPr>
      <w:tblCellMar>
        <w:left w:w="0" w:type="dxa"/>
        <w:top w:w="0" w:type="dxa"/>
        <w:right w:w="0" w:type="dxa"/>
        <w:bottom w:w="0" w:type="dxa"/>
      </w:tblCellMar>
    </w:tblPr>
  </w:style>
  <w:style w:type="table" w:styleId="1034" w:customStyle="1">
    <w:name w:val="Bordered &amp; Lined - Accent 2"/>
    <w:uiPriority w:val="99"/>
    <w:qFormat/>
    <w:rPr>
      <w:color w:val="404040"/>
    </w:rPr>
    <w:tblPr>
      <w:tblCellMar>
        <w:left w:w="0" w:type="dxa"/>
        <w:top w:w="0" w:type="dxa"/>
        <w:right w:w="0" w:type="dxa"/>
        <w:bottom w:w="0" w:type="dxa"/>
      </w:tblCellMar>
    </w:tblPr>
  </w:style>
  <w:style w:type="table" w:styleId="1035" w:customStyle="1">
    <w:name w:val="Bordered &amp; Lined - Accent 3"/>
    <w:uiPriority w:val="99"/>
    <w:qFormat/>
    <w:rPr>
      <w:color w:val="404040"/>
    </w:rPr>
    <w:tblPr>
      <w:tblCellMar>
        <w:left w:w="0" w:type="dxa"/>
        <w:top w:w="0" w:type="dxa"/>
        <w:right w:w="0" w:type="dxa"/>
        <w:bottom w:w="0" w:type="dxa"/>
      </w:tblCellMar>
    </w:tblPr>
  </w:style>
  <w:style w:type="table" w:styleId="1036" w:customStyle="1">
    <w:name w:val="Bordered &amp; Lined - Accent 4"/>
    <w:uiPriority w:val="99"/>
    <w:qFormat/>
    <w:rPr>
      <w:color w:val="404040"/>
    </w:rPr>
    <w:tblPr>
      <w:tblCellMar>
        <w:left w:w="0" w:type="dxa"/>
        <w:top w:w="0" w:type="dxa"/>
        <w:right w:w="0" w:type="dxa"/>
        <w:bottom w:w="0" w:type="dxa"/>
      </w:tblCellMar>
    </w:tblPr>
  </w:style>
  <w:style w:type="table" w:styleId="1037" w:customStyle="1">
    <w:name w:val="Bordered &amp; Lined - Accent 5"/>
    <w:uiPriority w:val="99"/>
    <w:qFormat/>
    <w:rPr>
      <w:color w:val="404040"/>
    </w:rPr>
    <w:tblPr>
      <w:tblCellMar>
        <w:left w:w="0" w:type="dxa"/>
        <w:top w:w="0" w:type="dxa"/>
        <w:right w:w="0" w:type="dxa"/>
        <w:bottom w:w="0" w:type="dxa"/>
      </w:tblCellMar>
    </w:tblPr>
  </w:style>
  <w:style w:type="table" w:styleId="1038" w:customStyle="1">
    <w:name w:val="Bordered &amp; Lined - Accent 6"/>
    <w:uiPriority w:val="99"/>
    <w:qFormat/>
    <w:rPr>
      <w:color w:val="404040"/>
    </w:rPr>
    <w:tblPr>
      <w:tblCellMar>
        <w:left w:w="0" w:type="dxa"/>
        <w:top w:w="0" w:type="dxa"/>
        <w:right w:w="0" w:type="dxa"/>
        <w:bottom w:w="0" w:type="dxa"/>
      </w:tblCellMar>
    </w:tblPr>
  </w:style>
  <w:style w:type="table" w:styleId="1039" w:customStyle="1">
    <w:name w:val="Bordered"/>
    <w:uiPriority w:val="99"/>
    <w:qFormat/>
    <w:tblPr>
      <w:tblCellMar>
        <w:left w:w="0" w:type="dxa"/>
        <w:top w:w="0" w:type="dxa"/>
        <w:right w:w="0" w:type="dxa"/>
        <w:bottom w:w="0" w:type="dxa"/>
      </w:tblCellMar>
    </w:tblPr>
  </w:style>
  <w:style w:type="table" w:styleId="1040" w:customStyle="1">
    <w:name w:val="Bordered - Accent 1"/>
    <w:uiPriority w:val="99"/>
    <w:qFormat/>
    <w:tblPr>
      <w:tblCellMar>
        <w:left w:w="0" w:type="dxa"/>
        <w:top w:w="0" w:type="dxa"/>
        <w:right w:w="0" w:type="dxa"/>
        <w:bottom w:w="0" w:type="dxa"/>
      </w:tblCellMar>
    </w:tblPr>
  </w:style>
  <w:style w:type="table" w:styleId="1041" w:customStyle="1">
    <w:name w:val="Bordered - Accent 2"/>
    <w:uiPriority w:val="99"/>
    <w:qFormat/>
    <w:tblPr>
      <w:tblCellMar>
        <w:left w:w="0" w:type="dxa"/>
        <w:top w:w="0" w:type="dxa"/>
        <w:right w:w="0" w:type="dxa"/>
        <w:bottom w:w="0" w:type="dxa"/>
      </w:tblCellMar>
    </w:tblPr>
  </w:style>
  <w:style w:type="table" w:styleId="1042" w:customStyle="1">
    <w:name w:val="Bordered - Accent 3"/>
    <w:uiPriority w:val="99"/>
    <w:qFormat/>
    <w:tblPr>
      <w:tblCellMar>
        <w:left w:w="0" w:type="dxa"/>
        <w:top w:w="0" w:type="dxa"/>
        <w:right w:w="0" w:type="dxa"/>
        <w:bottom w:w="0" w:type="dxa"/>
      </w:tblCellMar>
    </w:tblPr>
  </w:style>
  <w:style w:type="table" w:styleId="1043" w:customStyle="1">
    <w:name w:val="Bordered - Accent 4"/>
    <w:uiPriority w:val="99"/>
    <w:qFormat/>
    <w:tblPr>
      <w:tblCellMar>
        <w:left w:w="0" w:type="dxa"/>
        <w:top w:w="0" w:type="dxa"/>
        <w:right w:w="0" w:type="dxa"/>
        <w:bottom w:w="0" w:type="dxa"/>
      </w:tblCellMar>
    </w:tblPr>
  </w:style>
  <w:style w:type="table" w:styleId="1044" w:customStyle="1">
    <w:name w:val="Bordered - Accent 5"/>
    <w:uiPriority w:val="99"/>
    <w:qFormat/>
    <w:tblPr>
      <w:tblCellMar>
        <w:left w:w="0" w:type="dxa"/>
        <w:top w:w="0" w:type="dxa"/>
        <w:right w:w="0" w:type="dxa"/>
        <w:bottom w:w="0" w:type="dxa"/>
      </w:tblCellMar>
    </w:tblPr>
  </w:style>
  <w:style w:type="table" w:styleId="1045" w:customStyle="1">
    <w:name w:val="Bordered - Accent 6"/>
    <w:uiPriority w:val="99"/>
    <w:qFormat/>
    <w:tblPr>
      <w:tblCellMar>
        <w:left w:w="0" w:type="dxa"/>
        <w:top w:w="0" w:type="dxa"/>
        <w:right w:w="0" w:type="dxa"/>
        <w:bottom w:w="0" w:type="dxa"/>
      </w:tblCellMar>
    </w:tblPr>
  </w:style>
  <w:style w:type="paragraph" w:styleId="1046" w:customStyle="1">
    <w:name w:val="TOC 标题1"/>
    <w:uiPriority w:val="39"/>
    <w:unhideWhenUsed/>
    <w:qFormat/>
  </w:style>
  <w:style w:type="paragraph" w:styleId="1047" w:customStyle="1">
    <w:name w:val="标题 11"/>
    <w:basedOn w:val="829"/>
    <w:next w:val="829"/>
    <w:link w:val="1048"/>
    <w:qFormat/>
    <w:pPr>
      <w:jc w:val="center"/>
      <w:keepNext/>
      <w:outlineLvl w:val="0"/>
    </w:pPr>
    <w:rPr>
      <w:rFonts w:ascii="楷体_GB2312" w:eastAsia="楷体_GB2312"/>
      <w:sz w:val="28"/>
      <w:szCs w:val="28"/>
    </w:rPr>
  </w:style>
  <w:style w:type="character" w:styleId="1048" w:customStyle="1">
    <w:name w:val="标题 1 Char"/>
    <w:link w:val="1047"/>
    <w:qFormat/>
    <w:rPr>
      <w:rFonts w:ascii="楷体_GB2312" w:hAnsi="Times New Roman" w:eastAsia="楷体_GB2312" w:cs="Times New Roman"/>
      <w:sz w:val="28"/>
      <w:szCs w:val="28"/>
    </w:rPr>
  </w:style>
  <w:style w:type="paragraph" w:styleId="1049" w:customStyle="1">
    <w:name w:val="标题 21"/>
    <w:basedOn w:val="829"/>
    <w:next w:val="913"/>
    <w:link w:val="1050"/>
    <w:qFormat/>
    <w:pPr>
      <w:jc w:val="center"/>
      <w:keepLines/>
      <w:keepNext/>
      <w:spacing w:before="260" w:after="260" w:line="416" w:lineRule="auto"/>
      <w:outlineLvl w:val="1"/>
    </w:pPr>
    <w:rPr>
      <w:rFonts w:ascii="Arial" w:hAnsi="Arial" w:eastAsia="幼圆"/>
      <w:b/>
      <w:bCs/>
      <w:sz w:val="44"/>
      <w:szCs w:val="44"/>
    </w:rPr>
  </w:style>
  <w:style w:type="character" w:styleId="1050" w:customStyle="1">
    <w:name w:val="标题 2 Char"/>
    <w:link w:val="1049"/>
    <w:qFormat/>
    <w:rPr>
      <w:rFonts w:ascii="Arial" w:hAnsi="Arial" w:eastAsia="幼圆" w:cs="Arial"/>
      <w:b/>
      <w:bCs/>
      <w:sz w:val="44"/>
      <w:szCs w:val="44"/>
    </w:rPr>
  </w:style>
  <w:style w:type="paragraph" w:styleId="1051" w:customStyle="1">
    <w:name w:val="标题 41"/>
    <w:basedOn w:val="829"/>
    <w:next w:val="913"/>
    <w:link w:val="1052"/>
    <w:qFormat/>
    <w:pPr>
      <w:keepLines/>
      <w:keepNext/>
      <w:spacing w:before="280" w:after="290" w:line="376" w:lineRule="auto"/>
      <w:outlineLvl w:val="3"/>
    </w:pPr>
    <w:rPr>
      <w:rFonts w:ascii="Arial" w:hAnsi="Arial" w:eastAsia="黑体"/>
      <w:b/>
      <w:bCs/>
      <w:sz w:val="28"/>
      <w:szCs w:val="28"/>
    </w:rPr>
  </w:style>
  <w:style w:type="character" w:styleId="1052" w:customStyle="1">
    <w:name w:val="标题 4 Char"/>
    <w:link w:val="1051"/>
    <w:qFormat/>
    <w:rPr>
      <w:rFonts w:ascii="Arial" w:hAnsi="Arial" w:eastAsia="黑体" w:cs="Arial"/>
      <w:b/>
      <w:bCs/>
      <w:sz w:val="28"/>
      <w:szCs w:val="28"/>
    </w:rPr>
  </w:style>
  <w:style w:type="paragraph" w:styleId="1053" w:customStyle="1">
    <w:name w:val="标题 51"/>
    <w:basedOn w:val="829"/>
    <w:next w:val="913"/>
    <w:link w:val="1054"/>
    <w:qFormat/>
    <w:pPr>
      <w:keepNext/>
      <w:outlineLvl w:val="4"/>
    </w:pPr>
    <w:rPr>
      <w:rFonts w:ascii="宋体"/>
      <w:color w:val="000000"/>
      <w:sz w:val="28"/>
      <w:szCs w:val="28"/>
    </w:rPr>
  </w:style>
  <w:style w:type="character" w:styleId="1054" w:customStyle="1">
    <w:name w:val="标题 5 Char"/>
    <w:link w:val="1053"/>
    <w:qFormat/>
    <w:rPr>
      <w:rFonts w:ascii="宋体" w:hAnsi="Times New Roman" w:eastAsia="宋体" w:cs="Times New Roman"/>
      <w:color w:val="000000"/>
      <w:sz w:val="28"/>
      <w:szCs w:val="28"/>
    </w:rPr>
  </w:style>
  <w:style w:type="paragraph" w:styleId="1055" w:customStyle="1">
    <w:name w:val="标题 61"/>
    <w:basedOn w:val="829"/>
    <w:next w:val="829"/>
    <w:link w:val="1056"/>
    <w:qFormat/>
    <w:pPr>
      <w:numPr>
        <w:ilvl w:val="5"/>
        <w:numId w:val="1"/>
      </w:numPr>
      <w:keepLines/>
      <w:keepNext/>
      <w:spacing w:before="240" w:after="64" w:line="320" w:lineRule="auto"/>
      <w:outlineLvl w:val="5"/>
    </w:pPr>
    <w:rPr>
      <w:rFonts w:ascii="Arial" w:hAnsi="Arial" w:eastAsia="黑体"/>
      <w:b/>
      <w:bCs/>
      <w:sz w:val="24"/>
      <w:szCs w:val="24"/>
    </w:rPr>
  </w:style>
  <w:style w:type="character" w:styleId="1056" w:customStyle="1">
    <w:name w:val="标题 6 Char"/>
    <w:link w:val="1055"/>
    <w:qFormat/>
    <w:rPr>
      <w:rFonts w:ascii="Arial" w:hAnsi="Arial" w:eastAsia="黑体" w:cs="Times New Roman"/>
      <w:b/>
      <w:bCs/>
      <w:sz w:val="24"/>
      <w:szCs w:val="24"/>
    </w:rPr>
  </w:style>
  <w:style w:type="paragraph" w:styleId="1057" w:customStyle="1">
    <w:name w:val="标题 71"/>
    <w:basedOn w:val="829"/>
    <w:next w:val="829"/>
    <w:link w:val="1058"/>
    <w:qFormat/>
    <w:pPr>
      <w:numPr>
        <w:ilvl w:val="6"/>
        <w:numId w:val="1"/>
      </w:numPr>
      <w:keepLines/>
      <w:keepNext/>
      <w:spacing w:before="240" w:after="64" w:line="320" w:lineRule="auto"/>
      <w:outlineLvl w:val="6"/>
    </w:pPr>
    <w:rPr>
      <w:b/>
      <w:bCs/>
      <w:sz w:val="24"/>
      <w:szCs w:val="24"/>
    </w:rPr>
  </w:style>
  <w:style w:type="character" w:styleId="1058" w:customStyle="1">
    <w:name w:val="标题 7 Char"/>
    <w:link w:val="1057"/>
    <w:qFormat/>
    <w:rPr>
      <w:rFonts w:ascii="Times New Roman" w:hAnsi="Times New Roman" w:eastAsia="宋体" w:cs="Times New Roman"/>
      <w:b/>
      <w:bCs/>
      <w:sz w:val="24"/>
      <w:szCs w:val="24"/>
    </w:rPr>
  </w:style>
  <w:style w:type="paragraph" w:styleId="1059" w:customStyle="1">
    <w:name w:val="标题 81"/>
    <w:basedOn w:val="829"/>
    <w:next w:val="829"/>
    <w:link w:val="1060"/>
    <w:qFormat/>
    <w:pPr>
      <w:numPr>
        <w:ilvl w:val="7"/>
        <w:numId w:val="1"/>
      </w:numPr>
      <w:keepLines/>
      <w:keepNext/>
      <w:spacing w:before="240" w:after="64" w:line="320" w:lineRule="auto"/>
      <w:outlineLvl w:val="7"/>
    </w:pPr>
    <w:rPr>
      <w:rFonts w:ascii="Arial" w:hAnsi="Arial" w:eastAsia="黑体"/>
      <w:sz w:val="24"/>
      <w:szCs w:val="24"/>
    </w:rPr>
  </w:style>
  <w:style w:type="character" w:styleId="1060" w:customStyle="1">
    <w:name w:val="标题 8 Char"/>
    <w:link w:val="1059"/>
    <w:qFormat/>
    <w:rPr>
      <w:rFonts w:ascii="Arial" w:hAnsi="Arial" w:eastAsia="黑体" w:cs="Times New Roman"/>
      <w:sz w:val="24"/>
      <w:szCs w:val="24"/>
    </w:rPr>
  </w:style>
  <w:style w:type="paragraph" w:styleId="1061" w:customStyle="1">
    <w:name w:val="标题 91"/>
    <w:basedOn w:val="829"/>
    <w:next w:val="829"/>
    <w:link w:val="1062"/>
    <w:qFormat/>
    <w:pPr>
      <w:numPr>
        <w:ilvl w:val="8"/>
        <w:numId w:val="1"/>
      </w:numPr>
      <w:keepLines/>
      <w:keepNext/>
      <w:spacing w:before="240" w:after="64" w:line="320" w:lineRule="auto"/>
      <w:outlineLvl w:val="8"/>
    </w:pPr>
    <w:rPr>
      <w:rFonts w:ascii="Arial" w:hAnsi="Arial" w:eastAsia="黑体"/>
      <w:sz w:val="20"/>
    </w:rPr>
  </w:style>
  <w:style w:type="character" w:styleId="1062" w:customStyle="1">
    <w:name w:val="标题 9 Char"/>
    <w:link w:val="1061"/>
    <w:qFormat/>
    <w:rPr>
      <w:rFonts w:ascii="Arial" w:hAnsi="Arial" w:eastAsia="黑体" w:cs="Times New Roman"/>
      <w:szCs w:val="21"/>
    </w:rPr>
  </w:style>
  <w:style w:type="character" w:styleId="1063" w:customStyle="1">
    <w:name w:val="默认段落字体1"/>
    <w:uiPriority w:val="1"/>
    <w:unhideWhenUsed/>
    <w:qFormat/>
  </w:style>
  <w:style w:type="table" w:styleId="1064" w:customStyle="1">
    <w:name w:val="普通表格1"/>
    <w:uiPriority w:val="99"/>
    <w:unhideWhenUsed/>
    <w:qFormat/>
    <w:tblPr>
      <w:tblCellMar>
        <w:left w:w="0" w:type="dxa"/>
        <w:top w:w="0" w:type="dxa"/>
        <w:right w:w="0" w:type="dxa"/>
        <w:bottom w:w="0" w:type="dxa"/>
      </w:tblCellMar>
    </w:tblPr>
  </w:style>
  <w:style w:type="paragraph" w:styleId="1065" w:customStyle="1">
    <w:name w:val="正文首行缩进1"/>
    <w:basedOn w:val="1066"/>
    <w:link w:val="1068"/>
    <w:qFormat/>
    <w:pPr>
      <w:ind w:firstLine="200"/>
      <w:spacing w:line="360" w:lineRule="auto"/>
    </w:pPr>
    <w:rPr>
      <w:rFonts w:ascii="仿宋_GB2312" w:hAnsi="Times New Roman" w:eastAsia="仿宋_GB2312"/>
      <w:sz w:val="30"/>
      <w:szCs w:val="30"/>
    </w:rPr>
  </w:style>
  <w:style w:type="paragraph" w:styleId="1066" w:customStyle="1">
    <w:name w:val="正文文本1"/>
    <w:basedOn w:val="829"/>
    <w:next w:val="829"/>
    <w:link w:val="1067"/>
    <w:qFormat/>
    <w:rPr>
      <w:rFonts w:ascii="楷体_GB2312" w:hAnsi="Arial" w:eastAsia="楷体_GB2312"/>
      <w:sz w:val="28"/>
      <w:szCs w:val="28"/>
    </w:rPr>
  </w:style>
  <w:style w:type="character" w:styleId="1067" w:customStyle="1">
    <w:name w:val="正文文本 Char"/>
    <w:link w:val="1066"/>
    <w:qFormat/>
    <w:rPr>
      <w:rFonts w:ascii="楷体_GB2312" w:hAnsi="Arial" w:eastAsia="楷体_GB2312" w:cs="Times New Roman"/>
      <w:sz w:val="28"/>
      <w:szCs w:val="28"/>
    </w:rPr>
  </w:style>
  <w:style w:type="character" w:styleId="1068" w:customStyle="1">
    <w:name w:val="正文首行缩进 Char"/>
    <w:link w:val="1065"/>
    <w:qFormat/>
    <w:rPr>
      <w:rFonts w:ascii="仿宋_GB2312" w:hAnsi="Times New Roman" w:eastAsia="仿宋_GB2312" w:cs="Times New Roman"/>
      <w:sz w:val="30"/>
      <w:szCs w:val="30"/>
    </w:rPr>
  </w:style>
  <w:style w:type="paragraph" w:styleId="1069" w:customStyle="1">
    <w:name w:val="列表 31"/>
    <w:basedOn w:val="829"/>
    <w:qFormat/>
    <w:pPr>
      <w:ind w:left="100" w:hanging="200"/>
    </w:pPr>
  </w:style>
  <w:style w:type="paragraph" w:styleId="1070" w:customStyle="1">
    <w:name w:val="目录 71"/>
    <w:basedOn w:val="829"/>
    <w:next w:val="829"/>
    <w:semiHidden/>
    <w:qFormat/>
    <w:pPr>
      <w:ind w:left="1260"/>
      <w:jc w:val="left"/>
    </w:pPr>
  </w:style>
  <w:style w:type="paragraph" w:styleId="1071" w:customStyle="1">
    <w:name w:val="文档结构图1"/>
    <w:basedOn w:val="829"/>
    <w:link w:val="1072"/>
    <w:semiHidden/>
    <w:qFormat/>
    <w:pPr>
      <w:shd w:val="clear" w:color="auto" w:fill="000080"/>
    </w:pPr>
    <w:rPr>
      <w:sz w:val="20"/>
    </w:rPr>
  </w:style>
  <w:style w:type="character" w:styleId="1072" w:customStyle="1">
    <w:name w:val="文档结构图 Char"/>
    <w:link w:val="1071"/>
    <w:semiHidden/>
    <w:qFormat/>
    <w:rPr>
      <w:rFonts w:ascii="Times New Roman" w:hAnsi="Times New Roman" w:eastAsia="宋体" w:cs="Times New Roman"/>
      <w:szCs w:val="21"/>
      <w:shd w:val="clear" w:color="auto" w:fill="000080"/>
    </w:rPr>
  </w:style>
  <w:style w:type="paragraph" w:styleId="1073" w:customStyle="1">
    <w:name w:val="批注文字1"/>
    <w:basedOn w:val="829"/>
    <w:link w:val="1074"/>
    <w:semiHidden/>
    <w:qFormat/>
    <w:pPr>
      <w:jc w:val="left"/>
    </w:pPr>
    <w:rPr>
      <w:sz w:val="20"/>
    </w:rPr>
  </w:style>
  <w:style w:type="character" w:styleId="1074" w:customStyle="1">
    <w:name w:val="批注文字 Char"/>
    <w:link w:val="1073"/>
    <w:semiHidden/>
    <w:qFormat/>
    <w:rPr>
      <w:rFonts w:ascii="Times New Roman" w:hAnsi="Times New Roman" w:eastAsia="宋体" w:cs="Times New Roman"/>
      <w:szCs w:val="21"/>
    </w:rPr>
  </w:style>
  <w:style w:type="paragraph" w:styleId="1075" w:customStyle="1">
    <w:name w:val="正文文本 31"/>
    <w:basedOn w:val="829"/>
    <w:link w:val="1076"/>
    <w:qFormat/>
    <w:rPr>
      <w:rFonts w:ascii="仿宋_GB2312" w:hAnsi="Arial" w:eastAsia="仿宋_GB2312"/>
      <w:sz w:val="32"/>
      <w:szCs w:val="32"/>
    </w:rPr>
  </w:style>
  <w:style w:type="character" w:styleId="1076" w:customStyle="1">
    <w:name w:val="正文文本 3 Char"/>
    <w:link w:val="1075"/>
    <w:qFormat/>
    <w:rPr>
      <w:rFonts w:ascii="仿宋_GB2312" w:hAnsi="Arial" w:eastAsia="仿宋_GB2312" w:cs="Times New Roman"/>
      <w:sz w:val="32"/>
      <w:szCs w:val="32"/>
    </w:rPr>
  </w:style>
  <w:style w:type="paragraph" w:styleId="1077" w:customStyle="1">
    <w:name w:val="正文文本缩进1"/>
    <w:basedOn w:val="829"/>
    <w:link w:val="1078"/>
    <w:qFormat/>
    <w:pPr>
      <w:ind w:firstLine="645"/>
    </w:pPr>
    <w:rPr>
      <w:rFonts w:ascii="楷体_GB2312" w:eastAsia="楷体_GB2312"/>
      <w:sz w:val="32"/>
      <w:szCs w:val="32"/>
    </w:rPr>
  </w:style>
  <w:style w:type="character" w:styleId="1078" w:customStyle="1">
    <w:name w:val="正文文本缩进 Char"/>
    <w:link w:val="1077"/>
    <w:qFormat/>
    <w:rPr>
      <w:rFonts w:ascii="楷体_GB2312" w:hAnsi="Times New Roman" w:eastAsia="楷体_GB2312" w:cs="Times New Roman"/>
      <w:sz w:val="32"/>
      <w:szCs w:val="32"/>
    </w:rPr>
  </w:style>
  <w:style w:type="paragraph" w:styleId="1079" w:customStyle="1">
    <w:name w:val="列表 21"/>
    <w:basedOn w:val="829"/>
    <w:qFormat/>
    <w:pPr>
      <w:ind w:left="100" w:hanging="200"/>
    </w:pPr>
  </w:style>
  <w:style w:type="paragraph" w:styleId="1080" w:customStyle="1">
    <w:name w:val="目录 51"/>
    <w:basedOn w:val="829"/>
    <w:next w:val="829"/>
    <w:semiHidden/>
    <w:qFormat/>
    <w:pPr>
      <w:ind w:left="840"/>
      <w:jc w:val="left"/>
    </w:pPr>
  </w:style>
  <w:style w:type="paragraph" w:styleId="1081" w:customStyle="1">
    <w:name w:val="目录 31"/>
    <w:basedOn w:val="829"/>
    <w:next w:val="829"/>
    <w:semiHidden/>
    <w:qFormat/>
    <w:pPr>
      <w:ind w:left="420"/>
      <w:jc w:val="left"/>
    </w:pPr>
    <w:rPr>
      <w:i/>
      <w:iCs/>
      <w:szCs w:val="24"/>
    </w:rPr>
  </w:style>
  <w:style w:type="paragraph" w:styleId="1082" w:customStyle="1">
    <w:name w:val="纯文本1"/>
    <w:basedOn w:val="829"/>
    <w:link w:val="1083"/>
    <w:qFormat/>
    <w:rPr>
      <w:rFonts w:ascii="宋体" w:hAnsi="Courier New"/>
      <w:sz w:val="20"/>
    </w:rPr>
  </w:style>
  <w:style w:type="character" w:styleId="1083" w:customStyle="1">
    <w:name w:val="纯文本 Char"/>
    <w:link w:val="1082"/>
    <w:qFormat/>
    <w:rPr>
      <w:rFonts w:ascii="宋体" w:hAnsi="Courier New" w:eastAsia="宋体" w:cs="Courier New"/>
      <w:szCs w:val="21"/>
    </w:rPr>
  </w:style>
  <w:style w:type="paragraph" w:styleId="1084" w:customStyle="1">
    <w:name w:val="目录 81"/>
    <w:basedOn w:val="829"/>
    <w:next w:val="829"/>
    <w:semiHidden/>
    <w:qFormat/>
    <w:pPr>
      <w:ind w:left="1470"/>
      <w:jc w:val="left"/>
    </w:pPr>
  </w:style>
  <w:style w:type="paragraph" w:styleId="1085" w:customStyle="1">
    <w:name w:val="日期1"/>
    <w:basedOn w:val="829"/>
    <w:next w:val="829"/>
    <w:link w:val="1086"/>
    <w:qFormat/>
    <w:rPr>
      <w:sz w:val="24"/>
      <w:szCs w:val="24"/>
    </w:rPr>
  </w:style>
  <w:style w:type="character" w:styleId="1086" w:customStyle="1">
    <w:name w:val="日期 Char"/>
    <w:link w:val="1085"/>
    <w:qFormat/>
    <w:rPr>
      <w:rFonts w:ascii="Times New Roman" w:hAnsi="Times New Roman" w:eastAsia="宋体" w:cs="Times New Roman"/>
      <w:sz w:val="24"/>
      <w:szCs w:val="24"/>
    </w:rPr>
  </w:style>
  <w:style w:type="paragraph" w:styleId="1087" w:customStyle="1">
    <w:name w:val="正文文本缩进 21"/>
    <w:basedOn w:val="829"/>
    <w:link w:val="1088"/>
    <w:qFormat/>
    <w:pPr>
      <w:ind w:left="630" w:firstLine="645"/>
    </w:pPr>
    <w:rPr>
      <w:rFonts w:ascii="Arial" w:hAnsi="Arial" w:eastAsia="仿宋_GB2312"/>
      <w:sz w:val="32"/>
      <w:szCs w:val="32"/>
    </w:rPr>
  </w:style>
  <w:style w:type="character" w:styleId="1088" w:customStyle="1">
    <w:name w:val="正文文本缩进 2 Char"/>
    <w:link w:val="1087"/>
    <w:qFormat/>
    <w:rPr>
      <w:rFonts w:ascii="Arial" w:hAnsi="Arial" w:eastAsia="仿宋_GB2312" w:cs="Arial"/>
      <w:sz w:val="32"/>
      <w:szCs w:val="32"/>
    </w:rPr>
  </w:style>
  <w:style w:type="paragraph" w:styleId="1089" w:customStyle="1">
    <w:name w:val="批注框文本1"/>
    <w:basedOn w:val="829"/>
    <w:link w:val="1090"/>
    <w:semiHidden/>
    <w:qFormat/>
    <w:rPr>
      <w:sz w:val="18"/>
      <w:szCs w:val="18"/>
    </w:rPr>
  </w:style>
  <w:style w:type="character" w:styleId="1090" w:customStyle="1">
    <w:name w:val="批注框文本 Char"/>
    <w:link w:val="1089"/>
    <w:semiHidden/>
    <w:qFormat/>
    <w:rPr>
      <w:rFonts w:ascii="Times New Roman" w:hAnsi="Times New Roman" w:eastAsia="宋体" w:cs="Times New Roman"/>
      <w:sz w:val="18"/>
      <w:szCs w:val="18"/>
    </w:rPr>
  </w:style>
  <w:style w:type="paragraph" w:styleId="1091" w:customStyle="1">
    <w:name w:val="页脚1"/>
    <w:basedOn w:val="829"/>
    <w:link w:val="1092"/>
    <w:qFormat/>
    <w:pPr>
      <w:jc w:val="left"/>
      <w:tabs>
        <w:tab w:val="center" w:pos="4153" w:leader="none"/>
        <w:tab w:val="right" w:pos="8306" w:leader="none"/>
      </w:tabs>
    </w:pPr>
    <w:rPr>
      <w:sz w:val="18"/>
      <w:szCs w:val="18"/>
    </w:rPr>
  </w:style>
  <w:style w:type="character" w:styleId="1092" w:customStyle="1">
    <w:name w:val="页脚 Char"/>
    <w:link w:val="1091"/>
    <w:qFormat/>
    <w:rPr>
      <w:rFonts w:ascii="Times New Roman" w:hAnsi="Times New Roman" w:eastAsia="宋体" w:cs="Times New Roman"/>
      <w:sz w:val="18"/>
      <w:szCs w:val="18"/>
    </w:rPr>
  </w:style>
  <w:style w:type="paragraph" w:styleId="1093" w:customStyle="1">
    <w:name w:val="页眉1"/>
    <w:basedOn w:val="829"/>
    <w:link w:val="1094"/>
    <w:qFormat/>
    <w:pPr>
      <w:jc w:val="center"/>
      <w:tabs>
        <w:tab w:val="center" w:pos="4153" w:leader="none"/>
        <w:tab w:val="right" w:pos="8306" w:leader="none"/>
      </w:tabs>
      <w:pBdr>
        <w:bottom w:val="single" w:color="000000" w:sz="6" w:space="1"/>
      </w:pBdr>
    </w:pPr>
    <w:rPr>
      <w:sz w:val="18"/>
      <w:szCs w:val="18"/>
    </w:rPr>
  </w:style>
  <w:style w:type="character" w:styleId="1094" w:customStyle="1">
    <w:name w:val="页眉 Char"/>
    <w:link w:val="1093"/>
    <w:qFormat/>
    <w:rPr>
      <w:rFonts w:ascii="Times New Roman" w:hAnsi="Times New Roman" w:eastAsia="宋体" w:cs="Times New Roman"/>
      <w:sz w:val="18"/>
      <w:szCs w:val="18"/>
    </w:rPr>
  </w:style>
  <w:style w:type="paragraph" w:styleId="1095" w:customStyle="1">
    <w:name w:val="目录 11"/>
    <w:basedOn w:val="829"/>
    <w:next w:val="829"/>
    <w:semiHidden/>
    <w:qFormat/>
    <w:pPr>
      <w:jc w:val="left"/>
      <w:spacing w:before="120" w:after="120" w:line="400" w:lineRule="exact"/>
      <w:tabs>
        <w:tab w:val="right" w:pos="8720" w:leader="dot"/>
      </w:tabs>
    </w:pPr>
    <w:rPr>
      <w:rFonts w:ascii="宋体" w:hAnsi="宋体"/>
      <w:caps/>
      <w:sz w:val="24"/>
      <w:szCs w:val="24"/>
    </w:rPr>
  </w:style>
  <w:style w:type="paragraph" w:styleId="1096" w:customStyle="1">
    <w:name w:val="目录 41"/>
    <w:basedOn w:val="829"/>
    <w:next w:val="829"/>
    <w:semiHidden/>
    <w:qFormat/>
    <w:pPr>
      <w:ind w:left="630"/>
      <w:jc w:val="left"/>
    </w:pPr>
  </w:style>
  <w:style w:type="paragraph" w:styleId="1097" w:customStyle="1">
    <w:name w:val="列表1"/>
    <w:basedOn w:val="829"/>
    <w:qFormat/>
    <w:pPr>
      <w:ind w:left="200" w:hanging="200"/>
    </w:pPr>
  </w:style>
  <w:style w:type="paragraph" w:styleId="1098" w:customStyle="1">
    <w:name w:val="目录 61"/>
    <w:basedOn w:val="829"/>
    <w:next w:val="829"/>
    <w:semiHidden/>
    <w:qFormat/>
    <w:pPr>
      <w:ind w:left="1050"/>
      <w:jc w:val="left"/>
    </w:pPr>
  </w:style>
  <w:style w:type="paragraph" w:styleId="1099" w:customStyle="1">
    <w:name w:val="正文文本缩进 31"/>
    <w:basedOn w:val="829"/>
    <w:link w:val="1100"/>
    <w:qFormat/>
    <w:pPr>
      <w:ind w:left="645" w:firstLine="645"/>
    </w:pPr>
    <w:rPr>
      <w:rFonts w:ascii="Arial" w:hAnsi="Arial" w:eastAsia="仿宋_GB2312"/>
      <w:color w:val="ffff00"/>
      <w:sz w:val="32"/>
      <w:szCs w:val="32"/>
    </w:rPr>
  </w:style>
  <w:style w:type="character" w:styleId="1100" w:customStyle="1">
    <w:name w:val="正文文本缩进 3 Char"/>
    <w:link w:val="1099"/>
    <w:qFormat/>
    <w:rPr>
      <w:rFonts w:ascii="Arial" w:hAnsi="Arial" w:eastAsia="仿宋_GB2312" w:cs="Arial"/>
      <w:color w:val="ffff00"/>
      <w:sz w:val="32"/>
      <w:szCs w:val="32"/>
    </w:rPr>
  </w:style>
  <w:style w:type="paragraph" w:styleId="1101" w:customStyle="1">
    <w:name w:val="图表目录1"/>
    <w:basedOn w:val="829"/>
    <w:next w:val="829"/>
    <w:semiHidden/>
    <w:qFormat/>
    <w:pPr>
      <w:ind w:left="840" w:hanging="420"/>
    </w:pPr>
  </w:style>
  <w:style w:type="paragraph" w:styleId="1102" w:customStyle="1">
    <w:name w:val="目录 21"/>
    <w:basedOn w:val="829"/>
    <w:next w:val="829"/>
    <w:semiHidden/>
    <w:qFormat/>
    <w:pPr>
      <w:ind w:left="210"/>
      <w:jc w:val="left"/>
    </w:pPr>
    <w:rPr>
      <w:smallCaps/>
      <w:szCs w:val="24"/>
    </w:rPr>
  </w:style>
  <w:style w:type="paragraph" w:styleId="1103" w:customStyle="1">
    <w:name w:val="目录 91"/>
    <w:basedOn w:val="829"/>
    <w:next w:val="829"/>
    <w:semiHidden/>
    <w:qFormat/>
    <w:pPr>
      <w:ind w:left="1680"/>
      <w:jc w:val="left"/>
    </w:pPr>
  </w:style>
  <w:style w:type="paragraph" w:styleId="1104" w:customStyle="1">
    <w:name w:val="正文文本 21"/>
    <w:basedOn w:val="829"/>
    <w:link w:val="1105"/>
    <w:qFormat/>
    <w:pPr>
      <w:jc w:val="center"/>
      <w:widowControl/>
    </w:pPr>
    <w:rPr>
      <w:rFonts w:ascii="楷体_GB2312" w:eastAsia="楷体_GB2312"/>
      <w:sz w:val="28"/>
      <w:szCs w:val="28"/>
    </w:rPr>
  </w:style>
  <w:style w:type="character" w:styleId="1105" w:customStyle="1">
    <w:name w:val="正文文本 2 Char"/>
    <w:link w:val="1104"/>
    <w:qFormat/>
    <w:rPr>
      <w:rFonts w:ascii="楷体_GB2312" w:hAnsi="Times New Roman" w:eastAsia="楷体_GB2312" w:cs="Times New Roman"/>
      <w:sz w:val="28"/>
      <w:szCs w:val="28"/>
    </w:rPr>
  </w:style>
  <w:style w:type="paragraph" w:styleId="1106" w:customStyle="1">
    <w:name w:val="普通(网站)1"/>
    <w:basedOn w:val="829"/>
    <w:uiPriority w:val="99"/>
    <w:qFormat/>
    <w:pPr>
      <w:jc w:val="left"/>
      <w:spacing w:before="100" w:beforeAutospacing="1" w:after="100" w:afterAutospacing="1"/>
      <w:widowControl/>
    </w:pPr>
    <w:rPr>
      <w:rFonts w:ascii="宋体" w:hAnsi="宋体" w:cs="宋体"/>
      <w:sz w:val="24"/>
      <w:szCs w:val="24"/>
    </w:rPr>
  </w:style>
  <w:style w:type="paragraph" w:styleId="1107" w:customStyle="1">
    <w:name w:val="索引 11"/>
    <w:basedOn w:val="829"/>
    <w:next w:val="829"/>
    <w:semiHidden/>
    <w:qFormat/>
    <w:pPr>
      <w:spacing w:line="240" w:lineRule="atLeast"/>
    </w:pPr>
    <w:rPr>
      <w:b/>
      <w:bCs/>
    </w:rPr>
  </w:style>
  <w:style w:type="paragraph" w:styleId="1108" w:customStyle="1">
    <w:name w:val="批注主题1"/>
    <w:basedOn w:val="1073"/>
    <w:next w:val="1073"/>
    <w:link w:val="1109"/>
    <w:semiHidden/>
    <w:qFormat/>
    <w:rPr>
      <w:b/>
      <w:bCs/>
    </w:rPr>
  </w:style>
  <w:style w:type="character" w:styleId="1109" w:customStyle="1">
    <w:name w:val="批注主题 Char"/>
    <w:link w:val="1108"/>
    <w:semiHidden/>
    <w:qFormat/>
    <w:rPr>
      <w:rFonts w:ascii="Times New Roman" w:hAnsi="Times New Roman" w:eastAsia="宋体" w:cs="Times New Roman"/>
      <w:b/>
      <w:bCs/>
      <w:szCs w:val="21"/>
    </w:rPr>
  </w:style>
  <w:style w:type="paragraph" w:styleId="1110" w:customStyle="1">
    <w:name w:val="正文首行缩进 21"/>
    <w:basedOn w:val="1077"/>
    <w:link w:val="1111"/>
    <w:qFormat/>
    <w:pPr>
      <w:ind w:firstLine="420"/>
      <w:spacing w:line="360" w:lineRule="auto"/>
    </w:pPr>
    <w:rPr>
      <w:rFonts w:ascii="宋体" w:hAnsi="宋体" w:eastAsia="宋体"/>
      <w:szCs w:val="20"/>
    </w:rPr>
  </w:style>
  <w:style w:type="character" w:styleId="1111" w:customStyle="1">
    <w:name w:val="正文首行缩进 2 Char"/>
    <w:link w:val="1110"/>
    <w:qFormat/>
    <w:rPr>
      <w:rFonts w:ascii="宋体" w:hAnsi="宋体" w:eastAsia="宋体" w:cs="Times New Roman"/>
      <w:sz w:val="32"/>
      <w:szCs w:val="20"/>
    </w:rPr>
  </w:style>
  <w:style w:type="table" w:styleId="1112" w:customStyle="1">
    <w:name w:val="网格型1"/>
    <w:basedOn w:val="1064"/>
    <w:qFormat/>
    <w:pPr>
      <w:jc w:val="both"/>
      <w:widowControl w:val="off"/>
    </w:pPr>
    <w:tblPr>
      <w:tblCellMar>
        <w:left w:w="0" w:type="dxa"/>
        <w:top w:w="0" w:type="dxa"/>
        <w:right w:w="0" w:type="dxa"/>
        <w:bottom w:w="0" w:type="dxa"/>
      </w:tblCellMar>
    </w:tblPr>
  </w:style>
  <w:style w:type="character" w:styleId="1113" w:customStyle="1">
    <w:name w:val="要点1"/>
    <w:qFormat/>
    <w:rPr>
      <w:b/>
      <w:bCs/>
    </w:rPr>
  </w:style>
  <w:style w:type="character" w:styleId="1114" w:customStyle="1">
    <w:name w:val="页码1"/>
    <w:qFormat/>
  </w:style>
  <w:style w:type="character" w:styleId="1115" w:customStyle="1">
    <w:name w:val="已访问的超链接1"/>
    <w:qFormat/>
    <w:rPr>
      <w:color w:val="800080"/>
      <w:u w:val="single"/>
    </w:rPr>
  </w:style>
  <w:style w:type="character" w:styleId="1116" w:customStyle="1">
    <w:name w:val="超链接1"/>
    <w:qFormat/>
    <w:rPr>
      <w:color w:val="0000ff"/>
      <w:u w:val="single"/>
    </w:rPr>
  </w:style>
  <w:style w:type="character" w:styleId="1117" w:customStyle="1">
    <w:name w:val="批注引用1"/>
    <w:semiHidden/>
    <w:qFormat/>
    <w:rPr>
      <w:sz w:val="21"/>
      <w:szCs w:val="21"/>
    </w:rPr>
  </w:style>
  <w:style w:type="character" w:styleId="1118" w:customStyle="1">
    <w:name w:val="二级目录 Char"/>
    <w:link w:val="1119"/>
    <w:qFormat/>
    <w:rPr>
      <w:b/>
      <w:sz w:val="30"/>
      <w:szCs w:val="28"/>
      <w:lang w:val="en-US" w:eastAsia="zh-CN" w:bidi="ar-SA"/>
    </w:rPr>
  </w:style>
  <w:style w:type="paragraph" w:styleId="1119" w:customStyle="1">
    <w:name w:val="二级目录"/>
    <w:next w:val="829"/>
    <w:link w:val="1118"/>
    <w:qFormat/>
    <w:pPr>
      <w:numPr>
        <w:numId w:val="2"/>
      </w:numPr>
      <w:tabs>
        <w:tab w:val="left" w:pos="1145" w:leader="none"/>
      </w:tabs>
      <w:outlineLvl w:val="1"/>
    </w:pPr>
    <w:rPr>
      <w:b/>
      <w:sz w:val="30"/>
      <w:szCs w:val="28"/>
    </w:rPr>
  </w:style>
  <w:style w:type="character" w:styleId="1120" w:customStyle="1">
    <w:name w:val="列出段落 Char"/>
    <w:link w:val="1121"/>
    <w:qFormat/>
    <w:rPr>
      <w:rFonts w:ascii="Calibri" w:hAnsi="Calibri"/>
      <w:sz w:val="24"/>
      <w:szCs w:val="24"/>
      <w:lang w:eastAsia="en-US" w:bidi="en-US"/>
    </w:rPr>
  </w:style>
  <w:style w:type="paragraph" w:styleId="1121" w:customStyle="1">
    <w:name w:val="列出段落1"/>
    <w:basedOn w:val="829"/>
    <w:link w:val="1120"/>
    <w:qFormat/>
    <w:pPr>
      <w:contextualSpacing/>
      <w:ind w:left="720"/>
      <w:jc w:val="left"/>
      <w:widowControl/>
    </w:pPr>
    <w:rPr>
      <w:rFonts w:ascii="Calibri" w:hAnsi="Calibri"/>
      <w:sz w:val="24"/>
      <w:szCs w:val="24"/>
      <w:lang w:eastAsia="en-US" w:bidi="en-US"/>
    </w:rPr>
  </w:style>
  <w:style w:type="paragraph" w:styleId="1122" w:customStyle="1">
    <w:name w:val="Body Text(ch)"/>
    <w:basedOn w:val="829"/>
    <w:next w:val="1066"/>
    <w:qFormat/>
    <w:pPr>
      <w:spacing w:after="120"/>
    </w:pPr>
    <w:rPr>
      <w:rFonts w:ascii="宋体" w:hAnsi="Arial"/>
      <w:bCs/>
      <w:iCs/>
      <w:szCs w:val="24"/>
    </w:rPr>
  </w:style>
  <w:style w:type="paragraph" w:styleId="1123" w:customStyle="1">
    <w:name w:val="xl27"/>
    <w:basedOn w:val="8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4" w:customStyle="1">
    <w:name w:val="xl26"/>
    <w:basedOn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5" w:customStyle="1">
    <w:name w:val="Char"/>
    <w:basedOn w:val="829"/>
    <w:qFormat/>
    <w:pPr>
      <w:ind w:firstLine="200"/>
      <w:tabs>
        <w:tab w:val="left" w:pos="360" w:leader="none"/>
      </w:tabs>
    </w:pPr>
    <w:rPr>
      <w:sz w:val="28"/>
      <w:szCs w:val="30"/>
    </w:rPr>
  </w:style>
  <w:style w:type="paragraph" w:styleId="1126" w:customStyle="1">
    <w:name w:val="Char1"/>
    <w:basedOn w:val="1071"/>
    <w:qFormat/>
    <w:rPr>
      <w:rFonts w:ascii="Tahoma" w:hAnsi="Tahoma"/>
      <w:sz w:val="24"/>
      <w:szCs w:val="24"/>
    </w:rPr>
  </w:style>
  <w:style w:type="paragraph" w:styleId="1127" w:customStyle="1">
    <w:name w:val="普通正文"/>
    <w:basedOn w:val="829"/>
    <w:qFormat/>
    <w:pPr>
      <w:ind w:firstLine="480"/>
      <w:jc w:val="left"/>
      <w:spacing w:before="120" w:after="120" w:line="360" w:lineRule="auto"/>
    </w:pPr>
    <w:rPr>
      <w:rFonts w:ascii="Arial" w:hAnsi="Arial"/>
      <w:sz w:val="24"/>
      <w:szCs w:val="24"/>
    </w:rPr>
  </w:style>
  <w:style w:type="paragraph" w:styleId="1128" w:customStyle="1">
    <w:name w:val="table_lines"/>
    <w:basedOn w:val="829"/>
    <w:qFormat/>
    <w:pPr>
      <w:jc w:val="left"/>
      <w:widowControl/>
    </w:pPr>
    <w:rPr>
      <w:sz w:val="20"/>
      <w:szCs w:val="20"/>
      <w:lang w:val="de-DE" w:eastAsia="de-DE"/>
    </w:rPr>
  </w:style>
  <w:style w:type="paragraph" w:styleId="1129" w:customStyle="1">
    <w:name w:val="附录1"/>
    <w:qFormat/>
    <w:pPr>
      <w:ind w:left="907" w:hanging="907"/>
      <w:spacing w:before="240" w:line="600" w:lineRule="atLeast"/>
      <w:tabs>
        <w:tab w:val="left" w:pos="907" w:leader="none"/>
      </w:tabs>
    </w:pPr>
    <w:rPr>
      <w:b/>
      <w:i/>
      <w:sz w:val="28"/>
    </w:rPr>
  </w:style>
  <w:style w:type="paragraph" w:styleId="1130" w:customStyle="1">
    <w:name w:val="font7"/>
    <w:basedOn w:val="829"/>
    <w:qFormat/>
    <w:pPr>
      <w:jc w:val="left"/>
      <w:spacing w:before="100" w:beforeAutospacing="1" w:after="100" w:afterAutospacing="1"/>
      <w:widowControl/>
    </w:pPr>
    <w:rPr>
      <w:rFonts w:hint="eastAsia" w:ascii="宋体" w:hAnsi="宋体"/>
      <w:sz w:val="18"/>
      <w:szCs w:val="18"/>
    </w:rPr>
  </w:style>
  <w:style w:type="paragraph" w:styleId="1131" w:customStyle="1">
    <w:name w:val="Char Char Char Char"/>
    <w:basedOn w:val="1071"/>
    <w:qFormat/>
    <w:pPr>
      <w:spacing w:line="360" w:lineRule="auto"/>
    </w:pPr>
    <w:rPr>
      <w:rFonts w:ascii="Tahoma" w:hAnsi="Tahoma"/>
      <w:sz w:val="24"/>
      <w:szCs w:val="24"/>
    </w:rPr>
  </w:style>
  <w:style w:type="paragraph" w:styleId="1132" w:customStyle="1">
    <w:name w:val="列出段落2"/>
    <w:basedOn w:val="829"/>
    <w:qFormat/>
    <w:pPr>
      <w:contextualSpacing/>
      <w:ind w:left="720"/>
      <w:jc w:val="left"/>
      <w:widowControl/>
    </w:pPr>
    <w:rPr>
      <w:rFonts w:ascii="Calibri" w:hAnsi="Calibri"/>
      <w:sz w:val="24"/>
      <w:szCs w:val="24"/>
      <w:lang w:eastAsia="en-US" w:bidi="en-US"/>
    </w:rPr>
  </w:style>
  <w:style w:type="paragraph" w:styleId="1133" w:customStyle="1">
    <w:name w:val="4"/>
    <w:basedOn w:val="829"/>
    <w:next w:val="1099"/>
    <w:qFormat/>
    <w:pPr>
      <w:ind w:firstLine="420"/>
      <w:spacing w:line="360" w:lineRule="auto"/>
    </w:pPr>
    <w:rPr>
      <w:color w:val="ff0000"/>
      <w:sz w:val="24"/>
      <w:szCs w:val="24"/>
    </w:rPr>
  </w:style>
  <w:style w:type="paragraph" w:styleId="1134" w:customStyle="1">
    <w:name w:val="普通 (Web)"/>
    <w:basedOn w:val="829"/>
    <w:qFormat/>
    <w:pPr>
      <w:jc w:val="left"/>
      <w:spacing w:before="100" w:beforeAutospacing="1" w:after="100" w:afterAutospacing="1"/>
      <w:widowControl/>
    </w:pPr>
    <w:rPr>
      <w:rFonts w:ascii="宋体" w:hAnsi="宋体"/>
      <w:sz w:val="24"/>
      <w:szCs w:val="24"/>
    </w:rPr>
  </w:style>
  <w:style w:type="paragraph" w:styleId="1135" w:customStyle="1">
    <w:name w:val="Char Char Char Char Char Char Char Char Char Char"/>
    <w:basedOn w:val="829"/>
    <w:qFormat/>
    <w:pPr>
      <w:spacing w:line="360" w:lineRule="auto"/>
    </w:pPr>
    <w:rPr>
      <w:sz w:val="24"/>
      <w:szCs w:val="20"/>
    </w:rPr>
  </w:style>
  <w:style w:type="paragraph" w:styleId="1136" w:customStyle="1">
    <w:name w:val="样式1"/>
    <w:basedOn w:val="829"/>
    <w:qFormat/>
    <w:pPr>
      <w:numPr>
        <w:numId w:val="3"/>
      </w:numPr>
    </w:pPr>
    <w:rPr>
      <w:rFonts w:ascii="宋体" w:hAnsi="宋体"/>
    </w:rPr>
  </w:style>
  <w:style w:type="paragraph" w:styleId="1137" w:customStyle="1">
    <w:name w:val="font6"/>
    <w:basedOn w:val="829"/>
    <w:qFormat/>
    <w:pPr>
      <w:jc w:val="left"/>
      <w:spacing w:before="100" w:beforeAutospacing="1" w:after="100" w:afterAutospacing="1"/>
      <w:widowControl/>
    </w:pPr>
    <w:rPr>
      <w:rFonts w:hint="eastAsia" w:ascii="宋体" w:hAnsi="宋体"/>
      <w:sz w:val="28"/>
      <w:szCs w:val="28"/>
      <w:u w:val="single"/>
    </w:rPr>
  </w:style>
  <w:style w:type="paragraph" w:styleId="1138" w:customStyle="1">
    <w:name w:val="xl25"/>
    <w:basedOn w:val="82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9" w:customStyle="1">
    <w:name w:val="图标"/>
    <w:basedOn w:val="829"/>
    <w:next w:val="82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0" w:customStyle="1">
    <w:name w:val="标题3"/>
    <w:basedOn w:val="829"/>
    <w:next w:val="829"/>
    <w:qFormat/>
    <w:pPr>
      <w:ind w:firstLine="624"/>
      <w:spacing w:line="590" w:lineRule="atLeast"/>
    </w:pPr>
    <w:rPr>
      <w:rFonts w:ascii="方正黑体_GBK" w:eastAsia="方正黑体_GBK"/>
      <w:sz w:val="32"/>
      <w:szCs w:val="32"/>
    </w:rPr>
  </w:style>
  <w:style w:type="paragraph" w:styleId="1141" w:customStyle="1">
    <w:name w:val="xl24"/>
    <w:basedOn w:val="8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2" w:customStyle="1">
    <w:name w:val="xl29"/>
    <w:basedOn w:val="82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3" w:customStyle="1">
    <w:name w:val="Char Char Char Char Char Char Char Char"/>
    <w:basedOn w:val="829"/>
    <w:qFormat/>
    <w:pPr>
      <w:jc w:val="left"/>
      <w:spacing w:after="160" w:line="240" w:lineRule="exact"/>
      <w:widowControl/>
    </w:pPr>
    <w:rPr>
      <w:rFonts w:ascii="Verdana" w:hAnsi="Verdana"/>
      <w:sz w:val="20"/>
      <w:szCs w:val="20"/>
      <w:lang w:eastAsia="en-US"/>
    </w:rPr>
  </w:style>
  <w:style w:type="paragraph" w:styleId="1144" w:customStyle="1">
    <w:name w:val="xl28"/>
    <w:basedOn w:val="82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5" w:customStyle="1">
    <w:name w:val="Char Char Char Char Char Char Char Char1"/>
    <w:basedOn w:val="829"/>
    <w:qFormat/>
    <w:pPr>
      <w:jc w:val="left"/>
      <w:spacing w:after="160" w:line="240" w:lineRule="exact"/>
      <w:widowControl/>
    </w:pPr>
    <w:rPr>
      <w:rFonts w:ascii="Verdana" w:hAnsi="Verdana"/>
      <w:sz w:val="20"/>
      <w:szCs w:val="20"/>
      <w:lang w:eastAsia="en-US"/>
    </w:rPr>
  </w:style>
  <w:style w:type="paragraph" w:styleId="1146" w:customStyle="1">
    <w:name w:val="xl30"/>
    <w:basedOn w:val="829"/>
    <w:qFormat/>
    <w:pPr>
      <w:jc w:val="center"/>
      <w:spacing w:before="100" w:beforeAutospacing="1" w:after="100" w:afterAutospacing="1"/>
      <w:widowControl/>
    </w:pPr>
    <w:rPr>
      <w:rFonts w:ascii="宋体" w:hAnsi="宋体"/>
      <w:b/>
      <w:bCs/>
      <w:sz w:val="36"/>
      <w:szCs w:val="36"/>
    </w:rPr>
  </w:style>
  <w:style w:type="paragraph" w:styleId="1147" w:customStyle="1">
    <w:name w:val="Char Char Char Char1"/>
    <w:basedOn w:val="1071"/>
    <w:qFormat/>
    <w:pPr>
      <w:spacing w:line="360" w:lineRule="auto"/>
    </w:pPr>
    <w:rPr>
      <w:rFonts w:ascii="Tahoma" w:hAnsi="Tahoma"/>
      <w:sz w:val="24"/>
      <w:szCs w:val="24"/>
    </w:rPr>
  </w:style>
  <w:style w:type="paragraph" w:styleId="1148" w:customStyle="1">
    <w:name w:val="table_1stline"/>
    <w:basedOn w:val="829"/>
    <w:qFormat/>
    <w:pPr>
      <w:jc w:val="left"/>
      <w:spacing w:before="120"/>
      <w:widowControl/>
    </w:pPr>
    <w:rPr>
      <w:bCs/>
      <w:sz w:val="20"/>
      <w:szCs w:val="20"/>
      <w:lang w:val="de-DE" w:eastAsia="de-DE"/>
    </w:rPr>
  </w:style>
  <w:style w:type="paragraph" w:styleId="1149" w:customStyle="1">
    <w:name w:val="font5"/>
    <w:basedOn w:val="829"/>
    <w:qFormat/>
    <w:pPr>
      <w:jc w:val="left"/>
      <w:spacing w:before="100" w:beforeAutospacing="1" w:after="100" w:afterAutospacing="1"/>
      <w:widowControl/>
    </w:pPr>
    <w:rPr>
      <w:rFonts w:hint="eastAsia" w:ascii="宋体" w:hAnsi="宋体"/>
      <w:sz w:val="28"/>
      <w:szCs w:val="28"/>
    </w:rPr>
  </w:style>
  <w:style w:type="paragraph" w:styleId="1150" w:customStyle="1">
    <w:name w:val="标题1"/>
    <w:basedOn w:val="829"/>
    <w:next w:val="82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1" w:customStyle="1">
    <w:name w:val="修订1"/>
    <w:uiPriority w:val="99"/>
    <w:semiHidden/>
    <w:qFormat/>
    <w:rPr>
      <w:sz w:val="21"/>
      <w:szCs w:val="21"/>
    </w:rPr>
  </w:style>
  <w:style w:type="paragraph" w:styleId="1152" w:customStyle="1">
    <w:name w:val="无间隔1"/>
    <w:uiPriority w:val="99"/>
    <w:qFormat/>
    <w:pPr>
      <w:jc w:val="both"/>
      <w:widowControl w:val="off"/>
    </w:pPr>
    <w:rPr>
      <w:sz w:val="21"/>
      <w:szCs w:val="21"/>
    </w:rPr>
  </w:style>
  <w:style w:type="paragraph" w:styleId="1153" w:customStyle="1">
    <w:name w:val="普通(网站) Char"/>
    <w:basedOn w:val="829"/>
    <w:qFormat/>
    <w:pPr>
      <w:jc w:val="left"/>
      <w:spacing w:before="100" w:beforeAutospacing="1" w:after="100" w:afterAutospacing="1"/>
      <w:widowControl/>
    </w:pPr>
    <w:rPr>
      <w:rFonts w:hint="eastAsia" w:ascii="宋体" w:hAnsi="宋体"/>
      <w:sz w:val="24"/>
      <w:szCs w:val="24"/>
    </w:rPr>
  </w:style>
  <w:style w:type="paragraph" w:styleId="1154" w:customStyle="1">
    <w:name w:val="Default"/>
    <w:qFormat/>
    <w:pPr>
      <w:widowControl w:val="off"/>
    </w:pPr>
    <w:rPr>
      <w:rFonts w:ascii="华文中宋" w:hAnsi="Calibri" w:eastAsia="华文中宋" w:cs="华文中宋"/>
      <w:color w:val="000000"/>
      <w:sz w:val="24"/>
      <w:szCs w:val="24"/>
    </w:rPr>
  </w:style>
  <w:style w:type="paragraph" w:styleId="1155" w:customStyle="1">
    <w:name w:val="！正文"/>
    <w:basedOn w:val="829"/>
    <w:link w:val="1156"/>
    <w:qFormat/>
    <w:pPr>
      <w:ind w:firstLine="200"/>
    </w:pPr>
    <w:rPr>
      <w:szCs w:val="22"/>
      <w:lang w:val="zh-CN"/>
    </w:rPr>
  </w:style>
  <w:style w:type="character" w:styleId="1156" w:customStyle="1">
    <w:name w:val="！正文 Char"/>
    <w:link w:val="1155"/>
    <w:qFormat/>
    <w:rPr>
      <w:sz w:val="21"/>
      <w:szCs w:val="22"/>
      <w:lang w:val="zh-CN"/>
    </w:rPr>
  </w:style>
  <w:style w:type="character" w:styleId="1157" w:customStyle="1">
    <w:name w:val="正文文本 Char2"/>
    <w:uiPriority w:val="99"/>
    <w:qFormat/>
    <w:rPr>
      <w:sz w:val="24"/>
    </w:rPr>
  </w:style>
  <w:style w:type="paragraph" w:styleId="1158" w:customStyle="1">
    <w:name w:val="正文缩进2格"/>
    <w:basedOn w:val="829"/>
    <w:qFormat/>
    <w:pPr>
      <w:ind w:firstLine="639"/>
      <w:spacing w:line="600" w:lineRule="exact"/>
    </w:pPr>
    <w:rPr>
      <w:rFonts w:ascii="仿宋_GB2312" w:hAnsi="宋体" w:eastAsia="仿宋_GB2312"/>
      <w:sz w:val="31"/>
      <w:szCs w:val="28"/>
      <w:lang w:eastAsia="en-US"/>
    </w:rPr>
  </w:style>
  <w:style w:type="character" w:styleId="1159" w:customStyle="1">
    <w:name w:val="NormalCharacter1"/>
    <w:uiPriority w:val="99"/>
    <w:qFormat/>
  </w:style>
  <w:style w:type="paragraph" w:styleId="1160" w:customStyle="1">
    <w:name w:val="表格文字"/>
    <w:basedOn w:val="829"/>
    <w:qFormat/>
    <w:pPr>
      <w:jc w:val="center"/>
      <w:widowControl/>
    </w:pPr>
    <w:rPr>
      <w:rFonts w:hint="eastAsia" w:ascii="宋体" w:hAnsi="宋体"/>
      <w:color w:val="000000"/>
      <w:sz w:val="22"/>
      <w:szCs w:val="22"/>
    </w:rPr>
  </w:style>
  <w:style w:type="paragraph" w:styleId="1161" w:customStyle="1">
    <w:name w:val="UserStyle_0"/>
    <w:qFormat/>
    <w:pPr>
      <w:jc w:val="both"/>
    </w:pPr>
    <w:rPr>
      <w:sz w:val="21"/>
      <w:szCs w:val="24"/>
    </w:rPr>
  </w:style>
  <w:style w:type="paragraph" w:styleId="1162" w:customStyle="1">
    <w:name w:val="普通(网站) Char Char"/>
    <w:basedOn w:val="829"/>
    <w:qFormat/>
    <w:pPr>
      <w:jc w:val="left"/>
      <w:spacing w:before="100" w:beforeAutospacing="1" w:after="100" w:afterAutospacing="1"/>
      <w:widowControl/>
    </w:pPr>
    <w:rPr>
      <w:rFonts w:hint="eastAsia" w:ascii="宋体" w:hAnsi="宋体"/>
      <w:sz w:val="24"/>
      <w:szCs w:val="24"/>
    </w:rPr>
  </w:style>
  <w:style w:type="paragraph" w:styleId="1163" w:customStyle="1">
    <w:name w:val="DAS正文"/>
    <w:basedOn w:val="829"/>
    <w:uiPriority w:val="99"/>
    <w:qFormat/>
    <w:pPr>
      <w:ind w:right="181" w:firstLine="480"/>
      <w:spacing w:line="360" w:lineRule="auto"/>
    </w:pPr>
    <w:rPr>
      <w:rFonts w:ascii="Verdana" w:hAnsi="Verdana"/>
      <w:szCs w:val="24"/>
    </w:rPr>
  </w:style>
  <w:style w:type="character" w:styleId="1164" w:customStyle="1">
    <w:name w:val="font81"/>
    <w:qFormat/>
    <w:rPr>
      <w:rFonts w:hint="eastAsia" w:ascii="宋体" w:hAnsi="宋体" w:eastAsia="宋体" w:cs="宋体"/>
      <w:color w:val="000000"/>
      <w:sz w:val="18"/>
      <w:szCs w:val="18"/>
      <w:u w:val="none"/>
    </w:rPr>
  </w:style>
  <w:style w:type="character" w:styleId="1165" w:customStyle="1">
    <w:name w:val="font141"/>
    <w:qFormat/>
    <w:rPr>
      <w:rFonts w:hint="eastAsia" w:ascii="宋体" w:hAnsi="宋体" w:eastAsia="宋体" w:cs="宋体"/>
      <w:b/>
      <w:bCs/>
      <w:color w:val="000000"/>
      <w:sz w:val="18"/>
      <w:szCs w:val="18"/>
      <w:u w:val="none"/>
    </w:rPr>
  </w:style>
  <w:style w:type="character" w:styleId="1166" w:customStyle="1">
    <w:name w:val="font121"/>
    <w:qFormat/>
    <w:rPr>
      <w:rFonts w:hint="eastAsia" w:ascii="宋体" w:hAnsi="宋体" w:eastAsia="宋体" w:cs="宋体"/>
      <w:color w:val="000000"/>
      <w:sz w:val="20"/>
      <w:szCs w:val="20"/>
      <w:u w:val="none"/>
    </w:rPr>
  </w:style>
  <w:style w:type="paragraph" w:styleId="1167" w:customStyle="1">
    <w:name w:val="Step1"/>
    <w:basedOn w:val="829"/>
    <w:next w:val="829"/>
    <w:qFormat/>
    <w:pPr>
      <w:ind w:left="1135"/>
      <w:spacing w:line="360" w:lineRule="auto"/>
    </w:pPr>
  </w:style>
  <w:style w:type="character" w:styleId="1168" w:customStyle="1">
    <w:name w:val="未处理的提及1"/>
    <w:uiPriority w:val="99"/>
    <w:unhideWhenUsed/>
    <w:qFormat/>
    <w:rPr>
      <w:color w:val="605e5c"/>
      <w:shd w:val="clear" w:color="auto" w:fill="e1dfdd"/>
    </w:rPr>
  </w:style>
  <w:style w:type="character" w:styleId="1169" w:customStyle="1">
    <w:name w:val="批注文字 Char1"/>
    <w:link w:val="844"/>
    <w:uiPriority w:val="99"/>
    <w:semiHidden/>
    <w:qFormat/>
    <w:rPr>
      <w:sz w:val="21"/>
      <w:szCs w:val="21"/>
    </w:rPr>
  </w:style>
  <w:style w:type="character" w:styleId="1170" w:customStyle="1">
    <w:name w:val="批注主题 Char1"/>
    <w:link w:val="866"/>
    <w:uiPriority w:val="99"/>
    <w:semiHidden/>
    <w:qFormat/>
    <w:rPr>
      <w:b/>
      <w:bCs/>
      <w:sz w:val="21"/>
      <w:szCs w:val="21"/>
    </w:rPr>
  </w:style>
  <w:style w:type="character" w:styleId="1171" w:customStyle="1">
    <w:name w:val="批注框文本 Char1"/>
    <w:link w:val="853"/>
    <w:uiPriority w:val="99"/>
    <w:semiHidden/>
    <w:qFormat/>
    <w:rPr>
      <w:sz w:val="18"/>
      <w:szCs w:val="18"/>
    </w:rPr>
  </w:style>
  <w:style w:type="character" w:styleId="1172" w:customStyle="1">
    <w:name w:val="强调1"/>
    <w:qFormat/>
    <w:rPr>
      <w:rFonts w:ascii="Times New Roman" w:hAnsi="Times New Roman" w:eastAsia="宋体" w:cs="Times New Roman"/>
      <w:sz w:val="21"/>
      <w:szCs w:val="21"/>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wmf"/><Relationship Id="rId17" Type="http://schemas.openxmlformats.org/officeDocument/2006/relationships/hyperlink" Target="http://www.ccgp-jiangsu.gov.cn/jiangsu/z" TargetMode="External"/><Relationship Id="rId18" Type="http://schemas.openxmlformats.org/officeDocument/2006/relationships/hyperlink" Target="https://product.pconline.com.cn/so/s50726/" TargetMode="External"/><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Info spid="_x0000_s1025"/>
    <customShpInfo spid="_x0000_s2050"/>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Props1.xml><?xml version="1.0" encoding="utf-8"?>
<ds:datastoreItem xmlns:ds="http://schemas.openxmlformats.org/officeDocument/2006/customXml" ds:itemID="{A8077C72-24F2-4F4A-B683-1507E813494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经办一</cp:lastModifiedBy>
  <cp:revision>15</cp:revision>
  <dcterms:created xsi:type="dcterms:W3CDTF">2026-07-02T14:22:00Z</dcterms:created>
  <dcterms:modified xsi:type="dcterms:W3CDTF">2026-07-13T10:02:33Z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eyJoZGlkIjoiMTY1YmNlZTZiZmVjN2NiMmRiZmFhYjVkODVkZTc0MTEifQ==</vt:lpwstr>
  </property>
  <property fmtid="{D5CDD505-2E9C-101B-9397-08002B2CF9AE}" pid="3" name="KSOProductBuildVer">
    <vt:lpwstr>2052-11.1.0.11754</vt:lpwstr>
  </property>
  <property fmtid="{D5CDD505-2E9C-101B-9397-08002B2CF9AE}" pid="4" name="ICV">
    <vt:lpwstr>790D17B3924D4EC1A73531A38AE44D70_13</vt:lpwstr>
  </property>
</Properties>
</file>