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95"/>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w:t>
      </w:r>
      <w:r>
        <w:rPr>
          <w:rFonts w:hint="eastAsia" w:ascii="Arial" w:hAnsi="Arial" w:eastAsia="黑体" w:cs="Times New Roman"/>
          <w:b/>
          <w:bCs/>
          <w:color w:val="auto"/>
          <w:sz w:val="84"/>
          <w:lang w:eastAsia="zh-CN"/>
        </w:rPr>
        <w:t xml:space="preserve">谈判</w:t>
      </w:r>
      <w:r>
        <w:rPr>
          <w:rFonts w:hint="eastAsia" w:ascii="Arial" w:hAnsi="Arial" w:eastAsia="黑体" w:cs="Times New Roman"/>
          <w:b/>
          <w:bCs/>
          <w:color w:val="auto"/>
          <w:sz w:val="84"/>
        </w:rPr>
        <w:t xml:space="preserve">文件</w:t>
      </w:r>
      <w:r/>
    </w:p>
    <w:p>
      <w:pPr>
        <w:pStyle w:val="995"/>
        <w:ind w:firstLine="0"/>
        <w:jc w:val="center"/>
        <w:rPr>
          <w:rFonts w:hint="eastAsia" w:ascii="Arial" w:hAnsi="Arial" w:eastAsia="黑体" w:cs="Times New Roman"/>
          <w:b/>
          <w:bCs/>
          <w:color w:val="auto"/>
          <w:sz w:val="84"/>
          <w:lang w:eastAsia="zh-CN"/>
        </w:rPr>
      </w:pPr>
      <w:r>
        <w:rPr>
          <w:rFonts w:hint="eastAsia" w:ascii="Arial" w:hAnsi="Arial" w:eastAsia="黑体" w:cs="Times New Roman"/>
          <w:b/>
          <w:bCs/>
          <w:color w:val="auto"/>
          <w:sz w:val="84"/>
          <w:lang w:eastAsia="zh-CN"/>
        </w:rPr>
        <w:t xml:space="preserve">（</w:t>
      </w:r>
      <w:r>
        <w:rPr>
          <w:rFonts w:hint="eastAsia" w:ascii="Arial" w:hAnsi="Arial" w:eastAsia="黑体" w:cs="Times New Roman"/>
          <w:b/>
          <w:bCs/>
          <w:color w:val="auto"/>
          <w:sz w:val="84"/>
          <w:lang w:val="en-US" w:eastAsia="zh-CN"/>
        </w:rPr>
        <w:t xml:space="preserve">线下</w:t>
      </w:r>
      <w:r>
        <w:rPr>
          <w:rFonts w:hint="eastAsia" w:ascii="Arial" w:hAnsi="Arial" w:eastAsia="黑体" w:cs="Times New Roman"/>
          <w:b/>
          <w:bCs/>
          <w:color w:val="auto"/>
          <w:sz w:val="84"/>
          <w:lang w:eastAsia="zh-CN"/>
        </w:rPr>
        <w:t xml:space="preserve">）</w:t>
      </w:r>
      <w:r/>
    </w:p>
    <w:p>
      <w:pPr>
        <w:ind w:firstLine="0"/>
        <w:jc w:val="center"/>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2025年南京市医疗设备集中采购医用磁共振设备</w:t>
      </w:r>
      <w:r/>
    </w:p>
    <w:p>
      <w:pPr>
        <w:ind w:firstLine="643"/>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JSZC-320100-JZCG-T2026-0307</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95"/>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8</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Arial" w:eastAsia="黑体"/>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谈判邀请……………………………………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采购需求……………………………………</w:t>
      </w:r>
      <w:r>
        <w:rPr>
          <w:rFonts w:hint="eastAsia" w:ascii="黑体" w:hAnsi="宋体" w:eastAsia="黑体" w:cs="Times New Roman"/>
          <w:color w:val="auto"/>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成交标准……………………………………</w:t>
      </w:r>
      <w:r>
        <w:rPr>
          <w:rFonts w:hint="eastAsia" w:ascii="黑体" w:hAnsi="宋体" w:eastAsia="黑体" w:cs="Times New Roman"/>
          <w:color w:val="auto"/>
          <w:sz w:val="36"/>
          <w:szCs w:val="21"/>
          <w:lang w:val="en-US" w:eastAsia="zh-CN"/>
        </w:rPr>
        <w:t xml:space="preserve">26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响应文件格式………………………………</w:t>
      </w:r>
      <w:r>
        <w:rPr>
          <w:rFonts w:hint="eastAsia" w:ascii="黑体" w:hAnsi="宋体" w:eastAsia="黑体" w:cs="Times New Roman"/>
          <w:color w:val="auto"/>
          <w:sz w:val="36"/>
          <w:szCs w:val="21"/>
          <w:lang w:val="en-US" w:eastAsia="zh-CN"/>
        </w:rPr>
        <w:t xml:space="preserve">27</w:t>
      </w:r>
      <w:r/>
    </w:p>
    <w:p>
      <w:pPr>
        <w:keepLines w:val="0"/>
        <w:keepNext w:val="0"/>
        <w:pageBreakBefore w:val="0"/>
        <w:spacing w:line="480" w:lineRule="auto"/>
        <w:widowControl w:val="off"/>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w:t>
      </w:r>
      <w:bookmarkEnd w:id="0"/>
      <w:r>
        <w:rPr>
          <w:rFonts w:hint="eastAsia" w:ascii="方正小标宋简体" w:hAnsi="方正小标宋简体" w:eastAsia="方正小标宋简体" w:cs="方正小标宋简体"/>
          <w:color w:val="auto"/>
          <w:sz w:val="36"/>
          <w:szCs w:val="36"/>
        </w:rPr>
        <w:t xml:space="preserve">谈判邀请</w:t>
      </w:r>
      <w:r/>
    </w:p>
    <w:p>
      <w:pPr>
        <w:ind w:firstLine="480"/>
        <w:pageBreakBefore w:val="0"/>
        <w:spacing w:line="240" w:lineRule="auto"/>
        <w:widowControl w:val="off"/>
        <w:rPr>
          <w:rFonts w:hint="eastAsia" w:ascii="宋体" w:hAnsi="宋体"/>
          <w:color w:val="auto"/>
          <w:sz w:val="24"/>
          <w:szCs w:val="24"/>
        </w:rPr>
      </w:pPr>
      <w:r/>
      <w:bookmarkStart w:id="6" w:name="_Toc35393790"/>
      <w:r/>
      <w:bookmarkStart w:id="7" w:name="_Toc28359002"/>
      <w:r/>
      <w:bookmarkStart w:id="8" w:name="_Toc38985263"/>
      <w:r/>
      <w:bookmarkStart w:id="9" w:name="_Toc35393621"/>
      <w:r/>
      <w:bookmarkStart w:id="10" w:name="_Toc28359079"/>
      <w:r/>
      <w:bookmarkStart w:id="11" w:name="_Hlk24379207"/>
      <w:r/>
      <w:bookmarkStart w:id="12" w:name="_Toc35393791"/>
      <w:r/>
      <w:bookmarkStart w:id="13" w:name="_Toc28359080"/>
      <w:r/>
      <w:bookmarkStart w:id="14" w:name="_Toc35393622"/>
      <w:r/>
      <w:bookmarkStart w:id="15" w:name="_Toc28359003"/>
      <w:r/>
      <w:bookmarkStart w:id="16" w:name="_Toc38985264"/>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南京市卫生健康委员会</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eastAsia="宋体" w:cs="Times New Roman"/>
          <w:b w:val="0"/>
          <w:bCs w:val="0"/>
          <w:color w:val="auto"/>
          <w:sz w:val="24"/>
          <w:szCs w:val="24"/>
          <w:u w:val="none"/>
          <w:lang w:val="en-US" w:eastAsia="zh-CN"/>
        </w:rPr>
        <w:t xml:space="preserve">2025年南京市医疗设备集中采购医用磁共振设备</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项目名称</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进行</w:t>
      </w:r>
      <w:r>
        <w:rPr>
          <w:rFonts w:hint="eastAsia" w:ascii="宋体" w:hAnsi="宋体" w:eastAsia="宋体" w:cs="Times New Roman"/>
          <w:color w:val="auto"/>
          <w:sz w:val="24"/>
          <w:szCs w:val="24"/>
          <w:lang w:val="en-US" w:eastAsia="zh-CN"/>
        </w:rPr>
        <w:t xml:space="preserve">竞争性谈判采购，</w:t>
      </w:r>
      <w:r>
        <w:rPr>
          <w:rFonts w:hint="eastAsia" w:ascii="宋体" w:hAnsi="宋体" w:cs="Times New Roman"/>
          <w:color w:val="auto"/>
          <w:sz w:val="24"/>
          <w:szCs w:val="24"/>
          <w:lang w:val="en-US" w:eastAsia="zh-CN"/>
        </w:rPr>
        <w:t xml:space="preserve">邀请前期该项目公开招标过程中（原项目编号：JSZC-320100-JZCG-G2026-0044）经评审实质性响应招标文件要求的两家供应商</w:t>
      </w:r>
      <w:r>
        <w:rPr>
          <w:rFonts w:hint="eastAsia" w:ascii="宋体" w:hAnsi="宋体" w:eastAsia="宋体" w:cs="Times New Roman"/>
          <w:color w:val="auto"/>
          <w:sz w:val="24"/>
          <w:szCs w:val="24"/>
          <w:lang w:val="en-US" w:eastAsia="zh-CN"/>
        </w:rPr>
        <w:t xml:space="preserve">参加谈判。</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eastAsia="zh-CN"/>
        </w:rPr>
        <w:t xml:space="preserve">JSZC-320100-JZCG-T2026-0307</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eastAsia="宋体" w:cs="Times New Roman"/>
          <w:b w:val="0"/>
          <w:bCs w:val="0"/>
          <w:color w:val="auto"/>
          <w:sz w:val="24"/>
          <w:szCs w:val="24"/>
          <w:u w:val="none"/>
          <w:lang w:val="en-US" w:eastAsia="zh-CN"/>
        </w:rPr>
        <w:t xml:space="preserve">2025年南京市医疗设备集中采购</w:t>
      </w:r>
      <w:bookmarkStart w:id="17" w:name="OLE_LINK4"/>
      <w:r/>
      <w:bookmarkStart w:id="144" w:name="_GoBack"/>
      <w:r>
        <w:rPr>
          <w:rFonts w:hint="eastAsia" w:ascii="宋体" w:hAnsi="宋体" w:eastAsia="宋体" w:cs="Times New Roman"/>
          <w:b w:val="0"/>
          <w:bCs w:val="0"/>
          <w:color w:val="auto"/>
          <w:sz w:val="24"/>
          <w:szCs w:val="24"/>
          <w:u w:val="none"/>
          <w:lang w:val="en-US" w:eastAsia="zh-CN"/>
        </w:rPr>
        <w:t xml:space="preserve">医用磁共振</w:t>
      </w:r>
      <w:bookmarkEnd w:id="17"/>
      <w:r/>
      <w:bookmarkEnd w:id="144"/>
      <w:r>
        <w:rPr>
          <w:rFonts w:hint="eastAsia" w:ascii="宋体" w:hAnsi="宋体" w:eastAsia="宋体" w:cs="Times New Roman"/>
          <w:b w:val="0"/>
          <w:bCs w:val="0"/>
          <w:color w:val="auto"/>
          <w:sz w:val="24"/>
          <w:szCs w:val="24"/>
          <w:u w:val="none"/>
          <w:lang w:val="en-US" w:eastAsia="zh-CN"/>
        </w:rPr>
        <w:t xml:space="preserve">设备</w:t>
      </w:r>
      <w:bookmarkEnd w:id="11"/>
      <w:r/>
    </w:p>
    <w:p>
      <w:pPr>
        <w:ind w:firstLine="480"/>
        <w:spacing w:line="240" w:lineRule="auto"/>
        <w:rPr>
          <w:rFonts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rPr>
        <w:t xml:space="preserve">3.预算金额：</w:t>
      </w:r>
      <w:r>
        <w:rPr>
          <w:rFonts w:hint="eastAsia" w:ascii="宋体" w:hAnsi="宋体" w:eastAsia="宋体" w:cs="Times New Roman"/>
          <w:color w:val="auto"/>
          <w:sz w:val="24"/>
          <w:szCs w:val="24"/>
          <w:highlight w:val="none"/>
          <w:u w:val="none"/>
          <w:lang w:val="en-US" w:eastAsia="zh-CN"/>
        </w:rPr>
        <w:t xml:space="preserve">8000万元</w:t>
      </w:r>
      <w:r/>
    </w:p>
    <w:p>
      <w:pPr>
        <w:ind w:firstLine="480"/>
        <w:pageBreakBefore w:val="0"/>
        <w:spacing w:line="240" w:lineRule="auto"/>
        <w:widowControl w:val="off"/>
        <w:rPr>
          <w:rFonts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cs="Times New Roman"/>
          <w:color w:val="auto"/>
          <w:sz w:val="24"/>
          <w:szCs w:val="24"/>
          <w:highlight w:val="none"/>
          <w:u w:val="none"/>
          <w:lang w:val="en-US" w:eastAsia="zh-CN"/>
        </w:rPr>
        <w:t xml:space="preserve">75</w:t>
      </w:r>
      <w:r>
        <w:rPr>
          <w:rFonts w:hint="eastAsia" w:ascii="宋体" w:hAnsi="宋体" w:eastAsia="宋体" w:cs="Times New Roman"/>
          <w:color w:val="auto"/>
          <w:sz w:val="24"/>
          <w:szCs w:val="24"/>
          <w:highlight w:val="none"/>
          <w:u w:val="none"/>
          <w:lang w:val="en-US" w:eastAsia="zh-CN"/>
        </w:rPr>
        <w:t xml:space="preserve">00万元</w:t>
      </w:r>
      <w:r/>
    </w:p>
    <w:p>
      <w:pPr>
        <w:ind w:firstLine="480"/>
        <w:pageBreakBefore w:val="0"/>
        <w:spacing w:line="240" w:lineRule="auto"/>
        <w:widowControl w:val="off"/>
        <w:rPr>
          <w:rFonts w:hint="eastAsia" w:ascii="宋体" w:hAnsi="宋体" w:eastAsia="宋体"/>
          <w:color w:val="auto"/>
          <w:sz w:val="24"/>
          <w:szCs w:val="24"/>
          <w:u w:val="single"/>
          <w:lang w:eastAsia="zh-CN"/>
        </w:rPr>
      </w:pPr>
      <w:r>
        <w:rPr>
          <w:rFonts w:hint="eastAsia" w:ascii="宋体" w:hAnsi="宋体"/>
          <w:color w:val="auto"/>
          <w:sz w:val="24"/>
          <w:szCs w:val="24"/>
        </w:rPr>
        <w:t xml:space="preserve">5.采购需求（简介）：</w:t>
      </w:r>
      <w:r>
        <w:rPr>
          <w:rFonts w:hint="eastAsia" w:ascii="宋体" w:hAnsi="宋体" w:eastAsia="宋体" w:cs="Times New Roman"/>
          <w:color w:val="auto"/>
          <w:sz w:val="24"/>
          <w:szCs w:val="24"/>
          <w:highlight w:val="none"/>
          <w:u w:val="none"/>
          <w:lang w:val="en-US" w:eastAsia="zh-CN"/>
        </w:rPr>
        <w:t xml:space="preserve">7.0T磁共振成像系统</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谈判</w:t>
      </w:r>
      <w:r>
        <w:rPr>
          <w:rFonts w:hint="eastAsia" w:ascii="宋体" w:hAnsi="宋体" w:cs="宋体"/>
          <w:color w:val="auto"/>
          <w:sz w:val="24"/>
          <w:szCs w:val="24"/>
        </w:rPr>
        <w:t xml:space="preserve">文件第四章）</w:t>
      </w:r>
      <w:r>
        <w:rPr>
          <w:rFonts w:hint="eastAsia" w:ascii="宋体" w:hAnsi="宋体" w:cs="宋体"/>
          <w:color w:val="auto"/>
          <w:sz w:val="24"/>
          <w:szCs w:val="24"/>
          <w:lang w:eastAsia="zh-CN"/>
        </w:rPr>
        <w:t xml:space="preserve">。</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一年</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联合体参加谈判。</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bookmarkEnd w:id="12"/>
      <w:bookmarkEnd w:id="13"/>
      <w:bookmarkEnd w:id="14"/>
      <w:bookmarkEnd w:id="15"/>
      <w:bookmarkEnd w:id="16"/>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 w:name="_Toc28359081"/>
      <w:r/>
      <w:bookmarkStart w:id="19" w:name="_Toc38985265"/>
      <w:r/>
      <w:bookmarkStart w:id="20" w:name="_Toc35393792"/>
      <w:r/>
      <w:bookmarkStart w:id="21" w:name="_Toc28359004"/>
      <w:r/>
      <w:bookmarkStart w:id="22" w:name="_Toc35393623"/>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2"/>
        <w:pageBreakBefore w:val="0"/>
        <w:spacing w:line="240" w:lineRule="auto"/>
        <w:widowControl w:val="off"/>
        <w:rPr>
          <w:rFonts w:hint="eastAsia" w:ascii="宋体" w:hAnsi="宋体" w:eastAsia="宋体" w:cs="Times New Roman"/>
          <w:b/>
          <w:bCs/>
          <w:color w:val="auto"/>
          <w:sz w:val="24"/>
          <w:szCs w:val="24"/>
          <w:highlight w:val="none"/>
          <w:lang w:val="zh-CN"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p>
    <w:p>
      <w:pPr>
        <w:numPr>
          <w:ilvl w:val="-1"/>
          <w:numId w:val="0"/>
        </w:numPr>
        <w:ind w:firstLine="482"/>
        <w:pageBreakBefore w:val="0"/>
        <w:spacing w:line="240" w:lineRule="auto"/>
        <w:widowControl w:val="off"/>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1.所投产品若为国内生产，须提供生产厂家的《医疗器械生产许可证》；若为国外生产，须提供生产厂家或其国内总代出具的授权书。</w:t>
      </w:r>
      <w:r/>
    </w:p>
    <w:p>
      <w:pPr>
        <w:numPr>
          <w:ilvl w:val="0"/>
          <w:numId w:val="0"/>
        </w:numPr>
        <w:ind w:firstLine="482"/>
        <w:rPr>
          <w:rFonts w:hint="eastAsia" w:ascii="方正黑体_GBK" w:hAnsi="方正黑体_GBK" w:eastAsia="方正黑体_GBK" w:cs="方正黑体_GBK"/>
          <w:b w:val="0"/>
          <w:bCs w:val="0"/>
          <w:color w:val="auto"/>
          <w:sz w:val="30"/>
          <w:szCs w:val="30"/>
        </w:rPr>
      </w:pPr>
      <w:r>
        <w:rPr>
          <w:rFonts w:hint="eastAsia" w:ascii="宋体" w:hAnsi="宋体" w:eastAsia="宋体" w:cs="Times New Roman"/>
          <w:b/>
          <w:bCs/>
          <w:color w:val="auto"/>
          <w:sz w:val="24"/>
          <w:szCs w:val="24"/>
          <w:highlight w:val="none"/>
          <w:lang w:val="zh-CN" w:eastAsia="zh-CN"/>
        </w:rPr>
        <w:t xml:space="preserve">2.投标人提供《医疗器械经营许可证》；提供所投产品（7.0T磁共振设备）《医疗器械注册证》。</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bookmarkEnd w:id="18"/>
      <w:r/>
      <w:bookmarkEnd w:id="19"/>
      <w:r/>
      <w:bookmarkEnd w:id="20"/>
      <w:r/>
      <w:bookmarkEnd w:id="21"/>
      <w:r/>
      <w:bookmarkEnd w:id="22"/>
      <w:r>
        <w:rPr>
          <w:rFonts w:hint="eastAsia" w:ascii="方正黑体_GBK" w:hAnsi="方正黑体_GBK" w:eastAsia="方正黑体_GBK" w:cs="方正黑体_GBK"/>
          <w:b w:val="0"/>
          <w:bCs w:val="0"/>
          <w:color w:val="auto"/>
          <w:sz w:val="30"/>
          <w:szCs w:val="30"/>
        </w:rPr>
        <w:t xml:space="preserve">谈判文件</w:t>
      </w:r>
      <w:r/>
    </w:p>
    <w:p>
      <w:pPr>
        <w:ind w:firstLine="480"/>
        <w:pageBreakBefore w:val="0"/>
        <w:spacing w:line="240" w:lineRule="auto"/>
        <w:widowControl w:val="off"/>
        <w:rPr>
          <w:rFonts w:hint="eastAsia" w:ascii="宋体" w:hAnsi="宋体" w:eastAsia="宋体" w:cs="Times New Roman"/>
          <w:color w:val="auto"/>
          <w:sz w:val="24"/>
          <w:szCs w:val="24"/>
        </w:rPr>
      </w:pPr>
      <w:r/>
      <w:bookmarkStart w:id="23" w:name="_Toc28359005"/>
      <w:r/>
      <w:bookmarkStart w:id="24" w:name="_Toc28359082"/>
      <w:r/>
      <w:bookmarkStart w:id="25" w:name="_Toc35393793"/>
      <w:r/>
      <w:bookmarkStart w:id="26" w:name="_Toc38985266"/>
      <w:r/>
      <w:bookmarkStart w:id="27" w:name="_Toc35393624"/>
      <w:r>
        <w:rPr>
          <w:rFonts w:hint="eastAsia" w:ascii="宋体" w:hAnsi="宋体" w:eastAsia="宋体" w:cs="Times New Roman"/>
          <w:color w:val="auto"/>
          <w:sz w:val="24"/>
          <w:szCs w:val="24"/>
        </w:rPr>
        <w:t xml:space="preserve">1.时间：自谈判文件公告发布之日起。</w:t>
      </w:r>
      <w:r/>
    </w:p>
    <w:p>
      <w:pPr>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2.方式：在“江苏政府采购网”免费下载。</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w:t>
      </w:r>
      <w:bookmarkEnd w:id="23"/>
      <w:r/>
      <w:bookmarkEnd w:id="24"/>
      <w:r>
        <w:rPr>
          <w:rFonts w:hint="eastAsia" w:ascii="方正黑体_GBK" w:hAnsi="方正黑体_GBK" w:eastAsia="方正黑体_GBK" w:cs="方正黑体_GBK"/>
          <w:b w:val="0"/>
          <w:bCs w:val="0"/>
          <w:color w:val="auto"/>
          <w:sz w:val="30"/>
          <w:szCs w:val="30"/>
        </w:rPr>
        <w:t xml:space="preserve">响应文件截止时间</w:t>
      </w:r>
      <w:bookmarkEnd w:id="25"/>
      <w:r/>
      <w:bookmarkEnd w:id="26"/>
      <w:r/>
      <w:bookmarkEnd w:id="27"/>
      <w:r/>
      <w:r/>
    </w:p>
    <w:p>
      <w:pPr>
        <w:ind w:firstLine="482"/>
        <w:spacing w:line="240" w:lineRule="auto"/>
        <w:rPr>
          <w:rFonts w:hint="eastAsia" w:ascii="宋体" w:hAnsi="宋体" w:eastAsia="宋体" w:cs="Times New Roman"/>
          <w:b/>
          <w:bCs/>
          <w:color w:val="auto"/>
          <w:sz w:val="24"/>
          <w:szCs w:val="24"/>
          <w:lang w:val="en-US"/>
        </w:rPr>
      </w:pPr>
      <w:r/>
      <w:bookmarkStart w:id="28" w:name="_Toc35393794"/>
      <w:r/>
      <w:bookmarkStart w:id="29" w:name="_Toc28359084"/>
      <w:r/>
      <w:bookmarkStart w:id="30" w:name="_Toc35393625"/>
      <w:r/>
      <w:bookmarkStart w:id="31" w:name="_Toc28359007"/>
      <w:r/>
      <w:bookmarkStart w:id="32" w:name="_Toc38985267"/>
      <w:r>
        <w:rPr>
          <w:rFonts w:hint="eastAsia" w:ascii="宋体" w:hAnsi="宋体" w:eastAsia="宋体" w:cs="Times New Roman"/>
          <w:b/>
          <w:bCs/>
          <w:color w:val="auto"/>
          <w:sz w:val="24"/>
          <w:szCs w:val="24"/>
          <w:lang w:val="en-US"/>
        </w:rPr>
        <w:t xml:space="preserve">开始时间：</w:t>
      </w:r>
      <w:r>
        <w:rPr>
          <w:rFonts w:hint="eastAsia" w:ascii="宋体" w:hAnsi="宋体" w:eastAsia="宋体" w:cs="Times New Roman"/>
          <w:b/>
          <w:bCs/>
          <w:color w:val="auto"/>
          <w:sz w:val="24"/>
          <w:szCs w:val="24"/>
          <w:u w:val="none"/>
          <w:lang w:val="en-US" w:eastAsia="zh-CN"/>
        </w:rPr>
        <w:t xml:space="preserve">2026</w:t>
      </w:r>
      <w:r>
        <w:rPr>
          <w:rFonts w:hint="eastAsia" w:ascii="宋体" w:hAnsi="宋体" w:eastAsia="宋体" w:cs="Times New Roman"/>
          <w:b/>
          <w:bCs/>
          <w:color w:val="auto"/>
          <w:sz w:val="24"/>
          <w:szCs w:val="24"/>
          <w:lang w:val="en-US"/>
        </w:rPr>
        <w:t xml:space="preserve">年</w:t>
      </w:r>
      <w:r>
        <w:rPr>
          <w:rFonts w:hint="eastAsia" w:ascii="宋体" w:hAnsi="宋体" w:cs="Times New Roman"/>
          <w:b/>
          <w:bCs/>
          <w:color w:val="auto"/>
          <w:sz w:val="24"/>
          <w:szCs w:val="24"/>
          <w:u w:val="none"/>
          <w:lang w:val="en-US" w:eastAsia="zh-CN"/>
        </w:rPr>
        <w:t xml:space="preserve">9</w:t>
      </w:r>
      <w:r>
        <w:rPr>
          <w:rFonts w:hint="eastAsia" w:ascii="宋体" w:hAnsi="宋体" w:eastAsia="宋体" w:cs="Times New Roman"/>
          <w:b/>
          <w:bCs/>
          <w:color w:val="auto"/>
          <w:sz w:val="24"/>
          <w:szCs w:val="24"/>
          <w:lang w:val="en-US"/>
        </w:rPr>
        <w:t xml:space="preserve">月</w:t>
      </w:r>
      <w:r>
        <w:rPr>
          <w:rFonts w:hint="eastAsia" w:ascii="宋体" w:hAnsi="宋体" w:cs="Times New Roman"/>
          <w:b/>
          <w:bCs/>
          <w:color w:val="auto"/>
          <w:sz w:val="24"/>
          <w:szCs w:val="24"/>
          <w:u w:val="none"/>
          <w:lang w:val="en-US" w:eastAsia="zh-CN"/>
        </w:rPr>
        <w:t xml:space="preserve">4</w:t>
      </w:r>
      <w:r>
        <w:rPr>
          <w:rFonts w:hint="eastAsia" w:ascii="宋体" w:hAnsi="宋体" w:eastAsia="宋体" w:cs="Times New Roman"/>
          <w:b/>
          <w:bCs/>
          <w:color w:val="auto"/>
          <w:sz w:val="24"/>
          <w:szCs w:val="24"/>
          <w:lang w:val="en-US"/>
        </w:rPr>
        <w:t xml:space="preserve">日</w:t>
      </w:r>
      <w:r>
        <w:rPr>
          <w:rFonts w:hint="eastAsia" w:ascii="宋体" w:hAnsi="宋体" w:cs="Times New Roman"/>
          <w:b/>
          <w:bCs/>
          <w:color w:val="auto"/>
          <w:sz w:val="24"/>
          <w:szCs w:val="24"/>
          <w:u w:val="none"/>
          <w:lang w:val="en-US" w:eastAsia="zh-CN"/>
        </w:rPr>
        <w:t xml:space="preserve">14</w:t>
      </w:r>
      <w:r>
        <w:rPr>
          <w:rFonts w:hint="eastAsia" w:ascii="宋体" w:hAnsi="宋体" w:eastAsia="宋体" w:cs="Times New Roman"/>
          <w:b/>
          <w:bCs/>
          <w:color w:val="auto"/>
          <w:sz w:val="24"/>
          <w:szCs w:val="24"/>
          <w:lang w:val="en-US"/>
        </w:rPr>
        <w:t xml:space="preserve">时</w:t>
      </w:r>
      <w:r>
        <w:rPr>
          <w:rFonts w:hint="eastAsia" w:ascii="宋体" w:hAnsi="宋体" w:cs="Times New Roman"/>
          <w:b/>
          <w:bCs/>
          <w:color w:val="auto"/>
          <w:sz w:val="24"/>
          <w:szCs w:val="24"/>
          <w:u w:val="none"/>
          <w:lang w:val="en-US" w:eastAsia="zh-CN"/>
        </w:rPr>
        <w:t xml:space="preserve">10</w:t>
      </w:r>
      <w:r>
        <w:rPr>
          <w:rFonts w:hint="eastAsia" w:ascii="宋体" w:hAnsi="宋体" w:eastAsia="宋体" w:cs="Times New Roman"/>
          <w:b/>
          <w:bCs/>
          <w:color w:val="auto"/>
          <w:sz w:val="24"/>
          <w:szCs w:val="24"/>
          <w:lang w:val="en-US"/>
        </w:rPr>
        <w:t xml:space="preserve">分（北京时间）</w:t>
      </w:r>
      <w:r/>
    </w:p>
    <w:p>
      <w:pPr>
        <w:ind w:firstLine="482"/>
        <w:spacing w:line="240" w:lineRule="auto"/>
        <w:rPr>
          <w:rFonts w:hint="eastAsia" w:ascii="宋体" w:hAnsi="宋体" w:eastAsia="宋体" w:cs="Times New Roman"/>
          <w:b/>
          <w:bCs/>
          <w:color w:val="auto"/>
          <w:sz w:val="24"/>
          <w:szCs w:val="24"/>
          <w:lang w:val="en-US"/>
        </w:rPr>
      </w:pPr>
      <w:r>
        <w:rPr>
          <w:rFonts w:hint="eastAsia" w:ascii="宋体" w:hAnsi="宋体" w:eastAsia="宋体" w:cs="Times New Roman"/>
          <w:b/>
          <w:bCs/>
          <w:color w:val="auto"/>
          <w:sz w:val="24"/>
          <w:szCs w:val="24"/>
          <w:lang w:val="en-US"/>
        </w:rPr>
        <w:t xml:space="preserve">截止时间：</w:t>
      </w:r>
      <w:r>
        <w:rPr>
          <w:rFonts w:hint="eastAsia" w:ascii="宋体" w:hAnsi="宋体" w:eastAsia="宋体" w:cs="Times New Roman"/>
          <w:b/>
          <w:bCs/>
          <w:color w:val="auto"/>
          <w:sz w:val="24"/>
          <w:szCs w:val="24"/>
          <w:u w:val="none"/>
          <w:lang w:val="en-US" w:eastAsia="zh-CN"/>
        </w:rPr>
        <w:t xml:space="preserve">2026</w:t>
      </w:r>
      <w:r>
        <w:rPr>
          <w:rFonts w:hint="eastAsia" w:ascii="宋体" w:hAnsi="宋体" w:eastAsia="宋体" w:cs="Times New Roman"/>
          <w:b/>
          <w:bCs/>
          <w:color w:val="auto"/>
          <w:sz w:val="24"/>
          <w:szCs w:val="24"/>
          <w:lang w:val="en-US"/>
        </w:rPr>
        <w:t xml:space="preserve">年</w:t>
      </w:r>
      <w:r>
        <w:rPr>
          <w:rFonts w:hint="eastAsia" w:ascii="宋体" w:hAnsi="宋体" w:cs="Times New Roman"/>
          <w:b/>
          <w:bCs/>
          <w:color w:val="auto"/>
          <w:sz w:val="24"/>
          <w:szCs w:val="24"/>
          <w:u w:val="none"/>
          <w:lang w:val="en-US" w:eastAsia="zh-CN"/>
        </w:rPr>
        <w:t xml:space="preserve">9</w:t>
      </w:r>
      <w:r>
        <w:rPr>
          <w:rFonts w:hint="eastAsia" w:ascii="宋体" w:hAnsi="宋体" w:eastAsia="宋体" w:cs="Times New Roman"/>
          <w:b/>
          <w:bCs/>
          <w:color w:val="auto"/>
          <w:sz w:val="24"/>
          <w:szCs w:val="24"/>
          <w:lang w:val="en-US"/>
        </w:rPr>
        <w:t xml:space="preserve">月</w:t>
      </w:r>
      <w:r>
        <w:rPr>
          <w:rFonts w:hint="eastAsia" w:ascii="宋体" w:hAnsi="宋体" w:cs="Times New Roman"/>
          <w:b/>
          <w:bCs/>
          <w:color w:val="auto"/>
          <w:sz w:val="24"/>
          <w:szCs w:val="24"/>
          <w:u w:val="none"/>
          <w:lang w:val="en-US" w:eastAsia="zh-CN"/>
        </w:rPr>
        <w:t xml:space="preserve">4</w:t>
      </w:r>
      <w:r>
        <w:rPr>
          <w:rFonts w:hint="eastAsia" w:ascii="宋体" w:hAnsi="宋体" w:eastAsia="宋体" w:cs="Times New Roman"/>
          <w:b/>
          <w:bCs/>
          <w:color w:val="auto"/>
          <w:sz w:val="24"/>
          <w:szCs w:val="24"/>
          <w:lang w:val="en-US"/>
        </w:rPr>
        <w:t xml:space="preserve">日</w:t>
      </w:r>
      <w:r>
        <w:rPr>
          <w:rFonts w:hint="eastAsia" w:ascii="宋体" w:hAnsi="宋体" w:cs="Times New Roman"/>
          <w:b/>
          <w:bCs/>
          <w:color w:val="auto"/>
          <w:sz w:val="24"/>
          <w:szCs w:val="24"/>
          <w:u w:val="none"/>
          <w:lang w:val="en-US" w:eastAsia="zh-CN"/>
        </w:rPr>
        <w:t xml:space="preserve">14</w:t>
      </w:r>
      <w:r>
        <w:rPr>
          <w:rFonts w:hint="eastAsia" w:ascii="宋体" w:hAnsi="宋体" w:eastAsia="宋体" w:cs="Times New Roman"/>
          <w:b/>
          <w:bCs/>
          <w:color w:val="auto"/>
          <w:sz w:val="24"/>
          <w:szCs w:val="24"/>
          <w:lang w:val="en-US"/>
        </w:rPr>
        <w:t xml:space="preserve">时</w:t>
      </w:r>
      <w:r>
        <w:rPr>
          <w:rFonts w:hint="eastAsia" w:ascii="宋体" w:hAnsi="宋体" w:cs="Times New Roman"/>
          <w:b/>
          <w:bCs/>
          <w:color w:val="auto"/>
          <w:sz w:val="24"/>
          <w:szCs w:val="24"/>
          <w:u w:val="none"/>
          <w:lang w:val="en-US" w:eastAsia="zh-CN"/>
        </w:rPr>
        <w:t xml:space="preserve">30</w:t>
      </w:r>
      <w:r>
        <w:rPr>
          <w:rFonts w:hint="eastAsia" w:ascii="宋体" w:hAnsi="宋体" w:eastAsia="宋体" w:cs="Times New Roman"/>
          <w:b/>
          <w:bCs/>
          <w:color w:val="auto"/>
          <w:sz w:val="24"/>
          <w:szCs w:val="24"/>
          <w:lang w:val="en-US"/>
        </w:rPr>
        <w:t xml:space="preserve">分（北京时间）</w:t>
      </w:r>
      <w:r/>
    </w:p>
    <w:p>
      <w:pPr>
        <w:ind w:firstLine="482"/>
        <w:spacing w:line="240" w:lineRule="auto"/>
        <w:rPr>
          <w:rFonts w:hint="eastAsia" w:ascii="宋体" w:hAnsi="宋体" w:eastAsia="宋体" w:cs="Times New Roman"/>
          <w:color w:val="auto"/>
          <w:sz w:val="24"/>
          <w:szCs w:val="24"/>
        </w:rPr>
        <w:outlineLvl w:val="9"/>
      </w:pPr>
      <w:r>
        <w:rPr>
          <w:rFonts w:hint="eastAsia" w:ascii="宋体" w:hAnsi="宋体" w:eastAsia="宋体" w:cs="Times New Roman"/>
          <w:b/>
          <w:bCs/>
          <w:color w:val="auto"/>
          <w:sz w:val="24"/>
          <w:szCs w:val="24"/>
        </w:rPr>
        <w:t xml:space="preserve">地点：南京市</w:t>
      </w:r>
      <w:r>
        <w:rPr>
          <w:rFonts w:hint="eastAsia" w:ascii="宋体" w:hAnsi="宋体" w:eastAsia="宋体" w:cs="Times New Roman"/>
          <w:b/>
          <w:bCs/>
          <w:color w:val="auto"/>
          <w:sz w:val="24"/>
          <w:szCs w:val="24"/>
          <w:lang w:val="en-US" w:eastAsia="zh-CN"/>
        </w:rPr>
        <w:t xml:space="preserve">建邺区</w:t>
      </w:r>
      <w:r>
        <w:rPr>
          <w:rFonts w:hint="eastAsia" w:ascii="宋体" w:hAnsi="宋体" w:eastAsia="宋体" w:cs="Times New Roman"/>
          <w:b/>
          <w:bCs/>
          <w:color w:val="auto"/>
          <w:sz w:val="24"/>
          <w:szCs w:val="24"/>
        </w:rPr>
        <w:t xml:space="preserve">江东中路265号南京市公共资源交易中心（南京市政务服务中心</w:t>
      </w:r>
      <w:r>
        <w:rPr>
          <w:rFonts w:hint="eastAsia" w:ascii="宋体" w:hAnsi="宋体" w:eastAsia="宋体" w:cs="Times New Roman"/>
          <w:b/>
          <w:bCs/>
          <w:color w:val="auto"/>
          <w:sz w:val="24"/>
          <w:szCs w:val="24"/>
          <w:lang w:val="en-US" w:eastAsia="zh-CN"/>
        </w:rPr>
        <w:t xml:space="preserve">B区</w:t>
      </w:r>
      <w:r>
        <w:rPr>
          <w:rFonts w:hint="eastAsia" w:ascii="宋体" w:hAnsi="宋体" w:eastAsia="宋体" w:cs="Times New Roman"/>
          <w:b/>
          <w:bCs/>
          <w:color w:val="auto"/>
          <w:sz w:val="24"/>
          <w:szCs w:val="24"/>
        </w:rPr>
        <w:t xml:space="preserve">）一楼</w:t>
      </w:r>
      <w:r>
        <w:rPr>
          <w:rFonts w:hint="eastAsia" w:ascii="宋体" w:hAnsi="宋体" w:eastAsia="宋体" w:cs="Times New Roman"/>
          <w:b/>
          <w:bCs/>
          <w:color w:val="auto"/>
          <w:sz w:val="24"/>
          <w:szCs w:val="24"/>
          <w:lang w:val="en-US" w:eastAsia="zh-CN"/>
        </w:rPr>
        <w:t xml:space="preserve">1227房间</w:t>
      </w:r>
      <w:r>
        <w:rPr>
          <w:rFonts w:hint="eastAsia" w:ascii="宋体" w:hAnsi="宋体" w:eastAsia="宋体" w:cs="Times New Roman"/>
          <w:b/>
          <w:bCs/>
          <w:color w:val="auto"/>
          <w:sz w:val="24"/>
          <w:szCs w:val="24"/>
        </w:rPr>
        <w:t xml:space="preserve">。</w:t>
      </w:r>
      <w:r/>
    </w:p>
    <w:p>
      <w:pPr>
        <w:ind w:firstLine="480"/>
        <w:spacing w:line="240" w:lineRule="auto"/>
        <w:rPr>
          <w:rFonts w:hint="eastAsia"/>
          <w:color w:val="auto"/>
        </w:rPr>
        <w:outlineLvl w:val="9"/>
      </w:pPr>
      <w:r>
        <w:rPr>
          <w:rFonts w:hint="eastAsia" w:ascii="宋体" w:hAnsi="宋体" w:eastAsia="宋体" w:cs="Times New Roman"/>
          <w:b w:val="0"/>
          <w:bCs w:val="0"/>
          <w:color w:val="auto"/>
          <w:sz w:val="24"/>
          <w:szCs w:val="24"/>
          <w:lang w:val="en-US"/>
        </w:rPr>
        <w:t xml:space="preserve">响应</w:t>
      </w:r>
      <w:r>
        <w:rPr>
          <w:rFonts w:hint="eastAsia" w:ascii="宋体" w:hAnsi="宋体" w:eastAsia="宋体" w:cs="Times New Roman"/>
          <w:b w:val="0"/>
          <w:bCs w:val="0"/>
          <w:color w:val="auto"/>
          <w:sz w:val="24"/>
          <w:szCs w:val="24"/>
        </w:rPr>
        <w:t xml:space="preserve">文件份数：一式</w:t>
      </w:r>
      <w:r>
        <w:rPr>
          <w:rFonts w:hint="eastAsia" w:ascii="宋体" w:hAnsi="宋体" w:eastAsia="宋体" w:cs="Times New Roman"/>
          <w:b w:val="0"/>
          <w:bCs w:val="0"/>
          <w:color w:val="auto"/>
          <w:sz w:val="24"/>
          <w:szCs w:val="24"/>
          <w:lang w:val="en-US" w:eastAsia="zh-CN"/>
        </w:rPr>
        <w:t xml:space="preserve">伍</w:t>
      </w:r>
      <w:r>
        <w:rPr>
          <w:rFonts w:hint="eastAsia" w:ascii="宋体" w:hAnsi="宋体" w:eastAsia="宋体" w:cs="Times New Roman"/>
          <w:b w:val="0"/>
          <w:bCs w:val="0"/>
          <w:color w:val="auto"/>
          <w:sz w:val="24"/>
          <w:szCs w:val="24"/>
        </w:rPr>
        <w:t xml:space="preserve">份（壹份正本、</w:t>
      </w:r>
      <w:r>
        <w:rPr>
          <w:rFonts w:hint="eastAsia" w:ascii="宋体" w:hAnsi="宋体" w:eastAsia="宋体" w:cs="Times New Roman"/>
          <w:b w:val="0"/>
          <w:bCs w:val="0"/>
          <w:color w:val="auto"/>
          <w:sz w:val="24"/>
          <w:szCs w:val="24"/>
          <w:lang w:val="en-US" w:eastAsia="zh-CN"/>
        </w:rPr>
        <w:t xml:space="preserve">肆</w:t>
      </w:r>
      <w:r>
        <w:rPr>
          <w:rFonts w:hint="eastAsia" w:ascii="宋体" w:hAnsi="宋体" w:eastAsia="宋体" w:cs="Times New Roman"/>
          <w:b w:val="0"/>
          <w:bCs w:val="0"/>
          <w:color w:val="auto"/>
          <w:sz w:val="24"/>
          <w:szCs w:val="24"/>
        </w:rPr>
        <w:t xml:space="preserve">份副本），每份</w:t>
      </w:r>
      <w:r>
        <w:rPr>
          <w:rFonts w:hint="eastAsia" w:ascii="宋体" w:hAnsi="宋体" w:eastAsia="宋体" w:cs="Times New Roman"/>
          <w:b w:val="0"/>
          <w:bCs w:val="0"/>
          <w:color w:val="auto"/>
          <w:sz w:val="24"/>
          <w:szCs w:val="24"/>
          <w:lang w:val="en-US"/>
        </w:rPr>
        <w:t xml:space="preserve">响应</w:t>
      </w:r>
      <w:r>
        <w:rPr>
          <w:rFonts w:hint="eastAsia" w:ascii="宋体" w:hAnsi="宋体" w:eastAsia="宋体" w:cs="Times New Roman"/>
          <w:b w:val="0"/>
          <w:bCs w:val="0"/>
          <w:color w:val="auto"/>
          <w:sz w:val="24"/>
          <w:szCs w:val="24"/>
        </w:rPr>
        <w:t xml:space="preserve">文件须清楚标明“正本”或“副本”</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val="0"/>
          <w:bCs w:val="0"/>
          <w:color w:val="auto"/>
          <w:sz w:val="24"/>
          <w:szCs w:val="24"/>
          <w:lang w:val="en-US" w:eastAsia="zh-CN"/>
        </w:rPr>
        <w:t xml:space="preserve">并提供电子文件光盘壹份。</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8"/>
      <w:r/>
      <w:bookmarkEnd w:id="29"/>
      <w:r/>
      <w:bookmarkEnd w:id="30"/>
      <w:r/>
      <w:bookmarkEnd w:id="31"/>
      <w:r/>
      <w:bookmarkEnd w:id="32"/>
      <w:r/>
      <w:r/>
    </w:p>
    <w:p>
      <w:pPr>
        <w:ind w:firstLine="480"/>
        <w:pageBreakBefore w:val="0"/>
        <w:spacing w:line="240" w:lineRule="auto"/>
        <w:widowControl w:val="off"/>
        <w:rPr>
          <w:rFonts w:hint="eastAsia" w:ascii="宋体" w:hAnsi="宋体" w:eastAsia="宋体" w:cs="Times New Roman"/>
          <w:color w:val="auto"/>
          <w:sz w:val="24"/>
          <w:szCs w:val="24"/>
        </w:rPr>
      </w:pPr>
      <w:r/>
      <w:bookmarkStart w:id="33" w:name="_Toc38985268"/>
      <w:r/>
      <w:bookmarkStart w:id="34" w:name="_Toc35393795"/>
      <w:r/>
      <w:bookmarkStart w:id="35" w:name="_Toc35393626"/>
      <w:r>
        <w:rPr>
          <w:rFonts w:hint="eastAsia" w:ascii="宋体" w:hAnsi="宋体" w:eastAsia="宋体" w:cs="Times New Roman"/>
          <w:color w:val="auto"/>
          <w:sz w:val="24"/>
          <w:szCs w:val="24"/>
        </w:rPr>
        <w:t xml:space="preserve">公告期限为自本公告发布之日起3个工作日。</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六、其他补充事宜</w:t>
      </w:r>
      <w:bookmarkEnd w:id="33"/>
      <w:r/>
      <w:bookmarkEnd w:id="34"/>
      <w:r/>
      <w:bookmarkEnd w:id="35"/>
      <w:r/>
      <w:r/>
    </w:p>
    <w:p>
      <w:pPr>
        <w:ind w:firstLine="480"/>
        <w:pageBreakBefore w:val="0"/>
        <w:spacing w:line="240" w:lineRule="auto"/>
        <w:widowControl w:val="off"/>
        <w:tabs>
          <w:tab w:val="left" w:pos="900" w:leader="none"/>
        </w:tabs>
        <w:rPr>
          <w:rFonts w:hint="eastAsia" w:ascii="宋体" w:hAnsi="宋体"/>
          <w:bCs/>
          <w:color w:val="auto"/>
          <w:sz w:val="24"/>
          <w:szCs w:val="24"/>
        </w:rPr>
      </w:pPr>
      <w:r/>
      <w:bookmarkStart w:id="36" w:name="_Toc35393796"/>
      <w:r/>
      <w:bookmarkStart w:id="37" w:name="_Toc28359085"/>
      <w:r/>
      <w:bookmarkStart w:id="38" w:name="_Toc35393627"/>
      <w:r/>
      <w:bookmarkStart w:id="39" w:name="_Toc28359008"/>
      <w:r/>
      <w:bookmarkStart w:id="40" w:name="_Toc38985269"/>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w:t>
      </w:r>
      <w:r>
        <w:rPr>
          <w:rFonts w:hint="eastAsia" w:ascii="宋体" w:hAnsi="宋体"/>
          <w:bCs/>
          <w:color w:val="auto"/>
          <w:sz w:val="24"/>
          <w:szCs w:val="24"/>
          <w:lang w:eastAsia="zh-CN"/>
        </w:rPr>
        <w:t xml:space="preserve">谈判</w:t>
      </w:r>
      <w:r>
        <w:rPr>
          <w:rFonts w:hint="eastAsia" w:ascii="宋体" w:hAnsi="宋体"/>
          <w:bCs/>
          <w:color w:val="auto"/>
          <w:sz w:val="24"/>
          <w:szCs w:val="24"/>
        </w:rPr>
        <w:t xml:space="preserve">不收取</w:t>
      </w:r>
      <w:r>
        <w:rPr>
          <w:rFonts w:hint="eastAsia" w:ascii="宋体" w:hAnsi="宋体"/>
          <w:bCs/>
          <w:color w:val="auto"/>
          <w:sz w:val="24"/>
          <w:szCs w:val="24"/>
          <w:lang w:eastAsia="zh-CN"/>
        </w:rPr>
        <w:t xml:space="preserve">谈判</w:t>
      </w:r>
      <w:r>
        <w:rPr>
          <w:rFonts w:hint="eastAsia" w:ascii="宋体" w:hAnsi="宋体"/>
          <w:bCs/>
          <w:color w:val="auto"/>
          <w:sz w:val="24"/>
          <w:szCs w:val="24"/>
        </w:rPr>
        <w:t xml:space="preserve">保证金。</w:t>
      </w:r>
      <w:r/>
    </w:p>
    <w:p>
      <w:pPr>
        <w:ind w:firstLine="480"/>
        <w:pageBreakBefore w:val="0"/>
        <w:spacing w:line="240" w:lineRule="auto"/>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eastAsia="zh-CN"/>
        </w:rPr>
        <w:t xml:space="preserve">2.</w:t>
      </w:r>
      <w:r>
        <w:rPr>
          <w:rFonts w:hint="eastAsia" w:ascii="宋体" w:hAnsi="宋体" w:eastAsia="宋体" w:cs="Times New Roman"/>
          <w:color w:val="auto"/>
          <w:sz w:val="24"/>
          <w:szCs w:val="24"/>
          <w:lang w:val="en-US" w:eastAsia="zh-CN"/>
        </w:rPr>
        <w:t xml:space="preserve">本项目不组织</w:t>
      </w:r>
      <w:r>
        <w:rPr>
          <w:rFonts w:hint="eastAsia" w:ascii="宋体" w:hAnsi="宋体" w:eastAsia="宋体" w:cs="Times New Roman"/>
          <w:color w:val="auto"/>
          <w:sz w:val="24"/>
          <w:szCs w:val="24"/>
          <w:lang w:eastAsia="zh-CN"/>
        </w:rPr>
        <w:t xml:space="preserve">勘察及答疑</w:t>
      </w:r>
      <w:r>
        <w:rPr>
          <w:rFonts w:hint="eastAsia" w:ascii="宋体" w:hAnsi="宋体" w:eastAsia="宋体" w:cs="Times New Roman"/>
          <w:color w:val="auto"/>
          <w:sz w:val="24"/>
          <w:szCs w:val="24"/>
          <w:lang w:val="en-US" w:eastAsia="zh-CN"/>
        </w:rPr>
        <w:t xml:space="preserve">，供应商如对采购需求、供货安装地点和安装条件等有疑问，请咨询采购单位联系人。</w:t>
      </w:r>
      <w:r/>
    </w:p>
    <w:p>
      <w:pPr>
        <w:ind w:firstLine="480"/>
        <w:pageBreakBefore w:val="0"/>
        <w:spacing w:line="240" w:lineRule="auto"/>
        <w:widowControl w:val="off"/>
        <w:tabs>
          <w:tab w:val="left" w:pos="900" w:leader="none"/>
        </w:tabs>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南京脑科医院，联系人：孟老师，联系电话：13813812131。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.供应商法定代表人或委托代理人出席谈判会</w:t>
      </w:r>
      <w:r>
        <w:rPr>
          <w:rFonts w:hint="eastAsia" w:ascii="宋体" w:hAnsi="宋体" w:eastAsia="宋体" w:cs="宋体"/>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.有关本次谈判的事项若存在变动或修改，请及时关注“江苏政府采购网”（www.ccgp-jiangsu.gov.cn）更正公告。</w:t>
      </w:r>
      <w:r/>
    </w:p>
    <w:p>
      <w:pPr>
        <w:ind w:firstLine="482"/>
        <w:spacing w:line="24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供应商（含潜在供应商）</w:t>
      </w:r>
      <w:r>
        <w:rPr>
          <w:rFonts w:hint="eastAsia" w:ascii="宋体" w:hAnsi="宋体" w:eastAsia="宋体" w:cs="宋体"/>
          <w:b/>
          <w:bCs/>
          <w:color w:val="auto"/>
          <w:sz w:val="24"/>
          <w:szCs w:val="24"/>
          <w:highlight w:val="none"/>
          <w:lang w:val="en-US" w:eastAsia="zh-CN"/>
        </w:rPr>
        <w:t xml:space="preserve">对本项目有关</w:t>
      </w:r>
      <w:r>
        <w:rPr>
          <w:rFonts w:hint="eastAsia" w:ascii="宋体" w:hAnsi="宋体" w:eastAsia="宋体" w:cs="宋体"/>
          <w:b/>
          <w:bCs/>
          <w:color w:val="auto"/>
          <w:sz w:val="24"/>
          <w:szCs w:val="24"/>
          <w:highlight w:val="none"/>
          <w:lang w:val="zh-CN"/>
        </w:rPr>
        <w:t xml:space="preserve">的</w:t>
      </w:r>
      <w:r>
        <w:rPr>
          <w:rFonts w:hint="eastAsia" w:ascii="宋体" w:hAnsi="宋体" w:eastAsia="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zh-CN"/>
        </w:rPr>
        <w:t xml:space="preserve">询问</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zh-CN"/>
        </w:rPr>
        <w:t xml:space="preserve">质疑向采购人提出，由采购人负责答复。</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采购人《质疑函》收件人：马安民，收件地址：南京市建邺区江东中路259号709室，联系电话：025-68787830。</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七、本次谈判联系方式</w:t>
      </w:r>
      <w:bookmarkEnd w:id="36"/>
      <w:r/>
      <w:bookmarkEnd w:id="37"/>
      <w:r/>
      <w:bookmarkEnd w:id="38"/>
      <w:r/>
      <w:bookmarkEnd w:id="39"/>
      <w:r/>
      <w:bookmarkEnd w:id="40"/>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称：南京市卫生健康委员会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w:t>
      </w:r>
      <w:r>
        <w:rPr>
          <w:rFonts w:hint="eastAsia" w:ascii="宋体" w:hAnsi="宋体" w:cs="Times New Roman"/>
          <w:color w:val="auto"/>
          <w:sz w:val="24"/>
          <w:szCs w:val="24"/>
          <w:u w:val="none"/>
          <w:lang w:val="en-US" w:eastAsia="zh-CN"/>
        </w:rPr>
        <w:t xml:space="preserve">259</w:t>
      </w:r>
      <w:r>
        <w:rPr>
          <w:rFonts w:hint="eastAsia" w:ascii="宋体" w:hAnsi="宋体" w:eastAsia="宋体" w:cs="Times New Roman"/>
          <w:color w:val="auto"/>
          <w:sz w:val="24"/>
          <w:szCs w:val="24"/>
          <w:u w:val="none"/>
          <w:lang w:val="en-US" w:eastAsia="zh-CN"/>
        </w:rPr>
        <w:t xml:space="preserve">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联系人：马老师</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联系电话：025-68787830</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联系人：孙先生</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联系电话：025-68505990</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auto"/>
          <w:sz w:val="36"/>
          <w:szCs w:val="36"/>
        </w:rPr>
        <w:outlineLvl w:val="0"/>
      </w:pPr>
      <w:r/>
      <w:bookmarkStart w:id="41" w:name="_Toc120614211"/>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第二章  </w:t>
      </w:r>
      <w:bookmarkEnd w:id="1"/>
      <w:r/>
      <w:bookmarkEnd w:id="2"/>
      <w:r/>
      <w:bookmarkEnd w:id="3"/>
      <w:r/>
      <w:bookmarkEnd w:id="4"/>
      <w:r/>
      <w:bookmarkEnd w:id="5"/>
      <w:r/>
      <w:bookmarkEnd w:id="41"/>
      <w:r>
        <w:rPr>
          <w:rFonts w:hint="eastAsia" w:ascii="方正小标宋简体" w:hAnsi="方正小标宋简体" w:eastAsia="方正小标宋简体" w:cs="方正小标宋简体"/>
          <w:color w:val="auto"/>
          <w:sz w:val="36"/>
          <w:szCs w:val="36"/>
        </w:rPr>
        <w:t xml:space="preserve">供应商须知</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2" w:name="_Toc20823275"/>
      <w:r/>
      <w:bookmarkStart w:id="43" w:name="_Toc120614214"/>
      <w:r/>
      <w:bookmarkStart w:id="44" w:name="_Toc513029203"/>
      <w:r/>
      <w:bookmarkStart w:id="45" w:name="_Toc16938519"/>
      <w:r>
        <w:rPr>
          <w:rFonts w:hint="eastAsia" w:ascii="方正黑体_GBK" w:hAnsi="方正黑体_GBK" w:eastAsia="方正黑体_GBK" w:cs="方正黑体_GBK"/>
          <w:b w:val="0"/>
          <w:bCs w:val="0"/>
          <w:color w:val="auto"/>
          <w:sz w:val="30"/>
          <w:szCs w:val="30"/>
        </w:rPr>
        <w:t xml:space="preserve">一、总则</w:t>
      </w:r>
      <w:bookmarkEnd w:id="42"/>
      <w:r/>
      <w:bookmarkEnd w:id="43"/>
      <w:r/>
      <w:bookmarkEnd w:id="44"/>
      <w:r/>
      <w:bookmarkEnd w:id="45"/>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46" w:name="_Hlt16619475"/>
      <w:r/>
      <w:bookmarkEnd w:id="46"/>
      <w:r/>
      <w:bookmarkStart w:id="47" w:name="_Toc458694821"/>
      <w:r/>
      <w:bookmarkStart w:id="48" w:name="_Toc513029204"/>
      <w:r/>
      <w:bookmarkStart w:id="49" w:name="_Toc20823276"/>
      <w:r/>
      <w:bookmarkStart w:id="50" w:name="_Toc16938520"/>
      <w:r>
        <w:rPr>
          <w:rFonts w:hint="eastAsia" w:ascii="方正楷体_GBK" w:hAnsi="方正楷体_GBK" w:eastAsia="方正楷体_GBK" w:cs="方正楷体_GBK"/>
          <w:b/>
          <w:bCs/>
          <w:color w:val="auto"/>
        </w:rPr>
        <w:t xml:space="preserve">1</w:t>
      </w:r>
      <w:bookmarkEnd w:id="47"/>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采购方式</w:t>
      </w:r>
      <w:bookmarkEnd w:id="48"/>
      <w:r/>
      <w:bookmarkEnd w:id="49"/>
      <w:r/>
      <w:bookmarkEnd w:id="50"/>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1.1 本次政府采购活动采取竞争性谈判</w:t>
      </w:r>
      <w:r>
        <w:rPr>
          <w:rFonts w:hint="eastAsia" w:ascii="宋体" w:hAnsi="宋体" w:eastAsia="宋体" w:cs="Times New Roman"/>
          <w:color w:val="auto"/>
          <w:sz w:val="24"/>
          <w:szCs w:val="21"/>
        </w:rPr>
        <w:t xml:space="preserve">(以下简称</w:t>
      </w:r>
      <w:r>
        <w:rPr>
          <w:rFonts w:hint="eastAsia" w:ascii="宋体" w:hAnsi="宋体" w:eastAsia="宋体" w:cs="Times New Roman"/>
          <w:color w:val="auto"/>
          <w:sz w:val="24"/>
          <w:szCs w:val="21"/>
          <w:lang w:eastAsia="zh-CN"/>
        </w:rPr>
        <w:t xml:space="preserve">“谈判”</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lang w:eastAsia="zh-CN"/>
        </w:rPr>
        <w:t xml:space="preserve">方式，本文件仅适用于</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公告中所述项目。</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51" w:name="_Toc16938521"/>
      <w:r/>
      <w:bookmarkStart w:id="52" w:name="_Toc20823277"/>
      <w:r/>
      <w:bookmarkStart w:id="53" w:name="_Toc513029205"/>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合格的</w:t>
      </w:r>
      <w:bookmarkEnd w:id="51"/>
      <w:r/>
      <w:bookmarkEnd w:id="52"/>
      <w:r/>
      <w:bookmarkEnd w:id="53"/>
      <w:r>
        <w:rPr>
          <w:rFonts w:hint="eastAsia" w:ascii="方正楷体_GBK" w:hAnsi="方正楷体_GBK" w:eastAsia="方正楷体_GBK" w:cs="方正楷体_GBK"/>
          <w:b/>
          <w:bCs/>
          <w:color w:val="auto"/>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满足</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公告对供应商资格要求。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2.2 满足谈判文件规定的实质性要求。</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54" w:name="_Toc20823278"/>
      <w:r/>
      <w:bookmarkStart w:id="55" w:name="_Toc513029206"/>
      <w:r/>
      <w:bookmarkStart w:id="56" w:name="_Toc16938522"/>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适用法律</w:t>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3.1 本次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及由此产生的合同受中华人民共和国有关的法律法规制约和保护。</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57" w:name="_Toc462564067"/>
      <w:r/>
      <w:bookmarkStart w:id="58" w:name="_Toc16938523"/>
      <w:r/>
      <w:bookmarkStart w:id="59" w:name="_Toc20823279"/>
      <w:r/>
      <w:bookmarkStart w:id="60" w:name="_Toc513029207"/>
      <w:r>
        <w:rPr>
          <w:rFonts w:hint="eastAsia" w:ascii="方正楷体_GBK" w:hAnsi="方正楷体_GBK" w:eastAsia="方正楷体_GBK" w:cs="方正楷体_GBK"/>
          <w:b/>
          <w:bCs/>
          <w:color w:val="auto"/>
        </w:rPr>
        <w:t xml:space="preserve">4</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谈判费用</w:t>
      </w:r>
      <w:bookmarkEnd w:id="57"/>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供应商应自行承担所有与参加本次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有关的费用，无论</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过程中的做法和结果如何，交易中心在任何情况下均无义务和责任承担这些费用。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本次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交易中心和采购人不收取谈判文件工本费与成交服务费。</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谈判文件的约束力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供应商一旦参加本项目采购活动，即被认为接受了本文件的规定和约束。</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61" w:name="_Toc513029209"/>
      <w:r/>
      <w:bookmarkStart w:id="62" w:name="_Toc20823281"/>
      <w:r/>
      <w:bookmarkStart w:id="63" w:name="_Toc16938525"/>
      <w:r/>
      <w:bookmarkStart w:id="64" w:name="_Toc120614215"/>
      <w:r>
        <w:rPr>
          <w:rFonts w:hint="eastAsia" w:ascii="方正黑体_GBK" w:hAnsi="方正黑体_GBK" w:eastAsia="方正黑体_GBK" w:cs="方正黑体_GBK"/>
          <w:b w:val="0"/>
          <w:bCs w:val="0"/>
          <w:color w:val="auto"/>
          <w:sz w:val="30"/>
          <w:szCs w:val="30"/>
        </w:rPr>
        <w:t xml:space="preserve">二、</w:t>
      </w:r>
      <w:bookmarkEnd w:id="61"/>
      <w:r/>
      <w:bookmarkEnd w:id="62"/>
      <w:r/>
      <w:bookmarkEnd w:id="63"/>
      <w:r/>
      <w:bookmarkEnd w:id="64"/>
      <w:r>
        <w:rPr>
          <w:rFonts w:hint="eastAsia" w:ascii="方正黑体_GBK" w:hAnsi="方正黑体_GBK" w:eastAsia="方正黑体_GBK" w:cs="方正黑体_GBK"/>
          <w:b w:val="0"/>
          <w:bCs w:val="0"/>
          <w:color w:val="auto"/>
          <w:sz w:val="30"/>
          <w:szCs w:val="30"/>
        </w:rPr>
        <w:t xml:space="preserve">谈判文件</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65" w:name="_Toc16938526"/>
      <w:r/>
      <w:bookmarkStart w:id="66" w:name="_Toc513029210"/>
      <w:r/>
      <w:bookmarkStart w:id="67" w:name="_Toc20823282"/>
      <w:r>
        <w:rPr>
          <w:rFonts w:hint="eastAsia" w:ascii="方正楷体_GBK" w:hAnsi="方正楷体_GBK" w:eastAsia="方正楷体_GBK" w:cs="方正楷体_GBK"/>
          <w:b/>
          <w:bCs/>
          <w:color w:val="auto"/>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谈判文件构成</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6.1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谈判文件由以下部分组成：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（1）谈判邀请</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供应商应仔细检查谈判文件是否齐全，如有缺漏请立即与交易中心联系解决。</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6.2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8" w:name="_Toc462564070"/>
      <w:r/>
      <w:bookmarkStart w:id="69" w:name="_Toc513029211"/>
      <w:r/>
      <w:bookmarkStart w:id="70" w:name="_Toc20823283"/>
      <w:r/>
      <w:bookmarkStart w:id="71" w:name="_Toc16938527"/>
      <w:r>
        <w:rPr>
          <w:rFonts w:hint="eastAsia" w:ascii="方正楷体_GBK" w:hAnsi="方正楷体_GBK" w:eastAsia="方正楷体_GBK" w:cs="方正楷体_GBK"/>
          <w:b/>
          <w:bCs/>
          <w:color w:val="auto"/>
          <w:highlight w:val="none"/>
        </w:rPr>
        <w:t xml:space="preserve">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谈判文件的澄清</w:t>
      </w:r>
      <w:r>
        <w:rPr>
          <w:rFonts w:hint="eastAsia" w:ascii="方正楷体_GBK" w:hAnsi="方正楷体_GBK" w:eastAsia="方正楷体_GBK" w:cs="方正楷体_GBK"/>
          <w:b/>
          <w:bCs/>
          <w:color w:val="auto"/>
          <w:highlight w:val="none"/>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eastAsia="zh-CN"/>
        </w:rPr>
        <w:t xml:space="preserve">.1 在响应文件提交截止时间前，交易中心可以对</w:t>
      </w:r>
      <w:r>
        <w:rPr>
          <w:rFonts w:hint="eastAsia" w:ascii="宋体" w:hAnsi="宋体" w:eastAsia="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lang w:eastAsia="zh-CN"/>
        </w:rPr>
        <w:t xml:space="preserve">谈判文件进行</w:t>
      </w:r>
      <w:r>
        <w:rPr>
          <w:rFonts w:hint="eastAsia" w:ascii="宋体" w:hAnsi="宋体" w:eastAsia="宋体" w:cs="Times New Roman"/>
          <w:color w:val="auto"/>
          <w:sz w:val="24"/>
          <w:highlight w:val="none"/>
          <w:lang w:val="en-US" w:eastAsia="zh-CN"/>
        </w:rPr>
        <w:t xml:space="preserve">必要的澄清或</w:t>
      </w:r>
      <w:r>
        <w:rPr>
          <w:rFonts w:hint="eastAsia" w:ascii="宋体" w:hAnsi="宋体" w:eastAsia="宋体" w:cs="Times New Roman"/>
          <w:color w:val="auto"/>
          <w:sz w:val="24"/>
          <w:highlight w:val="none"/>
          <w:lang w:eastAsia="zh-CN"/>
        </w:rPr>
        <w:t xml:space="preserve">修改，</w:t>
      </w:r>
      <w:r>
        <w:rPr>
          <w:rFonts w:hint="eastAsia" w:ascii="宋体" w:hAnsi="宋体" w:eastAsia="宋体" w:cs="Times New Roman"/>
          <w:color w:val="auto"/>
          <w:sz w:val="24"/>
          <w:highlight w:val="none"/>
          <w:lang w:val="en-US" w:eastAsia="zh-CN"/>
        </w:rPr>
        <w:t xml:space="preserve">并</w:t>
      </w:r>
      <w:r>
        <w:rPr>
          <w:rFonts w:hint="eastAsia" w:ascii="宋体" w:hAnsi="宋体" w:eastAsia="宋体" w:cs="Times New Roman"/>
          <w:color w:val="auto"/>
          <w:sz w:val="24"/>
          <w:highlight w:val="none"/>
          <w:lang w:eastAsia="zh-CN"/>
        </w:rPr>
        <w:t xml:space="preserve">在原公告</w:t>
      </w:r>
      <w:r>
        <w:rPr>
          <w:rFonts w:hint="eastAsia" w:ascii="宋体" w:hAnsi="宋体" w:eastAsia="宋体" w:cs="Times New Roman"/>
          <w:color w:val="auto"/>
          <w:sz w:val="24"/>
          <w:highlight w:val="none"/>
          <w:lang w:val="en-US" w:eastAsia="zh-CN"/>
        </w:rPr>
        <w:t xml:space="preserve">发布</w:t>
      </w:r>
      <w:r>
        <w:rPr>
          <w:rFonts w:hint="eastAsia" w:ascii="宋体" w:hAnsi="宋体" w:eastAsia="宋体" w:cs="Times New Roman"/>
          <w:color w:val="auto"/>
          <w:sz w:val="24"/>
          <w:highlight w:val="none"/>
          <w:lang w:eastAsia="zh-CN"/>
        </w:rPr>
        <w:t xml:space="preserve">媒体发布更正公告，</w:t>
      </w:r>
      <w:r>
        <w:rPr>
          <w:rFonts w:hint="eastAsia" w:ascii="宋体" w:hAnsi="宋体" w:eastAsia="宋体" w:cs="Times New Roman"/>
          <w:color w:val="auto"/>
          <w:sz w:val="24"/>
          <w:szCs w:val="21"/>
          <w:highlight w:val="none"/>
          <w:lang w:val="en-US" w:eastAsia="zh-CN"/>
        </w:rPr>
        <w:t xml:space="preserve">澄清或修改的内容</w:t>
      </w:r>
      <w:r>
        <w:rPr>
          <w:rFonts w:hint="eastAsia" w:ascii="宋体" w:hAnsi="宋体" w:eastAsia="宋体" w:cs="Times New Roman"/>
          <w:color w:val="auto"/>
          <w:sz w:val="24"/>
          <w:highlight w:val="none"/>
          <w:lang w:eastAsia="zh-CN"/>
        </w:rPr>
        <w:t xml:space="preserve">将作为谈判文件的组成部分，并对供应商具有约束力。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eastAsia="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供应商应在提交响应文件截止时间前，关注原公告</w:t>
      </w:r>
      <w:r>
        <w:rPr>
          <w:rFonts w:hint="eastAsia" w:ascii="宋体" w:hAnsi="宋体" w:eastAsia="宋体" w:cs="Times New Roman"/>
          <w:color w:val="auto"/>
          <w:sz w:val="24"/>
          <w:highlight w:val="none"/>
          <w:lang w:val="en-US" w:eastAsia="zh-CN"/>
        </w:rPr>
        <w:t xml:space="preserve">发布</w:t>
      </w:r>
      <w:r>
        <w:rPr>
          <w:rFonts w:hint="eastAsia" w:ascii="宋体" w:hAnsi="宋体" w:eastAsia="宋体" w:cs="Times New Roman"/>
          <w:color w:val="auto"/>
          <w:sz w:val="24"/>
          <w:highlight w:val="none"/>
          <w:lang w:eastAsia="zh-CN"/>
        </w:rPr>
        <w:t xml:space="preserve">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eastAsia="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交易中心有权按照法定要求推迟提交响应文件截止时间，并在原公告</w:t>
      </w:r>
      <w:r>
        <w:rPr>
          <w:rFonts w:hint="eastAsia" w:ascii="宋体" w:hAnsi="宋体" w:eastAsia="宋体" w:cs="Times New Roman"/>
          <w:color w:val="auto"/>
          <w:sz w:val="24"/>
          <w:highlight w:val="none"/>
          <w:lang w:val="en-US" w:eastAsia="zh-CN"/>
        </w:rPr>
        <w:t xml:space="preserve">发布</w:t>
      </w:r>
      <w:r>
        <w:rPr>
          <w:rFonts w:hint="eastAsia" w:ascii="宋体" w:hAnsi="宋体" w:eastAsia="宋体" w:cs="Times New Roman"/>
          <w:color w:val="auto"/>
          <w:sz w:val="24"/>
          <w:highlight w:val="none"/>
          <w:lang w:eastAsia="zh-CN"/>
        </w:rPr>
        <w:t xml:space="preserve">媒体发布更正公告。</w:t>
      </w:r>
      <w:bookmarkEnd w:id="68"/>
      <w:bookmarkEnd w:id="69"/>
      <w:bookmarkEnd w:id="70"/>
      <w:bookmarkEnd w:id="71"/>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2" w:name="_Toc16938529"/>
      <w:r/>
      <w:bookmarkStart w:id="73" w:name="_Toc120614216"/>
      <w:r/>
      <w:bookmarkStart w:id="74" w:name="_Toc513029213"/>
      <w:r/>
      <w:bookmarkStart w:id="75" w:name="_Toc20823285"/>
      <w:r/>
      <w:bookmarkStart w:id="76" w:name="_Toc462564072"/>
      <w:r>
        <w:rPr>
          <w:rFonts w:hint="eastAsia" w:ascii="方正黑体_GBK" w:hAnsi="方正黑体_GBK" w:eastAsia="方正黑体_GBK" w:cs="方正黑体_GBK"/>
          <w:b w:val="0"/>
          <w:bCs w:val="0"/>
          <w:color w:val="auto"/>
          <w:sz w:val="30"/>
          <w:szCs w:val="30"/>
        </w:rPr>
        <w:t xml:space="preserve">三、响应文件的编制</w:t>
      </w:r>
      <w:bookmarkEnd w:id="72"/>
      <w:r/>
      <w:bookmarkEnd w:id="73"/>
      <w:r/>
      <w:bookmarkEnd w:id="74"/>
      <w:r/>
      <w:bookmarkEnd w:id="75"/>
      <w:r/>
      <w:bookmarkEnd w:id="76"/>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7" w:name="_Toc513029214"/>
      <w:r/>
      <w:bookmarkStart w:id="78" w:name="_Toc462564073"/>
      <w:r/>
      <w:bookmarkStart w:id="79" w:name="_Toc20823286"/>
      <w:r/>
      <w:bookmarkStart w:id="80" w:name="_Toc16938530"/>
      <w:r>
        <w:rPr>
          <w:rFonts w:hint="eastAsia" w:ascii="方正楷体_GBK" w:hAnsi="方正楷体_GBK" w:eastAsia="方正楷体_GBK" w:cs="方正楷体_GBK"/>
          <w:b/>
          <w:bCs/>
          <w:color w:val="auto"/>
          <w:highlight w:val="none"/>
          <w:lang w:val="en-US" w:eastAsia="zh-CN"/>
        </w:rPr>
        <w:t xml:space="preserve">8.</w:t>
      </w:r>
      <w:r>
        <w:rPr>
          <w:rFonts w:hint="eastAsia" w:ascii="方正楷体_GBK" w:hAnsi="方正楷体_GBK" w:eastAsia="方正楷体_GBK" w:cs="方正楷体_GBK"/>
          <w:b/>
          <w:bCs/>
          <w:color w:val="auto"/>
          <w:highlight w:val="none"/>
        </w:rPr>
        <w:t xml:space="preserve">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供应商提交的响应文件以及供应商与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就有关谈判的所有来往通知、函件和文件均应使用简体中文。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 除技术性能另有规定外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响应文件所使用的度量衡单位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均须采用国家法定计量单位。</w:t>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9.</w:t>
      </w:r>
      <w:r>
        <w:rPr>
          <w:rFonts w:hint="eastAsia" w:ascii="方正楷体_GBK" w:hAnsi="方正楷体_GBK" w:eastAsia="方正楷体_GBK" w:cs="方正楷体_GBK"/>
          <w:b/>
          <w:bCs/>
          <w:color w:val="auto"/>
          <w:highlight w:val="none"/>
        </w:rPr>
        <w:t xml:space="preserve">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9</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供应商编写的响应文件应包括资格证明文件、符合性证明文件、</w:t>
      </w:r>
      <w:r>
        <w:rPr>
          <w:rFonts w:hint="eastAsia" w:ascii="宋体" w:hAnsi="宋体" w:eastAsia="宋体" w:cs="Times New Roman"/>
          <w:color w:val="auto"/>
          <w:sz w:val="24"/>
          <w:highlight w:val="none"/>
          <w:lang w:val="en-US" w:eastAsia="zh-CN"/>
        </w:rPr>
        <w:t xml:space="preserve">谈判报价表、</w:t>
      </w:r>
      <w:r>
        <w:rPr>
          <w:rFonts w:hint="eastAsia" w:ascii="宋体" w:hAnsi="宋体" w:eastAsia="宋体" w:cs="Times New Roman"/>
          <w:color w:val="auto"/>
          <w:sz w:val="24"/>
          <w:highlight w:val="none"/>
        </w:rPr>
        <w:t xml:space="preserve">分项报价表</w:t>
      </w:r>
      <w:r>
        <w:rPr>
          <w:rFonts w:hint="eastAsia" w:ascii="宋体" w:hAnsi="宋体" w:eastAsia="宋体" w:cs="Times New Roman"/>
          <w:color w:val="auto"/>
          <w:sz w:val="24"/>
          <w:highlight w:val="none"/>
          <w:lang w:eastAsia="zh-CN"/>
        </w:rPr>
      </w:r>
      <w:r>
        <w:rPr>
          <w:rFonts w:hint="eastAsia" w:ascii="宋体" w:hAnsi="宋体" w:eastAsia="宋体" w:cs="Times New Roman"/>
          <w:color w:val="auto"/>
          <w:sz w:val="24"/>
          <w:highlight w:val="none"/>
        </w:rPr>
        <w:t xml:space="preserve">、响应及偏离表、谈判响应函</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法定代表人授权委托书</w:t>
      </w:r>
      <w:r>
        <w:rPr>
          <w:rFonts w:hint="eastAsia" w:ascii="宋体" w:hAnsi="宋体" w:eastAsia="宋体" w:cs="Times New Roman"/>
          <w:color w:val="auto"/>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highlight w:val="none"/>
          <w:lang w:val="en-US" w:eastAsia="zh-CN"/>
        </w:rPr>
        <w:t xml:space="preserve">9</w:t>
      </w:r>
      <w:r>
        <w:rPr>
          <w:rFonts w:hint="eastAsia" w:ascii="宋体" w:hAnsi="宋体" w:eastAsia="宋体" w:cs="Times New Roman"/>
          <w:color w:val="auto"/>
          <w:sz w:val="24"/>
          <w:highlight w:val="none"/>
        </w:rPr>
        <w:t xml:space="preserve">.2 </w:t>
      </w:r>
      <w:r>
        <w:rPr>
          <w:rFonts w:hint="eastAsia" w:ascii="宋体" w:hAnsi="宋体" w:eastAsia="宋体" w:cs="Times New Roman"/>
          <w:b/>
          <w:bCs/>
          <w:color w:val="auto"/>
          <w:sz w:val="24"/>
          <w:highlight w:val="none"/>
        </w:rPr>
        <w:t xml:space="preserve">如标书制作工具与“江苏政府采购网”发布的谈判文件</w:t>
      </w:r>
      <w:r>
        <w:rPr>
          <w:rFonts w:hint="eastAsia" w:ascii="宋体" w:hAnsi="宋体" w:eastAsia="宋体" w:cs="Times New Roman"/>
          <w:b/>
          <w:bCs/>
          <w:color w:val="auto"/>
          <w:sz w:val="24"/>
          <w:highlight w:val="none"/>
          <w:lang w:val="en-US" w:eastAsia="zh-CN"/>
        </w:rPr>
        <w:t xml:space="preserve">内容</w:t>
      </w:r>
      <w:r>
        <w:rPr>
          <w:rFonts w:hint="eastAsia" w:ascii="宋体" w:hAnsi="宋体" w:eastAsia="宋体" w:cs="Times New Roman"/>
          <w:b/>
          <w:bCs/>
          <w:color w:val="auto"/>
          <w:sz w:val="24"/>
          <w:highlight w:val="none"/>
        </w:rPr>
        <w:t xml:space="preserve">不一致</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以“江苏政府采购网”发布的谈判文件为准</w:t>
      </w:r>
      <w:r>
        <w:rPr>
          <w:rFonts w:hint="eastAsia" w:ascii="宋体" w:hAnsi="宋体" w:eastAsia="宋体" w:cs="Times New Roman"/>
          <w:color w:val="auto"/>
          <w:sz w:val="24"/>
          <w:highlight w:val="none"/>
        </w:rPr>
        <w:t xml:space="preserve">。</w:t>
      </w:r>
      <w:bookmarkEnd w:id="77"/>
      <w:r/>
      <w:bookmarkEnd w:id="78"/>
      <w:r/>
      <w:bookmarkEnd w:id="79"/>
      <w:r/>
      <w:bookmarkEnd w:id="80"/>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bookmarkStart w:id="81" w:name="_Hlt26670360"/>
      <w:r/>
      <w:bookmarkEnd w:id="81"/>
      <w:r/>
      <w:bookmarkStart w:id="82" w:name="_Hlt26668975"/>
      <w:r/>
      <w:bookmarkEnd w:id="82"/>
      <w:r/>
      <w:bookmarkStart w:id="83" w:name="_Hlt26954838"/>
      <w:r/>
      <w:bookmarkEnd w:id="83"/>
      <w:r/>
      <w:bookmarkStart w:id="84" w:name="_Toc14577357"/>
      <w:r/>
      <w:bookmarkStart w:id="85" w:name="_Toc49090509"/>
      <w:r/>
      <w:bookmarkStart w:id="86" w:name="_Toc513029219"/>
      <w:r/>
      <w:bookmarkStart w:id="87" w:name="_Toc513029216"/>
      <w:r/>
      <w:bookmarkStart w:id="88" w:name="_Toc14577354"/>
      <w:r/>
      <w:bookmarkStart w:id="89" w:name="_Toc49090507"/>
      <w:r/>
      <w:bookmarkStart w:id="90" w:name="_Toc14577355"/>
      <w:r/>
      <w:bookmarkStart w:id="91" w:name="_Toc49090508"/>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0.谈判</w:t>
      </w:r>
      <w:r>
        <w:rPr>
          <w:rFonts w:hint="eastAsia" w:ascii="方正楷体_GBK" w:hAnsi="方正楷体_GBK" w:eastAsia="方正楷体_GBK" w:cs="方正楷体_GBK"/>
          <w:b/>
          <w:bCs/>
          <w:color w:val="auto"/>
          <w:highlight w:val="none"/>
        </w:rPr>
        <w:t xml:space="preserve">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响应文件中的单价和总价无特殊规定的采用人民币报价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以元为单位标注。谈判文件另有规定的按规定执行。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b w:val="0"/>
          <w:bCs w:val="0"/>
          <w:color w:val="auto"/>
          <w:sz w:val="24"/>
          <w:szCs w:val="21"/>
          <w:highlight w:val="none"/>
        </w:rPr>
        <w:t xml:space="preserve">0.2</w:t>
      </w:r>
      <w:r>
        <w:rPr>
          <w:rFonts w:hint="eastAsia"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谈判</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谈判报价表</w:t>
      </w:r>
      <w:r>
        <w:rPr>
          <w:rFonts w:hint="eastAsia" w:ascii="宋体" w:hAnsi="宋体" w:eastAsia="宋体" w:cs="Times New Roman"/>
          <w:b/>
          <w:bCs/>
          <w:color w:val="auto"/>
          <w:sz w:val="24"/>
          <w:szCs w:val="21"/>
          <w:highlight w:val="none"/>
        </w:rPr>
        <w:t xml:space="preserve">和分项报价表，否则作为无效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供应商需对谈判文件中的技术要求与商务要求逐项作出响应或偏离说明。</w:t>
      </w:r>
      <w:r/>
    </w:p>
    <w:p>
      <w:pPr>
        <w:pStyle w:val="908"/>
        <w:ind w:firstLine="422"/>
        <w:pageBreakBefore w:val="0"/>
        <w:spacing w:before="0" w:after="0"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供应商可在响应文件中提供认为需要的其他技术文件或说明。</w:t>
      </w:r>
      <w:r/>
    </w:p>
    <w:p>
      <w:pPr>
        <w:pStyle w:val="719"/>
        <w:ind w:firstLine="392"/>
        <w:pageBreakBefore w:val="0"/>
        <w:spacing w:before="0" w:after="0" w:line="240" w:lineRule="auto"/>
        <w:widowControl w:val="off"/>
        <w:rPr>
          <w:rFonts w:hint="default" w:ascii="方正楷体_GBK" w:hAnsi="方正楷体_GBK" w:eastAsia="方正楷体_GBK" w:cs="方正楷体_GBK"/>
          <w:b/>
          <w:bCs/>
          <w:color w:val="auto"/>
          <w:highlight w:val="none"/>
          <w:lang w:val="en-US" w:eastAsia="zh-CN"/>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2.</w:t>
      </w:r>
      <w:r>
        <w:rPr>
          <w:rFonts w:hint="eastAsia" w:ascii="方正楷体_GBK" w:hAnsi="方正楷体_GBK" w:eastAsia="方正楷体_GBK" w:cs="方正楷体_GBK"/>
          <w:b/>
          <w:bCs/>
          <w:color w:val="auto"/>
          <w:highlight w:val="none"/>
        </w:rPr>
        <w:t xml:space="preserve">谈判响应函</w:t>
      </w:r>
      <w:r>
        <w:rPr>
          <w:rFonts w:hint="eastAsia" w:ascii="方正楷体_GBK" w:hAnsi="方正楷体_GBK" w:eastAsia="方正楷体_GBK" w:cs="方正楷体_GBK"/>
          <w:b/>
          <w:bCs/>
          <w:color w:val="auto"/>
          <w:highlight w:val="none"/>
          <w:lang w:val="en-US" w:eastAsia="zh-CN"/>
        </w:rPr>
        <w:t xml:space="preserve">和授权委托书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谈判</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谈判响应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谈判有效期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谈判有效期为</w:t>
      </w:r>
      <w:r>
        <w:rPr>
          <w:rFonts w:hint="eastAsia" w:ascii="宋体" w:hAnsi="宋体" w:eastAsia="宋体" w:cs="Times New Roman"/>
          <w:color w:val="auto"/>
          <w:sz w:val="24"/>
          <w:highlight w:val="none"/>
          <w:lang w:val="zh-CN" w:eastAsia="zh-CN"/>
        </w:rPr>
        <w:t xml:space="preserve">谈判公告</w:t>
      </w:r>
      <w:r>
        <w:rPr>
          <w:rFonts w:hint="eastAsia" w:ascii="宋体" w:hAnsi="宋体" w:eastAsia="宋体" w:cs="Times New Roman"/>
          <w:color w:val="auto"/>
          <w:sz w:val="24"/>
          <w:highlight w:val="none"/>
          <w:lang w:val="zh-CN"/>
        </w:rPr>
        <w:t xml:space="preserve">规定的提交响应文件截止之日</w:t>
      </w:r>
      <w:r>
        <w:rPr>
          <w:rFonts w:hint="eastAsia" w:ascii="宋体" w:hAnsi="宋体" w:eastAsia="宋体" w:cs="Times New Roman"/>
          <w:color w:val="auto"/>
          <w:sz w:val="24"/>
          <w:highlight w:val="none"/>
          <w:lang w:val="zh-CN" w:eastAsia="zh-CN"/>
        </w:rPr>
        <w:t xml:space="preserve">起</w:t>
      </w:r>
      <w:r>
        <w:rPr>
          <w:rFonts w:hint="eastAsia" w:ascii="宋体" w:hAnsi="宋体" w:eastAsia="宋体" w:cs="Times New Roman"/>
          <w:color w:val="auto"/>
          <w:sz w:val="24"/>
          <w:highlight w:val="none"/>
          <w:lang w:val="zh-CN"/>
        </w:rPr>
        <w:t xml:space="preserve">六十天。谈判有效期比规定短的将被视为未实质性响应谈判文件而被拒绝。</w:t>
      </w:r>
      <w:r/>
    </w:p>
    <w:p>
      <w:pPr>
        <w:pStyle w:val="719"/>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谈判有效期的延长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highlight w:val="none"/>
          <w:lang w:val="en-US" w:eastAsia="zh-CN"/>
        </w:rPr>
        <w:t xml:space="preserve">14</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的这一要求而放弃谈判</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rPr>
        <w:t xml:space="preserve">同意延长谈判有效期的供应商既不能要求也不允许修改其响应文件</w:t>
      </w:r>
      <w:r>
        <w:rPr>
          <w:rFonts w:hint="eastAsia" w:ascii="宋体" w:hAnsi="宋体" w:eastAsia="宋体" w:cs="Times New Roman"/>
          <w:color w:val="auto"/>
          <w:sz w:val="24"/>
          <w:highlight w:val="none"/>
          <w:lang w:val="zh-CN" w:eastAsia="zh-CN"/>
        </w:rPr>
        <w:t xml:space="preserve">，同时</w:t>
      </w:r>
      <w:r>
        <w:rPr>
          <w:rFonts w:hint="eastAsia" w:ascii="宋体" w:hAnsi="宋体" w:eastAsia="宋体" w:cs="Times New Roman"/>
          <w:color w:val="auto"/>
          <w:sz w:val="24"/>
          <w:highlight w:val="none"/>
          <w:lang w:val="zh-CN"/>
        </w:rPr>
        <w:t xml:space="preserve">受谈判有效期约束的所有权利与义务均延长至新的有效期</w:t>
      </w:r>
      <w:r>
        <w:rPr>
          <w:rFonts w:hint="eastAsia" w:ascii="宋体" w:hAnsi="宋体" w:eastAsia="宋体" w:cs="Times New Roman"/>
          <w:color w:val="auto"/>
          <w:sz w:val="24"/>
          <w:highlight w:val="none"/>
          <w:lang w:val="zh-CN" w:eastAsia="zh-CN"/>
        </w:rPr>
        <w:t xml:space="preserve">满</w:t>
      </w:r>
      <w:r>
        <w:rPr>
          <w:rFonts w:hint="eastAsia" w:ascii="宋体" w:hAnsi="宋体" w:eastAsia="宋体" w:cs="Times New Roman"/>
          <w:color w:val="auto"/>
          <w:sz w:val="24"/>
          <w:highlight w:val="none"/>
          <w:lang w:val="zh-CN"/>
        </w:rPr>
        <w:t xml:space="preserve">。</w:t>
      </w:r>
      <w:bookmarkEnd w:id="84"/>
      <w:r/>
      <w:bookmarkEnd w:id="85"/>
      <w:r/>
      <w:bookmarkEnd w:id="86"/>
      <w:r/>
      <w:bookmarkEnd w:id="87"/>
      <w:r/>
      <w:bookmarkEnd w:id="88"/>
      <w:r/>
      <w:bookmarkEnd w:id="89"/>
      <w:r/>
      <w:bookmarkEnd w:id="90"/>
      <w:r/>
      <w:bookmarkEnd w:id="91"/>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92" w:name="_Hlt26954852"/>
      <w:r/>
      <w:bookmarkEnd w:id="92"/>
      <w:r/>
      <w:bookmarkStart w:id="93" w:name="_Hlt26954739"/>
      <w:r/>
      <w:bookmarkEnd w:id="93"/>
      <w:r/>
      <w:bookmarkStart w:id="94" w:name="_Toc16938540"/>
      <w:r/>
      <w:bookmarkStart w:id="95" w:name="_Toc20823296"/>
      <w:r/>
      <w:bookmarkStart w:id="96" w:name="_Toc120614217"/>
      <w:r/>
      <w:bookmarkStart w:id="97" w:name="_Toc513029224"/>
      <w:r>
        <w:rPr>
          <w:rFonts w:hint="eastAsia" w:ascii="方正黑体_GBK" w:hAnsi="方正黑体_GBK" w:eastAsia="方正黑体_GBK" w:cs="方正黑体_GBK"/>
          <w:b w:val="0"/>
          <w:bCs w:val="0"/>
          <w:color w:val="auto"/>
          <w:sz w:val="30"/>
          <w:szCs w:val="30"/>
        </w:rPr>
        <w:t xml:space="preserve">四、响应文件的递交</w:t>
      </w:r>
      <w:bookmarkEnd w:id="94"/>
      <w:r/>
      <w:bookmarkEnd w:id="95"/>
      <w:r/>
      <w:bookmarkEnd w:id="96"/>
      <w:r/>
      <w:bookmarkEnd w:id="97"/>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98" w:name="_Toc513029225"/>
      <w:r/>
      <w:bookmarkStart w:id="99" w:name="_Toc16938541"/>
      <w:r/>
      <w:bookmarkStart w:id="100" w:name="_Toc20823297"/>
      <w:r/>
      <w:bookmarkStart w:id="101" w:name="_Toc462564084"/>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val="en-US" w:eastAsia="zh-CN"/>
        </w:rPr>
        <w:t xml:space="preserve">5.</w:t>
      </w:r>
      <w:r>
        <w:rPr>
          <w:rFonts w:hint="eastAsia" w:ascii="方正楷体_GBK" w:hAnsi="方正楷体_GBK" w:eastAsia="方正楷体_GBK" w:cs="方正楷体_GBK"/>
          <w:b/>
          <w:bCs/>
          <w:color w:val="auto"/>
        </w:rPr>
        <w:t xml:space="preserve">谈判</w:t>
      </w:r>
      <w:bookmarkEnd w:id="98"/>
      <w:r/>
      <w:bookmarkEnd w:id="99"/>
      <w:r/>
      <w:bookmarkEnd w:id="100"/>
      <w:r/>
      <w:bookmarkEnd w:id="101"/>
      <w:r>
        <w:rPr>
          <w:rFonts w:hint="eastAsia" w:ascii="方正楷体_GBK" w:hAnsi="方正楷体_GBK" w:eastAsia="方正楷体_GBK" w:cs="方正楷体_GBK"/>
          <w:b/>
          <w:bCs/>
          <w:color w:val="auto"/>
        </w:rPr>
        <w:t xml:space="preserve">响应文件的</w:t>
      </w:r>
      <w:r>
        <w:rPr>
          <w:rFonts w:hint="eastAsia" w:ascii="方正楷体_GBK" w:hAnsi="方正楷体_GBK" w:eastAsia="方正楷体_GBK" w:cs="方正楷体_GBK"/>
          <w:b/>
          <w:bCs/>
          <w:color w:val="auto"/>
          <w:lang w:val="en-US" w:eastAsia="zh-CN"/>
        </w:rPr>
        <w:t xml:space="preserve">密封和</w:t>
      </w:r>
      <w:r>
        <w:rPr>
          <w:rFonts w:hint="eastAsia" w:ascii="方正楷体_GBK" w:hAnsi="方正楷体_GBK" w:eastAsia="方正楷体_GBK" w:cs="方正楷体_GBK"/>
          <w:b/>
          <w:bCs/>
          <w:color w:val="auto"/>
        </w:rPr>
        <w:t xml:space="preserve">递交</w:t>
      </w:r>
      <w:r/>
    </w:p>
    <w:p>
      <w:pPr>
        <w:ind w:firstLine="420"/>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cs="Times New Roman"/>
          <w:color w:val="auto"/>
          <w:sz w:val="24"/>
          <w:szCs w:val="22"/>
          <w:lang w:val="en-US" w:eastAsia="zh-CN"/>
        </w:rPr>
        <w:t xml:space="preserve">5</w:t>
      </w:r>
      <w:r>
        <w:rPr>
          <w:rFonts w:hint="eastAsia" w:ascii="宋体" w:hAnsi="宋体" w:eastAsia="宋体" w:cs="Times New Roman"/>
          <w:color w:val="auto"/>
          <w:sz w:val="24"/>
          <w:szCs w:val="22"/>
          <w:lang w:val="zh-CN"/>
        </w:rPr>
        <w:t xml:space="preserve">.1 供应商应当将</w:t>
      </w:r>
      <w:r>
        <w:rPr>
          <w:rFonts w:hint="eastAsia" w:ascii="宋体" w:hAnsi="宋体" w:eastAsia="宋体" w:cs="Times New Roman"/>
          <w:color w:val="auto"/>
          <w:sz w:val="24"/>
          <w:szCs w:val="22"/>
          <w:lang w:val="zh-CN" w:eastAsia="zh-CN"/>
        </w:rPr>
        <w:t xml:space="preserve">响应</w:t>
      </w:r>
      <w:r>
        <w:rPr>
          <w:rFonts w:hint="eastAsia" w:ascii="宋体" w:hAnsi="宋体" w:eastAsia="宋体" w:cs="Times New Roman"/>
          <w:color w:val="auto"/>
          <w:sz w:val="24"/>
          <w:szCs w:val="22"/>
          <w:lang w:val="zh-CN"/>
        </w:rPr>
        <w:t xml:space="preserve">文件密封。</w:t>
      </w:r>
      <w:r/>
    </w:p>
    <w:p>
      <w:pPr>
        <w:ind w:firstLine="420"/>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cs="Times New Roman"/>
          <w:color w:val="auto"/>
          <w:sz w:val="24"/>
          <w:szCs w:val="22"/>
          <w:lang w:val="en-US" w:eastAsia="zh-CN"/>
        </w:rPr>
        <w:t xml:space="preserve">5</w:t>
      </w:r>
      <w:r>
        <w:rPr>
          <w:rFonts w:hint="eastAsia" w:ascii="宋体" w:hAnsi="宋体" w:eastAsia="宋体" w:cs="Times New Roman"/>
          <w:color w:val="auto"/>
          <w:sz w:val="24"/>
          <w:szCs w:val="22"/>
          <w:lang w:val="zh-CN"/>
        </w:rPr>
        <w:t xml:space="preserve">.2 供应商应当在</w:t>
      </w:r>
      <w:r>
        <w:rPr>
          <w:rFonts w:hint="eastAsia" w:ascii="宋体" w:hAnsi="宋体" w:eastAsia="宋体" w:cs="Times New Roman"/>
          <w:color w:val="auto"/>
          <w:sz w:val="24"/>
          <w:szCs w:val="22"/>
          <w:lang w:val="zh-CN" w:eastAsia="zh-CN"/>
        </w:rPr>
        <w:t xml:space="preserve">谈判</w:t>
      </w:r>
      <w:r>
        <w:rPr>
          <w:rFonts w:hint="eastAsia" w:ascii="宋体" w:hAnsi="宋体" w:eastAsia="宋体" w:cs="Times New Roman"/>
          <w:color w:val="auto"/>
          <w:sz w:val="24"/>
          <w:szCs w:val="22"/>
          <w:lang w:val="zh-CN"/>
        </w:rPr>
        <w:t xml:space="preserve">文件规定的提交</w:t>
      </w:r>
      <w:r>
        <w:rPr>
          <w:rFonts w:hint="eastAsia" w:ascii="宋体" w:hAnsi="宋体" w:eastAsia="宋体" w:cs="Times New Roman"/>
          <w:color w:val="auto"/>
          <w:sz w:val="24"/>
          <w:szCs w:val="22"/>
          <w:lang w:val="zh-CN" w:eastAsia="zh-CN"/>
        </w:rPr>
        <w:t xml:space="preserve">响应</w:t>
      </w:r>
      <w:r>
        <w:rPr>
          <w:rFonts w:hint="eastAsia" w:ascii="宋体" w:hAnsi="宋体" w:eastAsia="宋体" w:cs="Times New Roman"/>
          <w:color w:val="auto"/>
          <w:sz w:val="24"/>
          <w:szCs w:val="22"/>
          <w:lang w:val="zh-CN"/>
        </w:rPr>
        <w:t xml:space="preserve">文件截止时间前，将密封的</w:t>
      </w:r>
      <w:r>
        <w:rPr>
          <w:rFonts w:hint="eastAsia" w:ascii="宋体" w:hAnsi="宋体" w:eastAsia="宋体" w:cs="Times New Roman"/>
          <w:color w:val="auto"/>
          <w:sz w:val="24"/>
          <w:szCs w:val="22"/>
          <w:lang w:val="zh-CN" w:eastAsia="zh-CN"/>
        </w:rPr>
        <w:t xml:space="preserve">响应</w:t>
      </w:r>
      <w:r>
        <w:rPr>
          <w:rFonts w:hint="eastAsia" w:ascii="宋体" w:hAnsi="宋体" w:eastAsia="宋体" w:cs="Times New Roman"/>
          <w:color w:val="auto"/>
          <w:sz w:val="24"/>
          <w:szCs w:val="22"/>
          <w:lang w:val="zh-CN"/>
        </w:rPr>
        <w:t xml:space="preserve">文件送达</w:t>
      </w:r>
      <w:r>
        <w:rPr>
          <w:rFonts w:hint="eastAsia" w:ascii="宋体" w:hAnsi="宋体" w:eastAsia="宋体" w:cs="Times New Roman"/>
          <w:color w:val="auto"/>
          <w:sz w:val="24"/>
          <w:szCs w:val="22"/>
          <w:lang w:val="en-US" w:eastAsia="zh-CN"/>
        </w:rPr>
        <w:t xml:space="preserve">指定</w:t>
      </w:r>
      <w:r>
        <w:rPr>
          <w:rFonts w:hint="eastAsia" w:ascii="宋体" w:hAnsi="宋体" w:eastAsia="宋体" w:cs="Times New Roman"/>
          <w:color w:val="auto"/>
          <w:sz w:val="24"/>
          <w:szCs w:val="22"/>
          <w:lang w:val="zh-CN"/>
        </w:rPr>
        <w:t xml:space="preserve">地点。</w:t>
      </w:r>
      <w:r/>
    </w:p>
    <w:p>
      <w:pPr>
        <w:ind w:firstLine="420"/>
        <w:rPr>
          <w:rFonts w:hint="eastAsia" w:ascii="宋体" w:hAnsi="宋体" w:eastAsia="宋体" w:cs="Times New Roman"/>
          <w:color w:val="auto"/>
          <w:sz w:val="24"/>
          <w:szCs w:val="22"/>
          <w:lang w:val="zh-CN"/>
        </w:rPr>
      </w:pPr>
      <w:r>
        <w:rPr>
          <w:rFonts w:hint="eastAsia" w:ascii="宋体" w:hAnsi="宋体" w:cs="Times New Roman"/>
          <w:color w:val="auto"/>
          <w:sz w:val="24"/>
          <w:szCs w:val="22"/>
          <w:lang w:val="en-US" w:eastAsia="zh-CN"/>
        </w:rPr>
        <w:t xml:space="preserve">15.3 </w:t>
      </w:r>
      <w:r>
        <w:rPr>
          <w:rFonts w:hint="eastAsia" w:ascii="宋体" w:hAnsi="宋体" w:eastAsia="宋体" w:cs="Times New Roman"/>
          <w:color w:val="auto"/>
          <w:sz w:val="24"/>
          <w:lang w:val="zh-CN" w:eastAsia="zh-CN"/>
        </w:rPr>
        <w:t xml:space="preserve">在谈判文件要求提交响应文件的截止时间之后送达</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eastAsia="zh-CN"/>
        </w:rPr>
        <w:t xml:space="preserve">未密封的任何响应文件将被拒</w:t>
      </w:r>
      <w:r>
        <w:rPr>
          <w:rFonts w:hint="eastAsia" w:ascii="宋体" w:hAnsi="宋体" w:eastAsia="宋体" w:cs="Times New Roman"/>
          <w:color w:val="auto"/>
          <w:sz w:val="24"/>
          <w:lang w:val="en-US" w:eastAsia="zh-CN"/>
        </w:rPr>
        <w:t xml:space="preserve">收</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交易中心可以按照规定，通过修改谈判文件酌情延长提交响应文件截止时间，在此情况下，供应商的所有权利和义务均以延长后新的截止时间为准。</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02" w:name="_Toc16938543"/>
      <w:r/>
      <w:bookmarkStart w:id="103" w:name="_Toc20823299"/>
      <w:r/>
      <w:bookmarkStart w:id="104" w:name="_Toc513029227"/>
      <w:r>
        <w:rPr>
          <w:rFonts w:hint="eastAsia" w:ascii="方正楷体_GBK" w:hAnsi="方正楷体_GBK" w:eastAsia="方正楷体_GBK" w:cs="方正楷体_GBK"/>
          <w:b/>
          <w:bCs/>
          <w:color w:val="auto"/>
          <w:lang w:val="en-US" w:eastAsia="zh-CN"/>
        </w:rPr>
        <w:t xml:space="preserve">16.</w:t>
      </w:r>
      <w:r>
        <w:rPr>
          <w:rFonts w:hint="eastAsia" w:ascii="方正楷体_GBK" w:hAnsi="方正楷体_GBK" w:eastAsia="方正楷体_GBK" w:cs="方正楷体_GBK"/>
          <w:b/>
          <w:bCs/>
          <w:color w:val="auto"/>
        </w:rPr>
        <w:t xml:space="preserve">响应文件</w:t>
      </w:r>
      <w:bookmarkEnd w:id="102"/>
      <w:r/>
      <w:bookmarkEnd w:id="103"/>
      <w:r/>
      <w:bookmarkEnd w:id="104"/>
      <w:r>
        <w:rPr>
          <w:rFonts w:hint="eastAsia" w:ascii="方正楷体_GBK" w:hAnsi="方正楷体_GBK" w:eastAsia="方正楷体_GBK" w:cs="方正楷体_GBK"/>
          <w:b/>
          <w:bCs/>
          <w:color w:val="auto"/>
        </w:rPr>
        <w:t xml:space="preserve">的</w:t>
      </w:r>
      <w:r>
        <w:rPr>
          <w:rFonts w:hint="eastAsia" w:ascii="方正楷体_GBK" w:hAnsi="方正楷体_GBK" w:eastAsia="方正楷体_GBK" w:cs="方正楷体_GBK"/>
          <w:b/>
          <w:bCs/>
          <w:color w:val="auto"/>
          <w:highlight w:val="none"/>
          <w:lang w:val="en-US" w:eastAsia="zh-CN"/>
        </w:rPr>
        <w:t xml:space="preserve">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供应商可在提交响应文件截止时间前，撤回其响应文件。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供应商撤回响应文件，则认为其不再参与本项目谈判活动。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w:t>
      </w:r>
      <w:r>
        <w:rPr>
          <w:rFonts w:hint="eastAsia" w:ascii="宋体" w:hAnsi="宋体" w:eastAsia="宋体" w:cs="Times New Roman"/>
          <w:color w:val="auto"/>
          <w:sz w:val="24"/>
          <w:szCs w:val="21"/>
          <w:highlight w:val="none"/>
          <w:lang w:val="en-US" w:eastAsia="zh-CN"/>
        </w:rPr>
        <w:t xml:space="preserve">谈判</w:t>
      </w:r>
      <w:r>
        <w:rPr>
          <w:rFonts w:hint="eastAsia" w:ascii="宋体" w:hAnsi="宋体" w:eastAsia="宋体" w:cs="Times New Roman"/>
          <w:color w:val="auto"/>
          <w:sz w:val="24"/>
          <w:szCs w:val="21"/>
          <w:highlight w:val="none"/>
        </w:rPr>
        <w:t xml:space="preserve">文件中规定的</w:t>
      </w:r>
      <w:r>
        <w:rPr>
          <w:rFonts w:hint="eastAsia" w:ascii="宋体" w:hAnsi="宋体" w:eastAsia="宋体" w:cs="Times New Roman"/>
          <w:color w:val="auto"/>
          <w:sz w:val="24"/>
          <w:szCs w:val="21"/>
          <w:highlight w:val="none"/>
          <w:lang w:val="en-US" w:eastAsia="zh-CN"/>
        </w:rPr>
        <w:t xml:space="preserve">谈判</w:t>
      </w:r>
      <w:r>
        <w:rPr>
          <w:rFonts w:hint="eastAsia" w:ascii="宋体" w:hAnsi="宋体" w:eastAsia="宋体" w:cs="Times New Roman"/>
          <w:color w:val="auto"/>
          <w:sz w:val="24"/>
          <w:szCs w:val="21"/>
          <w:highlight w:val="none"/>
        </w:rPr>
        <w:t xml:space="preserve">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.2.1 </w:t>
      </w:r>
      <w:r>
        <w:rPr>
          <w:rFonts w:hint="eastAsia" w:ascii="宋体" w:hAnsi="宋体" w:eastAsia="宋体" w:cs="Times New Roman"/>
          <w:color w:val="auto"/>
          <w:sz w:val="24"/>
          <w:lang w:val="zh-CN" w:eastAsia="zh-CN"/>
        </w:rPr>
        <w:t xml:space="preserve">供应商可在提交响应文件截止时间前，对其响应文件进行修改。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.2.2 </w:t>
      </w:r>
      <w:r>
        <w:rPr>
          <w:rFonts w:hint="eastAsia" w:ascii="宋体" w:hAnsi="宋体" w:eastAsia="宋体" w:cs="Times New Roman"/>
          <w:color w:val="auto"/>
          <w:sz w:val="24"/>
          <w:lang w:val="zh-CN" w:eastAsia="zh-CN"/>
        </w:rPr>
        <w:t xml:space="preserve">在提交响应文件截止时间后，供应商不得对其响应文件作任何修改。</w:t>
      </w:r>
      <w:r/>
    </w:p>
    <w:p>
      <w:pPr>
        <w:pStyle w:val="906"/>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lang w:val="en-US" w:eastAsia="zh-CN"/>
        </w:rPr>
      </w:pPr>
      <w:r/>
      <w:bookmarkStart w:id="105" w:name="_Toc16938545"/>
      <w:r/>
      <w:bookmarkStart w:id="106" w:name="_Toc120614218"/>
      <w:r/>
      <w:bookmarkStart w:id="107" w:name="_Toc513029229"/>
      <w:r/>
      <w:bookmarkStart w:id="108" w:name="_Toc20823301"/>
      <w:r>
        <w:rPr>
          <w:rFonts w:hint="eastAsia" w:ascii="方正黑体_GBK" w:hAnsi="方正黑体_GBK" w:eastAsia="方正黑体_GBK" w:cs="方正黑体_GBK"/>
          <w:b w:val="0"/>
          <w:bCs w:val="0"/>
          <w:color w:val="auto"/>
          <w:sz w:val="30"/>
          <w:szCs w:val="30"/>
        </w:rPr>
        <w:t xml:space="preserve">五、响应文件评审</w:t>
      </w:r>
      <w:bookmarkEnd w:id="105"/>
      <w:r/>
      <w:bookmarkEnd w:id="106"/>
      <w:r/>
      <w:bookmarkEnd w:id="107"/>
      <w:r/>
      <w:bookmarkEnd w:id="108"/>
      <w:r>
        <w:rPr>
          <w:rFonts w:hint="eastAsia" w:ascii="方正黑体_GBK" w:hAnsi="方正黑体_GBK" w:eastAsia="方正黑体_GBK" w:cs="方正黑体_GBK"/>
          <w:b w:val="0"/>
          <w:bCs w:val="0"/>
          <w:color w:val="auto"/>
          <w:sz w:val="30"/>
          <w:szCs w:val="30"/>
          <w:lang w:val="en-US" w:eastAsia="zh-CN"/>
        </w:rPr>
        <w:t xml:space="preserve">与谈判</w:t>
      </w:r>
      <w:r/>
    </w:p>
    <w:p>
      <w:pPr>
        <w:pStyle w:val="908"/>
        <w:ind w:firstLine="422"/>
        <w:pageBreakBefore w:val="0"/>
        <w:spacing w:before="0" w:after="0" w:line="240" w:lineRule="auto"/>
        <w:widowControl w:val="off"/>
        <w:rPr>
          <w:rFonts w:ascii="方正楷体_GBK" w:hAnsi="方正楷体_GBK" w:eastAsia="方正楷体_GBK" w:cs="方正楷体_GBK"/>
          <w:b/>
          <w:bCs/>
          <w:color w:val="auto"/>
          <w:lang w:val="en-US" w:eastAsia="zh-CN"/>
        </w:rPr>
      </w:pPr>
      <w:r/>
      <w:bookmarkStart w:id="109" w:name="_Toc16938547"/>
      <w:r/>
      <w:bookmarkStart w:id="110" w:name="_Toc513029231"/>
      <w:r/>
      <w:bookmarkStart w:id="111" w:name="_Toc20823303"/>
      <w:r>
        <w:rPr>
          <w:rFonts w:hint="eastAsia" w:ascii="方正楷体_GBK" w:hAnsi="方正楷体_GBK" w:eastAsia="方正楷体_GBK" w:cs="方正楷体_GBK"/>
          <w:b/>
          <w:bCs/>
          <w:color w:val="auto"/>
          <w:lang w:val="en-US" w:eastAsia="zh-CN"/>
        </w:rPr>
        <w:t xml:space="preserve">17.响应文件评审</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依法组建的谈判小组对响应文件进行评审。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eastAsia="zh-CN"/>
        </w:rPr>
        <w:t xml:space="preserve">谈判小组由采购人代表和有关方面的专家组成，人员构成符合政府采购有关规定。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eastAsia="zh-CN"/>
        </w:rPr>
        <w:t xml:space="preserve">谈判小组独立工作，负责评审所有响应文件并推荐成交候选人，或根据采购人授权直接确定成交供应商。</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18.</w:t>
      </w:r>
      <w:r>
        <w:rPr>
          <w:rFonts w:hint="eastAsia" w:ascii="方正楷体_GBK" w:hAnsi="方正楷体_GBK" w:eastAsia="方正楷体_GBK" w:cs="方正楷体_GBK"/>
          <w:b/>
          <w:bCs/>
          <w:color w:val="auto"/>
        </w:rPr>
        <w:t xml:space="preserve">评审过程的保密与公正</w:t>
      </w:r>
      <w:bookmarkEnd w:id="109"/>
      <w:bookmarkEnd w:id="110"/>
      <w:bookmarkEnd w:id="111"/>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谈判小组、采购人和交易中心工作人员、相关监督人员等与评审工作有关的人员，对评审情况以及在评审过程中获悉的国家秘密、商业秘密负有保密责任。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供应商不得以任何行为影响评审过程，否则其响应文件将被作为无效响应文件。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交易中心和谈判小组不向未成交的供应商解释未成交原因，也不公布评审过程中的相关细节。</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12" w:name="_Toc513029232"/>
      <w:r/>
      <w:bookmarkStart w:id="113" w:name="_Toc20823304"/>
      <w:r/>
      <w:bookmarkStart w:id="114" w:name="_Toc16938548"/>
      <w:r>
        <w:rPr>
          <w:rFonts w:hint="eastAsia" w:ascii="方正楷体_GBK" w:hAnsi="方正楷体_GBK" w:eastAsia="方正楷体_GBK" w:cs="方正楷体_GBK"/>
          <w:b/>
          <w:bCs/>
          <w:color w:val="auto"/>
          <w:lang w:val="en-US" w:eastAsia="zh-CN"/>
        </w:rPr>
        <w:t xml:space="preserve">19.</w:t>
      </w:r>
      <w:r>
        <w:rPr>
          <w:rFonts w:hint="eastAsia" w:ascii="方正楷体_GBK" w:hAnsi="方正楷体_GBK" w:eastAsia="方正楷体_GBK" w:cs="方正楷体_GBK"/>
          <w:b/>
          <w:bCs/>
          <w:color w:val="auto"/>
        </w:rPr>
        <w:t xml:space="preserve">评审过程中的的澄清</w:t>
      </w:r>
      <w:bookmarkEnd w:id="112"/>
      <w:r/>
      <w:bookmarkEnd w:id="113"/>
      <w:r/>
      <w:bookmarkEnd w:id="114"/>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项目评审期间，谈判小组</w:t>
      </w:r>
      <w:r>
        <w:rPr>
          <w:rFonts w:hint="eastAsia" w:ascii="宋体" w:hAnsi="宋体" w:eastAsia="宋体" w:cs="Times New Roman"/>
          <w:color w:val="auto"/>
          <w:sz w:val="24"/>
          <w:lang w:val="zh-CN"/>
        </w:rPr>
        <w:t xml:space="preserve">对响应文件中含义不明确、同类问题表述不一致或者有明显文字和计算错误的内容，有权要求供应商作出必要的澄清、说明或者补正。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谈判小组并非对每个供应商都做澄清要求。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需要供应商进行澄清、说明和补正的，谈判小组将通过</w:t>
      </w:r>
      <w:r>
        <w:rPr>
          <w:rFonts w:hint="eastAsia" w:ascii="宋体" w:hAnsi="宋体" w:eastAsia="宋体" w:cs="Times New Roman"/>
          <w:color w:val="auto"/>
          <w:sz w:val="24"/>
          <w:lang w:val="en-US" w:eastAsia="zh-CN"/>
        </w:rPr>
        <w:t xml:space="preserve">书面形式</w:t>
      </w:r>
      <w:r>
        <w:rPr>
          <w:rFonts w:hint="eastAsia" w:ascii="宋体" w:hAnsi="宋体" w:eastAsia="宋体" w:cs="Times New Roman"/>
          <w:color w:val="auto"/>
          <w:sz w:val="24"/>
          <w:lang w:val="zh-CN" w:eastAsia="zh-CN"/>
        </w:rPr>
        <w:t xml:space="preserve">向供应商</w:t>
      </w:r>
      <w:r>
        <w:rPr>
          <w:rFonts w:hint="eastAsia" w:ascii="宋体" w:hAnsi="宋体" w:eastAsia="宋体" w:cs="Times New Roman"/>
          <w:color w:val="auto"/>
          <w:sz w:val="24"/>
          <w:lang w:val="en-US" w:eastAsia="zh-CN"/>
        </w:rPr>
        <w:t xml:space="preserve">发出</w:t>
      </w:r>
      <w:r>
        <w:rPr>
          <w:rFonts w:hint="eastAsia" w:ascii="宋体" w:hAnsi="宋体" w:eastAsia="宋体" w:cs="Times New Roman"/>
          <w:color w:val="auto"/>
          <w:sz w:val="24"/>
          <w:lang w:val="zh-CN" w:eastAsia="zh-CN"/>
        </w:rPr>
        <w:t xml:space="preserve">，供应商应当按照要求澄清、说明或者更正并加盖供应商公章或由法定代表人或其授权的代表签字。澄清、说明和补正的内容作为响应文件的补充部分。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.3 接到谈判小组澄清、说明和补正要求的供应商如未按规定做出澄清、说明和补正，其风险由供应商自行承担。</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15" w:name="_Toc513029233"/>
      <w:r/>
      <w:bookmarkStart w:id="116" w:name="_Toc20823305"/>
      <w:r/>
      <w:bookmarkStart w:id="117" w:name="_Toc16938549"/>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响应文件的审</w:t>
      </w:r>
      <w:bookmarkEnd w:id="115"/>
      <w:r/>
      <w:bookmarkEnd w:id="116"/>
      <w:r/>
      <w:bookmarkEnd w:id="117"/>
      <w:r>
        <w:rPr>
          <w:rFonts w:hint="eastAsia" w:ascii="方正楷体_GBK" w:hAnsi="方正楷体_GBK" w:eastAsia="方正楷体_GBK" w:cs="方正楷体_GBK"/>
          <w:b/>
          <w:bCs/>
          <w:color w:val="auto"/>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.1.1 资格审查。依据法律法规和谈判文件的规定，谈判小组对响应文件中的资格证明文件进行审查，以确定供应商是否具备参加谈判的资格。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谈判小组在进行资格审查的同时，将在“信用中国”网站查询供应商的信用记录，以确定供应商是否具备谈判资格，查询结果留存并归档。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rPr>
        <w:t xml:space="preserve">接受联合体的项目</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联合体成员存在不良信用记录的</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视同联合体存在不良应用记录。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.1.2 符合性审查。</w:t>
      </w:r>
      <w:r>
        <w:rPr>
          <w:rFonts w:hint="eastAsia" w:ascii="宋体" w:hAnsi="宋体" w:eastAsia="宋体" w:cs="Times New Roman"/>
          <w:color w:val="auto"/>
          <w:sz w:val="24"/>
          <w:highlight w:val="none"/>
          <w:lang w:val="en-US" w:eastAsia="zh-CN"/>
        </w:rPr>
        <w:t xml:space="preserve">谈判小组</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highlight w:val="none"/>
          <w:lang w:val="en-US" w:eastAsia="zh-CN"/>
        </w:rPr>
        <w:t xml:space="preserve">响应文件进行符合性审查，以确定是否满足谈判文件的实质性要求。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.1.3 未通过资格审查或符合性审查的供应商，谈判小组</w:t>
      </w:r>
      <w:r>
        <w:rPr>
          <w:rFonts w:hint="eastAsia" w:ascii="宋体" w:hAnsi="宋体" w:eastAsia="宋体" w:cs="Times New Roman"/>
          <w:color w:val="auto"/>
          <w:sz w:val="24"/>
          <w:szCs w:val="22"/>
          <w:lang w:val="en-US" w:eastAsia="zh-CN"/>
        </w:rPr>
        <w:t xml:space="preserve">将</w:t>
      </w:r>
      <w:r>
        <w:rPr>
          <w:rFonts w:hint="eastAsia" w:ascii="宋体" w:hAnsi="宋体" w:cs="Times New Roman"/>
          <w:color w:val="auto"/>
          <w:sz w:val="24"/>
          <w:szCs w:val="22"/>
          <w:lang w:val="en-US" w:eastAsia="zh-CN"/>
        </w:rPr>
        <w:t xml:space="preserve">在评审现场当面</w:t>
      </w:r>
      <w:r>
        <w:rPr>
          <w:rFonts w:hint="eastAsia" w:ascii="宋体" w:hAnsi="宋体" w:eastAsia="宋体" w:cs="Times New Roman"/>
          <w:color w:val="auto"/>
          <w:sz w:val="24"/>
          <w:szCs w:val="22"/>
          <w:lang w:val="en-US" w:eastAsia="zh-CN"/>
        </w:rPr>
        <w:t xml:space="preserve">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cs="Times New Roman"/>
          <w:color w:val="auto"/>
          <w:sz w:val="24"/>
          <w:szCs w:val="22"/>
          <w:lang w:val="en-US" w:eastAsia="zh-CN"/>
        </w:rPr>
        <w:t xml:space="preserve">0</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2"/>
          <w:lang w:val="en-US" w:eastAsia="zh-CN"/>
        </w:rPr>
        <w:t xml:space="preserve">谈判</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谈判</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基于专业判断，认为供应商</w:t>
      </w:r>
      <w:r>
        <w:rPr>
          <w:rFonts w:hint="eastAsia" w:ascii="宋体" w:hAnsi="宋体" w:eastAsia="宋体" w:cs="Times New Roman"/>
          <w:color w:val="auto"/>
          <w:sz w:val="24"/>
          <w:szCs w:val="22"/>
          <w:lang w:val="en-US" w:eastAsia="zh-CN"/>
        </w:rPr>
        <w:t xml:space="preserve">最后</w:t>
      </w:r>
      <w:r>
        <w:rPr>
          <w:rFonts w:hint="eastAsia" w:ascii="宋体" w:hAnsi="宋体" w:eastAsia="宋体" w:cs="Times New Roman"/>
          <w:color w:val="auto"/>
          <w:sz w:val="24"/>
          <w:szCs w:val="22"/>
          <w:lang w:val="zh-CN"/>
        </w:rPr>
        <w:t xml:space="preserve">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cs="Times New Roman"/>
          <w:color w:val="auto"/>
          <w:sz w:val="24"/>
          <w:szCs w:val="22"/>
          <w:lang w:val="en-US" w:eastAsia="zh-CN"/>
        </w:rPr>
        <w:t xml:space="preserve">0</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2谈判</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8"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18"/>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谈判小组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谈判小组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未实质性响应谈判文件</w:t>
      </w:r>
      <w:r>
        <w:rPr>
          <w:rFonts w:hint="eastAsia" w:ascii="宋体" w:hAnsi="宋体" w:eastAsia="宋体" w:cs="Times New Roman"/>
          <w:color w:val="auto"/>
          <w:sz w:val="24"/>
          <w:szCs w:val="22"/>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21.无效响应</w:t>
      </w:r>
      <w:r/>
    </w:p>
    <w:p>
      <w:pPr>
        <w:ind w:firstLine="422"/>
        <w:keepLines w:val="0"/>
        <w:keepNext w:val="0"/>
        <w:pageBreakBefore w:val="0"/>
        <w:spacing w:line="240" w:lineRule="auto"/>
        <w:widowControl w:val="off"/>
        <w:rPr>
          <w:rFonts w:hint="eastAsia" w:ascii="宋体" w:hAnsi="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1</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 xml:space="preserve">21.1.1 未在</w:t>
      </w:r>
      <w:r>
        <w:rPr>
          <w:rFonts w:hint="eastAsia" w:ascii="宋体" w:hAnsi="宋体" w:eastAsia="宋体"/>
          <w:color w:val="auto"/>
          <w:sz w:val="24"/>
          <w:highlight w:val="none"/>
          <w:lang w:val="en-US" w:eastAsia="zh-CN"/>
        </w:rPr>
        <w:t xml:space="preserve">谈判文件</w:t>
      </w:r>
      <w:r>
        <w:rPr>
          <w:rFonts w:hint="eastAsia" w:ascii="宋体" w:hAnsi="宋体"/>
          <w:color w:val="auto"/>
          <w:sz w:val="24"/>
          <w:highlight w:val="none"/>
          <w:lang w:val="en-US" w:eastAsia="zh-CN"/>
        </w:rPr>
        <w:t xml:space="preserve">规定时间内提交响应</w:t>
      </w:r>
      <w:r>
        <w:rPr>
          <w:rFonts w:hint="eastAsia" w:ascii="宋体" w:hAnsi="宋体"/>
          <w:color w:val="auto"/>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同一供应商提交两个（含两个）以上不同的响应文件或者报价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谈判文件另有约定的除外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供应商不具备谈判文件中规定的资格要求。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21.1.4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21.1.5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21.1.6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21.1.7 </w:t>
      </w:r>
      <w:r>
        <w:rPr>
          <w:rFonts w:hint="eastAsia" w:ascii="宋体" w:hAnsi="宋体" w:eastAsia="宋体" w:cs="Times New Roman"/>
          <w:color w:val="auto"/>
          <w:sz w:val="24"/>
          <w:szCs w:val="21"/>
          <w:highlight w:val="none"/>
          <w:lang w:val="en-US" w:eastAsia="zh-CN"/>
        </w:rPr>
        <w:t xml:space="preserve">谈判小组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本谈判文件</w:t>
      </w:r>
      <w:r>
        <w:rPr>
          <w:rFonts w:hint="eastAsia" w:ascii="宋体" w:hAnsi="宋体" w:eastAsia="宋体" w:cs="Times New Roman"/>
          <w:color w:val="auto"/>
          <w:sz w:val="24"/>
          <w:szCs w:val="21"/>
          <w:highlight w:val="none"/>
        </w:rPr>
        <w:t xml:space="preserve">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21.1.8 响应文件未按照谈判文件要求加盖公章。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21.1.9 供应商串通响应。</w:t>
      </w:r>
      <w:r/>
    </w:p>
    <w:p>
      <w:pPr>
        <w:spacing w:line="24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21.1.10 不属于</w:t>
      </w:r>
      <w:r>
        <w:rPr>
          <w:rFonts w:hint="eastAsia" w:ascii="宋体" w:hAnsi="宋体" w:cs="Times New Roman"/>
          <w:color w:val="auto"/>
          <w:sz w:val="24"/>
          <w:szCs w:val="24"/>
          <w:lang w:val="en-US" w:eastAsia="zh-CN"/>
        </w:rPr>
        <w:t xml:space="preserve">前期该项目公开招标过程中（原项目编号：JSZC-320100-JZCG-G2026-0044）经评审实质性响应招标文件要求的两家供应商。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w:t>
      </w:r>
      <w:r>
        <w:rPr>
          <w:rFonts w:hint="eastAsia" w:ascii="宋体" w:hAnsi="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 法律法规及本谈判文件规定的其他无效响应的情形。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有下列情形之一的视为供应商串通</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委托同一单位或者个人办理</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文件异常一致或者</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19" w:name="_Toc513029234"/>
      <w:r/>
      <w:bookmarkStart w:id="120" w:name="_Toc16938550"/>
      <w:r/>
      <w:bookmarkStart w:id="121" w:name="_Toc20823306"/>
      <w:r>
        <w:rPr>
          <w:rFonts w:hint="eastAsia" w:ascii="方正楷体_GBK" w:hAnsi="方正楷体_GBK" w:eastAsia="方正楷体_GBK" w:cs="方正楷体_GBK"/>
          <w:b/>
          <w:bCs/>
          <w:color w:val="auto"/>
          <w:highlight w:val="none"/>
          <w:lang w:val="zh-CN" w:eastAsia="zh-CN"/>
        </w:rPr>
        <w:t xml:space="preserve">2</w:t>
      </w:r>
      <w:r>
        <w:rPr>
          <w:rFonts w:hint="eastAsia" w:ascii="方正楷体_GBK" w:hAnsi="方正楷体_GBK" w:eastAsia="方正楷体_GBK" w:cs="方正楷体_GBK"/>
          <w:b/>
          <w:bCs/>
          <w:color w:val="auto"/>
          <w:highlight w:val="none"/>
          <w:lang w:val="en-US" w:eastAsia="zh-CN"/>
        </w:rPr>
        <w:t xml:space="preserve">2.</w:t>
      </w:r>
      <w:r>
        <w:rPr>
          <w:rFonts w:hint="eastAsia" w:ascii="方正楷体_GBK" w:hAnsi="方正楷体_GBK" w:eastAsia="方正楷体_GBK" w:cs="方正楷体_GBK"/>
          <w:b/>
          <w:bCs/>
          <w:color w:val="auto"/>
          <w:highlight w:val="none"/>
          <w:lang w:val="zh-CN" w:eastAsia="zh-CN"/>
        </w:rPr>
        <w:t xml:space="preserve">谈判程序及</w:t>
      </w:r>
      <w:r>
        <w:rPr>
          <w:rFonts w:hint="eastAsia" w:ascii="方正楷体_GBK" w:hAnsi="方正楷体_GBK" w:eastAsia="方正楷体_GBK" w:cs="方正楷体_GBK"/>
          <w:b/>
          <w:bCs/>
          <w:color w:val="auto"/>
          <w:highlight w:val="none"/>
          <w:lang w:val="en-US" w:eastAsia="zh-CN"/>
        </w:rPr>
        <w:t xml:space="preserve">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2</w:t>
      </w:r>
      <w:r>
        <w:rPr>
          <w:rFonts w:hint="eastAsia" w:ascii="宋体" w:hAnsi="宋体" w:eastAsia="宋体" w:cs="Times New Roman"/>
          <w:color w:val="auto"/>
          <w:sz w:val="24"/>
          <w:szCs w:val="21"/>
          <w:lang w:val="en-US" w:eastAsia="zh-CN"/>
        </w:rPr>
        <w:t xml:space="preserve">.1 谈判程序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2</w:t>
      </w:r>
      <w:r>
        <w:rPr>
          <w:rFonts w:hint="eastAsia" w:ascii="宋体" w:hAnsi="宋体" w:eastAsia="宋体" w:cs="Times New Roman"/>
          <w:color w:val="auto"/>
          <w:sz w:val="24"/>
          <w:szCs w:val="21"/>
          <w:lang w:val="en-US" w:eastAsia="zh-CN"/>
        </w:rPr>
        <w:t xml:space="preserve">.1.1 谈判小组将与通过资格审查和符合性审查的供应商分别进行谈判。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以书面形式通知所有参加谈判的供应商。供应商应当按照谈判文件的变动情况和谈判小组的要求重新提交响应文件，并加盖公章或者</w:t>
      </w:r>
      <w:r>
        <w:rPr>
          <w:rFonts w:hint="eastAsia" w:ascii="宋体" w:hAnsi="宋体" w:eastAsia="宋体" w:cs="Times New Roman"/>
          <w:color w:val="auto"/>
          <w:sz w:val="24"/>
          <w:lang w:val="en-US" w:eastAsia="zh-CN"/>
        </w:rPr>
        <w:t xml:space="preserve">由法定代表人或其授权的代表签字。</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2</w:t>
      </w:r>
      <w:r>
        <w:rPr>
          <w:rFonts w:hint="eastAsia" w:ascii="宋体" w:hAnsi="宋体" w:eastAsia="宋体" w:cs="Times New Roman"/>
          <w:color w:val="auto"/>
          <w:sz w:val="24"/>
          <w:szCs w:val="21"/>
          <w:lang w:val="en-US" w:eastAsia="zh-CN"/>
        </w:rPr>
        <w:t xml:space="preserve">.1.2 谈判文件能够详细列明采购标的的技术、服务要求的，谈判结束后，谈判小组将向所有实质性响应的供应商发出最后报价格式表，要求所有实质性响应的供应商在规定时间内提交最后报价。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向其发出最后报价格式表，要求其在规定时间内提交最后报价。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2</w:t>
      </w:r>
      <w:r>
        <w:rPr>
          <w:rFonts w:hint="eastAsia" w:ascii="宋体" w:hAnsi="宋体" w:eastAsia="宋体" w:cs="Times New Roman"/>
          <w:color w:val="auto"/>
          <w:sz w:val="24"/>
          <w:szCs w:val="21"/>
          <w:lang w:val="en-US" w:eastAsia="zh-CN"/>
        </w:rPr>
        <w:t xml:space="preserve">.1.3 供应商未在谈判小组规定的时间内以书面形式提交最后报价的视为放弃谈判，其响应文件按无效响应处理，最后报价格式表须加盖公章或者</w:t>
      </w:r>
      <w:r>
        <w:rPr>
          <w:rFonts w:hint="eastAsia" w:ascii="宋体" w:hAnsi="宋体" w:eastAsia="宋体" w:cs="Times New Roman"/>
          <w:color w:val="auto"/>
          <w:sz w:val="24"/>
          <w:lang w:val="en-US" w:eastAsia="zh-CN"/>
        </w:rPr>
        <w:t xml:space="preserve">由法定代表人或其授权的代表签字</w:t>
      </w:r>
      <w:r>
        <w:rPr>
          <w:rFonts w:hint="eastAsia" w:ascii="宋体" w:hAnsi="宋体" w:eastAsia="宋体" w:cs="Times New Roman"/>
          <w:color w:val="auto"/>
          <w:sz w:val="24"/>
          <w:szCs w:val="21"/>
          <w:lang w:val="en-US" w:eastAsia="zh-CN"/>
        </w:rPr>
        <w:t xml:space="preserve">,否则视为未提交最后报价。已提交响应文件的供应商，在提交最后报价之前，可以根据谈判情况退出谈判，以书面形式提交并加盖公章或者</w:t>
      </w:r>
      <w:r>
        <w:rPr>
          <w:rFonts w:hint="eastAsia" w:ascii="宋体" w:hAnsi="宋体" w:eastAsia="宋体" w:cs="Times New Roman"/>
          <w:color w:val="auto"/>
          <w:sz w:val="24"/>
          <w:lang w:val="en-US" w:eastAsia="zh-CN"/>
        </w:rPr>
        <w:t xml:space="preserve">由法定代表人或其授权的代表签字。</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b/>
          <w:bCs/>
          <w:color w:val="auto"/>
          <w:sz w:val="24"/>
          <w:highlight w:val="none"/>
          <w:lang w:val="zh-CN" w:eastAsia="zh-CN"/>
        </w:rPr>
        <w:t xml:space="preserve">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.1因情况变化，不再符合规定的竞争性谈判采购方式适用情形。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在谈判文件规定时间内成功提交响应文件的供应商不足两家。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.4在谈判过程中符合要求的供应商或者最后报价未超过采购预算</w:t>
      </w:r>
      <w:r>
        <w:rPr>
          <w:rFonts w:hint="eastAsia" w:ascii="宋体" w:hAnsi="宋体" w:eastAsia="宋体" w:cs="Times New Roman"/>
          <w:color w:val="auto"/>
          <w:sz w:val="24"/>
          <w:szCs w:val="21"/>
          <w:highlight w:val="none"/>
          <w:lang w:val="en-US" w:eastAsia="zh-CN"/>
        </w:rPr>
        <w:t xml:space="preserve">或最高限价</w:t>
      </w:r>
      <w:r>
        <w:rPr>
          <w:rFonts w:hint="eastAsia" w:ascii="宋体" w:hAnsi="宋体" w:eastAsia="宋体" w:cs="Times New Roman"/>
          <w:color w:val="auto"/>
          <w:sz w:val="24"/>
          <w:highlight w:val="none"/>
          <w:lang w:val="zh-CN" w:eastAsia="zh-CN"/>
        </w:rPr>
        <w:t xml:space="preserve">的供应商不足</w:t>
      </w:r>
      <w:r>
        <w:rPr>
          <w:rFonts w:hint="eastAsia" w:ascii="宋体" w:hAnsi="宋体" w:eastAsia="宋体" w:cs="Times New Roman"/>
          <w:color w:val="auto"/>
          <w:sz w:val="24"/>
          <w:highlight w:val="none"/>
          <w:lang w:val="en-US" w:eastAsia="zh-CN"/>
        </w:rPr>
        <w:t xml:space="preserve">两</w:t>
      </w:r>
      <w:r>
        <w:rPr>
          <w:rFonts w:hint="eastAsia" w:ascii="宋体" w:hAnsi="宋体" w:eastAsia="宋体" w:cs="Times New Roman"/>
          <w:color w:val="auto"/>
          <w:sz w:val="24"/>
          <w:highlight w:val="none"/>
          <w:lang w:val="zh-CN" w:eastAsia="zh-CN"/>
        </w:rPr>
        <w:t xml:space="preserve">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.5法律法规规定的其他应当终止情形。</w:t>
      </w:r>
      <w:bookmarkEnd w:id="119"/>
      <w:bookmarkEnd w:id="120"/>
      <w:bookmarkEnd w:id="121"/>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2" w:name="_Toc16938551"/>
      <w:r/>
      <w:bookmarkStart w:id="123" w:name="_Toc20823310"/>
      <w:r/>
      <w:bookmarkStart w:id="124" w:name="_Toc120614219"/>
      <w:r/>
      <w:bookmarkStart w:id="125" w:name="_Toc16938554"/>
      <w:r/>
      <w:bookmarkStart w:id="126" w:name="_Toc513029238"/>
      <w:r/>
      <w:bookmarkStart w:id="127" w:name="_Toc20823307"/>
      <w:r/>
      <w:bookmarkStart w:id="128" w:name="_Toc513029235"/>
      <w:r>
        <w:rPr>
          <w:rFonts w:hint="eastAsia" w:ascii="方正黑体_GBK" w:hAnsi="方正黑体_GBK" w:eastAsia="方正黑体_GBK" w:cs="方正黑体_GBK"/>
          <w:b w:val="0"/>
          <w:bCs w:val="0"/>
          <w:color w:val="auto"/>
          <w:sz w:val="30"/>
          <w:szCs w:val="30"/>
        </w:rPr>
        <w:t xml:space="preserve">六、成交</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25.确定成交单位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.1 成交候选供应商的确定原则和数量见谈判文件第五章。</w:t>
      </w:r>
      <w:r/>
    </w:p>
    <w:p>
      <w:pPr>
        <w:ind w:firstLine="420"/>
        <w:keepLines w:val="0"/>
        <w:keepNext w:val="0"/>
        <w:pageBreakBefore w:val="0"/>
        <w:spacing w:line="240" w:lineRule="auto"/>
        <w:widowControl w:val="off"/>
        <w:rPr>
          <w:rFonts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谈判小组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谈判小组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.3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.3.1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.3.2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.3.3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.3.4 不满足本谈判文件规定的实质性要求，但在评审过程中未被谈判小组发现。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.3.5 </w:t>
      </w:r>
      <w:r>
        <w:rPr>
          <w:rFonts w:hint="eastAsia" w:ascii="宋体" w:hAnsi="宋体" w:eastAsia="宋体" w:cs="Times New Roman"/>
          <w:color w:val="auto"/>
          <w:sz w:val="24"/>
          <w:szCs w:val="21"/>
          <w:lang w:val="en-US"/>
        </w:rPr>
        <w:t xml:space="preserve">采取不正当手段诋毁、排挤其他供应商。</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29" w:name="_Toc200451960"/>
      <w:r>
        <w:rPr>
          <w:rFonts w:hint="eastAsia" w:ascii="方正楷体_GBK" w:hAnsi="方正楷体_GBK" w:eastAsia="方正楷体_GBK" w:cs="方正楷体_GBK"/>
          <w:b/>
          <w:bCs/>
          <w:color w:val="auto"/>
          <w:sz w:val="28"/>
          <w:szCs w:val="28"/>
          <w:lang w:val="en-US" w:eastAsia="zh-CN"/>
        </w:rPr>
        <w:t xml:space="preserve">24.成交通知书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4</w:t>
      </w:r>
      <w:r>
        <w:rPr>
          <w:rFonts w:hint="eastAsia" w:ascii="宋体" w:hAnsi="宋体" w:eastAsia="宋体" w:cs="Times New Roman"/>
          <w:color w:val="auto"/>
          <w:sz w:val="24"/>
          <w:szCs w:val="21"/>
          <w:lang w:val="en-US" w:eastAsia="zh-CN"/>
        </w:rPr>
        <w:t xml:space="preserve">.1 成交结果确定后，采购人将向成交供应商发出《成交通知书》。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4</w:t>
      </w:r>
      <w:r>
        <w:rPr>
          <w:rFonts w:hint="eastAsia" w:ascii="宋体" w:hAnsi="宋体" w:eastAsia="宋体" w:cs="Times New Roman"/>
          <w:color w:val="auto"/>
          <w:sz w:val="24"/>
          <w:szCs w:val="21"/>
          <w:lang w:val="en-US" w:eastAsia="zh-CN"/>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25.签订合同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.l 成交供应商应当在《成交通知书》发出之日起三十日内，按照谈判文件确定的事项与采购人签订政府采购合同。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.2 谈判文件、成交供应商的响应文件及谈判过程中有关澄清、承诺文件均作为合同附件。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26.标的物的追加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6</w:t>
      </w:r>
      <w:r>
        <w:rPr>
          <w:rFonts w:hint="eastAsia" w:ascii="宋体" w:hAnsi="宋体" w:eastAsia="宋体" w:cs="Times New Roman"/>
          <w:color w:val="auto"/>
          <w:sz w:val="24"/>
          <w:szCs w:val="21"/>
          <w:lang w:val="en-US" w:eastAsia="zh-CN"/>
        </w:rPr>
        <w:t xml:space="preserve">.1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27.政府采购履约资金扶持政策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7</w:t>
      </w:r>
      <w:r>
        <w:rPr>
          <w:rFonts w:hint="eastAsia" w:ascii="宋体" w:hAnsi="宋体" w:eastAsia="宋体" w:cs="Times New Roman"/>
          <w:color w:val="auto"/>
          <w:sz w:val="24"/>
          <w:szCs w:val="21"/>
          <w:lang w:val="en-US" w:eastAsia="zh-CN"/>
        </w:rPr>
        <w:t xml:space="preserve">.1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color w:val="auto"/>
          <w:lang w:val="zh-CN"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bookmarkEnd w:id="129"/>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28</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w:t>
      </w:r>
      <w:r>
        <w:rPr>
          <w:rFonts w:hint="eastAsia" w:ascii="宋体" w:hAnsi="宋体" w:eastAsia="宋体" w:cs="Times New Roman"/>
          <w:color w:val="auto"/>
          <w:sz w:val="24"/>
          <w:lang w:val="en-US" w:eastAsia="zh-CN"/>
        </w:rPr>
        <w:t xml:space="preserve">收到成交结果通知</w:t>
      </w:r>
      <w:r>
        <w:rPr>
          <w:rFonts w:hint="eastAsia" w:ascii="宋体" w:hAnsi="宋体" w:eastAsia="宋体" w:cs="Times New Roman"/>
          <w:color w:val="auto"/>
          <w:sz w:val="24"/>
          <w:lang w:val="zh-CN"/>
        </w:rPr>
        <w:t xml:space="preserve">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供应商提出质疑应提交《质疑函》原件，《质疑函》应按照本谈判文件中《质疑函范本》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质疑答复主体提出质疑，具体详见谈判文件第一章。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ind w:firstLine="420"/>
        <w:jc w:val="both"/>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auto"/>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906"/>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19"/>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b w:val="0"/>
          <w:bCs w:val="0"/>
          <w:color w:val="auto"/>
          <w:sz w:val="24"/>
          <w:szCs w:val="22"/>
          <w:highlight w:val="none"/>
          <w:lang w:val="en-US" w:eastAsia="zh-CN" w:bidi="ar-SA"/>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宋体"/>
          <w:b/>
          <w:bCs/>
          <w:color w:val="auto"/>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2"/>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宋体"/>
          <w:b/>
          <w:bCs/>
          <w:color w:val="auto"/>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b w:val="0"/>
          <w:bCs w:val="0"/>
          <w:color w:val="auto"/>
          <w:sz w:val="24"/>
          <w:highlight w:val="none"/>
          <w:lang w:val="zh-CN" w:eastAsia="zh-CN"/>
        </w:rPr>
        <w:t xml:space="preserve">3</w:t>
      </w:r>
      <w:r>
        <w:rPr>
          <w:rFonts w:hint="eastAsia" w:ascii="宋体" w:hAnsi="宋体" w:eastAsia="宋体" w:cs="Times New Roman"/>
          <w:b w:val="0"/>
          <w:bCs w:val="0"/>
          <w:color w:val="auto"/>
          <w:sz w:val="24"/>
          <w:highlight w:val="none"/>
          <w:lang w:val="en-US" w:eastAsia="zh-CN"/>
        </w:rPr>
        <w:t xml:space="preserve">5</w:t>
      </w:r>
      <w:r>
        <w:rPr>
          <w:rFonts w:hint="eastAsia" w:ascii="宋体" w:hAnsi="宋体" w:eastAsia="宋体" w:cs="Times New Roman"/>
          <w:b w:val="0"/>
          <w:bCs w:val="0"/>
          <w:color w:val="auto"/>
          <w:sz w:val="24"/>
          <w:highlight w:val="none"/>
          <w:lang w:val="zh-CN" w:eastAsia="zh-CN"/>
        </w:rPr>
        <w:t xml:space="preserve">.</w:t>
      </w:r>
      <w:r>
        <w:rPr>
          <w:rFonts w:hint="eastAsia" w:ascii="宋体" w:hAnsi="宋体" w:eastAsia="宋体" w:cs="Times New Roman"/>
          <w:b w:val="0"/>
          <w:bCs w:val="0"/>
          <w:color w:val="auto"/>
          <w:sz w:val="24"/>
          <w:highlight w:val="none"/>
          <w:lang w:val="en-US" w:eastAsia="zh-CN"/>
        </w:rPr>
        <w:t xml:space="preserve">7</w:t>
      </w:r>
      <w:r>
        <w:rPr>
          <w:rFonts w:hint="eastAsia" w:ascii="宋体" w:hAnsi="宋体" w:eastAsia="宋体" w:cs="Times New Roman"/>
          <w:b w:val="0"/>
          <w:bCs w:val="0"/>
          <w:color w:val="auto"/>
          <w:sz w:val="24"/>
          <w:highlight w:val="none"/>
          <w:lang w:val="zh-CN" w:eastAsia="zh-CN"/>
        </w:rPr>
        <w:t xml:space="preserve"> 残疾人福利性单位</w:t>
      </w:r>
      <w:r>
        <w:rPr>
          <w:rFonts w:hint="eastAsia" w:ascii="宋体" w:hAnsi="宋体" w:eastAsia="宋体" w:cs="宋体"/>
          <w:b w:val="0"/>
          <w:bCs w:val="0"/>
          <w:color w:val="auto"/>
          <w:sz w:val="24"/>
          <w:szCs w:val="24"/>
          <w:highlight w:val="none"/>
        </w:rPr>
        <w:t xml:space="preserve">视同小型、微型企业</w:t>
      </w:r>
      <w:r>
        <w:rPr>
          <w:rFonts w:hint="eastAsia" w:ascii="宋体" w:hAnsi="宋体" w:eastAsia="宋体" w:cs="Times New Roman"/>
          <w:b w:val="0"/>
          <w:bCs w:val="0"/>
          <w:color w:val="auto"/>
          <w:sz w:val="24"/>
          <w:highlight w:val="none"/>
          <w:lang w:val="zh-CN" w:eastAsia="zh-CN"/>
        </w:rPr>
        <w:t xml:space="preserve">。</w:t>
      </w:r>
      <w:r>
        <w:rPr>
          <w:rFonts w:hint="eastAsia" w:ascii="宋体" w:hAnsi="宋体" w:eastAsia="宋体" w:cs="Times New Roman"/>
          <w:b w:val="0"/>
          <w:bCs w:val="0"/>
          <w:color w:val="auto"/>
          <w:sz w:val="24"/>
          <w:highlight w:val="none"/>
          <w:lang w:val="en-US" w:eastAsia="zh-CN"/>
        </w:rPr>
        <w:t xml:space="preserve">按照《关于促进残疾人就业政府采购政策的通知》（财库〔2017〕141号）规定，</w:t>
      </w:r>
      <w:r>
        <w:rPr>
          <w:rFonts w:hint="eastAsia" w:ascii="宋体" w:hAnsi="宋体" w:eastAsia="宋体" w:cs="宋体"/>
          <w:b w:val="0"/>
          <w:bCs w:val="0"/>
          <w:color w:val="auto"/>
          <w:sz w:val="24"/>
          <w:szCs w:val="24"/>
          <w:highlight w:val="none"/>
          <w:lang w:eastAsia="zh-CN"/>
        </w:rPr>
        <w:t xml:space="preserve">残疾人福利性单位</w:t>
      </w:r>
      <w:r>
        <w:rPr>
          <w:rFonts w:hint="eastAsia" w:ascii="宋体" w:hAnsi="宋体" w:eastAsia="宋体" w:cs="Times New Roman"/>
          <w:b w:val="0"/>
          <w:bCs w:val="0"/>
          <w:color w:val="auto"/>
          <w:sz w:val="24"/>
          <w:highlight w:val="none"/>
          <w:lang w:val="en-US" w:eastAsia="zh-CN"/>
        </w:rPr>
        <w:t xml:space="preserve">需</w:t>
      </w:r>
      <w:r>
        <w:rPr>
          <w:rFonts w:hint="eastAsia" w:ascii="宋体" w:hAnsi="宋体" w:eastAsia="宋体" w:cs="Times New Roman"/>
          <w:b w:val="0"/>
          <w:bCs w:val="0"/>
          <w:color w:val="auto"/>
          <w:sz w:val="24"/>
          <w:highlight w:val="none"/>
          <w:lang w:val="zh-CN" w:eastAsia="zh-CN"/>
        </w:rPr>
        <w:t xml:space="preserve">提供《残疾人福利性单位声明函》。</w:t>
      </w:r>
      <w:r/>
    </w:p>
    <w:p>
      <w:pPr>
        <w:pStyle w:val="908"/>
        <w:ind w:firstLine="422"/>
        <w:pageBreakBefore w:val="0"/>
        <w:spacing w:before="0" w:after="0" w:line="240" w:lineRule="auto"/>
        <w:rPr>
          <w:rFonts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6</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.3 采购产品</w:t>
      </w:r>
      <w:r>
        <w:rPr>
          <w:rFonts w:hint="eastAsia" w:ascii="宋体" w:hAnsi="宋体" w:eastAsia="宋体" w:cs="Times New Roman"/>
          <w:color w:val="auto"/>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lang w:val="en-US" w:eastAsia="zh-CN"/>
        </w:rPr>
        <w:t xml:space="preserve">第五章成交标准</w:t>
      </w:r>
      <w:r>
        <w:rPr>
          <w:rFonts w:hint="eastAsia" w:ascii="宋体" w:hAnsi="宋体" w:eastAsia="宋体" w:cs="Times New Roman"/>
          <w:color w:val="auto"/>
          <w:sz w:val="24"/>
          <w:lang w:val="zh-CN"/>
        </w:rPr>
        <w:t xml:space="preserve">）。</w:t>
      </w:r>
      <w:r/>
    </w:p>
    <w:p>
      <w:pPr>
        <w:pStyle w:val="908"/>
        <w:ind w:firstLine="422"/>
        <w:pageBreakBefore w:val="0"/>
        <w:spacing w:before="0" w:after="0" w:line="240" w:lineRule="auto"/>
        <w:rPr>
          <w:rFonts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37</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w:t>
      </w:r>
      <w:r>
        <w:rPr>
          <w:rFonts w:hint="eastAsia" w:ascii="宋体"/>
          <w:bCs/>
          <w:color w:val="auto"/>
          <w:sz w:val="24"/>
          <w:szCs w:val="24"/>
          <w:lang w:eastAsia="zh-CN"/>
        </w:rPr>
        <w:t xml:space="preserve">，</w:t>
      </w:r>
      <w:r>
        <w:rPr>
          <w:rFonts w:hint="eastAsia" w:ascii="宋体"/>
          <w:bCs/>
          <w:color w:val="auto"/>
          <w:sz w:val="24"/>
          <w:szCs w:val="24"/>
        </w:rPr>
        <w:t xml:space="preserve">政府采购合同中应当载明对供应商提供产品及相关快递服务的具体包装要求和履约验收相关条款</w:t>
      </w:r>
      <w:r>
        <w:rPr>
          <w:rFonts w:hint="eastAsia" w:ascii="宋体"/>
          <w:bCs/>
          <w:color w:val="auto"/>
          <w:sz w:val="24"/>
          <w:szCs w:val="24"/>
          <w:lang w:eastAsia="zh-CN"/>
        </w:rPr>
        <w:t xml:space="preserve">，</w:t>
      </w:r>
      <w:r>
        <w:rPr>
          <w:rFonts w:hint="eastAsia" w:ascii="宋体"/>
          <w:bCs/>
          <w:color w:val="auto"/>
          <w:sz w:val="24"/>
          <w:szCs w:val="24"/>
        </w:rPr>
        <w:t xml:space="preserve">供应商须严格执行</w:t>
      </w:r>
      <w:r>
        <w:rPr>
          <w:rFonts w:hint="eastAsia" w:ascii="宋体"/>
          <w:bCs/>
          <w:color w:val="auto"/>
          <w:sz w:val="24"/>
          <w:szCs w:val="24"/>
          <w:lang w:eastAsia="zh-CN"/>
        </w:rPr>
        <w:t xml:space="preserve">，</w:t>
      </w:r>
      <w:r>
        <w:rPr>
          <w:rFonts w:hint="eastAsia" w:ascii="宋体"/>
          <w:bCs/>
          <w:color w:val="auto"/>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w:t>
      </w: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908"/>
        <w:ind w:firstLine="422"/>
        <w:pageBreakBefore w:val="0"/>
        <w:spacing w:before="0" w:after="0" w:line="240" w:lineRule="auto"/>
        <w:rPr>
          <w:rFonts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38</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38</w:t>
      </w:r>
      <w:r>
        <w:rPr>
          <w:rFonts w:hint="eastAsia" w:ascii="宋体" w:hAnsi="宋体" w:eastAsia="宋体" w:cs="Times New Roman"/>
          <w:color w:val="auto"/>
          <w:sz w:val="24"/>
          <w:lang w:val="en-US" w:eastAsia="zh-CN"/>
        </w:rPr>
        <w:t xml:space="preserve">.1 优先采购各级政府部门公开发布的有效期内的创新产品、首台套等《目录》内的创新产品。创新产品自进入《目录》起2年内视同具备相应销售业绩。</w:t>
      </w:r>
      <w:r/>
    </w:p>
    <w:p>
      <w:pPr>
        <w:pStyle w:val="908"/>
        <w:ind w:firstLine="422"/>
        <w:pageBreakBefore w:val="0"/>
        <w:spacing w:before="0" w:after="0" w:line="240" w:lineRule="auto"/>
        <w:rPr>
          <w:rFonts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en-US" w:eastAsia="zh-CN"/>
        </w:rPr>
        <w:t xml:space="preserve">39.</w:t>
      </w:r>
      <w:r>
        <w:rPr>
          <w:rFonts w:hint="eastAsia" w:ascii="方正楷体_GBK" w:hAnsi="方正楷体_GBK" w:eastAsia="方正楷体_GBK" w:cs="方正楷体_GBK"/>
          <w:b/>
          <w:bCs/>
          <w:color w:val="auto"/>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39</w:t>
      </w:r>
      <w:r>
        <w:rPr>
          <w:rFonts w:hint="eastAsia" w:ascii="宋体" w:hAnsi="宋体" w:eastAsia="宋体" w:cs="Times New Roman"/>
          <w:color w:val="auto"/>
          <w:sz w:val="24"/>
          <w:lang w:val="en-US" w:eastAsia="zh-CN"/>
        </w:rPr>
        <w:t xml:space="preserve">.1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908"/>
        <w:ind w:firstLine="361"/>
        <w:spacing w:before="0" w:after="0" w:line="240" w:lineRule="auto"/>
        <w:rPr>
          <w:rFonts w:hint="eastAsia" w:ascii="宋体" w:hAnsi="宋体" w:eastAsia="宋体" w:cs="Times New Roman"/>
          <w:b w:val="0"/>
          <w:bCs w:val="0"/>
          <w:color w:val="auto"/>
          <w:sz w:val="24"/>
          <w:lang w:val="zh-CN" w:eastAsia="zh-CN"/>
        </w:rPr>
      </w:pPr>
      <w:r>
        <w:rPr>
          <w:rFonts w:hint="eastAsia" w:ascii="宋体" w:hAnsi="宋体" w:eastAsia="宋体" w:cs="Times New Roman"/>
          <w:b w:val="0"/>
          <w:bCs w:val="0"/>
          <w:color w:val="auto"/>
          <w:sz w:val="24"/>
          <w:lang w:val="en-US" w:eastAsia="zh-CN"/>
        </w:rPr>
        <w:t xml:space="preserve">39</w:t>
      </w:r>
      <w:r>
        <w:rPr>
          <w:rFonts w:hint="eastAsia" w:ascii="宋体" w:hAnsi="宋体" w:eastAsia="宋体" w:cs="Times New Roman"/>
          <w:b w:val="0"/>
          <w:bCs w:val="0"/>
          <w:color w:val="auto"/>
          <w:sz w:val="24"/>
          <w:lang w:val="en-US" w:eastAsia="zh-CN"/>
        </w:rPr>
        <w:t xml:space="preserve">.2 </w:t>
      </w:r>
      <w:r>
        <w:rPr>
          <w:rFonts w:hint="eastAsia" w:ascii="宋体" w:hAnsi="宋体" w:eastAsia="宋体" w:cs="Times New Roman"/>
          <w:b w:val="0"/>
          <w:bCs w:val="0"/>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8"/>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w:t>
      </w:r>
      <w:r>
        <w:rPr>
          <w:rFonts w:hint="eastAsia" w:ascii="方正楷体_GBK" w:hAnsi="方正楷体_GBK" w:eastAsia="方正楷体_GBK" w:cs="方正楷体_GBK"/>
          <w:color w:val="auto"/>
          <w:sz w:val="28"/>
          <w:lang w:val="en-US" w:eastAsia="zh-CN"/>
        </w:rPr>
        <w:t xml:space="preserve">0</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en-US" w:eastAsia="zh-CN"/>
        </w:rPr>
        <w:t xml:space="preserve">.4对本国产品的支持政策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w:t>
      </w:r>
      <w:r>
        <w:rPr>
          <w:rFonts w:hint="eastAsia" w:ascii="宋体" w:hAnsi="宋体" w:cs="Times New Roman"/>
          <w:b w:val="0"/>
          <w:bCs w:val="0"/>
          <w:color w:val="auto"/>
          <w:sz w:val="24"/>
          <w:highlight w:val="none"/>
          <w:lang w:val="en-US" w:eastAsia="zh-CN"/>
        </w:rPr>
        <w:t xml:space="preserve">0</w:t>
      </w:r>
      <w:r>
        <w:rPr>
          <w:rFonts w:hint="eastAsia" w:ascii="宋体" w:hAnsi="宋体" w:eastAsia="宋体" w:cs="Times New Roman"/>
          <w:b w:val="0"/>
          <w:bCs w:val="0"/>
          <w:color w:val="auto"/>
          <w:sz w:val="24"/>
          <w:highlight w:val="none"/>
          <w:lang w:val="en-US" w:eastAsia="zh-CN"/>
        </w:rPr>
        <w:t xml:space="preserve">.5政策执行要求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bookmarkEnd w:id="122"/>
      <w:bookmarkEnd w:id="123"/>
      <w:bookmarkEnd w:id="124"/>
      <w:bookmarkEnd w:id="125"/>
      <w:bookmarkEnd w:id="126"/>
      <w:bookmarkEnd w:id="127"/>
      <w:bookmarkEnd w:id="128"/>
      <w:r/>
    </w:p>
    <w:p>
      <w:pPr>
        <w:numPr>
          <w:ilvl w:val="0"/>
          <w:numId w:val="0"/>
        </w:numPr>
        <w:rPr>
          <w:rFonts w:hint="eastAsia" w:ascii="宋体" w:hAnsi="宋体" w:eastAsia="宋体" w:cs="Times New Roman"/>
          <w:bCs w:val="0"/>
          <w:color w:val="auto"/>
          <w:sz w:val="24"/>
          <w:szCs w:val="22"/>
          <w:lang w:val="zh-CN"/>
        </w:rPr>
      </w:pPr>
      <w:r/>
      <w:bookmarkStart w:id="130" w:name="_Hlt16619350"/>
      <w:r/>
      <w:bookmarkStart w:id="131" w:name="_Toc120614244"/>
      <w:r/>
      <w:bookmarkStart w:id="132" w:name="_Toc16938590"/>
      <w:r/>
      <w:bookmarkStart w:id="133" w:name="_Toc20823346"/>
      <w:r/>
      <w:bookmarkStart w:id="134" w:name="_Toc479757211"/>
      <w:r/>
      <w:bookmarkStart w:id="135" w:name="_Toc462564139"/>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lang w:val="en-US"/>
        </w:rPr>
        <w:t xml:space="preserve">第三章  合同文本</w:t>
      </w:r>
      <w:r/>
    </w:p>
    <w:p>
      <w:pPr>
        <w:ind w:firstLine="480"/>
        <w:keepLines w:val="0"/>
        <w:keepNext w:val="0"/>
        <w:pageBreakBefore w:val="0"/>
        <w:spacing w:line="240" w:lineRule="auto"/>
        <w:widowControl w:val="off"/>
        <w:rPr>
          <w:rFonts w:hint="eastAsia" w:ascii="宋体" w:hAnsi="宋体"/>
          <w:bCs/>
          <w:color w:val="auto"/>
          <w:sz w:val="24"/>
          <w:szCs w:val="21"/>
        </w:rPr>
      </w:pPr>
      <w:r/>
      <w:bookmarkStart w:id="136" w:name="_Toc513029243"/>
      <w:r/>
      <w:bookmarkStart w:id="137" w:name="_Toc20823315"/>
      <w:r/>
      <w:bookmarkStart w:id="138" w:name="_Toc16938559"/>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eastAsia="zh-CN"/>
        </w:rPr>
        <w:t xml:space="preserve">，</w:t>
      </w:r>
      <w:r>
        <w:rPr>
          <w:rFonts w:hint="eastAsia" w:ascii="宋体" w:hAnsi="宋体"/>
          <w:bCs/>
          <w:color w:val="auto"/>
          <w:sz w:val="24"/>
          <w:szCs w:val="21"/>
          <w:lang w:val="en-US" w:eastAsia="zh-CN"/>
        </w:rPr>
        <w:t xml:space="preserve">合同双方不得对谈判、响应文件内容作</w:t>
      </w:r>
      <w:r>
        <w:rPr>
          <w:rFonts w:hint="eastAsia" w:ascii="宋体" w:hAnsi="宋体"/>
          <w:bCs/>
          <w:color w:val="auto"/>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auto"/>
          <w:sz w:val="30"/>
          <w:szCs w:val="21"/>
        </w:rPr>
        <w:outlineLvl w:val="9"/>
      </w:pPr>
      <w:r>
        <w:rPr>
          <w:rFonts w:hint="eastAsia" w:ascii="宋体" w:hAnsi="宋体"/>
          <w:b/>
          <w:color w:val="auto"/>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lang w:eastAsia="zh-CN"/>
        </w:rPr>
        <w:outlineLvl w:val="9"/>
      </w:pPr>
      <w:r>
        <w:rPr>
          <w:rFonts w:hint="eastAsia" w:ascii="方正小标宋简体" w:hAnsi="方正小标宋简体" w:eastAsia="方正小标宋简体" w:cs="方正小标宋简体"/>
          <w:b w:val="0"/>
          <w:bCs/>
          <w:color w:val="auto"/>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ascii="宋体" w:hAnsi="宋体" w:eastAsia="宋体" w:cs="宋体"/>
          <w:color w:val="auto"/>
          <w:sz w:val="24"/>
          <w:szCs w:val="24"/>
          <w:u w:val="single"/>
          <w:lang w:val="en-US" w:eastAsia="zh-CN"/>
        </w:rPr>
        <w:t xml:space="preserve">                     </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竞争性谈判</w:t>
      </w:r>
      <w:r>
        <w:rPr>
          <w:rFonts w:ascii="宋体" w:hAnsi="宋体" w:cs="Courier New"/>
          <w:color w:val="auto"/>
          <w:sz w:val="24"/>
          <w:szCs w:val="24"/>
        </w:rPr>
        <w:t xml:space="preserve">结果</w:t>
      </w:r>
      <w:r>
        <w:rPr>
          <w:rFonts w:hint="eastAsia" w:ascii="宋体" w:hAnsi="宋体" w:cs="Courier New"/>
          <w:color w:val="auto"/>
          <w:sz w:val="24"/>
          <w:szCs w:val="24"/>
          <w:lang w:eastAsia="zh-CN"/>
        </w:rPr>
        <w:t xml:space="preserve">，</w:t>
      </w:r>
      <w:r>
        <w:rPr>
          <w:rFonts w:ascii="宋体" w:hAnsi="宋体" w:cs="Courier New"/>
          <w:color w:val="auto"/>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按谈判文件及响应文件执行。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谈判</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44"/>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谈判</w:t>
      </w:r>
      <w:r>
        <w:rPr>
          <w:rFonts w:hint="eastAsia" w:ascii="宋体" w:hAnsi="宋体" w:eastAsia="宋体" w:cs="Courier New"/>
          <w:color w:val="auto"/>
          <w:sz w:val="24"/>
          <w:szCs w:val="24"/>
        </w:rPr>
        <w:t xml:space="preserve">文件规定的时间向甲方提供</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签订合同时，乙方按照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10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40"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40"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jc w:val="left"/>
        <w:keepLines w:val="0"/>
        <w:keepNext w:val="0"/>
        <w:pageBreakBefore w:val="0"/>
        <w:spacing w:line="264" w:lineRule="auto"/>
        <w:widowControl w:val="off"/>
        <w:rPr>
          <w:rFonts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谈判</w:t>
      </w:r>
      <w:r>
        <w:rPr>
          <w:rFonts w:hint="eastAsia" w:ascii="宋体" w:hAnsi="宋体" w:eastAsia="宋体" w:cs="Courier New"/>
          <w:color w:val="auto"/>
          <w:sz w:val="24"/>
          <w:szCs w:val="24"/>
        </w:rPr>
        <w:t xml:space="preserve">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44"/>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94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合同签订后，乙方向甲方提供符合合同约定的履约保证金后，甲方支付合同总价款的50%作为预付款。</w:t>
      </w:r>
      <w:r/>
    </w:p>
    <w:p>
      <w:pPr>
        <w:pStyle w:val="94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货到验收合格设备正常运行，由最终用户单位签章的验收报告回执作为付款的依据，甲方收到供应商开具的合法有效发票后一次性付清余款。</w:t>
      </w:r>
      <w:r/>
    </w:p>
    <w:p>
      <w:pPr>
        <w:pStyle w:val="944"/>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944"/>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944"/>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乙方应根据实际使用量供货</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 w:val="0"/>
          <w:bCs/>
          <w:color w:val="auto"/>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谈判</w:t>
      </w:r>
      <w:r>
        <w:rPr>
          <w:rFonts w:hint="eastAsia" w:ascii="宋体" w:hAnsi="宋体" w:eastAsia="宋体" w:cs="Courier New"/>
          <w:color w:val="auto"/>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乙方提供的货物在质</w:t>
      </w:r>
      <w:r>
        <w:rPr>
          <w:rFonts w:hint="eastAsia" w:ascii="宋体" w:hAnsi="宋体" w:eastAsia="宋体" w:cs="Courier New"/>
          <w:color w:val="auto"/>
          <w:sz w:val="24"/>
          <w:szCs w:val="24"/>
          <w:lang w:val="en-US" w:eastAsia="zh-CN"/>
        </w:rPr>
        <w:t xml:space="preserve">保</w:t>
      </w:r>
      <w:r>
        <w:rPr>
          <w:rFonts w:hint="eastAsia" w:ascii="宋体" w:hAnsi="宋体" w:eastAsia="宋体" w:cs="Courier New"/>
          <w:color w:val="auto"/>
          <w:sz w:val="24"/>
          <w:szCs w:val="24"/>
        </w:rPr>
        <w:t xml:space="preserve">期内因货物本身的质量问题发生故障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乙方应负责免费更换。对达不到技术要求者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根据实际情况</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经双方协商可按以下</w:t>
      </w:r>
      <w:r>
        <w:rPr>
          <w:rFonts w:hint="eastAsia" w:ascii="宋体" w:hAnsi="宋体" w:eastAsia="宋体" w:cs="Courier New"/>
          <w:color w:val="auto"/>
          <w:sz w:val="24"/>
          <w:szCs w:val="24"/>
          <w:lang w:val="en-US" w:eastAsia="zh-CN"/>
        </w:rPr>
        <w:t xml:space="preserve">方式</w:t>
      </w:r>
      <w:r>
        <w:rPr>
          <w:rFonts w:hint="eastAsia" w:ascii="宋体" w:hAnsi="宋体" w:eastAsia="宋体" w:cs="Courier New"/>
          <w:color w:val="auto"/>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10.2.1 </w:t>
      </w:r>
      <w:r>
        <w:rPr>
          <w:rFonts w:hint="eastAsia" w:ascii="宋体" w:hAnsi="宋体" w:eastAsia="宋体" w:cs="Courier New"/>
          <w:color w:val="auto"/>
          <w:sz w:val="24"/>
          <w:szCs w:val="24"/>
        </w:rPr>
        <w:t xml:space="preserve">更换：由乙方承担所发生的全部费用</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10.2.2 </w:t>
      </w:r>
      <w:r>
        <w:rPr>
          <w:rFonts w:hint="eastAsia" w:ascii="宋体" w:hAnsi="宋体" w:eastAsia="宋体" w:cs="Courier New"/>
          <w:color w:val="auto"/>
          <w:sz w:val="24"/>
          <w:szCs w:val="24"/>
        </w:rPr>
        <w:t xml:space="preserve">贬值处理：由甲乙双方合议定价</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10.2.3 </w:t>
      </w:r>
      <w:r>
        <w:rPr>
          <w:rFonts w:hint="eastAsia" w:ascii="宋体" w:hAnsi="宋体" w:eastAsia="宋体" w:cs="Courier New"/>
          <w:color w:val="auto"/>
          <w:sz w:val="24"/>
          <w:szCs w:val="24"/>
        </w:rPr>
        <w:t xml:space="preserve">退货处理：乙方应退还甲方支付的合同款</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如在使用过程中发生质量问题</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在接到甲方通知后</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质保期为</w:t>
      </w:r>
      <w:r>
        <w:rPr>
          <w:rFonts w:hint="eastAsia" w:ascii="宋体" w:hAnsi="宋体" w:eastAsia="宋体" w:cs="Courier New"/>
          <w:color w:val="auto"/>
          <w:sz w:val="24"/>
          <w:szCs w:val="24"/>
          <w:u w:val="none"/>
        </w:rPr>
        <w:t xml:space="preserve">自交货验收合格之日起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年</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因人为因素出现的故障不在质保范围内。超过质保期的</w:t>
      </w:r>
      <w:r>
        <w:rPr>
          <w:rFonts w:hint="eastAsia" w:ascii="宋体" w:hAnsi="宋体" w:eastAsia="宋体" w:cs="Courier New"/>
          <w:color w:val="auto"/>
          <w:sz w:val="24"/>
          <w:szCs w:val="24"/>
          <w:lang w:val="en-US" w:eastAsia="zh-CN"/>
        </w:rPr>
        <w:t xml:space="preserve">乙方负责</w:t>
      </w:r>
      <w:r>
        <w:rPr>
          <w:rFonts w:hint="eastAsia" w:ascii="宋体" w:hAnsi="宋体" w:eastAsia="宋体" w:cs="Courier New"/>
          <w:color w:val="auto"/>
          <w:sz w:val="24"/>
          <w:szCs w:val="24"/>
        </w:rPr>
        <w:t xml:space="preserve">终生维修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维修时只收</w:t>
      </w:r>
      <w:r>
        <w:rPr>
          <w:rFonts w:hint="eastAsia" w:ascii="宋体" w:hAnsi="宋体" w:eastAsia="宋体" w:cs="Courier New"/>
          <w:color w:val="auto"/>
          <w:sz w:val="24"/>
          <w:szCs w:val="24"/>
          <w:lang w:val="en-US" w:eastAsia="zh-CN"/>
        </w:rPr>
        <w:t xml:space="preserve">取</w:t>
      </w:r>
      <w:r>
        <w:rPr>
          <w:rFonts w:hint="eastAsia" w:ascii="宋体" w:hAnsi="宋体" w:eastAsia="宋体" w:cs="Courier New"/>
          <w:color w:val="auto"/>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甲方在组织履约验收前</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将根据项目特点制定验收方案</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明确验收的时间、方式、程序等</w:t>
      </w:r>
      <w:r>
        <w:rPr>
          <w:rFonts w:hint="eastAsia" w:ascii="宋体" w:hAnsi="宋体" w:eastAsia="宋体" w:cs="Courier New"/>
          <w:color w:val="auto"/>
          <w:sz w:val="24"/>
          <w:szCs w:val="24"/>
          <w:lang w:eastAsia="zh-CN"/>
        </w:rPr>
        <w:t xml:space="preserve">内容，</w:t>
      </w:r>
      <w:r>
        <w:rPr>
          <w:rFonts w:hint="eastAsia" w:ascii="宋体" w:hAnsi="宋体" w:eastAsia="宋体" w:cs="Courier New"/>
          <w:color w:val="auto"/>
          <w:sz w:val="24"/>
          <w:szCs w:val="24"/>
        </w:rPr>
        <w:t xml:space="preserve">并可根据项目特点对服务期内的服务实施情况进行分期考核</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对于实际使用人和甲方分离的项目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如有必要</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w:t>
      </w:r>
      <w:r>
        <w:rPr>
          <w:rFonts w:hint="eastAsia" w:ascii="宋体" w:hAnsi="宋体" w:eastAsia="宋体" w:cs="Courier New"/>
          <w:color w:val="auto"/>
          <w:sz w:val="24"/>
          <w:szCs w:val="24"/>
          <w:lang w:val="en-US"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val="en-US" w:eastAsia="zh-CN"/>
        </w:rPr>
        <w:t xml:space="preserve">谈判</w:t>
      </w:r>
      <w:r>
        <w:rPr>
          <w:rFonts w:hint="eastAsia" w:ascii="宋体" w:hAnsi="宋体" w:eastAsia="宋体" w:cs="Courier New"/>
          <w:color w:val="auto"/>
          <w:sz w:val="24"/>
          <w:szCs w:val="24"/>
        </w:rPr>
        <w:t xml:space="preserve">的其他供应商或第三方专业机构及专家参与验收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相关意见将作为验收</w:t>
      </w:r>
      <w:r>
        <w:rPr>
          <w:rFonts w:hint="eastAsia" w:ascii="宋体" w:hAnsi="宋体" w:eastAsia="宋体" w:cs="Courier New"/>
          <w:color w:val="auto"/>
          <w:sz w:val="24"/>
          <w:szCs w:val="24"/>
          <w:lang w:val="en-US"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甲方成立验收小组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按照采购合同约定对乙方履约情况进行验收。验收时间、验收标准见</w:t>
      </w:r>
      <w:r>
        <w:rPr>
          <w:rFonts w:hint="eastAsia" w:ascii="宋体" w:hAnsi="宋体" w:eastAsia="宋体" w:cs="Courier New"/>
          <w:color w:val="auto"/>
          <w:sz w:val="24"/>
          <w:szCs w:val="24"/>
          <w:lang w:eastAsia="zh-CN"/>
        </w:rPr>
        <w:t xml:space="preserve">谈判</w:t>
      </w:r>
      <w:r>
        <w:rPr>
          <w:rFonts w:hint="eastAsia" w:ascii="宋体" w:hAnsi="宋体" w:eastAsia="宋体" w:cs="Courier New"/>
          <w:color w:val="auto"/>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列明各项标准的验收情况及项目总体评价</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val="en-US"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11.6</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甲方依法及时处理。采购合同的履行、违约责任和解决争议的方式等适用《</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12.</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乙方应在货物发运前对其进行满足运输距离、防潮、防震、防锈和防破损装卸等要求包装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乙方在货物发运手续办理完毕后24小时内或货到甲方48小时前通知甲方</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货物在规定的交付期限内由乙方送达甲方指定的地点视为交付</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甲方无正当理由拒收货物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的，应按逾期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总额每日</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向甲方支付违约金，由甲方从待付</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中扣除。逾期超过约定日期10个工作日不能</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的，甲方可解除本合同。乙方因逾期交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或因其他违约行为导致甲方解除合同的，应向甲方支付合同总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13.4 乙方所交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货物</w:t>
      </w:r>
      <w:r>
        <w:rPr>
          <w:rFonts w:hint="eastAsia" w:ascii="宋体" w:hAnsi="宋体" w:eastAsia="宋体" w:cs="Courier New"/>
          <w:color w:val="auto"/>
          <w:sz w:val="24"/>
          <w:szCs w:val="24"/>
          <w:lang w:val="en-US" w:eastAsia="zh-CN"/>
        </w:rPr>
        <w:t xml:space="preserve">或服务的</w:t>
      </w:r>
      <w:r>
        <w:rPr>
          <w:rFonts w:hint="eastAsia" w:ascii="宋体" w:hAnsi="宋体" w:eastAsia="宋体" w:cs="Courier New"/>
          <w:color w:val="auto"/>
          <w:sz w:val="24"/>
          <w:szCs w:val="24"/>
        </w:rPr>
        <w:t xml:space="preserve">品种、型号、规格、技术参数、质量不符合合同规定及</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文件规定标准的，甲方有权拒收该货物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，乙方愿意更换货物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但逾期交货的，按乙方逾期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处理。乙方拒绝更换货物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的，甲方可单方面解除合同。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 在合同有效期内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任何一方因不可抗力事件导致不能履行合同</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则合同履行期可延长</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 不可抗力事件发生后</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不可抗力事件延续120天以上</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15.1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甲乙双方因合同签订、履行而发生的一切争议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应通过友好协商解决。协商不成</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16.1 </w:t>
      </w:r>
      <w:r>
        <w:rPr>
          <w:rFonts w:hint="eastAsia" w:ascii="宋体" w:hAnsi="宋体" w:eastAsia="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遵照《</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16.3 本合同正本一式两份</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具有同等法律效力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甲方、乙方各执一份。</w:t>
      </w:r>
      <w:bookmarkEnd w:id="136"/>
      <w:bookmarkEnd w:id="137"/>
      <w:bookmarkEnd w:id="138"/>
      <w:r/>
    </w:p>
    <w:p>
      <w:pPr>
        <w:pStyle w:val="944"/>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44"/>
        <w:ind w:firstLine="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44"/>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p>
    <w:p>
      <w:pPr>
        <w:pStyle w:val="944"/>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44"/>
        <w:ind w:firstLine="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44"/>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44"/>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944"/>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w:t>
      </w:r>
      <w:r>
        <w:rPr>
          <w:rFonts w:hint="eastAsia" w:hAnsi="宋体"/>
          <w:color w:val="auto"/>
          <w:sz w:val="24"/>
          <w:szCs w:val="24"/>
          <w:highlight w:val="none"/>
          <w:lang w:eastAsia="zh-CN"/>
        </w:rPr>
        <w:t xml:space="preserve">谈判</w:t>
      </w:r>
      <w:r>
        <w:rPr>
          <w:rFonts w:hint="eastAsia" w:hAnsi="宋体"/>
          <w:color w:val="auto"/>
          <w:sz w:val="24"/>
          <w:szCs w:val="24"/>
          <w:highlight w:val="none"/>
        </w:rPr>
        <w:t xml:space="preserve">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color w:val="auto"/>
          <w:sz w:val="44"/>
          <w:szCs w:val="21"/>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lang w:val="en-US"/>
        </w:rPr>
        <w:t xml:space="preserve">第</w:t>
      </w:r>
      <w:bookmarkEnd w:id="130"/>
      <w:r>
        <w:rPr>
          <w:rFonts w:hint="eastAsia" w:ascii="方正小标宋简体" w:hAnsi="方正小标宋简体" w:eastAsia="方正小标宋简体" w:cs="方正小标宋简体"/>
          <w:color w:val="auto"/>
          <w:sz w:val="36"/>
          <w:szCs w:val="36"/>
          <w:lang w:val="en-US"/>
        </w:rPr>
        <w:t xml:space="preserve">四章 采购需求</w:t>
      </w:r>
      <w:bookmarkEnd w:id="131"/>
      <w:r/>
      <w:bookmarkEnd w:id="132"/>
      <w:r/>
      <w:bookmarkEnd w:id="133"/>
      <w:r/>
      <w:bookmarkStart w:id="139" w:name="_Toc26554093"/>
      <w:r/>
      <w:bookmarkStart w:id="140" w:name="_Toc49090575"/>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黑体" w:hAnsi="黑体" w:eastAsia="黑体" w:cs="黑体"/>
          <w:bCs w:val="0"/>
          <w:color w:val="auto"/>
          <w:sz w:val="24"/>
          <w:szCs w:val="24"/>
          <w:lang w:val="en-US" w:eastAsia="zh-CN"/>
        </w:rPr>
        <w:t xml:space="preserve">一、项目属性：</w:t>
      </w:r>
      <w:r>
        <w:rPr>
          <w:rFonts w:hint="eastAsia" w:ascii="宋体" w:hAnsi="宋体" w:eastAsia="宋体" w:cs="宋体"/>
          <w:b w:val="0"/>
          <w:bCs/>
          <w:color w:val="auto"/>
          <w:sz w:val="24"/>
          <w:szCs w:val="24"/>
          <w:highlight w:val="none"/>
          <w:lang w:val="en-US" w:eastAsia="zh-CN"/>
        </w:rPr>
        <w:t xml:space="preserve">货物类项目。</w:t>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为加强医疗设备集中采购管理，规范集中采购行为，严格采购过程控制和监管，发挥规模采购效应，结合实际，实施此项目。</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目属于市级集中采购医疗设备，按照统招分签的政府采购组织形式实施。需求单位依据本项目成交结果，按照分签原则，与成交供应商签订采购合同，明确采购标的、数量、质量、交货期、售后服务及违约责任等。</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1022"/>
        <w:tblW w:w="5026"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9"/>
        <w:gridCol w:w="2826"/>
        <w:gridCol w:w="722"/>
        <w:gridCol w:w="686"/>
        <w:gridCol w:w="1627"/>
        <w:gridCol w:w="1015"/>
        <w:gridCol w:w="1060"/>
        <w:gridCol w:w="1248"/>
      </w:tblGrid>
      <w:tr>
        <w:trPr>
          <w:trHeight w:val="688"/>
        </w:trPr>
        <w:tc>
          <w:tcPr>
            <w:tcW w:w="33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148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分项</w:t>
            </w:r>
            <w:r>
              <w:rPr>
                <w:rFonts w:hint="eastAsia" w:ascii="宋体" w:hAnsi="宋体" w:eastAsia="宋体" w:cs="宋体"/>
                <w:bCs/>
                <w:color w:val="auto"/>
                <w:sz w:val="24"/>
                <w:szCs w:val="24"/>
              </w:rPr>
              <w:t xml:space="preserve">名称</w:t>
            </w:r>
            <w:r/>
          </w:p>
        </w:tc>
        <w:tc>
          <w:tcPr>
            <w:tcW w:w="3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W w:w="36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单位</w:t>
            </w:r>
            <w:r/>
          </w:p>
        </w:tc>
        <w:tc>
          <w:tcPr>
            <w:tcW w:w="6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单价上限</w:t>
            </w:r>
            <w:r/>
          </w:p>
          <w:p>
            <w:pPr>
              <w:jc w:val="center"/>
              <w:keepLines w:val="0"/>
              <w:keepNext w:val="0"/>
              <w:pageBreakBefore w:val="0"/>
              <w:spacing w:line="264" w:lineRule="auto"/>
              <w:widowControl w:val="off"/>
              <w:rPr>
                <w:rFonts w:hint="eastAsia"/>
                <w:color w:val="auto"/>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元</w:t>
            </w:r>
            <w:r>
              <w:rPr>
                <w:rFonts w:hint="eastAsia" w:ascii="宋体" w:hAnsi="宋体" w:eastAsia="宋体" w:cs="宋体"/>
                <w:bCs/>
                <w:color w:val="auto"/>
                <w:sz w:val="24"/>
                <w:szCs w:val="24"/>
                <w:lang w:eastAsia="zh-CN"/>
              </w:rPr>
              <w:t xml:space="preserve">）</w:t>
            </w:r>
            <w:r/>
          </w:p>
        </w:tc>
        <w:tc>
          <w:tcPr>
            <w:tcW w:w="5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W w:w="55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所属</w:t>
            </w:r>
            <w:r>
              <w:rPr>
                <w:rFonts w:hint="eastAsia" w:ascii="宋体" w:hAnsi="宋体" w:eastAsia="宋体" w:cs="宋体"/>
                <w:bCs/>
                <w:color w:val="auto"/>
                <w:sz w:val="24"/>
                <w:szCs w:val="24"/>
                <w:lang w:eastAsia="zh-CN"/>
              </w:rPr>
              <w:t xml:space="preserve">行业</w:t>
            </w:r>
            <w:r/>
          </w:p>
        </w:tc>
        <w:tc>
          <w:tcPr>
            <w:tcW w:w="65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属性</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1487" w:type="dxa"/>
            <w:vAlign w:val="center"/>
            <w:textDirection w:val="lrTb"/>
            <w:noWrap w:val="false"/>
          </w:tcPr>
          <w:p>
            <w:pPr>
              <w:jc w:val="both"/>
              <w:rPr>
                <w:rFonts w:hint="eastAsia" w:ascii="宋体" w:hAnsi="宋体" w:eastAsia="宋体" w:cs="宋体"/>
                <w:bCs/>
                <w:color w:val="auto"/>
                <w:sz w:val="21"/>
                <w:szCs w:val="21"/>
              </w:rPr>
            </w:pPr>
            <w:r>
              <w:rPr>
                <w:rFonts w:hint="eastAsia"/>
                <w:color w:val="auto"/>
                <w:szCs w:val="21"/>
              </w:rPr>
              <w:t xml:space="preserve">7.0T磁共振成像系统</w:t>
            </w:r>
            <w:r/>
          </w:p>
        </w:tc>
        <w:tc>
          <w:tcPr>
            <w:tcW w:w="380" w:type="dxa"/>
            <w:vAlign w:val="center"/>
            <w:textDirection w:val="lrTb"/>
            <w:noWrap w:val="false"/>
          </w:tcPr>
          <w:p>
            <w:pPr>
              <w:jc w:val="center"/>
              <w:rPr>
                <w:rFonts w:hint="eastAsia" w:ascii="宋体" w:hAnsi="宋体" w:eastAsia="宋体" w:cs="宋体"/>
                <w:bCs/>
                <w:color w:val="auto"/>
                <w:sz w:val="21"/>
                <w:szCs w:val="21"/>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restart"/>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lang w:val="en-US" w:eastAsia="zh-CN"/>
              </w:rPr>
              <w:t xml:space="preserve">6600</w:t>
            </w:r>
            <w:r>
              <w:rPr>
                <w:rFonts w:hint="eastAsia" w:ascii="宋体" w:hAnsi="宋体" w:cs="宋体"/>
                <w:bCs/>
                <w:color w:val="auto"/>
                <w:sz w:val="21"/>
                <w:szCs w:val="21"/>
              </w:rPr>
              <w:t xml:space="preserve">0000</w:t>
            </w:r>
            <w:r/>
          </w:p>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rFonts w:hint="eastAsia"/>
                <w:color w:val="auto"/>
                <w:sz w:val="21"/>
                <w:szCs w:val="21"/>
              </w:rPr>
              <w:t xml:space="preserve">主要</w:t>
            </w:r>
            <w:r>
              <w:rPr>
                <w:color w:val="auto"/>
                <w:sz w:val="21"/>
                <w:szCs w:val="21"/>
              </w:rPr>
              <w:t xml:space="preserve">产品</w:t>
            </w:r>
            <w:r/>
          </w:p>
        </w:tc>
        <w:tc>
          <w:tcPr>
            <w:tcW w:w="558" w:type="dxa"/>
            <w:vAlign w:val="center"/>
            <w:textDirection w:val="lrTb"/>
            <w:noWrap w:val="false"/>
          </w:tcPr>
          <w:p>
            <w:pPr>
              <w:jc w:val="center"/>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rPr>
                <w:rFonts w:hint="eastAsia" w:ascii="宋体" w:hAnsi="宋体" w:eastAsia="宋体" w:cs="宋体"/>
                <w:bCs/>
                <w:color w:val="auto"/>
                <w:sz w:val="21"/>
                <w:szCs w:val="21"/>
                <w:lang w:eastAsia="zh-CN"/>
              </w:rPr>
            </w:pPr>
            <w:r>
              <w:rPr>
                <w:color w:val="auto"/>
                <w:sz w:val="21"/>
                <w:szCs w:val="21"/>
              </w:rPr>
              <w:t xml:space="preserve">货物</w:t>
            </w:r>
            <w:r/>
          </w:p>
        </w:tc>
      </w:tr>
      <w:tr>
        <w:trPr>
          <w:trHeight w:val="174"/>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1487" w:type="dxa"/>
            <w:vAlign w:val="center"/>
            <w:textDirection w:val="lrTb"/>
            <w:noWrap w:val="false"/>
          </w:tcPr>
          <w:p>
            <w:pPr>
              <w:jc w:val="both"/>
              <w:rPr>
                <w:rFonts w:hint="eastAsia" w:ascii="宋体" w:hAnsi="宋体" w:eastAsia="宋体" w:cs="宋体"/>
                <w:bCs/>
                <w:color w:val="auto"/>
                <w:sz w:val="21"/>
                <w:szCs w:val="21"/>
                <w:lang w:val="en-US" w:eastAsia="zh-CN" w:bidi="ar-SA"/>
              </w:rPr>
            </w:pPr>
            <w:r>
              <w:rPr>
                <w:color w:val="auto"/>
                <w:szCs w:val="21"/>
              </w:rPr>
              <w:t xml:space="preserve">原厂后处理高级工作站</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rFonts w:hint="eastAsia"/>
                <w:color w:val="auto"/>
                <w:sz w:val="21"/>
                <w:szCs w:val="21"/>
              </w:rPr>
              <w:t xml:space="preserve">2</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restart"/>
            <w:textDirection w:val="lrTb"/>
            <w:noWrap w:val="false"/>
          </w:tcPr>
          <w:p>
            <w:pPr>
              <w:jc w:val="center"/>
              <w:rPr>
                <w:rFonts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含在主系统中</w:t>
            </w:r>
            <w:r/>
          </w:p>
        </w:tc>
        <w:tc>
          <w:tcPr>
            <w:tcW w:w="558" w:type="dxa"/>
            <w:vAlign w:val="center"/>
            <w:textDirection w:val="lrTb"/>
            <w:noWrap w:val="false"/>
          </w:tcPr>
          <w:p>
            <w:pPr>
              <w:jc w:val="center"/>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rPr>
                <w:rFonts w:hint="eastAsia" w:ascii="宋体" w:hAnsi="宋体" w:eastAsia="宋体" w:cs="宋体"/>
                <w:bCs/>
                <w:color w:val="auto"/>
                <w:sz w:val="21"/>
                <w:szCs w:val="21"/>
              </w:rPr>
            </w:pPr>
            <w:r>
              <w:rPr>
                <w:color w:val="auto"/>
                <w:sz w:val="21"/>
                <w:szCs w:val="21"/>
              </w:rPr>
              <w:t xml:space="preserve">货物</w:t>
            </w:r>
            <w:r/>
          </w:p>
        </w:tc>
      </w:tr>
      <w:tr>
        <w:trPr>
          <w:trHeight w:val="388"/>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31P核素双调谐头颅多核线圈</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rPr>
            </w:pPr>
            <w:r>
              <w:rPr>
                <w:rFonts w:hint="eastAsia"/>
                <w:color w:val="auto"/>
                <w:sz w:val="21"/>
                <w:szCs w:val="21"/>
              </w:rPr>
              <w:t xml:space="preserve">货物</w:t>
            </w:r>
            <w:r/>
          </w:p>
        </w:tc>
      </w:tr>
      <w:tr>
        <w:trPr>
          <w:trHeight w:val="368"/>
        </w:trPr>
        <w:tc>
          <w:tcPr>
            <w:tcW w:w="331" w:type="dxa"/>
            <w:vAlign w:val="center"/>
            <w:textDirection w:val="lrTb"/>
            <w:noWrap w:val="false"/>
          </w:tcPr>
          <w:p>
            <w:pPr>
              <w:jc w:val="center"/>
              <w:keepLines w:val="0"/>
              <w:keepNext w:val="0"/>
              <w:widowControl/>
              <w:rPr>
                <w:rFonts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1487" w:type="dxa"/>
            <w:vAlign w:val="center"/>
            <w:textDirection w:val="lrTb"/>
            <w:noWrap w:val="false"/>
          </w:tcPr>
          <w:p>
            <w:pPr>
              <w:widowControl/>
              <w:rPr>
                <w:rFonts w:hint="eastAsia" w:ascii="宋体" w:hAnsi="宋体" w:eastAsia="宋体" w:cs="宋体"/>
                <w:bCs/>
                <w:color w:val="auto"/>
                <w:sz w:val="21"/>
                <w:szCs w:val="21"/>
                <w:lang w:eastAsia="zh-CN"/>
              </w:rPr>
            </w:pPr>
            <w:r>
              <w:rPr>
                <w:rFonts w:hint="eastAsia" w:ascii="宋体" w:hAnsi="宋体" w:cs="宋体"/>
                <w:color w:val="auto"/>
                <w:sz w:val="21"/>
                <w:szCs w:val="21"/>
                <w:lang w:bidi="ar"/>
              </w:rPr>
              <w:t xml:space="preserve">23Na核素双调谐头颅多核线圈</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bidi="ar-SA"/>
              </w:rPr>
            </w:pPr>
            <w:r>
              <w:rPr>
                <w:rFonts w:hint="eastAsia"/>
                <w:color w:val="auto"/>
                <w:sz w:val="21"/>
                <w:szCs w:val="21"/>
              </w:rPr>
              <w:t xml:space="preserve">货物</w:t>
            </w:r>
            <w:r/>
          </w:p>
        </w:tc>
      </w:tr>
      <w:tr>
        <w:trPr>
          <w:trHeight w:val="398"/>
        </w:trPr>
        <w:tc>
          <w:tcPr>
            <w:tcW w:w="331" w:type="dxa"/>
            <w:vAlign w:val="center"/>
            <w:textDirection w:val="lrTb"/>
            <w:noWrap w:val="false"/>
          </w:tcPr>
          <w:p>
            <w:pPr>
              <w:jc w:val="center"/>
              <w:keepLines w:val="0"/>
              <w:keepNext w:val="0"/>
              <w:widowControl/>
              <w:rPr>
                <w:rFonts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W w:w="1487" w:type="dxa"/>
            <w:vAlign w:val="center"/>
            <w:textDirection w:val="lrTb"/>
            <w:noWrap w:val="false"/>
          </w:tcPr>
          <w:p>
            <w:pPr>
              <w:widowControl/>
              <w:rPr>
                <w:rFonts w:hint="eastAsia" w:ascii="宋体" w:hAnsi="宋体" w:eastAsia="宋体" w:cs="宋体"/>
                <w:bCs/>
                <w:color w:val="auto"/>
                <w:sz w:val="21"/>
                <w:szCs w:val="21"/>
                <w:lang w:eastAsia="zh-CN"/>
              </w:rPr>
            </w:pPr>
            <w:r>
              <w:rPr>
                <w:rFonts w:hint="eastAsia" w:ascii="宋体" w:hAnsi="宋体" w:cs="宋体"/>
                <w:color w:val="auto"/>
                <w:sz w:val="21"/>
                <w:szCs w:val="21"/>
                <w:lang w:bidi="ar"/>
              </w:rPr>
              <w:t xml:space="preserve">2H核素的双调谐头颅多核线圈</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bidi="ar-SA"/>
              </w:rPr>
            </w:pPr>
            <w:r>
              <w:rPr>
                <w:rFonts w:hint="eastAsia"/>
                <w:color w:val="auto"/>
                <w:sz w:val="21"/>
                <w:szCs w:val="21"/>
              </w:rPr>
              <w:t xml:space="preserve">货物</w:t>
            </w:r>
            <w:r/>
          </w:p>
        </w:tc>
      </w:tr>
      <w:tr>
        <w:trPr>
          <w:trHeight w:val="128"/>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水冷机组</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228"/>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精密空调</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348"/>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val="en-US" w:eastAsia="zh-CN" w:bidi="ar"/>
              </w:rPr>
              <w:t xml:space="preserve">稳压</w:t>
            </w:r>
            <w:r>
              <w:rPr>
                <w:rFonts w:hint="eastAsia" w:ascii="宋体" w:hAnsi="宋体" w:cs="宋体"/>
                <w:color w:val="auto"/>
                <w:sz w:val="21"/>
                <w:szCs w:val="21"/>
                <w:lang w:bidi="ar"/>
              </w:rPr>
              <w:t xml:space="preserve">电源</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254"/>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患者视频监控系统</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vMerge w:val="continue"/>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34" w:type="dxa"/>
            <w:vAlign w:val="center"/>
            <w:vMerge w:val="continue"/>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254"/>
        </w:trPr>
        <w:tc>
          <w:tcPr>
            <w:tcW w:w="331" w:type="dxa"/>
            <w:vAlign w:val="center"/>
            <w:textDirection w:val="lrTb"/>
            <w:noWrap w:val="false"/>
          </w:tcPr>
          <w:p>
            <w:pPr>
              <w:jc w:val="center"/>
              <w:keepLines w:val="0"/>
              <w:keepNext w:val="0"/>
              <w:widowControl/>
              <w:rPr>
                <w:rFonts w:ascii="宋体" w:hAnsi="宋体" w:eastAsia="宋体" w:cs="宋体"/>
                <w:bCs/>
                <w:color w:val="auto"/>
                <w:sz w:val="21"/>
                <w:szCs w:val="21"/>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氘-标记的葡萄糖</w:t>
            </w:r>
            <w:r>
              <w:rPr>
                <w:rFonts w:hint="eastAsia" w:ascii="宋体" w:hAnsi="宋体" w:cs="宋体"/>
                <w:color w:val="auto"/>
                <w:sz w:val="21"/>
                <w:szCs w:val="21"/>
                <w:lang w:val="en-US" w:eastAsia="zh-CN" w:bidi="ar"/>
              </w:rPr>
              <w:t xml:space="preserve">（≥40g/人份）</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人份</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bidi="ar-SA"/>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脑功刺激仪</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300000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磁共振专用双立柱式铁磁探测系统</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200000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磁共振信号检测仪</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台</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1200000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254"/>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无磁高压注射器</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台</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350000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AED</w:t>
            </w:r>
            <w:r>
              <w:rPr>
                <w:rFonts w:hint="eastAsia" w:ascii="宋体" w:hAnsi="宋体" w:cs="宋体"/>
                <w:color w:val="auto"/>
                <w:sz w:val="21"/>
                <w:szCs w:val="21"/>
                <w:lang w:val="en-US" w:eastAsia="zh-CN" w:bidi="ar"/>
              </w:rPr>
              <w:t xml:space="preserve">设备</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台</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70000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174"/>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无磁转运车辆</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辆</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无磁轮椅</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个</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无磁灭火器</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10000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无磁消毒仪</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台</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线圈专用储存车辆</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辆</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10000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线圈支架</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1</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个</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10000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top"/>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212"/>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磁共振机房及相关环境改造</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1800000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488"/>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W w:w="1487" w:type="dxa"/>
            <w:vAlign w:val="center"/>
            <w:textDirection w:val="lrTb"/>
            <w:noWrap w:val="false"/>
          </w:tcPr>
          <w:p>
            <w:pPr>
              <w:jc w:val="left"/>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医用6M诊断显示器（含质控模块）</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 xml:space="preserve">20</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台</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rPr>
              <w:t xml:space="preserve">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255"/>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W w:w="1487" w:type="dxa"/>
            <w:vAlign w:val="center"/>
            <w:textDirection w:val="lrTb"/>
            <w:noWrap w:val="false"/>
          </w:tcPr>
          <w:p>
            <w:pPr>
              <w:jc w:val="left"/>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人体电动升降工学工位及配套电脑、显示器</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20</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15</w:t>
            </w:r>
            <w:r>
              <w:rPr>
                <w:rFonts w:hint="eastAsia" w:ascii="宋体" w:hAnsi="宋体" w:cs="宋体"/>
                <w:bCs/>
                <w:color w:val="auto"/>
                <w:sz w:val="21"/>
                <w:szCs w:val="21"/>
              </w:rPr>
              <w:t xml:space="preserve">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477"/>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激光投影仪及配套台式电脑、显示器、手提电脑</w:t>
            </w:r>
            <w:r/>
          </w:p>
        </w:tc>
        <w:tc>
          <w:tcPr>
            <w:tcW w:w="380" w:type="dxa"/>
            <w:vAlign w:val="center"/>
            <w:textDirection w:val="lrTb"/>
            <w:noWrap w:val="false"/>
          </w:tcPr>
          <w:p>
            <w:pPr>
              <w:jc w:val="center"/>
              <w:spacing w:line="264" w:lineRule="auto"/>
              <w:rPr>
                <w:rFonts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1</w:t>
            </w:r>
            <w:r/>
          </w:p>
        </w:tc>
        <w:tc>
          <w:tcPr>
            <w:tcW w:w="361" w:type="dxa"/>
            <w:vAlign w:val="center"/>
            <w:textDirection w:val="lrTb"/>
            <w:noWrap w:val="false"/>
          </w:tcPr>
          <w:p>
            <w:pPr>
              <w:jc w:val="center"/>
              <w:spacing w:line="264" w:lineRule="auto"/>
              <w:rPr>
                <w:rFonts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W w:w="1487" w:type="dxa"/>
            <w:vAlign w:val="center"/>
            <w:textDirection w:val="lrTb"/>
            <w:noWrap w:val="false"/>
          </w:tcPr>
          <w:p>
            <w:pPr>
              <w:jc w:val="left"/>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高端服务器</w:t>
            </w:r>
            <w:r/>
          </w:p>
        </w:tc>
        <w:tc>
          <w:tcPr>
            <w:tcW w:w="38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2</w:t>
            </w:r>
            <w:r/>
          </w:p>
        </w:tc>
        <w:tc>
          <w:tcPr>
            <w:tcW w:w="361"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color w:val="auto"/>
                <w:sz w:val="21"/>
                <w:szCs w:val="21"/>
                <w:lang w:bidi="ar"/>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25</w:t>
            </w:r>
            <w:r>
              <w:rPr>
                <w:rFonts w:hint="eastAsia" w:ascii="宋体" w:hAnsi="宋体" w:cs="宋体"/>
                <w:bCs/>
                <w:color w:val="auto"/>
                <w:sz w:val="21"/>
                <w:szCs w:val="21"/>
              </w:rPr>
              <w:t xml:space="preserve">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197"/>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科室管理系统软件</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200000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结构化影像教学系统</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W w:w="1487" w:type="dxa"/>
            <w:vAlign w:val="center"/>
            <w:textDirection w:val="lrTb"/>
            <w:noWrap w:val="false"/>
          </w:tcPr>
          <w:p>
            <w:pPr>
              <w:jc w:val="left"/>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人工智能辅助诊断软件</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1500000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90"/>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影像诊断质控软件</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r>
        <w:trPr>
          <w:trHeight w:val="108"/>
        </w:trPr>
        <w:tc>
          <w:tcPr>
            <w:tcW w:w="331" w:type="dxa"/>
            <w:vAlign w:val="center"/>
            <w:textDirection w:val="lrTb"/>
            <w:noWrap w:val="false"/>
          </w:tcPr>
          <w:p>
            <w:pPr>
              <w:jc w:val="center"/>
              <w:keepLines w:val="0"/>
              <w:keepNext w:val="0"/>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W w:w="1487" w:type="dxa"/>
            <w:vAlign w:val="center"/>
            <w:textDirection w:val="lrTb"/>
            <w:noWrap w:val="false"/>
          </w:tcPr>
          <w:p>
            <w:pPr>
              <w:widowControl/>
              <w:rPr>
                <w:rFonts w:hint="eastAsia" w:ascii="宋体" w:hAnsi="宋体" w:eastAsia="宋体" w:cs="宋体"/>
                <w:bCs/>
                <w:color w:val="auto"/>
                <w:sz w:val="21"/>
                <w:szCs w:val="21"/>
                <w:lang w:val="en-US" w:eastAsia="zh-CN"/>
              </w:rPr>
            </w:pPr>
            <w:r>
              <w:rPr>
                <w:rFonts w:hint="eastAsia" w:ascii="宋体" w:hAnsi="宋体" w:cs="宋体"/>
                <w:color w:val="auto"/>
                <w:sz w:val="21"/>
                <w:szCs w:val="21"/>
                <w:lang w:bidi="ar"/>
              </w:rPr>
              <w:t xml:space="preserve">智能医学研究辅助平台</w:t>
            </w:r>
            <w:r/>
          </w:p>
        </w:tc>
        <w:tc>
          <w:tcPr>
            <w:tcW w:w="380"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color w:val="auto"/>
                <w:sz w:val="21"/>
                <w:szCs w:val="21"/>
              </w:rPr>
              <w:t xml:space="preserve">1</w:t>
            </w:r>
            <w:r/>
          </w:p>
        </w:tc>
        <w:tc>
          <w:tcPr>
            <w:tcW w:w="361" w:type="dxa"/>
            <w:vAlign w:val="center"/>
            <w:textDirection w:val="lrTb"/>
            <w:noWrap w:val="false"/>
          </w:tcPr>
          <w:p>
            <w:pPr>
              <w:jc w:val="center"/>
              <w:rPr>
                <w:rFonts w:hint="eastAsia" w:ascii="宋体" w:hAnsi="宋体" w:eastAsia="宋体" w:cs="宋体"/>
                <w:bCs/>
                <w:color w:val="auto"/>
                <w:sz w:val="21"/>
                <w:szCs w:val="21"/>
                <w:lang w:val="en-US" w:eastAsia="zh-CN" w:bidi="ar-SA"/>
              </w:rPr>
            </w:pPr>
            <w:r>
              <w:rPr>
                <w:color w:val="auto"/>
                <w:sz w:val="21"/>
                <w:szCs w:val="21"/>
              </w:rPr>
              <w:t xml:space="preserve">套</w:t>
            </w:r>
            <w:r/>
          </w:p>
        </w:tc>
        <w:tc>
          <w:tcPr>
            <w:tcW w:w="690"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rPr>
              <w:t xml:space="preserve">500000</w:t>
            </w:r>
            <w:r/>
          </w:p>
        </w:tc>
        <w:tc>
          <w:tcPr>
            <w:tcW w:w="534" w:type="dxa"/>
            <w:vAlign w:val="center"/>
            <w:textDirection w:val="lrTb"/>
            <w:noWrap w:val="false"/>
          </w:tcPr>
          <w:p>
            <w:pPr>
              <w:jc w:val="center"/>
              <w:spacing w:line="264"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558"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color w:val="auto"/>
                <w:sz w:val="21"/>
                <w:szCs w:val="21"/>
              </w:rPr>
              <w:t xml:space="preserve">工业</w:t>
            </w:r>
            <w:r/>
          </w:p>
        </w:tc>
        <w:tc>
          <w:tcPr>
            <w:tcW w:w="657" w:type="dxa"/>
            <w:vAlign w:val="center"/>
            <w:textDirection w:val="lrTb"/>
            <w:noWrap w:val="false"/>
          </w:tcPr>
          <w:p>
            <w:pPr>
              <w:jc w:val="center"/>
              <w:spacing w:line="264" w:lineRule="auto"/>
              <w:rPr>
                <w:rFonts w:hint="eastAsia" w:ascii="宋体" w:hAnsi="宋体" w:eastAsia="宋体" w:cs="宋体"/>
                <w:bCs/>
                <w:color w:val="auto"/>
                <w:sz w:val="21"/>
                <w:szCs w:val="21"/>
                <w:lang w:val="en-US" w:eastAsia="zh-CN"/>
              </w:rPr>
            </w:pPr>
            <w:r>
              <w:rPr>
                <w:rFonts w:hint="eastAsia"/>
                <w:color w:val="auto"/>
                <w:sz w:val="21"/>
                <w:szCs w:val="21"/>
              </w:rPr>
              <w:t xml:space="preserve">货物</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726"/>
        <w:tblW w:w="9737"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6"/>
        <w:gridCol w:w="5916"/>
        <w:gridCol w:w="2945"/>
      </w:tblGrid>
      <w:tr>
        <w:trPr/>
        <w:tc>
          <w:tcPr>
            <w:tcW w:w="87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591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产品</w:t>
            </w:r>
            <w:r>
              <w:rPr>
                <w:rFonts w:hint="eastAsia" w:ascii="宋体" w:hAnsi="宋体" w:eastAsia="宋体" w:cs="宋体"/>
                <w:b/>
                <w:bCs w:val="0"/>
                <w:color w:val="auto"/>
                <w:sz w:val="24"/>
                <w:szCs w:val="24"/>
                <w:lang w:eastAsia="zh-CN"/>
              </w:rPr>
              <w:t xml:space="preserve">名称</w:t>
            </w:r>
            <w:r/>
          </w:p>
        </w:tc>
        <w:tc>
          <w:tcPr>
            <w:tcW w:w="29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功能、性能、配置要求</w:t>
            </w:r>
            <w:r>
              <w:rPr>
                <w:rFonts w:hint="eastAsia" w:ascii="宋体" w:hAnsi="宋体" w:eastAsia="宋体" w:cs="宋体"/>
                <w:b/>
                <w:bCs w:val="0"/>
                <w:color w:val="auto"/>
                <w:sz w:val="24"/>
                <w:szCs w:val="24"/>
                <w:lang w:val="en-US" w:eastAsia="zh-CN"/>
              </w:rPr>
              <w:t xml:space="preserve">不低于以下要求</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rPr>
            </w:pPr>
            <w:r>
              <w:rPr>
                <w:rFonts w:hint="eastAsia"/>
                <w:color w:val="auto"/>
                <w:lang w:val="en-US" w:eastAsia="zh-CN"/>
              </w:rPr>
              <w:t xml:space="preserve">一</w:t>
            </w:r>
            <w:r/>
          </w:p>
        </w:tc>
        <w:tc>
          <w:tcPr>
            <w:tcW w:w="5916" w:type="dxa"/>
            <w:vAlign w:val="center"/>
            <w:textDirection w:val="lrTb"/>
            <w:noWrap w:val="false"/>
          </w:tcPr>
          <w:p>
            <w:pPr>
              <w:rPr>
                <w:rFonts w:hint="eastAsia" w:ascii="宋体" w:hAnsi="宋体" w:eastAsia="宋体" w:cs="宋体"/>
                <w:bCs/>
                <w:color w:val="auto"/>
                <w:sz w:val="24"/>
                <w:szCs w:val="24"/>
                <w:lang w:eastAsia="zh-CN"/>
              </w:rPr>
            </w:pPr>
            <w:r>
              <w:rPr>
                <w:rFonts w:hint="eastAsia" w:ascii="宋体" w:hAnsi="宋体" w:cs="Calibri"/>
                <w:color w:val="auto"/>
              </w:rPr>
              <w:t xml:space="preserve">磁体系统</w:t>
            </w:r>
            <w:r/>
          </w:p>
        </w:tc>
        <w:tc>
          <w:tcPr>
            <w:tcW w:w="2945" w:type="dxa"/>
            <w:vAlign w:val="center"/>
            <w:textDirection w:val="lrTb"/>
            <w:noWrap w:val="false"/>
          </w:tcPr>
          <w:p>
            <w:pP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rPr>
            </w:pPr>
            <w:r>
              <w:rPr>
                <w:rFonts w:hint="eastAsia" w:ascii="Segoe UI Symbol" w:hAnsi="Segoe UI Symbol" w:eastAsia="Times New Roman" w:cs="Segoe UI Symbol"/>
                <w:color w:val="auto"/>
                <w:sz w:val="21"/>
                <w:szCs w:val="21"/>
                <w:lang w:val="en-US" w:eastAsia="zh-CN"/>
              </w:rPr>
              <w:t xml:space="preserve">▲</w:t>
            </w:r>
            <w:r>
              <w:rPr>
                <w:rFonts w:eastAsia="Times New Roman"/>
                <w:color w:val="auto"/>
                <w:sz w:val="21"/>
                <w:szCs w:val="21"/>
              </w:rPr>
              <w:t xml:space="preserve">1.1</w:t>
            </w:r>
            <w:r/>
          </w:p>
        </w:tc>
        <w:tc>
          <w:tcPr>
            <w:tcW w:w="5916" w:type="dxa"/>
            <w:vAlign w:val="center"/>
            <w:textDirection w:val="lrTb"/>
            <w:noWrap w:val="false"/>
          </w:tcPr>
          <w:p>
            <w:pPr>
              <w:rPr>
                <w:rFonts w:hint="eastAsia" w:ascii="宋体" w:hAnsi="宋体" w:eastAsia="宋体" w:cs="宋体"/>
                <w:bCs/>
                <w:color w:val="auto"/>
                <w:sz w:val="24"/>
                <w:szCs w:val="24"/>
                <w:lang w:eastAsia="zh-CN"/>
              </w:rPr>
            </w:pPr>
            <w:r>
              <w:rPr>
                <w:rFonts w:hint="eastAsia" w:ascii="宋体" w:hAnsi="宋体" w:cs="宋体"/>
                <w:color w:val="auto"/>
                <w:sz w:val="21"/>
                <w:szCs w:val="21"/>
              </w:rPr>
              <w:t xml:space="preserve">磁场强度（</w:t>
            </w:r>
            <w:r>
              <w:rPr>
                <w:rFonts w:eastAsia="Times New Roman"/>
                <w:color w:val="auto"/>
                <w:sz w:val="21"/>
                <w:szCs w:val="21"/>
              </w:rPr>
              <w:t xml:space="preserve">T</w:t>
            </w:r>
            <w:r>
              <w:rPr>
                <w:rFonts w:hint="eastAsia" w:ascii="宋体" w:hAnsi="宋体"/>
                <w:color w:val="auto"/>
                <w:sz w:val="21"/>
                <w:szCs w:val="21"/>
              </w:rPr>
              <w:t xml:space="preserve">）</w:t>
            </w:r>
            <w:r/>
          </w:p>
        </w:tc>
        <w:tc>
          <w:tcPr>
            <w:tcW w:w="2945" w:type="dxa"/>
            <w:vAlign w:val="center"/>
            <w:textDirection w:val="lrTb"/>
            <w:noWrap w:val="false"/>
          </w:tcPr>
          <w:p>
            <w:pPr>
              <w:rPr>
                <w:rFonts w:hint="eastAsia" w:ascii="宋体" w:hAnsi="宋体" w:eastAsia="宋体" w:cs="宋体"/>
                <w:color w:val="auto"/>
                <w:szCs w:val="21"/>
                <w:lang w:val="en-US" w:eastAsia="zh-CN"/>
              </w:rPr>
            </w:pPr>
            <w:r>
              <w:rPr>
                <w:rFonts w:hint="eastAsia" w:ascii="宋体" w:hAnsi="宋体" w:eastAsia="宋体" w:cs="宋体"/>
                <w:color w:val="auto"/>
                <w:sz w:val="21"/>
                <w:szCs w:val="21"/>
              </w:rPr>
              <w:t xml:space="preserve">≥7.0</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rPr>
            </w:pPr>
            <w:r>
              <w:rPr>
                <w:rFonts w:eastAsia="Times New Roman"/>
                <w:color w:val="auto"/>
                <w:sz w:val="21"/>
                <w:szCs w:val="21"/>
              </w:rPr>
              <w:t xml:space="preserve">1.2</w:t>
            </w:r>
            <w:r/>
          </w:p>
        </w:tc>
        <w:tc>
          <w:tcPr>
            <w:tcW w:w="5916" w:type="dxa"/>
            <w:vAlign w:val="center"/>
            <w:textDirection w:val="lrTb"/>
            <w:noWrap w:val="false"/>
          </w:tcPr>
          <w:p>
            <w:pPr>
              <w:rPr>
                <w:rFonts w:hint="eastAsia" w:ascii="宋体" w:hAnsi="宋体" w:eastAsia="宋体" w:cs="宋体"/>
                <w:bCs/>
                <w:color w:val="auto"/>
                <w:sz w:val="24"/>
                <w:szCs w:val="24"/>
                <w:lang w:eastAsia="zh-CN"/>
              </w:rPr>
            </w:pPr>
            <w:r>
              <w:rPr>
                <w:rFonts w:hint="eastAsia" w:ascii="宋体" w:hAnsi="宋体" w:cs="宋体"/>
                <w:color w:val="auto"/>
                <w:sz w:val="21"/>
                <w:szCs w:val="21"/>
              </w:rPr>
              <w:t xml:space="preserve">磁场类型</w:t>
            </w:r>
            <w:r/>
          </w:p>
        </w:tc>
        <w:tc>
          <w:tcPr>
            <w:tcW w:w="2945"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 w:val="21"/>
                <w:szCs w:val="21"/>
              </w:rPr>
              <w:t xml:space="preserve">超导磁体</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屏蔽方式</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主动屏蔽</w:t>
            </w:r>
            <w:r/>
          </w:p>
        </w:tc>
      </w:tr>
      <w:tr>
        <w:trPr>
          <w:cantSplit/>
          <w:trHeight w:val="228"/>
        </w:trPr>
        <w:tc>
          <w:tcPr>
            <w:tcW w:w="876" w:type="dxa"/>
            <w:vAlign w:val="center"/>
            <w:textDirection w:val="lrTb"/>
            <w:noWrap w:val="false"/>
          </w:tcPr>
          <w:p>
            <w:pPr>
              <w:ind w:right="-55"/>
              <w:jc w:val="center"/>
              <w:rPr>
                <w:rFonts w:ascii="宋体" w:hAnsi="宋体" w:eastAsia="宋体" w:cs="宋体"/>
                <w:bCs/>
                <w:color w:val="auto"/>
                <w:sz w:val="24"/>
                <w:szCs w:val="24"/>
                <w:lang w:val="en-US" w:eastAsia="zh-CN"/>
              </w:rPr>
            </w:pPr>
            <w:r>
              <w:rPr>
                <w:rFonts w:hint="eastAsia" w:ascii="宋体" w:hAnsi="宋体" w:cs="宋体"/>
                <w:color w:val="auto"/>
                <w:sz w:val="21"/>
                <w:szCs w:val="21"/>
                <w:lang w:bidi="ar"/>
              </w:rPr>
              <w:t xml:space="preserve">▲</w:t>
            </w:r>
            <w:r>
              <w:rPr>
                <w:rFonts w:hint="eastAsia" w:ascii="Times New Roman" w:hAnsi="Times New Roman" w:eastAsia="宋体" w:cs="Times New Roman"/>
                <w:color w:val="auto"/>
                <w:sz w:val="21"/>
                <w:szCs w:val="21"/>
                <w:lang w:val="en-US" w:eastAsia="zh-CN"/>
              </w:rPr>
              <w:t xml:space="preserve">1.4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高阶超导匀场阶数</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≥3</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宋体" w:hAnsi="宋体" w:cs="宋体"/>
                <w:color w:val="auto"/>
                <w:sz w:val="21"/>
                <w:szCs w:val="21"/>
                <w:lang w:bidi="ar"/>
              </w:rPr>
              <w:t xml:space="preserve">▲</w:t>
            </w:r>
            <w:r>
              <w:rPr>
                <w:rFonts w:hint="eastAsia" w:ascii="Times New Roman" w:hAnsi="Times New Roman" w:eastAsia="宋体" w:cs="Times New Roman"/>
                <w:color w:val="auto"/>
                <w:sz w:val="21"/>
                <w:szCs w:val="21"/>
                <w:lang w:val="en-US" w:eastAsia="zh-CN"/>
              </w:rPr>
              <w:t xml:space="preserve">1.5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三阶超导匀场通道</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12</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匀场模式</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主动＋被动</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1.7</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集成常规匀场程序</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1.8</w:t>
            </w:r>
            <w:r/>
          </w:p>
        </w:tc>
        <w:tc>
          <w:tcPr>
            <w:tcW w:w="5916" w:type="dxa"/>
            <w:vAlign w:val="center"/>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1"/>
                <w:szCs w:val="21"/>
                <w:lang w:bidi="ar"/>
              </w:rPr>
              <w:t xml:space="preserve">5高斯磁力线轴向范围：</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bidi="ar"/>
              </w:rPr>
              <w:t xml:space="preserve">轴向≤7.9m  </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1.9</w:t>
            </w:r>
            <w:r/>
          </w:p>
        </w:tc>
        <w:tc>
          <w:tcPr>
            <w:tcW w:w="5916" w:type="dxa"/>
            <w:vAlign w:val="center"/>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1"/>
                <w:szCs w:val="21"/>
                <w:lang w:bidi="ar"/>
              </w:rPr>
              <w:t xml:space="preserve">5高斯磁力线径向范围：</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bidi="ar"/>
              </w:rPr>
              <w:t xml:space="preserve">径向≤4.95m</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1.10</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液氦消耗量（待机）</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0液氦挥发</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1.11</w:t>
            </w:r>
            <w:r/>
          </w:p>
        </w:tc>
        <w:tc>
          <w:tcPr>
            <w:tcW w:w="5916" w:type="dxa"/>
            <w:vAlign w:val="center"/>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1"/>
                <w:szCs w:val="21"/>
                <w:lang w:bidi="ar"/>
              </w:rPr>
              <w:t xml:space="preserve">裸磁体重量（含液氦）</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≤45吨</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1.12</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磁场均匀度</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VRMS，24平面法测量</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1.13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40cm DSV典型值（ppm）</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0.15</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1.14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30cm DSV典型值（ppm）</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0.03</w:t>
            </w:r>
            <w:r/>
          </w:p>
        </w:tc>
      </w:tr>
      <w:tr>
        <w:trPr>
          <w:cantSplit/>
          <w:trHeight w:val="90"/>
        </w:trPr>
        <w:tc>
          <w:tcPr>
            <w:tcW w:w="876" w:type="dxa"/>
            <w:vAlign w:val="center"/>
            <w:textDirection w:val="lrTb"/>
            <w:noWrap w:val="false"/>
          </w:tcPr>
          <w:p>
            <w:pPr>
              <w:ind w:right="162"/>
              <w:jc w:val="center"/>
              <w:widowControl/>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sz w:val="21"/>
                <w:szCs w:val="21"/>
                <w:lang w:val="en-US" w:eastAsia="zh-CN"/>
              </w:rPr>
              <w:t xml:space="preserve">  1.15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20cm DSV典型值（ppm）</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≤0.0075</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宋体" w:hAnsi="宋体" w:cs="宋体"/>
                <w:color w:val="auto"/>
                <w:sz w:val="21"/>
                <w:szCs w:val="21"/>
                <w:lang w:bidi="ar"/>
              </w:rPr>
              <w:t xml:space="preserve">▲</w:t>
            </w:r>
            <w:r>
              <w:rPr>
                <w:rFonts w:hint="eastAsia" w:ascii="Times New Roman" w:hAnsi="Times New Roman" w:eastAsia="宋体" w:cs="Times New Roman"/>
                <w:color w:val="auto"/>
                <w:sz w:val="21"/>
                <w:szCs w:val="21"/>
                <w:lang w:val="en-US" w:eastAsia="zh-CN"/>
              </w:rPr>
              <w:t xml:space="preserve">1.16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10cm DSV典型值（ppm）</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0.001</w:t>
            </w:r>
            <w:r/>
          </w:p>
        </w:tc>
      </w:tr>
      <w:tr>
        <w:trPr>
          <w:cantSplit/>
          <w:trHeight w:val="116"/>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color w:val="auto"/>
                <w:lang w:val="en-US" w:eastAsia="zh-CN"/>
              </w:rPr>
              <w:t xml:space="preserve">二</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梯度系统</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 </w:t>
            </w:r>
            <w:r/>
          </w:p>
        </w:tc>
      </w:tr>
      <w:tr>
        <w:trPr>
          <w:cantSplit/>
          <w:trHeight w:val="264"/>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▲2.1</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单轴梯度场强（非有效值、非性能值）（</w:t>
            </w:r>
            <w:r>
              <w:rPr>
                <w:rFonts w:eastAsia="Times New Roman"/>
                <w:color w:val="auto"/>
              </w:rPr>
              <w:t xml:space="preserve">mT/m</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110</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▲2.2</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单轴梯度切换率（非有效值、非性能值）（</w:t>
            </w:r>
            <w:r>
              <w:rPr>
                <w:rFonts w:eastAsia="Times New Roman"/>
                <w:color w:val="auto"/>
              </w:rPr>
              <w:t xml:space="preserve">T/m/sec</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2</w:t>
            </w:r>
            <w:r>
              <w:rPr>
                <w:rFonts w:hint="eastAsia" w:ascii="宋体" w:hAnsi="宋体" w:eastAsia="宋体" w:cs="宋体"/>
                <w:color w:val="auto"/>
                <w:szCs w:val="21"/>
                <w:lang w:val="en-US" w:eastAsia="zh-CN"/>
              </w:rPr>
              <w:t xml:space="preserve">50</w:t>
            </w:r>
            <w:r>
              <w:rPr>
                <w:rFonts w:hint="eastAsia" w:ascii="宋体" w:hAnsi="宋体" w:eastAsia="宋体" w:cs="宋体"/>
                <w:color w:val="auto"/>
                <w:szCs w:val="21"/>
              </w:rPr>
              <w:t xml:space="preserve"> </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最大单轴梯度场强及最大梯度切换率同时达到</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107"/>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梯度系统冷却模式</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水冷</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梯度散热功率（</w:t>
            </w:r>
            <w:r>
              <w:rPr>
                <w:rFonts w:eastAsia="Times New Roman"/>
                <w:color w:val="auto"/>
              </w:rPr>
              <w:t xml:space="preserve">kW</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≤94</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梯度力矩校正技术</w:t>
            </w:r>
            <w:r>
              <w:rPr>
                <w:rFonts w:eastAsia="Times New Roman"/>
                <w:color w:val="auto"/>
              </w:rPr>
              <w:t xml:space="preserve">(Force Balance/Equalizers)</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2.7</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梯度放大器功率（</w:t>
            </w:r>
            <w:r>
              <w:rPr>
                <w:rFonts w:eastAsia="Times New Roman"/>
                <w:color w:val="auto"/>
              </w:rPr>
              <w:t xml:space="preserve">MW</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2.4</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2.8</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梯度放大器输出电流（A）</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1000</w:t>
            </w:r>
            <w:r/>
          </w:p>
        </w:tc>
      </w:tr>
      <w:tr>
        <w:trPr>
          <w:cantSplit/>
          <w:trHeight w:val="126"/>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2.9</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ascii="宋体" w:hAnsi="宋体" w:cs="宋体"/>
                <w:color w:val="auto"/>
              </w:rPr>
              <w:t xml:space="preserve">梯度高阶匀场阶数</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3</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2.10</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梯度高阶匀场通道</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≥9</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color w:val="auto"/>
                <w:lang w:val="en-US" w:eastAsia="zh-CN"/>
              </w:rPr>
              <w:t xml:space="preserve">三</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射频系统</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 </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3.1</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临床模式射频发射功率（</w:t>
            </w:r>
            <w:r>
              <w:rPr>
                <w:rFonts w:eastAsia="Times New Roman"/>
                <w:color w:val="auto"/>
              </w:rPr>
              <w:t xml:space="preserve">kW</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15</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3.2</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ascii="宋体" w:hAnsi="宋体" w:cs="宋体"/>
                <w:color w:val="auto"/>
              </w:rPr>
              <w:t xml:space="preserve">科研模式单通道射频发射功率（</w:t>
            </w:r>
            <w:r>
              <w:rPr>
                <w:rFonts w:eastAsia="Times New Roman"/>
                <w:color w:val="auto"/>
              </w:rPr>
              <w:t xml:space="preserve">kW</w:t>
            </w:r>
            <w:r>
              <w:rPr>
                <w:rFonts w:ascii="宋体" w:hAnsi="宋体" w:cs="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2</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射频类型</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全数字化发射、接收</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科研模式并行发射通道数</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 8</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临床模式并行发射通道数</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 2</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各通道同时并行采样接收带宽（</w:t>
            </w:r>
            <w:r>
              <w:rPr>
                <w:rFonts w:eastAsia="Times New Roman"/>
                <w:color w:val="auto"/>
              </w:rPr>
              <w:t xml:space="preserve">kHz</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≥500</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3.7</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最大独立射频接收通道数</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64</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3.8</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神经系统临床用线圈</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32接收通道</w:t>
            </w:r>
            <w:r/>
          </w:p>
        </w:tc>
      </w:tr>
      <w:tr>
        <w:trPr>
          <w:cantSplit/>
          <w:trHeight w:val="366"/>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3.9</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lang w:val="en-US" w:eastAsia="zh-CN"/>
              </w:rPr>
              <w:t xml:space="preserve">膝</w:t>
            </w:r>
            <w:r>
              <w:rPr>
                <w:rFonts w:hint="eastAsia" w:ascii="宋体" w:hAnsi="宋体" w:cs="宋体"/>
                <w:color w:val="auto"/>
              </w:rPr>
              <w:t xml:space="preserve">关节系统临床用线圈</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28接收通道</w:t>
            </w:r>
            <w:r/>
          </w:p>
        </w:tc>
      </w:tr>
      <w:tr>
        <w:trPr>
          <w:cantSplit/>
          <w:trHeight w:val="90"/>
        </w:trPr>
        <w:tc>
          <w:tcPr>
            <w:tcW w:w="876" w:type="dxa"/>
            <w:vAlign w:val="center"/>
            <w:textDirection w:val="lrTb"/>
            <w:noWrap w:val="false"/>
          </w:tcPr>
          <w:p>
            <w:pPr>
              <w:ind w:right="-55"/>
              <w:jc w:val="center"/>
              <w:rPr>
                <w:rFonts w:hint="eastAsia" w:ascii="宋体" w:hAnsi="宋体" w:eastAsia="宋体" w:cs="宋体"/>
                <w:bCs/>
                <w:color w:val="auto"/>
                <w:sz w:val="24"/>
                <w:szCs w:val="24"/>
                <w:lang w:val="en-US" w:eastAsia="zh-CN"/>
              </w:rPr>
            </w:pPr>
            <w:r>
              <w:rPr>
                <w:rFonts w:hint="eastAsia" w:ascii="Times New Roman" w:hAnsi="Times New Roman" w:eastAsia="宋体" w:cs="Times New Roman"/>
                <w:color w:val="auto"/>
                <w:lang w:val="en-US" w:eastAsia="zh-CN"/>
              </w:rPr>
              <w:t xml:space="preserve">3.10</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神经系统科研用线圈</w:t>
            </w:r>
            <w:r/>
          </w:p>
        </w:tc>
        <w:tc>
          <w:tcPr>
            <w:tcW w:w="2945"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t xml:space="preserve">并行发射通道</w:t>
            </w: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8</w:t>
            </w:r>
            <w:r/>
          </w:p>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接收通道</w:t>
            </w:r>
            <w:r>
              <w:rPr>
                <w:rFonts w:hint="eastAsia" w:ascii="宋体" w:hAnsi="宋体" w:eastAsia="宋体" w:cs="宋体"/>
                <w:color w:val="auto"/>
                <w:sz w:val="21"/>
                <w:szCs w:val="21"/>
                <w:lang w:bidi="ar"/>
              </w:rPr>
              <w:t xml:space="preserve">≥</w:t>
            </w:r>
            <w:r>
              <w:rPr>
                <w:rFonts w:hint="eastAsia" w:ascii="宋体" w:hAnsi="宋体" w:eastAsia="宋体" w:cs="宋体"/>
                <w:color w:val="auto"/>
                <w:szCs w:val="21"/>
              </w:rPr>
              <w:t xml:space="preserve">32</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color w:val="auto"/>
                <w:lang w:val="en-US" w:eastAsia="zh-CN"/>
              </w:rPr>
              <w:t xml:space="preserve">四</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计算机系统</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 </w:t>
            </w:r>
            <w:r/>
          </w:p>
        </w:tc>
      </w:tr>
      <w:tr>
        <w:trPr>
          <w:cantSplit/>
          <w:trHeight w:val="172"/>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4.1</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主机主频（</w:t>
            </w:r>
            <w:r>
              <w:rPr>
                <w:rFonts w:eastAsia="Times New Roman"/>
                <w:color w:val="auto"/>
              </w:rPr>
              <w:t xml:space="preserve">GHz</w:t>
            </w:r>
            <w:r>
              <w:rPr>
                <w:rFonts w:hint="eastAsia" w:ascii="宋体" w:hAnsi="宋体"/>
                <w:color w:val="auto"/>
              </w:rPr>
              <w:t xml:space="preserve">）</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3.</w:t>
            </w:r>
            <w:r>
              <w:rPr>
                <w:rFonts w:hint="eastAsia" w:ascii="宋体" w:hAnsi="宋体" w:eastAsia="宋体" w:cs="宋体"/>
                <w:color w:val="auto"/>
                <w:szCs w:val="21"/>
                <w:lang w:val="en-US" w:eastAsia="zh-CN"/>
              </w:rPr>
              <w:t xml:space="preserve">5</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4.2</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主机内存（</w:t>
            </w:r>
            <w:r>
              <w:rPr>
                <w:rFonts w:eastAsia="Times New Roman"/>
                <w:color w:val="auto"/>
              </w:rPr>
              <w:t xml:space="preserve">GB</w:t>
            </w:r>
            <w:r>
              <w:rPr>
                <w:rFonts w:hint="eastAsia" w:ascii="宋体" w:hAnsi="宋体"/>
                <w:color w:val="auto"/>
              </w:rPr>
              <w:t xml:space="preserve">）</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64</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主机显示器</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≥24″</w:t>
            </w:r>
            <w:r/>
          </w:p>
        </w:tc>
      </w:tr>
      <w:tr>
        <w:trPr>
          <w:cantSplit/>
          <w:trHeight w:val="1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主机硬盘容量（系统盘</w:t>
            </w:r>
            <w:r>
              <w:rPr>
                <w:rFonts w:eastAsia="Times New Roman"/>
                <w:color w:val="auto"/>
              </w:rPr>
              <w:t xml:space="preserve">+</w:t>
            </w:r>
            <w:r>
              <w:rPr>
                <w:rFonts w:hint="eastAsia" w:ascii="宋体" w:hAnsi="宋体"/>
                <w:color w:val="auto"/>
              </w:rPr>
              <w:t xml:space="preserve">数据盘）（</w:t>
            </w:r>
            <w:r>
              <w:rPr>
                <w:rFonts w:eastAsia="Times New Roman"/>
                <w:color w:val="auto"/>
              </w:rPr>
              <w:t xml:space="preserve"> GB</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≥1024</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最大重建矩阵</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≥1024×1024</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阵列处理器主频（</w:t>
            </w:r>
            <w:r>
              <w:rPr>
                <w:rFonts w:eastAsia="Times New Roman"/>
                <w:color w:val="auto"/>
              </w:rPr>
              <w:t xml:space="preserve">GHz</w:t>
            </w:r>
            <w:r>
              <w:rPr>
                <w:rFonts w:hint="eastAsia" w:ascii="宋体" w:hAnsi="宋体"/>
                <w:color w:val="auto"/>
              </w:rPr>
              <w:t xml:space="preserve">）</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≥2.3</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4.7</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阵列处理器内存（</w:t>
            </w:r>
            <w:r>
              <w:rPr>
                <w:rFonts w:eastAsia="Times New Roman"/>
                <w:color w:val="auto"/>
              </w:rPr>
              <w:t xml:space="preserve">GB</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≥160</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4.8</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图像重建速度（</w:t>
            </w:r>
            <w:r>
              <w:rPr>
                <w:rFonts w:eastAsia="Times New Roman"/>
                <w:color w:val="auto"/>
              </w:rPr>
              <w:t xml:space="preserve">256</w:t>
            </w:r>
            <w:r>
              <w:rPr>
                <w:rFonts w:hint="eastAsia" w:ascii="宋体" w:hAnsi="宋体"/>
                <w:color w:val="auto"/>
              </w:rPr>
              <w:t xml:space="preserve">×</w:t>
            </w:r>
            <w:r>
              <w:rPr>
                <w:rFonts w:eastAsia="Times New Roman"/>
                <w:color w:val="auto"/>
              </w:rPr>
              <w:t xml:space="preserve">256</w:t>
            </w:r>
            <w:r>
              <w:rPr>
                <w:rFonts w:hint="eastAsia" w:ascii="宋体" w:hAnsi="宋体"/>
                <w:color w:val="auto"/>
              </w:rPr>
              <w:t xml:space="preserve">矩阵）（</w:t>
            </w:r>
            <w:r>
              <w:rPr>
                <w:rFonts w:eastAsia="Times New Roman"/>
                <w:color w:val="auto"/>
              </w:rPr>
              <w:t xml:space="preserve">f/s</w:t>
            </w:r>
            <w:r>
              <w:rPr>
                <w:rFonts w:hint="eastAsia" w:ascii="宋体" w:hAnsi="宋体"/>
                <w:color w:val="auto"/>
              </w:rPr>
              <w:t xml:space="preserve">）</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81000</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4.9</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数据</w:t>
            </w:r>
            <w:r>
              <w:rPr>
                <w:rFonts w:hint="eastAsia" w:ascii="宋体" w:hAnsi="宋体" w:cs="宋体"/>
                <w:color w:val="auto"/>
                <w:lang w:val="en-US" w:eastAsia="zh-CN"/>
              </w:rPr>
              <w:t xml:space="preserve">外部</w:t>
            </w:r>
            <w:r>
              <w:rPr>
                <w:rFonts w:hint="eastAsia" w:ascii="宋体" w:hAnsi="宋体" w:cs="宋体"/>
                <w:color w:val="auto"/>
              </w:rPr>
              <w:t xml:space="preserve">存储形式</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CD/DVD</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ascii="宋体" w:hAnsi="宋体" w:cs="宋体"/>
                <w:color w:val="auto"/>
                <w:sz w:val="22"/>
                <w:lang w:bidi="ar"/>
              </w:rPr>
              <w:t xml:space="preserve">▲</w:t>
            </w:r>
            <w:r>
              <w:rPr>
                <w:rFonts w:eastAsia="Times New Roman"/>
                <w:color w:val="auto"/>
              </w:rPr>
              <w:t xml:space="preserve">4.1</w:t>
            </w:r>
            <w:r>
              <w:rPr>
                <w:rFonts w:hint="eastAsia" w:eastAsia="Times New Roman"/>
                <w:color w:val="auto"/>
              </w:rPr>
              <w:t xml:space="preserve">0</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eastAsia="Times New Roman"/>
                <w:color w:val="auto"/>
              </w:rPr>
              <w:t xml:space="preserve">DICOM3.0</w:t>
            </w:r>
            <w:r>
              <w:rPr>
                <w:rFonts w:hint="eastAsia" w:ascii="宋体" w:hAnsi="宋体"/>
                <w:color w:val="auto"/>
              </w:rPr>
              <w:t xml:space="preserve">软硬接口及</w:t>
            </w:r>
            <w:r>
              <w:rPr>
                <w:rFonts w:hint="eastAsia" w:ascii="宋体" w:hAnsi="宋体"/>
                <w:color w:val="auto"/>
                <w:lang w:val="en-US" w:eastAsia="zh-CN"/>
              </w:rPr>
              <w:t xml:space="preserve">全部</w:t>
            </w:r>
            <w:r>
              <w:rPr>
                <w:rFonts w:hint="eastAsia" w:ascii="宋体" w:hAnsi="宋体"/>
                <w:color w:val="auto"/>
              </w:rPr>
              <w:t xml:space="preserve">功能</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color w:val="auto"/>
                <w:lang w:val="en-US" w:eastAsia="zh-CN"/>
              </w:rPr>
              <w:t xml:space="preserve">五</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检查床及检查环境</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 </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5.1</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检查床最大承重（</w:t>
            </w:r>
            <w:r>
              <w:rPr>
                <w:rFonts w:eastAsia="Times New Roman"/>
                <w:color w:val="auto"/>
              </w:rPr>
              <w:t xml:space="preserve">kg</w:t>
            </w:r>
            <w:r>
              <w:rPr>
                <w:rFonts w:hint="eastAsia" w:ascii="宋体" w:hAnsi="宋体"/>
                <w:color w:val="auto"/>
              </w:rPr>
              <w:t xml:space="preserve">）</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bidi="ar"/>
              </w:rPr>
              <w:t xml:space="preserve">≥200kg</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5.3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心电触发</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5.4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脉搏触发</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5.5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呼吸触发</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5.6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专用防磁耳机</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5.7</w:t>
            </w:r>
            <w:r/>
          </w:p>
        </w:tc>
        <w:tc>
          <w:tcPr>
            <w:tcW w:w="5916" w:type="dxa"/>
            <w:vAlign w:val="center"/>
            <w:textDirection w:val="lrTb"/>
            <w:noWrap w:val="false"/>
          </w:tcPr>
          <w:p>
            <w:pP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磁体内病人双向通话麦克风及扩音器系统</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具备</w:t>
            </w:r>
            <w:r/>
          </w:p>
        </w:tc>
      </w:tr>
      <w:tr>
        <w:trPr>
          <w:cantSplit/>
          <w:trHeight w:val="44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ascii="宋体" w:hAnsi="宋体" w:eastAsia="宋体" w:cs="宋体"/>
                <w:color w:val="auto"/>
                <w:lang w:val="en-US" w:eastAsia="zh-CN"/>
              </w:rPr>
              <w:t xml:space="preserve">六</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eastAsia="宋体" w:cs="宋体"/>
                <w:color w:val="auto"/>
              </w:rPr>
              <w:t xml:space="preserve">序列和应用</w:t>
            </w:r>
            <w:r/>
          </w:p>
        </w:tc>
        <w:tc>
          <w:tcPr>
            <w:tcW w:w="2945" w:type="dxa"/>
            <w:vAlign w:val="center"/>
            <w:textDirection w:val="lrTb"/>
            <w:noWrap w:val="false"/>
          </w:tcPr>
          <w:p>
            <w:pPr>
              <w:jc w:val="left"/>
              <w:widowControl/>
              <w:rPr>
                <w:rFonts w:hint="eastAsia" w:ascii="宋体" w:hAnsi="宋体" w:eastAsia="宋体" w:cs="宋体"/>
                <w:bCs w:val="0"/>
                <w:color w:val="auto"/>
                <w:sz w:val="21"/>
                <w:szCs w:val="21"/>
                <w:lang w:val="en-US" w:eastAsia="zh-CN"/>
              </w:rPr>
            </w:pPr>
            <w:r>
              <w:rPr>
                <w:rFonts w:hint="eastAsia" w:ascii="宋体" w:hAnsi="宋体" w:eastAsia="宋体" w:cs="宋体"/>
                <w:bCs w:val="0"/>
                <w:color w:val="auto"/>
                <w:sz w:val="21"/>
                <w:szCs w:val="21"/>
                <w:lang w:val="en-US" w:eastAsia="zh-CN"/>
              </w:rPr>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自旋回波(SE)序列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135"/>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反转恢复(IR)序列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117"/>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FLASH序列</w:t>
            </w:r>
            <w:r>
              <w:rPr>
                <w:rFonts w:hint="eastAsia" w:ascii="宋体" w:hAnsi="宋体" w:cs="宋体"/>
                <w:color w:val="auto"/>
                <w:sz w:val="22"/>
                <w:lang w:val="en-US" w:eastAsia="zh-CN"/>
              </w:rPr>
              <w:t xml:space="preserve">或GRE序列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.4</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FISP序列</w:t>
            </w:r>
            <w:r>
              <w:rPr>
                <w:rFonts w:hint="eastAsia" w:ascii="宋体" w:hAnsi="宋体" w:cs="宋体"/>
                <w:color w:val="auto"/>
                <w:sz w:val="22"/>
                <w:lang w:val="en-US" w:eastAsia="zh-CN"/>
              </w:rPr>
              <w:t xml:space="preserve">或GRE序列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cs="Times New Roman"/>
                <w:color w:val="auto"/>
                <w:lang w:val="en-US" w:eastAsia="zh-CN"/>
              </w:rPr>
              <w:t xml:space="preserve">6</w:t>
            </w:r>
            <w:r>
              <w:rPr>
                <w:rFonts w:hint="eastAsia" w:ascii="Times New Roman" w:hAnsi="Times New Roman" w:eastAsia="Times New Roman" w:cs="Times New Roman"/>
                <w:color w:val="auto"/>
              </w:rPr>
              <w:t xml:space="preserve">.5</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PSIF序列</w:t>
            </w:r>
            <w:r>
              <w:rPr>
                <w:rFonts w:hint="eastAsia" w:ascii="宋体" w:hAnsi="宋体" w:cs="宋体"/>
                <w:color w:val="auto"/>
                <w:sz w:val="22"/>
                <w:lang w:val="en-US" w:eastAsia="zh-CN"/>
              </w:rPr>
              <w:t xml:space="preserve">或GRASS序列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cs="Times New Roman"/>
                <w:color w:val="auto"/>
                <w:lang w:val="en-US" w:eastAsia="zh-CN"/>
              </w:rPr>
              <w:t xml:space="preserve">6</w:t>
            </w:r>
            <w:r>
              <w:rPr>
                <w:rFonts w:hint="eastAsia" w:ascii="Times New Roman" w:hAnsi="Times New Roman" w:eastAsia="Times New Roman" w:cs="Times New Roman"/>
                <w:color w:val="auto"/>
              </w:rPr>
              <w:t xml:space="preserve">.6</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TrueFISP序列</w:t>
            </w:r>
            <w:r>
              <w:rPr>
                <w:rFonts w:hint="eastAsia" w:ascii="宋体" w:hAnsi="宋体" w:cs="宋体"/>
                <w:color w:val="auto"/>
                <w:sz w:val="22"/>
                <w:lang w:val="en-US" w:eastAsia="zh-CN"/>
              </w:rPr>
              <w:t xml:space="preserve">或FIESTA序列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cs="Times New Roman"/>
                <w:color w:val="auto"/>
                <w:lang w:val="en-US" w:eastAsia="zh-CN"/>
              </w:rPr>
              <w:t xml:space="preserve">6</w:t>
            </w:r>
            <w:r>
              <w:rPr>
                <w:rFonts w:hint="eastAsia" w:ascii="Times New Roman" w:hAnsi="Times New Roman" w:eastAsia="Times New Roman" w:cs="Times New Roman"/>
                <w:color w:val="auto"/>
              </w:rPr>
              <w:t xml:space="preserve">.7</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MEDIC序列</w:t>
            </w:r>
            <w:r>
              <w:rPr>
                <w:rFonts w:hint="eastAsia" w:ascii="宋体" w:hAnsi="宋体" w:cs="宋体"/>
                <w:color w:val="auto"/>
                <w:sz w:val="22"/>
                <w:lang w:val="en-US" w:eastAsia="zh-CN"/>
              </w:rPr>
              <w:t xml:space="preserve">或MERGE序列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cs="Times New Roman"/>
                <w:color w:val="auto"/>
                <w:lang w:val="en-US" w:eastAsia="zh-CN"/>
              </w:rPr>
              <w:t xml:space="preserve">6</w:t>
            </w:r>
            <w:r>
              <w:rPr>
                <w:rFonts w:hint="eastAsia" w:ascii="Times New Roman" w:hAnsi="Times New Roman" w:eastAsia="Times New Roman" w:cs="Times New Roman"/>
                <w:color w:val="auto"/>
              </w:rPr>
              <w:t xml:space="preserve">.8</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TurboFLASH (MPRAGE)序列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cs="Times New Roman"/>
                <w:color w:val="auto"/>
                <w:lang w:val="en-US" w:eastAsia="zh-CN"/>
              </w:rPr>
              <w:t xml:space="preserve">6</w:t>
            </w:r>
            <w:r>
              <w:rPr>
                <w:rFonts w:hint="eastAsia" w:ascii="Times New Roman" w:hAnsi="Times New Roman" w:eastAsia="Times New Roman" w:cs="Times New Roman"/>
                <w:color w:val="auto"/>
              </w:rPr>
              <w:t xml:space="preserve">.9</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3D VIBE或LAVA序列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cs="Times New Roman"/>
                <w:color w:val="auto"/>
                <w:lang w:val="en-US" w:eastAsia="zh-CN"/>
              </w:rPr>
              <w:t xml:space="preserve">6</w:t>
            </w:r>
            <w:r>
              <w:rPr>
                <w:rFonts w:hint="eastAsia" w:ascii="Times New Roman" w:hAnsi="Times New Roman" w:eastAsia="Times New Roman" w:cs="Times New Roman"/>
                <w:color w:val="auto"/>
              </w:rPr>
              <w:t xml:space="preserve">.10</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TSE序列</w:t>
            </w:r>
            <w:r>
              <w:rPr>
                <w:rFonts w:hint="eastAsia" w:ascii="宋体" w:hAnsi="宋体" w:cs="宋体"/>
                <w:color w:val="auto"/>
                <w:sz w:val="22"/>
                <w:lang w:val="en-US" w:eastAsia="zh-CN"/>
              </w:rPr>
              <w:t xml:space="preserve">或FSE序列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.11</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双对比TSE</w:t>
            </w:r>
            <w:r>
              <w:rPr>
                <w:rFonts w:hint="eastAsia" w:ascii="宋体" w:hAnsi="宋体" w:cs="宋体"/>
                <w:color w:val="auto"/>
                <w:sz w:val="22"/>
                <w:lang w:val="en-US" w:eastAsia="zh-CN"/>
              </w:rPr>
              <w:t xml:space="preserve">或FSE序列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.12</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RESTORE TSE序列</w:t>
            </w:r>
            <w:r>
              <w:rPr>
                <w:rFonts w:hint="eastAsia" w:ascii="宋体" w:hAnsi="宋体" w:cs="宋体"/>
                <w:color w:val="auto"/>
                <w:sz w:val="22"/>
                <w:lang w:val="en-US" w:eastAsia="zh-CN"/>
              </w:rPr>
              <w:t xml:space="preserve">或FSE序列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.13</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3D SPACE或CUBE序列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.14</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eastAsia="宋体" w:cs="宋体"/>
                <w:color w:val="auto"/>
                <w:sz w:val="22"/>
                <w:lang w:val="en-US" w:eastAsia="zh-CN"/>
              </w:rPr>
              <w:t xml:space="preserve">2D/3D TurboIR序列或IR-FSE序列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.15</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SSFSE或HASTE序列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.16</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反转恢复SSFSE或HASTE</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.17</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2D/3D单次激发TSE</w:t>
            </w:r>
            <w:r>
              <w:rPr>
                <w:rFonts w:hint="eastAsia" w:ascii="宋体" w:hAnsi="宋体" w:cs="宋体"/>
                <w:color w:val="auto"/>
                <w:sz w:val="22"/>
                <w:lang w:val="en-US" w:eastAsia="zh-CN"/>
              </w:rPr>
              <w:t xml:space="preserve">或FSE序列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.18</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 Time-of-Flight (ToF) 血管造影</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.19</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2D/3D相位对比血管造影</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.20</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单次激发EPI</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.21</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2D/3D分段EPI</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.22</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3D GRE场图</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.23</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实时在线弥散成像</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.24</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DTI弥散张量成像技术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.25</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DTI纤维束追踪技术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.26</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DSI弥散谱成像技术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.27</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RESOLVE或MUSE高分辨弥散成像技术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.28</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SMS或Multi Shot同时多层成像技术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.29</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3D PACE或3D PROMO运动校正技术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.30</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MP2RAGE成像</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.31</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基于k空间的并行采集技术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.32</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3D实时脑功能成像</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.33</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自动配位技术(Autoalign)</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.34</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磁敏感加权成像</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.35</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7T专用神经序列及应用软件包</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.36</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7T专用基于SPACE或CUBE技术的3D FLAIR脉冲序列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.37</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深度学习重建技术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.38</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压缩感知重建技术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.39</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静音脑功能技术</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top"/>
            <w:textDirection w:val="lrTb"/>
            <w:noWrap w:val="false"/>
          </w:tcPr>
          <w:p>
            <w:pPr>
              <w:jc w:val="center"/>
              <w:rPr>
                <w:rFonts w:hint="eastAsia" w:ascii="宋体" w:hAnsi="宋体" w:eastAsia="宋体" w:cs="宋体"/>
                <w:bCs/>
                <w:color w:val="auto"/>
                <w:sz w:val="24"/>
                <w:szCs w:val="24"/>
                <w:lang w:val="en-US" w:eastAsia="zh-CN"/>
              </w:rPr>
            </w:pPr>
            <w:r>
              <w:rPr>
                <w:rFonts w:hint="eastAsia" w:ascii="Times New Roman" w:hAnsi="Times New Roman" w:eastAsia="Times New Roman" w:cs="Times New Roman"/>
                <w:color w:val="auto"/>
                <w:lang w:val="en-US" w:eastAsia="zh-CN"/>
              </w:rPr>
              <w:t xml:space="preserve">6</w:t>
            </w:r>
            <w:r>
              <w:rPr>
                <w:rFonts w:hint="eastAsia" w:ascii="Times New Roman" w:hAnsi="Times New Roman" w:eastAsia="Times New Roman" w:cs="Times New Roman"/>
                <w:color w:val="auto"/>
              </w:rPr>
              <w:t xml:space="preserve">.40</w:t>
            </w:r>
            <w:r/>
          </w:p>
        </w:tc>
        <w:tc>
          <w:tcPr>
            <w:tcW w:w="5916" w:type="dxa"/>
            <w:vAlign w:val="top"/>
            <w:textDirection w:val="lrTb"/>
            <w:noWrap w:val="false"/>
          </w:tcPr>
          <w:p>
            <w:pPr>
              <w:widowControl/>
              <w:rPr>
                <w:rFonts w:hint="eastAsia" w:ascii="宋体" w:hAnsi="宋体" w:eastAsia="宋体" w:cs="宋体"/>
                <w:bCs/>
                <w:color w:val="auto"/>
                <w:sz w:val="24"/>
                <w:szCs w:val="24"/>
                <w:lang w:val="en-US" w:eastAsia="zh-CN"/>
              </w:rPr>
            </w:pPr>
            <w:r>
              <w:rPr>
                <w:rFonts w:hint="eastAsia" w:ascii="宋体" w:hAnsi="宋体" w:cs="宋体"/>
                <w:color w:val="auto"/>
                <w:sz w:val="22"/>
              </w:rPr>
              <w:t xml:space="preserve">ASL灌注成像</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color w:val="auto"/>
                <w:lang w:val="en-US" w:eastAsia="zh-CN"/>
              </w:rPr>
              <w:t xml:space="preserve">七</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高级后处理工作站</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 </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7.1</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主机主频（</w:t>
            </w:r>
            <w:r>
              <w:rPr>
                <w:rFonts w:eastAsia="Times New Roman"/>
                <w:color w:val="auto"/>
              </w:rPr>
              <w:t xml:space="preserve">GHz</w:t>
            </w:r>
            <w:r>
              <w:rPr>
                <w:rFonts w:hint="eastAsia" w:ascii="宋体" w:hAnsi="宋体"/>
                <w:color w:val="auto"/>
              </w:rPr>
              <w:t xml:space="preserve">）</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≥2.4 GHz </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7.2</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主机内存（</w:t>
            </w:r>
            <w:r>
              <w:rPr>
                <w:rFonts w:eastAsia="Times New Roman"/>
                <w:color w:val="auto"/>
              </w:rPr>
              <w:t xml:space="preserve">GB</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≥8GB</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7.3</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主机显示器</w:t>
            </w:r>
            <w:r>
              <w:rPr>
                <w:rFonts w:eastAsia="Times New Roman"/>
                <w:color w:val="auto"/>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19</w:t>
            </w:r>
            <w:r>
              <w:rPr>
                <w:rFonts w:hint="eastAsia" w:ascii="宋体" w:hAnsi="宋体" w:eastAsia="宋体" w:cs="宋体"/>
                <w:color w:val="auto"/>
                <w:szCs w:val="21"/>
              </w:rPr>
              <w:t xml:space="preserve">”</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7.4</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rPr>
              <w:t xml:space="preserve">主机硬盘容量（系统盘</w:t>
            </w:r>
            <w:r>
              <w:rPr>
                <w:rFonts w:eastAsia="Times New Roman"/>
                <w:color w:val="auto"/>
              </w:rPr>
              <w:t xml:space="preserve">+</w:t>
            </w:r>
            <w:r>
              <w:rPr>
                <w:rFonts w:hint="eastAsia" w:ascii="宋体" w:hAnsi="宋体"/>
                <w:color w:val="auto"/>
              </w:rPr>
              <w:t xml:space="preserve">数据盘）（</w:t>
            </w:r>
            <w:r>
              <w:rPr>
                <w:rFonts w:eastAsia="Times New Roman"/>
                <w:color w:val="auto"/>
              </w:rPr>
              <w:t xml:space="preserve">GB</w:t>
            </w:r>
            <w:r>
              <w:rPr>
                <w:rFonts w:hint="eastAsia" w:ascii="宋体" w:hAnsi="宋体"/>
                <w:color w:val="auto"/>
              </w:rPr>
              <w:t xml:space="preserve">）</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Cs w:val="21"/>
              </w:rPr>
              <w:t xml:space="preserve">≥128 GB</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rPr>
              <w:t xml:space="preserve">7.5</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eastAsia="Times New Roman"/>
                <w:color w:val="auto"/>
                <w:sz w:val="21"/>
                <w:szCs w:val="21"/>
              </w:rPr>
              <w:t xml:space="preserve">MPR</w:t>
            </w:r>
            <w:r>
              <w:rPr>
                <w:rFonts w:hint="eastAsia" w:ascii="宋体" w:hAnsi="宋体"/>
                <w:color w:val="auto"/>
                <w:sz w:val="21"/>
                <w:szCs w:val="21"/>
              </w:rPr>
              <w:t xml:space="preserve">、</w:t>
            </w:r>
            <w:r>
              <w:rPr>
                <w:rFonts w:eastAsia="Times New Roman"/>
                <w:color w:val="auto"/>
                <w:sz w:val="21"/>
                <w:szCs w:val="21"/>
              </w:rPr>
              <w:t xml:space="preserve">MIP</w:t>
            </w:r>
            <w:r>
              <w:rPr>
                <w:rFonts w:hint="eastAsia" w:ascii="宋体" w:hAnsi="宋体"/>
                <w:color w:val="auto"/>
                <w:sz w:val="21"/>
                <w:szCs w:val="21"/>
              </w:rPr>
              <w:t xml:space="preserve">、</w:t>
            </w:r>
            <w:r>
              <w:rPr>
                <w:rFonts w:eastAsia="Times New Roman"/>
                <w:color w:val="auto"/>
                <w:sz w:val="21"/>
                <w:szCs w:val="21"/>
              </w:rPr>
              <w:t xml:space="preserve">SSD</w:t>
            </w:r>
            <w:r>
              <w:rPr>
                <w:rFonts w:hint="eastAsia" w:ascii="宋体" w:hAnsi="宋体"/>
                <w:color w:val="auto"/>
                <w:sz w:val="21"/>
                <w:szCs w:val="21"/>
              </w:rPr>
              <w:t xml:space="preserve">及</w:t>
            </w:r>
            <w:r>
              <w:rPr>
                <w:rFonts w:eastAsia="Times New Roman"/>
                <w:color w:val="auto"/>
                <w:sz w:val="21"/>
                <w:szCs w:val="21"/>
              </w:rPr>
              <w:t xml:space="preserve">VR</w:t>
            </w:r>
            <w:r>
              <w:rPr>
                <w:rFonts w:hint="eastAsia" w:ascii="宋体" w:hAnsi="宋体"/>
                <w:color w:val="auto"/>
                <w:sz w:val="21"/>
                <w:szCs w:val="21"/>
              </w:rPr>
              <w:t xml:space="preserve">等</w:t>
            </w:r>
            <w:r>
              <w:rPr>
                <w:rFonts w:eastAsia="Times New Roman"/>
                <w:color w:val="auto"/>
                <w:sz w:val="21"/>
                <w:szCs w:val="21"/>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eastAsia="Times New Roman"/>
                <w:color w:val="auto"/>
                <w:sz w:val="21"/>
                <w:szCs w:val="21"/>
              </w:rPr>
              <w:t xml:space="preserve">7.6</w:t>
            </w:r>
            <w:r/>
          </w:p>
        </w:tc>
        <w:tc>
          <w:tcPr>
            <w:tcW w:w="5916" w:type="dxa"/>
            <w:vAlign w:val="center"/>
            <w:textDirection w:val="lrTb"/>
            <w:noWrap w:val="false"/>
          </w:tcPr>
          <w:p>
            <w:pPr>
              <w:rPr>
                <w:rFonts w:hint="eastAsia" w:ascii="宋体" w:hAnsi="宋体" w:eastAsia="宋体" w:cs="宋体"/>
                <w:bCs/>
                <w:color w:val="auto"/>
                <w:sz w:val="24"/>
                <w:szCs w:val="24"/>
                <w:lang w:val="en-US" w:eastAsia="zh-CN"/>
              </w:rPr>
            </w:pPr>
            <w:r>
              <w:rPr>
                <w:rFonts w:hint="eastAsia" w:ascii="宋体" w:hAnsi="宋体" w:cs="宋体"/>
                <w:color w:val="auto"/>
                <w:sz w:val="21"/>
                <w:szCs w:val="21"/>
              </w:rPr>
              <w:t xml:space="preserve">灌注后处理分析</w:t>
            </w:r>
            <w:r>
              <w:rPr>
                <w:rFonts w:eastAsia="Times New Roman"/>
                <w:color w:val="auto"/>
                <w:sz w:val="21"/>
                <w:szCs w:val="21"/>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eastAsia="Times New Roman"/>
                <w:color w:val="auto"/>
                <w:sz w:val="21"/>
                <w:szCs w:val="21"/>
              </w:rPr>
              <w:t xml:space="preserve">7.7</w:t>
            </w:r>
            <w:r/>
          </w:p>
        </w:tc>
        <w:tc>
          <w:tcPr>
            <w:tcW w:w="5916" w:type="dxa"/>
            <w:vAlign w:val="center"/>
            <w:textDirection w:val="lrTb"/>
            <w:noWrap w:val="false"/>
          </w:tcPr>
          <w:p>
            <w:pPr>
              <w:rPr>
                <w:rFonts w:hint="eastAsia" w:ascii="宋体" w:hAnsi="宋体" w:cs="宋体"/>
                <w:color w:val="auto"/>
                <w:sz w:val="21"/>
                <w:szCs w:val="21"/>
              </w:rPr>
            </w:pPr>
            <w:r>
              <w:rPr>
                <w:rFonts w:hint="eastAsia" w:ascii="宋体" w:hAnsi="宋体" w:cs="宋体"/>
                <w:color w:val="auto"/>
                <w:sz w:val="21"/>
                <w:szCs w:val="21"/>
              </w:rPr>
              <w:t xml:space="preserve">脑功能成像后处理分析</w:t>
            </w:r>
            <w:r>
              <w:rPr>
                <w:rFonts w:eastAsia="Times New Roman"/>
                <w:color w:val="auto"/>
                <w:sz w:val="21"/>
                <w:szCs w:val="21"/>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237"/>
        </w:trPr>
        <w:tc>
          <w:tcPr>
            <w:tcW w:w="876" w:type="dxa"/>
            <w:vAlign w:val="center"/>
            <w:textDirection w:val="lrTb"/>
            <w:noWrap w:val="false"/>
          </w:tcPr>
          <w:p>
            <w:pPr>
              <w:jc w:val="center"/>
              <w:rPr>
                <w:rFonts w:eastAsia="Times New Roman"/>
                <w:color w:val="auto"/>
                <w:sz w:val="21"/>
                <w:szCs w:val="21"/>
              </w:rPr>
            </w:pPr>
            <w:r>
              <w:rPr>
                <w:rFonts w:eastAsia="Times New Roman"/>
                <w:color w:val="auto"/>
                <w:sz w:val="21"/>
                <w:szCs w:val="21"/>
              </w:rPr>
              <w:t xml:space="preserve">7.8</w:t>
            </w:r>
            <w:r/>
          </w:p>
        </w:tc>
        <w:tc>
          <w:tcPr>
            <w:tcW w:w="5916" w:type="dxa"/>
            <w:vAlign w:val="center"/>
            <w:textDirection w:val="lrTb"/>
            <w:noWrap w:val="false"/>
          </w:tcPr>
          <w:p>
            <w:pPr>
              <w:rPr>
                <w:rFonts w:hint="eastAsia" w:ascii="宋体" w:hAnsi="宋体" w:cs="宋体"/>
                <w:color w:val="auto"/>
                <w:sz w:val="21"/>
                <w:szCs w:val="21"/>
              </w:rPr>
            </w:pPr>
            <w:r>
              <w:rPr>
                <w:rFonts w:hint="eastAsia" w:ascii="宋体" w:hAnsi="宋体" w:cs="宋体"/>
                <w:color w:val="auto"/>
                <w:sz w:val="21"/>
                <w:szCs w:val="21"/>
              </w:rPr>
              <w:t xml:space="preserve">频谱后处理分析</w:t>
            </w:r>
            <w:r>
              <w:rPr>
                <w:rFonts w:eastAsia="Times New Roman"/>
                <w:color w:val="auto"/>
                <w:sz w:val="21"/>
                <w:szCs w:val="21"/>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4"/>
        </w:trPr>
        <w:tc>
          <w:tcPr>
            <w:tcW w:w="876" w:type="dxa"/>
            <w:vAlign w:val="center"/>
            <w:textDirection w:val="lrTb"/>
            <w:noWrap w:val="false"/>
          </w:tcPr>
          <w:p>
            <w:pPr>
              <w:jc w:val="center"/>
              <w:rPr>
                <w:rFonts w:eastAsia="Times New Roman"/>
                <w:color w:val="auto"/>
                <w:sz w:val="21"/>
                <w:szCs w:val="21"/>
              </w:rPr>
            </w:pPr>
            <w:r>
              <w:rPr>
                <w:rFonts w:eastAsia="Times New Roman"/>
                <w:color w:val="auto"/>
                <w:sz w:val="21"/>
                <w:szCs w:val="21"/>
              </w:rPr>
              <w:t xml:space="preserve">7.9</w:t>
            </w:r>
            <w:r/>
          </w:p>
        </w:tc>
        <w:tc>
          <w:tcPr>
            <w:tcW w:w="5916" w:type="dxa"/>
            <w:vAlign w:val="center"/>
            <w:textDirection w:val="lrTb"/>
            <w:noWrap w:val="false"/>
          </w:tcPr>
          <w:p>
            <w:pPr>
              <w:rPr>
                <w:rFonts w:hint="eastAsia" w:ascii="宋体" w:hAnsi="宋体" w:cs="宋体"/>
                <w:color w:val="auto"/>
                <w:sz w:val="21"/>
                <w:szCs w:val="21"/>
              </w:rPr>
            </w:pPr>
            <w:r>
              <w:rPr>
                <w:rFonts w:hint="eastAsia" w:ascii="宋体" w:hAnsi="宋体" w:cs="宋体"/>
                <w:color w:val="auto"/>
                <w:sz w:val="21"/>
                <w:szCs w:val="21"/>
              </w:rPr>
              <w:t xml:space="preserve">弥散张量后处理分析</w:t>
            </w:r>
            <w:r>
              <w:rPr>
                <w:rFonts w:eastAsia="Times New Roman"/>
                <w:color w:val="auto"/>
                <w:sz w:val="21"/>
                <w:szCs w:val="21"/>
              </w:rPr>
              <w:t xml:space="preserve"> </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eastAsia="Times New Roman"/>
                <w:color w:val="auto"/>
                <w:sz w:val="21"/>
                <w:szCs w:val="21"/>
              </w:rPr>
              <w:t xml:space="preserve">7.1</w:t>
            </w:r>
            <w:r>
              <w:rPr>
                <w:rFonts w:hint="eastAsia" w:eastAsia="Times New Roman"/>
                <w:color w:val="auto"/>
                <w:sz w:val="21"/>
                <w:szCs w:val="21"/>
              </w:rPr>
              <w:t xml:space="preserve">0</w:t>
            </w:r>
            <w:r/>
          </w:p>
        </w:tc>
        <w:tc>
          <w:tcPr>
            <w:tcW w:w="5916" w:type="dxa"/>
            <w:vAlign w:val="center"/>
            <w:textDirection w:val="lrTb"/>
            <w:noWrap w:val="false"/>
          </w:tcPr>
          <w:p>
            <w:pPr>
              <w:rPr>
                <w:rFonts w:hint="eastAsia" w:ascii="宋体" w:hAnsi="宋体" w:cs="宋体"/>
                <w:color w:val="auto"/>
                <w:sz w:val="21"/>
                <w:szCs w:val="21"/>
              </w:rPr>
            </w:pPr>
            <w:r>
              <w:rPr>
                <w:rFonts w:hint="eastAsia" w:ascii="宋体" w:hAnsi="宋体" w:cs="宋体"/>
                <w:color w:val="auto"/>
                <w:sz w:val="21"/>
                <w:szCs w:val="21"/>
              </w:rPr>
              <w:t xml:space="preserve">白质纤维束成像软件包</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rPr>
              <w:t xml:space="preserve">具备 </w:t>
            </w:r>
            <w:r/>
          </w:p>
        </w:tc>
      </w:tr>
      <w:tr>
        <w:trPr>
          <w:cantSplit/>
          <w:trHeight w:val="375"/>
        </w:trPr>
        <w:tc>
          <w:tcPr>
            <w:tcW w:w="876" w:type="dxa"/>
            <w:vAlign w:val="center"/>
            <w:textDirection w:val="lrTb"/>
            <w:noWrap w:val="false"/>
          </w:tcPr>
          <w:p>
            <w:pPr>
              <w:jc w:val="center"/>
              <w:widowControl/>
              <w:rPr>
                <w:rFonts w:eastAsia="Times New Roman"/>
                <w:color w:val="auto"/>
                <w:sz w:val="21"/>
                <w:szCs w:val="21"/>
              </w:rPr>
            </w:pPr>
            <w:r>
              <w:rPr>
                <w:rFonts w:hint="eastAsia" w:ascii="宋体" w:hAnsi="宋体" w:cs="宋体"/>
                <w:color w:val="auto"/>
                <w:sz w:val="21"/>
                <w:szCs w:val="21"/>
                <w:lang w:val="en-US" w:eastAsia="zh-CN" w:bidi="ar"/>
              </w:rPr>
              <w:t xml:space="preserve">八</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提供</w:t>
            </w:r>
            <w:r>
              <w:rPr>
                <w:rFonts w:hint="eastAsia" w:ascii="宋体" w:hAnsi="宋体" w:cs="宋体"/>
                <w:color w:val="auto"/>
                <w:sz w:val="21"/>
                <w:szCs w:val="21"/>
                <w:lang w:val="en-US" w:eastAsia="zh-CN" w:bidi="ar"/>
              </w:rPr>
              <w:t xml:space="preserve">7.0T超高场专职科学家</w:t>
            </w:r>
            <w:r>
              <w:rPr>
                <w:rFonts w:hint="eastAsia" w:ascii="宋体" w:hAnsi="宋体" w:cs="宋体"/>
                <w:color w:val="auto"/>
                <w:sz w:val="21"/>
                <w:szCs w:val="21"/>
                <w:lang w:bidi="ar"/>
              </w:rPr>
              <w:t xml:space="preserve">驻场</w:t>
            </w:r>
            <w:r>
              <w:rPr>
                <w:rFonts w:hint="eastAsia" w:ascii="宋体" w:hAnsi="宋体" w:cs="宋体"/>
                <w:color w:val="auto"/>
                <w:sz w:val="21"/>
                <w:szCs w:val="21"/>
                <w:lang w:val="en-US" w:eastAsia="zh-CN" w:bidi="ar"/>
              </w:rPr>
              <w:t xml:space="preserve">支持</w:t>
            </w:r>
            <w:r>
              <w:rPr>
                <w:rFonts w:hint="eastAsia" w:ascii="宋体" w:hAnsi="宋体" w:cs="宋体"/>
                <w:color w:val="auto"/>
                <w:sz w:val="21"/>
                <w:szCs w:val="21"/>
                <w:lang w:bidi="ar"/>
              </w:rPr>
              <w:t xml:space="preserve">≥2年</w:t>
            </w:r>
            <w:r>
              <w:rPr>
                <w:rFonts w:hint="eastAsia" w:ascii="宋体" w:hAnsi="宋体" w:cs="宋体"/>
                <w:color w:val="auto"/>
                <w:sz w:val="21"/>
                <w:szCs w:val="21"/>
                <w:lang w:val="en-US" w:eastAsia="zh-CN" w:bidi="ar"/>
              </w:rPr>
              <w:t xml:space="preserve">（磁共振影像相关专业，有7.0T使用经验，博士以上学历</w:t>
            </w:r>
            <w:r>
              <w:rPr>
                <w:rFonts w:hint="eastAsia" w:ascii="宋体" w:hAnsi="宋体" w:cs="宋体"/>
                <w:color w:val="auto"/>
                <w:sz w:val="21"/>
                <w:szCs w:val="21"/>
                <w:lang w:bidi="ar"/>
              </w:rPr>
              <w:t xml:space="preserve">）</w:t>
            </w:r>
            <w:r/>
          </w:p>
        </w:tc>
        <w:tc>
          <w:tcPr>
            <w:tcW w:w="2945" w:type="dxa"/>
            <w:vAlign w:val="center"/>
            <w:textDirection w:val="lrTb"/>
            <w:noWrap w:val="false"/>
          </w:tcPr>
          <w:p>
            <w:pPr>
              <w:jc w:val="left"/>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widowControl/>
              <w:rPr>
                <w:rFonts w:eastAsia="Times New Roman"/>
                <w:color w:val="auto"/>
                <w:sz w:val="21"/>
                <w:szCs w:val="21"/>
              </w:rPr>
            </w:pPr>
            <w:r>
              <w:rPr>
                <w:rFonts w:hint="eastAsia" w:ascii="宋体" w:hAnsi="宋体" w:cs="宋体"/>
                <w:b/>
                <w:bCs/>
                <w:color w:val="auto"/>
                <w:sz w:val="21"/>
                <w:szCs w:val="21"/>
                <w:lang w:val="en-US" w:eastAsia="zh-CN" w:bidi="ar"/>
              </w:rPr>
              <w:t xml:space="preserve">▲九</w:t>
            </w:r>
            <w:r/>
          </w:p>
        </w:tc>
        <w:tc>
          <w:tcPr>
            <w:tcW w:w="5916" w:type="dxa"/>
            <w:vAlign w:val="center"/>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lang w:val="en-US" w:eastAsia="zh-CN" w:bidi="ar"/>
              </w:rPr>
              <w:t xml:space="preserve">配套</w:t>
            </w:r>
            <w:r>
              <w:rPr>
                <w:rFonts w:hint="eastAsia" w:ascii="宋体" w:hAnsi="宋体" w:cs="宋体"/>
                <w:color w:val="auto"/>
                <w:sz w:val="21"/>
                <w:szCs w:val="21"/>
                <w:lang w:bidi="ar"/>
              </w:rPr>
              <w:t xml:space="preserve">设备</w:t>
            </w:r>
            <w:r/>
          </w:p>
        </w:tc>
        <w:tc>
          <w:tcPr>
            <w:tcW w:w="2945" w:type="dxa"/>
            <w:vAlign w:val="center"/>
            <w:textDirection w:val="lrTb"/>
            <w:noWrap w:val="false"/>
          </w:tcPr>
          <w:p>
            <w:pPr>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rPr>
              <w:t xml:space="preserve">所提供设备需能与所投核磁主机配套使用</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31P核素双调谐头颅多核线圈：1套</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23Na核素双调谐头颅多核线圈：1套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9.3</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2H核素的双调谐头颅多核线圈：1套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9.4</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氘-标记的葡萄糖</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50</w:t>
            </w:r>
            <w:r>
              <w:rPr>
                <w:rFonts w:hint="eastAsia" w:ascii="宋体" w:hAnsi="宋体" w:cs="宋体"/>
                <w:color w:val="auto"/>
                <w:sz w:val="21"/>
                <w:szCs w:val="21"/>
                <w:lang w:val="en-US" w:eastAsia="zh-CN" w:bidi="ar"/>
              </w:rPr>
              <w:t xml:space="preserve">人份（40g/人份）</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9.5</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水冷机组：1套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9.6</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精密空调：1套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9.7</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val="en-US" w:eastAsia="zh-CN" w:bidi="ar"/>
              </w:rPr>
              <w:t xml:space="preserve">稳压</w:t>
            </w:r>
            <w:r>
              <w:rPr>
                <w:rFonts w:hint="eastAsia" w:ascii="宋体" w:hAnsi="宋体" w:cs="宋体"/>
                <w:color w:val="auto"/>
                <w:sz w:val="21"/>
                <w:szCs w:val="21"/>
                <w:lang w:bidi="ar"/>
              </w:rPr>
              <w:t xml:space="preserve">电源：1套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9.8</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患者视频监控系统：1套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w:t>
            </w:r>
            <w:r/>
          </w:p>
        </w:tc>
      </w:tr>
      <w:tr>
        <w:trPr>
          <w:cantSplit/>
          <w:trHeight w:val="90"/>
        </w:trPr>
        <w:tc>
          <w:tcPr>
            <w:tcW w:w="876" w:type="dxa"/>
            <w:vAlign w:val="bottom"/>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9.9</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脑功刺激仪：1套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9.10</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磁共振专用双立柱式铁磁探测系统：1套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9.11</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磁共振信号检测仪：1台</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9.12</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无磁高压注射器：1台</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提供产品注册证</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9.13</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AED：1台</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9.14</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无磁转运车辆：1辆</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9.15</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无磁轮椅：1个</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9.16</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无磁灭火器：1</w:t>
            </w:r>
            <w:r>
              <w:rPr>
                <w:rFonts w:hint="eastAsia" w:ascii="宋体" w:hAnsi="宋体" w:cs="宋体"/>
                <w:color w:val="auto"/>
                <w:sz w:val="21"/>
                <w:szCs w:val="21"/>
                <w:lang w:val="en-US" w:eastAsia="zh-CN" w:bidi="ar"/>
              </w:rPr>
              <w:t xml:space="preserve">套</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9.17</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无磁消毒仪：1台</w:t>
            </w:r>
            <w:r/>
          </w:p>
        </w:tc>
        <w:tc>
          <w:tcPr>
            <w:tcW w:w="2945" w:type="dxa"/>
            <w:vAlign w:val="top"/>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9.18</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线圈专用储存车辆：1辆</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9.19</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线圈支架：1个</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9.20</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磁共振机房及相关环境改造（包括磁体间×1、设备间×1、操作间×1、更衣间×1、注射室×1、阅片室×2、会议室×1等; 磁体间包括电磁屏蔽、射频屏蔽）</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9.21</w:t>
            </w:r>
            <w:r/>
          </w:p>
        </w:tc>
        <w:tc>
          <w:tcPr>
            <w:tcW w:w="5916" w:type="dxa"/>
            <w:vAlign w:val="center"/>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lang w:bidi="ar"/>
              </w:rPr>
              <w:t xml:space="preserve">20台医用6M诊断显示器（含质控模块）：分辨率3280×2048；屏幕最大亮度1300 cd/m2；屏幕对比度2000:1</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9.22</w:t>
            </w:r>
            <w:r/>
          </w:p>
        </w:tc>
        <w:tc>
          <w:tcPr>
            <w:tcW w:w="5916" w:type="dxa"/>
            <w:vAlign w:val="center"/>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lang w:bidi="ar"/>
              </w:rPr>
              <w:t xml:space="preserve">20套人体电动升降工学工位及配套电脑、显示器：尺寸1.5m*0.75m；材质：理化板桌面，亚克力屏风，钢结构桌腿；16G DDR5内存；1TSSD硬盘；正版操作系统；17升机箱；23.8英寸显示器；</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9.23</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激光投影仪及配套台式电脑、显示器、手提电脑1套：</w:t>
            </w:r>
            <w:bookmarkStart w:id="141" w:name="OLE_LINK3"/>
            <w:r>
              <w:rPr>
                <w:rFonts w:hint="eastAsia" w:ascii="宋体" w:hAnsi="宋体" w:cs="宋体"/>
                <w:color w:val="auto"/>
                <w:sz w:val="21"/>
                <w:szCs w:val="21"/>
                <w:lang w:val="en-US" w:eastAsia="zh-CN" w:bidi="ar"/>
              </w:rPr>
              <w:t xml:space="preserve">投影仪≥</w:t>
            </w:r>
            <w:r>
              <w:rPr>
                <w:rFonts w:hint="eastAsia" w:ascii="宋体" w:hAnsi="宋体" w:cs="宋体"/>
                <w:color w:val="auto"/>
                <w:sz w:val="21"/>
                <w:szCs w:val="21"/>
                <w:lang w:bidi="ar"/>
              </w:rPr>
              <w:t xml:space="preserve">5800流明</w:t>
            </w:r>
            <w:bookmarkEnd w:id="141"/>
            <w:r>
              <w:rPr>
                <w:rFonts w:hint="eastAsia"/>
                <w:color w:val="auto"/>
                <w:lang w:val="en-US" w:eastAsia="zh-CN"/>
              </w:rPr>
              <w:t xml:space="preserve"> </w:t>
            </w:r>
            <w:r>
              <w:rPr>
                <w:rFonts w:hint="eastAsia" w:ascii="宋体" w:hAnsi="宋体" w:cs="宋体"/>
                <w:color w:val="auto"/>
                <w:sz w:val="21"/>
                <w:szCs w:val="21"/>
                <w:lang w:bidi="ar"/>
              </w:rPr>
              <w:t xml:space="preserve">, 台式电脑及显示器1套、手提电脑1台</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76"/>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9.24</w:t>
            </w:r>
            <w:r/>
          </w:p>
        </w:tc>
        <w:tc>
          <w:tcPr>
            <w:tcW w:w="5916"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高端服务器2套：</w:t>
            </w:r>
            <w:r/>
          </w:p>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2×32核 64 线程 CPU；</w:t>
            </w:r>
            <w:r/>
          </w:p>
          <w:p>
            <w:pPr>
              <w:jc w:val="left"/>
              <w:widowControl/>
              <w:rPr>
                <w:rFonts w:ascii="宋体" w:hAnsi="宋体" w:cs="宋体"/>
                <w:color w:val="auto"/>
                <w:sz w:val="21"/>
                <w:szCs w:val="21"/>
                <w:lang w:val="fr-FR" w:bidi="ar"/>
              </w:rPr>
            </w:pPr>
            <w:r>
              <w:rPr>
                <w:rFonts w:hint="eastAsia" w:ascii="宋体" w:hAnsi="宋体" w:cs="宋体"/>
                <w:color w:val="auto"/>
                <w:sz w:val="21"/>
                <w:szCs w:val="21"/>
                <w:lang w:val="fr-FR" w:bidi="ar"/>
              </w:rPr>
              <w:t xml:space="preserve">8×64GB 2Rx4 DDR5-5600B(CAS-46-45-45) RDIMM；</w:t>
            </w:r>
            <w:r/>
          </w:p>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2×960GB 6G SATA SSD；</w:t>
            </w:r>
            <w:r/>
          </w:p>
          <w:p>
            <w:pPr>
              <w:jc w:val="left"/>
              <w:widowControl/>
              <w:rPr>
                <w:rFonts w:hint="eastAsia" w:ascii="宋体" w:hAnsi="宋体" w:cs="宋体"/>
                <w:color w:val="auto"/>
                <w:sz w:val="21"/>
                <w:szCs w:val="21"/>
              </w:rPr>
            </w:pPr>
            <w:r>
              <w:rPr>
                <w:rFonts w:ascii="宋体" w:hAnsi="宋体" w:cs="宋体"/>
                <w:color w:val="auto"/>
                <w:sz w:val="21"/>
                <w:szCs w:val="21"/>
                <w:lang w:bidi="ar"/>
              </w:rPr>
              <w:t xml:space="preserve">12×16TB 6G SATA 7.2K 3.5in EV 512e He </w:t>
            </w:r>
            <w:r>
              <w:rPr>
                <w:rFonts w:hint="eastAsia" w:ascii="宋体" w:hAnsi="宋体" w:cs="宋体"/>
                <w:color w:val="auto"/>
                <w:sz w:val="21"/>
                <w:szCs w:val="21"/>
                <w:lang w:bidi="ar"/>
              </w:rPr>
              <w:t xml:space="preserve">或同等性能以上</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提供产品品牌、型号</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9.25</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科室管理系统软件：必须包含人员信息化管理、设备信息化管理、智能排班、绩效分析管理、台账管理、质控管理、会议管理、教学管理模块</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162"/>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9.26</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结构化影像教学系统：必须包含影像病历库、晨读和病例讨论、教学考试、教学培训、资料管理、模拟报告模块</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9.27</w:t>
            </w:r>
            <w:r/>
          </w:p>
        </w:tc>
        <w:tc>
          <w:tcPr>
            <w:tcW w:w="5916" w:type="dxa"/>
            <w:vAlign w:val="center"/>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lang w:bidi="ar"/>
              </w:rPr>
              <w:t xml:space="preserve">人工智能辅助诊断软件：包含MR脑结构、脑纤维、脑静息DTI、脑小血管</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提供注册证</w:t>
            </w:r>
            <w:r/>
          </w:p>
        </w:tc>
      </w:tr>
      <w:tr>
        <w:trPr>
          <w:cantSplit/>
          <w:trHeight w:val="181"/>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9.28</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影像诊断质控软件：必须包含质控纠错管理、</w:t>
            </w:r>
            <w:r>
              <w:rPr>
                <w:rFonts w:ascii="宋体" w:hAnsi="宋体" w:cs="宋体"/>
                <w:color w:val="auto"/>
                <w:sz w:val="21"/>
                <w:szCs w:val="21"/>
                <w:lang w:bidi="ar"/>
              </w:rPr>
              <w:t xml:space="preserve">诊断报告评分</w:t>
            </w:r>
            <w:r>
              <w:rPr>
                <w:rFonts w:hint="eastAsia" w:ascii="宋体" w:hAnsi="宋体" w:cs="宋体"/>
                <w:color w:val="auto"/>
                <w:sz w:val="21"/>
                <w:szCs w:val="21"/>
                <w:lang w:bidi="ar"/>
              </w:rPr>
              <w:t xml:space="preserve">、</w:t>
            </w:r>
            <w:r>
              <w:rPr>
                <w:rFonts w:ascii="宋体" w:hAnsi="宋体" w:cs="宋体"/>
                <w:color w:val="auto"/>
                <w:sz w:val="21"/>
                <w:szCs w:val="21"/>
                <w:lang w:bidi="ar"/>
              </w:rPr>
              <w:t xml:space="preserve">危急值管理</w:t>
            </w:r>
            <w:r>
              <w:rPr>
                <w:rFonts w:hint="eastAsia" w:ascii="宋体" w:hAnsi="宋体" w:cs="宋体"/>
                <w:color w:val="auto"/>
                <w:sz w:val="21"/>
                <w:szCs w:val="21"/>
                <w:lang w:bidi="ar"/>
              </w:rPr>
              <w:t xml:space="preserve">、</w:t>
            </w:r>
            <w:r>
              <w:rPr>
                <w:rFonts w:ascii="宋体" w:hAnsi="宋体" w:cs="宋体"/>
                <w:color w:val="auto"/>
                <w:sz w:val="21"/>
                <w:szCs w:val="21"/>
                <w:lang w:bidi="ar"/>
              </w:rPr>
              <w:t xml:space="preserve">报告阴阳性</w:t>
            </w:r>
            <w:r>
              <w:rPr>
                <w:rFonts w:hint="eastAsia" w:ascii="宋体" w:hAnsi="宋体" w:cs="宋体"/>
                <w:color w:val="auto"/>
                <w:sz w:val="21"/>
                <w:szCs w:val="21"/>
                <w:lang w:bidi="ar"/>
              </w:rPr>
              <w:t xml:space="preserve">、</w:t>
            </w:r>
            <w:r>
              <w:rPr>
                <w:rFonts w:ascii="宋体" w:hAnsi="宋体" w:cs="宋体"/>
                <w:color w:val="auto"/>
                <w:sz w:val="21"/>
                <w:szCs w:val="21"/>
                <w:lang w:bidi="ar"/>
              </w:rPr>
              <w:t xml:space="preserve">PI-RADS管理</w:t>
            </w:r>
            <w:r>
              <w:rPr>
                <w:rFonts w:hint="eastAsia" w:ascii="宋体" w:hAnsi="宋体" w:cs="宋体"/>
                <w:color w:val="auto"/>
                <w:sz w:val="21"/>
                <w:szCs w:val="21"/>
                <w:lang w:bidi="ar"/>
              </w:rPr>
              <w:t xml:space="preserve">、</w:t>
            </w:r>
            <w:r>
              <w:rPr>
                <w:rFonts w:ascii="宋体" w:hAnsi="宋体" w:cs="宋体"/>
                <w:color w:val="auto"/>
                <w:sz w:val="21"/>
                <w:szCs w:val="21"/>
                <w:lang w:bidi="ar"/>
              </w:rPr>
              <w:t xml:space="preserve">BI-RADS管理</w:t>
            </w:r>
            <w:r>
              <w:rPr>
                <w:rFonts w:hint="eastAsia" w:ascii="宋体" w:hAnsi="宋体" w:cs="宋体"/>
                <w:color w:val="auto"/>
                <w:sz w:val="21"/>
                <w:szCs w:val="21"/>
                <w:lang w:bidi="ar"/>
              </w:rPr>
              <w:t xml:space="preserve">、</w:t>
            </w:r>
            <w:r>
              <w:rPr>
                <w:rFonts w:ascii="宋体" w:hAnsi="宋体" w:cs="宋体"/>
                <w:color w:val="auto"/>
                <w:sz w:val="21"/>
                <w:szCs w:val="21"/>
                <w:lang w:bidi="ar"/>
              </w:rPr>
              <w:t xml:space="preserve">报告复杂度</w:t>
            </w:r>
            <w:r>
              <w:rPr>
                <w:rFonts w:hint="eastAsia" w:ascii="宋体" w:hAnsi="宋体" w:cs="宋体"/>
                <w:color w:val="auto"/>
                <w:sz w:val="21"/>
                <w:szCs w:val="21"/>
                <w:lang w:bidi="ar"/>
              </w:rPr>
              <w:t xml:space="preserve">、绩效管理模块</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r>
        <w:trPr>
          <w:cantSplit/>
          <w:trHeight w:val="90"/>
        </w:trPr>
        <w:tc>
          <w:tcPr>
            <w:tcW w:w="876" w:type="dxa"/>
            <w:vAlign w:val="center"/>
            <w:textDirection w:val="lrTb"/>
            <w:noWrap w:val="false"/>
          </w:tcPr>
          <w:p>
            <w:pPr>
              <w:jc w:val="center"/>
              <w:rPr>
                <w:rFonts w:eastAsia="Times New Roman"/>
                <w:color w:val="auto"/>
                <w:sz w:val="21"/>
                <w:szCs w:val="21"/>
              </w:rPr>
            </w:pPr>
            <w:r>
              <w:rPr>
                <w:rFonts w:hint="eastAsia" w:ascii="Times New Roman" w:hAnsi="Times New Roman" w:eastAsia="Times New Roman" w:cs="Times New Roman"/>
                <w:color w:val="auto"/>
                <w:sz w:val="21"/>
                <w:szCs w:val="21"/>
                <w:lang w:val="en-US" w:eastAsia="zh-CN"/>
              </w:rPr>
              <w:t xml:space="preserve">9.29</w:t>
            </w:r>
            <w:r/>
          </w:p>
        </w:tc>
        <w:tc>
          <w:tcPr>
            <w:tcW w:w="5916" w:type="dxa"/>
            <w:vAlign w:val="center"/>
            <w:textDirection w:val="lrTb"/>
            <w:noWrap w:val="false"/>
          </w:tcPr>
          <w:p>
            <w:pPr>
              <w:widowControl/>
              <w:rPr>
                <w:rFonts w:hint="eastAsia" w:ascii="宋体" w:hAnsi="宋体" w:cs="宋体"/>
                <w:color w:val="auto"/>
                <w:sz w:val="21"/>
                <w:szCs w:val="21"/>
              </w:rPr>
            </w:pPr>
            <w:r>
              <w:rPr>
                <w:rFonts w:hint="eastAsia" w:ascii="宋体" w:hAnsi="宋体" w:cs="宋体"/>
                <w:color w:val="auto"/>
                <w:sz w:val="21"/>
                <w:szCs w:val="21"/>
                <w:lang w:bidi="ar"/>
              </w:rPr>
              <w:t xml:space="preserve">智能医学研究辅助平台：智能查房助手、脑影像定量分析平台；实体瘤辅助评估助手</w:t>
            </w:r>
            <w:r/>
          </w:p>
        </w:tc>
        <w:tc>
          <w:tcPr>
            <w:tcW w:w="2945" w:type="dxa"/>
            <w:vAlign w:val="center"/>
            <w:textDirection w:val="lrTb"/>
            <w:noWrap w:val="false"/>
          </w:tcPr>
          <w:p>
            <w:pPr>
              <w:widowControl/>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lang w:val="en-US" w:eastAsia="zh-CN" w:bidi="ar"/>
              </w:rPr>
              <w:t xml:space="preserve">提供</w:t>
            </w:r>
            <w:r/>
          </w:p>
        </w:tc>
      </w:tr>
    </w:tbl>
    <w:p>
      <w:pPr>
        <w:pStyle w:val="1027"/>
        <w:rPr>
          <w:rFonts w:ascii="黑体" w:hAnsi="黑体" w:eastAsia="黑体" w:cs="黑体"/>
          <w:b/>
          <w:bCs/>
          <w:color w:val="auto"/>
          <w:sz w:val="24"/>
          <w:szCs w:val="24"/>
          <w:lang w:val="en-US" w:eastAsia="zh-CN"/>
        </w:rPr>
      </w:pPr>
      <w:r>
        <w:rPr>
          <w:rFonts w:hint="eastAsia"/>
          <w:b/>
          <w:bCs/>
          <w:color w:val="auto"/>
          <w:sz w:val="24"/>
          <w:szCs w:val="24"/>
          <w:highlight w:val="none"/>
          <w:lang w:val="en-US" w:eastAsia="zh-CN"/>
        </w:rPr>
        <w:t xml:space="preserve">特别说明：以上</w:t>
      </w:r>
      <w:r>
        <w:rPr>
          <w:rFonts w:hint="eastAsia" w:ascii="宋体" w:hAnsi="宋体" w:eastAsia="宋体" w:cs="宋体"/>
          <w:b/>
          <w:bCs/>
          <w:i w:val="0"/>
          <w:iCs w:val="0"/>
          <w:color w:val="auto"/>
          <w:sz w:val="22"/>
          <w:szCs w:val="22"/>
          <w:u w:val="none"/>
          <w:lang w:val="en-US" w:eastAsia="zh-CN" w:bidi="ar"/>
        </w:rPr>
        <w:t xml:space="preserve">▲技术参数</w:t>
      </w:r>
      <w:r>
        <w:rPr>
          <w:rFonts w:hint="eastAsia" w:cs="宋体"/>
          <w:b/>
          <w:bCs/>
          <w:i w:val="0"/>
          <w:iCs w:val="0"/>
          <w:color w:val="auto"/>
          <w:sz w:val="22"/>
          <w:szCs w:val="22"/>
          <w:u w:val="none"/>
          <w:lang w:val="en-US" w:eastAsia="zh-CN" w:bidi="ar"/>
        </w:rPr>
        <w:t xml:space="preserve">需在响应文件中</w:t>
      </w:r>
      <w:r>
        <w:rPr>
          <w:rFonts w:hint="eastAsia" w:ascii="宋体" w:hAnsi="宋体" w:cs="宋体"/>
          <w:b/>
          <w:bCs/>
          <w:i w:val="0"/>
          <w:iCs w:val="0"/>
          <w:color w:val="auto"/>
          <w:sz w:val="22"/>
          <w:szCs w:val="22"/>
          <w:u w:val="none"/>
          <w:lang w:val="en-US" w:eastAsia="zh-CN" w:bidi="ar"/>
        </w:rPr>
        <w:t xml:space="preserve">提供</w:t>
      </w:r>
      <w:r>
        <w:rPr>
          <w:rFonts w:hint="eastAsia" w:ascii="宋体" w:hAnsi="宋体" w:eastAsia="宋体" w:cs="宋体"/>
          <w:b/>
          <w:bCs/>
          <w:i w:val="0"/>
          <w:iCs w:val="0"/>
          <w:color w:val="auto"/>
          <w:sz w:val="22"/>
          <w:szCs w:val="22"/>
          <w:u w:val="none"/>
          <w:lang w:val="en-US" w:eastAsia="zh-CN" w:bidi="ar"/>
        </w:rPr>
        <w:t xml:space="preserve">证明材料</w:t>
      </w:r>
      <w:r>
        <w:rPr>
          <w:rFonts w:hint="eastAsia" w:cs="宋体"/>
          <w:b/>
          <w:bCs/>
          <w:i w:val="0"/>
          <w:iCs w:val="0"/>
          <w:color w:val="auto"/>
          <w:sz w:val="22"/>
          <w:szCs w:val="22"/>
          <w:u w:val="none"/>
          <w:lang w:val="en-US" w:eastAsia="zh-CN" w:bidi="ar"/>
        </w:rPr>
        <w:t xml:space="preserve">（</w:t>
      </w:r>
      <w:r>
        <w:rPr>
          <w:rFonts w:hint="eastAsia" w:ascii="宋体" w:hAnsi="宋体" w:eastAsia="宋体" w:cs="宋体"/>
          <w:b/>
          <w:bCs/>
          <w:i w:val="0"/>
          <w:iCs w:val="0"/>
          <w:color w:val="auto"/>
          <w:sz w:val="22"/>
          <w:szCs w:val="22"/>
          <w:u w:val="none"/>
          <w:lang w:val="en-US" w:eastAsia="zh-CN" w:bidi="ar"/>
        </w:rPr>
        <w:t xml:space="preserve">提供与所投产品一致的最新原厂中文版技术白皮书</w:t>
      </w:r>
      <w:r>
        <w:rPr>
          <w:rFonts w:hint="eastAsia" w:ascii="宋体" w:hAnsi="宋体" w:cs="宋体"/>
          <w:b/>
          <w:bCs/>
          <w:i w:val="0"/>
          <w:iCs w:val="0"/>
          <w:color w:val="auto"/>
          <w:sz w:val="22"/>
          <w:szCs w:val="22"/>
          <w:u w:val="none"/>
          <w:lang w:val="en-US" w:eastAsia="zh-CN" w:bidi="ar"/>
        </w:rPr>
        <w:t xml:space="preserve">、产品彩页、官网截图或具有CMA标识的</w:t>
      </w:r>
      <w:r>
        <w:rPr>
          <w:rFonts w:hint="eastAsia" w:ascii="宋体" w:hAnsi="宋体" w:eastAsia="宋体" w:cs="宋体"/>
          <w:b/>
          <w:bCs/>
          <w:i w:val="0"/>
          <w:iCs w:val="0"/>
          <w:color w:val="auto"/>
          <w:sz w:val="22"/>
          <w:szCs w:val="22"/>
          <w:u w:val="none"/>
          <w:lang w:val="en-US" w:eastAsia="zh-CN" w:bidi="ar"/>
        </w:rPr>
        <w:t xml:space="preserve">有效检测报告</w:t>
      </w:r>
      <w:r>
        <w:rPr>
          <w:rFonts w:hint="eastAsia" w:cs="宋体"/>
          <w:b/>
          <w:bCs/>
          <w:i w:val="0"/>
          <w:iCs w:val="0"/>
          <w:color w:val="auto"/>
          <w:sz w:val="22"/>
          <w:szCs w:val="22"/>
          <w:u w:val="none"/>
          <w:lang w:val="en-US" w:eastAsia="zh-CN" w:bidi="ar"/>
        </w:rPr>
        <w:t xml:space="preserve">等，采购文件另有规定的，从其规定），否则不予认可。</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过程应严格遵守国家的相关法规、标准，供应商需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最终用户正常工作可能产生的不利影响，采取必要的措施将影响降到最低。</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质量要求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提供的设备应为全新、未使用过的原装合格正品,并且符合国家有关质量技术标准及相关法律、法规规定的要求。供应商签订合同前提供制造商出具《产品技术标准》(白皮书)，若经核实发现与响应文件不一致，将视为提供虚假材料。设备的质量标准、应用操作培训、售后服务及维修、耗材的供应价格等，按谈判文件要求、供应商响应文件承诺及国家规定的相关标准执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设备验收由最终用户单位负责具体实施；应当按照谈判文件的要求及响应文件承诺（以更优者为准）的配置要求对全部设备（如型号、规格、数量等）以及文件（如装箱清单、产品合格证明文件，使用说明书、软件介质等）进行验收；应当按照响应文件技术要求对设备应能实现的技术功能进行测试验收，在测试或运行中出现性能指标或功能上不符合响应文件承诺和合同要求时，供应商应及时解决。不符合谈判和响应文件要求的，将视情况按验收不合格设备进行处置。</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供应商交货前应对设备及配件作出全面检查和对验收文件进行整理，并列出清单。供应商交付设备及配件时，必须提交国家规定的关于其质量、价格、使用及售后服务的相关资料和文件，同时必须将本次响应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最终用户单位对供应商提供的设备在使用前进行调试时，供应商需负责安装并免费向最终用户单位提供现场技术培训，培训应按照供应商响应文件提供的培训方案实施，并协助最终用户单位一起调试，直到符合技术要求，最终用户单位才做最终验收。</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3.4验收时甲乙双方如果就质量问题有争议，可以委托江苏省省级法定检测机构进行检测评定。质量合格的检测费用由采购人承担，质量不合格的，检测费用由供应商承担。</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（4）质保（维保）及售后要求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w:t>
      </w:r>
      <w:r>
        <w:rPr>
          <w:rFonts w:ascii="宋体" w:hAnsi="宋体" w:eastAsia="宋体" w:cs="宋体"/>
          <w:b w:val="0"/>
          <w:bCs w:val="0"/>
          <w:color w:val="auto"/>
          <w:sz w:val="24"/>
          <w:szCs w:val="24"/>
          <w:highlight w:val="none"/>
          <w:lang w:val="en-US" w:eastAsia="zh-CN"/>
        </w:rPr>
        <w:t xml:space="preserve">质保期内</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每年维护保养1次</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维护保养及更换损坏件的费用包含在总价中。</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w:t>
      </w:r>
      <w:r>
        <w:rPr>
          <w:rFonts w:ascii="宋体" w:hAnsi="宋体" w:eastAsia="宋体" w:cs="宋体"/>
          <w:b w:val="0"/>
          <w:bCs w:val="0"/>
          <w:color w:val="auto"/>
          <w:sz w:val="24"/>
          <w:szCs w:val="24"/>
          <w:highlight w:val="none"/>
          <w:lang w:val="en-US" w:eastAsia="zh-CN"/>
        </w:rPr>
        <w:t xml:space="preserve">质保期内</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一旦产品发生质量问题</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供应商接到报修请求</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在2小时内响应</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12小时内维修人员到达现场进行修理、更换或退货</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auto"/>
          <w:sz w:val="24"/>
          <w:szCs w:val="24"/>
          <w:highlight w:val="none"/>
          <w:lang w:val="en-US" w:eastAsia="zh-CN"/>
        </w:rPr>
        <w:t xml:space="preserve">产品</w:t>
      </w:r>
      <w:r>
        <w:rPr>
          <w:rFonts w:ascii="宋体" w:hAnsi="宋体" w:eastAsia="宋体" w:cs="宋体"/>
          <w:b w:val="0"/>
          <w:bCs w:val="0"/>
          <w:color w:val="auto"/>
          <w:sz w:val="24"/>
          <w:szCs w:val="24"/>
          <w:highlight w:val="none"/>
          <w:lang w:val="en-US" w:eastAsia="zh-CN"/>
        </w:rPr>
        <w:t xml:space="preserve">的一切质量问题</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更换部件及</w:t>
      </w:r>
      <w:r>
        <w:rPr>
          <w:rFonts w:hint="eastAsia" w:ascii="宋体" w:hAnsi="宋体" w:eastAsia="宋体" w:cs="宋体"/>
          <w:b w:val="0"/>
          <w:bCs w:val="0"/>
          <w:color w:val="auto"/>
          <w:sz w:val="24"/>
          <w:szCs w:val="24"/>
          <w:highlight w:val="none"/>
          <w:lang w:val="en-US" w:eastAsia="zh-CN"/>
        </w:rPr>
        <w:t xml:space="preserve">产品</w:t>
      </w:r>
      <w:r>
        <w:rPr>
          <w:rFonts w:ascii="宋体" w:hAnsi="宋体" w:eastAsia="宋体" w:cs="宋体"/>
          <w:b w:val="0"/>
          <w:bCs w:val="0"/>
          <w:color w:val="auto"/>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应向采购人提供应急备用产品。 </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ascii="宋体" w:hAnsi="宋体" w:eastAsia="宋体" w:cs="宋体"/>
          <w:b/>
          <w:bCs/>
          <w:color w:val="auto"/>
          <w:sz w:val="24"/>
          <w:szCs w:val="24"/>
          <w:highlight w:val="none"/>
          <w:lang w:val="en-US" w:eastAsia="zh-CN"/>
        </w:rPr>
        <w:t xml:space="preserve">供应商提供设备整机</w:t>
      </w:r>
      <w:r>
        <w:rPr>
          <w:rFonts w:hint="eastAsia" w:ascii="宋体" w:hAnsi="宋体" w:cs="宋体"/>
          <w:b/>
          <w:bCs/>
          <w:color w:val="auto"/>
          <w:sz w:val="24"/>
          <w:szCs w:val="24"/>
          <w:highlight w:val="none"/>
          <w:lang w:val="en-US" w:eastAsia="zh-CN"/>
        </w:rPr>
        <w:t xml:space="preserve">贰</w:t>
      </w:r>
      <w:r>
        <w:rPr>
          <w:rFonts w:ascii="宋体" w:hAnsi="宋体" w:eastAsia="宋体" w:cs="宋体"/>
          <w:b/>
          <w:bCs/>
          <w:color w:val="auto"/>
          <w:sz w:val="24"/>
          <w:szCs w:val="24"/>
          <w:highlight w:val="none"/>
          <w:lang w:val="en-US" w:eastAsia="zh-CN"/>
        </w:rPr>
        <w:t xml:space="preserve">年及以上原厂免费保修</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val="en-US" w:eastAsia="zh-CN"/>
        </w:rPr>
        <w:t xml:space="preserve">所配置的全部第三方产品</w:t>
      </w:r>
      <w:r>
        <w:rPr>
          <w:rFonts w:hint="eastAsia" w:ascii="宋体" w:hAnsi="宋体" w:cs="宋体"/>
          <w:b/>
          <w:bCs/>
          <w:color w:val="auto"/>
          <w:sz w:val="24"/>
          <w:szCs w:val="24"/>
          <w:highlight w:val="none"/>
          <w:lang w:val="en-US" w:eastAsia="zh-CN"/>
        </w:rPr>
        <w:t xml:space="preserve">贰</w:t>
      </w:r>
      <w:r>
        <w:rPr>
          <w:rFonts w:ascii="宋体" w:hAnsi="宋体" w:eastAsia="宋体" w:cs="宋体"/>
          <w:b/>
          <w:bCs/>
          <w:color w:val="auto"/>
          <w:sz w:val="24"/>
          <w:szCs w:val="24"/>
          <w:highlight w:val="none"/>
          <w:lang w:val="en-US" w:eastAsia="zh-CN"/>
        </w:rPr>
        <w:t xml:space="preserve">年及以上原厂免费保修</w:t>
      </w:r>
      <w:r>
        <w:rPr>
          <w:rFonts w:hint="eastAsia" w:ascii="宋体" w:hAnsi="宋体" w:eastAsia="宋体" w:cs="宋体"/>
          <w:b/>
          <w:bCs/>
          <w:color w:val="auto"/>
          <w:sz w:val="24"/>
          <w:szCs w:val="24"/>
          <w:highlight w:val="none"/>
          <w:lang w:val="en-US" w:eastAsia="zh-CN"/>
        </w:rPr>
        <w:t xml:space="preserve">，免费开放科研平台，在保证设备稳定运行的基础上，配套软件终身免费升级及使用。质保期内维修（人为因素除外）费用包含在总价中，保修期结束后应保证原厂整机年维保费（包括所有零配件以及所配置的全部第三方产品以及人工服务）不得高于相应分项报价的5%，并根据医院实际需求进行协商，但须按照相关法律法规及流程执行。</w:t>
      </w:r>
      <w:r/>
    </w:p>
    <w:p>
      <w:pPr>
        <w:ind w:firstLine="480"/>
        <w:keepLines w:val="0"/>
        <w:keepNext w:val="0"/>
        <w:pageBreakBefore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ascii="宋体" w:hAnsi="宋体" w:eastAsia="宋体" w:cs="宋体"/>
          <w:color w:val="auto"/>
          <w:sz w:val="24"/>
          <w:szCs w:val="24"/>
        </w:rPr>
      </w:pPr>
      <w:r>
        <w:rPr>
          <w:rFonts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12个月</w:t>
      </w:r>
      <w:r>
        <w:rPr>
          <w:rFonts w:ascii="宋体" w:hAnsi="宋体" w:eastAsia="宋体" w:cs="宋体"/>
          <w:color w:val="auto"/>
          <w:sz w:val="24"/>
          <w:szCs w:val="24"/>
        </w:rPr>
        <w:t xml:space="preserve">内交付并完成安装调试及验收等相关工作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142" w:name="OLE_LINK1"/>
      <w:r>
        <w:rPr>
          <w:rFonts w:hint="eastAsia" w:ascii="宋体" w:hAnsi="宋体" w:eastAsia="宋体" w:cs="宋体"/>
          <w:color w:val="auto"/>
          <w:sz w:val="24"/>
          <w:szCs w:val="24"/>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bookmarkEnd w:id="142"/>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0"/>
        <w:spacing w:line="0" w:lineRule="atLeast"/>
        <w:rPr>
          <w:rFonts w:hint="eastAsia" w:ascii="宋体" w:hAnsi="宋体"/>
          <w:color w:val="auto"/>
          <w:sz w:val="24"/>
          <w:szCs w:val="21"/>
        </w:rPr>
      </w:pPr>
      <w:r>
        <w:rPr>
          <w:rFonts w:hint="eastAsia" w:ascii="宋体" w:hAnsi="宋体"/>
          <w:color w:val="auto"/>
          <w:sz w:val="24"/>
          <w:szCs w:val="21"/>
        </w:rPr>
      </w:r>
      <w:r/>
    </w:p>
    <w:p>
      <w:pPr>
        <w:spacing w:line="0" w:lineRule="atLeast"/>
        <w:rPr>
          <w:rFonts w:hint="eastAsia" w:ascii="宋体" w:hAnsi="宋体"/>
          <w:color w:val="auto"/>
          <w:sz w:val="24"/>
          <w:szCs w:val="24"/>
        </w:rPr>
      </w:pPr>
      <w:r>
        <w:rPr>
          <w:rFonts w:hint="eastAsia" w:ascii="宋体" w:hAnsi="宋体"/>
          <w:color w:val="auto"/>
          <w:sz w:val="24"/>
          <w:szCs w:val="24"/>
        </w:rPr>
      </w:r>
      <w:r/>
    </w:p>
    <w:p>
      <w:pPr>
        <w:ind w:firstLine="480"/>
        <w:spacing w:line="560" w:lineRule="exact"/>
        <w:rPr>
          <w:rFonts w:hint="eastAsia" w:ascii="宋体" w:hAnsi="宋体"/>
          <w:color w:val="auto"/>
          <w:sz w:val="24"/>
          <w:szCs w:val="21"/>
        </w:rPr>
      </w:pPr>
      <w:r>
        <w:rPr>
          <w:rFonts w:hint="eastAsia" w:ascii="宋体" w:hAnsi="宋体"/>
          <w:color w:val="auto"/>
          <w:sz w:val="24"/>
          <w:szCs w:val="21"/>
        </w:rPr>
      </w:r>
      <w:r/>
    </w:p>
    <w:p>
      <w:pPr>
        <w:jc w:val="center"/>
        <w:spacing w:before="120" w:after="120" w:line="0" w:lineRule="atLeast"/>
        <w:rPr>
          <w:rFonts w:hint="eastAsia" w:ascii="方正小标宋简体" w:hAnsi="方正小标宋简体" w:eastAsia="方正小标宋简体" w:cs="方正小标宋简体"/>
          <w:color w:val="auto"/>
          <w:sz w:val="36"/>
          <w:szCs w:val="36"/>
          <w:lang w:val="en-US"/>
        </w:rPr>
        <w:outlineLvl w:val="0"/>
      </w:pPr>
      <w:r>
        <w:rPr>
          <w:rFonts w:hint="eastAsia" w:ascii="宋体" w:hAnsi="宋体" w:eastAsia="宋体" w:cs="宋体"/>
          <w:b/>
          <w:bCs/>
          <w:color w:val="auto"/>
          <w:sz w:val="24"/>
          <w:szCs w:val="24"/>
          <w:highlight w:val="none"/>
          <w:u w:val="none"/>
          <w:lang w:val="en-US" w:eastAsia="zh-CN"/>
        </w:rPr>
        <w:br w:type="page" w:clear="all"/>
      </w:r>
      <w:bookmarkStart w:id="143" w:name="_Toc120614281"/>
      <w:r>
        <w:rPr>
          <w:rFonts w:hint="eastAsia" w:ascii="方正小标宋简体" w:hAnsi="方正小标宋简体" w:eastAsia="方正小标宋简体" w:cs="方正小标宋简体"/>
          <w:color w:val="auto"/>
          <w:sz w:val="36"/>
          <w:szCs w:val="36"/>
          <w:lang w:val="en-US"/>
        </w:rPr>
        <w:t xml:space="preserve">第</w:t>
      </w:r>
      <w:r>
        <w:rPr>
          <w:rFonts w:hint="eastAsia" w:ascii="方正小标宋简体" w:hAnsi="方正小标宋简体" w:eastAsia="方正小标宋简体" w:cs="方正小标宋简体"/>
          <w:color w:val="auto"/>
          <w:sz w:val="36"/>
          <w:szCs w:val="36"/>
          <w:lang w:val="en-US" w:eastAsia="zh-CN"/>
        </w:rPr>
        <w:t xml:space="preserve">五</w:t>
      </w:r>
      <w:r>
        <w:rPr>
          <w:rFonts w:hint="eastAsia" w:ascii="方正小标宋简体" w:hAnsi="方正小标宋简体" w:eastAsia="方正小标宋简体" w:cs="方正小标宋简体"/>
          <w:color w:val="auto"/>
          <w:sz w:val="36"/>
          <w:szCs w:val="36"/>
          <w:lang w:val="en-US"/>
        </w:rPr>
        <w:t xml:space="preserve">章</w:t>
      </w:r>
      <w:r>
        <w:rPr>
          <w:rFonts w:hint="eastAsia" w:ascii="方正小标宋简体" w:hAnsi="方正小标宋简体" w:eastAsia="方正小标宋简体" w:cs="方正小标宋简体"/>
          <w:color w:val="auto"/>
          <w:sz w:val="36"/>
          <w:szCs w:val="36"/>
          <w:lang w:val="en-US" w:eastAsia="zh-CN"/>
        </w:rPr>
        <w:t xml:space="preserve">  </w:t>
      </w:r>
      <w:r>
        <w:rPr>
          <w:rFonts w:hint="eastAsia" w:ascii="方正小标宋简体" w:hAnsi="方正小标宋简体" w:eastAsia="方正小标宋简体" w:cs="方正小标宋简体"/>
          <w:color w:val="auto"/>
          <w:sz w:val="36"/>
          <w:szCs w:val="36"/>
          <w:lang w:val="en-US"/>
        </w:rPr>
        <w:t xml:space="preserve">成交标准</w:t>
      </w:r>
      <w:r/>
    </w:p>
    <w:p>
      <w:pPr>
        <w:ind w:firstLine="420"/>
        <w:keepLines w:val="0"/>
        <w:keepNext w:val="0"/>
        <w:pageBreakBefore w:val="0"/>
        <w:spacing w:line="288" w:lineRule="auto"/>
        <w:widowControl w:val="off"/>
        <w:rPr>
          <w:rFonts w:hint="eastAsia"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eastAsia="zh-CN"/>
        </w:rPr>
      </w:r>
      <w:r/>
    </w:p>
    <w:p>
      <w:pPr>
        <w:ind w:firstLine="480"/>
        <w:keepLines w:val="0"/>
        <w:keepNext w:val="0"/>
        <w:pageBreakBefore w:val="0"/>
        <w:spacing w:line="288"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一、成交标准</w:t>
      </w:r>
      <w:r/>
    </w:p>
    <w:p>
      <w:pPr>
        <w:ind w:firstLine="480"/>
        <w:keepLines w:val="0"/>
        <w:keepNext w:val="0"/>
        <w:pageBreakBefore w:val="0"/>
        <w:spacing w:line="288"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谈判小组从质量和服务均能满足谈判文件实质性要求的供应商中，按照</w:t>
      </w:r>
      <w:r>
        <w:rPr>
          <w:rFonts w:hint="eastAsia" w:ascii="宋体" w:hAnsi="宋体" w:eastAsia="宋体" w:cs="宋体"/>
          <w:color w:val="auto"/>
          <w:sz w:val="24"/>
          <w:szCs w:val="24"/>
          <w:lang w:val="en-US" w:eastAsia="zh-CN"/>
        </w:rPr>
        <w:t xml:space="preserve">评审价格</w:t>
      </w:r>
      <w:r>
        <w:rPr>
          <w:rFonts w:hint="eastAsia" w:ascii="宋体" w:hAnsi="宋体" w:eastAsia="宋体" w:cs="宋体"/>
          <w:color w:val="auto"/>
          <w:sz w:val="24"/>
          <w:szCs w:val="24"/>
          <w:lang w:val="zh-CN" w:eastAsia="zh-CN"/>
        </w:rPr>
        <w:t xml:space="preserve">由低到高顺序推荐</w:t>
      </w:r>
      <w:r>
        <w:rPr>
          <w:rFonts w:hint="eastAsia" w:ascii="宋体" w:hAnsi="宋体" w:cs="Times New Roman"/>
          <w:b w:val="0"/>
          <w:bCs w:val="0"/>
          <w:color w:val="auto"/>
          <w:sz w:val="24"/>
          <w:szCs w:val="24"/>
          <w:highlight w:val="none"/>
          <w:u w:val="none"/>
          <w:lang w:val="en-US" w:eastAsia="zh-CN"/>
        </w:rPr>
        <w:t xml:space="preserve">2</w:t>
      </w:r>
      <w:r>
        <w:rPr>
          <w:rFonts w:hint="eastAsia" w:ascii="宋体" w:hAnsi="宋体" w:eastAsia="宋体" w:cs="Times New Roman"/>
          <w:b w:val="0"/>
          <w:bCs w:val="0"/>
          <w:color w:val="auto"/>
          <w:sz w:val="24"/>
          <w:szCs w:val="24"/>
          <w:highlight w:val="none"/>
          <w:u w:val="none"/>
          <w:lang w:val="zh-CN" w:eastAsia="zh-CN"/>
        </w:rPr>
        <w:t xml:space="preserve">名</w:t>
      </w:r>
      <w:r>
        <w:rPr>
          <w:rFonts w:hint="eastAsia" w:ascii="宋体" w:hAnsi="宋体" w:eastAsia="宋体" w:cs="宋体"/>
          <w:color w:val="auto"/>
          <w:sz w:val="24"/>
          <w:szCs w:val="24"/>
          <w:lang w:val="zh-CN" w:eastAsia="zh-CN"/>
        </w:rPr>
        <w:t xml:space="preserve">成交候选供应商。</w:t>
      </w:r>
      <w:r/>
    </w:p>
    <w:p>
      <w:pPr>
        <w:pStyle w:val="935"/>
        <w:ind w:firstLine="480"/>
        <w:spacing w:line="288"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 xml:space="preserve">2.供应商的评审价格如相同，按照供应商递交响应文件的先后顺序进行排名。</w:t>
      </w:r>
      <w:r/>
    </w:p>
    <w:p>
      <w:pPr>
        <w:ind w:firstLine="480"/>
        <w:spacing w:line="288" w:lineRule="auto"/>
        <w:widowControl w:val="off"/>
        <w:rPr>
          <w:rFonts w:hint="eastAsia" w:ascii="黑体" w:hAnsi="黑体" w:eastAsia="黑体" w:cs="黑体"/>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color w:val="auto"/>
          <w:sz w:val="24"/>
          <w:szCs w:val="24"/>
          <w:lang w:val="en-US" w:eastAsia="zh-CN"/>
        </w:rPr>
        <w:t xml:space="preserve">本国产品价格扣除</w:t>
      </w:r>
      <w:r/>
    </w:p>
    <w:p>
      <w:pPr>
        <w:ind w:firstLine="420"/>
        <w:spacing w:line="288"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 xml:space="preserve">1.</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en-US" w:eastAsia="zh-CN"/>
        </w:rPr>
        <w:t xml:space="preserve">项目如</w:t>
      </w:r>
      <w:r>
        <w:rPr>
          <w:rFonts w:hint="eastAsia" w:ascii="宋体" w:hAnsi="宋体" w:eastAsia="宋体" w:cs="Times New Roman"/>
          <w:color w:val="auto"/>
          <w:sz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color w:val="auto"/>
          <w:sz w:val="24"/>
          <w:szCs w:val="24"/>
          <w:highlight w:val="none"/>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按照谈判文件要求在《分项报价表》中作出承诺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spacing w:line="288"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en-US" w:eastAsia="zh-CN"/>
        </w:rPr>
        <w:t xml:space="preserve">3.供应商需按照谈判文件要求提供《关于符合本国产品标准的声明函》，如不提供将不享受本国产品价格评审优惠。</w:t>
      </w:r>
      <w:r>
        <w:rPr>
          <w:rFonts w:hint="eastAsia" w:ascii="宋体" w:hAnsi="宋体" w:eastAsia="宋体" w:cs="Times New Roman"/>
          <w:color w:val="auto"/>
          <w:sz w:val="24"/>
          <w:szCs w:val="22"/>
          <w:highlight w:val="none"/>
        </w:rPr>
        <w:t xml:space="preserve">供应商需在《声明函》</w:t>
      </w:r>
      <w:r>
        <w:rPr>
          <w:rFonts w:hint="eastAsia" w:ascii="宋体" w:hAnsi="宋体" w:eastAsia="宋体" w:cs="Times New Roman"/>
          <w:color w:val="auto"/>
          <w:sz w:val="24"/>
          <w:szCs w:val="22"/>
          <w:highlight w:val="none"/>
          <w:lang w:val="en-US" w:eastAsia="zh-CN"/>
        </w:rPr>
        <w:t xml:space="preserve">中逐项</w:t>
      </w:r>
      <w:r>
        <w:rPr>
          <w:rFonts w:hint="eastAsia" w:ascii="宋体" w:hAnsi="宋体" w:eastAsia="宋体" w:cs="Times New Roman"/>
          <w:color w:val="auto"/>
          <w:sz w:val="24"/>
          <w:szCs w:val="22"/>
          <w:highlight w:val="none"/>
        </w:rPr>
        <w:t xml:space="preserve">准确填写产品名称、厂名、生产厂址三项信息，三项信息中任意一项未填写的视为该项产品不符合本国产品标准，不享受本国产品价格评审优惠。</w:t>
      </w:r>
      <w:r/>
    </w:p>
    <w:p>
      <w:pPr>
        <w:ind w:firstLine="480"/>
        <w:spacing w:line="288" w:lineRule="auto"/>
        <w:rPr>
          <w:rFonts w:hint="eastAsia" w:ascii="黑体" w:hAnsi="黑体" w:eastAsia="黑体" w:cs="黑体"/>
          <w:color w:val="auto"/>
          <w:sz w:val="24"/>
          <w:szCs w:val="24"/>
          <w:lang w:val="en-US" w:eastAsia="zh-CN"/>
        </w:rPr>
      </w:pP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b/>
          <w:bCs/>
          <w:color w:val="auto"/>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88" w:lineRule="auto"/>
        <w:rPr>
          <w:rFonts w:hint="eastAsia" w:ascii="黑体" w:hAnsi="黑体" w:eastAsia="黑体" w:cs="黑体"/>
          <w:b w:val="0"/>
          <w:bCs w:val="0"/>
          <w:color w:val="auto"/>
          <w:sz w:val="24"/>
          <w:szCs w:val="24"/>
          <w:lang w:val="en-US"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lang w:val="en-US" w:eastAsia="zh-CN"/>
        </w:rPr>
        <w:t xml:space="preserve">小微企业价格扣除</w:t>
      </w:r>
      <w:r/>
    </w:p>
    <w:p>
      <w:pPr>
        <w:ind w:firstLine="420"/>
        <w:keepLines w:val="0"/>
        <w:keepNext w:val="0"/>
        <w:pageBreakBefore w:val="0"/>
        <w:spacing w:line="288" w:lineRule="auto"/>
        <w:widowControl w:val="off"/>
        <w:rPr>
          <w:rFonts w:hint="eastAsia" w:ascii="宋体" w:hAnsi="宋体" w:eastAsia="宋体" w:cs="Times New Roman"/>
          <w:color w:val="auto"/>
          <w:sz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Times New Roman"/>
          <w:color w:val="auto"/>
          <w:sz w:val="24"/>
          <w:lang w:val="zh-CN" w:eastAsia="zh-CN"/>
        </w:rPr>
        <w:t xml:space="preserve">本项目全部货物制造商为小微企业的，</w:t>
      </w:r>
      <w:r>
        <w:rPr>
          <w:rFonts w:hint="eastAsia" w:ascii="宋体" w:hAnsi="宋体" w:eastAsia="宋体" w:cs="Times New Roman"/>
          <w:color w:val="auto"/>
          <w:sz w:val="24"/>
          <w:lang w:val="en-US" w:eastAsia="zh-CN"/>
        </w:rPr>
        <w:t xml:space="preserve">对报价给予</w:t>
      </w:r>
      <w:r>
        <w:rPr>
          <w:rFonts w:hint="eastAsia" w:ascii="宋体" w:hAnsi="宋体" w:eastAsia="宋体" w:cs="Times New Roman"/>
          <w:b w:val="0"/>
          <w:bCs w:val="0"/>
          <w:color w:val="auto"/>
          <w:sz w:val="24"/>
          <w:szCs w:val="24"/>
          <w:highlight w:val="none"/>
          <w:u w:val="none"/>
          <w:lang w:val="zh-CN" w:eastAsia="zh-CN"/>
        </w:rPr>
        <w:t xml:space="preserve">10%</w:t>
      </w:r>
      <w:r>
        <w:rPr>
          <w:rFonts w:hint="eastAsia" w:ascii="宋体" w:hAnsi="宋体" w:eastAsia="宋体" w:cs="Times New Roman"/>
          <w:color w:val="auto"/>
          <w:sz w:val="24"/>
          <w:lang w:val="en-US" w:eastAsia="zh-CN"/>
        </w:rPr>
        <w:t xml:space="preserve">的扣除，用扣除后的价格参与评审。</w:t>
      </w:r>
      <w:r/>
    </w:p>
    <w:p>
      <w:pPr>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highlight w:val="none"/>
          <w:lang w:val="en-US"/>
        </w:rPr>
        <w:t xml:space="preserve">第</w:t>
      </w:r>
      <w:r>
        <w:rPr>
          <w:rFonts w:hint="eastAsia" w:ascii="方正小标宋简体" w:hAnsi="方正小标宋简体" w:eastAsia="方正小标宋简体" w:cs="方正小标宋简体"/>
          <w:color w:val="auto"/>
          <w:sz w:val="36"/>
          <w:szCs w:val="36"/>
          <w:highlight w:val="none"/>
          <w:lang w:val="en-US" w:eastAsia="zh-CN"/>
        </w:rPr>
        <w:t xml:space="preserve">六</w:t>
      </w:r>
      <w:r>
        <w:rPr>
          <w:rFonts w:hint="eastAsia" w:ascii="方正小标宋简体" w:hAnsi="方正小标宋简体" w:eastAsia="方正小标宋简体" w:cs="方正小标宋简体"/>
          <w:color w:val="auto"/>
          <w:sz w:val="36"/>
          <w:szCs w:val="36"/>
          <w:highlight w:val="none"/>
          <w:lang w:val="en-US"/>
        </w:rPr>
        <w:t xml:space="preserve">章  响应文件格式 </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both"/>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谈判响应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谈判报价表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ascii="宋体" w:hAnsi="宋体"/>
          <w:color w:val="auto"/>
          <w:sz w:val="24"/>
          <w:szCs w:val="21"/>
          <w:highlight w:val="none"/>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关于符合本国产品标准的声明函（如有）</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ascii="宋体" w:hAnsi="宋体"/>
          <w:color w:val="auto"/>
          <w:sz w:val="24"/>
          <w:szCs w:val="21"/>
          <w:highlight w:val="none"/>
        </w:rPr>
        <w:br w:type="page" w:clear="all"/>
      </w: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23"/>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93"/>
        <w:ind w:firstLine="480"/>
        <w:spacing w:line="420" w:lineRule="exact"/>
        <w:rPr>
          <w:rFonts w:hint="eastAsia"/>
          <w:color w:val="auto"/>
          <w:sz w:val="24"/>
          <w:szCs w:val="24"/>
          <w:highlight w:val="none"/>
        </w:rPr>
      </w:pPr>
      <w:r>
        <w:rPr>
          <w:rFonts w:hint="eastAsia"/>
          <w:color w:val="auto"/>
          <w:sz w:val="24"/>
          <w:szCs w:val="24"/>
          <w:highlight w:val="none"/>
        </w:rPr>
      </w:r>
      <w:r/>
    </w:p>
    <w:p>
      <w:pPr>
        <w:pStyle w:val="993"/>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的政府采购活动，由其代表我方办理上述项目在响应、谈判、澄清确认过程中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93"/>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谈判</w:t>
      </w:r>
      <w:r>
        <w:rPr>
          <w:rFonts w:hint="eastAsia"/>
          <w:color w:val="auto"/>
          <w:sz w:val="24"/>
          <w:szCs w:val="24"/>
          <w:highlight w:val="none"/>
        </w:rPr>
        <w:t xml:space="preserve">有效期届满之日止。</w:t>
      </w:r>
      <w:r/>
    </w:p>
    <w:p>
      <w:pPr>
        <w:pStyle w:val="993"/>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93"/>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93"/>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93"/>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93"/>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93"/>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730"/>
        <w:ind w:firstLine="0"/>
        <w:rPr>
          <w:rFonts w:hint="eastAsia"/>
          <w:color w:val="auto"/>
          <w:highlight w:val="none"/>
        </w:rPr>
      </w:pPr>
      <w:r>
        <w:rPr>
          <w:rFonts w:hint="eastAsia"/>
          <w:color w:val="auto"/>
          <w:highlight w:val="none"/>
        </w:rPr>
      </w:r>
      <w:r/>
    </w:p>
    <w:p>
      <w:pPr>
        <w:pStyle w:val="993"/>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93"/>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93"/>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（仅限谈判文件注明允许分支机构投标情形）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93"/>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93"/>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93"/>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93"/>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5.未按谈判文件要求和格式提供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楷体" w:hAnsi="楷体" w:eastAsia="楷体"/>
          <w:bCs/>
          <w:color w:val="auto"/>
          <w:sz w:val="24"/>
          <w:szCs w:val="24"/>
          <w:highlight w:val="none"/>
        </w:rPr>
        <w:br w:type="page" w:clear="all"/>
      </w:r>
      <w:r>
        <w:rPr>
          <w:rFonts w:hint="eastAsia" w:ascii="黑体" w:hAnsi="黑体" w:eastAsia="黑体" w:cs="Times New Roman"/>
          <w:i w:val="0"/>
          <w:color w:val="auto"/>
          <w:sz w:val="32"/>
          <w:szCs w:val="32"/>
          <w:highlight w:val="none"/>
          <w:u w:val="none"/>
          <w:lang w:val="en-US" w:eastAsia="zh-CN"/>
        </w:rPr>
        <w:t xml:space="preserve">三、谈判响应函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谈判响应函</w:t>
      </w:r>
      <w:r/>
    </w:p>
    <w:p>
      <w:pPr>
        <w:pStyle w:val="995"/>
        <w:ind w:firstLine="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致：                    （采购人名称）</w:t>
      </w:r>
      <w:r/>
    </w:p>
    <w:p>
      <w:pPr>
        <w:pStyle w:val="995"/>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olor w:val="auto"/>
          <w:szCs w:val="21"/>
          <w:highlight w:val="none"/>
          <w:lang w:eastAsia="zh-CN"/>
        </w:rPr>
        <w:t xml:space="preserve">谈判</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交谈判响应函，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1.按谈判文件规定的各项要求</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向</w:t>
      </w:r>
      <w:r>
        <w:rPr>
          <w:rFonts w:hint="eastAsia" w:ascii="宋体" w:hAnsi="宋体"/>
          <w:color w:val="auto"/>
          <w:szCs w:val="21"/>
          <w:highlight w:val="none"/>
        </w:rPr>
        <w:t xml:space="preserve">贵</w:t>
      </w:r>
      <w:r>
        <w:rPr>
          <w:rFonts w:hint="eastAsia" w:ascii="宋体" w:hAnsi="宋体" w:eastAsia="宋体" w:cs="Times New Roman"/>
          <w:color w:val="auto"/>
          <w:szCs w:val="21"/>
          <w:highlight w:val="none"/>
        </w:rPr>
        <w:t xml:space="preserve">方提供所需货物、服务（包含与货物相关的服务</w:t>
      </w:r>
      <w:r>
        <w:rPr>
          <w:rFonts w:hint="eastAsia" w:ascii="宋体" w:hAnsi="宋体" w:eastAsia="宋体" w:cs="Times New Roman"/>
          <w:color w:val="auto"/>
          <w:szCs w:val="21"/>
          <w:highlight w:val="none"/>
          <w:lang w:val="en-US" w:eastAsia="zh-CN"/>
        </w:rPr>
        <w:t xml:space="preserve">或</w:t>
      </w:r>
      <w:r>
        <w:rPr>
          <w:rFonts w:hint="eastAsia" w:ascii="宋体" w:hAnsi="宋体" w:eastAsia="宋体" w:cs="Times New Roman"/>
          <w:color w:val="auto"/>
          <w:szCs w:val="21"/>
          <w:highlight w:val="none"/>
        </w:rPr>
        <w:t xml:space="preserve">与服务相关的货物）。</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2.我们已详细审核全部谈判文件及其有效补充文件</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我们知道必须放弃提出含糊不清或误解问题的权利。</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3.我们同意从规定的</w:t>
      </w:r>
      <w:r>
        <w:rPr>
          <w:rFonts w:hint="eastAsia" w:ascii="宋体" w:hAnsi="宋体" w:eastAsia="宋体" w:cs="Times New Roman"/>
          <w:color w:val="auto"/>
          <w:szCs w:val="21"/>
          <w:highlight w:val="none"/>
          <w:lang w:eastAsia="zh-CN"/>
        </w:rPr>
        <w:t xml:space="preserve">谈判</w:t>
      </w:r>
      <w:r>
        <w:rPr>
          <w:rFonts w:hint="eastAsia" w:ascii="宋体" w:hAnsi="宋体" w:eastAsia="宋体" w:cs="Times New Roman"/>
          <w:color w:val="auto"/>
          <w:szCs w:val="21"/>
          <w:highlight w:val="none"/>
        </w:rPr>
        <w:t xml:space="preserve">日期起遵循本响应文件</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并在规定的谈判有效期期满之前均具有约束力。</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4.同意向贵方提供贵方可能另外要求的与谈判有关的任何证据或资料</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并保证我方已提供和将要提供的文件是真实的、准确的。</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5.一旦我方成交,我方将根据谈判文件的规定</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严格履行合同的责任和义务,并保证在谈判文件规定的时间完成项目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交付贵方验收、使用。</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727"/>
        <w:rPr>
          <w:rFonts w:hint="default" w:eastAsia="宋体"/>
          <w:color w:val="auto"/>
          <w:highlight w:val="none"/>
          <w:lang w:val="en-US" w:eastAsia="zh-CN"/>
        </w:rPr>
      </w:pPr>
      <w:r>
        <w:rPr>
          <w:rFonts w:hint="eastAsia"/>
          <w:color w:val="auto"/>
          <w:sz w:val="24"/>
          <w:szCs w:val="24"/>
          <w:highlight w:val="none"/>
          <w:lang w:val="en-US" w:eastAsia="zh-CN"/>
        </w:rPr>
        <w:t xml:space="preserve">7.我方为：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995"/>
        <w:spacing w:before="0" w:after="0" w:line="420" w:lineRule="exact"/>
        <w:rPr>
          <w:rFonts w:hint="eastAsia" w:ascii="宋体" w:hAnsi="宋体" w:eastAsia="宋体" w:cs="Times New Roman"/>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eastAsia="宋体" w:cs="Times New Roman"/>
          <w:color w:val="auto"/>
          <w:szCs w:val="21"/>
          <w:highlight w:val="none"/>
        </w:rPr>
        <w:t xml:space="preserve">我方与本谈判有关的正式通讯地址为：</w:t>
      </w:r>
      <w:r/>
    </w:p>
    <w:p>
      <w:pPr>
        <w:pStyle w:val="995"/>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5"/>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9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9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9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9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95"/>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bCs/>
          <w:color w:val="auto"/>
          <w:sz w:val="24"/>
          <w:szCs w:val="21"/>
          <w:highlight w:val="none"/>
        </w:rPr>
        <w:br w:type="page" w:clear="all"/>
      </w:r>
      <w:r>
        <w:rPr>
          <w:rFonts w:hint="eastAsia" w:ascii="黑体" w:hAnsi="黑体" w:eastAsia="黑体" w:cs="Times New Roman"/>
          <w:i w:val="0"/>
          <w:color w:val="auto"/>
          <w:sz w:val="32"/>
          <w:szCs w:val="32"/>
          <w:highlight w:val="none"/>
          <w:u w:val="none"/>
          <w:lang w:val="en-US" w:eastAsia="zh-CN"/>
        </w:rPr>
        <w:t xml:space="preserve">四、谈判报价表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谈判报价表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72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95"/>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黑体" w:hAnsi="Calibri" w:eastAsia="黑体" w:cs="Times New Roman"/>
          <w:color w:val="auto"/>
          <w:sz w:val="32"/>
          <w:szCs w:val="32"/>
          <w:highlight w:val="none"/>
          <w:lang w:val="en-US" w:eastAsia="zh-CN"/>
        </w:rPr>
        <w:outlineLvl w:val="2"/>
      </w:pPr>
      <w:r>
        <w:rPr>
          <w:rFonts w:hint="eastAsia" w:ascii="黑体" w:hAnsi="Calibri" w:eastAsia="黑体" w:cs="Times New Roman"/>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26"/>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93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322"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38"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322"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jc w:val="center"/>
        <w:keepLines w:val="0"/>
        <w:keepNext w:val="0"/>
        <w:pageBreakBefore w:val="0"/>
        <w:widowControl w:val="off"/>
        <w:rPr>
          <w:rFonts w:hint="eastAsia" w:ascii="黑体" w:hAnsi="黑体" w:eastAsia="黑体"/>
          <w:b/>
          <w:color w:val="auto"/>
          <w:sz w:val="24"/>
          <w:szCs w:val="24"/>
          <w:highlight w:val="none"/>
        </w:rPr>
      </w:pPr>
      <w:r>
        <w:rPr>
          <w:rFonts w:hint="eastAsia" w:ascii="黑体" w:hAnsi="黑体" w:eastAsia="黑体"/>
          <w:b/>
          <w:color w:val="auto"/>
          <w:sz w:val="24"/>
          <w:szCs w:val="24"/>
          <w:highlight w:val="none"/>
        </w:rPr>
      </w:r>
      <w:r/>
    </w:p>
    <w:p>
      <w:pPr>
        <w:ind w:firstLine="480"/>
        <w:keepLines w:val="0"/>
        <w:keepNext w:val="0"/>
        <w:pageBreakBefore w:val="0"/>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74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74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1.“总报价”应包括为完成整个项目所产生的所有费用，谈判文件另有规定的除外。</w:t>
      </w:r>
      <w:r/>
    </w:p>
    <w:p>
      <w:pPr>
        <w:pStyle w:val="74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2.《分项报价表中》“总报价”应当与《谈判报价表》中“总报价”一致。</w:t>
      </w:r>
      <w:r/>
    </w:p>
    <w:p>
      <w:pPr>
        <w:pStyle w:val="74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《分项报价表》中的分项名称须与“第四章采购需求-项目清单”中的分项名称一一对应，如有缺项、漏项或者超出单价上限，视为无效响应。</w:t>
      </w:r>
      <w:r/>
    </w:p>
    <w:p>
      <w:pPr>
        <w:pStyle w:val="74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default" w:ascii="宋体" w:hAnsi="宋体" w:eastAsia="宋体" w:cs="宋体"/>
          <w:color w:val="auto"/>
          <w:sz w:val="24"/>
          <w:szCs w:val="24"/>
          <w:highlight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26"/>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5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谈判</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7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color w:val="auto"/>
          <w:highlight w:val="none"/>
        </w:rPr>
      </w:pPr>
      <w:r>
        <w:rPr>
          <w:color w:val="auto"/>
          <w:highlight w:val="none"/>
        </w:rPr>
      </w:r>
      <w:r/>
    </w:p>
    <w:p>
      <w:pPr>
        <w:pStyle w:val="74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4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1.供应商须对谈判文件技术要求中的实质性要求（打“★”内容）及其他要求做出明确响应，否则视为无效响应。</w:t>
      </w:r>
      <w:r/>
    </w:p>
    <w:p>
      <w:pPr>
        <w:pStyle w:val="74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2.技术要求中实质性要求及其他要求明确需要提供证明材料的，签订合同时成交供应商应按谈判文件要求和响应文件响应内容提供相应证明材料供采购人核验</w:t>
      </w:r>
      <w:r>
        <w:rPr>
          <w:rFonts w:hint="eastAsia"/>
          <w:b/>
          <w:bCs/>
          <w:color w:val="auto"/>
          <w:highlight w:val="none"/>
        </w:rPr>
        <w:t xml:space="preserve">，</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rPr>
          <w:rFonts w:hint="eastAsia" w:ascii="宋体" w:hAnsi="宋体" w:eastAsia="宋体" w:cs="宋体"/>
          <w:b/>
          <w:bCs/>
          <w:color w:val="auto"/>
          <w:highlight w:val="none"/>
          <w:lang w:val="en-US" w:eastAsia="zh-CN"/>
        </w:rPr>
        <w:t xml:space="preserve">。</w:t>
      </w:r>
      <w:r/>
    </w:p>
    <w:p>
      <w:pPr>
        <w:pStyle w:val="74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color w:val="auto"/>
          <w:highlight w:val="none"/>
        </w:rPr>
      </w:pPr>
      <w:r>
        <w:rPr>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color w:val="auto"/>
          <w:sz w:val="32"/>
          <w:szCs w:val="32"/>
          <w:highlight w:val="none"/>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2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2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谈判</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4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48"/>
        <w:ind w:firstLine="482"/>
        <w:jc w:val="both"/>
        <w:spacing w:before="0" w:beforeAutospacing="0" w:after="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1.供应商须对谈判文件商务要求中的实质性要求（打“★”内容）做出明确响应，否则视为无效响应。</w:t>
      </w:r>
      <w:r/>
    </w:p>
    <w:p>
      <w:pPr>
        <w:pStyle w:val="74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八、中小企业声明函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（谈判文件中明确的所属行业）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（谈判文件中明确的所属行业）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36"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。谈判文件第四章采购需求“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br w:type="page" w:clear="all"/>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九、残疾人福利性单位声明函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残疾人福利性单位声明函（货物）</w:t>
      </w:r>
      <w:r/>
    </w:p>
    <w:p>
      <w:pPr>
        <w:ind w:firstLine="480"/>
        <w:spacing w:line="360" w:lineRule="auto"/>
        <w:rPr>
          <w:rFonts w:hint="eastAsia" w:ascii="宋体" w:hAnsi="宋体" w:eastAsia="宋体"/>
          <w:color w:val="auto"/>
          <w:sz w:val="24"/>
          <w:szCs w:val="21"/>
          <w:highlight w:val="none"/>
          <w:lang w:eastAsia="zh-CN"/>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lang w:eastAsia="zh-CN"/>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84"/>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黑体" w:hAnsi="黑体" w:eastAsia="黑体"/>
          <w:b/>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74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753"/>
          <w:rFonts w:hint="eastAsia"/>
          <w:i w:val="0"/>
          <w:color w:val="auto"/>
          <w:highlight w:val="none"/>
          <w:u w:val="single"/>
          <w:shd w:val="clear" w:color="auto" w:fill="ffffff"/>
        </w:rPr>
        <w:t xml:space="preserve">（产品名称1）</w:t>
      </w:r>
      <w:r>
        <w:rPr>
          <w:rStyle w:val="753"/>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753"/>
          <w:rFonts w:hint="eastAsia"/>
          <w:i w:val="0"/>
          <w:color w:val="auto"/>
          <w:highlight w:val="none"/>
          <w:u w:val="single"/>
          <w:shd w:val="clear" w:color="auto" w:fill="ffffff"/>
        </w:rPr>
        <w:t xml:space="preserve">（厂名）</w:t>
      </w:r>
      <w:r>
        <w:rPr>
          <w:rStyle w:val="753"/>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5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53"/>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753"/>
          <w:rFonts w:hint="eastAsia"/>
          <w:i/>
          <w:strike w:val="0"/>
          <w:color w:val="auto"/>
          <w:highlight w:val="none"/>
          <w:u w:val="single"/>
          <w:shd w:val="clear" w:color="auto" w:fill="ffffff"/>
        </w:rPr>
        <w:t xml:space="preserve">（规定比例）</w:t>
      </w:r>
      <w:r>
        <w:rPr>
          <w:rStyle w:val="753"/>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753"/>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753"/>
          <w:rFonts w:hint="eastAsia"/>
          <w:i/>
          <w:strike w:val="0"/>
          <w:color w:val="auto"/>
          <w:highlight w:val="none"/>
          <w:u w:val="single"/>
          <w:shd w:val="clear" w:color="auto" w:fill="ffffff"/>
        </w:rPr>
        <w:t xml:space="preserve">（关键组件）</w:t>
      </w:r>
      <w:r>
        <w:rPr>
          <w:rStyle w:val="753"/>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753"/>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753"/>
          <w:rFonts w:hint="eastAsia"/>
          <w:i/>
          <w:strike w:val="0"/>
          <w:color w:val="auto"/>
          <w:highlight w:val="none"/>
          <w:u w:val="single"/>
          <w:shd w:val="clear" w:color="auto" w:fill="ffffff"/>
        </w:rPr>
        <w:t xml:space="preserve">（关键工序）</w:t>
      </w:r>
      <w:r>
        <w:rPr>
          <w:rStyle w:val="753"/>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748"/>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75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53"/>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5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53"/>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753"/>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753"/>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753"/>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753"/>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753"/>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748"/>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74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48"/>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748"/>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748"/>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74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4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48"/>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74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74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5.该产品的关键工序要求实施前，“关键工序”栏可不填。</w:t>
      </w:r>
      <w:r/>
    </w:p>
    <w:p>
      <w:pPr>
        <w:pStyle w:val="74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pStyle w:val="727"/>
        <w:ind w:firstLine="0"/>
        <w:jc w:val="center"/>
        <w:rPr>
          <w:rFonts w:hint="eastAsia" w:ascii="方正小标宋简体" w:hAnsi="方正小标宋简体" w:eastAsia="方正小标宋简体" w:cs="方正小标宋简体"/>
          <w:b w:val="0"/>
          <w:bCs w:val="0"/>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highlight w:val="none"/>
        </w:rPr>
      </w:pPr>
      <w:r>
        <w:rPr>
          <w:color w:val="auto"/>
          <w:highlight w:val="none"/>
        </w:rPr>
      </w:r>
      <w:bookmarkEnd w:id="134"/>
      <w:bookmarkEnd w:id="135"/>
      <w:bookmarkEnd w:id="139"/>
      <w:bookmarkEnd w:id="140"/>
      <w:bookmarkEnd w:id="143"/>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Symbol">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7480" cy="45466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57164" cy="454911"/>
                      </a:xfrm>
                      <a:prstGeom prst="rect">
                        <a:avLst/>
                      </a:prstGeom>
                      <a:noFill/>
                      <a:ln>
                        <a:noFill/>
                      </a:ln>
                    </wps:spPr>
                    <wps:txbx>
                      <w:txbxContent>
                        <w:p>
                          <w:pPr>
                            <w:pStyle w:val="953"/>
                            <w:tabs>
                              <w:tab w:val="clear" w:pos="4153" w:leader="none"/>
                              <w:tab w:val="clear" w:pos="8306" w:leader="none"/>
                            </w:tabs>
                            <w:rPr>
                              <w:rStyle w:val="976"/>
                              <w:rFonts w:ascii="宋体" w:hAnsi="宋体"/>
                            </w:rPr>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２８</w:t>
                          </w:r>
                          <w:r>
                            <w:rPr>
                              <w:rFonts w:ascii="宋体" w:hAnsi="宋体"/>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4pt;height:35.8pt;mso-wrap-distance-left:9.0pt;mso-wrap-distance-top:0.0pt;mso-wrap-distance-right:9.0pt;mso-wrap-distance-bottom:0.0pt;visibility:visible;" filled="f" stroked="f">
              <v:textbox inset="0,0,0,0">
                <w:txbxContent>
                  <w:p>
                    <w:pPr>
                      <w:pStyle w:val="953"/>
                      <w:tabs>
                        <w:tab w:val="clear" w:pos="4153" w:leader="none"/>
                        <w:tab w:val="clear" w:pos="8306" w:leader="none"/>
                      </w:tabs>
                      <w:rPr>
                        <w:rStyle w:val="976"/>
                        <w:rFonts w:ascii="宋体" w:hAnsi="宋体"/>
                      </w:rPr>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２８</w:t>
                    </w:r>
                    <w:r>
                      <w:rPr>
                        <w:rFonts w:ascii="宋体" w:hAnsi="宋体"/>
                      </w:rPr>
                      <w:fldChar w:fldCharType="end"/>
                    </w:r>
                    <w:r/>
                  </w:p>
                  <w:p>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p>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1"/>
      <w:isLgl w:val="false"/>
      <w:suff w:val="nothing"/>
      <w:lvlText w:val=""/>
      <w:lvlJc w:val="left"/>
      <w:pPr>
        <w:ind w:left="0" w:firstLine="0"/>
      </w:pPr>
      <w:rPr>
        <w:rFonts w:hint="eastAsia"/>
      </w:rPr>
    </w:lvl>
    <w:lvl w:ilvl="7">
      <w:start w:val="1"/>
      <w:numFmt w:val="decimal"/>
      <w:pStyle w:val="912"/>
      <w:isLgl w:val="false"/>
      <w:suff w:val="nothing"/>
      <w:lvlText w:val=""/>
      <w:lvlJc w:val="left"/>
      <w:pPr>
        <w:ind w:left="0" w:firstLine="0"/>
      </w:pPr>
      <w:rPr>
        <w:rFonts w:hint="eastAsia"/>
      </w:rPr>
    </w:lvl>
    <w:lvl w:ilvl="8">
      <w:start w:val="1"/>
      <w:numFmt w:val="decimal"/>
      <w:pStyle w:val="913"/>
      <w:isLgl w:val="false"/>
      <w:suff w:val="nothing"/>
      <w:lvlText w:val=""/>
      <w:lvlJc w:val="left"/>
      <w:pPr>
        <w:ind w:left="0" w:firstLine="0"/>
      </w:pPr>
      <w:rPr>
        <w:rFonts w:hint="eastAsia"/>
      </w:rPr>
    </w:lvl>
  </w:abstractNum>
  <w:abstractNum w:abstractNumId="3">
    <w:multiLevelType w:val="hybridMultilevel"/>
    <w:lvl w:ilvl="0">
      <w:start w:val="1"/>
      <w:numFmt w:val="decimal"/>
      <w:pStyle w:val="10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next w:val="727"/>
    <w:link w:val="9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6">
    <w:name w:val="Heading 1"/>
    <w:basedOn w:val="715"/>
    <w:next w:val="715"/>
    <w:link w:val="756"/>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7"/>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8"/>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30"/>
    <w:link w:val="759"/>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0"/>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1"/>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3"/>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4"/>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Body Text First Indent 2"/>
    <w:basedOn w:val="728"/>
    <w:next w:val="715"/>
    <w:uiPriority w:val="0"/>
    <w:qFormat/>
    <w:pPr>
      <w:ind w:left="0" w:firstLine="420"/>
      <w:spacing w:after="0" w:line="360" w:lineRule="auto"/>
    </w:pPr>
    <w:rPr>
      <w:rFonts w:ascii="宋体" w:hAnsi="宋体" w:eastAsia="宋体" w:cs="Times New Roman"/>
      <w:szCs w:val="20"/>
    </w:rPr>
  </w:style>
  <w:style w:type="paragraph" w:styleId="728">
    <w:name w:val="Body Text Indent"/>
    <w:basedOn w:val="715"/>
    <w:next w:val="729"/>
    <w:uiPriority w:val="0"/>
    <w:unhideWhenUsed/>
    <w:qFormat/>
    <w:pPr>
      <w:ind w:left="420"/>
      <w:spacing w:after="120"/>
    </w:pPr>
  </w:style>
  <w:style w:type="paragraph" w:styleId="729">
    <w:name w:val="envelope return"/>
    <w:basedOn w:val="715"/>
    <w:uiPriority w:val="0"/>
    <w:qFormat/>
    <w:rPr>
      <w:rFonts w:ascii="Arial" w:hAnsi="Arial" w:eastAsia="宋体" w:cs="宋体"/>
    </w:rPr>
  </w:style>
  <w:style w:type="paragraph" w:styleId="730">
    <w:name w:val="Normal Indent"/>
    <w:basedOn w:val="715"/>
    <w:uiPriority w:val="0"/>
    <w:qFormat/>
    <w:pPr>
      <w:ind w:firstLine="420"/>
    </w:pPr>
    <w:rPr>
      <w:szCs w:val="21"/>
    </w:rPr>
  </w:style>
  <w:style w:type="paragraph" w:styleId="731">
    <w:name w:val="toc 7"/>
    <w:basedOn w:val="715"/>
    <w:next w:val="715"/>
    <w:uiPriority w:val="39"/>
    <w:unhideWhenUsed/>
    <w:qFormat/>
    <w:pPr>
      <w:ind w:left="1701" w:right="0" w:firstLine="0"/>
      <w:spacing w:after="57"/>
    </w:pPr>
  </w:style>
  <w:style w:type="paragraph" w:styleId="732">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5"/>
    <w:uiPriority w:val="99"/>
    <w:semiHidden/>
    <w:unhideWhenUsed/>
    <w:qFormat/>
    <w:pPr>
      <w:jc w:val="left"/>
    </w:pPr>
  </w:style>
  <w:style w:type="paragraph" w:styleId="734">
    <w:name w:val="toc 5"/>
    <w:basedOn w:val="715"/>
    <w:next w:val="715"/>
    <w:uiPriority w:val="39"/>
    <w:unhideWhenUsed/>
    <w:qFormat/>
    <w:pPr>
      <w:ind w:left="1134" w:right="0" w:firstLine="0"/>
      <w:spacing w:after="57"/>
    </w:pPr>
  </w:style>
  <w:style w:type="paragraph" w:styleId="735">
    <w:name w:val="toc 3"/>
    <w:basedOn w:val="715"/>
    <w:next w:val="715"/>
    <w:uiPriority w:val="39"/>
    <w:unhideWhenUsed/>
    <w:qFormat/>
    <w:pPr>
      <w:ind w:left="567" w:right="0" w:firstLine="0"/>
      <w:spacing w:after="57"/>
    </w:pPr>
  </w:style>
  <w:style w:type="paragraph" w:styleId="736">
    <w:name w:val="toc 8"/>
    <w:basedOn w:val="715"/>
    <w:next w:val="715"/>
    <w:uiPriority w:val="39"/>
    <w:unhideWhenUsed/>
    <w:qFormat/>
    <w:pPr>
      <w:ind w:left="1984" w:right="0" w:firstLine="0"/>
      <w:spacing w:after="57"/>
    </w:pPr>
  </w:style>
  <w:style w:type="paragraph" w:styleId="737">
    <w:name w:val="endnote text"/>
    <w:basedOn w:val="715"/>
    <w:link w:val="902"/>
    <w:uiPriority w:val="99"/>
    <w:semiHidden/>
    <w:unhideWhenUsed/>
    <w:qFormat/>
    <w:pPr>
      <w:spacing w:after="0" w:line="240" w:lineRule="auto"/>
    </w:pPr>
    <w:rPr>
      <w:sz w:val="20"/>
    </w:rPr>
  </w:style>
  <w:style w:type="paragraph" w:styleId="738">
    <w:name w:val="Footer"/>
    <w:basedOn w:val="715"/>
    <w:link w:val="775"/>
    <w:uiPriority w:val="99"/>
    <w:unhideWhenUsed/>
    <w:qFormat/>
    <w:pPr>
      <w:spacing w:after="0" w:line="240" w:lineRule="auto"/>
      <w:tabs>
        <w:tab w:val="center" w:pos="7143" w:leader="none"/>
        <w:tab w:val="right" w:pos="14287" w:leader="none"/>
      </w:tabs>
    </w:pPr>
  </w:style>
  <w:style w:type="paragraph" w:styleId="739">
    <w:name w:val="Header"/>
    <w:basedOn w:val="715"/>
    <w:link w:val="773"/>
    <w:uiPriority w:val="99"/>
    <w:unhideWhenUsed/>
    <w:qFormat/>
    <w:pPr>
      <w:spacing w:after="0" w:line="240" w:lineRule="auto"/>
      <w:tabs>
        <w:tab w:val="center" w:pos="7143" w:leader="none"/>
        <w:tab w:val="right" w:pos="14287" w:leader="none"/>
      </w:tabs>
    </w:pPr>
  </w:style>
  <w:style w:type="paragraph" w:styleId="740">
    <w:name w:val="toc 1"/>
    <w:basedOn w:val="715"/>
    <w:next w:val="715"/>
    <w:uiPriority w:val="39"/>
    <w:unhideWhenUsed/>
    <w:qFormat/>
    <w:pPr>
      <w:ind w:left="0" w:right="0" w:firstLine="0"/>
      <w:spacing w:after="57"/>
    </w:pPr>
  </w:style>
  <w:style w:type="paragraph" w:styleId="741">
    <w:name w:val="toc 4"/>
    <w:basedOn w:val="715"/>
    <w:next w:val="715"/>
    <w:uiPriority w:val="39"/>
    <w:unhideWhenUsed/>
    <w:qFormat/>
    <w:pPr>
      <w:ind w:left="850" w:right="0" w:firstLine="0"/>
      <w:spacing w:after="57"/>
    </w:pPr>
  </w:style>
  <w:style w:type="paragraph" w:styleId="742">
    <w:name w:val="Subtitle"/>
    <w:basedOn w:val="715"/>
    <w:next w:val="715"/>
    <w:link w:val="768"/>
    <w:uiPriority w:val="11"/>
    <w:qFormat/>
    <w:pPr>
      <w:spacing w:before="200" w:after="200"/>
    </w:pPr>
    <w:rPr>
      <w:sz w:val="24"/>
      <w:szCs w:val="24"/>
    </w:rPr>
  </w:style>
  <w:style w:type="paragraph" w:styleId="743">
    <w:name w:val="footnote text"/>
    <w:basedOn w:val="715"/>
    <w:link w:val="901"/>
    <w:uiPriority w:val="99"/>
    <w:semiHidden/>
    <w:unhideWhenUsed/>
    <w:qFormat/>
    <w:pPr>
      <w:spacing w:after="40" w:line="240" w:lineRule="auto"/>
    </w:pPr>
    <w:rPr>
      <w:sz w:val="18"/>
    </w:rPr>
  </w:style>
  <w:style w:type="paragraph" w:styleId="744">
    <w:name w:val="toc 6"/>
    <w:basedOn w:val="715"/>
    <w:next w:val="715"/>
    <w:uiPriority w:val="39"/>
    <w:unhideWhenUsed/>
    <w:qFormat/>
    <w:pPr>
      <w:ind w:left="1417" w:right="0" w:firstLine="0"/>
      <w:spacing w:after="57"/>
    </w:pPr>
  </w:style>
  <w:style w:type="paragraph" w:styleId="745">
    <w:name w:val="table of figures"/>
    <w:basedOn w:val="715"/>
    <w:next w:val="715"/>
    <w:uiPriority w:val="99"/>
    <w:unhideWhenUsed/>
    <w:qFormat/>
    <w:pPr>
      <w:spacing w:after="0" w:afterAutospacing="0"/>
    </w:pPr>
  </w:style>
  <w:style w:type="paragraph" w:styleId="746">
    <w:name w:val="toc 2"/>
    <w:basedOn w:val="715"/>
    <w:next w:val="715"/>
    <w:uiPriority w:val="39"/>
    <w:unhideWhenUsed/>
    <w:qFormat/>
    <w:pPr>
      <w:ind w:left="283" w:right="0" w:firstLine="0"/>
      <w:spacing w:after="57"/>
    </w:pPr>
  </w:style>
  <w:style w:type="paragraph" w:styleId="747">
    <w:name w:val="toc 9"/>
    <w:basedOn w:val="715"/>
    <w:next w:val="715"/>
    <w:uiPriority w:val="39"/>
    <w:unhideWhenUsed/>
    <w:qFormat/>
    <w:pPr>
      <w:ind w:left="2268" w:right="0" w:firstLine="0"/>
      <w:spacing w:after="57"/>
    </w:pPr>
  </w:style>
  <w:style w:type="paragraph" w:styleId="748">
    <w:name w:val="Normal (Web)"/>
    <w:basedOn w:val="715"/>
    <w:uiPriority w:val="99"/>
    <w:pPr>
      <w:jc w:val="left"/>
      <w:spacing w:before="100" w:beforeAutospacing="1" w:after="100" w:afterAutospacing="1"/>
      <w:widowControl/>
    </w:pPr>
    <w:rPr>
      <w:rFonts w:ascii="宋体" w:hAnsi="宋体" w:eastAsia="宋体" w:cs="宋体"/>
      <w:sz w:val="24"/>
      <w:szCs w:val="24"/>
    </w:rPr>
  </w:style>
  <w:style w:type="paragraph" w:styleId="749">
    <w:name w:val="Title"/>
    <w:basedOn w:val="715"/>
    <w:next w:val="715"/>
    <w:link w:val="767"/>
    <w:uiPriority w:val="10"/>
    <w:qFormat/>
    <w:pPr>
      <w:contextualSpacing/>
      <w:spacing w:before="300" w:after="200"/>
    </w:pPr>
    <w:rPr>
      <w:sz w:val="48"/>
      <w:szCs w:val="48"/>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page number"/>
    <w:uiPriority w:val="0"/>
    <w:qFormat/>
  </w:style>
  <w:style w:type="character" w:styleId="753">
    <w:name w:val="Emphasis"/>
    <w:uiPriority w:val="0"/>
    <w:qFormat/>
    <w:rPr>
      <w:i/>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link w:val="716"/>
    <w:uiPriority w:val="9"/>
    <w:qFormat/>
    <w:rPr>
      <w:rFonts w:ascii="Arial" w:hAnsi="Arial" w:eastAsia="Arial" w:cs="Arial"/>
      <w:sz w:val="40"/>
      <w:szCs w:val="40"/>
    </w:rPr>
  </w:style>
  <w:style w:type="character" w:styleId="757" w:customStyle="1">
    <w:name w:val="Heading 2 Char"/>
    <w:link w:val="717"/>
    <w:uiPriority w:val="9"/>
    <w:qFormat/>
    <w:rPr>
      <w:rFonts w:ascii="Arial" w:hAnsi="Arial" w:eastAsia="Arial" w:cs="Arial"/>
      <w:sz w:val="34"/>
    </w:rPr>
  </w:style>
  <w:style w:type="character" w:styleId="758" w:customStyle="1">
    <w:name w:val="Heading 3 Char"/>
    <w:link w:val="718"/>
    <w:uiPriority w:val="9"/>
    <w:qFormat/>
    <w:rPr>
      <w:rFonts w:ascii="Arial" w:hAnsi="Arial" w:eastAsia="Arial" w:cs="Arial"/>
      <w:sz w:val="30"/>
      <w:szCs w:val="30"/>
    </w:rPr>
  </w:style>
  <w:style w:type="character" w:styleId="759" w:customStyle="1">
    <w:name w:val="Heading 4 Char"/>
    <w:link w:val="719"/>
    <w:uiPriority w:val="9"/>
    <w:qFormat/>
    <w:rPr>
      <w:rFonts w:ascii="Arial" w:hAnsi="Arial" w:eastAsia="Arial" w:cs="Arial"/>
      <w:b/>
      <w:bCs/>
      <w:sz w:val="26"/>
      <w:szCs w:val="26"/>
    </w:rPr>
  </w:style>
  <w:style w:type="character" w:styleId="760" w:customStyle="1">
    <w:name w:val="Heading 5 Char"/>
    <w:link w:val="720"/>
    <w:uiPriority w:val="9"/>
    <w:qFormat/>
    <w:rPr>
      <w:rFonts w:ascii="Arial" w:hAnsi="Arial" w:eastAsia="Arial" w:cs="Arial"/>
      <w:b/>
      <w:bCs/>
      <w:sz w:val="24"/>
      <w:szCs w:val="24"/>
    </w:rPr>
  </w:style>
  <w:style w:type="character" w:styleId="761" w:customStyle="1">
    <w:name w:val="Heading 6 Char"/>
    <w:link w:val="721"/>
    <w:uiPriority w:val="9"/>
    <w:qFormat/>
    <w:rPr>
      <w:rFonts w:ascii="Arial" w:hAnsi="Arial" w:eastAsia="Arial" w:cs="Arial"/>
      <w:b/>
      <w:bCs/>
      <w:sz w:val="22"/>
      <w:szCs w:val="22"/>
    </w:rPr>
  </w:style>
  <w:style w:type="character" w:styleId="762" w:customStyle="1">
    <w:name w:val="Heading 7 Char"/>
    <w:link w:val="722"/>
    <w:uiPriority w:val="9"/>
    <w:qFormat/>
    <w:rPr>
      <w:rFonts w:ascii="Arial" w:hAnsi="Arial" w:eastAsia="Arial" w:cs="Arial"/>
      <w:b/>
      <w:bCs/>
      <w:i/>
      <w:iCs/>
      <w:sz w:val="22"/>
      <w:szCs w:val="22"/>
    </w:rPr>
  </w:style>
  <w:style w:type="character" w:styleId="763" w:customStyle="1">
    <w:name w:val="Heading 8 Char"/>
    <w:link w:val="723"/>
    <w:uiPriority w:val="9"/>
    <w:qFormat/>
    <w:rPr>
      <w:rFonts w:ascii="Arial" w:hAnsi="Arial" w:eastAsia="Arial" w:cs="Arial"/>
      <w:i/>
      <w:iCs/>
      <w:sz w:val="22"/>
      <w:szCs w:val="22"/>
    </w:rPr>
  </w:style>
  <w:style w:type="character" w:styleId="764" w:customStyle="1">
    <w:name w:val="Heading 9 Char"/>
    <w:link w:val="724"/>
    <w:uiPriority w:val="9"/>
    <w:qFormat/>
    <w:rPr>
      <w:rFonts w:ascii="Arial" w:hAnsi="Arial" w:eastAsia="Arial" w:cs="Arial"/>
      <w:i/>
      <w:iCs/>
      <w:sz w:val="21"/>
      <w:szCs w:val="21"/>
    </w:rPr>
  </w:style>
  <w:style w:type="paragraph" w:styleId="765">
    <w:name w:val="List Paragraph"/>
    <w:basedOn w:val="715"/>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49"/>
    <w:uiPriority w:val="10"/>
    <w:qFormat/>
    <w:rPr>
      <w:sz w:val="48"/>
      <w:szCs w:val="48"/>
    </w:rPr>
  </w:style>
  <w:style w:type="character" w:styleId="768" w:customStyle="1">
    <w:name w:val="Subtitle Char"/>
    <w:link w:val="742"/>
    <w:uiPriority w:val="11"/>
    <w:qFormat/>
    <w:rPr>
      <w:sz w:val="24"/>
      <w:szCs w:val="24"/>
    </w:rPr>
  </w:style>
  <w:style w:type="paragraph" w:styleId="769">
    <w:name w:val="Quote"/>
    <w:basedOn w:val="715"/>
    <w:next w:val="715"/>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5"/>
    <w:next w:val="715"/>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39"/>
    <w:uiPriority w:val="99"/>
    <w:qFormat/>
  </w:style>
  <w:style w:type="character" w:styleId="774" w:customStyle="1">
    <w:name w:val="Footer Char"/>
    <w:link w:val="738"/>
    <w:uiPriority w:val="99"/>
    <w:qFormat/>
  </w:style>
  <w:style w:type="character" w:styleId="775" w:customStyle="1">
    <w:name w:val="Caption Char"/>
    <w:link w:val="738"/>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3"/>
    <w:uiPriority w:val="99"/>
    <w:qFormat/>
    <w:rPr>
      <w:sz w:val="18"/>
    </w:rPr>
  </w:style>
  <w:style w:type="character" w:styleId="902" w:customStyle="1">
    <w:name w:val="Endnote Text Char"/>
    <w:link w:val="737"/>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5"/>
    <w:next w:val="715"/>
    <w:link w:val="921"/>
    <w:uiPriority w:val="0"/>
    <w:qFormat/>
    <w:pPr>
      <w:jc w:val="center"/>
      <w:keepNext/>
      <w:outlineLvl w:val="0"/>
    </w:pPr>
    <w:rPr>
      <w:rFonts w:ascii="楷体_GB2312" w:hAnsi="Times New Roman" w:eastAsia="楷体_GB2312" w:cs="Times New Roman"/>
      <w:sz w:val="28"/>
      <w:szCs w:val="28"/>
    </w:rPr>
  </w:style>
  <w:style w:type="paragraph" w:styleId="905" w:customStyle="1">
    <w:name w:val="标题 21"/>
    <w:basedOn w:val="715"/>
    <w:next w:val="715"/>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标题 31"/>
    <w:basedOn w:val="715"/>
    <w:next w:val="907"/>
    <w:link w:val="92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customStyle="1">
    <w:name w:val="正文缩进1"/>
    <w:basedOn w:val="715"/>
    <w:link w:val="924"/>
    <w:uiPriority w:val="0"/>
    <w:qFormat/>
    <w:pPr>
      <w:ind w:firstLine="420"/>
    </w:pPr>
    <w:rPr>
      <w:szCs w:val="21"/>
    </w:rPr>
  </w:style>
  <w:style w:type="paragraph" w:styleId="908" w:customStyle="1">
    <w:name w:val="标题 41"/>
    <w:basedOn w:val="715"/>
    <w:next w:val="907"/>
    <w:link w:val="925"/>
    <w:uiPriority w:val="0"/>
    <w:qFormat/>
    <w:pPr>
      <w:keepLines/>
      <w:keepNext/>
      <w:spacing w:before="280" w:after="290" w:line="376" w:lineRule="auto"/>
      <w:outlineLvl w:val="3"/>
    </w:pPr>
    <w:rPr>
      <w:rFonts w:ascii="Arial" w:hAnsi="Arial" w:eastAsia="黑体" w:cs="Arial"/>
      <w:b/>
      <w:bCs/>
      <w:sz w:val="28"/>
      <w:szCs w:val="28"/>
    </w:rPr>
  </w:style>
  <w:style w:type="paragraph" w:styleId="909" w:customStyle="1">
    <w:name w:val="标题 51"/>
    <w:basedOn w:val="715"/>
    <w:next w:val="907"/>
    <w:link w:val="926"/>
    <w:uiPriority w:val="0"/>
    <w:qFormat/>
    <w:pPr>
      <w:keepNext/>
      <w:outlineLvl w:val="4"/>
    </w:pPr>
    <w:rPr>
      <w:rFonts w:ascii="宋体" w:hAnsi="Times New Roman" w:eastAsia="宋体" w:cs="Times New Roman"/>
      <w:color w:val="000000"/>
      <w:sz w:val="28"/>
      <w:szCs w:val="28"/>
    </w:rPr>
  </w:style>
  <w:style w:type="paragraph" w:styleId="910" w:customStyle="1">
    <w:name w:val="标题 61"/>
    <w:basedOn w:val="715"/>
    <w:next w:val="715"/>
    <w:link w:val="92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1" w:customStyle="1">
    <w:name w:val="标题 71"/>
    <w:basedOn w:val="715"/>
    <w:next w:val="715"/>
    <w:link w:val="92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2" w:customStyle="1">
    <w:name w:val="标题 81"/>
    <w:basedOn w:val="715"/>
    <w:next w:val="715"/>
    <w:link w:val="92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3" w:customStyle="1">
    <w:name w:val="标题 91"/>
    <w:basedOn w:val="715"/>
    <w:next w:val="715"/>
    <w:link w:val="93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4" w:customStyle="1">
    <w:name w:val="默认段落字体1"/>
    <w:link w:val="715"/>
    <w:uiPriority w:val="1"/>
    <w:unhideWhenUsed/>
    <w:qFormat/>
  </w:style>
  <w:style w:type="table" w:styleId="915" w:customStyle="1">
    <w:name w:val="普通表格11"/>
    <w:uiPriority w:val="99"/>
    <w:unhideWhenUsed/>
    <w:qFormat/>
    <w:tblPr/>
  </w:style>
  <w:style w:type="paragraph" w:styleId="916" w:customStyle="1">
    <w:name w:val="正文首行缩进 212"/>
    <w:basedOn w:val="917"/>
    <w:next w:val="715"/>
    <w:link w:val="920"/>
    <w:uiPriority w:val="0"/>
    <w:qFormat/>
    <w:pPr>
      <w:ind w:left="0" w:firstLine="420"/>
      <w:spacing w:after="0" w:line="360" w:lineRule="auto"/>
    </w:pPr>
    <w:rPr>
      <w:rFonts w:ascii="宋体" w:hAnsi="宋体" w:eastAsia="宋体" w:cs="Times New Roman"/>
      <w:szCs w:val="20"/>
    </w:rPr>
  </w:style>
  <w:style w:type="paragraph" w:styleId="917" w:customStyle="1">
    <w:name w:val="正文文本缩进1"/>
    <w:basedOn w:val="715"/>
    <w:next w:val="918"/>
    <w:link w:val="919"/>
    <w:uiPriority w:val="0"/>
    <w:unhideWhenUsed/>
    <w:qFormat/>
    <w:pPr>
      <w:ind w:left="420"/>
      <w:spacing w:after="120"/>
    </w:pPr>
  </w:style>
  <w:style w:type="paragraph" w:styleId="918" w:customStyle="1">
    <w:name w:val="寄信人地址12"/>
    <w:basedOn w:val="715"/>
    <w:uiPriority w:val="0"/>
    <w:qFormat/>
    <w:rPr>
      <w:rFonts w:ascii="Arial" w:hAnsi="Arial" w:eastAsia="宋体" w:cs="宋体"/>
    </w:rPr>
  </w:style>
  <w:style w:type="character" w:styleId="919" w:customStyle="1">
    <w:name w:val="正文文本缩进 Char"/>
    <w:basedOn w:val="914"/>
    <w:link w:val="917"/>
    <w:uiPriority w:val="99"/>
    <w:semiHidden/>
    <w:qFormat/>
  </w:style>
  <w:style w:type="character" w:styleId="920" w:customStyle="1">
    <w:name w:val="正文首行缩进 2 Char"/>
    <w:link w:val="916"/>
    <w:uiPriority w:val="0"/>
    <w:qFormat/>
    <w:rPr>
      <w:rFonts w:ascii="宋体" w:hAnsi="宋体" w:eastAsia="宋体" w:cs="Times New Roman"/>
      <w:szCs w:val="20"/>
    </w:rPr>
  </w:style>
  <w:style w:type="character" w:styleId="921" w:customStyle="1">
    <w:name w:val="标题 1 Char"/>
    <w:link w:val="904"/>
    <w:uiPriority w:val="0"/>
    <w:qFormat/>
    <w:rPr>
      <w:rFonts w:ascii="楷体_GB2312" w:hAnsi="Times New Roman" w:eastAsia="楷体_GB2312" w:cs="Times New Roman"/>
      <w:sz w:val="28"/>
      <w:szCs w:val="28"/>
    </w:rPr>
  </w:style>
  <w:style w:type="character" w:styleId="922" w:customStyle="1">
    <w:name w:val="标题 2 Char"/>
    <w:link w:val="905"/>
    <w:uiPriority w:val="0"/>
    <w:qFormat/>
    <w:rPr>
      <w:rFonts w:ascii="Arial" w:hAnsi="Arial" w:eastAsia="幼圆" w:cs="Arial"/>
      <w:b/>
      <w:bCs/>
      <w:sz w:val="44"/>
      <w:szCs w:val="44"/>
    </w:rPr>
  </w:style>
  <w:style w:type="character" w:styleId="923" w:customStyle="1">
    <w:name w:val="标题 3 Char"/>
    <w:link w:val="906"/>
    <w:uiPriority w:val="0"/>
    <w:qFormat/>
    <w:rPr>
      <w:rFonts w:ascii="Times New Roman" w:hAnsi="Times New Roman" w:eastAsia="宋体" w:cs="Times New Roman"/>
      <w:b/>
      <w:bCs/>
      <w:sz w:val="32"/>
      <w:szCs w:val="32"/>
    </w:rPr>
  </w:style>
  <w:style w:type="character" w:styleId="924" w:customStyle="1">
    <w:name w:val="正文缩进 Char"/>
    <w:link w:val="907"/>
    <w:uiPriority w:val="0"/>
    <w:qFormat/>
    <w:rPr>
      <w:szCs w:val="21"/>
    </w:rPr>
  </w:style>
  <w:style w:type="character" w:styleId="925" w:customStyle="1">
    <w:name w:val="标题 4 Char"/>
    <w:link w:val="908"/>
    <w:uiPriority w:val="0"/>
    <w:qFormat/>
    <w:rPr>
      <w:rFonts w:ascii="Arial" w:hAnsi="Arial" w:eastAsia="黑体" w:cs="Arial"/>
      <w:b/>
      <w:bCs/>
      <w:sz w:val="28"/>
      <w:szCs w:val="28"/>
    </w:rPr>
  </w:style>
  <w:style w:type="character" w:styleId="926" w:customStyle="1">
    <w:name w:val="标题 5 Char"/>
    <w:link w:val="909"/>
    <w:uiPriority w:val="0"/>
    <w:qFormat/>
    <w:rPr>
      <w:rFonts w:ascii="宋体" w:hAnsi="Times New Roman" w:eastAsia="宋体" w:cs="Times New Roman"/>
      <w:color w:val="000000"/>
      <w:sz w:val="28"/>
      <w:szCs w:val="28"/>
    </w:rPr>
  </w:style>
  <w:style w:type="character" w:styleId="927" w:customStyle="1">
    <w:name w:val="标题 6 Char"/>
    <w:link w:val="910"/>
    <w:uiPriority w:val="0"/>
    <w:qFormat/>
    <w:rPr>
      <w:rFonts w:ascii="Arial" w:hAnsi="Arial" w:eastAsia="黑体" w:cs="Times New Roman"/>
      <w:b/>
      <w:bCs/>
      <w:sz w:val="24"/>
      <w:szCs w:val="24"/>
    </w:rPr>
  </w:style>
  <w:style w:type="character" w:styleId="928" w:customStyle="1">
    <w:name w:val="标题 7 Char"/>
    <w:link w:val="911"/>
    <w:uiPriority w:val="0"/>
    <w:qFormat/>
    <w:rPr>
      <w:rFonts w:ascii="Times New Roman" w:hAnsi="Times New Roman" w:eastAsia="宋体" w:cs="Times New Roman"/>
      <w:b/>
      <w:bCs/>
      <w:sz w:val="24"/>
      <w:szCs w:val="24"/>
    </w:rPr>
  </w:style>
  <w:style w:type="character" w:styleId="929" w:customStyle="1">
    <w:name w:val="标题 8 Char"/>
    <w:link w:val="912"/>
    <w:uiPriority w:val="0"/>
    <w:qFormat/>
    <w:rPr>
      <w:rFonts w:ascii="Arial" w:hAnsi="Arial" w:eastAsia="黑体" w:cs="Times New Roman"/>
      <w:sz w:val="24"/>
      <w:szCs w:val="24"/>
    </w:rPr>
  </w:style>
  <w:style w:type="character" w:styleId="930" w:customStyle="1">
    <w:name w:val="标题 9 Char"/>
    <w:link w:val="913"/>
    <w:uiPriority w:val="0"/>
    <w:qFormat/>
    <w:rPr>
      <w:rFonts w:ascii="Arial" w:hAnsi="Arial" w:eastAsia="黑体" w:cs="Times New Roman"/>
      <w:szCs w:val="21"/>
    </w:rPr>
  </w:style>
  <w:style w:type="paragraph" w:styleId="931" w:customStyle="1">
    <w:name w:val="列表 31"/>
    <w:basedOn w:val="715"/>
    <w:uiPriority w:val="0"/>
    <w:qFormat/>
    <w:pPr>
      <w:ind w:left="100" w:hanging="200"/>
    </w:pPr>
    <w:rPr>
      <w:rFonts w:ascii="Times New Roman" w:hAnsi="Times New Roman" w:eastAsia="宋体" w:cs="Times New Roman"/>
      <w:szCs w:val="21"/>
    </w:rPr>
  </w:style>
  <w:style w:type="paragraph" w:styleId="932" w:customStyle="1">
    <w:name w:val="目录 71"/>
    <w:basedOn w:val="715"/>
    <w:next w:val="715"/>
    <w:uiPriority w:val="0"/>
    <w:semiHidden/>
    <w:qFormat/>
    <w:pPr>
      <w:ind w:left="1260"/>
      <w:jc w:val="left"/>
    </w:pPr>
    <w:rPr>
      <w:rFonts w:ascii="Times New Roman" w:hAnsi="Times New Roman" w:eastAsia="宋体" w:cs="Times New Roman"/>
      <w:szCs w:val="21"/>
    </w:rPr>
  </w:style>
  <w:style w:type="paragraph" w:styleId="933" w:customStyle="1">
    <w:name w:val="文档结构图1"/>
    <w:basedOn w:val="715"/>
    <w:link w:val="934"/>
    <w:uiPriority w:val="0"/>
    <w:semiHidden/>
    <w:qFormat/>
    <w:pPr>
      <w:shd w:val="clear" w:color="auto" w:fill="000080"/>
    </w:pPr>
    <w:rPr>
      <w:rFonts w:ascii="Times New Roman" w:hAnsi="Times New Roman" w:eastAsia="宋体" w:cs="Times New Roman"/>
      <w:szCs w:val="21"/>
    </w:rPr>
  </w:style>
  <w:style w:type="character" w:styleId="934" w:customStyle="1">
    <w:name w:val="文档结构图 Char"/>
    <w:link w:val="933"/>
    <w:uiPriority w:val="0"/>
    <w:semiHidden/>
    <w:qFormat/>
    <w:rPr>
      <w:rFonts w:ascii="Times New Roman" w:hAnsi="Times New Roman" w:eastAsia="宋体" w:cs="Times New Roman"/>
      <w:szCs w:val="21"/>
      <w:shd w:val="clear" w:color="auto" w:fill="000080"/>
    </w:rPr>
  </w:style>
  <w:style w:type="paragraph" w:styleId="935" w:customStyle="1">
    <w:name w:val="批注文字1"/>
    <w:basedOn w:val="715"/>
    <w:link w:val="936"/>
    <w:uiPriority w:val="0"/>
    <w:unhideWhenUsed/>
    <w:qFormat/>
    <w:pPr>
      <w:jc w:val="left"/>
    </w:pPr>
  </w:style>
  <w:style w:type="character" w:styleId="936" w:customStyle="1">
    <w:name w:val="批注文字 Char"/>
    <w:basedOn w:val="914"/>
    <w:link w:val="935"/>
    <w:uiPriority w:val="99"/>
    <w:semiHidden/>
    <w:qFormat/>
  </w:style>
  <w:style w:type="paragraph" w:styleId="937" w:customStyle="1">
    <w:name w:val="正文文本 31"/>
    <w:basedOn w:val="715"/>
    <w:link w:val="938"/>
    <w:uiPriority w:val="0"/>
    <w:qFormat/>
    <w:rPr>
      <w:rFonts w:ascii="仿宋_GB2312" w:hAnsi="Arial" w:eastAsia="仿宋_GB2312" w:cs="Times New Roman"/>
      <w:sz w:val="32"/>
      <w:szCs w:val="32"/>
    </w:rPr>
  </w:style>
  <w:style w:type="character" w:styleId="938" w:customStyle="1">
    <w:name w:val="正文文本 3 Char"/>
    <w:link w:val="937"/>
    <w:uiPriority w:val="0"/>
    <w:qFormat/>
    <w:rPr>
      <w:rFonts w:ascii="仿宋_GB2312" w:hAnsi="Arial" w:eastAsia="仿宋_GB2312" w:cs="Times New Roman"/>
      <w:sz w:val="32"/>
      <w:szCs w:val="32"/>
    </w:rPr>
  </w:style>
  <w:style w:type="paragraph" w:styleId="939" w:customStyle="1">
    <w:name w:val="正文文本1"/>
    <w:basedOn w:val="715"/>
    <w:link w:val="940"/>
    <w:uiPriority w:val="0"/>
    <w:qFormat/>
    <w:rPr>
      <w:rFonts w:ascii="楷体_GB2312" w:hAnsi="Arial" w:eastAsia="楷体_GB2312" w:cs="Times New Roman"/>
      <w:sz w:val="28"/>
      <w:szCs w:val="28"/>
    </w:rPr>
  </w:style>
  <w:style w:type="character" w:styleId="940" w:customStyle="1">
    <w:name w:val="正文文本 Char"/>
    <w:link w:val="939"/>
    <w:uiPriority w:val="0"/>
    <w:qFormat/>
    <w:rPr>
      <w:rFonts w:ascii="楷体_GB2312" w:hAnsi="Arial" w:eastAsia="楷体_GB2312" w:cs="Times New Roman"/>
      <w:sz w:val="28"/>
      <w:szCs w:val="28"/>
    </w:rPr>
  </w:style>
  <w:style w:type="paragraph" w:styleId="941" w:customStyle="1">
    <w:name w:val="列表 21"/>
    <w:basedOn w:val="715"/>
    <w:uiPriority w:val="0"/>
    <w:qFormat/>
    <w:pPr>
      <w:ind w:left="100" w:hanging="200"/>
    </w:pPr>
    <w:rPr>
      <w:rFonts w:ascii="Times New Roman" w:hAnsi="Times New Roman" w:eastAsia="宋体" w:cs="Times New Roman"/>
      <w:szCs w:val="21"/>
    </w:rPr>
  </w:style>
  <w:style w:type="paragraph" w:styleId="942" w:customStyle="1">
    <w:name w:val="目录 51"/>
    <w:basedOn w:val="715"/>
    <w:next w:val="715"/>
    <w:uiPriority w:val="0"/>
    <w:semiHidden/>
    <w:qFormat/>
    <w:pPr>
      <w:ind w:left="840"/>
      <w:jc w:val="left"/>
    </w:pPr>
    <w:rPr>
      <w:rFonts w:ascii="Times New Roman" w:hAnsi="Times New Roman" w:eastAsia="宋体" w:cs="Times New Roman"/>
      <w:szCs w:val="21"/>
    </w:rPr>
  </w:style>
  <w:style w:type="paragraph" w:styleId="943" w:customStyle="1">
    <w:name w:val="目录 31"/>
    <w:basedOn w:val="715"/>
    <w:next w:val="715"/>
    <w:uiPriority w:val="0"/>
    <w:semiHidden/>
    <w:qFormat/>
    <w:pPr>
      <w:ind w:left="420"/>
      <w:jc w:val="left"/>
    </w:pPr>
    <w:rPr>
      <w:rFonts w:ascii="Times New Roman" w:hAnsi="Times New Roman" w:eastAsia="宋体" w:cs="Times New Roman"/>
      <w:i/>
      <w:iCs/>
      <w:szCs w:val="24"/>
    </w:rPr>
  </w:style>
  <w:style w:type="paragraph" w:styleId="944" w:customStyle="1">
    <w:name w:val="纯文本1"/>
    <w:basedOn w:val="715"/>
    <w:link w:val="945"/>
    <w:uiPriority w:val="0"/>
    <w:qFormat/>
    <w:rPr>
      <w:rFonts w:ascii="宋体" w:hAnsi="Courier New" w:eastAsia="宋体" w:cs="Courier New"/>
      <w:szCs w:val="21"/>
    </w:rPr>
  </w:style>
  <w:style w:type="character" w:styleId="945" w:customStyle="1">
    <w:name w:val="纯文本 Char"/>
    <w:link w:val="944"/>
    <w:uiPriority w:val="0"/>
    <w:qFormat/>
    <w:rPr>
      <w:rFonts w:ascii="宋体" w:hAnsi="Courier New" w:eastAsia="宋体" w:cs="Courier New"/>
      <w:szCs w:val="21"/>
    </w:rPr>
  </w:style>
  <w:style w:type="paragraph" w:styleId="946" w:customStyle="1">
    <w:name w:val="目录 81"/>
    <w:basedOn w:val="715"/>
    <w:next w:val="715"/>
    <w:uiPriority w:val="0"/>
    <w:semiHidden/>
    <w:qFormat/>
    <w:pPr>
      <w:ind w:left="1470"/>
      <w:jc w:val="left"/>
    </w:pPr>
    <w:rPr>
      <w:rFonts w:ascii="Times New Roman" w:hAnsi="Times New Roman" w:eastAsia="宋体" w:cs="Times New Roman"/>
      <w:szCs w:val="21"/>
    </w:rPr>
  </w:style>
  <w:style w:type="paragraph" w:styleId="947" w:customStyle="1">
    <w:name w:val="日期1"/>
    <w:basedOn w:val="715"/>
    <w:next w:val="715"/>
    <w:link w:val="948"/>
    <w:uiPriority w:val="0"/>
    <w:qFormat/>
    <w:rPr>
      <w:rFonts w:ascii="Times New Roman" w:hAnsi="Times New Roman" w:eastAsia="宋体" w:cs="Times New Roman"/>
      <w:sz w:val="24"/>
      <w:szCs w:val="24"/>
    </w:rPr>
  </w:style>
  <w:style w:type="character" w:styleId="948" w:customStyle="1">
    <w:name w:val="日期 Char"/>
    <w:link w:val="947"/>
    <w:uiPriority w:val="0"/>
    <w:qFormat/>
    <w:rPr>
      <w:rFonts w:ascii="Times New Roman" w:hAnsi="Times New Roman" w:eastAsia="宋体" w:cs="Times New Roman"/>
      <w:sz w:val="24"/>
      <w:szCs w:val="24"/>
    </w:rPr>
  </w:style>
  <w:style w:type="paragraph" w:styleId="949" w:customStyle="1">
    <w:name w:val="正文文本缩进 21"/>
    <w:basedOn w:val="715"/>
    <w:link w:val="950"/>
    <w:uiPriority w:val="0"/>
    <w:qFormat/>
    <w:pPr>
      <w:ind w:left="630" w:firstLine="645"/>
    </w:pPr>
    <w:rPr>
      <w:rFonts w:ascii="Arial" w:hAnsi="Arial" w:eastAsia="仿宋_GB2312" w:cs="Arial"/>
      <w:sz w:val="32"/>
      <w:szCs w:val="32"/>
    </w:rPr>
  </w:style>
  <w:style w:type="character" w:styleId="950" w:customStyle="1">
    <w:name w:val="正文文本缩进 2 Char"/>
    <w:link w:val="949"/>
    <w:uiPriority w:val="0"/>
    <w:qFormat/>
    <w:rPr>
      <w:rFonts w:ascii="Arial" w:hAnsi="Arial" w:eastAsia="仿宋_GB2312" w:cs="Arial"/>
      <w:sz w:val="32"/>
      <w:szCs w:val="32"/>
    </w:rPr>
  </w:style>
  <w:style w:type="paragraph" w:styleId="951" w:customStyle="1">
    <w:name w:val="批注框文本1"/>
    <w:basedOn w:val="715"/>
    <w:link w:val="952"/>
    <w:uiPriority w:val="0"/>
    <w:semiHidden/>
    <w:qFormat/>
    <w:rPr>
      <w:rFonts w:ascii="Times New Roman" w:hAnsi="Times New Roman" w:eastAsia="宋体" w:cs="Times New Roman"/>
      <w:sz w:val="18"/>
      <w:szCs w:val="18"/>
    </w:rPr>
  </w:style>
  <w:style w:type="character" w:styleId="952" w:customStyle="1">
    <w:name w:val="批注框文本 Char"/>
    <w:link w:val="951"/>
    <w:uiPriority w:val="0"/>
    <w:semiHidden/>
    <w:qFormat/>
    <w:rPr>
      <w:rFonts w:ascii="Times New Roman" w:hAnsi="Times New Roman" w:eastAsia="宋体" w:cs="Times New Roman"/>
      <w:sz w:val="18"/>
      <w:szCs w:val="18"/>
    </w:rPr>
  </w:style>
  <w:style w:type="paragraph" w:styleId="953" w:customStyle="1">
    <w:name w:val="页脚1"/>
    <w:basedOn w:val="715"/>
    <w:link w:val="95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4" w:customStyle="1">
    <w:name w:val="页脚 Char"/>
    <w:link w:val="953"/>
    <w:uiPriority w:val="0"/>
    <w:qFormat/>
    <w:rPr>
      <w:rFonts w:ascii="Times New Roman" w:hAnsi="Times New Roman" w:eastAsia="宋体" w:cs="Times New Roman"/>
      <w:sz w:val="18"/>
      <w:szCs w:val="18"/>
    </w:rPr>
  </w:style>
  <w:style w:type="paragraph" w:styleId="955" w:customStyle="1">
    <w:name w:val="页眉1"/>
    <w:basedOn w:val="715"/>
    <w:link w:val="95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customStyle="1">
    <w:name w:val="页眉 Char"/>
    <w:link w:val="955"/>
    <w:uiPriority w:val="0"/>
    <w:qFormat/>
    <w:rPr>
      <w:rFonts w:ascii="Times New Roman" w:hAnsi="Times New Roman" w:eastAsia="宋体" w:cs="Times New Roman"/>
      <w:sz w:val="18"/>
      <w:szCs w:val="18"/>
    </w:rPr>
  </w:style>
  <w:style w:type="paragraph" w:styleId="957" w:customStyle="1">
    <w:name w:val="目录 11"/>
    <w:basedOn w:val="715"/>
    <w:next w:val="71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8" w:customStyle="1">
    <w:name w:val="目录 41"/>
    <w:basedOn w:val="715"/>
    <w:next w:val="715"/>
    <w:uiPriority w:val="0"/>
    <w:semiHidden/>
    <w:qFormat/>
    <w:pPr>
      <w:ind w:left="630"/>
      <w:jc w:val="left"/>
    </w:pPr>
    <w:rPr>
      <w:rFonts w:ascii="Times New Roman" w:hAnsi="Times New Roman" w:eastAsia="宋体" w:cs="Times New Roman"/>
      <w:szCs w:val="21"/>
    </w:rPr>
  </w:style>
  <w:style w:type="paragraph" w:styleId="959" w:customStyle="1">
    <w:name w:val="列表1"/>
    <w:basedOn w:val="715"/>
    <w:uiPriority w:val="0"/>
    <w:qFormat/>
    <w:pPr>
      <w:ind w:left="200" w:hanging="200"/>
    </w:pPr>
    <w:rPr>
      <w:rFonts w:ascii="Times New Roman" w:hAnsi="Times New Roman" w:eastAsia="宋体" w:cs="Times New Roman"/>
      <w:szCs w:val="21"/>
    </w:rPr>
  </w:style>
  <w:style w:type="paragraph" w:styleId="960" w:customStyle="1">
    <w:name w:val="目录 61"/>
    <w:basedOn w:val="715"/>
    <w:next w:val="715"/>
    <w:uiPriority w:val="0"/>
    <w:semiHidden/>
    <w:qFormat/>
    <w:pPr>
      <w:ind w:left="1050"/>
      <w:jc w:val="left"/>
    </w:pPr>
    <w:rPr>
      <w:rFonts w:ascii="Times New Roman" w:hAnsi="Times New Roman" w:eastAsia="宋体" w:cs="Times New Roman"/>
      <w:szCs w:val="21"/>
    </w:rPr>
  </w:style>
  <w:style w:type="paragraph" w:styleId="961" w:customStyle="1">
    <w:name w:val="正文文本缩进 31"/>
    <w:basedOn w:val="715"/>
    <w:link w:val="962"/>
    <w:uiPriority w:val="0"/>
    <w:qFormat/>
    <w:pPr>
      <w:ind w:left="645" w:firstLine="645"/>
    </w:pPr>
    <w:rPr>
      <w:rFonts w:ascii="Arial" w:hAnsi="Arial" w:eastAsia="仿宋_GB2312" w:cs="Arial"/>
      <w:color w:val="ffff00"/>
      <w:sz w:val="32"/>
      <w:szCs w:val="32"/>
    </w:rPr>
  </w:style>
  <w:style w:type="character" w:styleId="962" w:customStyle="1">
    <w:name w:val="正文文本缩进 3 Char"/>
    <w:link w:val="961"/>
    <w:uiPriority w:val="0"/>
    <w:qFormat/>
    <w:rPr>
      <w:rFonts w:ascii="Arial" w:hAnsi="Arial" w:eastAsia="仿宋_GB2312" w:cs="Arial"/>
      <w:color w:val="ffff00"/>
      <w:sz w:val="32"/>
      <w:szCs w:val="32"/>
    </w:rPr>
  </w:style>
  <w:style w:type="paragraph" w:styleId="963" w:customStyle="1">
    <w:name w:val="图表目录1"/>
    <w:basedOn w:val="715"/>
    <w:next w:val="715"/>
    <w:uiPriority w:val="0"/>
    <w:semiHidden/>
    <w:qFormat/>
    <w:pPr>
      <w:ind w:left="840" w:hanging="420"/>
    </w:pPr>
    <w:rPr>
      <w:rFonts w:ascii="Times New Roman" w:hAnsi="Times New Roman" w:eastAsia="宋体" w:cs="Times New Roman"/>
      <w:szCs w:val="21"/>
    </w:rPr>
  </w:style>
  <w:style w:type="paragraph" w:styleId="964" w:customStyle="1">
    <w:name w:val="目录 21"/>
    <w:basedOn w:val="715"/>
    <w:next w:val="715"/>
    <w:uiPriority w:val="0"/>
    <w:semiHidden/>
    <w:qFormat/>
    <w:pPr>
      <w:ind w:left="210"/>
      <w:jc w:val="left"/>
    </w:pPr>
    <w:rPr>
      <w:rFonts w:ascii="Times New Roman" w:hAnsi="Times New Roman" w:eastAsia="宋体" w:cs="Times New Roman"/>
      <w:smallCaps/>
      <w:szCs w:val="24"/>
    </w:rPr>
  </w:style>
  <w:style w:type="paragraph" w:styleId="965" w:customStyle="1">
    <w:name w:val="目录 91"/>
    <w:basedOn w:val="715"/>
    <w:next w:val="715"/>
    <w:uiPriority w:val="0"/>
    <w:semiHidden/>
    <w:qFormat/>
    <w:pPr>
      <w:ind w:left="1680"/>
      <w:jc w:val="left"/>
    </w:pPr>
    <w:rPr>
      <w:rFonts w:ascii="Times New Roman" w:hAnsi="Times New Roman" w:eastAsia="宋体" w:cs="Times New Roman"/>
      <w:szCs w:val="21"/>
    </w:rPr>
  </w:style>
  <w:style w:type="paragraph" w:styleId="966" w:customStyle="1">
    <w:name w:val="正文文本 21"/>
    <w:basedOn w:val="715"/>
    <w:link w:val="967"/>
    <w:uiPriority w:val="0"/>
    <w:qFormat/>
    <w:pPr>
      <w:jc w:val="center"/>
      <w:widowControl/>
    </w:pPr>
    <w:rPr>
      <w:rFonts w:ascii="楷体_GB2312" w:hAnsi="Times New Roman" w:eastAsia="楷体_GB2312" w:cs="Times New Roman"/>
      <w:sz w:val="28"/>
      <w:szCs w:val="28"/>
    </w:rPr>
  </w:style>
  <w:style w:type="character" w:styleId="967" w:customStyle="1">
    <w:name w:val="正文文本 2 Char"/>
    <w:link w:val="966"/>
    <w:uiPriority w:val="0"/>
    <w:qFormat/>
    <w:rPr>
      <w:rFonts w:ascii="楷体_GB2312" w:hAnsi="Times New Roman" w:eastAsia="楷体_GB2312" w:cs="Times New Roman"/>
      <w:sz w:val="28"/>
      <w:szCs w:val="28"/>
    </w:rPr>
  </w:style>
  <w:style w:type="paragraph" w:styleId="968" w:customStyle="1">
    <w:name w:val="普通(网站)1"/>
    <w:basedOn w:val="715"/>
    <w:uiPriority w:val="99"/>
    <w:qFormat/>
    <w:pPr>
      <w:jc w:val="left"/>
      <w:spacing w:before="100" w:beforeAutospacing="1" w:after="100" w:afterAutospacing="1"/>
      <w:widowControl/>
    </w:pPr>
    <w:rPr>
      <w:rFonts w:ascii="宋体" w:hAnsi="宋体" w:eastAsia="宋体" w:cs="宋体"/>
      <w:sz w:val="24"/>
      <w:szCs w:val="24"/>
    </w:rPr>
  </w:style>
  <w:style w:type="paragraph" w:styleId="969" w:customStyle="1">
    <w:name w:val="索引 11"/>
    <w:basedOn w:val="715"/>
    <w:next w:val="715"/>
    <w:uiPriority w:val="0"/>
    <w:semiHidden/>
    <w:qFormat/>
    <w:pPr>
      <w:spacing w:line="240" w:lineRule="atLeast"/>
    </w:pPr>
    <w:rPr>
      <w:rFonts w:ascii="Times New Roman" w:hAnsi="Times New Roman" w:eastAsia="宋体" w:cs="Times New Roman"/>
      <w:b/>
      <w:bCs/>
      <w:szCs w:val="21"/>
    </w:rPr>
  </w:style>
  <w:style w:type="paragraph" w:styleId="970" w:customStyle="1">
    <w:name w:val="批注主题1"/>
    <w:basedOn w:val="935"/>
    <w:next w:val="935"/>
    <w:link w:val="971"/>
    <w:uiPriority w:val="0"/>
    <w:semiHidden/>
    <w:qFormat/>
    <w:rPr>
      <w:rFonts w:ascii="Times New Roman" w:hAnsi="Times New Roman" w:eastAsia="宋体" w:cs="Times New Roman"/>
      <w:b/>
      <w:bCs/>
      <w:szCs w:val="21"/>
    </w:rPr>
  </w:style>
  <w:style w:type="character" w:styleId="971" w:customStyle="1">
    <w:name w:val="批注主题 Char"/>
    <w:link w:val="970"/>
    <w:uiPriority w:val="0"/>
    <w:semiHidden/>
    <w:qFormat/>
    <w:rPr>
      <w:rFonts w:ascii="Times New Roman" w:hAnsi="Times New Roman" w:eastAsia="宋体" w:cs="Times New Roman"/>
      <w:b/>
      <w:bCs/>
      <w:szCs w:val="21"/>
    </w:rPr>
  </w:style>
  <w:style w:type="paragraph" w:styleId="972" w:customStyle="1">
    <w:name w:val="正文首行缩进1"/>
    <w:basedOn w:val="715"/>
    <w:link w:val="973"/>
    <w:uiPriority w:val="0"/>
    <w:qFormat/>
    <w:pPr>
      <w:ind w:firstLine="200"/>
      <w:spacing w:line="360" w:lineRule="auto"/>
    </w:pPr>
    <w:rPr>
      <w:rFonts w:ascii="仿宋_GB2312" w:hAnsi="Times New Roman" w:eastAsia="仿宋_GB2312" w:cs="Times New Roman"/>
      <w:sz w:val="30"/>
      <w:szCs w:val="30"/>
    </w:rPr>
  </w:style>
  <w:style w:type="character" w:styleId="973" w:customStyle="1">
    <w:name w:val="正文首行缩进 Char"/>
    <w:link w:val="972"/>
    <w:uiPriority w:val="0"/>
    <w:qFormat/>
    <w:rPr>
      <w:rFonts w:ascii="仿宋_GB2312" w:hAnsi="Times New Roman" w:eastAsia="仿宋_GB2312" w:cs="Times New Roman"/>
      <w:sz w:val="30"/>
      <w:szCs w:val="30"/>
    </w:rPr>
  </w:style>
  <w:style w:type="table" w:styleId="974" w:customStyle="1">
    <w:name w:val="网格型11"/>
    <w:basedOn w:val="915"/>
    <w:uiPriority w:val="0"/>
    <w:qFormat/>
    <w:pPr>
      <w:jc w:val="both"/>
      <w:widowControl w:val="off"/>
    </w:pPr>
    <w:rPr>
      <w:rFonts w:ascii="Times New Roman" w:hAnsi="Times New Roman" w:eastAsia="宋体" w:cs="Times New Roman"/>
      <w:sz w:val="20"/>
      <w:szCs w:val="20"/>
    </w:rPr>
    <w:tblPr/>
  </w:style>
  <w:style w:type="character" w:styleId="975" w:customStyle="1">
    <w:name w:val="要点1"/>
    <w:link w:val="715"/>
    <w:uiPriority w:val="0"/>
    <w:qFormat/>
    <w:rPr>
      <w:b/>
      <w:bCs/>
    </w:rPr>
  </w:style>
  <w:style w:type="character" w:styleId="976" w:customStyle="1">
    <w:name w:val="页码1"/>
    <w:link w:val="715"/>
    <w:uiPriority w:val="0"/>
    <w:qFormat/>
  </w:style>
  <w:style w:type="character" w:styleId="977" w:customStyle="1">
    <w:name w:val="已访问的超链接1"/>
    <w:link w:val="715"/>
    <w:uiPriority w:val="0"/>
    <w:qFormat/>
    <w:rPr>
      <w:color w:val="800080"/>
      <w:u w:val="single"/>
    </w:rPr>
  </w:style>
  <w:style w:type="character" w:styleId="978" w:customStyle="1">
    <w:name w:val="强调1"/>
    <w:link w:val="715"/>
    <w:uiPriority w:val="0"/>
    <w:qFormat/>
    <w:rPr>
      <w:i/>
    </w:rPr>
  </w:style>
  <w:style w:type="character" w:styleId="979" w:customStyle="1">
    <w:name w:val="超链接1"/>
    <w:link w:val="715"/>
    <w:uiPriority w:val="0"/>
    <w:qFormat/>
    <w:rPr>
      <w:color w:val="0000ff"/>
      <w:u w:val="single"/>
    </w:rPr>
  </w:style>
  <w:style w:type="character" w:styleId="980" w:customStyle="1">
    <w:name w:val="批注引用1"/>
    <w:link w:val="715"/>
    <w:uiPriority w:val="0"/>
    <w:semiHidden/>
    <w:qFormat/>
    <w:rPr>
      <w:sz w:val="21"/>
      <w:szCs w:val="21"/>
    </w:rPr>
  </w:style>
  <w:style w:type="paragraph" w:styleId="981" w:customStyle="1">
    <w:name w:val="正文首行缩进 211"/>
    <w:basedOn w:val="982"/>
    <w:next w:val="715"/>
    <w:uiPriority w:val="0"/>
    <w:qFormat/>
    <w:pPr>
      <w:ind w:left="0" w:firstLine="420"/>
      <w:spacing w:after="0" w:line="360" w:lineRule="auto"/>
    </w:pPr>
    <w:rPr>
      <w:rFonts w:ascii="宋体" w:hAnsi="宋体" w:eastAsia="宋体" w:cs="Times New Roman"/>
      <w:szCs w:val="20"/>
    </w:rPr>
  </w:style>
  <w:style w:type="paragraph" w:styleId="982" w:customStyle="1">
    <w:name w:val="正文文本缩进111"/>
    <w:basedOn w:val="715"/>
    <w:next w:val="983"/>
    <w:uiPriority w:val="0"/>
    <w:unhideWhenUsed/>
    <w:qFormat/>
    <w:pPr>
      <w:ind w:left="420"/>
      <w:spacing w:after="120"/>
    </w:pPr>
  </w:style>
  <w:style w:type="paragraph" w:styleId="983" w:customStyle="1">
    <w:name w:val="寄信人地址11"/>
    <w:basedOn w:val="715"/>
    <w:uiPriority w:val="0"/>
    <w:qFormat/>
    <w:rPr>
      <w:rFonts w:ascii="Arial" w:hAnsi="Arial" w:eastAsia="宋体" w:cs="宋体"/>
    </w:rPr>
  </w:style>
  <w:style w:type="paragraph" w:styleId="984" w:customStyle="1">
    <w:name w:val="索引 41"/>
    <w:basedOn w:val="715"/>
    <w:next w:val="715"/>
    <w:uiPriority w:val="0"/>
    <w:semiHidden/>
    <w:qFormat/>
    <w:pPr>
      <w:ind w:left="1260"/>
    </w:pPr>
    <w:rPr>
      <w:rFonts w:ascii="Calibri" w:hAnsi="Calibri" w:eastAsia="Calibri" w:cs="宋体"/>
      <w:sz w:val="20"/>
      <w:lang w:val="zh-CN"/>
    </w:rPr>
  </w:style>
  <w:style w:type="character" w:styleId="985" w:customStyle="1">
    <w:name w:val="font5 Char"/>
    <w:link w:val="715"/>
    <w:uiPriority w:val="0"/>
    <w:qFormat/>
    <w:rPr>
      <w:rFonts w:ascii="宋体" w:hAnsi="宋体" w:eastAsia="宋体"/>
      <w:sz w:val="28"/>
      <w:szCs w:val="28"/>
      <w:lang w:val="en-US" w:eastAsia="zh-CN" w:bidi="ar-SA"/>
    </w:rPr>
  </w:style>
  <w:style w:type="character" w:styleId="986" w:customStyle="1">
    <w:name w:val="二级目录 Char"/>
    <w:link w:val="987"/>
    <w:uiPriority w:val="0"/>
    <w:qFormat/>
    <w:rPr>
      <w:b/>
      <w:sz w:val="30"/>
      <w:szCs w:val="28"/>
    </w:rPr>
  </w:style>
  <w:style w:type="paragraph" w:styleId="987" w:customStyle="1">
    <w:name w:val="二级目录"/>
    <w:next w:val="715"/>
    <w:link w:val="9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15"/>
    <w:link w:val="988"/>
    <w:uiPriority w:val="0"/>
    <w:qFormat/>
    <w:pPr>
      <w:contextualSpacing/>
      <w:ind w:left="720"/>
      <w:jc w:val="left"/>
      <w:widowControl/>
    </w:pPr>
    <w:rPr>
      <w:rFonts w:ascii="Calibri" w:hAnsi="Calibri"/>
      <w:sz w:val="24"/>
      <w:szCs w:val="24"/>
      <w:lang w:eastAsia="en-US" w:bidi="en-US"/>
    </w:rPr>
  </w:style>
  <w:style w:type="paragraph" w:styleId="990" w:customStyle="1">
    <w:name w:val="Body Text(ch)"/>
    <w:basedOn w:val="715"/>
    <w:next w:val="939"/>
    <w:uiPriority w:val="0"/>
    <w:qFormat/>
    <w:pPr>
      <w:spacing w:after="120"/>
    </w:pPr>
    <w:rPr>
      <w:rFonts w:ascii="宋体" w:hAnsi="Arial" w:eastAsia="宋体" w:cs="Times New Roman"/>
      <w:bCs/>
      <w:iCs/>
      <w:szCs w:val="24"/>
    </w:rPr>
  </w:style>
  <w:style w:type="paragraph" w:styleId="991" w:customStyle="1">
    <w:name w:val="xl27"/>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customStyle="1">
    <w:name w:val="xl26"/>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customStyle="1">
    <w:name w:val="Char"/>
    <w:basedOn w:val="715"/>
    <w:uiPriority w:val="0"/>
    <w:qFormat/>
    <w:pPr>
      <w:ind w:firstLine="200"/>
      <w:tabs>
        <w:tab w:val="left" w:pos="360" w:leader="none"/>
      </w:tabs>
    </w:pPr>
    <w:rPr>
      <w:rFonts w:ascii="Times New Roman" w:hAnsi="Times New Roman" w:eastAsia="宋体" w:cs="Times New Roman"/>
      <w:sz w:val="28"/>
      <w:szCs w:val="30"/>
    </w:rPr>
  </w:style>
  <w:style w:type="paragraph" w:styleId="994" w:customStyle="1">
    <w:name w:val=" Char"/>
    <w:basedOn w:val="933"/>
    <w:uiPriority w:val="0"/>
    <w:qFormat/>
    <w:rPr>
      <w:rFonts w:ascii="Tahoma" w:hAnsi="Tahoma"/>
      <w:sz w:val="24"/>
      <w:szCs w:val="24"/>
    </w:rPr>
  </w:style>
  <w:style w:type="paragraph" w:styleId="995" w:customStyle="1">
    <w:name w:val="普通正文"/>
    <w:basedOn w:val="996"/>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97" w:customStyle="1">
    <w:name w:val="table_lines"/>
    <w:basedOn w:val="715"/>
    <w:uiPriority w:val="0"/>
    <w:qFormat/>
    <w:pPr>
      <w:jc w:val="left"/>
      <w:widowControl/>
    </w:pPr>
    <w:rPr>
      <w:rFonts w:ascii="Times New Roman" w:hAnsi="Times New Roman" w:eastAsia="宋体" w:cs="Times New Roman"/>
      <w:sz w:val="20"/>
      <w:szCs w:val="20"/>
      <w:lang w:val="de-DE" w:eastAsia="de-DE"/>
    </w:rPr>
  </w:style>
  <w:style w:type="paragraph" w:styleId="99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9" w:customStyle="1">
    <w:name w:val="font7"/>
    <w:basedOn w:val="71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0" w:customStyle="1">
    <w:name w:val=" Char Char Char Char"/>
    <w:basedOn w:val="933"/>
    <w:uiPriority w:val="0"/>
    <w:qFormat/>
    <w:pPr>
      <w:spacing w:line="360" w:lineRule="auto"/>
    </w:pPr>
    <w:rPr>
      <w:rFonts w:ascii="Tahoma" w:hAnsi="Tahoma"/>
      <w:sz w:val="24"/>
      <w:szCs w:val="24"/>
    </w:rPr>
  </w:style>
  <w:style w:type="paragraph" w:styleId="1001" w:customStyle="1">
    <w:name w:val="列出段落"/>
    <w:basedOn w:val="715"/>
    <w:uiPriority w:val="0"/>
    <w:qFormat/>
    <w:pPr>
      <w:contextualSpacing/>
      <w:ind w:left="720"/>
      <w:jc w:val="left"/>
      <w:widowControl/>
    </w:pPr>
    <w:rPr>
      <w:rFonts w:ascii="Calibri" w:hAnsi="Calibri" w:eastAsia="宋体" w:cs="Times New Roman"/>
      <w:sz w:val="24"/>
      <w:szCs w:val="24"/>
      <w:lang w:eastAsia="en-US" w:bidi="en-US"/>
    </w:rPr>
  </w:style>
  <w:style w:type="paragraph" w:styleId="1002" w:customStyle="1">
    <w:name w:val="4"/>
    <w:basedOn w:val="715"/>
    <w:next w:val="961"/>
    <w:uiPriority w:val="0"/>
    <w:qFormat/>
    <w:pPr>
      <w:ind w:firstLine="420"/>
      <w:spacing w:line="360" w:lineRule="auto"/>
    </w:pPr>
    <w:rPr>
      <w:rFonts w:ascii="Times New Roman" w:hAnsi="Times New Roman" w:eastAsia="宋体" w:cs="Times New Roman"/>
      <w:color w:val="ff0000"/>
      <w:sz w:val="24"/>
      <w:szCs w:val="24"/>
    </w:rPr>
  </w:style>
  <w:style w:type="paragraph" w:styleId="1003" w:customStyle="1">
    <w:name w:val="普通 (Web)"/>
    <w:basedOn w:val="715"/>
    <w:uiPriority w:val="0"/>
    <w:qFormat/>
    <w:pPr>
      <w:jc w:val="left"/>
      <w:spacing w:before="100" w:beforeAutospacing="1" w:after="100" w:afterAutospacing="1"/>
      <w:widowControl/>
    </w:pPr>
    <w:rPr>
      <w:rFonts w:ascii="宋体" w:hAnsi="宋体" w:eastAsia="宋体" w:cs="Times New Roman"/>
      <w:sz w:val="24"/>
      <w:szCs w:val="24"/>
    </w:rPr>
  </w:style>
  <w:style w:type="paragraph" w:styleId="1004" w:customStyle="1">
    <w:name w:val=" Char Char Char Char Char Char Char Char Char Char"/>
    <w:basedOn w:val="715"/>
    <w:uiPriority w:val="0"/>
    <w:qFormat/>
    <w:pPr>
      <w:spacing w:line="360" w:lineRule="auto"/>
    </w:pPr>
    <w:rPr>
      <w:rFonts w:ascii="Times New Roman" w:hAnsi="Times New Roman" w:eastAsia="宋体" w:cs="Times New Roman"/>
      <w:sz w:val="24"/>
      <w:szCs w:val="20"/>
    </w:rPr>
  </w:style>
  <w:style w:type="paragraph" w:styleId="1005" w:customStyle="1">
    <w:name w:val="样式1"/>
    <w:basedOn w:val="715"/>
    <w:uiPriority w:val="0"/>
    <w:qFormat/>
    <w:pPr>
      <w:numPr>
        <w:ilvl w:val="0"/>
        <w:numId w:val="3"/>
      </w:numPr>
    </w:pPr>
    <w:rPr>
      <w:rFonts w:ascii="宋体" w:hAnsi="宋体" w:eastAsia="宋体" w:cs="Times New Roman"/>
      <w:szCs w:val="21"/>
    </w:rPr>
  </w:style>
  <w:style w:type="paragraph" w:styleId="1006" w:customStyle="1">
    <w:name w:val="font6"/>
    <w:basedOn w:val="71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xl25"/>
    <w:basedOn w:val="71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图标"/>
    <w:basedOn w:val="715"/>
    <w:next w:val="71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9" w:customStyle="1">
    <w:name w:val="标题3"/>
    <w:basedOn w:val="715"/>
    <w:next w:val="715"/>
    <w:uiPriority w:val="0"/>
    <w:qFormat/>
    <w:pPr>
      <w:ind w:firstLine="624"/>
      <w:spacing w:line="590" w:lineRule="atLeast"/>
    </w:pPr>
    <w:rPr>
      <w:rFonts w:ascii="方正黑体_GBK" w:hAnsi="Times New Roman" w:eastAsia="方正黑体_GBK" w:cs="Times New Roman"/>
      <w:sz w:val="32"/>
      <w:szCs w:val="32"/>
    </w:rPr>
  </w:style>
  <w:style w:type="paragraph" w:styleId="1010" w:customStyle="1">
    <w:name w:val="xl24"/>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customStyle="1">
    <w:name w:val="xl29"/>
    <w:basedOn w:val="71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2" w:customStyle="1">
    <w:name w:val="Char Char Char Char Char Char Char Char"/>
    <w:basedOn w:val="715"/>
    <w:uiPriority w:val="0"/>
    <w:qFormat/>
    <w:pPr>
      <w:jc w:val="left"/>
      <w:spacing w:after="160" w:line="240" w:lineRule="exact"/>
      <w:widowControl/>
    </w:pPr>
    <w:rPr>
      <w:rFonts w:ascii="Verdana" w:hAnsi="Verdana" w:eastAsia="宋体" w:cs="Times New Roman"/>
      <w:sz w:val="20"/>
      <w:szCs w:val="20"/>
      <w:lang w:eastAsia="en-US"/>
    </w:rPr>
  </w:style>
  <w:style w:type="paragraph" w:styleId="1013" w:customStyle="1">
    <w:name w:val="xl2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4" w:customStyle="1">
    <w:name w:val=" Char Char Char Char Char Char Char Char"/>
    <w:basedOn w:val="715"/>
    <w:uiPriority w:val="0"/>
    <w:qFormat/>
    <w:pPr>
      <w:jc w:val="left"/>
      <w:spacing w:after="160" w:line="240" w:lineRule="exact"/>
      <w:widowControl/>
    </w:pPr>
    <w:rPr>
      <w:rFonts w:ascii="Verdana" w:hAnsi="Verdana" w:eastAsia="宋体" w:cs="Times New Roman"/>
      <w:sz w:val="20"/>
      <w:szCs w:val="20"/>
      <w:lang w:eastAsia="en-US"/>
    </w:rPr>
  </w:style>
  <w:style w:type="paragraph" w:styleId="1015" w:customStyle="1">
    <w:name w:val="xl30"/>
    <w:basedOn w:val="71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6" w:customStyle="1">
    <w:name w:val="Char Char Char Char"/>
    <w:basedOn w:val="933"/>
    <w:uiPriority w:val="0"/>
    <w:qFormat/>
    <w:pPr>
      <w:spacing w:line="360" w:lineRule="auto"/>
    </w:pPr>
    <w:rPr>
      <w:rFonts w:ascii="Tahoma" w:hAnsi="Tahoma"/>
      <w:sz w:val="24"/>
      <w:szCs w:val="24"/>
    </w:rPr>
  </w:style>
  <w:style w:type="paragraph" w:styleId="1017" w:customStyle="1">
    <w:name w:val="table_1stline"/>
    <w:basedOn w:val="71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8" w:customStyle="1">
    <w:name w:val="font5"/>
    <w:basedOn w:val="71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9" w:customStyle="1">
    <w:name w:val="标题1"/>
    <w:basedOn w:val="715"/>
    <w:next w:val="71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2" w:customStyle="1">
    <w:name w:val="Table Normal"/>
    <w:uiPriority w:val="0"/>
    <w:qFormat/>
    <w:tblPr/>
  </w:style>
  <w:style w:type="paragraph" w:styleId="1023" w:customStyle="1">
    <w:name w:val="正文文本 211"/>
    <w:basedOn w:val="715"/>
    <w:uiPriority w:val="99"/>
    <w:qFormat/>
    <w:pPr>
      <w:jc w:val="center"/>
    </w:pPr>
    <w:rPr>
      <w:b/>
      <w:bCs/>
      <w:sz w:val="20"/>
      <w:szCs w:val="20"/>
    </w:rPr>
  </w:style>
  <w:style w:type="paragraph" w:styleId="1024" w:customStyle="1">
    <w:name w:val="正文文本12"/>
    <w:basedOn w:val="715"/>
    <w:uiPriority w:val="1"/>
    <w:qFormat/>
    <w:pPr>
      <w:ind w:left="120"/>
    </w:pPr>
    <w:rPr>
      <w:rFonts w:ascii="宋体" w:hAnsi="宋体" w:eastAsia="宋体" w:cs="宋体"/>
      <w:sz w:val="21"/>
      <w:szCs w:val="21"/>
      <w:lang w:val="zh-CN" w:eastAsia="zh-CN" w:bidi="zh-CN"/>
    </w:rPr>
  </w:style>
  <w:style w:type="table" w:styleId="1025" w:customStyle="1">
    <w:name w:val="网格型1"/>
    <w:basedOn w:val="1026"/>
    <w:uiPriority w:val="0"/>
    <w:qFormat/>
    <w:pPr>
      <w:jc w:val="both"/>
      <w:widowControl w:val="off"/>
    </w:pPr>
    <w:tblPr/>
  </w:style>
  <w:style w:type="table" w:styleId="1026" w:customStyle="1">
    <w:name w:val="普通表格1"/>
    <w:uiPriority w:val="99"/>
    <w:unhideWhenUsed/>
    <w:qFormat/>
    <w:tblPr/>
  </w:style>
  <w:style w:type="paragraph" w:styleId="1027" w:customStyle="1">
    <w:name w:val="正文首行缩进 21"/>
    <w:basedOn w:val="1028"/>
    <w:next w:val="715"/>
    <w:uiPriority w:val="0"/>
    <w:qFormat/>
    <w:pPr>
      <w:ind w:left="0" w:firstLine="420"/>
      <w:spacing w:after="0" w:line="360" w:lineRule="auto"/>
    </w:pPr>
    <w:rPr>
      <w:rFonts w:ascii="宋体" w:hAnsi="宋体" w:eastAsia="宋体" w:cs="Times New Roman"/>
      <w:szCs w:val="20"/>
    </w:rPr>
  </w:style>
  <w:style w:type="paragraph" w:styleId="1028" w:customStyle="1">
    <w:name w:val="正文文本缩进11"/>
    <w:basedOn w:val="715"/>
    <w:next w:val="1029"/>
    <w:uiPriority w:val="0"/>
    <w:unhideWhenUsed/>
    <w:qFormat/>
    <w:pPr>
      <w:ind w:left="420"/>
      <w:spacing w:after="120"/>
    </w:pPr>
  </w:style>
  <w:style w:type="paragraph" w:styleId="1029" w:customStyle="1">
    <w:name w:val="寄信人地址1"/>
    <w:basedOn w:val="715"/>
    <w:uiPriority w:val="0"/>
    <w:qFormat/>
    <w:rPr>
      <w:rFonts w:ascii="Arial" w:hAnsi="Arial" w:eastAsia="宋体" w:cs="宋体"/>
    </w:rPr>
  </w:style>
  <w:style w:type="numbering" w:styleId="14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2023-03-27T07:28:00Z</dcterms:created>
  <dcterms:modified xsi:type="dcterms:W3CDTF">2026-08-28T01:49:34Z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4047A77097EB4D6F900F54D0C1499177</vt:lpwstr>
  </property>
</Properties>
</file>