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Arial" w:hAnsi="Arial" w:eastAsia="黑体"/>
          <w:b/>
          <w:bCs/>
          <w:color w:val="000000"/>
          <w:sz w:val="84"/>
          <w:szCs w:val="24"/>
          <w:highlight w:val="none"/>
        </w:rPr>
      </w:r>
      <w:r/>
    </w:p>
    <w:p>
      <w:pPr>
        <w:pStyle w:val="948"/>
        <w:rPr>
          <w:rFonts w:hint="eastAsia"/>
          <w:color w:val="000000"/>
          <w:highlight w:val="none"/>
        </w:rPr>
      </w:pPr>
      <w:r>
        <w:rPr>
          <w:rFonts w:hint="eastAsia"/>
          <w:color w:val="000000"/>
          <w:highlight w:val="none"/>
        </w:rPr>
      </w:r>
      <w:r/>
    </w:p>
    <w:p>
      <w:pPr>
        <w:pStyle w:val="965"/>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ascii="Segoe UI" w:hAnsi="Segoe UI" w:eastAsia="Segoe UI" w:cs="Segoe UI"/>
          <w:i w:val="0"/>
          <w:iCs w:val="0"/>
          <w:caps w:val="0"/>
          <w:color w:val="000000"/>
          <w:spacing w:val="0"/>
          <w:sz w:val="10"/>
          <w:szCs w:val="10"/>
          <w:highlight w:val="none"/>
          <w:shd w:val="clear" w:color="auto" w:fill="fafafa"/>
        </w:rPr>
      </w:pPr>
      <w:r>
        <w:rPr>
          <w:rFonts w:hint="eastAsia" w:eastAsia="宋体" w:cs="Times New Roman"/>
          <w:b/>
          <w:color w:val="000000"/>
          <w:sz w:val="30"/>
          <w:szCs w:val="30"/>
          <w:highlight w:val="none"/>
          <w:lang w:eastAsia="zh-CN"/>
        </w:rPr>
        <w:t xml:space="preserve">项</w:t>
      </w:r>
      <w:r>
        <w:rPr>
          <w:rFonts w:hint="eastAsia" w:ascii="Times New Roman" w:hAnsi="Times New Roman" w:eastAsia="宋体" w:cs="Times New Roman"/>
          <w:b/>
          <w:color w:val="000000"/>
          <w:sz w:val="30"/>
          <w:szCs w:val="30"/>
          <w:highlight w:val="none"/>
          <w:lang w:eastAsia="zh-CN"/>
        </w:rPr>
        <w:t xml:space="preserve">目名称：南京鼓楼医院高危病人筛查与管理系统</w:t>
      </w:r>
      <w:r>
        <w:rPr>
          <w:rFonts w:ascii="Segoe UI" w:hAnsi="Segoe UI" w:eastAsia="Segoe UI" w:cs="Segoe UI"/>
          <w:i w:val="0"/>
          <w:iCs w:val="0"/>
          <w:caps w:val="0"/>
          <w:color w:val="000000"/>
          <w:spacing w:val="0"/>
          <w:sz w:val="10"/>
          <w:szCs w:val="10"/>
          <w:highlight w:val="none"/>
          <w:shd w:val="clear" w:color="auto" w:fill="fafafa"/>
        </w:rPr>
      </w:r>
      <w:r/>
    </w:p>
    <w:p>
      <w:pPr>
        <w:pStyle w:val="86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JSZC-320100-JZCG-G2026-0273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1"/>
        <w:rPr>
          <w:rFonts w:hint="eastAsia" w:ascii="Arial" w:hAnsi="Arial"/>
          <w:color w:val="000000"/>
          <w:sz w:val="24"/>
          <w:szCs w:val="24"/>
          <w:highlight w:val="none"/>
        </w:rPr>
      </w:pPr>
      <w:r>
        <w:rPr>
          <w:rFonts w:hint="eastAsia" w:ascii="Arial" w:hAnsi="Arial"/>
          <w:color w:val="000000"/>
          <w:sz w:val="24"/>
          <w:szCs w:val="24"/>
          <w:highlight w:val="none"/>
        </w:rPr>
      </w:r>
      <w:r/>
    </w:p>
    <w:p>
      <w:pPr>
        <w:pStyle w:val="869"/>
        <w:rPr>
          <w:rFonts w:hint="eastAsia"/>
          <w:color w:val="000000"/>
          <w:highlight w:val="none"/>
        </w:rPr>
      </w:pPr>
      <w:r>
        <w:rPr>
          <w:rFonts w:hint="eastAsia"/>
          <w:color w:val="000000"/>
          <w:highlight w:val="none"/>
        </w:rPr>
      </w:r>
      <w:r/>
    </w:p>
    <w:p>
      <w:pPr>
        <w:pStyle w:val="948"/>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24</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27</w:t>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：JSZC-320100-JZCG-G2026-0273</w:t>
      </w:r>
      <w:r>
        <w:rPr>
          <w:rFonts w:hint="eastAsia" w:ascii="宋体" w:hAnsi="宋体" w:eastAsia="宋体" w:cs="Times New Roman"/>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2.项目名称：南京鼓楼医院高危病人筛查与管理系统</w:t>
      </w:r>
      <w:r>
        <w:rPr>
          <w:rFonts w:hint="eastAsia" w:ascii="宋体" w:hAnsi="宋体" w:eastAsia="宋体" w:cs="Times New Roman"/>
          <w:color w:val="000000"/>
          <w:sz w:val="24"/>
          <w:szCs w:val="24"/>
          <w:highlight w:val="none"/>
          <w:lang w:eastAsia="zh-CN"/>
        </w:rPr>
      </w:r>
      <w:r/>
    </w:p>
    <w:p>
      <w:pPr>
        <w:pStyle w:val="869"/>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0万元</w:t>
      </w:r>
      <w:r>
        <w:rPr>
          <w:rFonts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rPr>
        <w:t xml:space="preserve">65万元</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5.采购需求（简介）：为强化急诊和住院高危病人质量安全管控，规范高危病人诊疗全流程，有效防范医疗风险，提升病人诊疗效率与安全水平，特建立高危病人筛查与管理系统。</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ascii="宋体" w:hAnsi="宋体"/>
          <w:color w:val="000000"/>
          <w:sz w:val="24"/>
          <w:szCs w:val="24"/>
          <w:highlight w:val="none"/>
        </w:rPr>
        <w:t xml:space="preserve">90</w:t>
      </w:r>
      <w:r>
        <w:rPr>
          <w:rFonts w:hint="eastAsia" w:ascii="宋体" w:hAnsi="宋体"/>
          <w:color w:val="000000"/>
          <w:sz w:val="24"/>
          <w:szCs w:val="24"/>
          <w:highlight w:val="none"/>
        </w:rPr>
        <w:t xml:space="preserve">天（系统开发及验收时间为合同签订后</w:t>
      </w:r>
      <w:r>
        <w:rPr>
          <w:rFonts w:ascii="宋体" w:hAnsi="宋体"/>
          <w:color w:val="000000"/>
          <w:sz w:val="24"/>
          <w:szCs w:val="24"/>
          <w:highlight w:val="none"/>
        </w:rPr>
        <w:t xml:space="preserve">90</w:t>
      </w:r>
      <w:r>
        <w:rPr>
          <w:rFonts w:hint="eastAsia" w:ascii="宋体" w:hAnsi="宋体"/>
          <w:color w:val="000000"/>
          <w:sz w:val="24"/>
          <w:szCs w:val="24"/>
          <w:highlight w:val="none"/>
        </w:rPr>
        <w:t xml:space="preserve">天内。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5393791"/>
      <w:r/>
      <w:bookmarkStart w:id="14" w:name="_Toc28359080"/>
      <w:r/>
      <w:bookmarkStart w:id="15" w:name="_Toc35393622"/>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792"/>
      <w:r/>
      <w:bookmarkStart w:id="19" w:name="_Toc38985265"/>
      <w:r/>
      <w:bookmarkStart w:id="20" w:name="_Toc35393623"/>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5393625"/>
      <w:r/>
      <w:bookmarkStart w:id="29" w:name="_Toc35393794"/>
      <w:r/>
      <w:bookmarkStart w:id="30" w:name="_Toc28359007"/>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8日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u w:val="none"/>
        </w:rPr>
        <w:t xml:space="preserve">00分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28359085"/>
      <w:r/>
      <w:bookmarkStart w:id="38" w:name="_Toc35393796"/>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采购人《质疑函》收件人：张老师，收件地址：</w:t>
      </w:r>
      <w:r>
        <w:rPr>
          <w:rFonts w:hint="eastAsia" w:ascii="宋体" w:hAnsi="宋体" w:cs="宋体"/>
          <w:color w:val="000000"/>
          <w:sz w:val="24"/>
          <w:szCs w:val="24"/>
          <w:highlight w:val="none"/>
        </w:rPr>
        <w:t xml:space="preserve">南京市玄武区双龙巷5号4楼4</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w:t>
      </w:r>
      <w:r>
        <w:rPr>
          <w:rFonts w:ascii="宋体" w:hAnsi="宋体"/>
          <w:color w:val="000000"/>
          <w:sz w:val="24"/>
          <w:highlight w:val="none"/>
        </w:rPr>
        <w:t xml:space="preserve">025-83105006</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1.采购人</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名  称：南京鼓楼医院          </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鼓楼区中山路3</w:t>
      </w:r>
      <w:r>
        <w:rPr>
          <w:rFonts w:ascii="宋体" w:hAnsi="宋体"/>
          <w:color w:val="000000"/>
          <w:sz w:val="24"/>
          <w:szCs w:val="24"/>
          <w:highlight w:val="none"/>
        </w:rPr>
        <w:t xml:space="preserve">21号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联系人：张老师 </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联系人：段艺婷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4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9"/>
        <w:ind w:firstLine="422"/>
        <w:keepLines w:val="0"/>
        <w:keepNext w:val="0"/>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513029242"/>
      <w:r/>
      <w:bookmarkStart w:id="51" w:name="_Toc20823314"/>
      <w:r/>
      <w:bookmarkStart w:id="52" w:name="_Toc479757207"/>
      <w:r/>
      <w:bookmarkStart w:id="53" w:name="_Toc16938558"/>
      <w:r>
        <w:rPr>
          <w:color w:val="000000"/>
          <w:highlight w:val="none"/>
        </w:rPr>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48"/>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20823315"/>
      <w:r/>
      <w:bookmarkStart w:id="56"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8"/>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近年来，随着医疗安全工作的逐步推进，医疗风险防控的研究重点已逐步由被动处理医疗风险事件转为主动预防风险产生，因此，高危病人的筛选与高危病人的全流程管理成为了医疗风险防范工作的重中之重。</w:t>
      </w:r>
      <w:r>
        <w:rPr>
          <w:rFonts w:ascii="宋体" w:hAnsi="宋体"/>
          <w:color w:val="000000"/>
          <w:sz w:val="24"/>
          <w:szCs w:val="24"/>
          <w:highlight w:val="none"/>
        </w:rPr>
      </w:r>
      <w:r/>
    </w:p>
    <w:p>
      <w:pPr>
        <w:pStyle w:val="869"/>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为强化急诊和住院高危病人质量安全管控，规范高危病人诊疗全流程，有效防范医疗风险，提升病人诊疗效率与安全水平，特建立高危病人筛查与管理系统。</w:t>
      </w:r>
      <w:r>
        <w:rPr>
          <w:rFonts w:ascii="宋体" w:hAnsi="宋体"/>
          <w:color w:val="000000"/>
          <w:sz w:val="24"/>
          <w:szCs w:val="24"/>
          <w:highlight w:val="none"/>
        </w:rPr>
      </w:r>
      <w:r/>
    </w:p>
    <w:p>
      <w:pPr>
        <w:pStyle w:val="869"/>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本项目建设整体设计上需和医院信息化建设顶层设计保持一致性；要求本项目建设内容须与现有建设的软件保持延续性、兼容性，以实现现有软件的平滑升级和功能扩展。</w:t>
      </w:r>
      <w:r>
        <w:rPr>
          <w:rFonts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（二）项目建设遵循标准</w:t>
      </w:r>
      <w:r>
        <w:rPr>
          <w:rFonts w:hint="eastAsia" w:ascii="宋体" w:hAnsi="宋体" w:eastAsia="宋体" w:cs="Times New Roman"/>
          <w:color w:val="000000"/>
          <w:sz w:val="24"/>
          <w:szCs w:val="24"/>
          <w:highlight w:val="none"/>
          <w:lang w:eastAsia="zh-CN"/>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《全国医院信息化建设标准与规范（试行）》（2018版）；</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《电子病历系统应用水平分级评价标准（试行）》；</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《医院信息互联互通标准化成熟度测评方案》2020年版；</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卫生健康委《卫生信息框架标准》；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卫生健康委《医院基本数据集标准》；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卫生健康委《公共卫生信息分类框架和基本数据集标准》；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卫生健康委卫生机构（组织）分类与代码（WS218-2002）；</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卫生健康委疾病分类与代码等标准；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软件代码及接口的数据编码采用国际、国家现阶段标准规范，遵循国际、国内相关标准。国际标准：HL7标准、DICOM医学影像数据标准、LOINC实验室检验标准、SNOMED医院术语标准、ICD9、ICD10国际疾病编码标准等相关国际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遵循国际和国家数据字典标准规范、省部委数据字典、地区和用户数据字典规范；国际标准的病种分类、药品分类、治疗检查分类等各种字典库，执行的编码标准。</w:t>
      </w:r>
      <w:r>
        <w:rPr>
          <w:rFonts w:ascii="宋体" w:hAnsi="宋体" w:cs="宋体"/>
          <w:bCs/>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以上标准如有更新，按更新后的标准执行。</w:t>
      </w:r>
      <w:r>
        <w:rPr>
          <w:rFonts w:hint="eastAsia" w:ascii="宋体" w:hAnsi="宋体" w:eastAsia="宋体" w:cs="宋体"/>
          <w:bCs/>
          <w:i w:val="0"/>
          <w:iCs w:val="0"/>
          <w:caps w:val="0"/>
          <w:color w:val="000000"/>
          <w:spacing w:val="0"/>
          <w:sz w:val="24"/>
          <w:szCs w:val="24"/>
          <w:highlight w:val="none"/>
          <w:shd w:val="clear" w:color="auto" w:fill="auto"/>
        </w:rPr>
        <w:t xml:space="preserve">除上述列举标准外，还应遵循国家、行业及地方现行的其他规范和标准。</w:t>
      </w:r>
      <w:r>
        <w:rPr>
          <w:rFonts w:ascii="宋体" w:hAnsi="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2"/>
        <w:tblW w:w="501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9"/>
        <w:gridCol w:w="1550"/>
        <w:gridCol w:w="738"/>
        <w:gridCol w:w="937"/>
        <w:gridCol w:w="1423"/>
        <w:gridCol w:w="1451"/>
        <w:gridCol w:w="1792"/>
        <w:gridCol w:w="1024"/>
      </w:tblGrid>
      <w:tr>
        <w:trPr>
          <w:trHeight w:val="470"/>
        </w:trPr>
        <w:tc>
          <w:tcPr>
            <w:tcW w:w="4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79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7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7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741"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1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444"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792" w:type="dxa"/>
            <w:vAlign w:val="center"/>
            <w:textDirection w:val="lrTb"/>
            <w:noWrap w:val="false"/>
          </w:tcPr>
          <w:p>
            <w:pPr>
              <w:pStyle w:val="869"/>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高危病人筛查与管理系统</w:t>
            </w:r>
            <w:r>
              <w:rPr>
                <w:rFonts w:hint="eastAsia" w:ascii="宋体" w:hAnsi="宋体" w:eastAsia="宋体" w:cs="Times New Roman"/>
                <w:bCs/>
                <w:color w:val="000000"/>
                <w:sz w:val="24"/>
                <w:szCs w:val="24"/>
                <w:highlight w:val="none"/>
              </w:rPr>
            </w:r>
            <w:r/>
          </w:p>
        </w:tc>
        <w:tc>
          <w:tcPr>
            <w:tcW w:w="377"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479"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w:t>
            </w:r>
            <w:r>
              <w:rPr>
                <w:rFonts w:hint="eastAsia" w:ascii="宋体" w:hAnsi="宋体" w:eastAsia="宋体" w:cs="宋体"/>
                <w:bCs/>
                <w:color w:val="000000"/>
                <w:sz w:val="24"/>
                <w:szCs w:val="24"/>
                <w:highlight w:val="none"/>
                <w:lang w:val="en-US" w:eastAsia="zh-CN"/>
              </w:rPr>
            </w:r>
            <w:r/>
          </w:p>
        </w:tc>
        <w:tc>
          <w:tcPr>
            <w:tcW w:w="727"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741"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ascii="宋体" w:hAnsi="宋体" w:cs="宋体"/>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W w:w="915"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523"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7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851"/>
        <w:gridCol w:w="1134"/>
        <w:gridCol w:w="7239"/>
      </w:tblGrid>
      <w:tr>
        <w:trPr>
          <w:trHeight w:val="20"/>
        </w:trPr>
        <w:tc>
          <w:tcPr>
            <w:tcW w:w="562" w:type="dxa"/>
            <w:vAlign w:val="center"/>
            <w:textDirection w:val="lrTb"/>
            <w:noWrap/>
          </w:tcPr>
          <w:p>
            <w:pPr>
              <w:pStyle w:val="869"/>
              <w:jc w:val="center"/>
              <w:spacing w:line="300" w:lineRule="exact"/>
              <w:widowControl/>
              <w:rPr>
                <w:b/>
                <w:bCs/>
                <w:color w:val="000000"/>
                <w:sz w:val="21"/>
                <w:highlight w:val="none"/>
              </w:rPr>
            </w:pPr>
            <w:r/>
            <w:bookmarkStart w:id="59" w:name="_Hlk193355648"/>
            <w:r>
              <w:rPr>
                <w:rFonts w:hint="eastAsia"/>
                <w:b/>
                <w:bCs/>
                <w:color w:val="000000"/>
                <w:sz w:val="21"/>
                <w:highlight w:val="none"/>
              </w:rPr>
              <w:t xml:space="preserve">序号</w:t>
            </w:r>
            <w:r>
              <w:rPr>
                <w:b/>
                <w:bCs/>
                <w:color w:val="000000"/>
                <w:sz w:val="21"/>
                <w:highlight w:val="none"/>
              </w:rPr>
            </w:r>
            <w:r/>
          </w:p>
        </w:tc>
        <w:tc>
          <w:tcPr>
            <w:tcW w:w="851" w:type="dxa"/>
            <w:vAlign w:val="center"/>
            <w:textDirection w:val="lrTb"/>
            <w:noWrap w:val="false"/>
          </w:tcPr>
          <w:p>
            <w:pPr>
              <w:pStyle w:val="869"/>
              <w:jc w:val="center"/>
              <w:spacing w:line="300" w:lineRule="exact"/>
              <w:widowControl/>
              <w:rPr>
                <w:b/>
                <w:bCs/>
                <w:color w:val="000000"/>
                <w:sz w:val="21"/>
                <w:highlight w:val="none"/>
              </w:rPr>
            </w:pPr>
            <w:r>
              <w:rPr>
                <w:b/>
                <w:bCs/>
                <w:color w:val="000000"/>
                <w:sz w:val="21"/>
                <w:highlight w:val="none"/>
              </w:rPr>
              <w:t xml:space="preserve">模块</w:t>
            </w:r>
            <w:r>
              <w:rPr>
                <w:b/>
                <w:bCs/>
                <w:color w:val="000000"/>
                <w:sz w:val="21"/>
                <w:highlight w:val="none"/>
              </w:rPr>
            </w:r>
            <w:r/>
          </w:p>
          <w:p>
            <w:pPr>
              <w:pStyle w:val="869"/>
              <w:jc w:val="center"/>
              <w:spacing w:line="300" w:lineRule="exact"/>
              <w:widowControl/>
              <w:rPr>
                <w:b/>
                <w:bCs/>
                <w:color w:val="000000"/>
                <w:sz w:val="21"/>
                <w:highlight w:val="none"/>
              </w:rPr>
            </w:pPr>
            <w:r>
              <w:rPr>
                <w:b/>
                <w:bCs/>
                <w:color w:val="000000"/>
                <w:sz w:val="21"/>
                <w:highlight w:val="none"/>
              </w:rPr>
            </w:r>
            <w:r/>
          </w:p>
        </w:tc>
        <w:tc>
          <w:tcPr>
            <w:tcW w:w="1134" w:type="dxa"/>
            <w:vAlign w:val="center"/>
            <w:textDirection w:val="lrTb"/>
            <w:noWrap w:val="false"/>
          </w:tcPr>
          <w:p>
            <w:pPr>
              <w:pStyle w:val="869"/>
              <w:jc w:val="center"/>
              <w:spacing w:line="300" w:lineRule="exact"/>
              <w:widowControl/>
              <w:rPr>
                <w:b/>
                <w:bCs/>
                <w:color w:val="000000"/>
                <w:sz w:val="21"/>
                <w:highlight w:val="none"/>
              </w:rPr>
            </w:pPr>
            <w:r>
              <w:rPr>
                <w:rFonts w:hint="eastAsia"/>
                <w:b/>
                <w:bCs/>
                <w:color w:val="000000"/>
                <w:sz w:val="21"/>
                <w:highlight w:val="none"/>
              </w:rPr>
              <w:t xml:space="preserve">功能子模块</w:t>
            </w:r>
            <w:r>
              <w:rPr>
                <w:b/>
                <w:bCs/>
                <w:color w:val="000000"/>
                <w:sz w:val="21"/>
                <w:highlight w:val="none"/>
              </w:rPr>
            </w:r>
            <w:r/>
          </w:p>
        </w:tc>
        <w:tc>
          <w:tcPr>
            <w:tcW w:w="7239" w:type="dxa"/>
            <w:vAlign w:val="center"/>
            <w:textDirection w:val="lrTb"/>
            <w:noWrap w:val="false"/>
          </w:tcPr>
          <w:p>
            <w:pPr>
              <w:pStyle w:val="869"/>
              <w:jc w:val="center"/>
              <w:spacing w:line="300" w:lineRule="exact"/>
              <w:widowControl/>
              <w:rPr>
                <w:b/>
                <w:bCs/>
                <w:color w:val="000000"/>
                <w:sz w:val="21"/>
                <w:highlight w:val="none"/>
              </w:rPr>
            </w:pPr>
            <w:r>
              <w:rPr>
                <w:rFonts w:hint="eastAsia"/>
                <w:b/>
                <w:bCs/>
                <w:color w:val="000000"/>
                <w:sz w:val="21"/>
                <w:highlight w:val="none"/>
              </w:rPr>
              <w:t xml:space="preserve">功能描述</w:t>
            </w:r>
            <w:r>
              <w:rPr>
                <w:b/>
                <w:bCs/>
                <w:color w:val="000000"/>
                <w:sz w:val="21"/>
                <w:highlight w:val="none"/>
              </w:rPr>
            </w:r>
            <w:r/>
          </w:p>
        </w:tc>
      </w:tr>
      <w:tr>
        <w:trPr>
          <w:trHeight w:val="20"/>
        </w:trPr>
        <w:tc>
          <w:tcPr>
            <w:tcW w:w="562"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1</w:t>
            </w:r>
            <w:r>
              <w:rPr>
                <w:color w:val="000000"/>
                <w:sz w:val="21"/>
                <w:highlight w:val="none"/>
              </w:rPr>
            </w:r>
            <w:r/>
          </w:p>
        </w:tc>
        <w:tc>
          <w:tcPr>
            <w:tcW w:w="851"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高危病人筛查管理</w:t>
            </w: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MEWS评估</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支持移动护理系统根据体温、呼吸、收缩压、体温、意识等数据，自动计算MEWS评估；支持MEWS评估结果对接高危病人管理系统；</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支持根据MEWS评估结果</w:t>
            </w:r>
            <w:r>
              <w:rPr>
                <w:rFonts w:hint="eastAsia"/>
                <w:color w:val="000000"/>
                <w:sz w:val="21"/>
                <w:highlight w:val="none"/>
                <w:lang w:eastAsia="zh-CN"/>
              </w:rPr>
              <w:t xml:space="preserve">（</w:t>
            </w:r>
            <w:r>
              <w:rPr>
                <w:rFonts w:hint="eastAsia"/>
                <w:color w:val="000000"/>
                <w:sz w:val="21"/>
                <w:highlight w:val="none"/>
              </w:rPr>
              <w:t xml:space="preserve">成人、儿童MEWS≥4分，产妇MEWS≥6分</w:t>
            </w:r>
            <w:r>
              <w:rPr>
                <w:rFonts w:hint="eastAsia"/>
                <w:color w:val="000000"/>
                <w:sz w:val="21"/>
                <w:highlight w:val="none"/>
                <w:lang w:eastAsia="zh-CN"/>
              </w:rPr>
              <w:t xml:space="preserve">）</w:t>
            </w:r>
            <w:r>
              <w:rPr>
                <w:rFonts w:hint="eastAsia"/>
                <w:color w:val="000000"/>
                <w:sz w:val="21"/>
                <w:highlight w:val="none"/>
              </w:rPr>
              <w:t xml:space="preserve">自动纳入高危病人队列；</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3.</w:t>
            </w:r>
            <w:r>
              <w:rPr>
                <w:rFonts w:hint="eastAsia"/>
                <w:color w:val="000000"/>
                <w:sz w:val="21"/>
                <w:highlight w:val="none"/>
              </w:rPr>
              <w:t xml:space="preserve">支持单次评分超过阈值或评分增长超过阈值时（MEWS较上次得分升高≥3分）自动纳入高危病人队列。</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医疗风险评估</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1.</w:t>
            </w:r>
            <w:r>
              <w:rPr>
                <w:rFonts w:hint="eastAsia"/>
                <w:color w:val="000000"/>
                <w:sz w:val="21"/>
                <w:highlight w:val="none"/>
              </w:rPr>
              <w:t xml:space="preserve">支持在保存入院记录时自动弹出医疗风险评估表，完成评分后才允许提交入院记录；</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2.</w:t>
            </w:r>
            <w:r>
              <w:rPr>
                <w:rFonts w:hint="eastAsia"/>
                <w:color w:val="000000"/>
                <w:sz w:val="21"/>
                <w:highlight w:val="none"/>
              </w:rPr>
              <w:t xml:space="preserve">支持医疗风险评估表中年龄、医疗风险名单由系统自动取值，其余内容由医生手工勾选；</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3.</w:t>
            </w:r>
            <w:r>
              <w:rPr>
                <w:rFonts w:hint="eastAsia"/>
                <w:color w:val="000000"/>
                <w:sz w:val="21"/>
                <w:highlight w:val="none"/>
              </w:rPr>
              <w:t xml:space="preserve">支持医疗风险评估表单次得分≥5分时自动纳入高危病人队列；</w:t>
            </w:r>
            <w:r>
              <w:rPr>
                <w:color w:val="000000"/>
                <w:sz w:val="21"/>
                <w:highlight w:val="none"/>
              </w:rPr>
            </w:r>
            <w:r/>
          </w:p>
          <w:p>
            <w:pPr>
              <w:pStyle w:val="869"/>
              <w:jc w:val="left"/>
              <w:spacing w:line="300" w:lineRule="exact"/>
              <w:widowControl/>
              <w:rPr>
                <w:rFonts w:hint="eastAsia" w:eastAsia="宋体"/>
                <w:color w:val="000000"/>
                <w:sz w:val="21"/>
                <w:highlight w:val="none"/>
                <w:lang w:eastAsia="zh-CN"/>
              </w:rPr>
            </w:pPr>
            <w:r>
              <w:rPr>
                <w:rFonts w:hint="eastAsia"/>
                <w:color w:val="000000"/>
                <w:highlight w:val="none"/>
              </w:rPr>
              <w:t xml:space="preserve">▲</w:t>
            </w:r>
            <w:r>
              <w:rPr>
                <w:color w:val="000000"/>
                <w:sz w:val="21"/>
                <w:highlight w:val="none"/>
              </w:rPr>
              <w:t xml:space="preserve">4.</w:t>
            </w:r>
            <w:r>
              <w:rPr>
                <w:rFonts w:hint="eastAsia"/>
                <w:color w:val="000000"/>
                <w:sz w:val="21"/>
                <w:highlight w:val="none"/>
              </w:rPr>
              <w:t xml:space="preserve">支持医疗风险评估表格式根据实际运行情况动态调整</w:t>
            </w:r>
            <w:r>
              <w:rPr>
                <w:rFonts w:hint="eastAsia"/>
                <w:color w:val="000000"/>
                <w:sz w:val="21"/>
                <w:highlight w:val="none"/>
                <w:lang w:eastAsia="zh-CN"/>
              </w:rPr>
              <w:t xml:space="preserve">；</w:t>
            </w:r>
            <w:r>
              <w:rPr>
                <w:rFonts w:hint="eastAsia" w:eastAsia="宋体"/>
                <w:color w:val="000000"/>
                <w:sz w:val="21"/>
                <w:highlight w:val="none"/>
                <w:lang w:eastAsia="zh-CN"/>
              </w:rPr>
            </w:r>
            <w:r/>
          </w:p>
          <w:p>
            <w:pPr>
              <w:pStyle w:val="869"/>
              <w:jc w:val="left"/>
              <w:spacing w:line="300" w:lineRule="exact"/>
              <w:widowControl/>
              <w:rPr>
                <w:rFonts w:hint="eastAsia" w:eastAsia="宋体"/>
                <w:color w:val="000000"/>
                <w:sz w:val="21"/>
                <w:highlight w:val="none"/>
                <w:lang w:eastAsia="zh-CN"/>
              </w:rPr>
            </w:pPr>
            <w:r>
              <w:rPr>
                <w:rFonts w:hint="eastAsia"/>
                <w:color w:val="000000"/>
                <w:highlight w:val="none"/>
              </w:rPr>
              <w:t xml:space="preserve">▲</w:t>
            </w:r>
            <w:r>
              <w:rPr>
                <w:color w:val="000000"/>
                <w:sz w:val="21"/>
                <w:highlight w:val="none"/>
              </w:rPr>
              <w:t xml:space="preserve">5.</w:t>
            </w:r>
            <w:r>
              <w:rPr>
                <w:rFonts w:hint="eastAsia"/>
                <w:color w:val="000000"/>
                <w:sz w:val="21"/>
                <w:highlight w:val="none"/>
              </w:rPr>
              <w:t xml:space="preserve">支持当临床医生、临床护士、麻醉医生手动将病人纳入高危队列时选择“严重沟通障碍/知情同意困难”，将医疗风险评估表中的“医患沟通情况”选项修改为“存在沟通困难”</w:t>
            </w:r>
            <w:r>
              <w:rPr>
                <w:rFonts w:hint="eastAsia"/>
                <w:color w:val="000000"/>
                <w:sz w:val="21"/>
                <w:highlight w:val="none"/>
                <w:lang w:eastAsia="zh-CN"/>
              </w:rPr>
              <w:t xml:space="preserve">。</w:t>
            </w:r>
            <w:r>
              <w:rPr>
                <w:rFonts w:hint="eastAsia" w:eastAsia="宋体"/>
                <w:color w:val="000000"/>
                <w:sz w:val="21"/>
                <w:highlight w:val="none"/>
                <w:lang w:eastAsia="zh-CN"/>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术中异动事件评估</w:t>
            </w:r>
            <w:r>
              <w:rPr>
                <w:color w:val="000000"/>
                <w:sz w:val="21"/>
                <w:highlight w:val="none"/>
              </w:rPr>
            </w:r>
            <w:r/>
          </w:p>
        </w:tc>
        <w:tc>
          <w:tcPr>
            <w:tcW w:w="7239" w:type="dxa"/>
            <w:vAlign w:val="center"/>
            <w:textDirection w:val="lrTb"/>
            <w:noWrap w:val="false"/>
          </w:tcPr>
          <w:p>
            <w:pPr>
              <w:pStyle w:val="869"/>
              <w:numPr>
                <w:ilvl w:val="0"/>
                <w:numId w:val="0"/>
              </w:numPr>
              <w:jc w:val="left"/>
              <w:spacing w:line="300" w:lineRule="exact"/>
              <w:widowControl/>
              <w:rPr>
                <w:color w:val="000000"/>
                <w:sz w:val="21"/>
                <w:highlight w:val="none"/>
              </w:rPr>
            </w:pPr>
            <w:r>
              <w:rPr>
                <w:rFonts w:hint="eastAsia"/>
                <w:color w:val="000000"/>
                <w:sz w:val="21"/>
                <w:highlight w:val="none"/>
              </w:rPr>
              <w:t xml:space="preserve">1.支持麻醉医生或巡回护士主动完成术中异动事件上报，支持将目标患者自动纳入高危病人管理队列，支持将预警信息推送给相关人员，包括但不限于：麻醉科主任、麻醉科护士长、相应临床科室科主任、护士长、医疗组长、医务处、副院长等。</w:t>
            </w:r>
            <w:r>
              <w:rPr>
                <w:color w:val="000000"/>
                <w:sz w:val="21"/>
                <w:highlight w:val="none"/>
              </w:rPr>
            </w:r>
            <w:r/>
          </w:p>
          <w:p>
            <w:pPr>
              <w:pStyle w:val="869"/>
              <w:numPr>
                <w:ilvl w:val="0"/>
                <w:numId w:val="0"/>
              </w:numPr>
              <w:jc w:val="left"/>
              <w:spacing w:line="300" w:lineRule="exact"/>
              <w:widowControl/>
              <w:rPr>
                <w:color w:val="000000"/>
                <w:sz w:val="21"/>
                <w:highlight w:val="none"/>
              </w:rPr>
            </w:pPr>
            <w:r>
              <w:rPr>
                <w:rFonts w:hint="eastAsia"/>
                <w:color w:val="000000"/>
                <w:sz w:val="21"/>
                <w:highlight w:val="none"/>
              </w:rPr>
              <w:t xml:space="preserve">2.术中异动事件包括：1</w:t>
            </w:r>
            <w:r>
              <w:rPr>
                <w:rFonts w:hint="eastAsia"/>
                <w:color w:val="000000"/>
                <w:sz w:val="21"/>
                <w:highlight w:val="none"/>
                <w:lang w:eastAsia="zh-CN"/>
              </w:rPr>
              <w:t xml:space="preserve">）</w:t>
            </w:r>
            <w:r>
              <w:rPr>
                <w:rFonts w:hint="eastAsia"/>
                <w:color w:val="000000"/>
                <w:sz w:val="21"/>
                <w:highlight w:val="none"/>
              </w:rPr>
              <w:t xml:space="preserve">发生接错患者、手术部位错误；2</w:t>
            </w:r>
            <w:r>
              <w:rPr>
                <w:rFonts w:hint="eastAsia"/>
                <w:color w:val="000000"/>
                <w:sz w:val="21"/>
                <w:highlight w:val="none"/>
                <w:lang w:eastAsia="zh-CN"/>
              </w:rPr>
              <w:t xml:space="preserve">）</w:t>
            </w:r>
            <w:r>
              <w:rPr>
                <w:rFonts w:hint="eastAsia"/>
                <w:color w:val="000000"/>
                <w:sz w:val="21"/>
                <w:highlight w:val="none"/>
              </w:rPr>
              <w:t xml:space="preserve">实际主刀医生与计划主刀医生不一致，术中临时更改主刀医生；3</w:t>
            </w:r>
            <w:r>
              <w:rPr>
                <w:rFonts w:hint="eastAsia"/>
                <w:color w:val="000000"/>
                <w:sz w:val="21"/>
                <w:highlight w:val="none"/>
                <w:lang w:eastAsia="zh-CN"/>
              </w:rPr>
              <w:t xml:space="preserve">）</w:t>
            </w:r>
            <w:r>
              <w:rPr>
                <w:rFonts w:hint="eastAsia"/>
                <w:color w:val="000000"/>
                <w:sz w:val="21"/>
                <w:highlight w:val="none"/>
              </w:rPr>
              <w:t xml:space="preserve">发生心跳呼吸骤停、怀疑过敏性休克等危及生命的情况4</w:t>
            </w:r>
            <w:r>
              <w:rPr>
                <w:rFonts w:hint="eastAsia"/>
                <w:color w:val="000000"/>
                <w:sz w:val="21"/>
                <w:highlight w:val="none"/>
                <w:lang w:eastAsia="zh-CN"/>
              </w:rPr>
              <w:t xml:space="preserve">）</w:t>
            </w:r>
            <w:r>
              <w:rPr>
                <w:rFonts w:hint="eastAsia"/>
                <w:color w:val="000000"/>
                <w:sz w:val="21"/>
                <w:highlight w:val="none"/>
              </w:rPr>
              <w:t xml:space="preserve">意外损伤大血管、重要神经、相邻脏器；5</w:t>
            </w:r>
            <w:r>
              <w:rPr>
                <w:rFonts w:hint="eastAsia"/>
                <w:color w:val="000000"/>
                <w:sz w:val="21"/>
                <w:highlight w:val="none"/>
                <w:lang w:eastAsia="zh-CN"/>
              </w:rPr>
              <w:t xml:space="preserve">）</w:t>
            </w:r>
            <w:r>
              <w:rPr>
                <w:rFonts w:hint="eastAsia"/>
                <w:color w:val="000000"/>
                <w:sz w:val="21"/>
                <w:highlight w:val="none"/>
              </w:rPr>
              <w:t xml:space="preserve">超计划用血，大于术前备血量 2倍及以上；择期手术非计划用血，且用量大（红细胞≥3单位或血浆＞500ml ）；6</w:t>
            </w:r>
            <w:r>
              <w:rPr>
                <w:rFonts w:hint="eastAsia"/>
                <w:color w:val="000000"/>
                <w:sz w:val="21"/>
                <w:highlight w:val="none"/>
                <w:lang w:eastAsia="zh-CN"/>
              </w:rPr>
              <w:t xml:space="preserve">）</w:t>
            </w:r>
            <w:r>
              <w:rPr>
                <w:rFonts w:hint="eastAsia"/>
                <w:color w:val="000000"/>
                <w:sz w:val="21"/>
                <w:highlight w:val="none"/>
              </w:rPr>
              <w:t xml:space="preserve">手术时长≥该手术标准手术时间2倍（主流术式）；7</w:t>
            </w:r>
            <w:r>
              <w:rPr>
                <w:rFonts w:hint="eastAsia"/>
                <w:color w:val="000000"/>
                <w:sz w:val="21"/>
                <w:highlight w:val="none"/>
                <w:lang w:eastAsia="zh-CN"/>
              </w:rPr>
              <w:t xml:space="preserve">）</w:t>
            </w:r>
            <w:r>
              <w:rPr>
                <w:rFonts w:hint="eastAsia"/>
                <w:color w:val="000000"/>
                <w:sz w:val="21"/>
                <w:highlight w:val="none"/>
              </w:rPr>
              <w:t xml:space="preserve">非计划的多学科手术；8</w:t>
            </w:r>
            <w:r>
              <w:rPr>
                <w:rFonts w:hint="eastAsia"/>
                <w:color w:val="000000"/>
                <w:sz w:val="21"/>
                <w:highlight w:val="none"/>
                <w:lang w:eastAsia="zh-CN"/>
              </w:rPr>
              <w:t xml:space="preserve">）</w:t>
            </w:r>
            <w:r>
              <w:rPr>
                <w:rFonts w:hint="eastAsia"/>
                <w:color w:val="000000"/>
                <w:sz w:val="21"/>
                <w:highlight w:val="none"/>
              </w:rPr>
              <w:t xml:space="preserve">发生手术器械不良事件，包括器械断裂、纱布缝针等清点数目不符；9</w:t>
            </w:r>
            <w:r>
              <w:rPr>
                <w:rFonts w:hint="eastAsia"/>
                <w:color w:val="000000"/>
                <w:sz w:val="21"/>
                <w:highlight w:val="none"/>
                <w:lang w:eastAsia="zh-CN"/>
              </w:rPr>
              <w:t xml:space="preserve">）</w:t>
            </w:r>
            <w:r>
              <w:rPr>
                <w:rFonts w:hint="eastAsia"/>
                <w:color w:val="000000"/>
                <w:sz w:val="21"/>
                <w:highlight w:val="none"/>
              </w:rPr>
              <w:t xml:space="preserve">发现体内非正常异物，如可能是上次手术残留的纱布等；10）实际麻醉方式与计划麻醉方式不一致</w:t>
            </w:r>
            <w:r>
              <w:rPr>
                <w:rFonts w:hint="eastAsia"/>
                <w:color w:val="000000"/>
                <w:sz w:val="21"/>
                <w:highlight w:val="none"/>
                <w:lang w:eastAsia="zh-CN"/>
              </w:rPr>
              <w:t xml:space="preserve">；</w:t>
            </w:r>
            <w:r>
              <w:rPr>
                <w:rFonts w:hint="eastAsia"/>
                <w:color w:val="000000"/>
                <w:sz w:val="21"/>
                <w:highlight w:val="none"/>
              </w:rPr>
              <w:t xml:space="preserve">11</w:t>
            </w:r>
            <w:r>
              <w:rPr>
                <w:rFonts w:hint="eastAsia"/>
                <w:color w:val="000000"/>
                <w:sz w:val="21"/>
                <w:highlight w:val="none"/>
                <w:lang w:eastAsia="zh-CN"/>
              </w:rPr>
              <w:t xml:space="preserve">）</w:t>
            </w:r>
            <w:r>
              <w:rPr>
                <w:rFonts w:hint="eastAsia"/>
                <w:color w:val="000000"/>
                <w:sz w:val="21"/>
                <w:highlight w:val="none"/>
              </w:rPr>
              <w:t xml:space="preserve">其他需要上报的异动指标。</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不良事件评估</w:t>
            </w:r>
            <w:r>
              <w:rPr>
                <w:color w:val="000000"/>
                <w:sz w:val="21"/>
                <w:highlight w:val="none"/>
              </w:rPr>
            </w:r>
            <w:r/>
          </w:p>
        </w:tc>
        <w:tc>
          <w:tcPr>
            <w:tcW w:w="7239" w:type="dxa"/>
            <w:vAlign w:val="center"/>
            <w:textDirection w:val="lrTb"/>
            <w:noWrap w:val="false"/>
          </w:tcPr>
          <w:p>
            <w:pPr>
              <w:pStyle w:val="869"/>
              <w:numPr>
                <w:ilvl w:val="0"/>
                <w:numId w:val="0"/>
              </w:numPr>
              <w:jc w:val="left"/>
              <w:spacing w:line="300" w:lineRule="exact"/>
              <w:widowControl/>
              <w:rPr>
                <w:color w:val="000000"/>
                <w:sz w:val="21"/>
                <w:highlight w:val="none"/>
              </w:rPr>
            </w:pPr>
            <w:r>
              <w:rPr>
                <w:rFonts w:hint="eastAsia"/>
                <w:color w:val="000000"/>
                <w:sz w:val="21"/>
                <w:highlight w:val="none"/>
              </w:rPr>
              <w:t xml:space="preserve">支持对接不良事件上报系统，将上报一级、二级医疗、护理不良事件的患者自动纳入高危病人管理队列。</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其他评估管理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支持临床医生、护士随时将目标患者纳入高危病人管理队列；</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2.</w:t>
            </w:r>
            <w:r>
              <w:rPr>
                <w:rFonts w:hint="eastAsia"/>
                <w:color w:val="000000"/>
                <w:sz w:val="21"/>
                <w:highlight w:val="none"/>
              </w:rPr>
              <w:t xml:space="preserve">支持将发生非计划二次手术的病人自动纳入高危病人管理队列；</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3.</w:t>
            </w:r>
            <w:r>
              <w:rPr>
                <w:rFonts w:hint="eastAsia"/>
                <w:color w:val="000000"/>
                <w:sz w:val="21"/>
                <w:highlight w:val="none"/>
              </w:rPr>
              <w:t xml:space="preserve">支持临床医生、护士申请高危病人退出高危病人队列，科主任或医务处审核同意后高危病人自动退出高危队列。</w:t>
            </w:r>
            <w:r>
              <w:rPr>
                <w:color w:val="000000"/>
                <w:sz w:val="21"/>
                <w:highlight w:val="none"/>
              </w:rPr>
            </w:r>
            <w:r/>
          </w:p>
        </w:tc>
      </w:tr>
      <w:tr>
        <w:trPr>
          <w:trHeight w:val="20"/>
        </w:trPr>
        <w:tc>
          <w:tcPr>
            <w:tcW w:w="562"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2</w:t>
            </w:r>
            <w:r>
              <w:rPr>
                <w:color w:val="000000"/>
                <w:sz w:val="21"/>
                <w:highlight w:val="none"/>
              </w:rPr>
            </w:r>
            <w:r/>
          </w:p>
        </w:tc>
        <w:tc>
          <w:tcPr>
            <w:tcW w:w="851"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高危病人队列管理</w:t>
            </w: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高危病人标识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1.</w:t>
            </w:r>
            <w:r>
              <w:rPr>
                <w:rFonts w:hint="eastAsia"/>
                <w:color w:val="000000"/>
                <w:sz w:val="21"/>
                <w:highlight w:val="none"/>
              </w:rPr>
              <w:t xml:space="preserve">电子病历系统床位视图和列表，支持高危病人设置统一且明显的专用标识；</w:t>
            </w:r>
            <w:r>
              <w:rPr>
                <w:color w:val="000000"/>
                <w:sz w:val="21"/>
                <w:highlight w:val="none"/>
              </w:rPr>
            </w:r>
            <w:r/>
          </w:p>
          <w:p>
            <w:pPr>
              <w:pStyle w:val="869"/>
              <w:jc w:val="left"/>
              <w:spacing w:line="300" w:lineRule="exact"/>
              <w:widowControl/>
              <w:rPr>
                <w:rFonts w:hint="eastAsia" w:eastAsia="宋体"/>
                <w:color w:val="000000"/>
                <w:sz w:val="21"/>
                <w:highlight w:val="none"/>
                <w:lang w:eastAsia="zh-CN"/>
              </w:rPr>
            </w:pPr>
            <w:r>
              <w:rPr>
                <w:color w:val="000000"/>
                <w:sz w:val="21"/>
                <w:highlight w:val="none"/>
              </w:rPr>
              <w:t xml:space="preserve">2.</w:t>
            </w:r>
            <w:r>
              <w:rPr>
                <w:rFonts w:hint="eastAsia"/>
                <w:color w:val="000000"/>
                <w:sz w:val="21"/>
                <w:highlight w:val="none"/>
              </w:rPr>
              <w:t xml:space="preserve">支持医生、护士通过电子病历系统床位视图和列表快速进入高危病人管理模块</w:t>
            </w:r>
            <w:r>
              <w:rPr>
                <w:rFonts w:hint="eastAsia"/>
                <w:color w:val="000000"/>
                <w:sz w:val="21"/>
                <w:highlight w:val="none"/>
                <w:lang w:eastAsia="zh-CN"/>
              </w:rPr>
              <w:t xml:space="preserve">。</w:t>
            </w:r>
            <w:r>
              <w:rPr>
                <w:rFonts w:hint="eastAsia" w:eastAsia="宋体"/>
                <w:color w:val="000000"/>
                <w:sz w:val="21"/>
                <w:highlight w:val="none"/>
                <w:lang w:eastAsia="zh-CN"/>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高危病人队列</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支持按照医生和护士角色权限管理对应的高危病人队列；</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支持根据权限查看个人、科室及全院高危病人队列；</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color w:val="000000"/>
                <w:sz w:val="21"/>
                <w:highlight w:val="none"/>
              </w:rPr>
              <w:t xml:space="preserve">3.</w:t>
            </w:r>
            <w:r>
              <w:rPr>
                <w:rFonts w:hint="eastAsia"/>
                <w:color w:val="000000"/>
                <w:sz w:val="21"/>
                <w:highlight w:val="none"/>
              </w:rPr>
              <w:t xml:space="preserve">支持根据不同高危类型筛选对应的病人列表，包含病人信息和风险评估信息。</w:t>
            </w:r>
            <w:r>
              <w:rPr>
                <w:color w:val="000000"/>
                <w:sz w:val="21"/>
                <w:highlight w:val="none"/>
              </w:rPr>
            </w:r>
            <w:r/>
          </w:p>
        </w:tc>
      </w:tr>
      <w:tr>
        <w:trPr>
          <w:trHeight w:val="20"/>
        </w:trPr>
        <w:tc>
          <w:tcPr>
            <w:tcW w:w="562"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3</w:t>
            </w:r>
            <w:r>
              <w:rPr>
                <w:color w:val="000000"/>
                <w:sz w:val="21"/>
                <w:highlight w:val="none"/>
              </w:rPr>
            </w:r>
            <w:r/>
          </w:p>
        </w:tc>
        <w:tc>
          <w:tcPr>
            <w:tcW w:w="851"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高危病人标准行为清单（医方）管理</w:t>
            </w: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文书质控管理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所有纳入高危病人管理队列的患者，电子病历系统需支持：</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上级医师首次查房记录在入院48</w:t>
            </w:r>
            <w:r>
              <w:rPr>
                <w:rFonts w:hint="eastAsia"/>
                <w:color w:val="000000"/>
                <w:sz w:val="21"/>
                <w:highlight w:val="none"/>
                <w:lang w:eastAsia="zh-CN"/>
              </w:rPr>
              <w:t xml:space="preserve">小时</w:t>
            </w:r>
            <w:r>
              <w:rPr>
                <w:rFonts w:hint="eastAsia"/>
                <w:color w:val="000000"/>
                <w:sz w:val="21"/>
                <w:highlight w:val="none"/>
              </w:rPr>
              <w:t xml:space="preserve">内完成，且含医疗组长CA签名；</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首次医患沟通记录在入院24</w:t>
            </w:r>
            <w:r>
              <w:rPr>
                <w:rFonts w:hint="eastAsia"/>
                <w:color w:val="000000"/>
                <w:sz w:val="21"/>
                <w:highlight w:val="none"/>
                <w:lang w:eastAsia="zh-CN"/>
              </w:rPr>
              <w:t xml:space="preserve">小时</w:t>
            </w:r>
            <w:r>
              <w:rPr>
                <w:rFonts w:hint="eastAsia"/>
                <w:color w:val="000000"/>
                <w:sz w:val="21"/>
                <w:highlight w:val="none"/>
              </w:rPr>
              <w:t xml:space="preserve">内完成，且含有医疗组长CA签名；</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3.</w:t>
            </w:r>
            <w:r>
              <w:rPr>
                <w:rFonts w:hint="eastAsia"/>
                <w:color w:val="000000"/>
                <w:sz w:val="21"/>
                <w:highlight w:val="none"/>
              </w:rPr>
              <w:t xml:space="preserve">手术知情同意书内含有主刀医生CA签名；</w:t>
            </w:r>
            <w:r>
              <w:rPr>
                <w:color w:val="000000"/>
                <w:sz w:val="21"/>
                <w:highlight w:val="none"/>
              </w:rPr>
            </w:r>
            <w:r/>
          </w:p>
          <w:p>
            <w:pPr>
              <w:pStyle w:val="869"/>
              <w:jc w:val="left"/>
              <w:spacing w:line="300" w:lineRule="exact"/>
              <w:rPr>
                <w:color w:val="000000"/>
                <w:sz w:val="21"/>
                <w:highlight w:val="none"/>
              </w:rPr>
            </w:pPr>
            <w:r>
              <w:rPr>
                <w:color w:val="000000"/>
                <w:sz w:val="21"/>
                <w:highlight w:val="none"/>
              </w:rPr>
              <w:t xml:space="preserve">4.</w:t>
            </w:r>
            <w:r>
              <w:rPr>
                <w:rFonts w:hint="eastAsia"/>
                <w:color w:val="000000"/>
                <w:sz w:val="21"/>
                <w:highlight w:val="none"/>
              </w:rPr>
              <w:t xml:space="preserve">术后核查：主刀医生在术前24</w:t>
            </w:r>
            <w:r>
              <w:rPr>
                <w:rFonts w:hint="eastAsia"/>
                <w:color w:val="000000"/>
                <w:sz w:val="21"/>
                <w:highlight w:val="none"/>
                <w:lang w:eastAsia="zh-CN"/>
              </w:rPr>
              <w:t xml:space="preserve">小时</w:t>
            </w:r>
            <w:r>
              <w:rPr>
                <w:rFonts w:hint="eastAsia"/>
                <w:color w:val="000000"/>
                <w:sz w:val="21"/>
                <w:highlight w:val="none"/>
              </w:rPr>
              <w:t xml:space="preserve">内有查房记录，含有主刀医生CA签名；有疑难、危重病例讨论记录或多学科协作诊疗（MDT）讨论记录；</w:t>
            </w:r>
            <w:r>
              <w:rPr>
                <w:color w:val="000000"/>
                <w:sz w:val="21"/>
                <w:highlight w:val="none"/>
              </w:rPr>
            </w:r>
            <w:r/>
          </w:p>
          <w:p>
            <w:pPr>
              <w:pStyle w:val="869"/>
              <w:jc w:val="left"/>
              <w:spacing w:line="300" w:lineRule="exact"/>
              <w:rPr>
                <w:color w:val="000000"/>
                <w:sz w:val="21"/>
                <w:highlight w:val="none"/>
              </w:rPr>
            </w:pPr>
            <w:r>
              <w:rPr>
                <w:rFonts w:hint="eastAsia"/>
                <w:color w:val="000000"/>
                <w:highlight w:val="none"/>
              </w:rPr>
              <w:t xml:space="preserve">★</w:t>
            </w:r>
            <w:r>
              <w:rPr>
                <w:color w:val="000000"/>
                <w:sz w:val="21"/>
                <w:highlight w:val="none"/>
              </w:rPr>
              <w:t xml:space="preserve">5.</w:t>
            </w:r>
            <w:r>
              <w:rPr>
                <w:rFonts w:hint="eastAsia"/>
                <w:color w:val="000000"/>
                <w:sz w:val="21"/>
                <w:highlight w:val="none"/>
              </w:rPr>
              <w:t xml:space="preserve">手术安全核查表内含有主刀医生CA签名；</w:t>
            </w:r>
            <w:r>
              <w:rPr>
                <w:color w:val="000000"/>
                <w:sz w:val="21"/>
                <w:highlight w:val="none"/>
              </w:rPr>
            </w:r>
            <w:r/>
          </w:p>
          <w:p>
            <w:pPr>
              <w:pStyle w:val="869"/>
              <w:jc w:val="left"/>
              <w:spacing w:line="300" w:lineRule="exact"/>
              <w:rPr>
                <w:color w:val="000000"/>
                <w:sz w:val="21"/>
                <w:highlight w:val="none"/>
              </w:rPr>
            </w:pPr>
            <w:r>
              <w:rPr>
                <w:color w:val="000000"/>
                <w:sz w:val="21"/>
                <w:highlight w:val="none"/>
              </w:rPr>
              <w:t xml:space="preserve">6.</w:t>
            </w:r>
            <w:r>
              <w:rPr>
                <w:rFonts w:hint="eastAsia"/>
                <w:color w:val="000000"/>
                <w:sz w:val="21"/>
                <w:highlight w:val="none"/>
              </w:rPr>
              <w:t xml:space="preserve">出院前核查：术后24小时内有主刀医生查房记录，含有主刀医生CA签名。</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7.</w:t>
            </w:r>
            <w:r>
              <w:rPr>
                <w:rFonts w:hint="eastAsia"/>
                <w:color w:val="000000"/>
                <w:sz w:val="21"/>
                <w:highlight w:val="none"/>
              </w:rPr>
              <w:t xml:space="preserve">医疗文书及时性核查：首次病程记录入院8小时后未提交、入院记录入院24小时后未提交、首次上级医生查房记录入院48小时内未提交、手术记录术后24小时内未提交将对相应医疗组长、科主任进行提醒。</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重点医嘱管理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rFonts w:hint="eastAsia"/>
                <w:color w:val="000000"/>
                <w:highlight w:val="none"/>
              </w:rPr>
              <w:t xml:space="preserve">▲</w:t>
            </w:r>
            <w:r>
              <w:rPr>
                <w:rFonts w:hint="eastAsia"/>
                <w:color w:val="000000"/>
                <w:sz w:val="21"/>
                <w:highlight w:val="none"/>
              </w:rPr>
              <w:t xml:space="preserve">1</w:t>
            </w:r>
            <w:r>
              <w:rPr>
                <w:color w:val="000000"/>
                <w:sz w:val="21"/>
                <w:highlight w:val="none"/>
              </w:rPr>
              <w:t xml:space="preserve">.</w:t>
            </w:r>
            <w:r>
              <w:rPr>
                <w:rFonts w:hint="eastAsia"/>
                <w:color w:val="000000"/>
                <w:sz w:val="21"/>
                <w:highlight w:val="none"/>
              </w:rPr>
              <w:t xml:space="preserve">择期手术：系统内需提交术前讨论、手术同意书、重大治疗与检查批准书、特殊病人手术申报书，否则不能提交手术医嘱；</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rFonts w:hint="eastAsia"/>
                <w:color w:val="000000"/>
                <w:sz w:val="21"/>
                <w:highlight w:val="none"/>
              </w:rPr>
              <w:t xml:space="preserve">2</w:t>
            </w:r>
            <w:r>
              <w:rPr>
                <w:color w:val="000000"/>
                <w:sz w:val="21"/>
                <w:highlight w:val="none"/>
              </w:rPr>
              <w:t xml:space="preserve">.</w:t>
            </w:r>
            <w:r>
              <w:rPr>
                <w:rFonts w:hint="eastAsia"/>
                <w:color w:val="000000"/>
                <w:sz w:val="21"/>
                <w:highlight w:val="none"/>
              </w:rPr>
              <w:t xml:space="preserve">急诊手术：系统内需提交手术同意书、重大治疗与检查批准书、特殊病人手术申报书，否则不能提交手术医嘱；</w:t>
            </w:r>
            <w:r>
              <w:rPr>
                <w:color w:val="000000"/>
                <w:sz w:val="21"/>
                <w:highlight w:val="none"/>
              </w:rPr>
            </w:r>
            <w:r/>
          </w:p>
          <w:p>
            <w:pPr>
              <w:pStyle w:val="869"/>
              <w:jc w:val="left"/>
              <w:spacing w:line="300" w:lineRule="exact"/>
              <w:widowControl/>
              <w:rPr>
                <w:color w:val="000000"/>
                <w:sz w:val="21"/>
                <w:highlight w:val="none"/>
              </w:rPr>
            </w:pPr>
            <w:r>
              <w:rPr>
                <w:rFonts w:hint="eastAsia"/>
                <w:color w:val="000000"/>
                <w:highlight w:val="none"/>
              </w:rPr>
              <w:t xml:space="preserve">▲</w:t>
            </w:r>
            <w:r>
              <w:rPr>
                <w:rFonts w:hint="eastAsia"/>
                <w:color w:val="000000"/>
                <w:sz w:val="21"/>
                <w:highlight w:val="none"/>
              </w:rPr>
              <w:t xml:space="preserve">3</w:t>
            </w:r>
            <w:r>
              <w:rPr>
                <w:color w:val="000000"/>
                <w:sz w:val="21"/>
                <w:highlight w:val="none"/>
              </w:rPr>
              <w:t xml:space="preserve">.</w:t>
            </w:r>
            <w:r>
              <w:rPr>
                <w:rFonts w:hint="eastAsia"/>
                <w:color w:val="000000"/>
                <w:sz w:val="21"/>
                <w:highlight w:val="none"/>
              </w:rPr>
              <w:t xml:space="preserve">出院医嘱：存在手术医嘱但未提交手术记录或未完成规定次数的医患沟通记录，不能开具出院医嘱；</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rPr>
              <w:t xml:space="preserve">4</w:t>
            </w:r>
            <w:r>
              <w:rPr>
                <w:color w:val="000000"/>
                <w:sz w:val="21"/>
                <w:highlight w:val="none"/>
              </w:rPr>
              <w:t xml:space="preserve">.</w:t>
            </w:r>
            <w:r>
              <w:rPr>
                <w:rFonts w:hint="eastAsia"/>
                <w:color w:val="000000"/>
                <w:sz w:val="21"/>
                <w:highlight w:val="none"/>
              </w:rPr>
              <w:t xml:space="preserve">取消强制性要求：支持医生提交取消强制性的请求并简要说明原因，经科主任或行政副主任或病区主任或医务处审核同意后可取消强制性要求。</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统计分析平台</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支持统计医疗文书及时率及排名，按医生和科室排名并推送给科主任、医务处；</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支持统计行为清单的完成率和及时率，并均分别按科室、个人排名，统计结果推送给科主任、医务处。</w:t>
            </w:r>
            <w:r>
              <w:rPr>
                <w:color w:val="000000"/>
                <w:sz w:val="21"/>
                <w:highlight w:val="none"/>
              </w:rPr>
            </w:r>
            <w:r/>
          </w:p>
        </w:tc>
      </w:tr>
      <w:tr>
        <w:trPr>
          <w:trHeight w:val="20"/>
        </w:trPr>
        <w:tc>
          <w:tcPr>
            <w:tcW w:w="562" w:type="dxa"/>
            <w:vAlign w:val="center"/>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4</w:t>
            </w:r>
            <w:r>
              <w:rPr>
                <w:color w:val="000000"/>
                <w:sz w:val="21"/>
                <w:highlight w:val="none"/>
              </w:rPr>
            </w:r>
            <w:r/>
          </w:p>
        </w:tc>
        <w:tc>
          <w:tcPr>
            <w:gridSpan w:val="2"/>
            <w:tcW w:w="1985"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高危病人预警监控管理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基于专用模型对高危患者进行实时监控预警，监控类型包括：</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1</w:t>
            </w:r>
            <w:r>
              <w:rPr>
                <w:color w:val="000000"/>
                <w:sz w:val="21"/>
                <w:highlight w:val="none"/>
              </w:rPr>
              <w:t xml:space="preserve">.</w:t>
            </w:r>
            <w:r>
              <w:rPr>
                <w:rFonts w:hint="eastAsia"/>
                <w:color w:val="000000"/>
                <w:sz w:val="21"/>
                <w:highlight w:val="none"/>
              </w:rPr>
              <w:t xml:space="preserve">对平均住院日、平均住院费用进行监测，超过规定标准的1.5倍时进行预警，向医疗组长、科主任、医务处同步推送预警信息；</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2</w:t>
            </w:r>
            <w:r>
              <w:rPr>
                <w:color w:val="000000"/>
                <w:sz w:val="21"/>
                <w:highlight w:val="none"/>
              </w:rPr>
              <w:t xml:space="preserve">.</w:t>
            </w:r>
            <w:r>
              <w:rPr>
                <w:rFonts w:hint="eastAsia"/>
                <w:color w:val="000000"/>
                <w:sz w:val="21"/>
                <w:highlight w:val="none"/>
              </w:rPr>
              <w:t xml:space="preserve">对是否进行非计划二次手术、是否发生并发症、术后是否新发VTE或PE进行监测， 如结果为“是”则发出预警，向医疗组长、科主任、医务处同步推送预警信息；</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3</w:t>
            </w:r>
            <w:r>
              <w:rPr>
                <w:color w:val="000000"/>
                <w:sz w:val="21"/>
                <w:highlight w:val="none"/>
              </w:rPr>
              <w:t xml:space="preserve">.</w:t>
            </w:r>
            <w:r>
              <w:rPr>
                <w:rFonts w:hint="eastAsia"/>
                <w:color w:val="000000"/>
                <w:sz w:val="21"/>
                <w:highlight w:val="none"/>
              </w:rPr>
              <w:t xml:space="preserve">对是否引用四级手术专用术前讨论模板进行监测，如手术记录显示手术等级为4级且监测结果为“否”则发出预警，向医疗组长、科主任、医务处同步推送预警信息；</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4</w:t>
            </w:r>
            <w:r>
              <w:rPr>
                <w:color w:val="000000"/>
                <w:sz w:val="21"/>
                <w:highlight w:val="none"/>
              </w:rPr>
              <w:t xml:space="preserve">.</w:t>
            </w:r>
            <w:r>
              <w:rPr>
                <w:rFonts w:hint="eastAsia"/>
                <w:color w:val="000000"/>
                <w:sz w:val="21"/>
                <w:highlight w:val="none"/>
              </w:rPr>
              <w:t xml:space="preserve">对术中10个异动指标进行监测，如发现异动（人工点击上报）则发出预警，向医疗组长、科主任、麻醉科主任、麻醉科护士长、医务处、副院长同步推送预警信息；</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5</w:t>
            </w:r>
            <w:r>
              <w:rPr>
                <w:color w:val="000000"/>
                <w:sz w:val="21"/>
                <w:highlight w:val="none"/>
              </w:rPr>
              <w:t xml:space="preserve">.</w:t>
            </w:r>
            <w:r>
              <w:rPr>
                <w:rFonts w:hint="eastAsia"/>
                <w:color w:val="000000"/>
                <w:sz w:val="21"/>
                <w:highlight w:val="none"/>
              </w:rPr>
              <w:t xml:space="preserve">为各专科预留可定制监测指标接口，待二期工程接入；</w:t>
            </w:r>
            <w:r>
              <w:rPr>
                <w:color w:val="000000"/>
                <w:sz w:val="21"/>
                <w:highlight w:val="none"/>
              </w:rPr>
            </w:r>
            <w:r/>
          </w:p>
          <w:p>
            <w:pPr>
              <w:pStyle w:val="869"/>
              <w:jc w:val="left"/>
              <w:spacing w:line="300" w:lineRule="exact"/>
              <w:widowControl/>
              <w:rPr>
                <w:color w:val="000000"/>
                <w:sz w:val="21"/>
                <w:highlight w:val="none"/>
              </w:rPr>
            </w:pPr>
            <w:r>
              <w:rPr>
                <w:rFonts w:hint="eastAsia"/>
                <w:color w:val="000000"/>
                <w:sz w:val="21"/>
                <w:highlight w:val="none"/>
                <w:lang w:val="en-US" w:eastAsia="zh-CN"/>
              </w:rPr>
              <w:t xml:space="preserve">6</w:t>
            </w:r>
            <w:r>
              <w:rPr>
                <w:color w:val="000000"/>
                <w:sz w:val="21"/>
                <w:highlight w:val="none"/>
              </w:rPr>
              <w:t xml:space="preserve">.</w:t>
            </w:r>
            <w:r>
              <w:rPr>
                <w:rFonts w:hint="eastAsia"/>
                <w:color w:val="000000"/>
                <w:sz w:val="21"/>
                <w:highlight w:val="none"/>
              </w:rPr>
              <w:t xml:space="preserve">对纳入高危患者管理系统的人数占同期同病区总病人数的比例进行监测，并可将结果反馈给科主任、医务处。</w:t>
            </w:r>
            <w:r>
              <w:rPr>
                <w:color w:val="000000"/>
                <w:sz w:val="21"/>
                <w:highlight w:val="none"/>
              </w:rPr>
            </w:r>
            <w:r/>
          </w:p>
        </w:tc>
      </w:tr>
      <w:tr>
        <w:trPr>
          <w:trHeight w:val="20"/>
        </w:trPr>
        <w:tc>
          <w:tcPr>
            <w:tcW w:w="562" w:type="dxa"/>
            <w:vAlign w:val="center"/>
            <w:vMerge w:val="restart"/>
            <w:textDirection w:val="lrTb"/>
            <w:noWrap w:val="false"/>
          </w:tcPr>
          <w:p>
            <w:pPr>
              <w:pStyle w:val="869"/>
              <w:jc w:val="center"/>
              <w:spacing w:line="300" w:lineRule="exact"/>
              <w:rPr>
                <w:color w:val="000000"/>
                <w:sz w:val="21"/>
                <w:highlight w:val="none"/>
              </w:rPr>
            </w:pPr>
            <w:r>
              <w:rPr>
                <w:rFonts w:hint="eastAsia"/>
                <w:color w:val="000000"/>
                <w:sz w:val="21"/>
                <w:highlight w:val="none"/>
              </w:rPr>
              <w:t xml:space="preserve">5</w:t>
            </w:r>
            <w:r>
              <w:rPr>
                <w:color w:val="000000"/>
                <w:sz w:val="21"/>
                <w:highlight w:val="none"/>
              </w:rPr>
            </w:r>
            <w:r/>
          </w:p>
        </w:tc>
        <w:tc>
          <w:tcPr>
            <w:tcW w:w="851" w:type="dxa"/>
            <w:vAlign w:val="center"/>
            <w:vMerge w:val="restart"/>
            <w:textDirection w:val="lrTb"/>
            <w:noWrap w:val="false"/>
          </w:tcPr>
          <w:p>
            <w:pPr>
              <w:pStyle w:val="869"/>
              <w:jc w:val="center"/>
              <w:spacing w:line="300" w:lineRule="exact"/>
              <w:rPr>
                <w:color w:val="000000"/>
                <w:sz w:val="21"/>
                <w:highlight w:val="none"/>
              </w:rPr>
            </w:pPr>
            <w:r>
              <w:rPr>
                <w:rFonts w:hint="eastAsia"/>
                <w:color w:val="000000"/>
                <w:sz w:val="21"/>
                <w:highlight w:val="none"/>
              </w:rPr>
              <w:t xml:space="preserve">急诊高危病人管理</w:t>
            </w: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急诊分级队列管理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病人进入急诊后，依据分诊结果划分为一、二、三、四4个等级，电子病历系统自动自分诊系统读取病人预诊分诊标签；一级、二级病人纳入抢救室队列管理，病人列表增加醒目标识显示；三级、四级病人以列表形式展示；</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病人需跨分区转移时，由转出区域责任护士修改等级标识，确保分区状态清晰可追溯。</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高危标识管理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所有抢救室病人默认判定为高危病人，高危因素默认设为“病情危重”，并统一赋予“病情危重”专用高危标识；</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接诊窗口设置“高危上报”按钮，点击后可手动选择高危因素（至少选择1项，允许多选），具体选项为：①医患沟通困难，②经济困难，③需多学科参与诊疗，④预后不佳的青壮年病人，⑤病情危重，⑥其他原因；</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3.</w:t>
            </w:r>
            <w:r>
              <w:rPr>
                <w:rFonts w:hint="eastAsia"/>
                <w:color w:val="000000"/>
                <w:sz w:val="21"/>
                <w:highlight w:val="none"/>
              </w:rPr>
              <w:t xml:space="preserve">根据所选高危因素，为病人赋予对应专属标识（各界面均可见），支持多个标识同时存在；</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4.</w:t>
            </w:r>
            <w:r>
              <w:rPr>
                <w:rFonts w:hint="eastAsia"/>
                <w:color w:val="000000"/>
                <w:sz w:val="21"/>
                <w:highlight w:val="none"/>
              </w:rPr>
              <w:t xml:space="preserve">临床医生可随时修改已上报高危病人的高危因素或上报新的高危病人，编辑保存后，高危标识同步更新，但不允许医生在编辑时删除全部高危因素，需至少保留1个；</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5.</w:t>
            </w:r>
            <w:r>
              <w:rPr>
                <w:rFonts w:hint="eastAsia"/>
                <w:color w:val="000000"/>
                <w:sz w:val="21"/>
                <w:highlight w:val="none"/>
              </w:rPr>
              <w:t xml:space="preserve">抢救室病人病情改善、转入急诊其他区域后，高危标识继续保留，不自动取消；</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6.</w:t>
            </w:r>
            <w:r>
              <w:rPr>
                <w:rFonts w:hint="eastAsia"/>
                <w:color w:val="000000"/>
                <w:sz w:val="21"/>
                <w:highlight w:val="none"/>
              </w:rPr>
              <w:t xml:space="preserve">同一病人在72</w:t>
            </w:r>
            <w:r>
              <w:rPr>
                <w:rFonts w:hint="eastAsia"/>
                <w:color w:val="000000"/>
                <w:sz w:val="21"/>
                <w:highlight w:val="none"/>
                <w:lang w:eastAsia="zh-CN"/>
              </w:rPr>
              <w:t xml:space="preserve">小时</w:t>
            </w:r>
            <w:r>
              <w:rPr>
                <w:rFonts w:hint="eastAsia"/>
                <w:color w:val="000000"/>
                <w:sz w:val="21"/>
                <w:highlight w:val="none"/>
              </w:rPr>
              <w:t xml:space="preserve">内重复在急诊挂号，自动读取并赋予上次挂号时获得的高危标识。</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7.支持按不同高危因素分类和不同分诊等级查询病人，高危因素和分诊等级支持复选。</w:t>
            </w:r>
            <w:r>
              <w:rPr>
                <w:color w:val="000000"/>
                <w:sz w:val="21"/>
                <w:highlight w:val="none"/>
              </w:rPr>
            </w:r>
            <w:r/>
          </w:p>
        </w:tc>
      </w:tr>
      <w:tr>
        <w:trPr>
          <w:trHeight w:val="20"/>
        </w:trPr>
        <w:tc>
          <w:tcPr>
            <w:tcW w:w="562"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6</w:t>
            </w:r>
            <w:r>
              <w:rPr>
                <w:color w:val="000000"/>
                <w:sz w:val="21"/>
                <w:highlight w:val="none"/>
              </w:rPr>
            </w:r>
            <w:r/>
          </w:p>
        </w:tc>
        <w:tc>
          <w:tcPr>
            <w:tcW w:w="851" w:type="dxa"/>
            <w:vAlign w:val="center"/>
            <w:vMerge w:val="restart"/>
            <w:textDirection w:val="lrTb"/>
            <w:noWrap w:val="false"/>
          </w:tcPr>
          <w:p>
            <w:pPr>
              <w:pStyle w:val="869"/>
              <w:jc w:val="center"/>
              <w:spacing w:line="300" w:lineRule="exact"/>
              <w:widowControl/>
              <w:rPr>
                <w:color w:val="000000"/>
                <w:sz w:val="21"/>
                <w:highlight w:val="none"/>
              </w:rPr>
            </w:pPr>
            <w:r>
              <w:rPr>
                <w:rFonts w:hint="eastAsia"/>
                <w:color w:val="000000"/>
                <w:sz w:val="21"/>
                <w:highlight w:val="none"/>
              </w:rPr>
              <w:t xml:space="preserve">多学科会诊管理</w:t>
            </w: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rFonts w:hint="eastAsia"/>
                <w:color w:val="000000"/>
                <w:sz w:val="21"/>
                <w:highlight w:val="none"/>
              </w:rPr>
              <w:t xml:space="preserve">急诊会诊流程管理</w:t>
            </w:r>
            <w:r>
              <w:rPr>
                <w:color w:val="000000"/>
                <w:sz w:val="21"/>
                <w:highlight w:val="none"/>
              </w:rPr>
            </w:r>
            <w:r/>
          </w:p>
        </w:tc>
        <w:tc>
          <w:tcPr>
            <w:tcW w:w="7239"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1.</w:t>
            </w:r>
            <w:r>
              <w:rPr>
                <w:rFonts w:hint="eastAsia"/>
                <w:color w:val="000000"/>
                <w:sz w:val="21"/>
                <w:highlight w:val="none"/>
              </w:rPr>
              <w:t xml:space="preserve">抢救室病人及其他区域高危病人，如需其他科室会诊，不可开具普通会诊医嘱；</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2.</w:t>
            </w:r>
            <w:r>
              <w:rPr>
                <w:rFonts w:hint="eastAsia"/>
                <w:color w:val="000000"/>
                <w:sz w:val="21"/>
                <w:highlight w:val="none"/>
              </w:rPr>
              <w:t xml:space="preserve">新增“当日会诊”模式，明确要求会诊发起后24小时内完成，其紧急程度介于普通会诊与急会诊之间，适配不同诊疗需求；</w:t>
            </w:r>
            <w:r>
              <w:rPr>
                <w:color w:val="000000"/>
                <w:sz w:val="21"/>
                <w:highlight w:val="none"/>
              </w:rPr>
            </w:r>
            <w:r/>
          </w:p>
          <w:p>
            <w:pPr>
              <w:pStyle w:val="869"/>
              <w:jc w:val="left"/>
              <w:spacing w:line="300" w:lineRule="exact"/>
              <w:widowControl/>
              <w:rPr>
                <w:color w:val="000000"/>
                <w:sz w:val="21"/>
                <w:highlight w:val="none"/>
              </w:rPr>
            </w:pPr>
            <w:r>
              <w:rPr>
                <w:color w:val="000000"/>
                <w:sz w:val="21"/>
                <w:highlight w:val="none"/>
              </w:rPr>
              <w:t xml:space="preserve">3.</w:t>
            </w:r>
            <w:r>
              <w:rPr>
                <w:rFonts w:hint="eastAsia"/>
                <w:color w:val="000000"/>
                <w:sz w:val="21"/>
                <w:highlight w:val="none"/>
              </w:rPr>
              <w:t xml:space="preserve">急诊内科和急诊外科发出的会诊单新增“会诊地点”字段，设定为必填项，医生需在下拉菜单中选择抢救室、留观室、诊室等不同区域。</w:t>
            </w:r>
            <w:r>
              <w:rPr>
                <w:color w:val="000000"/>
                <w:sz w:val="21"/>
                <w:highlight w:val="none"/>
              </w:rPr>
            </w:r>
            <w:r/>
          </w:p>
        </w:tc>
      </w:tr>
      <w:tr>
        <w:trPr>
          <w:trHeight w:val="20"/>
        </w:trPr>
        <w:tc>
          <w:tcPr>
            <w:tcW w:w="562"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851" w:type="dxa"/>
            <w:vAlign w:val="center"/>
            <w:vMerge w:val="continue"/>
            <w:textDirection w:val="lrTb"/>
            <w:noWrap w:val="false"/>
          </w:tcPr>
          <w:p>
            <w:pPr>
              <w:pStyle w:val="869"/>
              <w:jc w:val="center"/>
              <w:spacing w:line="300" w:lineRule="exact"/>
              <w:widowControl/>
              <w:rPr>
                <w:color w:val="000000"/>
                <w:sz w:val="21"/>
                <w:highlight w:val="none"/>
              </w:rPr>
            </w:pPr>
            <w:r>
              <w:rPr>
                <w:color w:val="000000"/>
                <w:sz w:val="21"/>
                <w:highlight w:val="none"/>
              </w:rPr>
            </w:r>
            <w:r/>
          </w:p>
        </w:tc>
        <w:tc>
          <w:tcPr>
            <w:tcW w:w="1134" w:type="dxa"/>
            <w:vAlign w:val="center"/>
            <w:textDirection w:val="lrTb"/>
            <w:noWrap w:val="false"/>
          </w:tcPr>
          <w:p>
            <w:pPr>
              <w:pStyle w:val="869"/>
              <w:jc w:val="left"/>
              <w:spacing w:line="300" w:lineRule="exact"/>
              <w:widowControl/>
              <w:rPr>
                <w:color w:val="000000"/>
                <w:sz w:val="21"/>
                <w:highlight w:val="none"/>
              </w:rPr>
            </w:pPr>
            <w:r>
              <w:rPr>
                <w:color w:val="000000"/>
                <w:sz w:val="21"/>
                <w:highlight w:val="none"/>
              </w:rPr>
              <w:t xml:space="preserve">多学科讨论管理</w:t>
            </w:r>
            <w:r>
              <w:rPr>
                <w:color w:val="000000"/>
                <w:sz w:val="21"/>
                <w:highlight w:val="none"/>
              </w:rPr>
            </w:r>
            <w:r/>
          </w:p>
        </w:tc>
        <w:tc>
          <w:tcPr>
            <w:tcW w:w="7239" w:type="dxa"/>
            <w:vAlign w:val="center"/>
            <w:textDirection w:val="lrTb"/>
            <w:noWrap w:val="false"/>
          </w:tcPr>
          <w:p>
            <w:pPr>
              <w:pStyle w:val="869"/>
              <w:numPr>
                <w:ilvl w:val="0"/>
                <w:numId w:val="0"/>
              </w:numPr>
              <w:jc w:val="left"/>
              <w:spacing w:line="300" w:lineRule="exact"/>
              <w:widowControl/>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lang w:val="en-US" w:eastAsia="zh-CN"/>
              </w:rPr>
              <w:t xml:space="preserve">1.</w:t>
            </w:r>
            <w:r>
              <w:rPr>
                <w:rFonts w:hint="eastAsia" w:ascii="Times New Roman" w:hAnsi="Times New Roman" w:eastAsia="宋体" w:cs="Times New Roman"/>
                <w:color w:val="000000"/>
                <w:sz w:val="21"/>
                <w:highlight w:val="none"/>
              </w:rPr>
              <w:t xml:space="preserve">新增多学科讨论记录自动生成功能，会诊意见收集完成后，临床医生手动新建</w:t>
            </w:r>
            <w:r>
              <w:rPr>
                <w:rFonts w:hint="eastAsia" w:ascii="Times New Roman" w:hAnsi="Times New Roman" w:eastAsia="宋体" w:cs="Times New Roman"/>
                <w:color w:val="000000"/>
                <w:sz w:val="21"/>
                <w:highlight w:val="none"/>
                <w:lang w:eastAsia="zh-CN"/>
              </w:rPr>
              <w:t xml:space="preserve">“</w:t>
            </w:r>
            <w:r>
              <w:rPr>
                <w:rFonts w:hint="eastAsia" w:ascii="Times New Roman" w:hAnsi="Times New Roman" w:eastAsia="宋体" w:cs="Times New Roman"/>
                <w:color w:val="000000"/>
                <w:sz w:val="21"/>
                <w:highlight w:val="none"/>
              </w:rPr>
              <w:t xml:space="preserve">多学科病例讨论记录</w:t>
            </w:r>
            <w:r>
              <w:rPr>
                <w:rFonts w:hint="eastAsia" w:ascii="Times New Roman" w:hAnsi="Times New Roman" w:eastAsia="宋体" w:cs="Times New Roman"/>
                <w:color w:val="000000"/>
                <w:sz w:val="21"/>
                <w:highlight w:val="none"/>
                <w:lang w:eastAsia="zh-CN"/>
              </w:rPr>
              <w:t xml:space="preserve">”；</w:t>
            </w:r>
            <w:r>
              <w:rPr>
                <w:rFonts w:hint="eastAsia" w:ascii="Times New Roman" w:hAnsi="Times New Roman" w:eastAsia="宋体" w:cs="Times New Roman"/>
                <w:color w:val="000000"/>
                <w:sz w:val="21"/>
                <w:highlight w:val="none"/>
              </w:rPr>
            </w:r>
            <w:r/>
          </w:p>
          <w:p>
            <w:pPr>
              <w:pStyle w:val="869"/>
              <w:numPr>
                <w:ilvl w:val="0"/>
                <w:numId w:val="0"/>
              </w:numPr>
              <w:jc w:val="left"/>
              <w:spacing w:line="300" w:lineRule="exact"/>
              <w:widowControl/>
              <w:rPr>
                <w:color w:val="000000"/>
                <w:sz w:val="21"/>
                <w:highlight w:val="none"/>
              </w:rPr>
            </w:pPr>
            <w:r>
              <w:rPr>
                <w:rFonts w:hint="eastAsia" w:ascii="Times New Roman" w:hAnsi="Times New Roman" w:eastAsia="宋体" w:cs="Times New Roman"/>
                <w:color w:val="000000"/>
                <w:sz w:val="21"/>
                <w:highlight w:val="none"/>
                <w:lang w:val="en-US" w:eastAsia="zh-CN"/>
              </w:rPr>
              <w:t xml:space="preserve">2.</w:t>
            </w:r>
            <w:r>
              <w:rPr>
                <w:rFonts w:hint="eastAsia" w:ascii="Times New Roman" w:hAnsi="Times New Roman" w:eastAsia="宋体" w:cs="Times New Roman"/>
                <w:color w:val="000000"/>
                <w:sz w:val="21"/>
                <w:highlight w:val="none"/>
              </w:rPr>
              <w:t xml:space="preserve">系统显示当前病人48</w:t>
            </w:r>
            <w:r>
              <w:rPr>
                <w:rFonts w:hint="eastAsia" w:ascii="Times New Roman" w:hAnsi="Times New Roman" w:eastAsia="宋体" w:cs="Times New Roman"/>
                <w:color w:val="000000"/>
                <w:sz w:val="21"/>
                <w:highlight w:val="none"/>
                <w:lang w:eastAsia="zh-CN"/>
              </w:rPr>
              <w:t xml:space="preserve">小时</w:t>
            </w:r>
            <w:r>
              <w:rPr>
                <w:rFonts w:hint="eastAsia" w:ascii="Times New Roman" w:hAnsi="Times New Roman" w:eastAsia="宋体" w:cs="Times New Roman"/>
                <w:color w:val="000000"/>
                <w:sz w:val="21"/>
                <w:highlight w:val="none"/>
              </w:rPr>
              <w:t xml:space="preserve">内的所有会诊记录列表（列表中显示会诊时间和会诊科室、会诊人员），医生勾选目标会诊单号，系统将会诊科室、会诊人员、会诊意见等相关数据自动带入讨论记录。</w:t>
            </w:r>
            <w:r>
              <w:rPr>
                <w:color w:val="000000"/>
                <w:sz w:val="21"/>
                <w:highlight w:val="none"/>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bookmarkEnd w:id="59"/>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负责现场工作的组织、协调和实施工作。</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供应商提供的系统能够根据采购人实际需求与医院各院区所有信息系统、集成平台做对接及集成（对接人：刘工；联系电话：</w:t>
      </w:r>
      <w:r>
        <w:rPr>
          <w:rFonts w:ascii="宋体" w:hAnsi="宋体" w:cs="宋体"/>
          <w:color w:val="000000"/>
          <w:sz w:val="24"/>
          <w:szCs w:val="24"/>
          <w:highlight w:val="none"/>
        </w:rPr>
        <w:t xml:space="preserve">025-83106666转</w:t>
      </w: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0619</w:t>
      </w:r>
      <w:r>
        <w:rPr>
          <w:rFonts w:hint="eastAsia" w:ascii="宋体" w:hAnsi="宋体" w:cs="宋体"/>
          <w:color w:val="000000"/>
          <w:sz w:val="24"/>
          <w:szCs w:val="24"/>
          <w:highlight w:val="none"/>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②软件安装、调试达到技术规范书规定的指标后，可进行验收测试。验收规范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包括计划、项目、指标、方式和测试仪器等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color w:val="000000"/>
          <w:sz w:val="24"/>
          <w:szCs w:val="24"/>
          <w:highlight w:val="none"/>
        </w:rPr>
      </w:r>
      <w:r/>
    </w:p>
    <w:p>
      <w:pPr>
        <w:pStyle w:val="869"/>
        <w:ind w:firstLine="480"/>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（4）运维要求</w:t>
      </w:r>
      <w:r>
        <w:rPr>
          <w:rFonts w:ascii="宋体" w:hAnsi="宋体" w:cs="宋体"/>
          <w:bCs/>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①运维期：供应商应确保本次采购所有项目的安全稳定运行，</w:t>
      </w:r>
      <w:r>
        <w:rPr>
          <w:rFonts w:hint="eastAsia" w:ascii="宋体" w:hAnsi="宋体" w:cs="宋体"/>
          <w:b/>
          <w:bCs/>
          <w:color w:val="000000"/>
          <w:sz w:val="24"/>
          <w:szCs w:val="24"/>
          <w:highlight w:val="none"/>
        </w:rPr>
        <w:t xml:space="preserve">提供3年运维服务</w:t>
      </w:r>
      <w:r>
        <w:rPr>
          <w:rFonts w:hint="eastAsia" w:ascii="宋体" w:hAnsi="宋体" w:cs="宋体"/>
          <w:color w:val="000000"/>
          <w:sz w:val="24"/>
          <w:szCs w:val="24"/>
          <w:highlight w:val="none"/>
        </w:rPr>
        <w:t xml:space="preserve">（自验收报告签字确认日起，开始进入</w:t>
      </w:r>
      <w:r>
        <w:rPr>
          <w:rFonts w:hint="eastAsia" w:ascii="宋体" w:hAnsi="宋体" w:cs="宋体"/>
          <w:color w:val="000000"/>
          <w:sz w:val="24"/>
          <w:szCs w:val="24"/>
          <w:highlight w:val="none"/>
          <w:lang w:val="en-US" w:eastAsia="zh-CN"/>
        </w:rPr>
        <w:t xml:space="preserve">运维</w:t>
      </w:r>
      <w:r>
        <w:rPr>
          <w:rFonts w:hint="eastAsia" w:ascii="宋体" w:hAnsi="宋体" w:cs="宋体"/>
          <w:color w:val="000000"/>
          <w:sz w:val="24"/>
          <w:szCs w:val="24"/>
          <w:highlight w:val="none"/>
        </w:rPr>
        <w:t xml:space="preserve">期，相关费用包含在本次报价中）。</w:t>
      </w:r>
      <w:r>
        <w:rPr>
          <w:rFonts w:hint="eastAsia" w:ascii="宋体" w:hAnsi="宋体" w:cs="宋体"/>
          <w:color w:val="000000"/>
          <w:sz w:val="24"/>
          <w:szCs w:val="24"/>
          <w:highlight w:val="none"/>
          <w:lang w:val="en-US" w:eastAsia="zh-CN"/>
        </w:rPr>
        <w:t xml:space="preserve">运维</w:t>
      </w:r>
      <w:r>
        <w:rPr>
          <w:rFonts w:hint="eastAsia" w:ascii="宋体" w:hAnsi="宋体" w:cs="宋体"/>
          <w:color w:val="000000"/>
          <w:sz w:val="24"/>
          <w:szCs w:val="24"/>
          <w:highlight w:val="none"/>
        </w:rPr>
        <w:t xml:space="preserve">期内，本合同项目所有技术和服务发生任何非人为故障，由供应商负责系统恢复。</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③供应商须提供定期回访服务，对采购人提出的合理优化建议应提供升级服务。</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⑤本采购项目出保后每年的维护费不超过合同总金额的5%。</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hint="eastAsia" w:ascii="宋体" w:hAnsi="宋体" w:cs="宋体"/>
          <w:color w:val="000000"/>
          <w:sz w:val="24"/>
          <w:szCs w:val="24"/>
          <w:highlight w:val="none"/>
          <w:lang w:val="en-US" w:eastAsia="zh-CN"/>
        </w:rPr>
        <w:t xml:space="preserve">运维</w:t>
      </w:r>
      <w:r>
        <w:rPr>
          <w:rFonts w:hint="eastAsia" w:ascii="宋体" w:hAnsi="宋体" w:cs="宋体"/>
          <w:color w:val="000000"/>
          <w:sz w:val="24"/>
          <w:szCs w:val="24"/>
          <w:highlight w:val="none"/>
        </w:rPr>
        <w:t xml:space="preserve">期内供应商提供的系统软件升级，保证采购人使用最新版本软件。</w:t>
      </w:r>
      <w:r>
        <w:rPr>
          <w:rFonts w:hint="eastAsia" w:ascii="宋体" w:hAnsi="宋体" w:cs="宋体"/>
          <w:color w:val="000000"/>
          <w:sz w:val="24"/>
          <w:szCs w:val="24"/>
          <w:highlight w:val="none"/>
          <w:lang w:val="en-US" w:eastAsia="zh-CN"/>
        </w:rPr>
        <w:t xml:space="preserve">运维</w:t>
      </w:r>
      <w:r>
        <w:rPr>
          <w:rFonts w:hint="eastAsia" w:ascii="宋体" w:hAnsi="宋体" w:cs="宋体"/>
          <w:color w:val="000000"/>
          <w:sz w:val="24"/>
          <w:szCs w:val="24"/>
          <w:highlight w:val="none"/>
        </w:rPr>
        <w:t xml:space="preserve">期满后软件版本内终身升级。</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（5）人员要求</w:t>
      </w:r>
      <w:r>
        <w:rPr>
          <w:rFonts w:ascii="宋体" w:hAnsi="宋体" w:cs="宋体"/>
          <w:color w:val="000000"/>
          <w:sz w:val="24"/>
          <w:szCs w:val="24"/>
          <w:highlight w:val="none"/>
        </w:rPr>
      </w:r>
      <w:r/>
    </w:p>
    <w:p>
      <w:pPr>
        <w:pStyle w:val="869"/>
        <w:ind w:left="479"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本项目实施期间至本项目验收合格之日止要求服务人数不低于4人（含项目经理1人）。</w:t>
      </w:r>
      <w:r>
        <w:rPr>
          <w:rFonts w:hint="eastAsia" w:ascii="宋体" w:hAnsi="宋体" w:eastAsia="宋体" w:cs="宋体"/>
          <w:bCs/>
          <w:color w:val="000000"/>
          <w:sz w:val="24"/>
          <w:szCs w:val="24"/>
          <w:highlight w:val="none"/>
          <w:lang w:val="en-US" w:eastAsia="zh-CN"/>
        </w:rPr>
      </w:r>
      <w:r/>
    </w:p>
    <w:p>
      <w:pPr>
        <w:ind w:left="479"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③投标人须按照与采购人签订的《信息安全保密承诺书》的约定严格履行各项保密义务。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④采购人与投标人都拥有本项目定制开发部分的知识产权。交付项应包括但不限于如下内容：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投标人配合采购人，做好系统通过等保测评相关准备工作。</w:t>
      </w:r>
      <w:r>
        <w:rPr>
          <w:rFonts w:ascii="宋体" w:hAnsi="宋体" w:eastAsia="宋体" w:cs="Times New Roman"/>
          <w:color w:val="000000"/>
          <w:sz w:val="24"/>
          <w:szCs w:val="24"/>
          <w:highlight w:val="none"/>
          <w:lang w:val="en-US" w:eastAsia="zh-CN"/>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（10）网络安全和数据安全要求</w:t>
      </w:r>
      <w:r>
        <w:rPr>
          <w:rFonts w:ascii="宋体" w:hAnsi="宋体" w:cs="宋体"/>
          <w:color w:val="000000"/>
          <w:sz w:val="24"/>
          <w:szCs w:val="24"/>
          <w:highlight w:val="none"/>
        </w:rPr>
      </w:r>
      <w:r/>
    </w:p>
    <w:p>
      <w:pPr>
        <w:pStyle w:val="869"/>
        <w:ind w:firstLine="480"/>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符合网络安全和密码应用要求，符合国家安全可靠应用政策规定。</w:t>
      </w:r>
      <w:r>
        <w:rPr>
          <w:rFonts w:ascii="宋体" w:hAnsi="宋体" w:cs="宋体"/>
          <w:color w:val="000000"/>
          <w:sz w:val="24"/>
          <w:szCs w:val="24"/>
          <w:highlight w:val="none"/>
        </w:rPr>
      </w:r>
      <w:r/>
    </w:p>
    <w:p>
      <w:pPr>
        <w:pStyle w:val="869"/>
        <w:ind w:firstLine="480"/>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（11）系统培训要求</w:t>
      </w:r>
      <w:r>
        <w:rPr>
          <w:rFonts w:ascii="宋体" w:hAnsi="宋体" w:cs="宋体"/>
          <w:bCs/>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供应商应负责对采购人相关人员（包括但不限于信息科室、项目主管科室等至少5人）进行全面培训，使受训者能够独立、熟练地完成各系统操作，实现系统的目标和功能。培训应达到以下目标：</w:t>
      </w:r>
      <w:r>
        <w:rPr>
          <w:rFonts w:hint="eastAsia" w:ascii="宋体" w:hAnsi="宋体" w:cs="宋体"/>
          <w:color w:val="000000"/>
          <w:sz w:val="24"/>
          <w:szCs w:val="24"/>
          <w:highlight w:val="none"/>
        </w:rPr>
        <w:t xml:space="preserve">受训者</w:t>
      </w:r>
      <w:r>
        <w:rPr>
          <w:rFonts w:hint="eastAsia" w:ascii="宋体" w:hAnsi="宋体" w:cs="宋体"/>
          <w:color w:val="000000"/>
          <w:sz w:val="24"/>
          <w:szCs w:val="24"/>
          <w:highlight w:val="none"/>
        </w:rPr>
        <w:t xml:space="preserve">能熟练使用各系统系统每项功能，完成日常工作；能全面了解各系统运行模式，熟知业务流程，能判断一般故障；全面掌握系统安装、设置和使用。三年内每年上门培训不低于</w:t>
      </w:r>
      <w:r>
        <w:rPr>
          <w:rFonts w:hint="eastAsia" w:ascii="宋体" w:hAnsi="宋体" w:cs="宋体"/>
          <w:color w:val="000000"/>
          <w:sz w:val="24"/>
          <w:szCs w:val="24"/>
          <w:highlight w:val="none"/>
          <w:lang w:val="en-US" w:eastAsia="zh-CN"/>
        </w:rPr>
        <w:t xml:space="preserve">两</w:t>
      </w:r>
      <w:r>
        <w:rPr>
          <w:rFonts w:hint="eastAsia" w:ascii="宋体" w:hAnsi="宋体" w:cs="宋体"/>
          <w:color w:val="000000"/>
          <w:sz w:val="24"/>
          <w:szCs w:val="24"/>
          <w:highlight w:val="none"/>
        </w:rPr>
        <w:t xml:space="preserve">次，提供软件终身升级服务，费用包含在投标报价中。</w:t>
      </w:r>
      <w:r>
        <w:rPr>
          <w:rFonts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ascii="宋体" w:hAnsi="宋体"/>
          <w:color w:val="000000"/>
          <w:sz w:val="24"/>
          <w:szCs w:val="24"/>
          <w:highlight w:val="none"/>
        </w:rPr>
        <w:t xml:space="preserve">90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完成系统开发及整体交付验收工作</w:t>
      </w:r>
      <w:r>
        <w:rPr>
          <w:rFonts w:ascii="宋体" w:hAnsi="宋体" w:cs="宋体"/>
          <w:color w:val="000000"/>
          <w:sz w:val="24"/>
          <w:szCs w:val="24"/>
          <w:highlight w:val="none"/>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color w:val="000000"/>
          <w:highlight w:val="none"/>
        </w:rPr>
      </w:pPr>
      <w:r>
        <w:rPr>
          <w:rFonts w:hint="eastAsia"/>
          <w:color w:val="000000"/>
          <w:highlight w:val="none"/>
        </w:rPr>
      </w:r>
      <w:r/>
    </w:p>
    <w:p>
      <w:pPr>
        <w:pStyle w:val="9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60" w:name="_Toc120614281"/>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47"/>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w:t>
            </w:r>
            <w:r>
              <w:rPr>
                <w:rFonts w:hint="eastAsia" w:ascii="宋体" w:hAnsi="宋体" w:eastAsia="宋体" w:cs="宋体"/>
                <w:color w:val="000000"/>
                <w:sz w:val="21"/>
                <w:szCs w:val="21"/>
                <w:highlight w:val="none"/>
                <w:lang w:val="en-US" w:eastAsia="zh-CN"/>
              </w:rPr>
              <w:t xml:space="preserve">文件技术</w:t>
            </w:r>
            <w:r>
              <w:rPr>
                <w:rFonts w:ascii="宋体" w:hAnsi="宋体" w:eastAsia="宋体" w:cs="宋体"/>
                <w:color w:val="000000"/>
                <w:sz w:val="21"/>
                <w:szCs w:val="21"/>
                <w:highlight w:val="none"/>
                <w:lang w:val="en-US" w:eastAsia="zh-CN"/>
              </w:rPr>
              <w:t xml:space="preserve">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有1项负偏离扣1分，其余指标有1项负偏离扣0.4分。</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需求理解</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pStyle w:val="869"/>
              <w:rPr>
                <w:color w:val="000000"/>
                <w:highlight w:val="none"/>
              </w:rPr>
            </w:pPr>
            <w:r>
              <w:rPr>
                <w:rFonts w:hint="eastAsia"/>
                <w:color w:val="000000"/>
                <w:highlight w:val="none"/>
              </w:rPr>
              <w:t xml:space="preserve">据本项目采购需求编制方案，内容包含：1.业务需求分析；2.建设目标分析；3.建设依据、必要性分析。以上每项内容逐项评分：</w:t>
            </w:r>
            <w:r>
              <w:rPr>
                <w:color w:val="000000"/>
                <w:highlight w:val="none"/>
              </w:rPr>
            </w:r>
            <w:r/>
          </w:p>
          <w:p>
            <w:pPr>
              <w:pStyle w:val="869"/>
              <w:rPr>
                <w:color w:val="000000"/>
                <w:highlight w:val="none"/>
              </w:rPr>
            </w:pPr>
            <w:r>
              <w:rPr>
                <w:rFonts w:hint="eastAsia"/>
                <w:color w:val="000000"/>
                <w:highlight w:val="none"/>
              </w:rPr>
              <w:t xml:space="preserve">业务需求分析内容完整深刻、针对性强、紧贴采购需求，且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rPr>
                <w:color w:val="000000"/>
                <w:highlight w:val="none"/>
              </w:rPr>
            </w:r>
            <w:r/>
          </w:p>
          <w:p>
            <w:pPr>
              <w:pStyle w:val="869"/>
              <w:rPr>
                <w:rFonts w:hint="eastAsia" w:ascii="Times New Roman" w:hAnsi="Times New Roman"/>
                <w:b/>
                <w:color w:val="000000"/>
                <w:sz w:val="21"/>
                <w:szCs w:val="21"/>
                <w:highlight w:val="none"/>
                <w:lang w:val="en-US" w:eastAsia="zh-CN" w:bidi="ar-SA"/>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2</w:t>
            </w:r>
            <w:r>
              <w:rPr>
                <w:color w:val="000000"/>
                <w:highlight w:val="none"/>
              </w:rPr>
              <w:t xml:space="preserve">分；部分符合得</w:t>
            </w:r>
            <w:r>
              <w:rPr>
                <w:rFonts w:hint="eastAsia"/>
                <w:color w:val="000000"/>
                <w:highlight w:val="none"/>
              </w:rPr>
              <w:t xml:space="preserve">1</w:t>
            </w:r>
            <w:r>
              <w:rPr>
                <w:color w:val="000000"/>
                <w:highlight w:val="none"/>
              </w:rPr>
              <w:t xml:space="preserve">分；不符合或不提供不得分。</w:t>
            </w:r>
            <w:r>
              <w:rPr>
                <w:rFonts w:hint="eastAsia" w:ascii="Times New Roman" w:hAnsi="Times New Roman"/>
                <w:b/>
                <w:color w:val="000000"/>
                <w:sz w:val="21"/>
                <w:szCs w:val="21"/>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6</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pacing w:val="-4"/>
                <w:sz w:val="21"/>
                <w:szCs w:val="21"/>
                <w:highlight w:val="none"/>
                <w:lang w:val="en-US" w:eastAsia="zh-CN" w:bidi="ar-SA"/>
              </w:rPr>
            </w:pPr>
            <w:r>
              <w:rPr>
                <w:rFonts w:hint="eastAsia" w:ascii="宋体" w:hAnsi="宋体" w:cs="宋体"/>
                <w:color w:val="000000"/>
                <w:spacing w:val="-4"/>
                <w:highlight w:val="none"/>
              </w:rPr>
              <w:t xml:space="preserve">主观分</w:t>
            </w:r>
            <w:r>
              <w:rPr>
                <w:rFonts w:hint="eastAsia" w:ascii="宋体" w:hAnsi="宋体" w:cs="宋体"/>
                <w:color w:val="000000"/>
                <w:spacing w:val="-4"/>
                <w:sz w:val="21"/>
                <w:szCs w:val="21"/>
                <w:highlight w:val="none"/>
                <w:lang w:val="en-US" w:eastAsia="zh-CN" w:bidi="ar-SA"/>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spacing w:line="264" w:lineRule="auto"/>
              <w:rPr>
                <w:rFonts w:hint="eastAsia" w:ascii="Times New Roman" w:hAnsi="Times New Roman"/>
                <w:color w:val="000000"/>
                <w:sz w:val="21"/>
                <w:szCs w:val="21"/>
                <w:highlight w:val="none"/>
                <w:lang w:val="en-US" w:eastAsia="zh-CN" w:bidi="ar-SA"/>
              </w:rPr>
            </w:pPr>
            <w:r>
              <w:rPr>
                <w:rFonts w:hint="eastAsia"/>
                <w:color w:val="000000"/>
                <w:highlight w:val="none"/>
              </w:rPr>
              <w:t xml:space="preserve">实施方案</w:t>
            </w:r>
            <w:r>
              <w:rPr>
                <w:rFonts w:hint="eastAsia" w:ascii="Times New Roman" w:hAnsi="Times New Roman"/>
                <w:color w:val="000000"/>
                <w:sz w:val="21"/>
                <w:szCs w:val="21"/>
                <w:highlight w:val="none"/>
                <w:lang w:val="en-US" w:eastAsia="zh-CN" w:bidi="ar-SA"/>
              </w:rPr>
            </w:r>
            <w:r/>
          </w:p>
        </w:tc>
        <w:tc>
          <w:tcPr>
            <w:tcW w:w="6330" w:type="dxa"/>
            <w:vAlign w:val="center"/>
            <w:textDirection w:val="lrTb"/>
            <w:noWrap w:val="false"/>
          </w:tcPr>
          <w:p>
            <w:pPr>
              <w:pStyle w:val="869"/>
              <w:rPr>
                <w:color w:val="000000"/>
                <w:highlight w:val="none"/>
              </w:rPr>
            </w:pPr>
            <w:r>
              <w:rPr>
                <w:rFonts w:hint="eastAsia"/>
                <w:color w:val="000000"/>
                <w:highlight w:val="none"/>
              </w:rPr>
              <w:t xml:space="preserve">根据本项目采购需求编制方案，内容包含</w:t>
            </w:r>
            <w:r>
              <w:rPr>
                <w:rFonts w:hint="eastAsia"/>
                <w:color w:val="000000"/>
                <w:highlight w:val="none"/>
                <w:lang w:eastAsia="zh-CN"/>
              </w:rPr>
              <w:t xml:space="preserve">：</w:t>
            </w:r>
            <w:r>
              <w:rPr>
                <w:rFonts w:hint="eastAsia"/>
                <w:color w:val="000000"/>
                <w:highlight w:val="none"/>
              </w:rPr>
              <w:t xml:space="preserve">1.</w:t>
            </w:r>
            <w:r>
              <w:rPr>
                <w:rFonts w:hint="eastAsia" w:ascii="宋体" w:hAnsi="宋体" w:eastAsia="宋体" w:cs="宋体"/>
                <w:color w:val="000000"/>
                <w:sz w:val="21"/>
                <w:szCs w:val="21"/>
                <w:highlight w:val="none"/>
              </w:rPr>
              <w:t xml:space="preserve">项目组织与管理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color w:val="000000"/>
                <w:highlight w:val="none"/>
              </w:rPr>
              <w:t xml:space="preserve">实施流程；</w:t>
            </w:r>
            <w:r>
              <w:rPr>
                <w:rFonts w:hint="eastAsia"/>
                <w:color w:val="000000"/>
                <w:highlight w:val="none"/>
                <w:lang w:val="en-US" w:eastAsia="zh-CN"/>
              </w:rPr>
              <w:t xml:space="preserve">3</w:t>
            </w:r>
            <w:r>
              <w:rPr>
                <w:rFonts w:hint="eastAsia"/>
                <w:color w:val="000000"/>
                <w:highlight w:val="none"/>
              </w:rPr>
              <w:t xml:space="preserve">.进度</w:t>
            </w:r>
            <w:r>
              <w:rPr>
                <w:rFonts w:hint="eastAsia"/>
                <w:color w:val="000000"/>
                <w:highlight w:val="none"/>
                <w:lang w:val="en-US" w:eastAsia="zh-CN"/>
              </w:rPr>
              <w:t xml:space="preserve">控制及人员</w:t>
            </w:r>
            <w:r>
              <w:rPr>
                <w:rFonts w:hint="eastAsia"/>
                <w:color w:val="000000"/>
                <w:highlight w:val="none"/>
              </w:rPr>
              <w:t xml:space="preserve">安排。以上每项内容逐项评分：</w:t>
            </w:r>
            <w:r>
              <w:rPr>
                <w:color w:val="000000"/>
                <w:highlight w:val="none"/>
              </w:rPr>
            </w:r>
            <w:r/>
          </w:p>
          <w:p>
            <w:pPr>
              <w:pStyle w:val="869"/>
              <w:rPr>
                <w:color w:val="000000"/>
                <w:highlight w:val="none"/>
              </w:rPr>
            </w:pPr>
            <w:r>
              <w:rPr>
                <w:color w:val="000000"/>
                <w:highlight w:val="none"/>
              </w:rPr>
              <w:t xml:space="preserve">方案内容</w:t>
            </w:r>
            <w:r>
              <w:rPr>
                <w:rFonts w:hint="eastAsia"/>
                <w:color w:val="000000"/>
                <w:highlight w:val="none"/>
              </w:rPr>
              <w:t xml:space="preserve">制定规范完整，各环节衔接顺畅并贴合项目实际，且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rPr>
                <w:color w:val="000000"/>
                <w:highlight w:val="none"/>
              </w:rPr>
            </w:r>
            <w:r/>
          </w:p>
          <w:p>
            <w:pPr>
              <w:pStyle w:val="869"/>
              <w:rPr>
                <w:rFonts w:hint="eastAsia" w:ascii="Times New Roman" w:hAnsi="Times New Roman"/>
                <w:color w:val="000000"/>
                <w:sz w:val="21"/>
                <w:szCs w:val="21"/>
                <w:highlight w:val="none"/>
                <w:lang w:val="en-US" w:eastAsia="zh-CN" w:bidi="ar-SA"/>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2</w:t>
            </w:r>
            <w:r>
              <w:rPr>
                <w:color w:val="000000"/>
                <w:highlight w:val="none"/>
              </w:rPr>
              <w:t xml:space="preserve">分；部分符合得</w:t>
            </w:r>
            <w:r>
              <w:rPr>
                <w:rFonts w:hint="eastAsia"/>
                <w:color w:val="000000"/>
                <w:highlight w:val="none"/>
              </w:rPr>
              <w:t xml:space="preserve">1</w:t>
            </w:r>
            <w:r>
              <w:rPr>
                <w:color w:val="000000"/>
                <w:highlight w:val="none"/>
              </w:rPr>
              <w:t xml:space="preserve">分；不符合或不提供不得分。</w:t>
            </w:r>
            <w:r>
              <w:rPr>
                <w:rFonts w:hint="eastAsia" w:ascii="Times New Roman" w:hAnsi="Times New Roman"/>
                <w:color w:val="000000"/>
                <w:sz w:val="21"/>
                <w:szCs w:val="21"/>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6</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pacing w:val="-4"/>
                <w:highlight w:val="none"/>
              </w:rPr>
              <w:t xml:space="preserve">主观分</w:t>
            </w:r>
            <w:r>
              <w:rPr>
                <w:rFonts w:hint="eastAsia" w:ascii="宋体" w:hAnsi="宋体" w:cs="宋体"/>
                <w:color w:val="000000"/>
                <w:sz w:val="21"/>
                <w:szCs w:val="21"/>
                <w:highlight w:val="none"/>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color w:val="000000"/>
                <w:highlight w:val="none"/>
              </w:rPr>
              <w:t xml:space="preserve">总体技术方案</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69"/>
              <w:rPr>
                <w:color w:val="000000"/>
                <w:sz w:val="21"/>
                <w:szCs w:val="21"/>
                <w:highlight w:val="none"/>
                <w:lang w:val="en-US" w:bidi="ar-SA"/>
              </w:rPr>
            </w:pPr>
            <w:r/>
            <w:bookmarkStart w:id="61" w:name="OLE_LINK5"/>
            <w:r>
              <w:rPr>
                <w:rFonts w:hint="eastAsia"/>
                <w:color w:val="000000"/>
                <w:sz w:val="21"/>
                <w:szCs w:val="21"/>
                <w:highlight w:val="none"/>
                <w:lang w:val="en-US" w:bidi="ar-SA"/>
              </w:rPr>
              <w:t xml:space="preserve">根据本项目采购需求编制方案，内容包含：</w:t>
            </w:r>
            <w:r>
              <w:rPr>
                <w:rFonts w:hint="eastAsia"/>
                <w:color w:val="000000"/>
                <w:highlight w:val="none"/>
              </w:rPr>
              <w:t xml:space="preserve">1.总体架构和性能设计；2.用户界面和应用功能设计；3.系统部署和安全防护设计。</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69"/>
              <w:rPr>
                <w:color w:val="000000"/>
                <w:highlight w:val="none"/>
                <w:lang w:val="en-US"/>
              </w:rPr>
            </w:pPr>
            <w:r>
              <w:rPr>
                <w:color w:val="000000"/>
                <w:highlight w:val="none"/>
              </w:rPr>
              <w:t xml:space="preserve">方案内容</w:t>
            </w:r>
            <w:r>
              <w:rPr>
                <w:rFonts w:hint="eastAsia"/>
                <w:color w:val="000000"/>
                <w:highlight w:val="none"/>
              </w:rPr>
              <w:t xml:space="preserve">制定清晰完整，提供架构图层次分明</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69"/>
              <w:rPr>
                <w:color w:val="000000"/>
                <w:sz w:val="21"/>
                <w:szCs w:val="21"/>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bookmarkEnd w:id="61"/>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69"/>
              <w:jc w:val="center"/>
              <w:spacing w:before="68" w:line="264" w:lineRule="auto"/>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highlight w:val="none"/>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spacing w:line="264" w:lineRule="auto"/>
              <w:rPr>
                <w:rFonts w:hint="eastAsia" w:ascii="Times New Roman" w:hAnsi="Times New Roman" w:eastAsia="宋体" w:cs="Times New Roman"/>
                <w:color w:val="000000"/>
                <w:spacing w:val="0"/>
                <w:sz w:val="21"/>
                <w:szCs w:val="21"/>
                <w:highlight w:val="none"/>
                <w:lang w:val="en-US" w:eastAsia="zh-CN"/>
              </w:rPr>
            </w:pPr>
            <w:r>
              <w:rPr>
                <w:rFonts w:hint="eastAsia"/>
                <w:color w:val="000000"/>
                <w:highlight w:val="none"/>
              </w:rPr>
              <w:t xml:space="preserve">运维服务方案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rPr>
                <w:color w:val="000000"/>
                <w:highlight w:val="none"/>
              </w:rPr>
            </w:pPr>
            <w:r>
              <w:rPr>
                <w:rFonts w:hint="eastAsia"/>
                <w:color w:val="000000"/>
                <w:highlight w:val="none"/>
              </w:rPr>
              <w:t xml:space="preserve">根据本项目采购需求编制方案，内容包含：1.技术支持；2.保障措施。以上每项内容逐项评分：</w:t>
            </w:r>
            <w:r>
              <w:rPr>
                <w:color w:val="000000"/>
                <w:highlight w:val="none"/>
              </w:rPr>
            </w:r>
            <w:r/>
          </w:p>
          <w:p>
            <w:pPr>
              <w:pStyle w:val="869"/>
              <w:rPr>
                <w:color w:val="000000"/>
                <w:highlight w:val="none"/>
              </w:rPr>
            </w:pPr>
            <w:r>
              <w:rPr>
                <w:rFonts w:hint="eastAsia"/>
                <w:color w:val="000000"/>
                <w:highlight w:val="none"/>
              </w:rPr>
              <w:t xml:space="preserve">（1）技术支持</w:t>
            </w:r>
            <w:r>
              <w:rPr>
                <w:color w:val="000000"/>
                <w:highlight w:val="none"/>
              </w:rPr>
            </w:r>
            <w:r/>
          </w:p>
          <w:p>
            <w:pPr>
              <w:pStyle w:val="869"/>
              <w:rPr>
                <w:color w:val="000000"/>
                <w:highlight w:val="none"/>
              </w:rPr>
            </w:pPr>
            <w:r>
              <w:rPr>
                <w:rFonts w:hint="eastAsia"/>
                <w:color w:val="000000"/>
                <w:highlight w:val="none"/>
              </w:rPr>
              <w:t xml:space="preserve">提供专业技术支持，精准解决技术难题，保障项目顺利推进，得2分；</w:t>
            </w:r>
            <w:r>
              <w:rPr>
                <w:color w:val="000000"/>
                <w:highlight w:val="none"/>
              </w:rPr>
            </w:r>
            <w:r/>
          </w:p>
          <w:p>
            <w:pPr>
              <w:pStyle w:val="869"/>
              <w:rPr>
                <w:color w:val="000000"/>
                <w:highlight w:val="none"/>
              </w:rPr>
            </w:pPr>
            <w:r>
              <w:rPr>
                <w:rFonts w:hint="eastAsia"/>
                <w:color w:val="000000"/>
                <w:highlight w:val="none"/>
              </w:rPr>
              <w:t xml:space="preserve">提供基本技术支持，能够响应</w:t>
            </w:r>
            <w:r>
              <w:rPr>
                <w:rFonts w:hint="eastAsia"/>
                <w:color w:val="000000"/>
                <w:highlight w:val="none"/>
                <w:lang w:val="en-US" w:eastAsia="zh-CN"/>
              </w:rPr>
              <w:t xml:space="preserve">基本</w:t>
            </w:r>
            <w:r>
              <w:rPr>
                <w:rFonts w:hint="eastAsia"/>
                <w:color w:val="000000"/>
                <w:highlight w:val="none"/>
              </w:rPr>
              <w:t xml:space="preserve">技术需求，得1分；</w:t>
            </w:r>
            <w:r>
              <w:rPr>
                <w:color w:val="000000"/>
                <w:highlight w:val="none"/>
              </w:rPr>
            </w:r>
            <w:r/>
          </w:p>
          <w:p>
            <w:pPr>
              <w:pStyle w:val="869"/>
              <w:rPr>
                <w:color w:val="000000"/>
                <w:highlight w:val="none"/>
              </w:rPr>
            </w:pPr>
            <w:r>
              <w:rPr>
                <w:rFonts w:hint="eastAsia"/>
                <w:color w:val="000000"/>
                <w:highlight w:val="none"/>
              </w:rPr>
              <w:t xml:space="preserve">未提供任何技术支持，不得分。</w:t>
            </w:r>
            <w:r>
              <w:rPr>
                <w:color w:val="000000"/>
                <w:highlight w:val="none"/>
              </w:rPr>
            </w:r>
            <w:r/>
          </w:p>
          <w:p>
            <w:pPr>
              <w:pStyle w:val="869"/>
              <w:rPr>
                <w:color w:val="000000"/>
                <w:highlight w:val="none"/>
              </w:rPr>
            </w:pPr>
            <w:r>
              <w:rPr>
                <w:rFonts w:hint="eastAsia"/>
                <w:color w:val="000000"/>
                <w:highlight w:val="none"/>
              </w:rPr>
              <w:t xml:space="preserve">（2）保障措施</w:t>
            </w:r>
            <w:r>
              <w:rPr>
                <w:color w:val="000000"/>
                <w:highlight w:val="none"/>
              </w:rPr>
            </w:r>
            <w:r/>
          </w:p>
          <w:p>
            <w:pPr>
              <w:pStyle w:val="869"/>
              <w:rPr>
                <w:color w:val="000000"/>
                <w:highlight w:val="none"/>
              </w:rPr>
            </w:pPr>
            <w:r>
              <w:rPr>
                <w:rFonts w:hint="eastAsia"/>
                <w:color w:val="000000"/>
                <w:highlight w:val="none"/>
              </w:rPr>
              <w:t xml:space="preserve">保障措施安排全面完善，可有效规避项目实施风险，得2分；</w:t>
            </w:r>
            <w:r>
              <w:rPr>
                <w:color w:val="000000"/>
                <w:highlight w:val="none"/>
              </w:rPr>
            </w:r>
            <w:r/>
          </w:p>
          <w:p>
            <w:pPr>
              <w:pStyle w:val="869"/>
              <w:rPr>
                <w:color w:val="000000"/>
                <w:highlight w:val="none"/>
              </w:rPr>
            </w:pPr>
            <w:r>
              <w:rPr>
                <w:rFonts w:hint="eastAsia"/>
                <w:color w:val="000000"/>
                <w:highlight w:val="none"/>
              </w:rPr>
              <w:t xml:space="preserve">保障措施基本到位，整体安排</w:t>
            </w:r>
            <w:r>
              <w:rPr>
                <w:rFonts w:hint="eastAsia"/>
                <w:color w:val="000000"/>
                <w:highlight w:val="none"/>
                <w:lang w:val="en-US" w:eastAsia="zh-CN"/>
              </w:rPr>
              <w:t xml:space="preserve">基本符合需求</w:t>
            </w:r>
            <w:r>
              <w:rPr>
                <w:rFonts w:hint="eastAsia"/>
                <w:color w:val="000000"/>
                <w:highlight w:val="none"/>
              </w:rPr>
              <w:t xml:space="preserve"> ，得1分；</w:t>
            </w:r>
            <w:r>
              <w:rPr>
                <w:color w:val="000000"/>
                <w:highlight w:val="none"/>
              </w:rPr>
            </w:r>
            <w:r/>
          </w:p>
          <w:p>
            <w:pPr>
              <w:pStyle w:val="869"/>
              <w:rPr>
                <w:color w:val="000000"/>
                <w:sz w:val="21"/>
                <w:szCs w:val="21"/>
                <w:highlight w:val="none"/>
                <w:lang w:val="zh-CN" w:eastAsia="zh-CN"/>
              </w:rPr>
            </w:pPr>
            <w:r>
              <w:rPr>
                <w:rFonts w:hint="eastAsia"/>
                <w:color w:val="000000"/>
                <w:highlight w:val="none"/>
              </w:rPr>
              <w:t xml:space="preserve">未提供任何保障措施的，不得分。</w:t>
            </w:r>
            <w:r>
              <w:rPr>
                <w:color w:val="000000"/>
                <w:sz w:val="21"/>
                <w:szCs w:val="21"/>
                <w:highlight w:val="none"/>
                <w:lang w:val="zh-CN"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highlight w:val="none"/>
                <w:lang w:val="en-US" w:eastAsia="zh-CN" w:bidi="ar-SA"/>
              </w:rPr>
            </w:pPr>
            <w:r>
              <w:rPr>
                <w:rFonts w:hint="eastAsia" w:ascii="宋体" w:hAnsi="宋体" w:cs="宋体"/>
                <w:color w:val="000000"/>
                <w:highlight w:val="none"/>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pacing w:val="-6"/>
                <w:sz w:val="21"/>
                <w:szCs w:val="21"/>
                <w:highlight w:val="none"/>
                <w:lang w:val="en-US" w:eastAsia="zh-CN"/>
              </w:rPr>
            </w:pPr>
            <w:r>
              <w:rPr>
                <w:rFonts w:ascii="宋体" w:hAnsi="宋体" w:cs="宋体"/>
                <w:color w:val="000000"/>
                <w:spacing w:val="-6"/>
                <w:highlight w:val="none"/>
              </w:rPr>
              <w:t xml:space="preserve">主观分</w:t>
            </w:r>
            <w:r>
              <w:rPr>
                <w:rFonts w:ascii="宋体" w:hAnsi="宋体" w:eastAsia="宋体" w:cs="宋体"/>
                <w:color w:val="000000"/>
                <w:spacing w:val="-6"/>
                <w:sz w:val="21"/>
                <w:szCs w:val="21"/>
                <w:highlight w:val="none"/>
                <w:lang w:val="en-US" w:eastAsia="zh-CN"/>
              </w:rPr>
            </w:r>
            <w:r/>
          </w:p>
        </w:tc>
      </w:tr>
      <w:tr>
        <w:trPr>
          <w:trHeight w:val="195"/>
        </w:trPr>
        <w:tc>
          <w:tcPr>
            <w:tcW w:w="519" w:type="dxa"/>
            <w:vAlign w:val="center"/>
            <w:textDirection w:val="lrTb"/>
            <w:noWrap w:val="false"/>
          </w:tcPr>
          <w:p>
            <w:pPr>
              <w:pStyle w:val="869"/>
              <w:jc w:val="center"/>
              <w:spacing w:before="68" w:line="264" w:lineRule="auto"/>
              <w:rPr>
                <w:rFonts w:hint="eastAsia" w:ascii="宋体" w:hAnsi="宋体" w:eastAsia="宋体" w:cs="宋体"/>
                <w:color w:val="000000"/>
                <w:spacing w:val="-2"/>
                <w:sz w:val="21"/>
                <w:szCs w:val="21"/>
                <w:highlight w:val="none"/>
                <w:lang w:val="en-US" w:eastAsia="zh-CN"/>
              </w:rPr>
            </w:pPr>
            <w:r>
              <w:rPr>
                <w:rFonts w:hint="eastAsia" w:ascii="宋体" w:hAnsi="宋体" w:cs="宋体"/>
                <w:color w:val="000000"/>
                <w:spacing w:val="-2"/>
                <w:highlight w:val="none"/>
              </w:rPr>
              <w:t xml:space="preserve">3.2</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spacing w:line="264" w:lineRule="auto"/>
              <w:rPr>
                <w:rFonts w:hint="eastAsia" w:ascii="Times New Roman" w:hAnsi="Times New Roman" w:eastAsia="宋体" w:cs="Times New Roman"/>
                <w:color w:val="000000"/>
                <w:spacing w:val="0"/>
                <w:sz w:val="21"/>
                <w:szCs w:val="21"/>
                <w:highlight w:val="none"/>
                <w:lang w:val="en-US" w:eastAsia="zh-CN"/>
              </w:rPr>
            </w:pPr>
            <w:r>
              <w:rPr>
                <w:rFonts w:hint="eastAsia"/>
                <w:color w:val="000000"/>
                <w:highlight w:val="none"/>
              </w:rPr>
              <w:t xml:space="preserve">培训方案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rPr>
                <w:color w:val="000000"/>
                <w:highlight w:val="none"/>
              </w:rPr>
            </w:pPr>
            <w:r>
              <w:rPr>
                <w:rFonts w:hint="eastAsia"/>
                <w:color w:val="000000"/>
                <w:highlight w:val="none"/>
              </w:rPr>
              <w:t xml:space="preserve">根据本项目采购需求编制方案，内容包含：1.培训计划；2.培训内容；3.培训质量保障措施。以上每项内容逐项评分：</w:t>
            </w:r>
            <w:r>
              <w:rPr>
                <w:color w:val="000000"/>
                <w:highlight w:val="none"/>
              </w:rPr>
            </w:r>
            <w:r/>
          </w:p>
          <w:p>
            <w:pPr>
              <w:pStyle w:val="869"/>
              <w:rPr>
                <w:color w:val="000000"/>
                <w:highlight w:val="none"/>
              </w:rPr>
            </w:pPr>
            <w:r>
              <w:rPr>
                <w:rFonts w:hint="eastAsia"/>
                <w:color w:val="000000"/>
                <w:highlight w:val="none"/>
              </w:rPr>
              <w:t xml:space="preserve">（1）培训计划</w:t>
            </w:r>
            <w:r>
              <w:rPr>
                <w:color w:val="000000"/>
                <w:highlight w:val="none"/>
              </w:rPr>
            </w:r>
            <w:r/>
          </w:p>
          <w:p>
            <w:pPr>
              <w:pStyle w:val="869"/>
              <w:rPr>
                <w:color w:val="000000"/>
                <w:highlight w:val="none"/>
              </w:rPr>
            </w:pPr>
            <w:r>
              <w:rPr>
                <w:rFonts w:hint="eastAsia"/>
                <w:color w:val="000000"/>
                <w:highlight w:val="none"/>
              </w:rPr>
              <w:t xml:space="preserve">培训计划细化到不同角色，分层清晰，得</w:t>
            </w:r>
            <w:r>
              <w:rPr>
                <w:color w:val="000000"/>
                <w:highlight w:val="none"/>
              </w:rPr>
              <w:t xml:space="preserve">1</w:t>
            </w:r>
            <w:r>
              <w:rPr>
                <w:rFonts w:hint="eastAsia"/>
                <w:color w:val="000000"/>
                <w:highlight w:val="none"/>
              </w:rPr>
              <w:t xml:space="preserve">分；</w:t>
            </w:r>
            <w:r>
              <w:rPr>
                <w:color w:val="000000"/>
                <w:highlight w:val="none"/>
              </w:rPr>
            </w:r>
            <w:r/>
          </w:p>
          <w:p>
            <w:pPr>
              <w:pStyle w:val="869"/>
              <w:rPr>
                <w:color w:val="000000"/>
                <w:highlight w:val="none"/>
              </w:rPr>
            </w:pPr>
            <w:r>
              <w:rPr>
                <w:rFonts w:hint="eastAsia"/>
                <w:color w:val="000000"/>
                <w:highlight w:val="none"/>
              </w:rPr>
              <w:t xml:space="preserve">培训计划有角色区分但不够详细，得</w:t>
            </w:r>
            <w:r>
              <w:rPr>
                <w:color w:val="000000"/>
                <w:highlight w:val="none"/>
              </w:rPr>
              <w:t xml:space="preserve">0.5</w:t>
            </w:r>
            <w:r>
              <w:rPr>
                <w:rFonts w:hint="eastAsia"/>
                <w:color w:val="000000"/>
                <w:highlight w:val="none"/>
              </w:rPr>
              <w:t xml:space="preserve">分；</w:t>
            </w:r>
            <w:r>
              <w:rPr>
                <w:color w:val="000000"/>
                <w:highlight w:val="none"/>
              </w:rPr>
            </w:r>
            <w:r/>
          </w:p>
          <w:p>
            <w:pPr>
              <w:pStyle w:val="869"/>
              <w:rPr>
                <w:color w:val="000000"/>
                <w:highlight w:val="none"/>
              </w:rPr>
            </w:pPr>
            <w:r>
              <w:rPr>
                <w:rFonts w:hint="eastAsia"/>
                <w:color w:val="000000"/>
                <w:highlight w:val="none"/>
              </w:rPr>
              <w:t xml:space="preserve">未提供或提供的内容完全不符合采购需求的不得分。 </w:t>
            </w:r>
            <w:r>
              <w:rPr>
                <w:color w:val="000000"/>
                <w:highlight w:val="none"/>
              </w:rPr>
            </w:r>
            <w:r/>
          </w:p>
          <w:p>
            <w:pPr>
              <w:pStyle w:val="869"/>
              <w:rPr>
                <w:color w:val="000000"/>
                <w:highlight w:val="none"/>
              </w:rPr>
            </w:pPr>
            <w:r>
              <w:rPr>
                <w:rFonts w:hint="eastAsia"/>
                <w:color w:val="000000"/>
                <w:highlight w:val="none"/>
              </w:rPr>
              <w:t xml:space="preserve">（2）培训内容</w:t>
            </w:r>
            <w:r>
              <w:rPr>
                <w:color w:val="000000"/>
                <w:highlight w:val="none"/>
              </w:rPr>
            </w:r>
            <w:r/>
          </w:p>
          <w:p>
            <w:pPr>
              <w:pStyle w:val="869"/>
              <w:rPr>
                <w:color w:val="000000"/>
                <w:highlight w:val="none"/>
              </w:rPr>
            </w:pPr>
            <w:r>
              <w:rPr>
                <w:rFonts w:hint="eastAsia"/>
                <w:color w:val="000000"/>
                <w:highlight w:val="none"/>
              </w:rPr>
              <w:t xml:space="preserve">培训内容系统深入，覆盖面广，得</w:t>
            </w:r>
            <w:r>
              <w:rPr>
                <w:color w:val="000000"/>
                <w:highlight w:val="none"/>
              </w:rPr>
              <w:t xml:space="preserve">1</w:t>
            </w:r>
            <w:r>
              <w:rPr>
                <w:rFonts w:hint="eastAsia"/>
                <w:color w:val="000000"/>
                <w:highlight w:val="none"/>
              </w:rPr>
              <w:t xml:space="preserve">分；</w:t>
            </w:r>
            <w:r>
              <w:rPr>
                <w:color w:val="000000"/>
                <w:highlight w:val="none"/>
              </w:rPr>
            </w:r>
            <w:r/>
          </w:p>
          <w:p>
            <w:pPr>
              <w:pStyle w:val="869"/>
              <w:rPr>
                <w:color w:val="000000"/>
                <w:highlight w:val="none"/>
              </w:rPr>
            </w:pPr>
            <w:r>
              <w:rPr>
                <w:rFonts w:hint="eastAsia"/>
                <w:color w:val="000000"/>
                <w:highlight w:val="none"/>
              </w:rPr>
              <w:t xml:space="preserve">培训内容覆盖基础操作但深度不足，得</w:t>
            </w:r>
            <w:r>
              <w:rPr>
                <w:color w:val="000000"/>
                <w:highlight w:val="none"/>
              </w:rPr>
              <w:t xml:space="preserve">0.5</w:t>
            </w:r>
            <w:r>
              <w:rPr>
                <w:rFonts w:hint="eastAsia"/>
                <w:color w:val="000000"/>
                <w:highlight w:val="none"/>
              </w:rPr>
              <w:t xml:space="preserve">分；</w:t>
            </w:r>
            <w:r>
              <w:rPr>
                <w:color w:val="000000"/>
                <w:highlight w:val="none"/>
              </w:rPr>
            </w:r>
            <w:r/>
          </w:p>
          <w:p>
            <w:pPr>
              <w:pStyle w:val="869"/>
              <w:rPr>
                <w:color w:val="000000"/>
                <w:highlight w:val="none"/>
              </w:rPr>
            </w:pPr>
            <w:r>
              <w:rPr>
                <w:rFonts w:hint="eastAsia"/>
                <w:color w:val="000000"/>
                <w:highlight w:val="none"/>
              </w:rPr>
              <w:t xml:space="preserve">未提供或提供的内容完全不符合采购需求的不得分。</w:t>
            </w:r>
            <w:r>
              <w:rPr>
                <w:color w:val="000000"/>
                <w:highlight w:val="none"/>
              </w:rPr>
            </w:r>
            <w:r/>
          </w:p>
          <w:p>
            <w:pPr>
              <w:pStyle w:val="869"/>
              <w:rPr>
                <w:color w:val="000000"/>
                <w:highlight w:val="none"/>
              </w:rPr>
            </w:pPr>
            <w:r>
              <w:rPr>
                <w:rFonts w:hint="eastAsia"/>
                <w:color w:val="000000"/>
                <w:highlight w:val="none"/>
              </w:rPr>
              <w:t xml:space="preserve">（3）培训质量保障措施</w:t>
            </w:r>
            <w:r>
              <w:rPr>
                <w:color w:val="000000"/>
                <w:highlight w:val="none"/>
              </w:rPr>
            </w:r>
            <w:r/>
          </w:p>
          <w:p>
            <w:pPr>
              <w:pStyle w:val="869"/>
              <w:rPr>
                <w:color w:val="000000"/>
                <w:highlight w:val="none"/>
              </w:rPr>
            </w:pPr>
            <w:r>
              <w:rPr>
                <w:rFonts w:hint="eastAsia"/>
                <w:color w:val="000000"/>
                <w:highlight w:val="none"/>
              </w:rPr>
              <w:t xml:space="preserve">培训质量保障措施清晰详细，具体有效，得</w:t>
            </w:r>
            <w:r>
              <w:rPr>
                <w:color w:val="000000"/>
                <w:highlight w:val="none"/>
              </w:rPr>
              <w:t xml:space="preserve">1</w:t>
            </w:r>
            <w:r>
              <w:rPr>
                <w:rFonts w:hint="eastAsia"/>
                <w:color w:val="000000"/>
                <w:highlight w:val="none"/>
              </w:rPr>
              <w:t xml:space="preserve">分；</w:t>
            </w:r>
            <w:r>
              <w:rPr>
                <w:color w:val="000000"/>
                <w:highlight w:val="none"/>
              </w:rPr>
            </w:r>
            <w:r/>
          </w:p>
          <w:p>
            <w:pPr>
              <w:pStyle w:val="869"/>
              <w:rPr>
                <w:color w:val="000000"/>
                <w:highlight w:val="none"/>
              </w:rPr>
            </w:pPr>
            <w:r>
              <w:rPr>
                <w:rFonts w:hint="eastAsia"/>
                <w:color w:val="000000"/>
                <w:highlight w:val="none"/>
              </w:rPr>
              <w:t xml:space="preserve">培训质量保障措施较清晰详细，基本有效，得</w:t>
            </w:r>
            <w:r>
              <w:rPr>
                <w:color w:val="000000"/>
                <w:highlight w:val="none"/>
              </w:rPr>
              <w:t xml:space="preserve">0.5</w:t>
            </w:r>
            <w:r>
              <w:rPr>
                <w:rFonts w:hint="eastAsia"/>
                <w:color w:val="000000"/>
                <w:highlight w:val="none"/>
              </w:rPr>
              <w:t xml:space="preserve">分；</w:t>
            </w:r>
            <w:r>
              <w:rPr>
                <w:color w:val="000000"/>
                <w:highlight w:val="none"/>
              </w:rPr>
            </w:r>
            <w:r/>
          </w:p>
          <w:p>
            <w:pPr>
              <w:pStyle w:val="869"/>
              <w:rPr>
                <w:rFonts w:hint="eastAsia"/>
                <w:color w:val="000000"/>
                <w:highlight w:val="none"/>
                <w:lang w:val="en-US"/>
              </w:rPr>
            </w:pPr>
            <w:r>
              <w:rPr>
                <w:rFonts w:hint="eastAsia"/>
                <w:color w:val="000000"/>
                <w:highlight w:val="none"/>
              </w:rPr>
              <w:t xml:space="preserve">未提供或内容完全不符合采购需求的不得分。</w:t>
            </w:r>
            <w:r>
              <w:rPr>
                <w:rFonts w:hint="eastAsia"/>
                <w:color w:val="000000"/>
                <w:highlight w:val="none"/>
                <w:lang w:val="en-US"/>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Cs w:val="21"/>
                <w:highlight w:val="none"/>
                <w:lang w:val="en-US" w:eastAsia="zh-CN"/>
              </w:rPr>
            </w:pPr>
            <w:r>
              <w:rPr>
                <w:rFonts w:ascii="宋体" w:hAnsi="宋体" w:cs="宋体"/>
                <w:color w:val="000000"/>
                <w:highlight w:val="none"/>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1"/>
                <w:szCs w:val="21"/>
                <w:highlight w:val="none"/>
                <w:lang w:eastAsia="zh-CN"/>
              </w:rPr>
            </w:pPr>
            <w:r>
              <w:rPr>
                <w:rFonts w:ascii="宋体" w:hAnsi="宋体" w:cs="宋体"/>
                <w:color w:val="000000"/>
                <w:spacing w:val="-6"/>
                <w:highlight w:val="none"/>
              </w:rPr>
              <w:t xml:space="preserve">主观分</w:t>
            </w:r>
            <w:r>
              <w:rPr>
                <w:rFonts w:hint="eastAsia" w:ascii="宋体" w:hAnsi="宋体" w:eastAsia="宋体" w:cs="宋体"/>
                <w:color w:val="000000"/>
                <w:spacing w:val="-6"/>
                <w:sz w:val="21"/>
                <w:szCs w:val="21"/>
                <w:highlight w:val="none"/>
                <w:lang w:eastAsia="zh-CN"/>
              </w:rPr>
            </w:r>
            <w:r/>
          </w:p>
        </w:tc>
      </w:tr>
      <w:tr>
        <w:trPr>
          <w:trHeight w:val="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投标人中标后能够提供本地化服务的得</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cs="宋体"/>
                <w:color w:val="000000"/>
                <w:highlight w:val="none"/>
              </w:rPr>
              <w:t xml:space="preserve">2023年1月1日（含）</w:t>
            </w:r>
            <w:r>
              <w:rPr>
                <w:rFonts w:ascii="宋体" w:hAnsi="宋体" w:eastAsia="宋体" w:cs="宋体"/>
                <w:color w:val="000000"/>
                <w:sz w:val="21"/>
                <w:szCs w:val="21"/>
                <w:highlight w:val="none"/>
                <w:lang w:val="en-US" w:eastAsia="zh-CN"/>
              </w:rPr>
              <w:t xml:space="preserve">以来类似项目业绩</w:t>
            </w:r>
            <w:r>
              <w:rPr>
                <w:rFonts w:hint="eastAsia" w:ascii="宋体" w:hAnsi="宋体" w:cs="宋体"/>
                <w:color w:val="000000"/>
                <w:highlight w:val="none"/>
              </w:rPr>
              <w:t xml:space="preserve">（至少包含</w:t>
            </w:r>
            <w:r>
              <w:rPr>
                <w:rFonts w:hint="eastAsia" w:ascii="宋体" w:hAnsi="宋体" w:cs="宋体"/>
                <w:color w:val="000000"/>
                <w:highlight w:val="none"/>
                <w:lang w:val="en-US" w:eastAsia="zh-CN"/>
              </w:rPr>
              <w:t xml:space="preserve">筛查</w:t>
            </w:r>
            <w:r>
              <w:rPr>
                <w:rFonts w:hint="eastAsia" w:ascii="宋体" w:hAnsi="宋体" w:cs="宋体"/>
                <w:color w:val="000000"/>
                <w:highlight w:val="none"/>
              </w:rPr>
              <w:t xml:space="preserve">管理）</w:t>
            </w:r>
            <w:r>
              <w:rPr>
                <w:rFonts w:hint="eastAsia" w:ascii="宋体" w:hAnsi="宋体" w:cs="宋体"/>
                <w:color w:val="000000"/>
                <w:highlight w:val="none"/>
                <w:lang w:eastAsia="zh-CN"/>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color w:val="000000"/>
                <w:highlight w:val="none"/>
              </w:rPr>
            </w:pPr>
            <w:r>
              <w:rPr>
                <w:rFonts w:hint="eastAsia" w:ascii="宋体" w:hAnsi="宋体" w:eastAsia="宋体" w:cs="宋体"/>
                <w:color w:val="000000"/>
                <w:sz w:val="21"/>
                <w:szCs w:val="21"/>
                <w:highlight w:val="none"/>
                <w:lang w:val="en-US" w:eastAsia="zh-CN"/>
              </w:rPr>
              <w:t xml:space="preserve">项目经理具</w:t>
            </w:r>
            <w:r>
              <w:rPr>
                <w:rFonts w:hint="eastAsia"/>
                <w:color w:val="000000"/>
                <w:highlight w:val="none"/>
              </w:rPr>
              <w:t xml:space="preserve">有工信部和人社部颁发的信息系统项目管理师证书，得3分。</w:t>
            </w:r>
            <w:r>
              <w:rPr>
                <w:color w:val="000000"/>
                <w:highlight w:val="none"/>
              </w:rPr>
            </w:r>
            <w:r/>
          </w:p>
          <w:p>
            <w:pPr>
              <w:pStyle w:val="869"/>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en-US" w:eastAsia="zh-CN"/>
              </w:rPr>
              <w:t xml:space="preserve">以及投标人为其缴纳的2026年1月以来任意一个月的社保证明材料，缺一不可）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项目实施团队能力（不含项目经理）：</w:t>
            </w:r>
            <w:r>
              <w:rPr>
                <w:rFonts w:hint="eastAsia" w:ascii="宋体" w:hAnsi="宋体" w:eastAsia="宋体" w:cs="宋体"/>
                <w:color w:val="000000"/>
                <w:sz w:val="21"/>
                <w:szCs w:val="21"/>
                <w:highlight w:val="none"/>
                <w:lang w:val="en-US" w:eastAsia="zh-CN"/>
              </w:rPr>
            </w:r>
            <w:r/>
          </w:p>
          <w:p>
            <w:pPr>
              <w:pStyle w:val="869"/>
              <w:spacing w:line="264" w:lineRule="auto"/>
              <w:rPr>
                <w:rFonts w:ascii="宋体" w:hAnsi="宋体" w:cs="宋体"/>
                <w:color w:val="000000"/>
                <w:highlight w:val="none"/>
              </w:rPr>
            </w:pPr>
            <w:r>
              <w:rPr>
                <w:rFonts w:hint="eastAsia" w:ascii="宋体" w:hAnsi="宋体" w:cs="宋体"/>
                <w:color w:val="000000"/>
                <w:highlight w:val="none"/>
              </w:rPr>
              <w:t xml:space="preserve">团队成员具有工信部和人社部颁发的软件设计师、系统分析师、系统集成项目管理工程师证书，每提供1个证书得2分，最多得6分。</w:t>
            </w:r>
            <w:r>
              <w:rPr>
                <w:rFonts w:ascii="宋体" w:hAnsi="宋体" w:cs="宋体"/>
                <w:color w:val="000000"/>
                <w:highlight w:val="none"/>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（多人一证、一人多证不重复计分，提供团队成员证书以及投标人为其缴纳的2026年1月以来任意一个月的社保证明材料，缺一不可）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69"/>
              <w:spacing w:line="264" w:lineRule="auto"/>
              <w:rPr>
                <w:rFonts w:ascii="宋体" w:hAnsi="宋体" w:cs="宋体"/>
                <w:color w:val="000000"/>
                <w:highlight w:val="none"/>
              </w:rPr>
            </w:pPr>
            <w:r>
              <w:rPr>
                <w:rFonts w:hint="eastAsia" w:ascii="宋体" w:hAnsi="宋体" w:eastAsia="宋体" w:cs="宋体"/>
                <w:color w:val="000000"/>
                <w:sz w:val="21"/>
                <w:szCs w:val="21"/>
                <w:highlight w:val="none"/>
                <w:lang w:val="en-US" w:eastAsia="zh-CN"/>
              </w:rPr>
              <w:t xml:space="preserve">投标人具有本项目相关的软件著作权证书，包括</w:t>
            </w:r>
            <w:r>
              <w:rPr>
                <w:rFonts w:ascii="宋体" w:hAnsi="宋体" w:cs="宋体"/>
                <w:color w:val="000000"/>
                <w:highlight w:val="none"/>
              </w:rPr>
              <w:t xml:space="preserve">“</w:t>
            </w:r>
            <w:r>
              <w:rPr>
                <w:rFonts w:hint="eastAsia" w:ascii="宋体" w:hAnsi="宋体" w:cs="宋体"/>
                <w:color w:val="000000"/>
                <w:highlight w:val="none"/>
              </w:rPr>
              <w:t xml:space="preserve">筛查类或医疗管理类</w:t>
            </w:r>
            <w:r>
              <w:rPr>
                <w:rFonts w:ascii="宋体" w:hAnsi="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等，每提供1个证书得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highlight w:val="none"/>
              </w:rPr>
              <w:t xml:space="preserve">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ascii="宋体" w:hAnsi="宋体" w:cs="宋体"/>
                <w:color w:val="000000"/>
                <w:highlight w:val="none"/>
              </w:rPr>
            </w:r>
            <w:r/>
          </w:p>
          <w:p>
            <w:pPr>
              <w:pStyle w:val="869"/>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color w:val="000000"/>
          <w:sz w:val="72"/>
          <w:highlight w:val="none"/>
        </w:rPr>
      </w:pPr>
      <w:r/>
      <w:bookmarkStart w:id="62" w:name="_Toc49090576"/>
      <w:r/>
      <w:bookmarkStart w:id="63" w:name="_Toc120614282"/>
      <w:r/>
      <w:bookmarkStart w:id="64" w:name="_Toc26554094"/>
      <w:r/>
      <w:bookmarkStart w:id="65" w:name="_Hlt26671244"/>
      <w:r/>
      <w:bookmarkEnd w:id="65"/>
      <w:r/>
      <w:bookmarkStart w:id="66" w:name="_Hlt26955039"/>
      <w:r/>
      <w:bookmarkEnd w:id="66"/>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69"/>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4"/>
        <w:rPr>
          <w:rFonts w:ascii="宋体" w:hAnsi="宋体"/>
          <w:color w:val="000000"/>
          <w:sz w:val="24"/>
          <w:highlight w:val="none"/>
        </w:rPr>
      </w:pPr>
      <w:r>
        <w:rPr>
          <w:rFonts w:ascii="宋体" w:hAnsi="宋体"/>
          <w:color w:val="000000"/>
          <w:sz w:val="24"/>
          <w:highlight w:val="none"/>
        </w:rPr>
      </w:r>
      <w:r/>
    </w:p>
    <w:p>
      <w:pPr>
        <w:pStyle w:val="954"/>
        <w:rPr>
          <w:rFonts w:ascii="宋体" w:hAnsi="宋体"/>
          <w:color w:val="000000"/>
          <w:sz w:val="24"/>
          <w:highlight w:val="none"/>
        </w:rPr>
      </w:pPr>
      <w:r>
        <w:rPr>
          <w:rFonts w:ascii="宋体" w:hAnsi="宋体"/>
          <w:color w:val="000000"/>
          <w:sz w:val="24"/>
          <w:highlight w:val="none"/>
        </w:rPr>
      </w:r>
      <w:r/>
    </w:p>
    <w:p>
      <w:pPr>
        <w:pStyle w:val="954"/>
        <w:rPr>
          <w:rFonts w:ascii="宋体" w:hAnsi="宋体"/>
          <w:color w:val="000000"/>
          <w:sz w:val="24"/>
          <w:highlight w:val="none"/>
        </w:rPr>
      </w:pPr>
      <w:r>
        <w:rPr>
          <w:rFonts w:ascii="宋体" w:hAnsi="宋体"/>
          <w:color w:val="000000"/>
          <w:sz w:val="24"/>
          <w:highlight w:val="none"/>
        </w:rPr>
      </w:r>
      <w:r/>
    </w:p>
    <w:p>
      <w:pPr>
        <w:pStyle w:val="954"/>
        <w:rPr>
          <w:rFonts w:ascii="宋体" w:hAnsi="宋体"/>
          <w:color w:val="000000"/>
          <w:sz w:val="24"/>
          <w:highlight w:val="none"/>
        </w:rPr>
      </w:pPr>
      <w:r>
        <w:rPr>
          <w:rFonts w:ascii="宋体" w:hAnsi="宋体"/>
          <w:color w:val="000000"/>
          <w:sz w:val="24"/>
          <w:highlight w:val="none"/>
        </w:rPr>
      </w:r>
      <w:r/>
    </w:p>
    <w:p>
      <w:pPr>
        <w:pStyle w:val="954"/>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bookmarkEnd w:id="62"/>
      <w:r/>
      <w:bookmarkEnd w:id="63"/>
      <w:r/>
      <w:bookmarkEnd w:id="64"/>
      <w:r/>
      <w:bookmarkStart w:id="67"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1"/>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3"/>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3"/>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8"/>
        <w:ind w:firstLine="0"/>
        <w:rPr>
          <w:rFonts w:hint="eastAsia"/>
          <w:color w:val="000000"/>
          <w:highlight w:val="none"/>
        </w:rPr>
      </w:pPr>
      <w:r>
        <w:rPr>
          <w:rFonts w:hint="eastAsia"/>
          <w:color w:val="000000"/>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3"/>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5"/>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65"/>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5"/>
        <w:spacing w:before="0" w:after="0"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rFonts w:hint="eastAsia" w:ascii="宋体" w:hAnsi="宋体"/>
          <w:color w:val="000000"/>
          <w:highlight w:val="none"/>
          <w:lang w:val="en-US" w:eastAsia="zh-CN"/>
        </w:rPr>
        <w:t xml:space="preserve">8.我方</w:t>
      </w:r>
      <w:r>
        <w:rPr>
          <w:rFonts w:hint="eastAsia"/>
          <w:color w:val="000000"/>
          <w:sz w:val="24"/>
          <w:szCs w:val="24"/>
          <w:highlight w:val="none"/>
          <w:lang w:val="en-US" w:eastAsia="zh-CN"/>
        </w:rPr>
        <w:t xml:space="preserve">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rPr>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5"/>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5"/>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1"/>
        <w:rPr>
          <w:rFonts w:hint="eastAsia"/>
          <w:color w:val="000000"/>
          <w:highlight w:val="none"/>
        </w:rPr>
      </w:pPr>
      <w:r>
        <w:rPr>
          <w:rFonts w:hint="eastAsia"/>
          <w:color w:val="000000"/>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94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8"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8"/>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935"/>
        <w:gridCol w:w="970"/>
        <w:gridCol w:w="1790"/>
        <w:gridCol w:w="1470"/>
        <w:gridCol w:w="830"/>
        <w:gridCol w:w="820"/>
        <w:gridCol w:w="826"/>
        <w:gridCol w:w="1434"/>
      </w:tblGrid>
      <w:tr>
        <w:trPr>
          <w:cantSplit/>
          <w:trHeight w:val="544"/>
        </w:trPr>
        <w:tc>
          <w:tcPr>
            <w:tcW w:w="886" w:type="dxa"/>
            <w:vAlign w:val="center"/>
            <w:vMerge w:val="restart"/>
            <w:textDirection w:val="lrTb"/>
            <w:noWrap w:val="false"/>
          </w:tcPr>
          <w:p>
            <w:pPr>
              <w:pStyle w:val="869"/>
              <w:ind w:right="180" w:firstLine="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935"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886"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8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3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075"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7"/>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69" w:name="_Hlt26955056"/>
            <w:r/>
            <w:bookmarkEnd w:id="69"/>
            <w:r/>
            <w:bookmarkStart w:id="70" w:name="_Hlt26955064"/>
            <w:r/>
            <w:bookmarkEnd w:id="70"/>
            <w:r/>
            <w:bookmarkStart w:id="71" w:name="_Hlt26609391"/>
            <w:r/>
            <w:bookmarkEnd w:id="71"/>
            <w:r/>
            <w:bookmarkStart w:id="72" w:name="_Hlt26782999"/>
            <w:r/>
            <w:bookmarkEnd w:id="72"/>
            <w:r/>
            <w:bookmarkStart w:id="73" w:name="_Hlt26671372"/>
            <w:r/>
            <w:bookmarkEnd w:id="73"/>
            <w:r/>
            <w:bookmarkStart w:id="74" w:name="_Hlt24879081"/>
            <w:r/>
            <w:bookmarkEnd w:id="74"/>
            <w:r/>
            <w:bookmarkStart w:id="75" w:name="_Hlt26671343"/>
            <w:r/>
            <w:bookmarkEnd w:id="75"/>
            <w:r/>
            <w:bookmarkStart w:id="76" w:name="_Hlt26580838"/>
            <w:r/>
            <w:bookmarkEnd w:id="7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8"/>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8"/>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8"/>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numPr>
          <w:ilvl w:val="0"/>
          <w:numId w:val="0"/>
        </w:numPr>
        <w:jc w:val="left"/>
        <w:widowControl/>
        <w:rPr>
          <w:rFonts w:hint="eastAsia" w:ascii="宋体" w:hAnsi="宋体" w:eastAsia="宋体" w:cs="宋体"/>
          <w:color w:val="000000"/>
          <w:sz w:val="24"/>
          <w:szCs w:val="24"/>
          <w:highlight w:val="none"/>
          <w:lang w:val="en-US" w:eastAsia="zh-CN" w:bidi="ar"/>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宋体" w:hAnsi="宋体" w:eastAsia="宋体" w:cs="宋体"/>
          <w:color w:val="000000"/>
          <w:sz w:val="24"/>
          <w:szCs w:val="24"/>
          <w:highlight w:val="none"/>
          <w:lang w:val="en-US" w:eastAsia="zh-CN" w:bidi="ar"/>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Char"/>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 w:val="32"/>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1"/>
    <w:basedOn w:val="869"/>
    <w:next w:val="947"/>
    <w:link w:val="869"/>
    <w:qFormat/>
    <w:pPr>
      <w:ind w:left="350" w:firstLine="0"/>
    </w:pPr>
    <w:rPr>
      <w:rFonts w:cs="Times New Roman"/>
      <w:sz w:val="20"/>
      <w:szCs w:val="24"/>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首行缩进 21"/>
    <w:basedOn w:val="950"/>
    <w:next w:val="869"/>
    <w:link w:val="869"/>
    <w:qFormat/>
    <w:pPr>
      <w:ind w:firstLine="420"/>
      <w:spacing w:line="360" w:lineRule="auto"/>
    </w:pPr>
    <w:rPr>
      <w:rFonts w:ascii="宋体" w:hAnsi="宋体" w:eastAsia="宋体"/>
      <w:sz w:val="21"/>
      <w:szCs w:val="20"/>
    </w:rPr>
  </w:style>
  <w:style w:type="paragraph" w:styleId="950">
    <w:name w:val="正文文本缩进11"/>
    <w:basedOn w:val="869"/>
    <w:next w:val="951"/>
    <w:link w:val="869"/>
    <w:qFormat/>
    <w:pPr>
      <w:ind w:firstLine="645"/>
    </w:pPr>
    <w:rPr>
      <w:rFonts w:ascii="楷体_GB2312" w:eastAsia="楷体_GB2312"/>
      <w:sz w:val="32"/>
      <w:szCs w:val="32"/>
    </w:rPr>
  </w:style>
  <w:style w:type="paragraph" w:styleId="951">
    <w:name w:val="寄信人地址1"/>
    <w:basedOn w:val="869"/>
    <w:next w:val="951"/>
    <w:link w:val="869"/>
    <w:qFormat/>
    <w:rPr>
      <w:rFonts w:ascii="Arial" w:hAnsi="Arial" w:eastAsia="宋体" w:cs="宋体"/>
    </w:rPr>
  </w:style>
  <w:style w:type="paragraph" w:styleId="952">
    <w:name w:val="标题 41"/>
    <w:basedOn w:val="869"/>
    <w:next w:val="953"/>
    <w:link w:val="869"/>
    <w:qFormat/>
    <w:pPr>
      <w:keepLines/>
      <w:keepNext/>
      <w:spacing w:before="280" w:after="290" w:line="376" w:lineRule="auto"/>
      <w:outlineLvl w:val="3"/>
    </w:pPr>
    <w:rPr>
      <w:rFonts w:ascii="Arial" w:hAnsi="Arial" w:eastAsia="黑体" w:cs="Arial"/>
      <w:b/>
      <w:bCs/>
      <w:sz w:val="28"/>
      <w:szCs w:val="28"/>
    </w:rPr>
  </w:style>
  <w:style w:type="paragraph" w:styleId="953">
    <w:name w:val="正文缩进1"/>
    <w:basedOn w:val="869"/>
    <w:next w:val="953"/>
    <w:link w:val="869"/>
    <w:qFormat/>
    <w:pPr>
      <w:ind w:firstLine="420"/>
    </w:pPr>
  </w:style>
  <w:style w:type="paragraph" w:styleId="954">
    <w:name w:val="正文文本12"/>
    <w:basedOn w:val="869"/>
    <w:next w:val="954"/>
    <w:link w:val="869"/>
    <w:uiPriority w:val="1"/>
    <w:qFormat/>
    <w:pPr>
      <w:ind w:left="120"/>
    </w:pPr>
    <w:rPr>
      <w:rFonts w:ascii="宋体" w:hAnsi="宋体" w:eastAsia="宋体" w:cs="宋体"/>
      <w:sz w:val="21"/>
      <w:szCs w:val="21"/>
      <w:lang w:val="zh-CN" w:eastAsia="zh-CN" w:bidi="zh-CN"/>
    </w:rPr>
  </w:style>
  <w:style w:type="character" w:styleId="955">
    <w:name w:val="font5 Char"/>
    <w:next w:val="955"/>
    <w:link w:val="869"/>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69"/>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69"/>
    <w:next w:val="959"/>
    <w:link w:val="958"/>
    <w:qFormat/>
    <w:pPr>
      <w:contextualSpacing/>
      <w:ind w:left="720"/>
      <w:jc w:val="left"/>
      <w:widowControl/>
    </w:pPr>
    <w:rPr>
      <w:rFonts w:ascii="Calibri" w:hAnsi="Calibri" w:eastAsia="宋体" w:cs="Times New Roman"/>
      <w:sz w:val="24"/>
      <w:szCs w:val="24"/>
      <w:lang w:eastAsia="en-US" w:bidi="en-US"/>
    </w:rPr>
  </w:style>
  <w:style w:type="paragraph" w:styleId="960">
    <w:name w:val="Body Text(ch)"/>
    <w:basedOn w:val="869"/>
    <w:next w:val="905"/>
    <w:link w:val="869"/>
    <w:pPr>
      <w:spacing w:after="120"/>
    </w:pPr>
    <w:rPr>
      <w:rFonts w:ascii="宋体" w:hAnsi="Arial"/>
      <w:bCs/>
      <w:iCs/>
      <w:szCs w:val="24"/>
    </w:rPr>
  </w:style>
  <w:style w:type="paragraph" w:styleId="961">
    <w:name w:val="xl27"/>
    <w:basedOn w:val="869"/>
    <w:next w:val="96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69"/>
    <w:next w:val="962"/>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69"/>
    <w:next w:val="963"/>
    <w:link w:val="869"/>
    <w:pPr>
      <w:ind w:firstLine="200"/>
      <w:tabs>
        <w:tab w:val="left" w:pos="360" w:leader="none"/>
      </w:tabs>
    </w:pPr>
    <w:rPr>
      <w:sz w:val="28"/>
      <w:szCs w:val="30"/>
    </w:rPr>
  </w:style>
  <w:style w:type="paragraph" w:styleId="964">
    <w:name w:val=" Char"/>
    <w:basedOn w:val="899"/>
    <w:next w:val="964"/>
    <w:link w:val="869"/>
    <w:rPr>
      <w:rFonts w:ascii="Tahoma" w:hAnsi="Tahoma"/>
      <w:sz w:val="24"/>
      <w:szCs w:val="24"/>
    </w:rPr>
  </w:style>
  <w:style w:type="paragraph" w:styleId="965">
    <w:name w:val="普通正文"/>
    <w:basedOn w:val="869"/>
    <w:next w:val="965"/>
    <w:link w:val="869"/>
    <w:pPr>
      <w:ind w:firstLine="480"/>
      <w:jc w:val="left"/>
      <w:spacing w:before="120" w:after="120" w:line="360" w:lineRule="auto"/>
    </w:pPr>
    <w:rPr>
      <w:rFonts w:ascii="Arial" w:hAnsi="Arial"/>
      <w:sz w:val="24"/>
      <w:szCs w:val="24"/>
    </w:rPr>
  </w:style>
  <w:style w:type="paragraph" w:styleId="966">
    <w:name w:val="table_lines"/>
    <w:basedOn w:val="869"/>
    <w:next w:val="966"/>
    <w:link w:val="869"/>
    <w:pPr>
      <w:jc w:val="left"/>
      <w:widowControl/>
    </w:pPr>
    <w:rPr>
      <w:sz w:val="20"/>
      <w:szCs w:val="20"/>
      <w:lang w:val="de-DE" w:eastAsia="de-DE"/>
    </w:rPr>
  </w:style>
  <w:style w:type="paragraph" w:styleId="967">
    <w:name w:val="附录1"/>
    <w:next w:val="967"/>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69"/>
    <w:next w:val="968"/>
    <w:link w:val="869"/>
    <w:pPr>
      <w:jc w:val="left"/>
      <w:spacing w:before="100" w:beforeAutospacing="1" w:after="100" w:afterAutospacing="1"/>
      <w:widowControl/>
    </w:pPr>
    <w:rPr>
      <w:rFonts w:hint="eastAsia" w:ascii="宋体" w:hAnsi="宋体"/>
      <w:sz w:val="18"/>
      <w:szCs w:val="18"/>
    </w:rPr>
  </w:style>
  <w:style w:type="paragraph" w:styleId="969">
    <w:name w:val=" Char Char Char Char"/>
    <w:basedOn w:val="899"/>
    <w:next w:val="969"/>
    <w:link w:val="869"/>
    <w:pPr>
      <w:spacing w:line="360" w:lineRule="auto"/>
    </w:pPr>
    <w:rPr>
      <w:rFonts w:ascii="Tahoma" w:hAnsi="Tahoma"/>
      <w:sz w:val="24"/>
      <w:szCs w:val="24"/>
    </w:rPr>
  </w:style>
  <w:style w:type="paragraph" w:styleId="970">
    <w:name w:val="列出段落"/>
    <w:basedOn w:val="869"/>
    <w:next w:val="970"/>
    <w:link w:val="869"/>
    <w:qFormat/>
    <w:pPr>
      <w:contextualSpacing/>
      <w:ind w:left="720"/>
      <w:jc w:val="left"/>
      <w:widowControl/>
    </w:pPr>
    <w:rPr>
      <w:rFonts w:ascii="Calibri" w:hAnsi="Calibri"/>
      <w:sz w:val="24"/>
      <w:szCs w:val="24"/>
      <w:lang w:eastAsia="en-US" w:bidi="en-US"/>
    </w:rPr>
  </w:style>
  <w:style w:type="paragraph" w:styleId="971">
    <w:name w:val="4"/>
    <w:basedOn w:val="869"/>
    <w:next w:val="927"/>
    <w:link w:val="869"/>
    <w:pPr>
      <w:ind w:firstLine="420"/>
      <w:spacing w:line="360" w:lineRule="auto"/>
    </w:pPr>
    <w:rPr>
      <w:color w:val="ff0000"/>
      <w:sz w:val="24"/>
      <w:szCs w:val="24"/>
    </w:rPr>
  </w:style>
  <w:style w:type="paragraph" w:styleId="972">
    <w:name w:val="普通 (Web)"/>
    <w:basedOn w:val="869"/>
    <w:next w:val="972"/>
    <w:link w:val="869"/>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69"/>
    <w:next w:val="973"/>
    <w:link w:val="869"/>
    <w:pPr>
      <w:spacing w:line="360" w:lineRule="auto"/>
    </w:pPr>
    <w:rPr>
      <w:sz w:val="24"/>
      <w:szCs w:val="20"/>
    </w:rPr>
  </w:style>
  <w:style w:type="paragraph" w:styleId="974">
    <w:name w:val="样式1"/>
    <w:basedOn w:val="869"/>
    <w:next w:val="974"/>
    <w:link w:val="869"/>
    <w:pPr>
      <w:numPr>
        <w:ilvl w:val="0"/>
        <w:numId w:val="3"/>
      </w:numPr>
      <w:tabs>
        <w:tab w:val="left" w:pos="709" w:leader="none"/>
      </w:tabs>
    </w:pPr>
    <w:rPr>
      <w:rFonts w:ascii="宋体" w:hAnsi="宋体"/>
    </w:rPr>
  </w:style>
  <w:style w:type="paragraph" w:styleId="975">
    <w:name w:val="font6"/>
    <w:basedOn w:val="869"/>
    <w:next w:val="975"/>
    <w:link w:val="869"/>
    <w:pPr>
      <w:jc w:val="left"/>
      <w:spacing w:before="100" w:beforeAutospacing="1" w:after="100" w:afterAutospacing="1"/>
      <w:widowControl/>
    </w:pPr>
    <w:rPr>
      <w:rFonts w:hint="eastAsia" w:ascii="宋体" w:hAnsi="宋体"/>
      <w:sz w:val="28"/>
      <w:szCs w:val="28"/>
      <w:u w:val="single"/>
    </w:rPr>
  </w:style>
  <w:style w:type="paragraph" w:styleId="976">
    <w:name w:val="xl25"/>
    <w:basedOn w:val="869"/>
    <w:next w:val="976"/>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69"/>
    <w:next w:val="869"/>
    <w:link w:val="869"/>
    <w:pPr>
      <w:ind w:firstLine="624"/>
      <w:spacing w:line="590" w:lineRule="atLeast"/>
    </w:pPr>
    <w:rPr>
      <w:rFonts w:ascii="方正黑体_GBK" w:eastAsia="方正黑体_GBK"/>
      <w:sz w:val="32"/>
      <w:szCs w:val="32"/>
    </w:rPr>
  </w:style>
  <w:style w:type="paragraph" w:styleId="979">
    <w:name w:val="xl24"/>
    <w:basedOn w:val="869"/>
    <w:next w:val="97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69"/>
    <w:next w:val="980"/>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69"/>
    <w:next w:val="981"/>
    <w:link w:val="869"/>
    <w:pPr>
      <w:jc w:val="left"/>
      <w:spacing w:after="160" w:line="240" w:lineRule="exact"/>
      <w:widowControl/>
    </w:pPr>
    <w:rPr>
      <w:rFonts w:ascii="Verdana" w:hAnsi="Verdana"/>
      <w:sz w:val="20"/>
      <w:szCs w:val="20"/>
      <w:lang w:eastAsia="en-US"/>
    </w:rPr>
  </w:style>
  <w:style w:type="paragraph" w:styleId="982">
    <w:name w:val="xl28"/>
    <w:basedOn w:val="869"/>
    <w:next w:val="982"/>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69"/>
    <w:next w:val="983"/>
    <w:link w:val="869"/>
    <w:pPr>
      <w:jc w:val="left"/>
      <w:spacing w:after="160" w:line="240" w:lineRule="exact"/>
      <w:widowControl/>
    </w:pPr>
    <w:rPr>
      <w:rFonts w:ascii="Verdana" w:hAnsi="Verdana"/>
      <w:sz w:val="20"/>
      <w:szCs w:val="20"/>
      <w:lang w:eastAsia="en-US"/>
    </w:rPr>
  </w:style>
  <w:style w:type="paragraph" w:styleId="984">
    <w:name w:val="xl30"/>
    <w:basedOn w:val="869"/>
    <w:next w:val="984"/>
    <w:link w:val="869"/>
    <w:pPr>
      <w:jc w:val="center"/>
      <w:spacing w:before="100" w:beforeAutospacing="1" w:after="100" w:afterAutospacing="1"/>
      <w:widowControl/>
    </w:pPr>
    <w:rPr>
      <w:rFonts w:ascii="宋体" w:hAnsi="宋体"/>
      <w:b/>
      <w:bCs/>
      <w:sz w:val="36"/>
      <w:szCs w:val="36"/>
    </w:rPr>
  </w:style>
  <w:style w:type="paragraph" w:styleId="985">
    <w:name w:val="Char Char Char Char"/>
    <w:basedOn w:val="899"/>
    <w:next w:val="985"/>
    <w:link w:val="869"/>
    <w:pPr>
      <w:spacing w:line="360" w:lineRule="auto"/>
    </w:pPr>
    <w:rPr>
      <w:rFonts w:ascii="Tahoma" w:hAnsi="Tahoma"/>
      <w:sz w:val="24"/>
      <w:szCs w:val="24"/>
    </w:rPr>
  </w:style>
  <w:style w:type="paragraph" w:styleId="986">
    <w:name w:val="table_1stline"/>
    <w:basedOn w:val="869"/>
    <w:next w:val="986"/>
    <w:link w:val="869"/>
    <w:pPr>
      <w:jc w:val="left"/>
      <w:spacing w:before="120"/>
      <w:widowControl/>
    </w:pPr>
    <w:rPr>
      <w:bCs/>
      <w:sz w:val="20"/>
      <w:szCs w:val="20"/>
      <w:lang w:val="de-DE" w:eastAsia="de-DE"/>
    </w:rPr>
  </w:style>
  <w:style w:type="paragraph" w:styleId="987">
    <w:name w:val="font5"/>
    <w:basedOn w:val="869"/>
    <w:next w:val="987"/>
    <w:link w:val="869"/>
    <w:pPr>
      <w:jc w:val="left"/>
      <w:spacing w:before="100" w:beforeAutospacing="1" w:after="100" w:afterAutospacing="1"/>
      <w:widowControl/>
    </w:pPr>
    <w:rPr>
      <w:rFonts w:hint="eastAsia" w:ascii="宋体" w:hAnsi="宋体"/>
      <w:sz w:val="28"/>
      <w:szCs w:val="28"/>
    </w:rPr>
  </w:style>
  <w:style w:type="paragraph" w:styleId="988">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69"/>
    <w:uiPriority w:val="99"/>
    <w:semiHidden/>
    <w:rPr>
      <w:rFonts w:ascii="Times New Roman" w:hAnsi="Times New Roman"/>
      <w:sz w:val="21"/>
      <w:szCs w:val="21"/>
      <w:lang w:val="en-US" w:eastAsia="zh-CN" w:bidi="ar-SA"/>
    </w:rPr>
  </w:style>
  <w:style w:type="paragraph" w:styleId="990">
    <w:name w:val="无间隔"/>
    <w:next w:val="990"/>
    <w:link w:val="869"/>
    <w:uiPriority w:val="99"/>
    <w:qFormat/>
    <w:pPr>
      <w:jc w:val="both"/>
      <w:widowControl w:val="off"/>
    </w:pPr>
    <w:rPr>
      <w:rFonts w:ascii="Times New Roman" w:hAnsi="Times New Roman"/>
      <w:sz w:val="21"/>
      <w:szCs w:val="21"/>
      <w:lang w:val="en-US" w:eastAsia="zh-CN" w:bidi="ar-SA"/>
    </w:rPr>
  </w:style>
  <w:style w:type="paragraph" w:styleId="991">
    <w:name w:val="正文文本 211"/>
    <w:basedOn w:val="869"/>
    <w:next w:val="991"/>
    <w:link w:val="869"/>
    <w:uiPriority w:val="99"/>
    <w:qFormat/>
    <w:pPr>
      <w:jc w:val="center"/>
    </w:pPr>
    <w:rPr>
      <w:b/>
      <w:bCs/>
      <w:sz w:val="20"/>
      <w:szCs w:val="20"/>
    </w:rPr>
  </w:style>
  <w:style w:type="table" w:styleId="992">
    <w:name w:val="Table Normal"/>
    <w:next w:val="992"/>
    <w:link w:val="869"/>
    <w:qFormat/>
    <w:tblPr/>
  </w:style>
  <w:style w:type="paragraph" w:styleId="993">
    <w:name w:val="正文文本1"/>
    <w:basedOn w:val="869"/>
    <w:next w:val="869"/>
    <w:link w:val="869"/>
    <w:semiHidden/>
    <w:qFormat/>
    <w:rPr>
      <w:rFonts w:ascii="Arial" w:hAnsi="Arial" w:eastAsia="Arial" w:cs="Arial"/>
      <w:sz w:val="21"/>
      <w:szCs w:val="21"/>
      <w:lang w:val="en-US" w:eastAsia="en-US" w:bidi="ar-SA"/>
    </w:rPr>
  </w:style>
  <w:style w:type="paragraph" w:styleId="994">
    <w:name w:val="纯文本1"/>
    <w:basedOn w:val="869"/>
    <w:next w:val="994"/>
    <w:link w:val="869"/>
    <w:qFormat/>
    <w:rPr>
      <w:rFonts w:ascii="宋体" w:hAnsi="Courier New" w:cs="Courier New"/>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tblPr/>
  </w:style>
  <w:style w:type="character" w:styleId="997">
    <w:name w:val="15"/>
    <w:basedOn w:val="879"/>
    <w:next w:val="997"/>
    <w:link w:val="869"/>
    <w:rPr>
      <w:rFonts w:ascii="Times New Roman" w:hAnsi="Times New Roman" w:cs="Times New Roman"/>
    </w:rPr>
  </w:style>
  <w:style w:type="paragraph" w:styleId="998">
    <w:name w:val="正文首行缩进 211"/>
    <w:basedOn w:val="950"/>
    <w:next w:val="869"/>
    <w:link w:val="869"/>
    <w:qFormat/>
    <w:pPr>
      <w:ind w:left="0" w:firstLine="420"/>
      <w:spacing w:after="0" w:line="360" w:lineRule="auto"/>
    </w:pPr>
    <w:rPr>
      <w:rFonts w:ascii="宋体" w:hAnsi="宋体" w:eastAsia="宋体" w:cs="Times New Roman"/>
      <w:szCs w:val="20"/>
    </w:rPr>
  </w:style>
  <w:style w:type="paragraph" w:styleId="999">
    <w:name w:val="Table Paragraph"/>
    <w:basedOn w:val="869"/>
    <w:next w:val="999"/>
    <w:link w:val="869"/>
    <w:uiPriority w:val="1"/>
    <w:qFormat/>
    <w:pPr>
      <w:jc w:val="left"/>
    </w:pPr>
    <w:rPr>
      <w:rFonts w:ascii="宋体" w:hAnsi="宋体" w:eastAsia="宋体" w:cs="宋体"/>
      <w:sz w:val="22"/>
      <w:szCs w:val="22"/>
      <w:lang w:val="zh-CN" w:bidi="zh-CN"/>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2023-03-16T02:16:00Z</dcterms:created>
  <dcterms:modified xsi:type="dcterms:W3CDTF">2026-08-17T06:55:01Z</dcterms:modified>
</cp:coreProperties>
</file>