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JSZC-320921-YCRZ-C2026-0004</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ascii="Arial" w:hAnsi="Arial"/>
          <w:b/>
          <w:bCs/>
          <w:sz w:val="32"/>
          <w:szCs w:val="24"/>
        </w:rPr>
      </w:pPr>
      <w:r>
        <w:rPr>
          <w:rFonts w:hint="eastAsia" w:ascii="Arial" w:hAnsi="Arial"/>
          <w:b/>
          <w:bCs/>
          <w:sz w:val="32"/>
          <w:szCs w:val="24"/>
        </w:rPr>
        <w:t xml:space="preserve">采购单位：响水县民政局</w:t>
      </w:r>
      <w:r/>
    </w:p>
    <w:p>
      <w:pPr>
        <w:jc w:val="center"/>
        <w:spacing w:before="120" w:after="120" w:line="360" w:lineRule="auto"/>
        <w:rPr>
          <w:rFonts w:ascii="Arial" w:hAnsi="Arial"/>
          <w:b/>
          <w:bCs/>
          <w:sz w:val="32"/>
          <w:szCs w:val="24"/>
        </w:rPr>
      </w:pPr>
      <w:r>
        <w:rPr>
          <w:rFonts w:hint="eastAsia" w:ascii="Arial" w:hAnsi="Arial"/>
          <w:b/>
          <w:bCs/>
          <w:sz w:val="32"/>
          <w:szCs w:val="24"/>
        </w:rPr>
        <w:t xml:space="preserve">代理机构：盐城市瑞泽工程管理服务有限公司</w:t>
      </w:r>
      <w:r/>
    </w:p>
    <w:p>
      <w:pPr>
        <w:jc w:val="center"/>
        <w:spacing w:before="120" w:after="120" w:line="360" w:lineRule="auto"/>
        <w:rPr>
          <w:rFonts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28</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JSZC-320921-YCRZ-C2026-0004</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响水县民政局2026年特困人员失能（失智）护理保险项目</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“中国政府采购网、江苏政府采购网、盐城市政府采购网”自行免费下载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10</w:t>
      </w:r>
      <w:r>
        <w:rPr>
          <w:rFonts w:hint="eastAsia" w:ascii="宋体" w:hAnsi="宋体"/>
          <w:sz w:val="24"/>
          <w:szCs w:val="24"/>
          <w:u w:val="single"/>
        </w:rPr>
        <w:t xml:space="preserve">日</w:t>
      </w:r>
      <w:r>
        <w:rPr>
          <w:rFonts w:ascii="宋体" w:hAnsi="宋体"/>
          <w:sz w:val="24"/>
          <w:szCs w:val="24"/>
          <w:u w:val="single"/>
        </w:rPr>
        <w:t xml:space="preserve">15</w:t>
      </w:r>
      <w:r>
        <w:rPr>
          <w:rFonts w:hint="eastAsia" w:ascii="宋体" w:hAnsi="宋体"/>
          <w:sz w:val="24"/>
          <w:szCs w:val="24"/>
          <w:u w:val="single"/>
        </w:rPr>
        <w:t xml:space="preserve">点0</w:t>
      </w:r>
      <w:r>
        <w:rPr>
          <w:rFonts w:ascii="宋体" w:hAnsi="宋体"/>
          <w:sz w:val="24"/>
          <w:szCs w:val="24"/>
          <w:u w:val="single"/>
        </w:rPr>
        <w:t xml:space="preserve">0</w:t>
      </w:r>
      <w:r>
        <w:rPr>
          <w:rFonts w:hint="eastAsia" w:ascii="宋体" w:hAnsi="宋体"/>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JSZC-320921-YCRZ-C2026-0004</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响水县民政局2026年特困人员失能（失智）护理保险项目</w:t>
          </w:r>
        </w:sdtContent>
      </w:sdt>
      <w:r/>
      <w:bookmarkEnd w:id="11"/>
      <w:r/>
      <w:r/>
    </w:p>
    <w:p>
      <w:pPr>
        <w:ind w:firstLine="480"/>
        <w:rPr>
          <w:rFonts w:hint="eastAsia" w:ascii="宋体" w:hAnsi="宋体" w:eastAsia="宋体"/>
          <w:sz w:val="24"/>
          <w:szCs w:val="24"/>
          <w:lang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483800</w:t>
          </w:r>
        </w:sdtContent>
      </w:sdt>
      <w:r>
        <w:rPr>
          <w:rFonts w:hint="eastAsia" w:ascii="宋体" w:hAnsi="宋体"/>
          <w:sz w:val="24"/>
          <w:szCs w:val="24"/>
          <w:lang w:eastAsia="zh-CN"/>
        </w:rPr>
        <w:t xml:space="preserve">元</w:t>
      </w:r>
      <w:r/>
    </w:p>
    <w:p>
      <w:pPr>
        <w:ind w:firstLine="480"/>
        <w:rPr>
          <w:rFonts w:hint="default" w:ascii="宋体" w:hAnsi="宋体" w:eastAsia="宋体"/>
          <w:sz w:val="24"/>
          <w:szCs w:val="24"/>
          <w:lang w:val="en-US" w:eastAsia="zh-CN"/>
        </w:rPr>
      </w:pPr>
      <w:r>
        <w:rPr>
          <w:rFonts w:hint="eastAsia" w:ascii="宋体" w:hAnsi="宋体"/>
          <w:sz w:val="24"/>
          <w:szCs w:val="24"/>
          <w:lang w:val="en-US" w:eastAsia="zh-CN"/>
        </w:rPr>
        <w:t xml:space="preserve">4.最高限价：</w:t>
      </w:r>
      <w:r>
        <w:rPr>
          <w:rFonts w:hint="eastAsia" w:ascii="宋体" w:hAnsi="宋体"/>
          <w:b/>
          <w:bCs/>
        </w:rPr>
        <w:t xml:space="preserve">本项目为采用固定价格采购的项目，</w:t>
      </w:r>
      <w:r>
        <w:rPr>
          <w:rFonts w:hint="eastAsia" w:ascii="宋体" w:hAnsi="宋体"/>
          <w:sz w:val="24"/>
          <w:szCs w:val="24"/>
          <w:lang w:val="en-US" w:eastAsia="zh-CN"/>
        </w:rPr>
        <w:t xml:space="preserve">固定价格483800元，不得变动</w:t>
      </w:r>
      <w:r/>
    </w:p>
    <w:p>
      <w:pPr>
        <w:ind w:firstLine="480"/>
        <w:rPr>
          <w:rFonts w:ascii="宋体" w:hAnsi="宋体" w:cs="宋体"/>
          <w:sz w:val="24"/>
        </w:rPr>
      </w:pPr>
      <w:r>
        <w:rPr>
          <w:rFonts w:hint="eastAsia" w:ascii="宋体" w:hAnsi="宋体"/>
          <w:sz w:val="24"/>
          <w:szCs w:val="24"/>
          <w:lang w:val="en-US" w:eastAsia="zh-CN"/>
        </w:rPr>
        <w:t xml:space="preserve">5</w:t>
      </w:r>
      <w:r>
        <w:rPr>
          <w:rFonts w:hint="eastAsia" w:ascii="宋体" w:hAnsi="宋体"/>
          <w:sz w:val="24"/>
          <w:szCs w:val="24"/>
        </w:rPr>
        <w:t xml:space="preserve">.采购需求（简介）：</w:t>
      </w:r>
      <w:bookmarkStart w:id="12" w:name="OLE_LINK1"/>
      <w:r/>
      <w:bookmarkStart w:id="13" w:name="OLE_LINK2"/>
      <w:r>
        <w:rPr>
          <w:rFonts w:hint="eastAsia" w:ascii="宋体" w:hAnsi="宋体" w:cs="宋体"/>
          <w:sz w:val="24"/>
          <w:lang w:eastAsia="zh-CN"/>
        </w:rPr>
        <w:t xml:space="preserve">响水县民政局2026年特困人员失能（失智）护理保险项目</w:t>
      </w:r>
      <w:r>
        <w:rPr>
          <w:rFonts w:hint="eastAsia" w:ascii="宋体" w:hAnsi="宋体" w:cs="宋体"/>
          <w:sz w:val="24"/>
        </w:rPr>
        <w:t xml:space="preserve">是由响水县财政出资，为响水县户籍的特困供养对象（即农村五保和城市“三无”人员）建立保障，切实提升失能（失智）、因重病或意外住院特困人员的照护水平。保费标准500元/人/年，要求供应商具备相应的抗风险能力、综合保障能力及综合偿付能力，并具有一定的承保经验及专业团队人员制定专门的保险方案与服务方案</w:t>
      </w:r>
      <w:bookmarkEnd w:id="12"/>
      <w:r/>
      <w:bookmarkEnd w:id="13"/>
      <w:r>
        <w:rPr>
          <w:rFonts w:hint="eastAsia" w:ascii="宋体" w:hAnsi="宋体" w:cs="宋体"/>
          <w:sz w:val="24"/>
        </w:rPr>
        <w:t xml:space="preserve">。  </w:t>
      </w:r>
      <w:r/>
    </w:p>
    <w:p>
      <w:pPr>
        <w:ind w:firstLine="480"/>
        <w:rPr>
          <w:rFonts w:ascii="宋体" w:hAnsi="宋体"/>
          <w:sz w:val="24"/>
          <w:szCs w:val="24"/>
          <w:u w:val="single"/>
        </w:rPr>
      </w:pPr>
      <w:r>
        <w:rPr>
          <w:rFonts w:hint="eastAsia" w:ascii="宋体" w:hAnsi="宋体" w:cs="宋体"/>
          <w:sz w:val="24"/>
          <w:szCs w:val="24"/>
        </w:rPr>
        <w:t xml:space="preserve">（详细内容见本磋商文件第四章）</w:t>
      </w:r>
      <w:r/>
    </w:p>
    <w:p>
      <w:pPr>
        <w:ind w:firstLine="480"/>
        <w:rPr>
          <w:rFonts w:hint="eastAsia" w:ascii="宋体" w:hAnsi="宋体" w:eastAsia="宋体"/>
          <w:sz w:val="24"/>
          <w:szCs w:val="24"/>
          <w:u w:val="single"/>
          <w:lang w:eastAsia="zh-CN"/>
        </w:rPr>
      </w:pPr>
      <w:r>
        <w:rPr>
          <w:rFonts w:hint="eastAsia" w:ascii="宋体" w:hAnsi="宋体"/>
          <w:sz w:val="24"/>
          <w:szCs w:val="24"/>
          <w:lang w:val="en-US" w:eastAsia="zh-CN"/>
        </w:rPr>
        <w:t xml:space="preserve">6</w:t>
      </w:r>
      <w:r>
        <w:rPr>
          <w:rFonts w:hint="eastAsia" w:ascii="宋体" w:hAnsi="宋体"/>
          <w:sz w:val="24"/>
          <w:szCs w:val="24"/>
        </w:rPr>
        <w:t xml:space="preserve">.合同履行期限：</w:t>
      </w:r>
      <w:r>
        <w:rPr>
          <w:rFonts w:hint="eastAsia" w:ascii="宋体" w:hAnsi="宋体" w:cs="宋体"/>
          <w:sz w:val="24"/>
        </w:rPr>
        <w:t xml:space="preserve">保险周期为一年，自起保日零时起至期满日的二十四时止</w:t>
      </w:r>
      <w:r>
        <w:rPr>
          <w:rFonts w:hint="eastAsia" w:ascii="宋体" w:hAnsi="宋体" w:cs="宋体"/>
          <w:sz w:val="24"/>
          <w:lang w:eastAsia="zh-CN"/>
        </w:rPr>
        <w:t xml:space="preserve">。</w:t>
      </w:r>
      <w:r/>
    </w:p>
    <w:p>
      <w:pPr>
        <w:ind w:firstLine="498"/>
        <w:keepLines/>
        <w:keepNext/>
        <w:spacing w:before="145" w:after="145" w:line="360" w:lineRule="auto"/>
        <w:rPr>
          <w:rFonts w:ascii="Times New Roman" w:hAnsi="Times New Roman"/>
          <w:b/>
          <w:bCs/>
          <w:sz w:val="32"/>
          <w:szCs w:val="32"/>
        </w:rPr>
        <w:outlineLvl w:val="2"/>
      </w:pPr>
      <w:r/>
      <w:bookmarkStart w:id="14" w:name="_Toc38985264"/>
      <w:r/>
      <w:bookmarkStart w:id="15" w:name="_Toc28359003"/>
      <w:r/>
      <w:bookmarkStart w:id="16" w:name="_Toc35393791"/>
      <w:r/>
      <w:bookmarkStart w:id="17" w:name="_Toc28359080"/>
      <w:r/>
      <w:bookmarkStart w:id="18" w:name="_Toc35393622"/>
      <w:r>
        <w:rPr>
          <w:rFonts w:hint="eastAsia" w:ascii="Times New Roman" w:hAnsi="Times New Roman"/>
          <w:b/>
          <w:bCs/>
          <w:sz w:val="32"/>
          <w:szCs w:val="32"/>
        </w:rPr>
        <w:t xml:space="preserve">二、申请人的资格要求：</w:t>
      </w:r>
      <w:bookmarkEnd w:id="14"/>
      <w:r/>
      <w:bookmarkEnd w:id="15"/>
      <w:r/>
      <w:bookmarkEnd w:id="16"/>
      <w:r/>
      <w:bookmarkEnd w:id="17"/>
      <w:r/>
      <w:bookmarkEnd w:id="18"/>
      <w:r/>
      <w:r/>
    </w:p>
    <w:p>
      <w:pPr>
        <w:ind w:firstLine="480"/>
        <w:rPr>
          <w:rFonts w:hint="eastAsia" w:ascii="宋体" w:hAnsi="宋体"/>
          <w:sz w:val="24"/>
          <w:szCs w:val="24"/>
        </w:rPr>
      </w:pPr>
      <w:r/>
      <w:bookmarkStart w:id="19" w:name="_Toc38985265"/>
      <w:r/>
      <w:bookmarkStart w:id="20" w:name="_Toc28359004"/>
      <w:r/>
      <w:bookmarkStart w:id="21" w:name="_Toc35393623"/>
      <w:r/>
      <w:bookmarkStart w:id="22" w:name="_Toc35393792"/>
      <w:r/>
      <w:bookmarkStart w:id="23" w:name="_Toc28359081"/>
      <w:r/>
      <w:bookmarkStart w:id="24" w:name="_Toc28359005"/>
      <w:r/>
      <w:bookmarkStart w:id="25" w:name="_Toc28359082"/>
      <w:r/>
      <w:bookmarkStart w:id="26" w:name="_Toc38985266"/>
      <w:r/>
      <w:bookmarkStart w:id="27" w:name="_Toc35393624"/>
      <w:r/>
      <w:bookmarkStart w:id="28" w:name="_Toc3539379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1.满足《中华人民共和国政府采购法》规定，并提供下列材料：</w:t>
      </w:r>
      <w:r/>
    </w:p>
    <w:p>
      <w:pPr>
        <w:ind w:firstLine="480"/>
        <w:rPr>
          <w:rFonts w:ascii="宋体" w:hAnsi="宋体"/>
          <w:sz w:val="24"/>
          <w:szCs w:val="24"/>
        </w:rPr>
      </w:pPr>
      <w:r>
        <w:rPr>
          <w:rFonts w:hint="eastAsia" w:ascii="宋体" w:hAnsi="宋体"/>
          <w:sz w:val="24"/>
          <w:szCs w:val="24"/>
        </w:rPr>
        <w:t xml:space="preserve">1.1法人（根据《中华人民共和国政府采购法实施条例》释义第十七条规定：“银行、保险、石油化工、电力、电信等有行业特殊情况的，可以用分支机构身份参加政府采购活动”）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lang w:val="en-US" w:eastAsia="zh-CN"/>
        </w:rPr>
        <w:t xml:space="preserve">1.6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p>
    <w:p>
      <w:pPr>
        <w:ind w:firstLine="480"/>
        <w:rPr>
          <w:rFonts w:ascii="宋体" w:hAnsi="宋体"/>
          <w:sz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rPr>
        <w:t xml:space="preserve">单位负责人为同一人或者存在直接控股、管理关系的不同供应商，不得参加同一合同项下的政府采购活动；</w:t>
      </w:r>
      <w:r/>
    </w:p>
    <w:p>
      <w:pPr>
        <w:ind w:firstLine="480"/>
        <w:rPr>
          <w:rFonts w:hint="eastAsia" w:ascii="宋体" w:hAnsi="宋体" w:eastAsia="宋体"/>
          <w:sz w:val="24"/>
          <w:lang w:eastAsia="zh-CN"/>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法律、行政法规规定的其他条件</w:t>
      </w:r>
      <w:r>
        <w:rPr>
          <w:rFonts w:hint="eastAsia" w:ascii="宋体" w:hAnsi="宋体"/>
          <w:sz w:val="24"/>
          <w:lang w:eastAsia="zh-CN"/>
        </w:rPr>
        <w:t xml:space="preserve">。</w:t>
      </w:r>
      <w:r/>
    </w:p>
    <w:p>
      <w:pPr>
        <w:ind w:firstLine="480"/>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.落实政府采购政策需满足的资格要求：本项目为非专门面向中小企业的采购项目，对小微企业报价给予扣除，用扣除后的价格参加评审。</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.1</w:t>
      </w:r>
      <w:r>
        <w:rPr>
          <w:rFonts w:hint="eastAsia" w:ascii="宋体" w:hAnsi="宋体"/>
          <w:sz w:val="24"/>
          <w:szCs w:val="24"/>
        </w:rPr>
        <w:t xml:space="preserve">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.2</w:t>
      </w:r>
      <w:r>
        <w:rPr>
          <w:rFonts w:hint="eastAsia" w:ascii="宋体" w:hAnsi="宋体"/>
          <w:sz w:val="24"/>
          <w:szCs w:val="24"/>
        </w:rPr>
        <w:t xml:space="preserve">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.3</w:t>
      </w:r>
      <w:r>
        <w:rPr>
          <w:rFonts w:hint="eastAsia" w:ascii="宋体" w:hAnsi="宋体"/>
          <w:sz w:val="24"/>
          <w:szCs w:val="24"/>
        </w:rPr>
        <w:t xml:space="preserve">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残疾人福利单位、监狱企业属于小型、微型企业的，不重复享受政策。</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本次采购项目属于</w:t>
      </w:r>
      <w:r>
        <w:rPr>
          <w:rFonts w:hint="eastAsia" w:ascii="宋体" w:hAnsi="宋体"/>
          <w:sz w:val="24"/>
          <w:szCs w:val="24"/>
          <w:u w:val="single"/>
        </w:rPr>
        <w:t xml:space="preserve">服务业</w:t>
      </w:r>
      <w:r>
        <w:rPr>
          <w:rFonts w:hint="eastAsia" w:ascii="宋体" w:hAnsi="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3.本项目</w:t>
      </w:r>
      <w:r>
        <w:rPr>
          <w:rFonts w:hint="eastAsia" w:ascii="宋体" w:hAnsi="宋体"/>
          <w:sz w:val="24"/>
          <w:szCs w:val="24"/>
          <w:u w:val="single"/>
        </w:rPr>
        <w:t xml:space="preserve">不接受</w:t>
      </w:r>
      <w:r>
        <w:rPr>
          <w:rFonts w:hint="eastAsia" w:ascii="宋体" w:hAnsi="宋体"/>
          <w:sz w:val="24"/>
          <w:szCs w:val="24"/>
        </w:rPr>
        <w:t xml:space="preserve">联合体参与磋商。</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98"/>
        <w:keepLines/>
        <w:keepNext/>
        <w:spacing w:before="145" w:after="145" w:line="360" w:lineRule="auto"/>
        <w:rPr>
          <w:rFonts w:hint="eastAsia" w:ascii="Times New Roman" w:hAnsi="Times New Roman"/>
          <w:b/>
          <w:bCs/>
          <w:sz w:val="32"/>
          <w:szCs w:val="32"/>
        </w:rPr>
        <w:outlineLvl w:val="2"/>
      </w:pPr>
      <w:r>
        <w:rPr>
          <w:rFonts w:hint="eastAsia" w:ascii="宋体" w:hAnsi="宋体"/>
          <w:sz w:val="24"/>
        </w:rPr>
        <w:t xml:space="preserve">持有《经营保险业务许可证》，投标时提供原件彩色扫描件编入文件。</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9"/>
      <w:r/>
      <w:bookmarkEnd w:id="20"/>
      <w:r/>
      <w:bookmarkEnd w:id="21"/>
      <w:r/>
      <w:bookmarkEnd w:id="22"/>
      <w:r/>
      <w:bookmarkEnd w:id="23"/>
      <w:r>
        <w:rPr>
          <w:rFonts w:hint="eastAsia" w:ascii="Times New Roman" w:hAnsi="Times New Roman"/>
          <w:b/>
          <w:bCs/>
          <w:sz w:val="32"/>
          <w:szCs w:val="32"/>
        </w:rPr>
        <w:t xml:space="preserve">磋商文件</w:t>
      </w:r>
      <w:r/>
    </w:p>
    <w:p>
      <w:pPr>
        <w:ind w:firstLine="480"/>
        <w:rPr>
          <w:rFonts w:ascii="宋体" w:hAnsi="宋体"/>
          <w:sz w:val="24"/>
          <w:szCs w:val="24"/>
        </w:rPr>
      </w:pPr>
      <w:r>
        <w:rPr>
          <w:rFonts w:hint="eastAsia" w:ascii="宋体" w:hAnsi="宋体" w:cs="宋体"/>
          <w:sz w:val="24"/>
          <w:szCs w:val="24"/>
        </w:rPr>
        <w:t xml:space="preserve">1.时间：自磋商文件公告发布之日起5个工作日。</w:t>
      </w:r>
      <w:r/>
    </w:p>
    <w:p>
      <w:pPr>
        <w:ind w:firstLine="480"/>
        <w:rPr>
          <w:rFonts w:ascii="宋体" w:hAnsi="宋体"/>
          <w:sz w:val="24"/>
          <w:szCs w:val="24"/>
        </w:rPr>
      </w:pPr>
      <w:r>
        <w:rPr>
          <w:rFonts w:hint="eastAsia" w:ascii="宋体" w:hAnsi="宋体" w:cs="宋体"/>
          <w:sz w:val="24"/>
          <w:szCs w:val="24"/>
        </w:rPr>
        <w:t xml:space="preserve">2.地点：“苏采云”系统内免费下载（投标人必须在苏采云系统中获取采购 文件，方能参与政府采购项目）。</w:t>
      </w:r>
      <w:r/>
    </w:p>
    <w:p>
      <w:pPr>
        <w:ind w:firstLine="498"/>
        <w:keepLines/>
        <w:keepNext/>
        <w:spacing w:before="145" w:after="145"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3.方式：本项目采用网上注册登记方式。</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u w:val="single"/>
        </w:rPr>
        <w:t xml:space="preserve">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日</w:t>
      </w:r>
      <w:r>
        <w:rPr>
          <w:rFonts w:ascii="宋体" w:hAnsi="宋体"/>
          <w:bCs/>
          <w:sz w:val="24"/>
          <w:szCs w:val="24"/>
          <w:u w:val="single"/>
        </w:rPr>
        <w:t xml:space="preserve">15</w:t>
      </w:r>
      <w:r>
        <w:rPr>
          <w:rFonts w:hint="eastAsia" w:ascii="宋体" w:hAnsi="宋体"/>
          <w:bCs/>
          <w:sz w:val="24"/>
          <w:szCs w:val="24"/>
          <w:u w:val="single"/>
        </w:rPr>
        <w:t xml:space="preserve">时00分</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rPr>
        <w:outlineLvl w:val="2"/>
      </w:pPr>
      <w:r/>
      <w:bookmarkStart w:id="29" w:name="_Toc38985267"/>
      <w:r/>
      <w:bookmarkStart w:id="30" w:name="_Toc28359007"/>
      <w:r/>
      <w:bookmarkStart w:id="31" w:name="_Toc28359084"/>
      <w:r/>
      <w:bookmarkStart w:id="32" w:name="_Toc35393625"/>
      <w:r/>
      <w:bookmarkStart w:id="33" w:name="_Toc35393794"/>
      <w:r/>
      <w:bookmarkStart w:id="34" w:name="_Toc38985268"/>
      <w:r/>
      <w:bookmarkStart w:id="35" w:name="_Toc35393626"/>
      <w:r/>
      <w:bookmarkStart w:id="36" w:name="_Toc35393795"/>
      <w:r/>
      <w:bookmarkStart w:id="37" w:name="_Toc35393796"/>
      <w:r/>
      <w:bookmarkStart w:id="38" w:name="_Toc38985269"/>
      <w:r/>
      <w:bookmarkStart w:id="39" w:name="_Toc35393627"/>
      <w:r/>
      <w:bookmarkStart w:id="40" w:name="_Toc28359008"/>
      <w:r/>
      <w:bookmarkStart w:id="41" w:name="_Toc28359085"/>
      <w:r>
        <w:rPr>
          <w:rFonts w:hint="eastAsia" w:ascii="Times New Roman" w:hAnsi="Times New Roman"/>
          <w:b/>
          <w:bCs/>
          <w:sz w:val="32"/>
          <w:szCs w:val="32"/>
        </w:rPr>
        <w:t xml:space="preserve">五、</w:t>
      </w:r>
      <w:bookmarkEnd w:id="29"/>
      <w:r/>
      <w:bookmarkEnd w:id="30"/>
      <w:r/>
      <w:bookmarkEnd w:id="31"/>
      <w:r/>
      <w:bookmarkEnd w:id="32"/>
      <w:r/>
      <w:bookmarkEnd w:id="33"/>
      <w:r>
        <w:rPr>
          <w:rFonts w:hint="eastAsia" w:ascii="Times New Roman" w:hAnsi="Times New Roman"/>
          <w:b/>
          <w:bCs/>
          <w:sz w:val="32"/>
          <w:szCs w:val="32"/>
        </w:rPr>
        <w:t xml:space="preserve">开启</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时间：202</w:t>
      </w: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ascii="宋体" w:hAnsi="宋体" w:cs="宋体"/>
          <w:sz w:val="24"/>
          <w:szCs w:val="24"/>
        </w:rPr>
        <w:t xml:space="preserve">-15</w:t>
      </w:r>
      <w:r>
        <w:rPr>
          <w:rFonts w:hint="eastAsia" w:ascii="宋体" w:hAnsi="宋体" w:cs="宋体"/>
          <w:sz w:val="24"/>
          <w:szCs w:val="24"/>
        </w:rPr>
        <w:t xml:space="preserve">:00（北京时间）</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地点：“苏采云”政府采购交易系统网上开标大厅</w:t>
      </w:r>
      <w:bookmarkEnd w:id="34"/>
      <w:r/>
      <w:bookmarkEnd w:id="35"/>
      <w:r/>
      <w:bookmarkEnd w:id="36"/>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六、公告期限</w:t>
      </w:r>
      <w:r/>
    </w:p>
    <w:p>
      <w:pPr>
        <w:ind w:firstLine="498"/>
        <w:keepLines/>
        <w:keepNext/>
        <w:spacing w:before="145" w:after="145" w:line="360" w:lineRule="auto"/>
        <w:rPr>
          <w:rFonts w:hint="eastAsia" w:ascii="宋体" w:hAnsi="宋体" w:cs="宋体"/>
          <w:sz w:val="24"/>
          <w:szCs w:val="24"/>
        </w:rPr>
        <w:outlineLvl w:val="2"/>
      </w:pPr>
      <w:r>
        <w:rPr>
          <w:rFonts w:hint="eastAsia" w:ascii="宋体" w:hAnsi="宋体" w:cs="宋体"/>
          <w:sz w:val="24"/>
          <w:szCs w:val="24"/>
        </w:rPr>
        <w:t xml:space="preserve">磋商公告及磋商文件公告期限为自本公告发布之日起3个工作日</w:t>
      </w:r>
      <w:r/>
    </w:p>
    <w:p>
      <w:pPr>
        <w:ind w:firstLine="480"/>
        <w:rPr>
          <w:rFonts w:ascii="宋体" w:hAnsi="宋体" w:cs="宋体"/>
          <w:sz w:val="24"/>
          <w:szCs w:val="24"/>
        </w:rPr>
      </w:pPr>
      <w:r>
        <w:rPr>
          <w:rFonts w:hint="eastAsia" w:ascii="Times New Roman" w:hAnsi="Times New Roman"/>
          <w:b/>
          <w:bCs/>
          <w:sz w:val="32"/>
          <w:szCs w:val="32"/>
        </w:rPr>
        <w:t xml:space="preserve">七、其他补充事宜</w:t>
      </w:r>
      <w:r/>
    </w:p>
    <w:p>
      <w:pPr>
        <w:ind w:firstLine="498"/>
        <w:keepLines/>
        <w:keepNext/>
        <w:spacing w:before="145" w:after="145"/>
        <w:rPr>
          <w:rFonts w:ascii="宋体" w:hAnsi="宋体" w:cs="宋体"/>
          <w:sz w:val="24"/>
        </w:rPr>
        <w:outlineLvl w:val="2"/>
      </w:pPr>
      <w:r/>
      <w:bookmarkStart w:id="42" w:name="OLE_LINK4"/>
      <w:r>
        <w:rPr>
          <w:rFonts w:ascii="宋体" w:hAnsi="宋体" w:cs="宋体"/>
          <w:sz w:val="24"/>
        </w:rPr>
        <w:t xml:space="preserve">1</w:t>
      </w:r>
      <w:r>
        <w:rPr>
          <w:rFonts w:hint="eastAsia" w:ascii="宋体" w:hAnsi="宋体" w:cs="宋体"/>
          <w:sz w:val="24"/>
        </w:rPr>
        <w:t xml:space="preserve">、付款方式：</w:t>
      </w:r>
      <w:bookmarkStart w:id="43" w:name="_Hlk137046161"/>
      <w:r>
        <w:rPr>
          <w:rFonts w:hint="eastAsia" w:ascii="宋体" w:hAnsi="宋体" w:cs="宋体"/>
          <w:sz w:val="24"/>
        </w:rPr>
        <w:t xml:space="preserve">本项目中标合同期为一年（签订合同后15日内付一年保费）（以上付款均无息）</w:t>
      </w:r>
      <w:bookmarkEnd w:id="43"/>
      <w:r>
        <w:rPr>
          <w:rFonts w:hint="eastAsia" w:ascii="宋体" w:hAnsi="宋体" w:cs="宋体"/>
          <w:sz w:val="24"/>
        </w:rPr>
        <w:t xml:space="preserve">。</w:t>
      </w:r>
      <w:r/>
    </w:p>
    <w:p>
      <w:pPr>
        <w:ind w:firstLine="480"/>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lang w:eastAsia="zh-CN"/>
        </w:rPr>
        <w:t xml:space="preserve">供应商</w:t>
      </w:r>
      <w:r>
        <w:rPr>
          <w:rFonts w:ascii="宋体" w:hAnsi="宋体" w:cs="宋体"/>
          <w:sz w:val="24"/>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rPr>
        <w:br/>
      </w:r>
      <w:r>
        <w:rPr>
          <w:rFonts w:ascii="宋体" w:hAnsi="宋体" w:cs="宋体"/>
          <w:sz w:val="24"/>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5"/>
        </w:numPr>
        <w:ind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w:t>
      </w:r>
      <w:r>
        <w:rPr>
          <w:rFonts w:hint="eastAsia" w:ascii="宋体" w:hAnsi="宋体" w:cs="宋体"/>
          <w:sz w:val="24"/>
          <w:lang w:eastAsia="zh-CN"/>
        </w:rPr>
        <w:t xml:space="preserve">供应商</w:t>
      </w:r>
      <w:r>
        <w:rPr>
          <w:rFonts w:hint="eastAsia" w:ascii="宋体" w:hAnsi="宋体" w:cs="宋体"/>
          <w:sz w:val="24"/>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5"/>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不得提供虚假材料谋取中标成交的或采取不正当手段诋毁、排挤其 他供应商。</w:t>
      </w:r>
      <w:r/>
    </w:p>
    <w:p>
      <w:pPr>
        <w:numPr>
          <w:ilvl w:val="0"/>
          <w:numId w:val="5"/>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、因供应商的系统环境、操作等原因导致项目参与、开评标过程中出现问题 由供应商自行承担负责。</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7、本次招标不收取磋商保证金。</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8、本次项目收取履约保证金：</w:t>
      </w:r>
      <w:r>
        <w:rPr>
          <w:rFonts w:ascii="宋体" w:hAnsi="宋体" w:cs="宋体"/>
          <w:color w:val="000000"/>
          <w:sz w:val="24"/>
          <w:u w:val="single"/>
        </w:rPr>
        <w:t xml:space="preserve">中标金额的 10%</w:t>
      </w:r>
      <w:r>
        <w:rPr>
          <w:rFonts w:ascii="宋体" w:hAnsi="宋体" w:cs="宋体"/>
          <w:color w:val="000000"/>
          <w:sz w:val="24"/>
        </w:rPr>
        <w:t xml:space="preserve">，收取履约保证金形式:供应商应当以支票、汇票、本票或者金融机构、担保机构出具的保函等非现金形式提交履约保证金。</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9、本项目公告在《中国政府采购网》、《江苏政府采购网》、《盐城市政府采购网》公示发布，敬请各供应商关注。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10、本项目支持节能环保产品(财库[2019]9号)、(财库[</w:t>
      </w:r>
      <w:r>
        <w:rPr>
          <w:rFonts w:ascii="宋体" w:hAnsi="宋体" w:cs="宋体"/>
          <w:color w:val="000000"/>
          <w:sz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rPr>
        <w:outlineLvl w:val="2"/>
      </w:pPr>
      <w:r>
        <w:rPr>
          <w:rFonts w:ascii="宋体" w:hAnsi="宋体" w:cs="宋体"/>
          <w:color w:val="000000"/>
          <w:sz w:val="24"/>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w:t>
      </w:r>
      <w:r>
        <w:rPr>
          <w:rFonts w:hint="default" w:ascii="宋体" w:hAnsi="宋体" w:eastAsia="宋体" w:cs="宋体"/>
          <w:sz w:val="24"/>
          <w:lang w:val="en-US" w:eastAsia="zh-CN"/>
        </w:rPr>
        <w:t xml:space="preserve">政府采购异常低价审查的</w:t>
      </w:r>
      <w:r>
        <w:rPr>
          <w:rFonts w:hint="eastAsia" w:ascii="宋体" w:hAnsi="宋体" w:eastAsia="宋体" w:cs="宋体"/>
          <w:sz w:val="24"/>
          <w:lang w:val="en-US" w:eastAsia="zh-CN"/>
        </w:rPr>
        <w:t xml:space="preserve">实施</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12.1.</w:t>
      </w:r>
      <w:r>
        <w:rPr>
          <w:rFonts w:hint="default" w:ascii="宋体" w:hAnsi="宋体" w:eastAsia="宋体" w:cs="宋体"/>
          <w:sz w:val="24"/>
          <w:lang w:val="en-US" w:eastAsia="zh-CN"/>
        </w:rPr>
        <w:t xml:space="preserve">评审过程中出现下列情形之一的，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应当启动异常低价投标（响应）审查程序： </w:t>
      </w:r>
      <w:r/>
    </w:p>
    <w:p>
      <w:pPr>
        <w:ind w:firstLine="499"/>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投标（响应）报价低于全部通过符合性审查供应商投标（响应）报价平均值 50%的，即投标（响应）报价&lt;全部通过符合性审查供应商投标（响应）报价平均值×50%；</w:t>
      </w:r>
      <w:r/>
    </w:p>
    <w:p>
      <w:pPr>
        <w:ind w:firstLine="480"/>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投标（响应）报价低于通过符合性审查的次低报价供应商投标（响应）报价 50%的，即投标（响应）报价&lt;通过符合性审查的次低报价供应商投标（响应）报价×50%；</w:t>
      </w:r>
      <w:r/>
    </w:p>
    <w:p>
      <w:pPr>
        <w:ind w:firstLine="480"/>
        <w:keepLines/>
        <w:keepNext/>
        <w:spacing w:before="145" w:after="145"/>
        <w:rPr>
          <w:rFonts w:hint="default" w:ascii="宋体" w:hAnsi="宋体" w:cs="宋体"/>
          <w:color w:val="000000"/>
          <w:sz w:val="24"/>
          <w:lang w:val="en-US" w:eastAsia="zh-CN"/>
        </w:rPr>
        <w:outlineLvl w:val="2"/>
      </w:pPr>
      <w:r>
        <w:rPr>
          <w:rFonts w:hint="default" w:ascii="宋体" w:hAnsi="宋体" w:cs="宋体"/>
          <w:color w:val="000000"/>
          <w:sz w:val="24"/>
          <w:lang w:val="en-US" w:eastAsia="zh-CN"/>
        </w:rPr>
        <w:t xml:space="preserve">投标（响应）报价低于采购项目最高限价 45%的，即投标（响应）报价&lt;采购项目最高限价×45%；</w:t>
      </w:r>
      <w:r/>
    </w:p>
    <w:p>
      <w:pPr>
        <w:ind w:firstLine="480"/>
        <w:keepLines/>
        <w:keepNext/>
        <w:spacing w:before="145" w:after="145"/>
        <w:rPr>
          <w:rFonts w:hint="eastAsia" w:ascii="宋体" w:hAnsi="宋体" w:cs="宋体"/>
          <w:color w:val="000000"/>
          <w:sz w:val="24"/>
          <w:lang w:val="zh-CN"/>
        </w:rPr>
        <w:outlineLvl w:val="2"/>
      </w:pPr>
      <w:r>
        <w:rPr>
          <w:rFonts w:hint="eastAsia" w:ascii="宋体" w:hAnsi="宋体" w:cs="宋体"/>
          <w:color w:val="000000"/>
          <w:sz w:val="24"/>
          <w:lang w:val="en-US" w:eastAsia="zh-CN"/>
        </w:rPr>
        <w:t xml:space="preserve">磋商小组</w:t>
      </w:r>
      <w:r>
        <w:rPr>
          <w:rFonts w:hint="default" w:ascii="宋体" w:hAnsi="宋体" w:cs="宋体"/>
          <w:color w:val="000000"/>
          <w:sz w:val="24"/>
          <w:lang w:val="en-US" w:eastAsia="zh-CN"/>
        </w:rPr>
        <w:t xml:space="preserve">基于专业判断，认为供应商报价过低，有可能影响产品质量或者不能诚信履约的其他情形。 </w:t>
      </w:r>
      <w:r/>
    </w:p>
    <w:p>
      <w:pPr>
        <w:ind w:firstLine="480"/>
        <w:shd w:val="clear" w:color="ffffff" w:fill="ffffff"/>
        <w:rPr>
          <w:rFonts w:hint="eastAsia" w:ascii="Times New Roman" w:hAnsi="Times New Roman"/>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12.2.</w:t>
      </w:r>
      <w:r>
        <w:rPr>
          <w:rFonts w:hint="default" w:ascii="宋体" w:hAnsi="宋体" w:eastAsia="宋体" w:cs="宋体"/>
          <w:sz w:val="24"/>
          <w:lang w:val="en-US" w:eastAsia="zh-CN"/>
        </w:rPr>
        <w:t xml:space="preserve">启动异常低价投标（响应）审查后，</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应当将其作为无效投标（响应）处理。审查相关情况应当在评审报告中进行记录。</w:t>
      </w:r>
      <w:bookmarkEnd w:id="42"/>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张瑞霁</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采购包1联系人电话:13515230137</w:t>
          </w:r>
        </w:sdtContent>
      </w:sdt>
      <w:r/>
      <w:bookmarkStart w:id="44" w:name="_Toc28359086"/>
      <w:r/>
      <w:bookmarkStart w:id="45"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盐城市瑞泽工程管理服务有限公司</w:t>
      </w:r>
      <w:r>
        <w:rPr>
          <w:rFonts w:hint="eastAsia" w:ascii="宋体" w:hAnsi="宋体" w:cs="宋体"/>
          <w:sz w:val="24"/>
          <w:szCs w:val="24"/>
        </w:rPr>
        <w:t xml:space="preserve">信息</w:t>
      </w:r>
      <w:bookmarkEnd w:id="44"/>
      <w:r/>
      <w:bookmarkEnd w:id="45"/>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6"/>
      <w:r>
        <w:rPr>
          <w:rFonts w:hint="eastAsia" w:ascii="黑体" w:hAnsi="Arial" w:eastAsia="黑体" w:cs="Arial"/>
          <w:b/>
          <w:bCs/>
          <w:sz w:val="44"/>
          <w:szCs w:val="44"/>
        </w:rPr>
        <w:t xml:space="preserve">供应商须知</w:t>
      </w:r>
      <w:r/>
    </w:p>
    <w:p>
      <w:pPr>
        <w:jc w:val="center"/>
        <w:keepLines/>
        <w:keepNext/>
        <w:spacing w:before="260" w:after="260" w:line="416" w:lineRule="auto"/>
        <w:rPr>
          <w:rFonts w:hint="eastAsia" w:ascii="黑体" w:hAnsi="Arial" w:eastAsia="黑体" w:cs="Arial"/>
          <w:sz w:val="44"/>
          <w:szCs w:val="44"/>
        </w:rPr>
        <w:outlineLvl w:val="1"/>
      </w:pPr>
      <w:r/>
      <w:bookmarkStart w:id="47" w:name="_Toc26554093"/>
      <w:r/>
      <w:bookmarkStart w:id="48" w:name="_Toc49090575"/>
      <w:r/>
      <w:bookmarkStart w:id="49" w:name="_Toc479757211"/>
      <w:r/>
      <w:bookmarkStart w:id="50" w:name="_Toc462564139"/>
      <w:r>
        <w:rPr>
          <w:rFonts w:hint="eastAsia" w:ascii="黑体" w:hAnsi="Arial" w:eastAsia="黑体" w:cs="Arial"/>
          <w:b/>
          <w:bCs/>
          <w:sz w:val="44"/>
          <w:szCs w:val="44"/>
        </w:rPr>
        <w:t xml:space="preserve">第二章  供应商须知</w:t>
      </w:r>
      <w:r/>
    </w:p>
    <w:p>
      <w:pPr>
        <w:ind w:firstLine="498"/>
        <w:keepLines/>
        <w:keepNext/>
        <w:spacing w:before="145" w:after="145" w:line="360" w:lineRule="auto"/>
        <w:rPr>
          <w:rFonts w:ascii="Times New Roman" w:hAnsi="Times New Roman"/>
          <w:b/>
          <w:bCs/>
          <w:sz w:val="32"/>
          <w:szCs w:val="32"/>
        </w:rPr>
        <w:outlineLvl w:val="2"/>
      </w:pPr>
      <w:r/>
      <w:bookmarkStart w:id="51" w:name="_Toc16938558"/>
      <w:r/>
      <w:bookmarkStart w:id="52" w:name="_Toc120614221"/>
      <w:r/>
      <w:bookmarkStart w:id="53" w:name="_Toc513029242"/>
      <w:r/>
      <w:bookmarkStart w:id="54" w:name="_Toc479757207"/>
      <w:r/>
      <w:bookmarkStart w:id="55" w:name="_Toc20823314"/>
      <w:r>
        <w:rPr>
          <w:rFonts w:hint="eastAsia" w:ascii="Times New Roman" w:hAnsi="Times New Roman"/>
          <w:b/>
          <w:bCs/>
          <w:sz w:val="32"/>
          <w:szCs w:val="32"/>
        </w:rPr>
        <w:t xml:space="preserve">一、总则</w:t>
      </w:r>
      <w:r/>
    </w:p>
    <w:p>
      <w:pPr>
        <w:ind w:firstLine="420"/>
        <w:keepLines/>
        <w:keepNext/>
        <w:rPr>
          <w:rFonts w:ascii="Arial" w:hAnsi="Arial" w:eastAsia="黑体" w:cs="Arial"/>
          <w:sz w:val="28"/>
          <w:szCs w:val="28"/>
        </w:rPr>
        <w:outlineLvl w:val="3"/>
      </w:pPr>
      <w:r/>
      <w:bookmarkStart w:id="56" w:name="_Hlt16619475"/>
      <w:r/>
      <w:bookmarkEnd w:id="56"/>
      <w:r/>
      <w:bookmarkStart w:id="57" w:name="_Toc458694821"/>
      <w:r/>
      <w:bookmarkStart w:id="58" w:name="_Toc16938520"/>
      <w:r/>
      <w:bookmarkStart w:id="59" w:name="_Toc513029204"/>
      <w:r/>
      <w:bookmarkStart w:id="60" w:name="_Toc2082327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、采购方式</w:t>
      </w:r>
      <w:bookmarkEnd w:id="58"/>
      <w:r/>
      <w:bookmarkEnd w:id="59"/>
      <w:r/>
      <w:bookmarkEnd w:id="60"/>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61" w:name="_Toc20823277"/>
      <w:r/>
      <w:bookmarkStart w:id="62" w:name="_Toc513029205"/>
      <w:r/>
      <w:bookmarkStart w:id="63" w:name="_Toc16938521"/>
      <w:r>
        <w:rPr>
          <w:rFonts w:hint="eastAsia" w:ascii="Arial" w:hAnsi="Arial" w:eastAsia="黑体" w:cs="Arial"/>
          <w:sz w:val="28"/>
          <w:szCs w:val="28"/>
        </w:rPr>
        <w:t xml:space="preserve">2、合格的</w:t>
      </w:r>
      <w:bookmarkEnd w:id="61"/>
      <w:r/>
      <w:bookmarkEnd w:id="62"/>
      <w:r/>
      <w:bookmarkEnd w:id="63"/>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ascii="Arial" w:hAnsi="Arial" w:eastAsia="黑体" w:cs="Arial"/>
          <w:sz w:val="28"/>
          <w:szCs w:val="28"/>
        </w:rPr>
        <w:outlineLvl w:val="3"/>
      </w:pPr>
      <w:r/>
      <w:bookmarkStart w:id="64" w:name="_Toc20823278"/>
      <w:r/>
      <w:bookmarkStart w:id="65" w:name="_Toc513029206"/>
      <w:r/>
      <w:bookmarkStart w:id="66" w:name="_Toc16938522"/>
      <w:r>
        <w:rPr>
          <w:rFonts w:hint="eastAsia" w:ascii="Arial" w:hAnsi="Arial" w:eastAsia="黑体" w:cs="Arial"/>
          <w:sz w:val="28"/>
          <w:szCs w:val="28"/>
        </w:rPr>
        <w:t xml:space="preserve">3、适用法律</w:t>
      </w:r>
      <w:bookmarkEnd w:id="64"/>
      <w:r/>
      <w:bookmarkEnd w:id="65"/>
      <w:r/>
      <w:bookmarkEnd w:id="66"/>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67" w:name="_Toc16938523"/>
      <w:r/>
      <w:bookmarkStart w:id="68" w:name="_Toc20823279"/>
      <w:r/>
      <w:bookmarkStart w:id="69" w:name="_Toc513029207"/>
      <w:r/>
      <w:bookmarkStart w:id="70" w:name="_Toc462564067"/>
      <w:r>
        <w:rPr>
          <w:rFonts w:hint="eastAsia" w:ascii="Arial" w:hAnsi="Arial" w:eastAsia="黑体" w:cs="Arial"/>
          <w:sz w:val="28"/>
          <w:szCs w:val="28"/>
        </w:rPr>
        <w:t xml:space="preserve">4、磋商费用</w:t>
      </w:r>
      <w:bookmarkEnd w:id="67"/>
      <w:r/>
      <w:bookmarkEnd w:id="68"/>
      <w:r/>
      <w:bookmarkEnd w:id="69"/>
      <w:r/>
      <w:bookmarkEnd w:id="70"/>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供应商应自行承担所有与参加本次磋商有关的费用，无论磋商过程中的做法和结果如何，采购人及代理机构在任何情况下均无义务和责任承担这些费用。</w:t>
      </w:r>
      <w:r/>
    </w:p>
    <w:p>
      <w:pPr>
        <w:ind w:firstLine="480"/>
        <w:spacing w:line="460" w:lineRule="exact"/>
        <w:rPr>
          <w:rFonts w:ascii="宋体" w:hAnsi="宋体"/>
          <w:sz w:val="24"/>
        </w:rPr>
      </w:pPr>
      <w:r>
        <w:rPr>
          <w:rFonts w:hint="eastAsia" w:ascii="宋体" w:hAnsi="宋体"/>
          <w:sz w:val="24"/>
          <w:szCs w:val="21"/>
        </w:rPr>
        <w:t xml:space="preserve">4</w:t>
      </w:r>
      <w:r>
        <w:rPr>
          <w:rFonts w:ascii="宋体" w:hAnsi="宋体"/>
          <w:sz w:val="24"/>
          <w:szCs w:val="21"/>
        </w:rPr>
        <w:t xml:space="preserve">.2</w:t>
      </w:r>
      <w:r>
        <w:rPr>
          <w:rFonts w:hint="eastAsia" w:ascii="宋体" w:hAnsi="宋体"/>
          <w:sz w:val="24"/>
        </w:rPr>
        <w:t xml:space="preserve">本项目实行委托招标，磋商代理费用采购人已列入项目预算，由成交单位领取通知书时支付，支付标准按苏招协【2</w:t>
      </w:r>
      <w:r>
        <w:rPr>
          <w:rFonts w:ascii="宋体" w:hAnsi="宋体"/>
          <w:sz w:val="24"/>
        </w:rPr>
        <w:t xml:space="preserve">022</w:t>
      </w:r>
      <w:r>
        <w:rPr>
          <w:rFonts w:hint="eastAsia" w:ascii="宋体" w:hAnsi="宋体"/>
          <w:sz w:val="24"/>
        </w:rPr>
        <w:t xml:space="preserve">】2号文执行收取，供应商在报价时须考虑此费用支出。</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rPr>
        <w:outlineLvl w:val="2"/>
      </w:pPr>
      <w:r/>
      <w:bookmarkStart w:id="71" w:name="_Toc16938525"/>
      <w:r/>
      <w:bookmarkStart w:id="72" w:name="_Toc20823281"/>
      <w:r/>
      <w:bookmarkStart w:id="73" w:name="_Toc513029209"/>
      <w:r/>
      <w:bookmarkStart w:id="74" w:name="_Toc120614215"/>
      <w:r>
        <w:rPr>
          <w:rFonts w:hint="eastAsia" w:ascii="Times New Roman" w:hAnsi="Times New Roman"/>
          <w:b/>
          <w:bCs/>
          <w:sz w:val="32"/>
          <w:szCs w:val="32"/>
        </w:rPr>
        <w:t xml:space="preserve">二、</w:t>
      </w:r>
      <w:bookmarkEnd w:id="71"/>
      <w:r/>
      <w:bookmarkEnd w:id="72"/>
      <w:r/>
      <w:bookmarkEnd w:id="73"/>
      <w:r/>
      <w:bookmarkEnd w:id="74"/>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75" w:name="_Toc16938526"/>
      <w:r/>
      <w:bookmarkStart w:id="76" w:name="_Toc513029210"/>
      <w:r/>
      <w:bookmarkStart w:id="77" w:name="_Toc20823282"/>
      <w:r>
        <w:rPr>
          <w:rFonts w:hint="eastAsia" w:ascii="Arial" w:hAnsi="Arial" w:eastAsia="黑体" w:cs="Arial"/>
          <w:sz w:val="28"/>
          <w:szCs w:val="28"/>
        </w:rPr>
        <w:t xml:space="preserve">6、磋商文件构成</w:t>
      </w:r>
      <w:bookmarkEnd w:id="75"/>
      <w:r/>
      <w:bookmarkEnd w:id="76"/>
      <w:r/>
      <w:bookmarkEnd w:id="77"/>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8" w:name="_Toc16938527"/>
      <w:r/>
      <w:bookmarkStart w:id="79" w:name="_Toc20823283"/>
      <w:r/>
      <w:bookmarkStart w:id="80" w:name="_Toc462564070"/>
      <w:r/>
      <w:bookmarkStart w:id="81" w:name="_Toc513029211"/>
      <w:r>
        <w:rPr>
          <w:rFonts w:hint="eastAsia" w:ascii="Arial" w:hAnsi="Arial" w:eastAsia="黑体" w:cs="Arial"/>
          <w:sz w:val="28"/>
          <w:szCs w:val="28"/>
        </w:rPr>
        <w:t xml:space="preserve">7、磋商文件的澄清</w:t>
      </w:r>
      <w:bookmarkEnd w:id="78"/>
      <w:r/>
      <w:bookmarkEnd w:id="79"/>
      <w:r/>
      <w:bookmarkEnd w:id="80"/>
      <w:r/>
      <w:bookmarkEnd w:id="81"/>
      <w:r/>
      <w:r/>
    </w:p>
    <w:p>
      <w:pPr>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按磋商公告中的通讯地址，以书面形式通知采购人及代理机构。</w:t>
      </w:r>
      <w:r/>
    </w:p>
    <w:p>
      <w:pPr>
        <w:ind w:firstLine="560"/>
        <w:keepLines/>
        <w:keepNext/>
        <w:rPr>
          <w:rFonts w:ascii="Arial" w:hAnsi="Arial" w:eastAsia="黑体" w:cs="Arial"/>
          <w:sz w:val="28"/>
          <w:szCs w:val="28"/>
        </w:rPr>
        <w:outlineLvl w:val="3"/>
      </w:pPr>
      <w:r/>
      <w:bookmarkStart w:id="82" w:name="_Toc513029212"/>
      <w:r/>
      <w:bookmarkStart w:id="83" w:name="_Toc16938528"/>
      <w:r/>
      <w:bookmarkStart w:id="84" w:name="_Toc462564071"/>
      <w:r/>
      <w:bookmarkStart w:id="85" w:name="_Toc20823284"/>
      <w:r>
        <w:rPr>
          <w:rFonts w:hint="eastAsia" w:ascii="Arial" w:hAnsi="Arial" w:eastAsia="黑体" w:cs="Arial"/>
          <w:sz w:val="28"/>
          <w:szCs w:val="28"/>
        </w:rPr>
        <w:t xml:space="preserve">8、磋商文件的澄清和修改</w:t>
      </w:r>
      <w:bookmarkEnd w:id="82"/>
      <w:r/>
      <w:bookmarkEnd w:id="83"/>
      <w:r/>
      <w:bookmarkEnd w:id="84"/>
      <w:r/>
      <w:bookmarkEnd w:id="85"/>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rPr>
        <w:outlineLvl w:val="2"/>
      </w:pPr>
      <w:r/>
      <w:bookmarkStart w:id="86" w:name="_Toc462564072"/>
      <w:r/>
      <w:bookmarkStart w:id="87" w:name="_Toc16938529"/>
      <w:r/>
      <w:bookmarkStart w:id="88" w:name="_Toc120614216"/>
      <w:r/>
      <w:bookmarkStart w:id="89" w:name="_Toc20823285"/>
      <w:r/>
      <w:bookmarkStart w:id="90" w:name="_Toc513029213"/>
      <w:r>
        <w:rPr>
          <w:rFonts w:hint="eastAsia" w:ascii="Times New Roman" w:hAnsi="Times New Roman"/>
          <w:b/>
          <w:bCs/>
          <w:sz w:val="32"/>
          <w:szCs w:val="32"/>
        </w:rPr>
        <w:t xml:space="preserve">三、响应文件的编制</w:t>
      </w:r>
      <w:bookmarkEnd w:id="86"/>
      <w:r/>
      <w:bookmarkEnd w:id="87"/>
      <w:r/>
      <w:bookmarkEnd w:id="88"/>
      <w:r/>
      <w:bookmarkEnd w:id="89"/>
      <w:r/>
      <w:bookmarkEnd w:id="90"/>
      <w:r/>
      <w:r/>
    </w:p>
    <w:p>
      <w:pPr>
        <w:ind w:firstLine="560"/>
        <w:keepLines/>
        <w:keepNext/>
        <w:rPr>
          <w:rFonts w:ascii="Arial" w:hAnsi="Arial" w:eastAsia="黑体" w:cs="Arial"/>
          <w:b/>
          <w:sz w:val="28"/>
          <w:szCs w:val="28"/>
        </w:rPr>
        <w:outlineLvl w:val="3"/>
      </w:pPr>
      <w:r/>
      <w:bookmarkStart w:id="91" w:name="_Toc16938530"/>
      <w:r/>
      <w:bookmarkStart w:id="92" w:name="_Toc20823286"/>
      <w:r/>
      <w:bookmarkStart w:id="93" w:name="_Toc462564073"/>
      <w:r/>
      <w:bookmarkStart w:id="94" w:name="_Toc513029214"/>
      <w:r>
        <w:rPr>
          <w:rFonts w:hint="eastAsia" w:ascii="Arial" w:hAnsi="Arial" w:eastAsia="黑体" w:cs="Arial"/>
          <w:sz w:val="28"/>
          <w:szCs w:val="28"/>
        </w:rPr>
        <w:t xml:space="preserve">9、响应文件的语言及度量衡单位</w:t>
      </w:r>
      <w:bookmarkEnd w:id="91"/>
      <w:r/>
      <w:bookmarkEnd w:id="92"/>
      <w:r/>
      <w:bookmarkEnd w:id="93"/>
      <w:r/>
      <w:bookmarkEnd w:id="94"/>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供应商提交的响应文件以及供应商与采购人及代理机构就有关磋商的所有来往通知、函件和文件均应使用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95" w:name="_Toc513029215"/>
      <w:r/>
      <w:bookmarkStart w:id="96" w:name="_Toc20823287"/>
      <w:r/>
      <w:bookmarkStart w:id="97" w:name="_Toc462564074"/>
      <w:r/>
      <w:bookmarkStart w:id="98" w:name="_Toc16938531"/>
      <w:r>
        <w:rPr>
          <w:rFonts w:hint="eastAsia" w:ascii="Arial" w:hAnsi="Arial" w:eastAsia="黑体" w:cs="Arial"/>
          <w:sz w:val="28"/>
          <w:szCs w:val="28"/>
        </w:rPr>
        <w:t xml:space="preserve">10、响应文件构成</w:t>
      </w:r>
      <w:bookmarkEnd w:id="95"/>
      <w:r/>
      <w:bookmarkEnd w:id="96"/>
      <w:r/>
      <w:bookmarkEnd w:id="97"/>
      <w:r/>
      <w:bookmarkEnd w:id="98"/>
      <w:r/>
      <w:r/>
    </w:p>
    <w:p>
      <w:pPr>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供应商编写的响应文件应包括资格证明文件、符合性证明文件、初次报价表、类似业绩表、其他证明文件、保险方案、服务方案、磋商响应函等部分。</w:t>
      </w:r>
      <w:r/>
    </w:p>
    <w:p>
      <w:pPr>
        <w:ind w:firstLine="480"/>
        <w:spacing w:line="440" w:lineRule="exact"/>
        <w:rPr>
          <w:rFonts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99" w:name="_Hlt26954838"/>
      <w:r/>
      <w:bookmarkEnd w:id="99"/>
      <w:r/>
      <w:bookmarkStart w:id="100" w:name="_Hlt26668975"/>
      <w:r/>
      <w:bookmarkEnd w:id="100"/>
      <w:r/>
      <w:bookmarkStart w:id="101" w:name="_Hlt26670360"/>
      <w:r/>
      <w:bookmarkEnd w:id="101"/>
      <w:r/>
      <w:bookmarkStart w:id="102" w:name="_Toc14577354"/>
      <w:r/>
      <w:bookmarkStart w:id="103" w:name="_Toc49090509"/>
      <w:r/>
      <w:bookmarkStart w:id="104" w:name="_Toc14577357"/>
      <w:r/>
      <w:bookmarkStart w:id="105" w:name="_Toc513029219"/>
      <w:r/>
      <w:bookmarkStart w:id="106" w:name="_Toc513029216"/>
      <w:r/>
      <w:bookmarkStart w:id="107" w:name="_Toc49090507"/>
      <w:r/>
      <w:bookmarkStart w:id="108" w:name="_Toc49090508"/>
      <w:r/>
      <w:bookmarkStart w:id="109" w:name="_Toc14577355"/>
      <w:r>
        <w:rPr>
          <w:rFonts w:hint="eastAsia" w:ascii="Arial" w:hAnsi="Arial" w:eastAsia="黑体" w:cs="Arial"/>
          <w:sz w:val="28"/>
          <w:szCs w:val="28"/>
        </w:rPr>
        <w:t xml:space="preserve">11、证明磋商响应标的符合磋商文件规定的文件</w:t>
      </w:r>
      <w:bookmarkEnd w:id="102"/>
      <w:r/>
      <w:bookmarkEnd w:id="103"/>
      <w:r/>
      <w:bookmarkEnd w:id="104"/>
      <w:r/>
      <w:bookmarkEnd w:id="105"/>
      <w:r/>
      <w:bookmarkEnd w:id="106"/>
      <w:r/>
      <w:bookmarkEnd w:id="107"/>
      <w:r/>
      <w:r/>
    </w:p>
    <w:p>
      <w:pPr>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8"/>
      <w:r/>
      <w:bookmarkEnd w:id="109"/>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12、初次报价表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10" w:name="_Hlt26954731"/>
      <w:r/>
      <w:bookmarkEnd w:id="110"/>
      <w:r/>
      <w:bookmarkStart w:id="111" w:name="_Hlt26670486"/>
      <w:r/>
      <w:bookmarkEnd w:id="111"/>
      <w:r/>
      <w:bookmarkStart w:id="112" w:name="_Hlt26954848"/>
      <w:r/>
      <w:bookmarkEnd w:id="112"/>
      <w:r/>
      <w:bookmarkStart w:id="113" w:name="_Hlt26670482"/>
      <w:r/>
      <w:bookmarkEnd w:id="113"/>
      <w:r/>
      <w:bookmarkStart w:id="114" w:name="_Hlt26954846"/>
      <w:r/>
      <w:bookmarkEnd w:id="114"/>
      <w:r>
        <w:rPr>
          <w:rFonts w:hint="eastAsia" w:ascii="Arial" w:hAnsi="Arial" w:eastAsia="黑体" w:cs="Arial"/>
          <w:sz w:val="28"/>
          <w:szCs w:val="28"/>
        </w:rPr>
        <w:t xml:space="preserve">13、技术要求响应、商务要求响应</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14、保险方案、服务方案</w:t>
      </w:r>
      <w:r/>
    </w:p>
    <w:p>
      <w:pPr>
        <w:ind w:firstLine="480"/>
        <w:spacing w:line="48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14.2供应商需根据磋商文件要求提供总体方案。</w:t>
      </w:r>
      <w:r/>
    </w:p>
    <w:p>
      <w:pPr>
        <w:ind w:firstLine="480"/>
        <w:spacing w:line="48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ascii="Arial" w:hAnsi="Arial" w:eastAsia="黑体" w:cs="Arial"/>
          <w:sz w:val="28"/>
          <w:szCs w:val="28"/>
        </w:rPr>
        <w:outlineLvl w:val="3"/>
      </w:pPr>
      <w:r/>
      <w:bookmarkStart w:id="115" w:name="_Toc14577359"/>
      <w:r/>
      <w:bookmarkStart w:id="116" w:name="_Toc49090510"/>
      <w:r>
        <w:rPr>
          <w:rFonts w:hint="eastAsia" w:ascii="Arial" w:hAnsi="Arial" w:eastAsia="黑体" w:cs="Arial"/>
          <w:sz w:val="28"/>
          <w:szCs w:val="28"/>
        </w:rPr>
        <w:t xml:space="preserve">15、磋商响应函</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15"/>
      <w:r/>
      <w:bookmarkEnd w:id="116"/>
      <w:r/>
      <w:r/>
    </w:p>
    <w:p>
      <w:pPr>
        <w:ind w:firstLine="420"/>
        <w:keepLines/>
        <w:keepNext/>
        <w:rPr>
          <w:rFonts w:ascii="Arial" w:hAnsi="Arial" w:eastAsia="黑体" w:cs="Arial"/>
          <w:sz w:val="28"/>
          <w:szCs w:val="28"/>
        </w:rPr>
        <w:outlineLvl w:val="3"/>
      </w:pPr>
      <w:r/>
      <w:bookmarkStart w:id="117" w:name="_Toc49090511"/>
      <w:r/>
      <w:bookmarkStart w:id="118" w:name="_Toc14577360"/>
      <w:r>
        <w:rPr>
          <w:rFonts w:hint="eastAsia" w:ascii="Arial" w:hAnsi="Arial" w:eastAsia="黑体" w:cs="Arial"/>
          <w:sz w:val="28"/>
          <w:szCs w:val="28"/>
        </w:rPr>
        <w:t xml:space="preserve">16、磋商有效期</w:t>
      </w:r>
      <w:bookmarkEnd w:id="117"/>
      <w:r/>
      <w:bookmarkEnd w:id="118"/>
      <w:r/>
      <w:r/>
    </w:p>
    <w:p>
      <w:pPr>
        <w:ind w:firstLine="480"/>
        <w:spacing w:line="500" w:lineRule="exact"/>
        <w:rPr>
          <w:rFonts w:ascii="宋体" w:hAnsi="宋体"/>
          <w:bCs/>
          <w:sz w:val="24"/>
          <w:szCs w:val="21"/>
        </w:rPr>
      </w:pPr>
      <w:r>
        <w:rPr>
          <w:rFonts w:hint="eastAsia" w:ascii="宋体" w:hAnsi="宋体"/>
          <w:bCs/>
          <w:sz w:val="24"/>
          <w:szCs w:val="21"/>
        </w:rPr>
        <w:t xml:space="preserve">16.1磋商有效期为提交响应文件截止之日后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ascii="Times New Roman" w:hAnsi="Times New Roman"/>
          <w:b/>
          <w:bCs/>
          <w:sz w:val="32"/>
          <w:szCs w:val="32"/>
        </w:rPr>
        <w:outlineLvl w:val="2"/>
      </w:pPr>
      <w:r/>
      <w:bookmarkStart w:id="119" w:name="_Hlt26954852"/>
      <w:r/>
      <w:bookmarkEnd w:id="119"/>
      <w:r/>
      <w:bookmarkStart w:id="120" w:name="_Hlt26954739"/>
      <w:r/>
      <w:bookmarkEnd w:id="120"/>
      <w:r/>
      <w:bookmarkStart w:id="121" w:name="_Toc120614217"/>
      <w:r/>
      <w:bookmarkStart w:id="122" w:name="_Toc513029224"/>
      <w:r/>
      <w:bookmarkStart w:id="123" w:name="_Toc16938540"/>
      <w:r/>
      <w:bookmarkStart w:id="124" w:name="_Toc20823296"/>
      <w:r>
        <w:rPr>
          <w:rFonts w:hint="eastAsia" w:ascii="Times New Roman" w:hAnsi="Times New Roman"/>
          <w:b/>
          <w:bCs/>
          <w:sz w:val="32"/>
          <w:szCs w:val="32"/>
        </w:rPr>
        <w:t xml:space="preserve">四、响应文件的递交</w:t>
      </w:r>
      <w:bookmarkEnd w:id="121"/>
      <w:r/>
      <w:bookmarkEnd w:id="122"/>
      <w:r/>
      <w:bookmarkEnd w:id="123"/>
      <w:r/>
      <w:bookmarkEnd w:id="124"/>
      <w:r/>
      <w:r/>
    </w:p>
    <w:p>
      <w:pPr>
        <w:ind w:firstLine="560"/>
        <w:keepLines/>
        <w:keepNext/>
        <w:rPr>
          <w:rFonts w:ascii="黑体" w:hAnsi="Arial" w:eastAsia="黑体" w:cs="Arial"/>
          <w:sz w:val="28"/>
          <w:szCs w:val="28"/>
        </w:rPr>
        <w:outlineLvl w:val="3"/>
      </w:pPr>
      <w:r/>
      <w:bookmarkStart w:id="125" w:name="_Toc20823297"/>
      <w:r/>
      <w:bookmarkStart w:id="126" w:name="_Toc462564084"/>
      <w:r/>
      <w:bookmarkStart w:id="127" w:name="_Toc16938541"/>
      <w:r/>
      <w:bookmarkStart w:id="128"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5"/>
      <w:r/>
      <w:bookmarkEnd w:id="126"/>
      <w:r/>
      <w:bookmarkEnd w:id="127"/>
      <w:r/>
      <w:bookmarkEnd w:id="128"/>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9" w:name="_Toc513029226"/>
      <w:r/>
      <w:bookmarkStart w:id="130" w:name="_Toc16938542"/>
      <w:r/>
      <w:bookmarkStart w:id="131" w:name="_Toc20823298"/>
      <w:r/>
      <w:r/>
    </w:p>
    <w:p>
      <w:pPr>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9"/>
      <w:r/>
      <w:bookmarkEnd w:id="130"/>
      <w:r/>
      <w:bookmarkEnd w:id="131"/>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32" w:name="_Toc16938543"/>
      <w:r/>
      <w:bookmarkStart w:id="133" w:name="_Toc20823299"/>
      <w:r/>
      <w:bookmarkStart w:id="13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2"/>
      <w:r/>
      <w:bookmarkEnd w:id="133"/>
      <w:r/>
      <w:bookmarkEnd w:id="134"/>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35" w:name="_Toc16938544"/>
      <w:r/>
      <w:bookmarkStart w:id="136" w:name="_Toc20823300"/>
      <w:r/>
      <w:bookmarkStart w:id="13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5"/>
      <w:r/>
      <w:bookmarkEnd w:id="136"/>
      <w:r/>
      <w:bookmarkEnd w:id="137"/>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rPr>
        <w:outlineLvl w:val="2"/>
      </w:pPr>
      <w:r/>
      <w:bookmarkStart w:id="138" w:name="_Toc120614218"/>
      <w:r/>
      <w:bookmarkStart w:id="139" w:name="_Toc20823301"/>
      <w:r/>
      <w:bookmarkStart w:id="140" w:name="_Toc16938545"/>
      <w:r/>
      <w:bookmarkStart w:id="141" w:name="_Toc513029229"/>
      <w:r>
        <w:rPr>
          <w:rFonts w:hint="eastAsia" w:ascii="Times New Roman" w:hAnsi="Times New Roman"/>
          <w:b/>
          <w:bCs/>
          <w:sz w:val="32"/>
          <w:szCs w:val="32"/>
        </w:rPr>
        <w:t xml:space="preserve">五、响应文件的解密与评审</w:t>
      </w:r>
      <w:bookmarkEnd w:id="138"/>
      <w:r/>
      <w:bookmarkEnd w:id="139"/>
      <w:r/>
      <w:bookmarkEnd w:id="140"/>
      <w:r/>
      <w:bookmarkEnd w:id="141"/>
      <w:r/>
      <w:r/>
    </w:p>
    <w:p>
      <w:pPr>
        <w:ind w:firstLine="420"/>
        <w:keepLines/>
        <w:keepNext/>
        <w:rPr>
          <w:rFonts w:ascii="Arial" w:hAnsi="Arial" w:eastAsia="黑体" w:cs="Arial"/>
          <w:sz w:val="28"/>
          <w:szCs w:val="28"/>
        </w:rPr>
        <w:outlineLvl w:val="3"/>
      </w:pPr>
      <w:r/>
      <w:bookmarkStart w:id="142" w:name="_Toc513029230"/>
      <w:r/>
      <w:bookmarkStart w:id="143" w:name="_Toc20823302"/>
      <w:r/>
      <w:bookmarkStart w:id="144" w:name="_Toc16938546"/>
      <w:r>
        <w:rPr>
          <w:rFonts w:hint="eastAsia" w:ascii="Arial" w:hAnsi="Arial" w:eastAsia="黑体" w:cs="Arial"/>
          <w:sz w:val="28"/>
          <w:szCs w:val="28"/>
        </w:rPr>
        <w:t xml:space="preserve">22、</w:t>
      </w:r>
      <w:bookmarkEnd w:id="142"/>
      <w:r/>
      <w:bookmarkEnd w:id="143"/>
      <w:r/>
      <w:bookmarkEnd w:id="144"/>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45" w:name="_Toc16938547"/>
      <w:r/>
      <w:bookmarkStart w:id="146" w:name="_Toc513029231"/>
      <w:r/>
      <w:bookmarkStart w:id="14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45"/>
      <w:r/>
      <w:bookmarkEnd w:id="146"/>
      <w:r/>
      <w:bookmarkEnd w:id="147"/>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48" w:name="_Toc513029232"/>
      <w:r/>
      <w:bookmarkStart w:id="149" w:name="_Toc16938548"/>
      <w:r/>
      <w:bookmarkStart w:id="150"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8"/>
      <w:r/>
      <w:bookmarkEnd w:id="149"/>
      <w:r/>
      <w:bookmarkEnd w:id="150"/>
      <w:r/>
      <w:r/>
    </w:p>
    <w:p>
      <w:pPr>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51" w:name="_Toc20823305"/>
      <w:r/>
      <w:bookmarkStart w:id="152" w:name="_Toc513029233"/>
      <w:r/>
      <w:bookmarkStart w:id="153"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1"/>
      <w:r/>
      <w:bookmarkEnd w:id="152"/>
      <w:r/>
      <w:bookmarkEnd w:id="153"/>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w:t>
      </w:r>
      <w:r>
        <w:rPr>
          <w:rFonts w:hint="eastAsia" w:ascii="宋体" w:hAnsi="宋体"/>
          <w:bCs/>
          <w:sz w:val="24"/>
          <w:szCs w:val="21"/>
          <w:lang w:eastAsia="zh-CN"/>
        </w:rPr>
        <w:t xml:space="preserve">不符合要求的</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rPr>
      </w:pPr>
      <w:r/>
      <w:bookmarkStart w:id="154" w:name="_Toc20823306"/>
      <w:r/>
      <w:bookmarkStart w:id="155" w:name="_Toc16938550"/>
      <w:r/>
      <w:bookmarkStart w:id="156"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磋商程序及评审方法和评审标准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600"/>
        <w:keepLines/>
        <w:keepNext/>
        <w:rPr>
          <w:rFonts w:hint="eastAsia" w:ascii="黑体" w:hAnsi="宋体" w:eastAsia="黑体"/>
          <w:bCs/>
          <w:sz w:val="30"/>
          <w:szCs w:val="30"/>
          <w:lang w:val="zh-CN"/>
        </w:rPr>
        <w:outlineLvl w:val="3"/>
      </w:pPr>
      <w:r>
        <w:rPr>
          <w:rFonts w:hint="eastAsia" w:ascii="黑体" w:hAnsi="宋体" w:eastAsia="黑体"/>
          <w:bCs/>
          <w:sz w:val="30"/>
          <w:szCs w:val="30"/>
        </w:rPr>
        <w:t xml:space="preserve">28、</w:t>
      </w:r>
      <w:r>
        <w:rPr>
          <w:rFonts w:hint="default" w:ascii="黑体" w:hAnsi="宋体" w:eastAsia="黑体"/>
          <w:bCs/>
          <w:sz w:val="30"/>
          <w:szCs w:val="30"/>
          <w:lang w:val="en-US" w:eastAsia="zh-CN"/>
        </w:rPr>
        <w:t xml:space="preserve">政府采购异常低价审查的</w:t>
      </w:r>
      <w:r>
        <w:rPr>
          <w:rFonts w:hint="eastAsia" w:ascii="黑体" w:hAnsi="宋体" w:eastAsia="黑体"/>
          <w:bCs/>
          <w:sz w:val="30"/>
          <w:szCs w:val="30"/>
          <w:lang w:val="en-US" w:eastAsia="zh-CN"/>
        </w:rPr>
        <w:t xml:space="preserve">实施</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bookmarkStart w:id="157" w:name="_Toc120614219"/>
      <w:r/>
      <w:bookmarkStart w:id="158" w:name="_Toc16938551"/>
      <w:r/>
      <w:bookmarkStart w:id="159" w:name="_Toc20823307"/>
      <w:r/>
      <w:bookmarkStart w:id="160" w:name="_Toc513029235"/>
      <w:r>
        <w:rPr>
          <w:rFonts w:hint="eastAsia" w:ascii="宋体" w:hAnsi="宋体" w:cs="宋体"/>
          <w:b w:val="0"/>
          <w:bCs w:val="0"/>
          <w:color w:val="auto"/>
          <w:sz w:val="24"/>
          <w:highlight w:val="none"/>
          <w:u w:val="none"/>
          <w:lang w:val="en-US" w:eastAsia="zh-CN"/>
        </w:rPr>
        <w:t xml:space="preserve">（一）评审过程中出现下列情形之一的，磋商小组应当启动异常低价投标审查程序：</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3.投标（响应）报价低于采购项目最高限价45%的，即投标（响应）报价&lt;采购项目最高限价×45%；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4.磋商小组基于专业判断，认为供应商报价过低，有可能影响产品质量或者不能诚信履约的其他情形。</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提醒：采购人可以结合具体项目实际情况，提高上述第1项至第3项中启动异常低价投标（响应）审查的数值标准，但是最高不得超过65%。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相关法律法规对供应商报价有规定的，从其规定。</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w:t>
      </w:r>
      <w:bookmarkEnd w:id="157"/>
      <w:r/>
      <w:bookmarkEnd w:id="158"/>
      <w:r/>
      <w:bookmarkEnd w:id="159"/>
      <w:r/>
      <w:bookmarkEnd w:id="160"/>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61" w:name="_Toc513029238"/>
      <w:r/>
      <w:bookmarkStart w:id="162" w:name="_Toc16938554"/>
      <w:r/>
      <w:bookmarkStart w:id="163" w:name="_Toc20823310"/>
      <w:r>
        <w:rPr>
          <w:rFonts w:hint="eastAsia" w:ascii="黑体" w:hAnsi="宋体" w:eastAsia="黑体"/>
          <w:bCs/>
          <w:sz w:val="30"/>
          <w:szCs w:val="30"/>
        </w:rPr>
        <w:t xml:space="preserve">2</w:t>
      </w:r>
      <w:r>
        <w:rPr>
          <w:rFonts w:hint="eastAsia" w:ascii="黑体" w:hAnsi="宋体" w:eastAsia="黑体"/>
          <w:bCs/>
          <w:sz w:val="30"/>
          <w:szCs w:val="30"/>
          <w:lang w:val="en-US" w:eastAsia="zh-CN"/>
        </w:rPr>
        <w:t xml:space="preserve">9</w:t>
      </w:r>
      <w:r>
        <w:rPr>
          <w:rFonts w:hint="eastAsia" w:ascii="黑体" w:hAnsi="宋体" w:eastAsia="黑体"/>
          <w:bCs/>
          <w:sz w:val="30"/>
          <w:szCs w:val="30"/>
        </w:rPr>
        <w:t xml:space="preserve">、</w:t>
      </w:r>
      <w:bookmarkEnd w:id="161"/>
      <w:r>
        <w:rPr>
          <w:rFonts w:hint="eastAsia" w:ascii="黑体" w:hAnsi="宋体" w:eastAsia="黑体"/>
          <w:bCs/>
          <w:sz w:val="30"/>
          <w:szCs w:val="30"/>
        </w:rPr>
        <w:t xml:space="preserve">确定</w:t>
      </w:r>
      <w:bookmarkEnd w:id="162"/>
      <w:r/>
      <w:bookmarkEnd w:id="163"/>
      <w:r>
        <w:rPr>
          <w:rFonts w:hint="eastAsia" w:ascii="黑体" w:hAnsi="宋体" w:eastAsia="黑体"/>
          <w:bCs/>
          <w:sz w:val="30"/>
          <w:szCs w:val="30"/>
        </w:rPr>
        <w:t xml:space="preserve">成交单位</w:t>
      </w:r>
      <w:r/>
    </w:p>
    <w:p>
      <w:pPr>
        <w:ind w:firstLine="478"/>
        <w:spacing w:after="145" w:line="560" w:lineRule="exact"/>
        <w:tabs>
          <w:tab w:val="left" w:pos="900" w:leader="none"/>
        </w:tabs>
        <w:rPr>
          <w:rFonts w:ascii="宋体" w:hAnsi="宋体"/>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.3.2与评审专家、采购人、其他供应商或者代理机构工作人员恶意串通的。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.3.3向评审专家、采购人或代理机构工作人员行贿或者提供其他不正当利益的。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.3.7将政府采购合同转包的。</w:t>
      </w:r>
      <w:r/>
    </w:p>
    <w:p>
      <w:pPr>
        <w:ind w:firstLine="600"/>
        <w:keepLines/>
        <w:keepNext/>
        <w:rPr>
          <w:rFonts w:ascii="黑体" w:hAnsi="宋体" w:eastAsia="黑体"/>
          <w:bCs/>
          <w:sz w:val="30"/>
          <w:szCs w:val="30"/>
        </w:rPr>
        <w:outlineLvl w:val="3"/>
      </w:pPr>
      <w:r/>
      <w:bookmarkStart w:id="164" w:name="_Toc200451960"/>
      <w:r>
        <w:rPr>
          <w:rFonts w:hint="eastAsia" w:ascii="黑体" w:hAnsi="宋体" w:eastAsia="黑体"/>
          <w:bCs/>
          <w:sz w:val="30"/>
          <w:szCs w:val="30"/>
          <w:lang w:val="en-US" w:eastAsia="zh-CN"/>
        </w:rPr>
        <w:t xml:space="preserve">30</w:t>
      </w:r>
      <w:r>
        <w:rPr>
          <w:rFonts w:hint="eastAsia" w:ascii="黑体" w:hAnsi="宋体" w:eastAsia="黑体"/>
          <w:bCs/>
          <w:sz w:val="30"/>
          <w:szCs w:val="30"/>
        </w:rPr>
        <w:t xml:space="preserve">、质疑处理</w:t>
      </w:r>
      <w:bookmarkEnd w:id="164"/>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Times New Roman" w:hAnsi="宋体" w:cs="宋体"/>
          <w:sz w:val="24"/>
          <w:szCs w:val="24"/>
          <w:lang w:val="en-US" w:eastAsia="zh-CN"/>
        </w:rPr>
        <w:t xml:space="preserve">  </w:t>
      </w:r>
      <w:r>
        <w:rPr>
          <w:rFonts w:hint="eastAsia" w:ascii="宋体" w:hAnsi="宋体"/>
          <w:sz w:val="24"/>
          <w:szCs w:val="24"/>
          <w:lang w:val="en-US" w:eastAsia="zh-CN"/>
        </w:rPr>
        <w:t xml:space="preserve">30</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sz w:val="24"/>
          <w:szCs w:val="24"/>
        </w:rPr>
        <w:t xml:space="preserve">采购人及代理机构</w:t>
      </w:r>
      <w:r>
        <w:rPr>
          <w:rFonts w:ascii="宋体" w:hAnsi="宋体"/>
          <w:sz w:val="24"/>
          <w:szCs w:val="24"/>
        </w:rPr>
        <w:t xml:space="preserve">提出，由</w:t>
      </w:r>
      <w:r>
        <w:rPr>
          <w:rFonts w:hint="eastAsia" w:ascii="宋体" w:hAnsi="宋体"/>
          <w:sz w:val="24"/>
          <w:szCs w:val="24"/>
        </w:rPr>
        <w:t xml:space="preserve">代理机构经授权委托后</w:t>
      </w:r>
      <w:r>
        <w:rPr>
          <w:rFonts w:ascii="宋体" w:hAnsi="宋体"/>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采购代理机构质疑联系方式（快递运单上的收件人填写“瑞泽工程”即可），联系地址：响水县黄河路</w:t>
      </w:r>
      <w:r>
        <w:rPr>
          <w:rFonts w:hint="eastAsia" w:ascii="宋体" w:hAnsi="宋体"/>
          <w:sz w:val="24"/>
          <w:szCs w:val="24"/>
          <w:lang w:val="en-US" w:eastAsia="zh-CN"/>
        </w:rPr>
        <w:t xml:space="preserve">2</w:t>
      </w:r>
      <w:r>
        <w:rPr>
          <w:rFonts w:hint="eastAsia" w:ascii="宋体" w:hAnsi="宋体"/>
          <w:sz w:val="24"/>
          <w:szCs w:val="24"/>
        </w:rPr>
        <w:t xml:space="preserve">2</w:t>
      </w:r>
      <w:r>
        <w:rPr>
          <w:rFonts w:ascii="宋体" w:hAnsi="宋体"/>
          <w:sz w:val="24"/>
          <w:szCs w:val="24"/>
        </w:rPr>
        <w:t xml:space="preserve">6-24</w:t>
      </w:r>
      <w:r>
        <w:rPr>
          <w:rFonts w:hint="eastAsia" w:ascii="宋体" w:hAnsi="宋体"/>
          <w:sz w:val="24"/>
          <w:szCs w:val="24"/>
        </w:rPr>
        <w:t xml:space="preserve">号，联系电话：</w:t>
      </w:r>
      <w:r>
        <w:rPr>
          <w:rFonts w:ascii="宋体" w:hAnsi="宋体"/>
          <w:sz w:val="24"/>
          <w:szCs w:val="24"/>
        </w:rPr>
        <w:t xml:space="preserve">13815502410</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、成交通知书</w:t>
      </w:r>
      <w:r/>
    </w:p>
    <w:p>
      <w:pPr>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lang w:val="en-US" w:eastAsia="zh-CN"/>
        </w:rPr>
        <w:t xml:space="preserve">1</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rPr>
        <w:outlineLvl w:val="2"/>
      </w:pPr>
      <w:r/>
      <w:bookmarkStart w:id="165" w:name="_Toc120614220"/>
      <w:r/>
      <w:bookmarkStart w:id="166" w:name="_Toc16938552"/>
      <w:r/>
      <w:bookmarkStart w:id="167" w:name="_Toc20823308"/>
      <w:r/>
      <w:bookmarkStart w:id="168" w:name="_Toc513029236"/>
      <w:r>
        <w:rPr>
          <w:rFonts w:hint="eastAsia" w:ascii="Times New Roman" w:hAnsi="Times New Roman"/>
          <w:b/>
          <w:bCs/>
          <w:sz w:val="32"/>
          <w:szCs w:val="32"/>
        </w:rPr>
        <w:t xml:space="preserve">七、授予合同</w:t>
      </w:r>
      <w:bookmarkEnd w:id="165"/>
      <w:r/>
      <w:bookmarkEnd w:id="166"/>
      <w:r/>
      <w:bookmarkEnd w:id="167"/>
      <w:r/>
      <w:bookmarkEnd w:id="168"/>
      <w:r/>
      <w:r/>
    </w:p>
    <w:p>
      <w:pPr>
        <w:ind w:firstLine="600"/>
        <w:keepLines/>
        <w:keepNext/>
        <w:rPr>
          <w:rFonts w:ascii="黑体" w:hAnsi="宋体" w:eastAsia="黑体"/>
          <w:bCs/>
          <w:sz w:val="30"/>
          <w:szCs w:val="30"/>
        </w:rPr>
        <w:outlineLvl w:val="3"/>
      </w:pPr>
      <w:r/>
      <w:bookmarkStart w:id="169" w:name="_Toc513029237"/>
      <w:r/>
      <w:bookmarkStart w:id="170" w:name="_Toc20823309"/>
      <w:r/>
      <w:bookmarkStart w:id="171" w:name="_Toc16938553"/>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 签订合同</w:t>
      </w:r>
      <w:r/>
    </w:p>
    <w:p>
      <w:pPr>
        <w:ind w:firstLine="600"/>
        <w:spacing w:line="480" w:lineRule="exact"/>
        <w:rPr>
          <w:rFonts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3</w:t>
      </w:r>
      <w:r>
        <w:rPr>
          <w:rFonts w:hint="eastAsia" w:ascii="黑体" w:hAnsi="宋体" w:eastAsia="黑体"/>
          <w:bCs/>
          <w:sz w:val="30"/>
          <w:szCs w:val="30"/>
        </w:rPr>
        <w:t xml:space="preserve">、标的物的追加</w:t>
      </w:r>
      <w:r/>
    </w:p>
    <w:p>
      <w:pPr>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9"/>
      <w:r/>
      <w:bookmarkEnd w:id="170"/>
      <w:r/>
      <w:bookmarkEnd w:id="171"/>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4</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sz w:val="24"/>
          <w:szCs w:val="24"/>
          <w:highlight w:val="none"/>
        </w:rPr>
      </w:pPr>
      <w:r>
        <w:rPr>
          <w:rFonts w:hint="eastAsia" w:ascii="宋体" w:hAnsi="宋体"/>
          <w:bCs/>
          <w:sz w:val="24"/>
          <w:szCs w:val="24"/>
        </w:rPr>
        <w:t xml:space="preserve">成交供应商可凭政府采购合同办理融资贷款，详情请见江苏政府采购网“政采贷”专栏。</w:t>
      </w:r>
      <w:r/>
    </w:p>
    <w:p>
      <w:pPr>
        <w:ind w:firstLine="600"/>
        <w:keepLines/>
        <w:keepNext/>
        <w:rPr>
          <w:rFonts w:hint="eastAsia" w:ascii="黑体" w:hAnsi="宋体" w:eastAsia="黑体"/>
          <w:sz w:val="30"/>
          <w:szCs w:val="30"/>
        </w:rPr>
      </w:pPr>
      <w:r>
        <w:rPr>
          <w:rFonts w:hint="eastAsia" w:ascii="黑体" w:hAnsi="宋体" w:eastAsia="黑体"/>
          <w:sz w:val="30"/>
          <w:szCs w:val="30"/>
        </w:rPr>
        <w:t xml:space="preserve">35、政府采购节能产品、环境标志产品</w:t>
      </w:r>
      <w:r/>
    </w:p>
    <w:p>
      <w:pPr>
        <w:ind w:firstLine="555"/>
        <w:spacing w:line="500" w:lineRule="exact"/>
      </w:pPr>
      <w:r>
        <w:rPr>
          <w:rFonts w:hint="eastAsia" w:ascii="宋体" w:hAnsi="宋体"/>
          <w:bCs/>
          <w:sz w:val="24"/>
          <w:szCs w:val="24"/>
          <w:highlight w:val="none"/>
        </w:rPr>
        <w:t xml:space="preserve">35.1严格执行政府采购关于支持</w:t>
      </w:r>
      <w:r>
        <w:rPr>
          <w:rFonts w:hint="eastAsia" w:ascii="宋体" w:hAnsi="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55"/>
        <w:spacing w:line="500" w:lineRule="exact"/>
      </w:pPr>
      <w:r>
        <w:rPr>
          <w:rFonts w:hint="eastAsia" w:ascii="宋体" w:hAnsi="宋体"/>
          <w:bCs/>
          <w:sz w:val="24"/>
          <w:szCs w:val="24"/>
          <w:highlight w:val="none"/>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pPr>
      <w:r>
        <w:rPr>
          <w:rFonts w:hint="eastAsia" w:ascii="黑体" w:hAnsi="宋体" w:eastAsia="黑体"/>
          <w:sz w:val="30"/>
          <w:szCs w:val="30"/>
        </w:rPr>
        <w:t xml:space="preserve">36、绿色包装</w:t>
      </w:r>
      <w:r/>
    </w:p>
    <w:p>
      <w:pPr>
        <w:ind w:firstLine="555"/>
        <w:spacing w:line="500" w:lineRule="exact"/>
      </w:pPr>
      <w:r>
        <w:rPr>
          <w:rFonts w:hint="eastAsia" w:ascii="宋体" w:hAnsi="宋体"/>
          <w:bCs/>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pPr>
      <w:r>
        <w:rPr>
          <w:rFonts w:hint="eastAsia" w:ascii="黑体" w:hAnsi="宋体" w:eastAsia="黑体"/>
          <w:sz w:val="30"/>
          <w:szCs w:val="30"/>
        </w:rPr>
        <w:t xml:space="preserve">37、政府采购创新产品</w:t>
      </w:r>
      <w:r/>
    </w:p>
    <w:p>
      <w:pPr>
        <w:ind w:firstLine="555"/>
        <w:spacing w:line="500" w:lineRule="exact"/>
      </w:pPr>
      <w:r>
        <w:rPr>
          <w:rFonts w:hint="eastAsia" w:ascii="宋体" w:hAnsi="宋体"/>
          <w:bCs/>
          <w:sz w:val="24"/>
          <w:szCs w:val="24"/>
          <w:highlight w:val="none"/>
        </w:rPr>
        <w:t xml:space="preserve">采购人优先采购各级政府部门公开发布的有效期内的创新产品、创新服务、首台套、首购首用等《目录》的创新产品。</w:t>
      </w:r>
      <w:r/>
    </w:p>
    <w:p>
      <w:pPr>
        <w:ind w:firstLine="600"/>
        <w:keepLines/>
        <w:keepNext/>
      </w:pPr>
      <w:r>
        <w:rPr>
          <w:rFonts w:hint="eastAsia" w:ascii="黑体" w:hAnsi="宋体" w:eastAsia="黑体"/>
          <w:sz w:val="30"/>
          <w:szCs w:val="30"/>
        </w:rPr>
        <w:t xml:space="preserve">38、绿色数据中心政策</w:t>
      </w:r>
      <w:r>
        <w:rPr>
          <w:rFonts w:hint="eastAsia" w:ascii="宋体" w:hAnsi="宋体"/>
          <w:bCs/>
          <w:sz w:val="24"/>
          <w:szCs w:val="24"/>
          <w:highlight w:val="none"/>
        </w:rPr>
        <w:t xml:space="preserve"> </w:t>
      </w:r>
      <w:r/>
    </w:p>
    <w:p>
      <w:pPr>
        <w:ind w:firstLine="555"/>
        <w:spacing w:line="500" w:lineRule="exact"/>
        <w:rPr>
          <w:rFonts w:hint="eastAsia" w:ascii="宋体" w:hAnsi="宋体"/>
          <w:bCs/>
          <w:sz w:val="24"/>
          <w:szCs w:val="24"/>
          <w:highlight w:val="none"/>
        </w:rPr>
      </w:pPr>
      <w:r>
        <w:rPr>
          <w:rFonts w:hint="eastAsia" w:ascii="宋体" w:hAnsi="宋体"/>
          <w:bCs/>
          <w:sz w:val="24"/>
          <w:szCs w:val="24"/>
          <w:highlight w:val="none"/>
        </w:rPr>
        <w:t xml:space="preserve">本文件中若涉及到数据中心采购，采购人应依据《绿色数据中心政府采购需求标准（试行）》（财办库〔2023〕7号）文件精神</w:t>
      </w:r>
      <w:r>
        <w:rPr>
          <w:rFonts w:hint="eastAsia" w:ascii="宋体" w:hAnsi="宋体"/>
          <w:bCs/>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1"/>
        <w:numPr>
          <w:ilvl w:val="0"/>
          <w:numId w:val="0"/>
        </w:numPr>
        <w:ind w:firstLine="600"/>
        <w:rPr>
          <w:rFonts w:hint="eastAsia" w:ascii="黑体" w:hAnsi="宋体" w:eastAsia="黑体"/>
          <w:sz w:val="30"/>
          <w:szCs w:val="30"/>
        </w:rPr>
      </w:pPr>
      <w:r>
        <w:rPr>
          <w:rFonts w:hint="eastAsia" w:ascii="黑体" w:hAnsi="宋体" w:eastAsia="黑体"/>
          <w:sz w:val="30"/>
          <w:szCs w:val="30"/>
          <w:lang w:val="en-US" w:eastAsia="zh-CN"/>
        </w:rPr>
        <w:t xml:space="preserve">39、实施本国产品标准及相关政策</w:t>
      </w:r>
      <w:r/>
    </w:p>
    <w:p>
      <w:pPr>
        <w:pStyle w:val="712"/>
        <w:numPr>
          <w:ilvl w:val="0"/>
          <w:numId w:val="0"/>
        </w:numPr>
        <w:rPr>
          <w:rFonts w:hint="eastAsia"/>
        </w:rPr>
      </w:pPr>
      <w:r>
        <w:rPr>
          <w:rFonts w:hint="eastAsia"/>
        </w:rPr>
      </w:r>
      <w:r/>
    </w:p>
    <w:p>
      <w:pPr>
        <w:pStyle w:val="72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1本项目对采购本国产品给予政策支持，具体内容见</w:t>
      </w:r>
      <w:r>
        <w:rPr>
          <w:rFonts w:hint="eastAsia" w:cs="Times New Roman"/>
          <w:bCs/>
          <w:sz w:val="24"/>
          <w:szCs w:val="24"/>
          <w:highlight w:val="none"/>
          <w:lang w:val="en-US" w:eastAsia="zh-CN" w:bidi="ar-SA"/>
        </w:rPr>
        <w:t xml:space="preserve">磋商</w:t>
      </w:r>
      <w:r>
        <w:rPr>
          <w:rFonts w:hint="eastAsia" w:ascii="宋体" w:hAnsi="宋体" w:eastAsia="宋体" w:cs="Times New Roman"/>
          <w:bCs/>
          <w:sz w:val="24"/>
          <w:szCs w:val="24"/>
          <w:highlight w:val="none"/>
          <w:lang w:val="en-US" w:eastAsia="zh-CN" w:bidi="ar-SA"/>
        </w:rPr>
        <w:t xml:space="preserve">文件“第五章 评标方法与评标标准”。</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7"/>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rPr>
          <w:rFonts w:hint="eastAsia" w:ascii="Times New Roman" w:hAnsi="Times New Roman"/>
          <w:szCs w:val="21"/>
          <w:lang w:val="en-US" w:eastAsia="en-US"/>
        </w:rPr>
      </w:pPr>
      <w:r>
        <w:rPr>
          <w:rFonts w:hint="eastAsia" w:ascii="Times New Roman" w:hAnsi="Times New Roman"/>
          <w:szCs w:val="21"/>
          <w:lang w:val="en-US" w:eastAsia="en-US"/>
        </w:rPr>
      </w:r>
      <w:r/>
    </w:p>
    <w:p>
      <w:pPr>
        <w:pStyle w:val="711"/>
        <w:rPr>
          <w:rFonts w:hint="eastAsia"/>
          <w:lang w:val="en-US" w:eastAsia="en-US"/>
        </w:rPr>
      </w:pPr>
      <w:r>
        <w:rPr>
          <w:rFonts w:hint="eastAsia"/>
          <w:lang w:val="en-US" w:eastAsia="en-US"/>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51"/>
      <w:r/>
      <w:bookmarkEnd w:id="52"/>
      <w:r/>
      <w:bookmarkEnd w:id="53"/>
      <w:r/>
      <w:bookmarkEnd w:id="54"/>
      <w:r/>
      <w:bookmarkEnd w:id="55"/>
      <w:r>
        <w:rPr>
          <w:rFonts w:hint="eastAsia" w:ascii="黑体" w:hAnsi="Times New Roman" w:eastAsia="黑体"/>
          <w:bCs/>
          <w:sz w:val="44"/>
          <w:szCs w:val="28"/>
        </w:rPr>
        <w:t xml:space="preserve">文本</w:t>
      </w:r>
      <w:r/>
    </w:p>
    <w:p>
      <w:pPr>
        <w:ind w:firstLine="480"/>
        <w:spacing w:line="460" w:lineRule="exact"/>
        <w:rPr>
          <w:rFonts w:ascii="宋体" w:hAnsi="宋体" w:cs="宋体"/>
          <w:bCs/>
          <w:sz w:val="24"/>
          <w:szCs w:val="24"/>
        </w:rPr>
      </w:pPr>
      <w:r/>
      <w:bookmarkStart w:id="172" w:name="_Hlt16619369"/>
      <w:r/>
      <w:bookmarkEnd w:id="172"/>
      <w:r/>
      <w:bookmarkStart w:id="173" w:name="_Toc513029243"/>
      <w:r/>
      <w:bookmarkStart w:id="174" w:name="_Toc20823315"/>
      <w:r/>
      <w:bookmarkStart w:id="175" w:name="_Toc16938559"/>
      <w:r/>
      <w:bookmarkStart w:id="176" w:name="_Hlt16619350"/>
      <w:r/>
      <w:bookmarkStart w:id="177" w:name="_Toc120614244"/>
      <w:r/>
      <w:bookmarkStart w:id="178" w:name="_Toc20823346"/>
      <w:r/>
      <w:bookmarkStart w:id="179" w:name="_Toc16938590"/>
      <w:r>
        <w:rPr>
          <w:rFonts w:hint="eastAsia" w:ascii="宋体" w:hAnsi="宋体" w:cs="宋体"/>
          <w:bCs/>
          <w:sz w:val="24"/>
          <w:szCs w:val="24"/>
        </w:rPr>
        <w:t xml:space="preserve">以下为中标后签定本项目合同的通用条款，成交供应商不得提出实质性的修改，关于专用条款将由采购人与成交供应商结合本项目具体情况协商后签订。</w:t>
      </w:r>
      <w:bookmarkEnd w:id="173"/>
      <w:r/>
      <w:bookmarkEnd w:id="174"/>
      <w:r/>
      <w:bookmarkEnd w:id="175"/>
      <w:r/>
      <w:r/>
    </w:p>
    <w:p>
      <w:pPr>
        <w:pStyle w:val="994"/>
        <w:ind w:firstLine="482"/>
        <w:spacing w:line="360" w:lineRule="auto"/>
        <w:tabs>
          <w:tab w:val="left" w:pos="720" w:leader="none"/>
        </w:tabs>
        <w:rPr>
          <w:rFonts w:ascii="宋体" w:hAnsi="宋体" w:cs="宋体"/>
          <w:b/>
          <w:sz w:val="24"/>
          <w:szCs w:val="24"/>
          <w:u w:val="single"/>
        </w:rPr>
      </w:pPr>
      <w:r>
        <w:rPr>
          <w:rFonts w:hint="eastAsia" w:ascii="宋体" w:hAnsi="宋体" w:cs="宋体"/>
          <w:b/>
          <w:sz w:val="24"/>
          <w:szCs w:val="24"/>
        </w:rPr>
        <w:t xml:space="preserve">甲方（采购方）：       乙方（供应方）：     丙方（保险经纪公司）:</w:t>
      </w:r>
      <w:r/>
    </w:p>
    <w:p>
      <w:pPr>
        <w:ind w:right="-17" w:firstLine="482"/>
        <w:spacing w:line="360" w:lineRule="auto"/>
        <w:rPr>
          <w:rFonts w:ascii="宋体" w:hAnsi="宋体" w:cs="宋体"/>
          <w:b/>
          <w:sz w:val="24"/>
          <w:szCs w:val="24"/>
        </w:rPr>
      </w:pPr>
      <w:r>
        <w:rPr>
          <w:rFonts w:hint="eastAsia" w:ascii="宋体" w:hAnsi="宋体" w:cs="宋体"/>
          <w:b/>
          <w:sz w:val="24"/>
          <w:szCs w:val="24"/>
        </w:rPr>
        <w:t xml:space="preserve">地址：                     地址:            地址:</w:t>
      </w:r>
      <w:r/>
    </w:p>
    <w:p>
      <w:pPr>
        <w:ind w:right="-17" w:firstLine="482"/>
        <w:spacing w:line="360" w:lineRule="auto"/>
        <w:rPr>
          <w:rFonts w:ascii="宋体" w:hAnsi="宋体" w:cs="宋体"/>
          <w:b/>
          <w:sz w:val="24"/>
          <w:szCs w:val="24"/>
        </w:rPr>
      </w:pPr>
      <w:r>
        <w:rPr>
          <w:rFonts w:hint="eastAsia" w:ascii="宋体" w:hAnsi="宋体" w:cs="宋体"/>
          <w:b/>
          <w:sz w:val="24"/>
          <w:szCs w:val="24"/>
        </w:rPr>
        <w:t xml:space="preserve">联系人：                   联系人：         联系人：</w:t>
      </w:r>
      <w:r/>
    </w:p>
    <w:p>
      <w:pPr>
        <w:pStyle w:val="936"/>
        <w:ind w:firstLine="482"/>
        <w:spacing w:line="360" w:lineRule="auto"/>
        <w:rPr>
          <w:rFonts w:ascii="宋体" w:hAnsi="宋体" w:eastAsia="宋体" w:cs="宋体"/>
          <w:szCs w:val="24"/>
        </w:rPr>
      </w:pPr>
      <w:r>
        <w:rPr>
          <w:rFonts w:hint="eastAsia" w:ascii="宋体" w:hAnsi="宋体" w:eastAsia="宋体" w:cs="宋体"/>
          <w:b/>
          <w:sz w:val="24"/>
          <w:szCs w:val="24"/>
        </w:rPr>
        <w:t xml:space="preserve">联系电话：                 联系电话：       联系电话：</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本着公平、公正的原则，甲方采取招标的方式选择响水县民政局202</w:t>
      </w:r>
      <w:r>
        <w:rPr>
          <w:rFonts w:hint="eastAsia" w:ascii="宋体" w:hAnsi="宋体" w:cs="宋体"/>
          <w:sz w:val="24"/>
          <w:szCs w:val="24"/>
          <w:lang w:val="en-US" w:eastAsia="zh-CN"/>
        </w:rPr>
        <w:t xml:space="preserve">6</w:t>
      </w:r>
      <w:r>
        <w:rPr>
          <w:rFonts w:hint="eastAsia" w:ascii="宋体" w:hAnsi="宋体" w:cs="宋体"/>
          <w:sz w:val="24"/>
          <w:szCs w:val="24"/>
        </w:rPr>
        <w:t xml:space="preserve">年特困人员失能（失智）护理保险服务项目中标单位。甲方评标委员会评审结果，选定乙方为响水县民政局202</w:t>
      </w:r>
      <w:r>
        <w:rPr>
          <w:rFonts w:hint="eastAsia" w:ascii="宋体" w:hAnsi="宋体" w:cs="宋体"/>
          <w:sz w:val="24"/>
          <w:szCs w:val="24"/>
          <w:lang w:val="en-US" w:eastAsia="zh-CN"/>
        </w:rPr>
        <w:t xml:space="preserve">6</w:t>
      </w:r>
      <w:r>
        <w:rPr>
          <w:rFonts w:hint="eastAsia" w:ascii="宋体" w:hAnsi="宋体" w:cs="宋体"/>
          <w:sz w:val="24"/>
          <w:szCs w:val="24"/>
        </w:rPr>
        <w:t xml:space="preserve">年特困人员失能（失智）护理保险险服务项目的保险人，提供相应的保险服务。甲、乙、丙三方本着自愿、平等、互利和诚实信用的原则，经充分协商，达成以下协议：</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第一条  定义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一、被保险人</w:t>
      </w:r>
      <w:r/>
    </w:p>
    <w:p>
      <w:pPr>
        <w:pStyle w:val="932"/>
        <w:rPr>
          <w:rFonts w:ascii="宋体" w:hAnsi="宋体" w:cs="宋体"/>
        </w:rPr>
      </w:pPr>
      <w:r>
        <w:rPr>
          <w:rFonts w:hint="eastAsia" w:ascii="宋体" w:hAnsi="宋体" w:cs="宋体"/>
        </w:rPr>
        <w:t xml:space="preserve">响水县户籍的特困救助供养对象，以上人员不限年龄。</w:t>
      </w:r>
      <w:r/>
    </w:p>
    <w:p>
      <w:pPr>
        <w:pStyle w:val="932"/>
        <w:numPr>
          <w:ilvl w:val="0"/>
          <w:numId w:val="6"/>
        </w:numPr>
        <w:rPr>
          <w:rFonts w:ascii="宋体" w:hAnsi="宋体" w:cs="宋体"/>
        </w:rPr>
      </w:pPr>
      <w:r>
        <w:rPr>
          <w:rFonts w:hint="eastAsia" w:ascii="宋体" w:hAnsi="宋体" w:cs="宋体"/>
        </w:rPr>
        <w:t xml:space="preserve">保险公司</w:t>
      </w:r>
      <w:r/>
    </w:p>
    <w:p>
      <w:pPr>
        <w:pStyle w:val="932"/>
        <w:rPr>
          <w:rFonts w:ascii="宋体" w:hAnsi="宋体" w:cs="宋体"/>
        </w:rPr>
      </w:pPr>
      <w:r>
        <w:rPr>
          <w:rFonts w:hint="eastAsia" w:ascii="宋体" w:hAnsi="宋体" w:cs="宋体"/>
        </w:rPr>
        <w:t xml:space="preserve">保险人：</w:t>
      </w:r>
      <w:r/>
    </w:p>
    <w:p>
      <w:pPr>
        <w:pStyle w:val="932"/>
        <w:numPr>
          <w:ilvl w:val="0"/>
          <w:numId w:val="6"/>
        </w:numPr>
        <w:rPr>
          <w:rFonts w:ascii="宋体" w:hAnsi="宋体" w:cs="宋体"/>
        </w:rPr>
      </w:pPr>
      <w:r>
        <w:rPr>
          <w:rFonts w:hint="eastAsia" w:ascii="宋体" w:hAnsi="宋体" w:cs="宋体"/>
        </w:rPr>
        <w:t xml:space="preserve">保险经纪公司</w:t>
      </w:r>
      <w:r/>
    </w:p>
    <w:p>
      <w:pPr>
        <w:pStyle w:val="932"/>
        <w:rPr>
          <w:rFonts w:ascii="宋体" w:hAnsi="宋体" w:cs="宋体"/>
        </w:rPr>
      </w:pPr>
      <w:r>
        <w:rPr>
          <w:rFonts w:hint="eastAsia" w:ascii="宋体" w:hAnsi="宋体" w:cs="宋体"/>
        </w:rPr>
        <w:t xml:space="preserve">保险经纪公司：</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第二条  协议组成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一、下列文件应作为本协议的组成部分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1.本保险协议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2.甲方投保资料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3.保险单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4.批单</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响水县民政局2026年特困人员失能（失智）护理保险项目</w:t>
      </w:r>
      <w:r>
        <w:rPr>
          <w:rFonts w:hint="eastAsia" w:ascii="宋体" w:hAnsi="宋体" w:eastAsia="宋体" w:cs="宋体"/>
          <w:sz w:val="24"/>
          <w:szCs w:val="24"/>
        </w:rPr>
        <w:t xml:space="preserve">招标文件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6.投标文件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7.澄清答疑文件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8.中标通知书 </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9.保险谈判达成的书面协议以及乙方出具的承诺、澄清文书</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10.其他与本保险协议有关的文件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二、上述文件互为补充和解释，如有不清或互相矛盾之处，以签署时间在后者为准，如其他文件内容与协议正本内容有相互冲突之处，均以协议正本为准。但双方有特别约定的除外。</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第三条  保险条件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一、保险险种：以中标单位实际报备的相关条款为准。</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二、保险金额及缴费标准</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1.保险金额：以中标结果为准；</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2.缴费标准</w:t>
      </w:r>
      <w:r/>
    </w:p>
    <w:p>
      <w:pPr>
        <w:ind w:firstLine="480"/>
        <w:spacing w:line="360" w:lineRule="auto"/>
        <w:tabs>
          <w:tab w:val="left" w:pos="525" w:leader="none"/>
          <w:tab w:val="left" w:pos="960" w:leader="none"/>
          <w:tab w:val="left" w:pos="1050" w:leader="none"/>
          <w:tab w:val="left" w:pos="1140" w:leader="none"/>
        </w:tabs>
        <w:rPr>
          <w:rFonts w:ascii="宋体" w:hAnsi="宋体" w:cs="宋体"/>
          <w:sz w:val="24"/>
          <w:szCs w:val="24"/>
        </w:rPr>
      </w:pPr>
      <w:r>
        <w:rPr>
          <w:rFonts w:hint="eastAsia" w:ascii="宋体" w:hAnsi="宋体" w:cs="宋体"/>
          <w:sz w:val="24"/>
        </w:rPr>
        <w:t xml:space="preserve">共计</w:t>
      </w:r>
      <w:r>
        <w:rPr>
          <w:rFonts w:hint="eastAsia" w:ascii="宋体" w:hAnsi="宋体" w:cs="宋体"/>
          <w:sz w:val="24"/>
          <w:lang w:val="en-US" w:eastAsia="zh-CN"/>
        </w:rPr>
        <w:t xml:space="preserve">2419</w:t>
      </w:r>
      <w:r>
        <w:rPr>
          <w:rFonts w:hint="eastAsia" w:ascii="宋体" w:hAnsi="宋体" w:cs="宋体"/>
          <w:sz w:val="24"/>
        </w:rPr>
        <w:t xml:space="preserve">人，保费标准500元/人/年，共计</w:t>
      </w:r>
      <w:r>
        <w:rPr>
          <w:rFonts w:hint="eastAsia" w:ascii="宋体" w:hAnsi="宋体" w:cs="宋体"/>
          <w:sz w:val="24"/>
          <w:lang w:val="en-US" w:eastAsia="zh-CN"/>
        </w:rPr>
        <w:t xml:space="preserve">120.95万</w:t>
      </w:r>
      <w:r>
        <w:rPr>
          <w:rFonts w:hint="eastAsia" w:ascii="宋体" w:hAnsi="宋体" w:cs="宋体"/>
          <w:sz w:val="24"/>
        </w:rPr>
        <w:t xml:space="preserve">元，所</w:t>
      </w:r>
      <w:r>
        <w:rPr>
          <w:rFonts w:hint="eastAsia" w:ascii="宋体" w:hAnsi="宋体" w:cs="宋体"/>
          <w:sz w:val="24"/>
          <w:szCs w:val="24"/>
        </w:rPr>
        <w:t xml:space="preserve">需保费由响水县财政负担。</w:t>
      </w:r>
      <w:r/>
    </w:p>
    <w:p>
      <w:pPr>
        <w:ind w:firstLine="480"/>
        <w:spacing w:line="360" w:lineRule="auto"/>
        <w:rPr>
          <w:rFonts w:ascii="宋体" w:hAnsi="宋体" w:cs="宋体"/>
          <w:sz w:val="24"/>
          <w:szCs w:val="24"/>
        </w:rPr>
      </w:pPr>
      <w:r>
        <w:rPr>
          <w:rFonts w:hint="eastAsia" w:ascii="宋体" w:hAnsi="宋体" w:cs="宋体"/>
          <w:sz w:val="24"/>
          <w:szCs w:val="24"/>
        </w:rPr>
        <w:t xml:space="preserve">3.合同履行期限：本项目招标期限为一年。</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三、保险条件：保险期限、保单明细与保险条款等详见附件。</w:t>
      </w:r>
      <w:r/>
    </w:p>
    <w:p>
      <w:pPr>
        <w:pStyle w:val="936"/>
        <w:ind w:firstLine="480"/>
        <w:spacing w:line="360" w:lineRule="auto"/>
        <w:rPr>
          <w:rFonts w:ascii="宋体" w:hAnsi="宋体" w:eastAsia="宋体" w:cs="宋体"/>
          <w:szCs w:val="24"/>
        </w:rPr>
      </w:pPr>
      <w:r>
        <w:rPr>
          <w:rFonts w:hint="eastAsia" w:ascii="宋体" w:hAnsi="宋体" w:eastAsia="宋体" w:cs="宋体"/>
          <w:sz w:val="24"/>
          <w:szCs w:val="24"/>
        </w:rPr>
        <w:t xml:space="preserve">第四条  投保、出单及保费支付</w:t>
      </w:r>
      <w:r/>
    </w:p>
    <w:p>
      <w:pPr>
        <w:ind w:firstLine="480"/>
        <w:spacing w:line="360" w:lineRule="auto"/>
        <w:rPr>
          <w:rFonts w:ascii="宋体" w:hAnsi="宋体" w:cs="宋体"/>
          <w:sz w:val="24"/>
          <w:szCs w:val="24"/>
        </w:rPr>
      </w:pPr>
      <w:r>
        <w:rPr>
          <w:rFonts w:hint="eastAsia" w:ascii="宋体" w:hAnsi="宋体" w:cs="宋体"/>
          <w:sz w:val="24"/>
          <w:szCs w:val="24"/>
        </w:rPr>
        <w:t xml:space="preserve">一、投保出单</w:t>
      </w:r>
      <w:r/>
    </w:p>
    <w:p>
      <w:pPr>
        <w:ind w:firstLine="480"/>
        <w:spacing w:line="360" w:lineRule="auto"/>
        <w:rPr>
          <w:rFonts w:ascii="宋体" w:hAnsi="宋体" w:cs="宋体"/>
          <w:sz w:val="24"/>
          <w:szCs w:val="24"/>
        </w:rPr>
      </w:pPr>
      <w:r>
        <w:rPr>
          <w:rFonts w:hint="eastAsia" w:ascii="宋体" w:hAnsi="宋体" w:cs="宋体"/>
          <w:sz w:val="24"/>
          <w:szCs w:val="24"/>
        </w:rPr>
        <w:t xml:space="preserve">1.甲方负责准备投保数据，提供投保资料。</w:t>
      </w:r>
      <w:r/>
    </w:p>
    <w:p>
      <w:pPr>
        <w:ind w:firstLine="480"/>
        <w:spacing w:line="360" w:lineRule="auto"/>
        <w:rPr>
          <w:rFonts w:ascii="宋体" w:hAnsi="宋体" w:cs="宋体"/>
          <w:sz w:val="24"/>
          <w:szCs w:val="24"/>
        </w:rPr>
      </w:pPr>
      <w:r>
        <w:rPr>
          <w:rFonts w:hint="eastAsia" w:ascii="宋体" w:hAnsi="宋体" w:cs="宋体"/>
          <w:sz w:val="24"/>
          <w:szCs w:val="24"/>
        </w:rPr>
        <w:t xml:space="preserve">在本协议有效期间，丙方全程协助甲方准备投保数据及相关资料，并提交给保险人进行出单。</w:t>
      </w:r>
      <w:r/>
    </w:p>
    <w:p>
      <w:pPr>
        <w:ind w:firstLine="480"/>
        <w:spacing w:line="360" w:lineRule="auto"/>
        <w:rPr>
          <w:rFonts w:ascii="宋体" w:hAnsi="宋体" w:cs="宋体"/>
          <w:sz w:val="24"/>
          <w:szCs w:val="24"/>
        </w:rPr>
      </w:pPr>
      <w:r>
        <w:rPr>
          <w:rFonts w:hint="eastAsia" w:ascii="宋体" w:hAnsi="宋体" w:cs="宋体"/>
          <w:sz w:val="24"/>
          <w:szCs w:val="24"/>
        </w:rPr>
        <w:t xml:space="preserve">2.保险人根据协议出单</w:t>
      </w:r>
      <w:r/>
    </w:p>
    <w:p>
      <w:pPr>
        <w:ind w:firstLine="480"/>
        <w:spacing w:line="360" w:lineRule="auto"/>
        <w:rPr>
          <w:rFonts w:ascii="宋体" w:hAnsi="宋体" w:cs="宋体"/>
          <w:sz w:val="24"/>
          <w:szCs w:val="24"/>
        </w:rPr>
      </w:pPr>
      <w:r>
        <w:rPr>
          <w:rFonts w:hint="eastAsia" w:ascii="宋体" w:hAnsi="宋体" w:cs="宋体"/>
          <w:sz w:val="24"/>
          <w:szCs w:val="24"/>
        </w:rPr>
        <w:t xml:space="preserve">保险人根据本协议的有关内容准备投保单、开具保费发票，并将复印件递交至丙方进行审核，发现问题后及时通知保险人进行批改。</w:t>
      </w:r>
      <w:r/>
    </w:p>
    <w:p>
      <w:pPr>
        <w:ind w:firstLine="480"/>
        <w:spacing w:line="360" w:lineRule="auto"/>
        <w:rPr>
          <w:rFonts w:ascii="宋体" w:hAnsi="宋体" w:cs="宋体"/>
          <w:sz w:val="24"/>
          <w:szCs w:val="24"/>
        </w:rPr>
      </w:pPr>
      <w:r>
        <w:rPr>
          <w:rFonts w:hint="eastAsia" w:ascii="宋体" w:hAnsi="宋体" w:cs="宋体"/>
          <w:sz w:val="24"/>
          <w:szCs w:val="24"/>
        </w:rPr>
        <w:t xml:space="preserve">二、保费支付</w:t>
      </w:r>
      <w:r/>
    </w:p>
    <w:p>
      <w:pPr>
        <w:ind w:firstLine="480"/>
        <w:spacing w:line="360" w:lineRule="auto"/>
      </w:pPr>
      <w:r>
        <w:rPr>
          <w:rFonts w:hint="eastAsia" w:ascii="宋体" w:hAnsi="宋体" w:cs="宋体"/>
          <w:sz w:val="24"/>
          <w:szCs w:val="24"/>
        </w:rPr>
        <w:t xml:space="preserve">甲方签订合同后15日内，根据乙方提供的投保单、保费发票等资料，一次性支付全额保费。</w:t>
      </w:r>
      <w:r/>
    </w:p>
    <w:p>
      <w:pPr>
        <w:ind w:firstLine="480"/>
        <w:spacing w:line="360" w:lineRule="auto"/>
        <w:rPr>
          <w:rFonts w:ascii="宋体" w:hAnsi="宋体" w:cs="宋体"/>
          <w:sz w:val="24"/>
          <w:szCs w:val="24"/>
        </w:rPr>
      </w:pPr>
      <w:r>
        <w:rPr>
          <w:rFonts w:hint="eastAsia" w:ascii="宋体" w:hAnsi="宋体" w:cs="宋体"/>
          <w:sz w:val="24"/>
          <w:szCs w:val="24"/>
        </w:rPr>
        <w:t xml:space="preserve">第五条  服务条款</w:t>
      </w:r>
      <w:bookmarkStart w:id="180" w:name="_Toc402801898"/>
      <w:r/>
      <w:bookmarkEnd w:id="180"/>
      <w:r/>
      <w:r/>
    </w:p>
    <w:p>
      <w:pPr>
        <w:ind w:firstLine="480"/>
        <w:spacing w:line="360" w:lineRule="auto"/>
        <w:rPr>
          <w:rFonts w:ascii="宋体" w:hAnsi="宋体" w:cs="宋体"/>
          <w:sz w:val="24"/>
          <w:szCs w:val="24"/>
        </w:rPr>
      </w:pPr>
      <w:r>
        <w:rPr>
          <w:rFonts w:hint="eastAsia" w:ascii="宋体" w:hAnsi="宋体" w:cs="宋体"/>
          <w:sz w:val="24"/>
          <w:szCs w:val="24"/>
        </w:rPr>
        <w:t xml:space="preserve">为使被保险人获得完善的保险服务，承保人同意以下各项补充约定并将其视为未来保险合同的一部分，由保险双方共同遵守。</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1.承保服务工作细致、明确；</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2.响水县的服务网点均有专人服务，须安排专人收取理赔材料；</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3.建立24小时服务热线，明确赶赴事故现场时效、理赔程序、具体赔款时限清楚。</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4.承保人按月汇总承保及理赔数据，于次月5日前向本项目的经纪人递交相关承保及理赔数据月报，并于保险年度结束后10日内递交承保及理赔数据年报。</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5.承保人在保险期限内实施项目相关活动，包括但不限于风险防范、宣传及培训、宣传资料的印制等。</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6.赔偿处理</w:t>
      </w:r>
      <w:r/>
    </w:p>
    <w:p>
      <w:pPr>
        <w:ind w:firstLine="480"/>
        <w:spacing w:line="360" w:lineRule="auto"/>
        <w:tabs>
          <w:tab w:val="left" w:pos="540" w:leader="none"/>
          <w:tab w:val="left" w:pos="993" w:leader="none"/>
        </w:tabs>
        <w:rPr>
          <w:rFonts w:ascii="宋体" w:hAnsi="宋体" w:cs="宋体"/>
          <w:sz w:val="24"/>
          <w:szCs w:val="24"/>
        </w:rPr>
      </w:pPr>
      <w:r>
        <w:rPr>
          <w:rFonts w:hint="eastAsia" w:ascii="宋体" w:hAnsi="宋体" w:cs="宋体"/>
          <w:sz w:val="24"/>
          <w:szCs w:val="24"/>
        </w:rPr>
        <w:t xml:space="preserve">（1）基本原则：保险人不得以任何理由推卸、拖延和拒绝被保险人索赔要求，除非有合理和足够的证据证明，否则其行为构成违约并须承担违约责任；</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（2）一旦接到被保险人通知，保险人代表应尽早赶赴事故现场开始初步调查并提出止损建议，被保险人应予以配合；</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left="44" w:firstLine="424"/>
        <w:spacing w:line="360" w:lineRule="auto"/>
        <w:tabs>
          <w:tab w:val="left" w:pos="851" w:leader="none"/>
          <w:tab w:val="left" w:pos="993" w:leader="none"/>
        </w:tabs>
        <w:rPr>
          <w:rFonts w:ascii="宋体" w:hAnsi="宋体" w:cs="宋体"/>
          <w:sz w:val="24"/>
          <w:szCs w:val="24"/>
        </w:rPr>
      </w:pPr>
      <w:r>
        <w:rPr>
          <w:rFonts w:hint="eastAsia" w:ascii="宋体" w:hAnsi="宋体" w:cs="宋体"/>
          <w:sz w:val="24"/>
          <w:szCs w:val="24"/>
        </w:rPr>
        <w:t xml:space="preserve">（4）涉及有责任的第三方事故时，被保险人不能在获得保险人书面同意以前放弃向其追索的权利；</w:t>
      </w:r>
      <w:r/>
    </w:p>
    <w:p>
      <w:pPr>
        <w:ind w:firstLine="463"/>
        <w:spacing w:line="360" w:lineRule="auto"/>
        <w:tabs>
          <w:tab w:val="left" w:pos="993" w:leader="none"/>
        </w:tabs>
        <w:rPr>
          <w:rFonts w:ascii="宋体" w:hAnsi="宋体" w:cs="宋体"/>
          <w:sz w:val="24"/>
          <w:szCs w:val="24"/>
        </w:rPr>
      </w:pPr>
      <w:r>
        <w:rPr>
          <w:rFonts w:hint="eastAsia" w:ascii="宋体" w:hAnsi="宋体" w:cs="宋体"/>
          <w:sz w:val="24"/>
          <w:szCs w:val="24"/>
        </w:rPr>
        <w:t xml:space="preserve">（5）对于虽经被保险人/经纪人努力仍无法完成的证据/证明材料提交工作，保险人须予以帮助并不得以此为由推卸、拖延和拒绝履行合同责任；</w:t>
      </w:r>
      <w:r/>
    </w:p>
    <w:p>
      <w:pPr>
        <w:pStyle w:val="995"/>
        <w:ind w:firstLine="480"/>
        <w:spacing w:line="360" w:lineRule="auto"/>
        <w:tabs>
          <w:tab w:val="left" w:pos="993" w:leader="none"/>
        </w:tabs>
        <w:rPr>
          <w:rFonts w:ascii="宋体" w:hAnsi="宋体" w:cs="宋体"/>
          <w:bCs/>
          <w:sz w:val="24"/>
          <w:szCs w:val="24"/>
        </w:rPr>
      </w:pPr>
      <w:r>
        <w:rPr>
          <w:rFonts w:hint="eastAsia" w:ascii="宋体" w:hAnsi="宋体" w:cs="宋体"/>
          <w:sz w:val="24"/>
          <w:szCs w:val="24"/>
        </w:rPr>
        <w:t xml:space="preserve">（6）</w:t>
      </w:r>
      <w:r>
        <w:rPr>
          <w:rFonts w:hint="eastAsia" w:ascii="宋体" w:hAnsi="宋体" w:cs="宋体"/>
          <w:bCs/>
          <w:sz w:val="24"/>
          <w:szCs w:val="24"/>
        </w:rPr>
        <w:t xml:space="preserve">保险人收集齐理赔材料后，应在10个工作日内完成赔付工作；</w:t>
      </w:r>
      <w:r/>
    </w:p>
    <w:p>
      <w:pPr>
        <w:pStyle w:val="995"/>
        <w:ind w:firstLine="480"/>
        <w:spacing w:line="360" w:lineRule="auto"/>
        <w:tabs>
          <w:tab w:val="left" w:pos="993" w:leader="none"/>
        </w:tabs>
        <w:rPr>
          <w:rFonts w:ascii="宋体" w:hAnsi="宋体" w:cs="宋体"/>
          <w:bCs/>
          <w:sz w:val="24"/>
          <w:szCs w:val="24"/>
        </w:rPr>
      </w:pPr>
      <w:r>
        <w:rPr>
          <w:rFonts w:hint="eastAsia" w:ascii="宋体" w:hAnsi="宋体" w:cs="宋体"/>
          <w:bCs/>
          <w:sz w:val="24"/>
          <w:szCs w:val="24"/>
        </w:rPr>
        <w:t xml:space="preserve">（7）对于已受理报案但拒绝赔付的案件须出具拒赔通知书，并按本项目经纪公司的要求，将未赔付人员明细于次月5日前递交至经纪公司。</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7.关于考核</w:t>
      </w:r>
      <w:r/>
    </w:p>
    <w:p>
      <w:pPr>
        <w:pStyle w:val="995"/>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8.关于保险合同</w:t>
      </w:r>
      <w:r/>
    </w:p>
    <w:p>
      <w:pPr>
        <w:spacing w:line="360" w:lineRule="auto"/>
        <w:tabs>
          <w:tab w:val="left" w:pos="993" w:leader="none"/>
        </w:tabs>
        <w:rPr>
          <w:rFonts w:ascii="宋体" w:hAnsi="宋体" w:cs="宋体"/>
          <w:sz w:val="24"/>
          <w:szCs w:val="24"/>
        </w:rPr>
      </w:pPr>
      <w:r>
        <w:rPr>
          <w:rFonts w:hint="eastAsia" w:ascii="宋体" w:hAnsi="宋体" w:cs="宋体"/>
          <w:sz w:val="24"/>
          <w:szCs w:val="24"/>
        </w:rPr>
        <w:t xml:space="preserve">    （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spacing w:line="360" w:lineRule="auto"/>
        <w:tabs>
          <w:tab w:val="left" w:pos="993" w:leader="none"/>
        </w:tabs>
        <w:rPr>
          <w:rFonts w:ascii="宋体" w:hAnsi="宋体" w:cs="宋体"/>
          <w:sz w:val="24"/>
          <w:szCs w:val="24"/>
        </w:rPr>
      </w:pPr>
      <w:r>
        <w:rPr>
          <w:rFonts w:hint="eastAsia" w:ascii="宋体" w:hAnsi="宋体" w:cs="宋体"/>
          <w:sz w:val="24"/>
          <w:szCs w:val="24"/>
        </w:rPr>
        <w:t xml:space="preserve">    （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spacing w:line="360" w:lineRule="auto"/>
        <w:tabs>
          <w:tab w:val="left" w:pos="993" w:leader="none"/>
        </w:tabs>
        <w:rPr>
          <w:rFonts w:ascii="宋体" w:hAnsi="宋体" w:cs="宋体"/>
          <w:sz w:val="24"/>
          <w:szCs w:val="24"/>
        </w:rPr>
      </w:pPr>
      <w:r>
        <w:rPr>
          <w:rFonts w:hint="eastAsia" w:ascii="宋体" w:hAnsi="宋体" w:cs="宋体"/>
          <w:sz w:val="24"/>
          <w:szCs w:val="24"/>
        </w:rPr>
        <w:t xml:space="preserve">9.本次招标活动依照中华人民共和国相关法律法规进行。</w:t>
      </w:r>
      <w:r/>
    </w:p>
    <w:p>
      <w:pPr>
        <w:pStyle w:val="936"/>
        <w:spacing w:before="145" w:after="145" w:line="360" w:lineRule="auto"/>
        <w:rPr>
          <w:rFonts w:ascii="宋体" w:hAnsi="宋体" w:eastAsia="宋体" w:cs="宋体"/>
          <w:szCs w:val="24"/>
        </w:rPr>
      </w:pPr>
      <w:r>
        <w:rPr>
          <w:rFonts w:hint="eastAsia" w:ascii="宋体" w:hAnsi="宋体" w:eastAsia="宋体" w:cs="宋体"/>
          <w:b/>
          <w:sz w:val="24"/>
          <w:szCs w:val="24"/>
        </w:rPr>
        <w:t xml:space="preserve">第六条  保密条款</w:t>
      </w:r>
      <w:r/>
    </w:p>
    <w:p>
      <w:pPr>
        <w:ind w:firstLine="480"/>
        <w:spacing w:line="360" w:lineRule="auto"/>
        <w:rPr>
          <w:rFonts w:ascii="宋体" w:hAnsi="宋体" w:cs="宋体"/>
          <w:sz w:val="24"/>
          <w:szCs w:val="24"/>
        </w:rPr>
      </w:pPr>
      <w:r>
        <w:rPr>
          <w:rFonts w:hint="eastAsia" w:ascii="宋体" w:hAnsi="宋体" w:cs="宋体"/>
          <w:sz w:val="24"/>
          <w:szCs w:val="24"/>
        </w:rPr>
        <w:t xml:space="preserve">除非下列情况，自本协议生效之日起，甲、乙、丙方不得将本协议涉及的所有有形、无形的信息及资料（包括但不限于双方的往来书面文字文件、电子邮件及其他信息资料等）泄露给除本协议合同方和被保险人之外的其他方：</w:t>
      </w:r>
      <w:r/>
    </w:p>
    <w:p>
      <w:pPr>
        <w:spacing w:line="360" w:lineRule="auto"/>
        <w:rPr>
          <w:rFonts w:ascii="宋体" w:hAnsi="宋体" w:cs="宋体"/>
          <w:sz w:val="24"/>
          <w:szCs w:val="24"/>
        </w:rPr>
      </w:pPr>
      <w:r>
        <w:rPr>
          <w:rFonts w:hint="eastAsia" w:ascii="宋体" w:hAnsi="宋体" w:cs="宋体"/>
          <w:sz w:val="24"/>
          <w:szCs w:val="24"/>
        </w:rPr>
        <w:t xml:space="preserve">　　1.应法律或司法管辖要求而提供。</w:t>
      </w:r>
      <w:r/>
    </w:p>
    <w:p>
      <w:pPr>
        <w:ind w:firstLine="480"/>
        <w:spacing w:line="360" w:lineRule="auto"/>
        <w:rPr>
          <w:rFonts w:ascii="宋体" w:hAnsi="宋体" w:cs="宋体"/>
          <w:sz w:val="24"/>
          <w:szCs w:val="24"/>
        </w:rPr>
      </w:pPr>
      <w:r>
        <w:rPr>
          <w:rFonts w:hint="eastAsia" w:ascii="宋体" w:hAnsi="宋体" w:cs="宋体"/>
          <w:sz w:val="24"/>
          <w:szCs w:val="24"/>
        </w:rPr>
        <w:t xml:space="preserve">2.经甲、乙、丙三方书面同意。</w:t>
      </w:r>
      <w:r/>
    </w:p>
    <w:p>
      <w:pPr>
        <w:ind w:firstLine="480"/>
        <w:spacing w:line="360" w:lineRule="auto"/>
        <w:rPr>
          <w:rFonts w:ascii="宋体" w:hAnsi="宋体" w:cs="宋体"/>
          <w:sz w:val="24"/>
          <w:szCs w:val="24"/>
        </w:rPr>
      </w:pPr>
      <w:r>
        <w:rPr>
          <w:rFonts w:hint="eastAsia" w:ascii="宋体" w:hAnsi="宋体" w:cs="宋体"/>
          <w:sz w:val="24"/>
          <w:szCs w:val="24"/>
        </w:rPr>
        <w:t xml:space="preserve">本协议一方因过错泄密而给另一方造成损失的，过错方应依法承担损害赔偿等法律责任。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本协议终止时本条款继续并长期有效。</w:t>
      </w:r>
      <w:r/>
    </w:p>
    <w:p>
      <w:pPr>
        <w:pStyle w:val="936"/>
        <w:spacing w:before="145" w:after="145" w:line="360" w:lineRule="auto"/>
        <w:rPr>
          <w:rFonts w:ascii="宋体" w:hAnsi="宋体" w:eastAsia="宋体" w:cs="宋体"/>
          <w:szCs w:val="24"/>
        </w:rPr>
      </w:pPr>
      <w:r>
        <w:rPr>
          <w:rFonts w:hint="eastAsia" w:ascii="宋体" w:hAnsi="宋体" w:eastAsia="宋体" w:cs="宋体"/>
          <w:b/>
          <w:sz w:val="24"/>
          <w:szCs w:val="24"/>
        </w:rPr>
        <w:t xml:space="preserve">第七条  协议有效期</w:t>
      </w:r>
      <w:r/>
    </w:p>
    <w:p>
      <w:pPr>
        <w:pStyle w:val="936"/>
        <w:ind w:firstLine="480"/>
        <w:spacing w:before="145" w:after="145" w:line="360" w:lineRule="auto"/>
        <w:rPr>
          <w:rFonts w:ascii="宋体" w:hAnsi="宋体" w:eastAsia="宋体" w:cs="宋体"/>
          <w:szCs w:val="24"/>
        </w:rPr>
      </w:pPr>
      <w:r>
        <w:rPr>
          <w:rFonts w:hint="eastAsia" w:ascii="宋体" w:hAnsi="宋体" w:eastAsia="宋体" w:cs="宋体"/>
          <w:sz w:val="24"/>
          <w:szCs w:val="24"/>
        </w:rPr>
        <w:t xml:space="preserve">本协议自甲、乙、丙三方授权代表签字并加盖公章之日起生效，并承担保险责任。协议终止日为本合同约定内容全部履约结束后。</w:t>
      </w:r>
      <w:r/>
    </w:p>
    <w:p>
      <w:pPr>
        <w:pStyle w:val="936"/>
        <w:spacing w:before="145" w:after="145" w:line="360" w:lineRule="auto"/>
        <w:rPr>
          <w:rFonts w:ascii="宋体" w:hAnsi="宋体" w:eastAsia="宋体" w:cs="宋体"/>
          <w:szCs w:val="24"/>
        </w:rPr>
      </w:pPr>
      <w:r>
        <w:rPr>
          <w:rFonts w:hint="eastAsia" w:ascii="宋体" w:hAnsi="宋体" w:eastAsia="宋体" w:cs="宋体"/>
          <w:b/>
          <w:sz w:val="24"/>
          <w:szCs w:val="24"/>
        </w:rPr>
        <w:t xml:space="preserve">第八条  协议的变更与终止</w:t>
      </w:r>
      <w:r/>
    </w:p>
    <w:p>
      <w:pPr>
        <w:ind w:firstLine="480"/>
        <w:spacing w:line="360" w:lineRule="auto"/>
        <w:rPr>
          <w:rFonts w:ascii="宋体" w:hAnsi="宋体" w:cs="宋体"/>
          <w:sz w:val="24"/>
          <w:szCs w:val="24"/>
        </w:rPr>
      </w:pPr>
      <w:r>
        <w:rPr>
          <w:rFonts w:hint="eastAsia" w:ascii="宋体" w:hAnsi="宋体" w:cs="宋体"/>
          <w:sz w:val="24"/>
          <w:szCs w:val="24"/>
        </w:rPr>
        <w:t xml:space="preserve">协议执行过程中，如一方需要变更或终止协议，应提前1个月书面通知另外两方，经三方协商同意后变更或终止。</w:t>
      </w:r>
      <w:r/>
    </w:p>
    <w:p>
      <w:pPr>
        <w:pStyle w:val="936"/>
        <w:spacing w:before="145" w:after="145" w:line="420" w:lineRule="atLeast"/>
        <w:rPr>
          <w:rFonts w:ascii="宋体" w:hAnsi="宋体" w:eastAsia="宋体" w:cs="宋体"/>
          <w:szCs w:val="24"/>
        </w:rPr>
      </w:pPr>
      <w:r>
        <w:rPr>
          <w:rFonts w:hint="eastAsia" w:ascii="宋体" w:hAnsi="宋体" w:eastAsia="宋体" w:cs="宋体"/>
          <w:b/>
          <w:sz w:val="24"/>
          <w:szCs w:val="24"/>
        </w:rPr>
        <w:t xml:space="preserve">第九条  争议的解决</w:t>
      </w:r>
      <w:r/>
    </w:p>
    <w:p>
      <w:pPr>
        <w:ind w:firstLine="480"/>
        <w:spacing w:line="420" w:lineRule="atLeast"/>
        <w:rPr>
          <w:rFonts w:ascii="宋体" w:hAnsi="宋体" w:cs="宋体"/>
          <w:sz w:val="24"/>
          <w:szCs w:val="24"/>
        </w:rPr>
      </w:pPr>
      <w:r>
        <w:rPr>
          <w:rFonts w:hint="eastAsia" w:ascii="宋体" w:hAnsi="宋体" w:cs="宋体"/>
          <w:sz w:val="24"/>
          <w:szCs w:val="24"/>
        </w:rPr>
        <w:t xml:space="preserve">合同各方若发生争议，应首先通过友好协商解决，不能协商解决的，应将争议提请甲方所在地法院，通过诉讼解决。</w:t>
      </w:r>
      <w:r/>
    </w:p>
    <w:p>
      <w:pPr>
        <w:pStyle w:val="936"/>
        <w:spacing w:before="145" w:after="145" w:line="420" w:lineRule="atLeast"/>
        <w:rPr>
          <w:rFonts w:ascii="宋体" w:hAnsi="宋体" w:eastAsia="宋体" w:cs="宋体"/>
          <w:szCs w:val="24"/>
        </w:rPr>
      </w:pPr>
      <w:r>
        <w:rPr>
          <w:rFonts w:hint="eastAsia" w:ascii="宋体" w:hAnsi="宋体" w:eastAsia="宋体" w:cs="宋体"/>
          <w:b/>
          <w:sz w:val="24"/>
          <w:szCs w:val="24"/>
        </w:rPr>
        <w:t xml:space="preserve">第十条  其他</w:t>
      </w:r>
      <w:r/>
    </w:p>
    <w:p>
      <w:pPr>
        <w:ind w:firstLine="480"/>
        <w:spacing w:line="420" w:lineRule="atLeast"/>
        <w:rPr>
          <w:rFonts w:ascii="宋体" w:hAnsi="宋体" w:cs="宋体"/>
          <w:sz w:val="24"/>
          <w:szCs w:val="24"/>
        </w:rPr>
      </w:pPr>
      <w:r>
        <w:rPr>
          <w:rFonts w:hint="eastAsia" w:ascii="宋体" w:hAnsi="宋体" w:cs="宋体"/>
          <w:sz w:val="24"/>
          <w:szCs w:val="24"/>
        </w:rPr>
        <w:t xml:space="preserve">本协议一式捌份，每份具有同等效力。</w:t>
      </w:r>
      <w:r/>
    </w:p>
    <w:p>
      <w:pPr>
        <w:ind w:firstLine="480"/>
        <w:spacing w:line="420" w:lineRule="atLeast"/>
        <w:rPr>
          <w:rFonts w:ascii="宋体" w:hAnsi="宋体" w:cs="宋体"/>
          <w:sz w:val="24"/>
          <w:szCs w:val="24"/>
        </w:rPr>
      </w:pPr>
      <w:r>
        <w:rPr>
          <w:rFonts w:hint="eastAsia" w:ascii="宋体" w:hAnsi="宋体" w:cs="宋体"/>
          <w:sz w:val="24"/>
          <w:szCs w:val="24"/>
        </w:rPr>
        <w:t xml:space="preserve">（以下无正文）</w:t>
      </w:r>
      <w:r/>
    </w:p>
    <w:p>
      <w:pPr>
        <w:pStyle w:val="994"/>
        <w:ind w:firstLine="480"/>
        <w:spacing w:line="420" w:lineRule="atLeast"/>
        <w:tabs>
          <w:tab w:val="left" w:pos="720" w:leader="none"/>
        </w:tabs>
        <w:rPr>
          <w:rFonts w:ascii="宋体" w:hAnsi="宋体" w:cs="宋体"/>
          <w:sz w:val="24"/>
          <w:szCs w:val="24"/>
        </w:rPr>
      </w:pPr>
      <w:r>
        <w:rPr>
          <w:rFonts w:hint="eastAsia" w:ascii="宋体" w:hAnsi="宋体" w:cs="宋体"/>
          <w:sz w:val="24"/>
          <w:szCs w:val="24"/>
        </w:rPr>
        <w:t xml:space="preserve">甲方（盖章）：                      乙方（盖章）： </w:t>
      </w:r>
      <w:r/>
    </w:p>
    <w:p>
      <w:pPr>
        <w:pStyle w:val="936"/>
        <w:ind w:firstLine="480"/>
        <w:spacing w:line="420" w:lineRule="atLeast"/>
        <w:rPr>
          <w:rFonts w:ascii="宋体" w:hAnsi="宋体" w:eastAsia="宋体" w:cs="宋体"/>
          <w:sz w:val="24"/>
          <w:szCs w:val="24"/>
        </w:rPr>
      </w:pPr>
      <w:r>
        <w:rPr>
          <w:rFonts w:hint="eastAsia" w:ascii="宋体" w:hAnsi="宋体" w:eastAsia="宋体" w:cs="宋体"/>
          <w:sz w:val="24"/>
          <w:szCs w:val="24"/>
        </w:rPr>
        <w:t xml:space="preserve">授权代表（签字或盖章）：            授权代表（签字或盖章）：</w:t>
      </w:r>
      <w:r/>
    </w:p>
    <w:p>
      <w:pPr>
        <w:pStyle w:val="936"/>
        <w:ind w:firstLine="480"/>
        <w:spacing w:line="420" w:lineRule="atLeast"/>
        <w:rPr>
          <w:rFonts w:ascii="宋体" w:hAnsi="宋体" w:eastAsia="宋体" w:cs="宋体"/>
          <w:szCs w:val="24"/>
        </w:rPr>
      </w:pPr>
      <w:r>
        <w:rPr>
          <w:rFonts w:hint="eastAsia" w:ascii="宋体" w:hAnsi="宋体" w:eastAsia="宋体" w:cs="宋体"/>
          <w:sz w:val="24"/>
          <w:szCs w:val="24"/>
        </w:rPr>
        <w:t xml:space="preserve">签约时间：                          签约时间：</w:t>
      </w:r>
      <w:r/>
    </w:p>
    <w:p>
      <w:pPr>
        <w:pStyle w:val="994"/>
        <w:ind w:firstLine="480"/>
        <w:spacing w:line="420" w:lineRule="atLeast"/>
        <w:tabs>
          <w:tab w:val="left" w:pos="720" w:leader="none"/>
        </w:tabs>
        <w:rPr>
          <w:rFonts w:ascii="宋体" w:hAnsi="宋体" w:cs="宋体"/>
          <w:sz w:val="24"/>
          <w:szCs w:val="24"/>
        </w:rPr>
      </w:pPr>
      <w:r>
        <w:rPr>
          <w:rFonts w:hint="eastAsia" w:ascii="宋体" w:hAnsi="宋体" w:cs="宋体"/>
          <w:sz w:val="24"/>
          <w:szCs w:val="24"/>
        </w:rPr>
        <w:t xml:space="preserve">丙方（盖章）： </w:t>
      </w:r>
      <w:r/>
    </w:p>
    <w:p>
      <w:pPr>
        <w:pStyle w:val="936"/>
        <w:ind w:firstLine="480"/>
        <w:spacing w:line="420" w:lineRule="atLeast"/>
        <w:rPr>
          <w:rFonts w:ascii="宋体" w:hAnsi="宋体" w:eastAsia="宋体" w:cs="宋体"/>
          <w:sz w:val="24"/>
          <w:szCs w:val="24"/>
        </w:rPr>
      </w:pPr>
      <w:r>
        <w:rPr>
          <w:rFonts w:hint="eastAsia" w:ascii="宋体" w:hAnsi="宋体" w:eastAsia="宋体" w:cs="宋体"/>
          <w:sz w:val="24"/>
          <w:szCs w:val="24"/>
        </w:rPr>
        <w:t xml:space="preserve">授权代表（签字或盖章）：</w:t>
      </w:r>
      <w:r/>
    </w:p>
    <w:p>
      <w:pPr>
        <w:pStyle w:val="936"/>
        <w:ind w:firstLine="480"/>
        <w:spacing w:line="420" w:lineRule="atLeast"/>
        <w:rPr>
          <w:rFonts w:ascii="宋体" w:hAnsi="宋体" w:eastAsia="宋体" w:cs="宋体"/>
          <w:szCs w:val="24"/>
        </w:rPr>
      </w:pPr>
      <w:r>
        <w:rPr>
          <w:rFonts w:hint="eastAsia" w:ascii="宋体" w:hAnsi="宋体" w:eastAsia="宋体" w:cs="宋体"/>
          <w:sz w:val="24"/>
          <w:szCs w:val="24"/>
        </w:rPr>
        <w:t xml:space="preserve">签约时间： </w:t>
      </w:r>
      <w:r/>
    </w:p>
    <w:p>
      <w:pPr>
        <w:ind w:right="-17" w:firstLine="490"/>
        <w:spacing w:line="420" w:lineRule="atLeast"/>
        <w:rPr>
          <w:rFonts w:ascii="宋体" w:hAnsi="宋体" w:cs="宋体"/>
          <w:b/>
          <w:spacing w:val="2"/>
          <w:sz w:val="24"/>
          <w:szCs w:val="24"/>
        </w:rPr>
      </w:pPr>
      <w:r>
        <w:rPr>
          <w:rFonts w:ascii="宋体" w:hAnsi="宋体" w:cs="宋体"/>
          <w:b/>
          <w:spacing w:val="2"/>
          <w:sz w:val="24"/>
          <w:szCs w:val="24"/>
        </w:rPr>
      </w:r>
      <w:r/>
    </w:p>
    <w:p>
      <w:pPr>
        <w:ind w:right="-17" w:firstLine="490"/>
        <w:spacing w:line="420" w:lineRule="atLeast"/>
        <w:rPr>
          <w:rFonts w:ascii="宋体" w:hAnsi="宋体" w:cs="宋体"/>
          <w:b/>
          <w:spacing w:val="2"/>
          <w:sz w:val="24"/>
          <w:szCs w:val="24"/>
        </w:rPr>
      </w:pPr>
      <w:r>
        <w:rPr>
          <w:rFonts w:hint="eastAsia" w:ascii="宋体" w:hAnsi="宋体" w:cs="宋体"/>
          <w:b/>
          <w:spacing w:val="2"/>
          <w:sz w:val="24"/>
          <w:szCs w:val="24"/>
        </w:rPr>
        <w:t xml:space="preserve">保险条款（略）</w:t>
      </w:r>
      <w:r/>
    </w:p>
    <w:p>
      <w:pPr>
        <w:ind w:firstLine="480"/>
        <w:spacing w:line="500" w:lineRule="exact"/>
        <w:rPr>
          <w:rFonts w:ascii="宋体" w:hAnsi="宋体" w:cs="宋体"/>
          <w:sz w:val="28"/>
          <w:szCs w:val="28"/>
        </w:rPr>
      </w:pPr>
      <w:r>
        <w:rPr>
          <w:rFonts w:hint="eastAsia" w:ascii="宋体" w:hAnsi="宋体" w:cs="宋体"/>
          <w:sz w:val="24"/>
          <w:szCs w:val="24"/>
        </w:rPr>
        <w:t xml:space="preserve">（首席保险人提供报备的相关条款）</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76"/>
      <w:r/>
      <w:bookmarkEnd w:id="177"/>
      <w:r/>
      <w:bookmarkEnd w:id="178"/>
      <w:r/>
      <w:bookmarkEnd w:id="179"/>
      <w:r>
        <w:rPr>
          <w:rFonts w:hint="eastAsia" w:ascii="黑体" w:hAnsi="Courier New" w:eastAsia="黑体" w:cs="Courier New"/>
          <w:bCs/>
          <w:sz w:val="44"/>
          <w:szCs w:val="21"/>
        </w:rPr>
        <w:t xml:space="preserve">第四章 采购需求</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项目基本情况</w:t>
      </w:r>
      <w:r/>
    </w:p>
    <w:p>
      <w:pPr>
        <w:ind w:firstLine="480"/>
        <w:spacing w:line="360" w:lineRule="auto"/>
        <w:rPr>
          <w:rFonts w:ascii="宋体" w:hAnsi="宋体" w:cs="宋体"/>
          <w:sz w:val="24"/>
        </w:rPr>
      </w:pPr>
      <w:r>
        <w:rPr>
          <w:rFonts w:hint="eastAsia" w:ascii="宋体" w:hAnsi="宋体" w:cs="宋体"/>
          <w:sz w:val="24"/>
          <w:lang w:eastAsia="zh-CN"/>
        </w:rPr>
        <w:t xml:space="preserve">响水县民政局2026年特困人员失能（失智）护理保险项目</w:t>
      </w:r>
      <w:r>
        <w:rPr>
          <w:rFonts w:hint="eastAsia" w:ascii="宋体" w:hAnsi="宋体" w:cs="宋体"/>
          <w:sz w:val="24"/>
        </w:rPr>
        <w:t xml:space="preserve">是由响水县财政出资，为响水县户籍的特困供养对象建立保障，切实提升失能（失智）、因重病或意外住院特困人员的照护水平。共计</w:t>
      </w:r>
      <w:r>
        <w:rPr>
          <w:rFonts w:hint="eastAsia" w:ascii="宋体" w:hAnsi="宋体" w:cs="宋体"/>
          <w:sz w:val="24"/>
          <w:lang w:val="en-US" w:eastAsia="zh-CN"/>
        </w:rPr>
        <w:t xml:space="preserve">2419</w:t>
      </w:r>
      <w:r>
        <w:rPr>
          <w:rFonts w:hint="eastAsia" w:ascii="宋体" w:hAnsi="宋体" w:cs="宋体"/>
          <w:sz w:val="24"/>
        </w:rPr>
        <w:t xml:space="preserve">人，保费标准500元/人/年，要求供应商具备相应的抗风险能力、综合保障能力及综合偿付能力，并具有一定的承保经验及专业团队人员制定专门的保险方案与服务方案。  </w:t>
      </w:r>
      <w:r/>
    </w:p>
    <w:p>
      <w:pPr>
        <w:ind w:firstLine="480"/>
        <w:spacing w:line="360" w:lineRule="auto"/>
        <w:rPr>
          <w:rFonts w:ascii="宋体" w:hAnsi="宋体" w:cs="宋体"/>
          <w:sz w:val="24"/>
        </w:rPr>
      </w:pPr>
      <w:r>
        <w:rPr>
          <w:rFonts w:hint="eastAsia" w:ascii="宋体" w:hAnsi="宋体" w:cs="宋体"/>
          <w:sz w:val="24"/>
        </w:rPr>
        <w:t xml:space="preserve">本项目在投标人中评选首席保险人一名和其他共保人一名，承保比例分别为60%、</w:t>
      </w:r>
      <w:r>
        <w:rPr>
          <w:rFonts w:ascii="宋体" w:hAnsi="宋体" w:cs="宋体"/>
          <w:sz w:val="24"/>
        </w:rPr>
        <w:t xml:space="preserve">40%</w:t>
      </w:r>
      <w:r>
        <w:rPr>
          <w:rFonts w:hint="eastAsia" w:ascii="宋体" w:hAnsi="宋体" w:cs="宋体"/>
          <w:sz w:val="24"/>
        </w:rPr>
        <w:t xml:space="preserve">。                                              </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保险责任</w:t>
      </w:r>
      <w:r/>
    </w:p>
    <w:p>
      <w:pPr>
        <w:ind w:firstLine="480"/>
        <w:spacing w:line="360" w:lineRule="auto"/>
        <w:rPr>
          <w:rFonts w:ascii="宋体" w:hAnsi="宋体" w:cs="宋体"/>
          <w:sz w:val="24"/>
        </w:rPr>
      </w:pPr>
      <w:r>
        <w:rPr>
          <w:rFonts w:hint="eastAsia" w:ascii="宋体" w:hAnsi="宋体" w:cs="宋体"/>
          <w:sz w:val="24"/>
        </w:rPr>
        <w:t xml:space="preserve">1.被保险人在保险期间内因年老、疾病、伤残导致失能（智），完全丧失生活自理能力（自主吃饭、自主穿衣、自主上下床、自主如厕、室内自主行走、自主洗澡，上述6项有4项及以上不能达到）需要护理的，保险人按照每月约定金额支付护理费用，支付至保险期满为止。</w:t>
      </w:r>
      <w:r/>
    </w:p>
    <w:p>
      <w:pPr>
        <w:ind w:firstLine="480"/>
        <w:spacing w:line="360" w:lineRule="auto"/>
        <w:rPr>
          <w:rFonts w:ascii="宋体" w:hAnsi="宋体" w:cs="宋体"/>
          <w:sz w:val="24"/>
        </w:rPr>
      </w:pPr>
      <w:r>
        <w:rPr>
          <w:rFonts w:hint="eastAsia" w:ascii="宋体" w:hAnsi="宋体" w:cs="宋体"/>
          <w:sz w:val="24"/>
        </w:rPr>
        <w:t xml:space="preserve">2.被保险人在保险期间内因意外或责任范围内的重大疾病入住二级及以上医疗机构治疗的，保险人按天支付住院护理补贴。重大疾病病种如下（其中121种罕见病参照“国卫医发〔2018） 10号”目录）：</w:t>
      </w:r>
      <w:r/>
    </w:p>
    <w:p>
      <w:pPr>
        <w:ind w:firstLine="480"/>
        <w:spacing w:line="360" w:lineRule="auto"/>
        <w:rPr>
          <w:rFonts w:ascii="宋体" w:hAnsi="宋体" w:cs="宋体"/>
          <w:sz w:val="24"/>
        </w:rPr>
      </w:pPr>
      <w:r>
        <w:rPr>
          <w:rFonts w:hint="eastAsia" w:ascii="宋体" w:hAnsi="宋体" w:cs="宋体"/>
          <w:sz w:val="24"/>
        </w:rPr>
        <w:t xml:space="preserve">恶性肿瘤、急性心肌梗塞（死）、脑梗塞（死）、脑溢血、冠状动脉搭桥术（或称冠状动脉旁路移植术）、多个肢体缺失、双耳失聪、双目失明、运动神经元病、重度烧伤、心脏瓣膜手术、主动脉手术、严重类风湿性关节炎、终末期肺病、深度昏迷、坏死性筋膜炎、心肌 病、溃疡性结肠炎、终末期肾病（或称慢性肾功能衰竭尿毒症期）、先天性心脏病、耐多药肺结核、重性精神疾病、血友病、甲亢、唇裂腭裂、1型糖尿病、艾滋病机会性感染、白血病、脑中风后遗症、重大</w:t>
      </w:r>
      <w:r>
        <w:rPr>
          <w:rFonts w:hint="eastAsia" w:ascii="宋体" w:hAnsi="宋体" w:cs="宋体"/>
          <w:sz w:val="24"/>
        </w:rPr>
        <w:t xml:space="preserve">器官移植术或造血干细胞移植术、原发性肺动脉高压、急性或亚急 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人类疯牛病）、肺源性心脏病、夹层主动脉瘤、嗜铬细胞瘤、肺淋巴管肌瘤病、原发性骨髓纤维化、慢性缩窄性心包炎、溶血性尿毒综合征、克罗恩病，以及在保险期间内医疗总费用（包含门诊、住院及特药费用）大于10万元的疾病。</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赔偿限额</w:t>
      </w:r>
      <w:r/>
    </w:p>
    <w:p>
      <w:pPr>
        <w:pStyle w:val="996"/>
        <w:ind w:firstLine="480"/>
        <w:spacing w:line="360" w:lineRule="auto"/>
        <w:rPr>
          <w:rFonts w:ascii="宋体" w:hAnsi="宋体" w:eastAsia="宋体" w:cs="宋体"/>
        </w:rPr>
      </w:pPr>
      <w:r>
        <w:rPr>
          <w:rFonts w:hint="eastAsia" w:ascii="宋体" w:hAnsi="宋体" w:eastAsia="宋体" w:cs="宋体"/>
        </w:rPr>
        <w:t xml:space="preserve">1.被保险人已入住护理机构（包括但不限于福利院、敬老院、精神病院等）的赔偿限额：1100元/人/月；</w:t>
      </w:r>
      <w:r/>
    </w:p>
    <w:p>
      <w:pPr>
        <w:pStyle w:val="996"/>
        <w:ind w:firstLine="480"/>
        <w:spacing w:line="360" w:lineRule="auto"/>
        <w:rPr>
          <w:rFonts w:ascii="宋体" w:hAnsi="宋体" w:eastAsia="宋体" w:cs="宋体"/>
        </w:rPr>
      </w:pPr>
      <w:r>
        <w:rPr>
          <w:rFonts w:hint="eastAsia" w:ascii="宋体" w:hAnsi="宋体" w:eastAsia="宋体" w:cs="宋体"/>
        </w:rPr>
        <w:t xml:space="preserve">2.被保险人未入住护理机构的赔偿限额：</w:t>
      </w:r>
      <w:r>
        <w:rPr>
          <w:rFonts w:hint="eastAsia" w:ascii="宋体" w:hAnsi="宋体" w:eastAsia="宋体" w:cs="宋体"/>
          <w:lang w:val="en-US" w:eastAsia="zh-CN"/>
        </w:rPr>
        <w:t xml:space="preserve">105</w:t>
      </w:r>
      <w:r>
        <w:rPr>
          <w:rFonts w:hint="eastAsia" w:ascii="宋体" w:hAnsi="宋体" w:eastAsia="宋体" w:cs="宋体"/>
        </w:rPr>
        <w:t xml:space="preserve">元/人/月；</w:t>
      </w:r>
      <w:r/>
    </w:p>
    <w:p>
      <w:pPr>
        <w:pStyle w:val="996"/>
        <w:ind w:firstLine="480"/>
        <w:spacing w:line="360" w:lineRule="auto"/>
        <w:rPr>
          <w:rFonts w:ascii="宋体" w:hAnsi="宋体" w:eastAsia="宋体" w:cs="宋体"/>
        </w:rPr>
      </w:pPr>
      <w:r>
        <w:rPr>
          <w:rFonts w:hint="eastAsia" w:ascii="宋体" w:hAnsi="宋体" w:eastAsia="宋体" w:cs="宋体"/>
        </w:rPr>
        <w:t xml:space="preserve">3.被保险人住院护理补贴：</w:t>
      </w:r>
      <w:r>
        <w:rPr>
          <w:rFonts w:hint="eastAsia" w:ascii="宋体" w:hAnsi="宋体" w:eastAsia="宋体" w:cs="宋体"/>
          <w:lang w:val="en-US" w:eastAsia="zh-CN"/>
        </w:rPr>
        <w:t xml:space="preserve">54</w:t>
      </w:r>
      <w:r>
        <w:rPr>
          <w:rFonts w:hint="eastAsia" w:ascii="宋体" w:hAnsi="宋体" w:eastAsia="宋体" w:cs="宋体"/>
        </w:rPr>
        <w:t xml:space="preserve">元/人/天，共计90天。   </w:t>
      </w:r>
      <w:r/>
    </w:p>
    <w:p>
      <w:pPr>
        <w:pStyle w:val="996"/>
        <w:ind w:firstLine="480"/>
        <w:spacing w:line="360" w:lineRule="auto"/>
      </w:pPr>
      <w:r>
        <w:rPr>
          <w:rFonts w:hint="eastAsia" w:ascii="宋体" w:hAnsi="宋体" w:eastAsia="宋体" w:cs="宋体"/>
        </w:rPr>
        <w:t xml:space="preserve">（注：保险责任限额不得低于以上赔偿限额对应项，低于的报价作零分处理，最终赔偿限额以中标报价为准）</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特别约定</w:t>
      </w:r>
      <w:r/>
    </w:p>
    <w:p>
      <w:pPr>
        <w:pStyle w:val="996"/>
        <w:ind w:firstLine="480"/>
        <w:spacing w:line="360" w:lineRule="auto"/>
        <w:rPr>
          <w:rFonts w:ascii="宋体" w:hAnsi="宋体" w:eastAsia="宋体" w:cs="宋体"/>
        </w:rPr>
      </w:pPr>
      <w:r>
        <w:rPr>
          <w:rFonts w:hint="eastAsia" w:ascii="宋体" w:hAnsi="宋体" w:eastAsia="宋体" w:cs="宋体"/>
        </w:rPr>
        <w:t xml:space="preserve">1.无清单承保方式，无年龄限制。</w:t>
      </w:r>
      <w:r/>
    </w:p>
    <w:p>
      <w:pPr>
        <w:pStyle w:val="996"/>
        <w:ind w:firstLine="480"/>
        <w:spacing w:line="360" w:lineRule="auto"/>
        <w:rPr>
          <w:rFonts w:ascii="宋体" w:hAnsi="宋体" w:eastAsia="宋体" w:cs="宋体"/>
        </w:rPr>
      </w:pPr>
      <w:r>
        <w:rPr>
          <w:rFonts w:hint="eastAsia" w:ascii="宋体" w:hAnsi="宋体" w:eastAsia="宋体" w:cs="宋体"/>
        </w:rPr>
        <w:t xml:space="preserve">2.失能失智人员的鉴定</w:t>
      </w:r>
      <w:r/>
    </w:p>
    <w:p>
      <w:pPr>
        <w:pStyle w:val="996"/>
        <w:ind w:firstLine="480"/>
        <w:spacing w:line="360" w:lineRule="auto"/>
        <w:rPr>
          <w:rFonts w:ascii="宋体" w:hAnsi="宋体" w:eastAsia="宋体" w:cs="宋体"/>
        </w:rPr>
      </w:pPr>
      <w:r>
        <w:rPr>
          <w:rFonts w:hint="eastAsia" w:ascii="宋体" w:hAnsi="宋体" w:eastAsia="宋体" w:cs="宋体"/>
        </w:rPr>
        <w:t xml:space="preserve">承保人在接到报案后的一个月内完成相关鉴定工作，须安排服务专员主动参与、跟踪、配合，包括但不限于人员对接、查勘车辆安排、理赔材料受理等。如出现对失能（智）认定有争议的人员，由恒泰保险经纪有限公司聘请专业的第三方机构进行鉴定，保险人须认可并积极配合第三方机构完成鉴定工作，如保险人对第三方鉴定机构鉴定结果有疑义，须向采购人提供书面报告，并根据采购人意见确定最终鉴定结果，鉴定费用由保险公司承担。</w:t>
      </w:r>
      <w:r/>
    </w:p>
    <w:p>
      <w:pPr>
        <w:pStyle w:val="996"/>
        <w:ind w:firstLine="480"/>
        <w:spacing w:line="360" w:lineRule="auto"/>
        <w:rPr>
          <w:rFonts w:ascii="宋体" w:hAnsi="宋体" w:eastAsia="宋体" w:cs="宋体"/>
        </w:rPr>
      </w:pPr>
      <w:r>
        <w:rPr>
          <w:rFonts w:hint="eastAsia" w:ascii="宋体" w:hAnsi="宋体" w:eastAsia="宋体" w:cs="宋体"/>
        </w:rPr>
        <w:t xml:space="preserve">3.在保险期间内被保险人已报案但在鉴定前亡故的，保险人应当给予被保险人自报案之日起至亡故期间（不含当天）50元/人/天的赔付。</w:t>
      </w:r>
      <w:r/>
    </w:p>
    <w:p>
      <w:pPr>
        <w:pStyle w:val="996"/>
        <w:ind w:firstLine="480"/>
        <w:spacing w:line="360" w:lineRule="auto"/>
        <w:rPr>
          <w:rFonts w:ascii="宋体" w:hAnsi="宋体" w:eastAsia="宋体" w:cs="宋体"/>
        </w:rPr>
      </w:pPr>
      <w:r>
        <w:rPr>
          <w:rFonts w:hint="eastAsia" w:ascii="宋体" w:hAnsi="宋体" w:eastAsia="宋体" w:cs="宋体"/>
        </w:rPr>
        <w:t xml:space="preserve">注：报案时间以报案人向恒泰保险经纪有限公司或其他有效渠道报案的记录为准，保险人不得以当时未接到报案为由拒绝赔付或减少赔付天数。</w:t>
      </w:r>
      <w:r/>
    </w:p>
    <w:p>
      <w:pPr>
        <w:pStyle w:val="996"/>
        <w:ind w:firstLine="480"/>
        <w:spacing w:line="360" w:lineRule="auto"/>
        <w:rPr>
          <w:rFonts w:ascii="宋体" w:hAnsi="宋体" w:eastAsia="宋体" w:cs="宋体"/>
        </w:rPr>
      </w:pPr>
      <w:r>
        <w:rPr>
          <w:rFonts w:hint="eastAsia" w:ascii="宋体" w:hAnsi="宋体" w:eastAsia="宋体" w:cs="宋体"/>
        </w:rPr>
        <w:t xml:space="preserve">4.保险人须在接到报案的一个月内配合完成相关鉴定工作，并将鉴定结果第一时间反馈给护理机构和恒泰保险经纪有限公司。被保险人持有“残疾人联合会”出具的一级、二级、三级智力（精神）残疾证书，或医疗机构出具的重性精神疾病相关证明，保险人须按约定赔偿限额予以赔付。</w:t>
      </w:r>
      <w:r/>
    </w:p>
    <w:p>
      <w:pPr>
        <w:pStyle w:val="996"/>
        <w:ind w:firstLine="480"/>
        <w:spacing w:line="360" w:lineRule="auto"/>
        <w:rPr>
          <w:rFonts w:ascii="宋体" w:hAnsi="宋体" w:eastAsia="宋体" w:cs="宋体"/>
        </w:rPr>
      </w:pPr>
      <w:r>
        <w:rPr>
          <w:rFonts w:hint="eastAsia" w:ascii="宋体" w:hAnsi="宋体" w:eastAsia="宋体" w:cs="宋体"/>
        </w:rPr>
        <w:t xml:space="preserve">5.被保险人处于失能失智，因传染病等非主观原因未入住护理机构的，保险人须按已入住护理机构赔偿标准予以赔付；因精神病入住精神病院或医院等治疗机构的，按照住院护理补贴的赔偿标准予以赔付，住院时间超过90天的部分须按照第一项保险责任中被保险人已入住护理机构的赔偿标准进行赔付。</w:t>
      </w:r>
      <w:r/>
    </w:p>
    <w:p>
      <w:pPr>
        <w:pStyle w:val="996"/>
        <w:ind w:firstLine="480"/>
        <w:spacing w:line="360" w:lineRule="auto"/>
        <w:rPr>
          <w:rFonts w:ascii="宋体" w:hAnsi="宋体" w:eastAsia="宋体" w:cs="宋体"/>
        </w:rPr>
      </w:pPr>
      <w:r>
        <w:rPr>
          <w:rFonts w:hint="eastAsia" w:ascii="宋体" w:hAnsi="宋体" w:eastAsia="宋体" w:cs="宋体"/>
        </w:rPr>
        <w:t xml:space="preserve">6.被保险人需借助辅助工具或在他人协助、引导下完成吃饭、穿衣、上下床、行走、洗澡、如厕的，视为非自主能力。</w:t>
      </w:r>
      <w:r/>
    </w:p>
    <w:p>
      <w:pPr>
        <w:pStyle w:val="996"/>
        <w:ind w:firstLine="480"/>
        <w:spacing w:line="360" w:lineRule="auto"/>
        <w:rPr>
          <w:rFonts w:ascii="宋体" w:hAnsi="宋体" w:eastAsia="宋体" w:cs="宋体"/>
        </w:rPr>
      </w:pPr>
      <w:r>
        <w:rPr>
          <w:rFonts w:hint="eastAsia" w:ascii="宋体" w:hAnsi="宋体" w:eastAsia="宋体" w:cs="宋体"/>
        </w:rPr>
        <w:t xml:space="preserve">7.被保险人已经过鉴定且鉴定结果为完全丧失生活自理能力的，保险人在一个保险年度周期内须按约定限额直接进行赔付，无需重新鉴定。</w:t>
      </w:r>
      <w:r/>
    </w:p>
    <w:p>
      <w:pPr>
        <w:pStyle w:val="996"/>
        <w:ind w:firstLine="480"/>
        <w:spacing w:line="360" w:lineRule="auto"/>
        <w:rPr>
          <w:rFonts w:ascii="宋体" w:hAnsi="宋体" w:eastAsia="宋体" w:cs="宋体"/>
        </w:rPr>
      </w:pPr>
      <w:r>
        <w:rPr>
          <w:rFonts w:hint="eastAsia" w:ascii="宋体" w:hAnsi="宋体" w:eastAsia="宋体" w:cs="宋体"/>
        </w:rPr>
        <w:t xml:space="preserve">8.保险人对于保单生效前已经失能失智的特困救助供养对象须按约定赔偿限额予以赔付。</w:t>
      </w:r>
      <w:r/>
    </w:p>
    <w:p>
      <w:pPr>
        <w:pStyle w:val="996"/>
        <w:ind w:firstLine="480"/>
        <w:spacing w:line="360" w:lineRule="auto"/>
        <w:rPr>
          <w:rFonts w:ascii="宋体" w:hAnsi="宋体" w:eastAsia="宋体" w:cs="宋体"/>
        </w:rPr>
      </w:pPr>
      <w:r>
        <w:rPr>
          <w:rFonts w:hint="eastAsia" w:ascii="宋体" w:hAnsi="宋体" w:eastAsia="宋体" w:cs="宋体"/>
        </w:rPr>
        <w:t xml:space="preserve">9.因第三方造成被保险人失能（智），保险责任及赔偿限额等同于特困人员护理困难救助保险。</w:t>
      </w:r>
      <w:r/>
    </w:p>
    <w:p>
      <w:pPr>
        <w:pStyle w:val="996"/>
        <w:ind w:firstLine="480"/>
        <w:spacing w:line="360" w:lineRule="auto"/>
        <w:rPr>
          <w:rFonts w:ascii="宋体" w:hAnsi="宋体" w:eastAsia="宋体" w:cs="宋体"/>
        </w:rPr>
      </w:pPr>
      <w:r>
        <w:rPr>
          <w:rFonts w:hint="eastAsia" w:ascii="宋体" w:hAnsi="宋体" w:eastAsia="宋体" w:cs="宋体"/>
        </w:rPr>
        <w:t xml:space="preserve">10.对于己鉴定符合的失能（智）特困救助供养对象如在保险期间内因意外或重大疾病入住二级及以上医疗机构治疗的，住院期间按住院护理补贴标准赔付，住院超过90天的部分及非住院期间按失能（智）护理费相应标准赔付，住院补贴和失能（智）护理费不叠加赔付。</w:t>
      </w:r>
      <w:r/>
    </w:p>
    <w:p>
      <w:pPr>
        <w:pStyle w:val="996"/>
        <w:ind w:firstLine="480"/>
        <w:spacing w:line="360" w:lineRule="auto"/>
        <w:rPr>
          <w:rFonts w:ascii="宋体" w:hAnsi="宋体" w:eastAsia="宋体" w:cs="宋体"/>
        </w:rPr>
      </w:pPr>
      <w:r>
        <w:rPr>
          <w:rFonts w:hint="eastAsia" w:ascii="宋体" w:hAnsi="宋体" w:eastAsia="宋体" w:cs="宋体"/>
        </w:rPr>
        <w:t xml:space="preserve">11.保险期间内新增符合失能（智）理赔责任的，报案当天即为赔付起始时间，当月按天赔付，每天赔付标准为：已入住护理机构的按其中标金额/30天，未入住护理机构的按其中标金额/30天，均四舍五入取整到个位。次月起，按月进行赔付。</w:t>
      </w:r>
      <w:r/>
    </w:p>
    <w:p>
      <w:pPr>
        <w:pStyle w:val="996"/>
        <w:ind w:firstLine="480"/>
        <w:spacing w:line="360" w:lineRule="auto"/>
        <w:rPr>
          <w:rFonts w:ascii="宋体" w:hAnsi="宋体" w:eastAsia="宋体" w:cs="宋体"/>
        </w:rPr>
      </w:pPr>
      <w:r>
        <w:rPr>
          <w:rFonts w:hint="eastAsia" w:ascii="宋体" w:hAnsi="宋体" w:eastAsia="宋体" w:cs="宋体"/>
        </w:rPr>
        <w:t xml:space="preserve">12.已鉴定符合的被保险人如在保险期间内亡故，其亡故当月按天赔付（不含当天），每天赔付标准为:已入住护理机构的按其中标金额/30天；未入住护理机构的按其中标金额/30天，均四舍五入取整到个位。</w:t>
      </w:r>
      <w:r/>
    </w:p>
    <w:p>
      <w:pPr>
        <w:pStyle w:val="996"/>
        <w:ind w:firstLine="480"/>
        <w:spacing w:line="360" w:lineRule="auto"/>
        <w:rPr>
          <w:rFonts w:ascii="宋体" w:hAnsi="宋体" w:eastAsia="宋体" w:cs="宋体"/>
        </w:rPr>
      </w:pPr>
      <w:r>
        <w:rPr>
          <w:rFonts w:hint="eastAsia" w:ascii="宋体" w:hAnsi="宋体" w:eastAsia="宋体" w:cs="宋体"/>
        </w:rPr>
        <w:t xml:space="preserve">13.己入住护理机构的失能（智）特困救助供养对象，其赔款支付给相应的护理机构。</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履行期限</w:t>
      </w:r>
      <w:r/>
    </w:p>
    <w:p>
      <w:pPr>
        <w:pStyle w:val="996"/>
        <w:ind w:firstLine="480"/>
        <w:spacing w:line="360" w:lineRule="auto"/>
        <w:rPr>
          <w:rFonts w:ascii="宋体" w:hAnsi="宋体" w:eastAsia="宋体" w:cs="宋体"/>
        </w:rPr>
      </w:pPr>
      <w:r>
        <w:rPr>
          <w:rFonts w:hint="eastAsia" w:ascii="宋体" w:hAnsi="宋体" w:eastAsia="宋体" w:cs="宋体"/>
        </w:rPr>
        <w:t xml:space="preserve">1.合同履行期限：本项目招标期限为一年。</w:t>
      </w:r>
      <w:r/>
    </w:p>
    <w:p>
      <w:pPr>
        <w:pStyle w:val="996"/>
        <w:ind w:firstLine="480"/>
        <w:spacing w:line="360" w:lineRule="auto"/>
        <w:rPr>
          <w:rFonts w:ascii="宋体" w:hAnsi="宋体" w:eastAsia="宋体" w:cs="宋体"/>
        </w:rPr>
      </w:pPr>
      <w:r>
        <w:rPr>
          <w:rFonts w:hint="eastAsia" w:ascii="宋体" w:hAnsi="宋体" w:eastAsia="宋体" w:cs="宋体"/>
        </w:rPr>
        <w:t xml:space="preserve">2.本项目保险期限以保险单载明的起讫时间为准。</w:t>
      </w:r>
      <w:r/>
    </w:p>
    <w:p>
      <w:pPr>
        <w:pStyle w:val="996"/>
        <w:ind w:firstLine="480"/>
        <w:spacing w:line="360" w:lineRule="auto"/>
        <w:rPr>
          <w:rFonts w:ascii="宋体" w:hAnsi="宋体" w:eastAsia="宋体" w:cs="宋体"/>
        </w:rPr>
      </w:pPr>
      <w:r>
        <w:rPr>
          <w:rFonts w:hint="eastAsia" w:ascii="宋体" w:hAnsi="宋体" w:eastAsia="宋体" w:cs="宋体"/>
        </w:rPr>
        <w:t xml:space="preserve">3.为保障项目的连续性，该项目的保险期限需与上年度的保险止期接续，在此期间发生的保险事故中标单位均需承担保险责任。</w:t>
      </w:r>
      <w:r/>
    </w:p>
    <w:p>
      <w:pPr>
        <w:numPr>
          <w:ilvl w:val="0"/>
          <w:numId w:val="7"/>
        </w:numPr>
        <w:ind w:firstLine="482"/>
        <w:spacing w:line="360" w:lineRule="auto"/>
        <w:rPr>
          <w:rFonts w:ascii="宋体" w:hAnsi="宋体" w:cs="宋体"/>
          <w:b/>
          <w:bCs/>
          <w:sz w:val="24"/>
        </w:rPr>
      </w:pPr>
      <w:r>
        <w:rPr>
          <w:rFonts w:hint="eastAsia" w:ascii="宋体" w:hAnsi="宋体" w:cs="宋体"/>
          <w:b/>
          <w:bCs/>
          <w:sz w:val="24"/>
        </w:rPr>
        <w:t xml:space="preserve">服务要求</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为使被保险人获得完善的保险服务，投标人同意以下各项补充约定并将其视为未来保险合同的一部分，由保险双方共同遵守：</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1.承保服务工作细致、明确。</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2.响水县的服务网点均有专人服务，须安排专人对接，提供上门服务。</w:t>
      </w:r>
      <w:r/>
    </w:p>
    <w:p>
      <w:pPr>
        <w:pStyle w:val="996"/>
        <w:ind w:firstLine="480"/>
        <w:spacing w:line="360" w:lineRule="auto"/>
        <w:rPr>
          <w:rFonts w:ascii="宋体" w:hAnsi="宋体" w:eastAsia="宋体" w:cs="宋体"/>
        </w:rPr>
      </w:pPr>
      <w:r>
        <w:rPr>
          <w:rFonts w:hint="eastAsia" w:ascii="宋体" w:hAnsi="宋体" w:eastAsia="宋体" w:cs="宋体"/>
          <w:color w:val="auto"/>
        </w:rPr>
        <w:t xml:space="preserve">3.</w:t>
      </w:r>
      <w:r>
        <w:rPr>
          <w:rFonts w:hint="eastAsia" w:ascii="宋体" w:hAnsi="宋体" w:eastAsia="宋体" w:cs="宋体"/>
        </w:rPr>
        <w:t xml:space="preserve">已经过鉴定且鉴定结果为完全丧失生活自理能力的人员，其每个月的护理费应由首席承保人于次月10日前完成支付，首席承保人需每月核实在赔人员清单，避免特困人员已去世仍继续赔付的情况发生。</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4.承保人按月汇总承保及理赔数据，于次月5日前向本项目的采购人递交相关承保及理赔数据月报，并于保险年度结束后10日内递交承保及理赔数据年报，承保人必须确保数据的及时性、完整性、真实性、准确性、有效性。</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5.承保人在保险期限内实施项目活动，根据采购人要求做好风险防范、宣传及培训、宣传资料的印制等相关工作。</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6.赔偿处理</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①基本原则：保险人不得以任何理由推卸、拖延和拒绝被保险人索赔要求，除非有合理和足够的证据证明，否则其行为构成违约并须承担违约责任；</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②一旦接到被保险人通知，保险人代表应尽早赶赴事故现场开始初步调查并提出止损建议，被保险人应予以配合；</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③被保险人应尽可能为保险人、公估人调查和取证工作保留事故现场；对确因运营需要而无法留待保险人/公估人查勘的事故现场，被保险人应尽可能留下照片、录像、文字记录供保险人审核之用；</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④涉及有责任的第三方事故时，被保险人不能在获得保险人书面同意以前放弃向其追索的权利；</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⑤对于虽经被保险人努力仍无法完成的证据/证明材料提交工作，保险人须予以帮助并不得以此为由推卸、拖延和拒绝履行合同责任；</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⑥首席保险人收集齐理赔材料后，应在10个工作日内完成首次赔付工作。</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7.关于保险合同</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①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②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8.本次招标活动依照中华人民共和国相关法律法规进行。</w:t>
      </w:r>
      <w:r/>
    </w:p>
    <w:p>
      <w:pPr>
        <w:ind w:firstLine="480"/>
        <w:spacing w:line="360" w:lineRule="auto"/>
        <w:tabs>
          <w:tab w:val="left" w:pos="6200" w:leader="none"/>
        </w:tabs>
        <w:rPr>
          <w:rFonts w:ascii="宋体" w:hAnsi="宋体" w:cs="宋体"/>
          <w:bCs/>
          <w:color w:val="000000"/>
          <w:sz w:val="24"/>
        </w:rPr>
      </w:pPr>
      <w:r>
        <w:rPr>
          <w:rFonts w:hint="eastAsia" w:ascii="宋体" w:hAnsi="宋体" w:cs="宋体"/>
          <w:bCs/>
          <w:color w:val="000000"/>
          <w:sz w:val="24"/>
        </w:rPr>
        <w:t xml:space="preserve">9.其他服务要求</w:t>
      </w:r>
      <w:r/>
    </w:p>
    <w:p>
      <w:pPr>
        <w:ind w:firstLine="480"/>
        <w:spacing w:line="360" w:lineRule="auto"/>
        <w:tabs>
          <w:tab w:val="left" w:pos="6200" w:leader="none"/>
        </w:tabs>
        <w:rPr>
          <w:rFonts w:ascii="宋体" w:hAnsi="宋体" w:cs="宋体"/>
          <w:bCs/>
          <w:color w:val="000000"/>
          <w:sz w:val="24"/>
        </w:rPr>
      </w:pPr>
      <w:r>
        <w:rPr>
          <w:rFonts w:hint="eastAsia" w:ascii="宋体" w:hAnsi="宋体" w:cs="宋体"/>
          <w:bCs/>
          <w:color w:val="000000"/>
          <w:sz w:val="24"/>
        </w:rPr>
        <w:t xml:space="preserve">理赔数据必备要素（包括不限于）：户籍所属区县、报案时间、护理机构（或户籍地址）、供养类型、联系人、联系方式、出险人、身份证号、出险原因、出险时间、赔款所属月、赔付金额、赔付时间。</w:t>
      </w:r>
      <w:r/>
    </w:p>
    <w:p>
      <w:pPr>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七、承接主体</w:t>
      </w:r>
      <w:r/>
    </w:p>
    <w:p>
      <w:pPr>
        <w:ind w:firstLine="562"/>
        <w:rPr>
          <w:rFonts w:ascii="宋体" w:hAnsi="宋体" w:cs="宋体"/>
          <w:b/>
          <w:bCs/>
          <w:sz w:val="28"/>
          <w:szCs w:val="28"/>
        </w:rPr>
      </w:pPr>
      <w:r>
        <w:rPr>
          <w:rFonts w:ascii="宋体" w:hAnsi="宋体" w:eastAsia="宋体" w:cs="宋体"/>
          <w:color w:val="000000"/>
          <w:sz w:val="24"/>
        </w:rPr>
        <w:t xml:space="preserve">供应商具备相应的抗风险能力、综合保障能力及综合偿付能力，并具有一定的承保经验及专业团队人员制定专门的保险方案与服务方案</w:t>
      </w:r>
      <w:r>
        <w:rPr>
          <w:rFonts w:hint="eastAsia" w:ascii="宋体" w:hAnsi="宋体" w:cs="宋体"/>
          <w:b/>
          <w:bCs/>
          <w:sz w:val="28"/>
          <w:szCs w:val="28"/>
          <w:highlight w:val="none"/>
        </w:rPr>
        <w:t xml:space="preserve">。</w:t>
      </w:r>
      <w:r/>
    </w:p>
    <w:p>
      <w:pPr>
        <w:ind w:firstLine="562"/>
        <w:rPr>
          <w:rFonts w:hint="eastAsia" w:ascii="宋体" w:hAnsi="宋体" w:cs="宋体"/>
          <w:b/>
          <w:bCs/>
          <w:sz w:val="28"/>
          <w:szCs w:val="28"/>
          <w:highlight w:val="none"/>
        </w:rPr>
      </w:pPr>
      <w:r>
        <w:rPr>
          <w:rFonts w:hint="eastAsia" w:ascii="宋体" w:hAnsi="宋体" w:cs="宋体"/>
          <w:b/>
          <w:bCs/>
          <w:sz w:val="28"/>
          <w:szCs w:val="28"/>
        </w:rPr>
        <w:t xml:space="preserve">八、第三方保险经纪服务</w:t>
      </w:r>
      <w:r/>
    </w:p>
    <w:p>
      <w:pPr>
        <w:pStyle w:val="996"/>
        <w:ind w:firstLine="480"/>
        <w:spacing w:line="360" w:lineRule="auto"/>
        <w:rPr>
          <w:rFonts w:ascii="宋体" w:hAnsi="宋体" w:eastAsia="宋体" w:cs="宋体"/>
          <w:color w:val="auto"/>
        </w:rPr>
      </w:pPr>
      <w:r>
        <w:rPr>
          <w:rFonts w:hint="eastAsia" w:ascii="宋体" w:hAnsi="宋体" w:eastAsia="宋体" w:cs="宋体"/>
          <w:color w:val="auto"/>
        </w:rPr>
        <w:t xml:space="preserve">本次项目采购人委托恒泰保险经纪有限公司提供保险经纪服务，在授权委托范围内，对项目进行全过程运营、监督、管理，年度保险经纪费用按照保单含税保险费的</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%收取，由成交供应商负责向保险经纪公司支付。采购人不承担该笔费用支出。</w:t>
      </w:r>
      <w:r/>
    </w:p>
    <w:p>
      <w:pPr>
        <w:ind w:firstLine="480"/>
        <w:spacing w:line="560" w:lineRule="exact"/>
        <w:rPr>
          <w:rFonts w:hint="eastAsia" w:ascii="宋体" w:hAnsi="宋体"/>
          <w:sz w:val="24"/>
          <w:szCs w:val="21"/>
        </w:rPr>
      </w:pPr>
      <w:r>
        <w:rPr>
          <w:rFonts w:hint="eastAsia" w:ascii="宋体" w:hAnsi="宋体"/>
          <w:sz w:val="24"/>
          <w:szCs w:val="21"/>
        </w:rPr>
      </w:r>
      <w:r/>
    </w:p>
    <w:p>
      <w:pPr>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hint="eastAsia" w:ascii="Arial" w:hAnsi="Arial" w:cs="Arial"/>
          <w:b/>
          <w:sz w:val="32"/>
          <w:szCs w:val="21"/>
        </w:rPr>
      </w:pPr>
      <w:r>
        <w:rPr>
          <w:rFonts w:hint="eastAsia" w:ascii="Arial" w:hAnsi="Arial" w:cs="Arial"/>
          <w:b/>
          <w:sz w:val="32"/>
          <w:szCs w:val="21"/>
        </w:rPr>
      </w:r>
      <w:r/>
    </w:p>
    <w:p>
      <w:pPr>
        <w:jc w:val="center"/>
        <w:keepNext/>
        <w:rPr>
          <w:rFonts w:hint="eastAsia" w:ascii="黑体" w:hAnsi="Times New Roman" w:eastAsia="黑体"/>
          <w:bCs/>
          <w:sz w:val="44"/>
          <w:szCs w:val="28"/>
        </w:rPr>
        <w:outlineLvl w:val="0"/>
      </w:pPr>
      <w:r/>
      <w:bookmarkStart w:id="181"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0" w:lineRule="atLeast"/>
        <w:rPr>
          <w:rFonts w:ascii="宋体" w:hAnsi="宋体"/>
          <w:b/>
          <w:sz w:val="24"/>
          <w:szCs w:val="24"/>
        </w:rPr>
      </w:pPr>
      <w:r>
        <w:rPr>
          <w:rFonts w:hint="eastAsia" w:ascii="宋体" w:hAnsi="宋体"/>
          <w:b/>
          <w:sz w:val="24"/>
          <w:szCs w:val="24"/>
          <w:lang w:eastAsia="zh-CN"/>
        </w:rPr>
        <w:t xml:space="preserve">分包一、二</w:t>
      </w:r>
      <w:r>
        <w:rPr>
          <w:rFonts w:hint="eastAsia" w:ascii="宋体" w:hAnsi="宋体"/>
          <w:b/>
          <w:sz w:val="24"/>
          <w:szCs w:val="24"/>
        </w:rPr>
        <w:t xml:space="preserve">评审方法与评审标准</w:t>
      </w:r>
      <w:r/>
    </w:p>
    <w:tbl>
      <w:tblPr>
        <w:tblStyle w:val="705"/>
        <w:tblW w:w="8393" w:type="dxa"/>
        <w:tblInd w:w="91" w:type="dxa"/>
        <w:tblLayout w:type="fixed"/>
        <w:tblCellMar>
          <w:left w:w="108" w:type="dxa"/>
          <w:top w:w="0" w:type="dxa"/>
          <w:right w:w="108" w:type="dxa"/>
          <w:bottom w:w="0" w:type="dxa"/>
        </w:tblCellMar>
        <w:tblLook w:val="04A0" w:firstRow="1" w:lastRow="0" w:firstColumn="1" w:lastColumn="0" w:noHBand="0" w:noVBand="1"/>
      </w:tblPr>
      <w:tblGrid>
        <w:gridCol w:w="456"/>
        <w:gridCol w:w="1307"/>
        <w:gridCol w:w="5909"/>
        <w:gridCol w:w="721"/>
      </w:tblGrid>
      <w:tr>
        <w:trPr>
          <w:trHeight w:val="2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tcPr>
          <w:p>
            <w:pPr>
              <w:jc w:val="center"/>
              <w:widowControl/>
              <w:rPr>
                <w:rFonts w:ascii="宋体" w:hAnsi="宋体" w:cs="宋体"/>
                <w:sz w:val="24"/>
              </w:rPr>
            </w:pPr>
            <w:r>
              <w:rPr>
                <w:rFonts w:hint="eastAsia" w:ascii="宋体" w:hAnsi="宋体" w:cs="宋体"/>
                <w:sz w:val="24"/>
              </w:rPr>
              <w:t xml:space="preserve">评审内容</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tcPr>
          <w:p>
            <w:pPr>
              <w:jc w:val="center"/>
              <w:widowControl/>
              <w:rPr>
                <w:rFonts w:ascii="宋体" w:hAnsi="宋体" w:cs="宋体"/>
                <w:sz w:val="24"/>
              </w:rPr>
            </w:pPr>
            <w:r>
              <w:rPr>
                <w:rFonts w:hint="eastAsia" w:ascii="宋体" w:hAnsi="宋体" w:cs="宋体"/>
                <w:sz w:val="24"/>
              </w:rPr>
              <w:t xml:space="preserve">评标标准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widowControl/>
              <w:rPr>
                <w:rFonts w:ascii="宋体" w:hAnsi="宋体" w:cs="宋体"/>
                <w:sz w:val="24"/>
              </w:rPr>
            </w:pPr>
            <w:r>
              <w:rPr>
                <w:rFonts w:hint="eastAsia" w:ascii="宋体" w:hAnsi="宋体" w:cs="宋体"/>
                <w:sz w:val="24"/>
              </w:rPr>
              <w:t xml:space="preserve">分值</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报价得分1</w:t>
            </w:r>
            <w:r>
              <w:rPr>
                <w:rFonts w:ascii="宋体" w:hAnsi="宋体" w:cs="宋体"/>
                <w:szCs w:val="21"/>
              </w:rPr>
              <w:t xml:space="preserve">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szCs w:val="21"/>
              </w:rPr>
            </w:pPr>
            <w:r>
              <w:rPr>
                <w:rFonts w:hint="eastAsia" w:ascii="宋体" w:hAnsi="宋体" w:cs="宋体"/>
                <w:szCs w:val="21"/>
              </w:rPr>
              <w:t xml:space="preserve">1、评标总价是指通过资格审查、符合性检查且实质性响应招标文件要求，经修正、落实政府采购政策功能扣除后的总价。</w:t>
            </w:r>
            <w:r/>
          </w:p>
          <w:p>
            <w:pPr>
              <w:rPr>
                <w:rFonts w:ascii="宋体" w:hAnsi="宋体" w:cs="宋体"/>
                <w:szCs w:val="21"/>
              </w:rPr>
            </w:pPr>
            <w:r>
              <w:rPr>
                <w:rFonts w:hint="eastAsia" w:ascii="宋体" w:hAnsi="宋体" w:cs="宋体"/>
                <w:szCs w:val="21"/>
              </w:rPr>
              <w:t xml:space="preserve">2、评标基准价=评标总价中的最低总价。</w:t>
            </w:r>
            <w:r/>
          </w:p>
          <w:p>
            <w:pPr>
              <w:pStyle w:val="709"/>
              <w:rPr>
                <w:rFonts w:ascii="宋体" w:hAnsi="宋体" w:cs="宋体"/>
                <w:szCs w:val="21"/>
              </w:rPr>
            </w:pPr>
            <w:r>
              <w:rPr>
                <w:rFonts w:hint="eastAsia" w:ascii="宋体" w:hAnsi="宋体" w:cs="宋体"/>
                <w:szCs w:val="21"/>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赔偿限额（10分）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ff"/>
                <w:szCs w:val="21"/>
              </w:rPr>
            </w:pPr>
            <w:r>
              <w:rPr>
                <w:rFonts w:hint="eastAsia" w:ascii="宋体" w:hAnsi="宋体" w:cs="宋体"/>
                <w:color w:val="0000ff"/>
                <w:szCs w:val="21"/>
              </w:rPr>
              <w:t xml:space="preserve">(1)被保险人已入住护理机构（包括但不限于福利院、敬老院、精神病院等）的赔偿限额不低于1100元/人/月，每增加25元得1分，本项最高得4分；</w:t>
            </w:r>
            <w:r/>
          </w:p>
          <w:p>
            <w:pPr>
              <w:rPr>
                <w:rFonts w:ascii="宋体" w:hAnsi="宋体" w:cs="宋体"/>
                <w:color w:val="0000ff"/>
                <w:szCs w:val="21"/>
              </w:rPr>
            </w:pPr>
            <w:r>
              <w:rPr>
                <w:rFonts w:hint="eastAsia" w:ascii="宋体" w:hAnsi="宋体" w:cs="宋体"/>
                <w:color w:val="0000ff"/>
                <w:szCs w:val="21"/>
              </w:rPr>
              <w:t xml:space="preserve">(2)被保险人未入住护理机构的赔偿限额不低于</w:t>
            </w:r>
            <w:r>
              <w:rPr>
                <w:rFonts w:hint="eastAsia" w:ascii="宋体" w:hAnsi="宋体" w:cs="宋体"/>
                <w:color w:val="0000ff"/>
                <w:szCs w:val="21"/>
                <w:lang w:val="en-US" w:eastAsia="zh-CN"/>
              </w:rPr>
              <w:t xml:space="preserve">105</w:t>
            </w:r>
            <w:r>
              <w:rPr>
                <w:rFonts w:hint="eastAsia" w:ascii="宋体" w:hAnsi="宋体" w:cs="宋体"/>
                <w:color w:val="0000ff"/>
                <w:szCs w:val="21"/>
              </w:rPr>
              <w:t xml:space="preserve">元/人/月，每增加5元得1分，本项最高得3分；</w:t>
            </w:r>
            <w:r/>
          </w:p>
          <w:p>
            <w:pPr>
              <w:rPr>
                <w:rFonts w:ascii="宋体" w:hAnsi="宋体"/>
                <w:bCs/>
                <w:szCs w:val="21"/>
                <w:lang w:bidi="ar"/>
              </w:rPr>
            </w:pPr>
            <w:r>
              <w:rPr>
                <w:rFonts w:hint="eastAsia" w:ascii="宋体" w:hAnsi="宋体" w:cs="宋体"/>
                <w:color w:val="0000ff"/>
                <w:szCs w:val="21"/>
              </w:rPr>
              <w:t xml:space="preserve">(3)被保险人住院护理补贴赔偿限额不低于</w:t>
            </w:r>
            <w:r>
              <w:rPr>
                <w:rFonts w:hint="eastAsia" w:ascii="宋体" w:hAnsi="宋体" w:cs="宋体"/>
                <w:color w:val="0000ff"/>
                <w:szCs w:val="21"/>
                <w:lang w:val="en-US" w:eastAsia="zh-CN"/>
              </w:rPr>
              <w:t xml:space="preserve">54</w:t>
            </w:r>
            <w:r>
              <w:rPr>
                <w:rFonts w:hint="eastAsia" w:ascii="宋体" w:hAnsi="宋体" w:cs="宋体"/>
                <w:color w:val="0000ff"/>
                <w:szCs w:val="21"/>
              </w:rPr>
              <w:t xml:space="preserve">元/人/天，共计90天，每增加2元得1分，本项最高得3分。</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1541"/>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承保经验20分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00"/>
                <w:szCs w:val="21"/>
              </w:rPr>
            </w:pPr>
            <w:r/>
            <w:bookmarkStart w:id="182" w:name="OLE_LINK7"/>
            <w:r>
              <w:rPr>
                <w:rFonts w:hint="eastAsia" w:ascii="宋体" w:hAnsi="宋体" w:cs="宋体"/>
                <w:color w:val="000000"/>
                <w:szCs w:val="21"/>
              </w:rPr>
              <w:t xml:space="preserve">2020年以来，供应商具有类似项目业绩的，有一个得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分，最高得20分。</w:t>
            </w:r>
            <w:r/>
          </w:p>
          <w:p>
            <w:pPr>
              <w:widowControl/>
              <w:rPr>
                <w:rFonts w:ascii="宋体" w:hAnsi="宋体" w:cs="宋体"/>
                <w:szCs w:val="21"/>
              </w:rPr>
            </w:pPr>
            <w:r>
              <w:rPr>
                <w:rFonts w:hint="eastAsia" w:ascii="宋体" w:hAnsi="宋体" w:cs="宋体"/>
                <w:color w:val="000000"/>
                <w:szCs w:val="21"/>
              </w:rPr>
              <w:t xml:space="preserve">注：须提供对应的证明材料（中标通知书或合同），同一地区相同项目不同年度均承保不重复算分。</w:t>
            </w:r>
            <w:bookmarkEnd w:id="182"/>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r>
      <w:tr>
        <w:trPr>
          <w:trHeight w:val="154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rPr>
            </w:pPr>
            <w:r>
              <w:rPr>
                <w:rFonts w:hint="eastAsia" w:ascii="宋体" w:hAnsi="宋体" w:cs="宋体"/>
                <w:color w:val="0000ff"/>
                <w:szCs w:val="21"/>
              </w:rPr>
              <w:t xml:space="preserve">综合偿付能力15分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hint="eastAsia" w:ascii="宋体" w:hAnsi="宋体" w:eastAsia="宋体" w:cs="宋体"/>
                <w:color w:val="0000ff"/>
                <w:szCs w:val="21"/>
                <w:lang w:eastAsia="zh-CN"/>
              </w:rPr>
            </w:pPr>
            <w:r>
              <w:rPr>
                <w:rFonts w:hint="eastAsia" w:ascii="宋体" w:hAnsi="宋体" w:cs="宋体"/>
                <w:color w:val="0000ff"/>
                <w:szCs w:val="21"/>
                <w:lang w:eastAsia="zh-CN"/>
              </w:rPr>
              <w:t xml:space="preserve">提供</w:t>
            </w:r>
            <w:r>
              <w:rPr>
                <w:rFonts w:hint="eastAsia" w:ascii="宋体" w:hAnsi="宋体" w:cs="宋体"/>
                <w:color w:val="0000ff"/>
                <w:szCs w:val="21"/>
                <w:lang w:val="en-US" w:eastAsia="zh-CN"/>
              </w:rPr>
              <w:t xml:space="preserve">2026年</w:t>
            </w:r>
            <w:r>
              <w:rPr>
                <w:rFonts w:hint="eastAsia" w:ascii="宋体" w:hAnsi="宋体" w:cs="宋体"/>
                <w:color w:val="0000ff"/>
                <w:szCs w:val="21"/>
                <w:lang w:eastAsia="zh-CN"/>
              </w:rPr>
              <w:t xml:space="preserve">一季度报告或截图</w:t>
            </w:r>
            <w:r/>
          </w:p>
          <w:p>
            <w:pPr>
              <w:jc w:val="left"/>
              <w:rPr>
                <w:rFonts w:hint="eastAsia" w:ascii="宋体" w:hAnsi="宋体" w:cs="宋体"/>
                <w:color w:val="0000ff"/>
                <w:szCs w:val="21"/>
              </w:rPr>
            </w:pPr>
            <w:r>
              <w:rPr>
                <w:rFonts w:hint="eastAsia" w:ascii="宋体" w:hAnsi="宋体" w:cs="宋体"/>
                <w:color w:val="0000ff"/>
                <w:szCs w:val="21"/>
              </w:rPr>
              <w:t xml:space="preserve">（1）无偿付能力报告或低于1</w:t>
            </w:r>
            <w:r>
              <w:rPr>
                <w:rFonts w:hint="eastAsia" w:ascii="宋体" w:hAnsi="宋体" w:cs="宋体"/>
                <w:color w:val="0000ff"/>
                <w:szCs w:val="21"/>
                <w:lang w:val="en-US" w:eastAsia="zh-CN"/>
              </w:rPr>
              <w:t xml:space="preserve">0</w:t>
            </w:r>
            <w:r>
              <w:rPr>
                <w:rFonts w:hint="eastAsia" w:ascii="宋体" w:hAnsi="宋体" w:cs="宋体"/>
                <w:color w:val="0000ff"/>
                <w:szCs w:val="21"/>
              </w:rPr>
              <w:t xml:space="preserve">0%（含），得0分；</w:t>
            </w:r>
            <w:r/>
          </w:p>
          <w:p>
            <w:pPr>
              <w:jc w:val="left"/>
              <w:rPr>
                <w:rFonts w:hint="eastAsia" w:ascii="宋体" w:hAnsi="宋体" w:cs="宋体"/>
                <w:color w:val="0000ff"/>
                <w:szCs w:val="21"/>
              </w:rPr>
            </w:pPr>
            <w:r>
              <w:rPr>
                <w:rFonts w:hint="eastAsia" w:ascii="宋体" w:hAnsi="宋体" w:cs="宋体"/>
                <w:color w:val="0000ff"/>
                <w:szCs w:val="21"/>
              </w:rPr>
              <w:t xml:space="preserve">（2）综合偿付能力充足率1</w:t>
            </w:r>
            <w:r>
              <w:rPr>
                <w:rFonts w:hint="eastAsia" w:ascii="宋体" w:hAnsi="宋体" w:cs="宋体"/>
                <w:color w:val="0000ff"/>
                <w:szCs w:val="21"/>
                <w:lang w:val="en-US" w:eastAsia="zh-CN"/>
              </w:rPr>
              <w:t xml:space="preserve">0</w:t>
            </w:r>
            <w:r>
              <w:rPr>
                <w:rFonts w:hint="eastAsia" w:ascii="宋体" w:hAnsi="宋体" w:cs="宋体"/>
                <w:color w:val="0000ff"/>
                <w:szCs w:val="21"/>
              </w:rPr>
              <w:t xml:space="preserve">0%-1</w:t>
            </w:r>
            <w:r>
              <w:rPr>
                <w:rFonts w:hint="eastAsia" w:ascii="宋体" w:hAnsi="宋体" w:cs="宋体"/>
                <w:color w:val="0000ff"/>
                <w:szCs w:val="21"/>
                <w:lang w:val="en-US" w:eastAsia="zh-CN"/>
              </w:rPr>
              <w:t xml:space="preserve">30</w:t>
            </w:r>
            <w:r>
              <w:rPr>
                <w:rFonts w:hint="eastAsia" w:ascii="宋体" w:hAnsi="宋体" w:cs="宋体"/>
                <w:color w:val="0000ff"/>
                <w:szCs w:val="21"/>
              </w:rPr>
              <w:t xml:space="preserve">%（含），得8分；</w:t>
            </w:r>
            <w:r/>
          </w:p>
          <w:p>
            <w:pPr>
              <w:jc w:val="left"/>
              <w:rPr>
                <w:rFonts w:hint="eastAsia" w:ascii="宋体" w:hAnsi="宋体" w:cs="宋体"/>
                <w:color w:val="0000ff"/>
                <w:szCs w:val="21"/>
              </w:rPr>
            </w:pPr>
            <w:r>
              <w:rPr>
                <w:rFonts w:hint="eastAsia" w:ascii="宋体" w:hAnsi="宋体" w:cs="宋体"/>
                <w:color w:val="0000ff"/>
                <w:szCs w:val="21"/>
              </w:rPr>
              <w:t xml:space="preserve">（3）综合偿付能力充足率1</w:t>
            </w:r>
            <w:r>
              <w:rPr>
                <w:rFonts w:hint="eastAsia" w:ascii="宋体" w:hAnsi="宋体" w:cs="宋体"/>
                <w:color w:val="0000ff"/>
                <w:szCs w:val="21"/>
                <w:lang w:val="en-US" w:eastAsia="zh-CN"/>
              </w:rPr>
              <w:t xml:space="preserve">30</w:t>
            </w:r>
            <w:r>
              <w:rPr>
                <w:rFonts w:hint="eastAsia" w:ascii="宋体" w:hAnsi="宋体" w:cs="宋体"/>
                <w:color w:val="0000ff"/>
                <w:szCs w:val="21"/>
              </w:rPr>
              <w:t xml:space="preserve">%-</w:t>
            </w:r>
            <w:r>
              <w:rPr>
                <w:rFonts w:hint="eastAsia" w:ascii="宋体" w:hAnsi="宋体" w:cs="宋体"/>
                <w:color w:val="0000ff"/>
                <w:szCs w:val="21"/>
                <w:lang w:val="en-US" w:eastAsia="zh-CN"/>
              </w:rPr>
              <w:t xml:space="preserve">160</w:t>
            </w:r>
            <w:r>
              <w:rPr>
                <w:rFonts w:hint="eastAsia" w:ascii="宋体" w:hAnsi="宋体" w:cs="宋体"/>
                <w:color w:val="0000ff"/>
                <w:szCs w:val="21"/>
              </w:rPr>
              <w:t xml:space="preserve">%（含），得10分；</w:t>
            </w:r>
            <w:r/>
          </w:p>
          <w:p>
            <w:pPr>
              <w:jc w:val="left"/>
              <w:rPr>
                <w:rFonts w:hint="eastAsia" w:ascii="宋体" w:hAnsi="宋体" w:cs="宋体"/>
                <w:color w:val="0000ff"/>
                <w:szCs w:val="21"/>
              </w:rPr>
            </w:pPr>
            <w:r>
              <w:rPr>
                <w:rFonts w:hint="eastAsia" w:ascii="宋体" w:hAnsi="宋体" w:cs="宋体"/>
                <w:color w:val="0000ff"/>
                <w:szCs w:val="21"/>
              </w:rPr>
              <w:t xml:space="preserve">（4）综合偿付能力充足率</w:t>
            </w:r>
            <w:r>
              <w:rPr>
                <w:rFonts w:hint="eastAsia" w:ascii="宋体" w:hAnsi="宋体" w:cs="宋体"/>
                <w:color w:val="0000ff"/>
                <w:szCs w:val="21"/>
                <w:lang w:val="en-US" w:eastAsia="zh-CN"/>
              </w:rPr>
              <w:t xml:space="preserve">160</w:t>
            </w:r>
            <w:r>
              <w:rPr>
                <w:rFonts w:hint="eastAsia" w:ascii="宋体" w:hAnsi="宋体" w:cs="宋体"/>
                <w:color w:val="0000ff"/>
                <w:szCs w:val="21"/>
              </w:rPr>
              <w:t xml:space="preserve">%-2</w:t>
            </w:r>
            <w:r>
              <w:rPr>
                <w:rFonts w:hint="eastAsia" w:ascii="宋体" w:hAnsi="宋体" w:cs="宋体"/>
                <w:color w:val="0000ff"/>
                <w:szCs w:val="21"/>
                <w:lang w:val="en-US" w:eastAsia="zh-CN"/>
              </w:rPr>
              <w:t xml:space="preserve">00</w:t>
            </w:r>
            <w:r>
              <w:rPr>
                <w:rFonts w:hint="eastAsia" w:ascii="宋体" w:hAnsi="宋体" w:cs="宋体"/>
                <w:color w:val="0000ff"/>
                <w:szCs w:val="21"/>
              </w:rPr>
              <w:t xml:space="preserve">%（含），得1</w:t>
            </w:r>
            <w:r>
              <w:rPr>
                <w:rFonts w:hint="eastAsia" w:ascii="宋体" w:hAnsi="宋体" w:cs="宋体"/>
                <w:color w:val="0000ff"/>
                <w:szCs w:val="21"/>
                <w:lang w:val="en-US" w:eastAsia="zh-CN"/>
              </w:rPr>
              <w:t xml:space="preserve">2</w:t>
            </w:r>
            <w:r>
              <w:rPr>
                <w:rFonts w:hint="eastAsia" w:ascii="宋体" w:hAnsi="宋体" w:cs="宋体"/>
                <w:color w:val="0000ff"/>
                <w:szCs w:val="21"/>
              </w:rPr>
              <w:t xml:space="preserve">分；</w:t>
            </w:r>
            <w:r/>
          </w:p>
          <w:p>
            <w:pPr>
              <w:widowControl/>
              <w:rPr>
                <w:rFonts w:ascii="宋体" w:hAnsi="宋体" w:cs="宋体"/>
                <w:color w:val="0000ff"/>
                <w:szCs w:val="21"/>
              </w:rPr>
            </w:pPr>
            <w:r>
              <w:rPr>
                <w:rFonts w:hint="eastAsia" w:ascii="宋体" w:hAnsi="宋体" w:cs="宋体"/>
                <w:color w:val="0000ff"/>
                <w:szCs w:val="21"/>
              </w:rPr>
              <w:t xml:space="preserve">（5）综合偿付能力充足率2</w:t>
            </w:r>
            <w:r>
              <w:rPr>
                <w:rFonts w:hint="eastAsia" w:ascii="宋体" w:hAnsi="宋体" w:cs="宋体"/>
                <w:color w:val="0000ff"/>
                <w:szCs w:val="21"/>
                <w:lang w:val="en-US" w:eastAsia="zh-CN"/>
              </w:rPr>
              <w:t xml:space="preserve">00</w:t>
            </w:r>
            <w:r>
              <w:rPr>
                <w:rFonts w:hint="eastAsia" w:ascii="宋体" w:hAnsi="宋体" w:cs="宋体"/>
                <w:color w:val="0000ff"/>
                <w:szCs w:val="21"/>
              </w:rPr>
              <w:t xml:space="preserve">%以上，得15分。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color w:val="0000ff"/>
                <w:szCs w:val="21"/>
                <w:lang w:val="en-US" w:eastAsia="zh-CN"/>
              </w:rPr>
            </w:pPr>
            <w:r>
              <w:rPr>
                <w:rFonts w:hint="eastAsia" w:ascii="宋体" w:hAnsi="宋体" w:cs="宋体"/>
                <w:color w:val="0000ff"/>
                <w:szCs w:val="21"/>
              </w:rPr>
              <w:t xml:space="preserve">15</w:t>
            </w:r>
            <w:r/>
          </w:p>
        </w:tc>
      </w:tr>
      <w:tr>
        <w:trPr>
          <w:trHeight w:val="198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rPr>
            </w:pPr>
            <w:r>
              <w:rPr>
                <w:rFonts w:hint="eastAsia" w:ascii="宋体" w:hAnsi="宋体" w:cs="宋体"/>
                <w:color w:val="0000ff"/>
                <w:szCs w:val="21"/>
              </w:rPr>
              <w:t xml:space="preserve">风险综合评级10分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hint="eastAsia" w:ascii="宋体" w:hAnsi="宋体" w:cs="宋体"/>
                <w:color w:val="0000ff"/>
                <w:szCs w:val="21"/>
                <w:lang w:eastAsia="zh-CN"/>
              </w:rPr>
            </w:pPr>
            <w:r>
              <w:rPr>
                <w:rFonts w:hint="eastAsia" w:ascii="宋体" w:hAnsi="宋体" w:cs="宋体"/>
                <w:color w:val="0000ff"/>
                <w:szCs w:val="21"/>
                <w:lang w:eastAsia="zh-CN"/>
              </w:rPr>
              <w:t xml:space="preserve">根据本次参与投标的投标人或其总公司202</w:t>
            </w:r>
            <w:r>
              <w:rPr>
                <w:rFonts w:hint="eastAsia" w:ascii="宋体" w:hAnsi="宋体" w:cs="宋体"/>
                <w:color w:val="0000ff"/>
                <w:szCs w:val="21"/>
                <w:lang w:val="en-US" w:eastAsia="zh-CN"/>
              </w:rPr>
              <w:t xml:space="preserve">5</w:t>
            </w:r>
            <w:r>
              <w:rPr>
                <w:rFonts w:hint="eastAsia" w:ascii="宋体" w:hAnsi="宋体" w:cs="宋体"/>
                <w:color w:val="0000ff"/>
                <w:szCs w:val="21"/>
                <w:lang w:eastAsia="zh-CN"/>
              </w:rPr>
              <w:t xml:space="preserve">年第</w:t>
            </w:r>
            <w:r>
              <w:rPr>
                <w:rFonts w:hint="eastAsia" w:ascii="宋体" w:hAnsi="宋体" w:cs="宋体"/>
                <w:color w:val="0000ff"/>
                <w:szCs w:val="21"/>
                <w:lang w:val="en-US" w:eastAsia="zh-CN"/>
              </w:rPr>
              <w:t xml:space="preserve">三</w:t>
            </w:r>
            <w:r>
              <w:rPr>
                <w:rFonts w:hint="eastAsia" w:ascii="宋体" w:hAnsi="宋体" w:cs="宋体"/>
                <w:color w:val="0000ff"/>
                <w:szCs w:val="21"/>
                <w:lang w:eastAsia="zh-CN"/>
              </w:rPr>
              <w:t xml:space="preserve">季度风险评级进行评审:</w:t>
            </w:r>
            <w:r/>
          </w:p>
          <w:p>
            <w:pPr>
              <w:widowControl/>
              <w:rPr>
                <w:rFonts w:ascii="宋体" w:hAnsi="宋体" w:cs="宋体"/>
                <w:color w:val="0000ff"/>
                <w:szCs w:val="21"/>
              </w:rPr>
            </w:pPr>
            <w:r>
              <w:rPr>
                <w:rFonts w:hint="eastAsia" w:ascii="宋体" w:hAnsi="宋体" w:cs="宋体"/>
                <w:color w:val="0000ff"/>
                <w:szCs w:val="21"/>
              </w:rPr>
              <w:t xml:space="preserve">（1）风险综合评级为A或AA或AAA的，得10分； </w:t>
            </w:r>
            <w:r/>
          </w:p>
          <w:p>
            <w:pPr>
              <w:widowControl/>
              <w:rPr>
                <w:rFonts w:ascii="宋体" w:hAnsi="宋体" w:cs="宋体"/>
                <w:color w:val="0000ff"/>
                <w:szCs w:val="21"/>
              </w:rPr>
            </w:pPr>
            <w:r>
              <w:rPr>
                <w:rFonts w:ascii="宋体" w:hAnsi="宋体" w:cs="宋体"/>
                <w:color w:val="0000ff"/>
                <w:szCs w:val="21"/>
              </w:rPr>
              <w:t xml:space="preserve">（2）</w:t>
            </w:r>
            <w:r>
              <w:rPr>
                <w:rFonts w:hint="eastAsia" w:ascii="宋体" w:hAnsi="宋体" w:cs="宋体"/>
                <w:color w:val="0000ff"/>
                <w:szCs w:val="21"/>
              </w:rPr>
              <w:t xml:space="preserve">风险综合评级为B或BB或BBB的，得</w:t>
            </w:r>
            <w:r>
              <w:rPr>
                <w:rFonts w:hint="eastAsia" w:ascii="宋体" w:hAnsi="宋体" w:cs="宋体"/>
                <w:color w:val="0000ff"/>
                <w:szCs w:val="21"/>
                <w:lang w:val="en-US" w:eastAsia="zh-CN"/>
              </w:rPr>
              <w:t xml:space="preserve">8</w:t>
            </w:r>
            <w:r>
              <w:rPr>
                <w:rFonts w:hint="eastAsia" w:ascii="宋体" w:hAnsi="宋体" w:cs="宋体"/>
                <w:color w:val="0000ff"/>
                <w:szCs w:val="21"/>
              </w:rPr>
              <w:t xml:space="preserve">分；</w:t>
            </w:r>
            <w:r/>
          </w:p>
          <w:p>
            <w:pPr>
              <w:widowControl/>
              <w:rPr>
                <w:rFonts w:ascii="宋体" w:hAnsi="宋体" w:cs="宋体"/>
                <w:color w:val="0000ff"/>
                <w:szCs w:val="21"/>
              </w:rPr>
            </w:pPr>
            <w:r>
              <w:rPr>
                <w:rFonts w:ascii="宋体" w:hAnsi="宋体" w:cs="宋体"/>
                <w:color w:val="0000ff"/>
                <w:szCs w:val="21"/>
              </w:rPr>
              <w:t xml:space="preserve">（3）</w:t>
            </w:r>
            <w:r>
              <w:rPr>
                <w:rFonts w:hint="eastAsia" w:ascii="宋体" w:hAnsi="宋体" w:cs="宋体"/>
                <w:color w:val="0000ff"/>
                <w:szCs w:val="21"/>
              </w:rPr>
              <w:t xml:space="preserve">风险综合评级C级及以下，不得分。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rPr>
              <w:t xml:space="preserve">10</w:t>
            </w:r>
            <w:r/>
          </w:p>
        </w:tc>
      </w:tr>
      <w:tr>
        <w:trPr>
          <w:trHeight w:val="167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保险方案18分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ascii="宋体" w:hAnsi="宋体"/>
                <w:szCs w:val="21"/>
                <w:lang w:bidi="ar"/>
              </w:rPr>
            </w:pPr>
            <w:r>
              <w:rPr>
                <w:rFonts w:hint="eastAsia" w:ascii="宋体" w:hAnsi="宋体"/>
                <w:szCs w:val="21"/>
                <w:lang w:bidi="ar"/>
              </w:rPr>
              <w:t xml:space="preserve"> 保险方案具备扩大保险保障范围、赔偿范围，保险方案优惠内容，符合项目要求的得1</w:t>
            </w:r>
            <w:r>
              <w:rPr>
                <w:rFonts w:ascii="宋体" w:hAnsi="宋体"/>
                <w:szCs w:val="21"/>
                <w:lang w:bidi="ar"/>
              </w:rPr>
              <w:t xml:space="preserve">6</w:t>
            </w:r>
            <w:r>
              <w:rPr>
                <w:rFonts w:hint="eastAsia" w:ascii="宋体" w:hAnsi="宋体"/>
                <w:szCs w:val="21"/>
                <w:lang w:bidi="ar"/>
              </w:rPr>
              <w:t xml:space="preserve">分，优于的1</w:t>
            </w:r>
            <w:r>
              <w:rPr>
                <w:rFonts w:ascii="宋体" w:hAnsi="宋体"/>
                <w:szCs w:val="21"/>
                <w:lang w:bidi="ar"/>
              </w:rPr>
              <w:t xml:space="preserve">8</w:t>
            </w:r>
            <w:r>
              <w:rPr>
                <w:rFonts w:hint="eastAsia" w:ascii="宋体" w:hAnsi="宋体"/>
                <w:szCs w:val="21"/>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服务方案1</w:t>
            </w:r>
            <w:r>
              <w:rPr>
                <w:rFonts w:hint="eastAsia" w:ascii="宋体" w:hAnsi="宋体" w:cs="宋体"/>
                <w:szCs w:val="21"/>
                <w:lang w:val="en-US" w:eastAsia="zh-CN"/>
              </w:rPr>
              <w:t xml:space="preserve">7</w:t>
            </w:r>
            <w:r>
              <w:rPr>
                <w:rFonts w:hint="eastAsia" w:ascii="宋体" w:hAnsi="宋体" w:cs="宋体"/>
                <w:szCs w:val="21"/>
              </w:rPr>
              <w:t xml:space="preserve">分</w:t>
            </w:r>
            <w:r/>
          </w:p>
          <w:p>
            <w:pPr>
              <w:jc w:val="center"/>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ascii="宋体" w:hAnsi="宋体" w:cs="宋体"/>
                <w:color w:val="000000"/>
                <w:szCs w:val="21"/>
              </w:rPr>
            </w:pPr>
            <w:r/>
            <w:bookmarkStart w:id="183" w:name="OLE_LINK15"/>
            <w:r>
              <w:rPr>
                <w:rFonts w:hint="eastAsia" w:ascii="宋体" w:hAnsi="宋体" w:cs="宋体"/>
                <w:color w:val="000000"/>
                <w:szCs w:val="21"/>
              </w:rPr>
              <w:t xml:space="preserve">服务方案具备服务团队、服务流程、管理措施，</w:t>
            </w:r>
            <w:r>
              <w:rPr>
                <w:rFonts w:hint="eastAsia" w:ascii="宋体" w:hAnsi="宋体"/>
                <w:szCs w:val="21"/>
                <w:lang w:bidi="ar"/>
              </w:rPr>
              <w:t xml:space="preserve">符合项目要求的得1</w:t>
            </w:r>
            <w:r>
              <w:rPr>
                <w:rFonts w:hint="eastAsia" w:ascii="宋体" w:hAnsi="宋体"/>
                <w:szCs w:val="21"/>
                <w:lang w:val="en-US" w:eastAsia="zh-CN" w:bidi="ar"/>
              </w:rPr>
              <w:t xml:space="preserve">5</w:t>
            </w:r>
            <w:r>
              <w:rPr>
                <w:rFonts w:hint="eastAsia" w:ascii="宋体" w:hAnsi="宋体"/>
                <w:szCs w:val="21"/>
                <w:lang w:bidi="ar"/>
              </w:rPr>
              <w:t xml:space="preserve">分，优于的1</w:t>
            </w:r>
            <w:r>
              <w:rPr>
                <w:rFonts w:hint="eastAsia" w:ascii="宋体" w:hAnsi="宋体"/>
                <w:szCs w:val="21"/>
                <w:lang w:val="en-US" w:eastAsia="zh-CN" w:bidi="ar"/>
              </w:rPr>
              <w:t xml:space="preserve">7</w:t>
            </w:r>
            <w:r>
              <w:rPr>
                <w:rFonts w:hint="eastAsia" w:ascii="宋体" w:hAnsi="宋体"/>
                <w:szCs w:val="21"/>
                <w:lang w:bidi="ar"/>
              </w:rPr>
              <w:t xml:space="preserve">分，不符合或不提供的不得分</w:t>
            </w:r>
            <w:r>
              <w:rPr>
                <w:rFonts w:hint="eastAsia" w:ascii="宋体" w:hAnsi="宋体" w:cs="宋体"/>
                <w:color w:val="000000"/>
                <w:szCs w:val="21"/>
              </w:rPr>
              <w:t xml:space="preserve">。 </w:t>
            </w:r>
            <w:bookmarkEnd w:id="183"/>
            <w:r/>
            <w:r/>
          </w:p>
          <w:p>
            <w:pPr>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17</w:t>
            </w:r>
            <w:r/>
          </w:p>
        </w:tc>
      </w:tr>
    </w:tbl>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47"/>
      <w:r/>
      <w:bookmarkEnd w:id="48"/>
      <w:r/>
      <w:bookmarkEnd w:id="181"/>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84" w:name="_Hlt26671244"/>
      <w:r/>
      <w:bookmarkEnd w:id="184"/>
      <w:r/>
      <w:bookmarkStart w:id="185" w:name="_Hlt26955039"/>
      <w:r/>
      <w:bookmarkEnd w:id="185"/>
      <w:r/>
      <w:bookmarkStart w:id="186" w:name="_Toc49090576"/>
      <w:r/>
      <w:bookmarkStart w:id="187" w:name="_Toc26554094"/>
      <w:r/>
      <w:bookmarkStart w:id="188"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ascii="宋体" w:hAnsi="宋体"/>
          <w:sz w:val="24"/>
          <w:szCs w:val="21"/>
        </w:rPr>
      </w:pPr>
      <w:r>
        <w:rPr>
          <w:rFonts w:hint="eastAsia" w:ascii="宋体" w:hAnsi="宋体"/>
          <w:sz w:val="24"/>
          <w:szCs w:val="21"/>
        </w:rPr>
        <w:t xml:space="preserve">九、小微企业声明函</w:t>
      </w:r>
      <w:r/>
    </w:p>
    <w:p>
      <w:pPr>
        <w:ind w:firstLine="480"/>
        <w:spacing w:line="440" w:lineRule="exact"/>
        <w:rPr>
          <w:rFonts w:ascii="宋体" w:hAnsi="宋体"/>
          <w:sz w:val="24"/>
          <w:szCs w:val="21"/>
        </w:rPr>
      </w:pPr>
      <w:r>
        <w:rPr>
          <w:rFonts w:hint="eastAsia" w:ascii="宋体" w:hAnsi="宋体"/>
          <w:sz w:val="24"/>
          <w:szCs w:val="21"/>
        </w:rPr>
        <w:t xml:space="preserve">十、残疾人福利性单位声明函</w:t>
      </w:r>
      <w:r/>
    </w:p>
    <w:p>
      <w:pPr>
        <w:ind w:firstLine="480"/>
        <w:spacing w:line="440" w:lineRule="exact"/>
        <w:rPr>
          <w:rFonts w:ascii="宋体" w:hAnsi="宋体"/>
          <w:sz w:val="24"/>
          <w:szCs w:val="21"/>
        </w:rPr>
      </w:pPr>
      <w:r>
        <w:rPr>
          <w:rFonts w:hint="eastAsia" w:ascii="宋体" w:hAnsi="宋体"/>
          <w:sz w:val="24"/>
          <w:szCs w:val="21"/>
        </w:rPr>
        <w:t xml:space="preserve">十一、初次报价表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二</w:t>
      </w:r>
      <w:r>
        <w:rPr>
          <w:rFonts w:hint="eastAsia" w:ascii="宋体" w:hAnsi="宋体"/>
          <w:sz w:val="24"/>
          <w:szCs w:val="21"/>
        </w:rPr>
        <w:t xml:space="preserve">、类似业绩表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三</w:t>
      </w:r>
      <w:r>
        <w:rPr>
          <w:rFonts w:hint="eastAsia" w:ascii="宋体" w:hAnsi="宋体"/>
          <w:sz w:val="24"/>
          <w:szCs w:val="21"/>
        </w:rPr>
        <w:t xml:space="preserve">、保险、服务方案</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四</w:t>
      </w:r>
      <w:r>
        <w:rPr>
          <w:rFonts w:hint="eastAsia" w:ascii="宋体" w:hAnsi="宋体"/>
          <w:sz w:val="24"/>
          <w:szCs w:val="21"/>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6"/>
      <w:r/>
      <w:bookmarkEnd w:id="187"/>
      <w:r/>
      <w:bookmarkEnd w:id="188"/>
      <w:r/>
      <w:r/>
    </w:p>
    <w:p>
      <w:pPr>
        <w:spacing w:line="460" w:lineRule="exact"/>
        <w:rPr>
          <w:rFonts w:hint="eastAsia" w:ascii="宋体" w:hAnsi="宋体"/>
          <w:bCs/>
          <w:sz w:val="24"/>
          <w:szCs w:val="21"/>
        </w:rPr>
      </w:pPr>
      <w:r/>
      <w:bookmarkStart w:id="189"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0" w:name="_格式3__银行出具的资信证明"/>
      <w:r/>
      <w:bookmarkEnd w:id="190"/>
      <w:r/>
      <w:bookmarkStart w:id="191" w:name="_Hlt26955070"/>
      <w:r/>
      <w:bookmarkEnd w:id="191"/>
      <w:r/>
      <w:bookmarkStart w:id="192" w:name="_Hlt26671380"/>
      <w:r/>
      <w:bookmarkEnd w:id="192"/>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盐城市瑞泽工程管理服务有限公司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bookmarkEnd w:id="49"/>
      <w:r/>
      <w:bookmarkEnd w:id="50"/>
      <w:r/>
      <w:bookmarkEnd w:id="189"/>
      <w:r/>
      <w:r/>
    </w:p>
    <w:p>
      <w:pPr>
        <w:jc w:val="center"/>
        <w:spacing w:line="480" w:lineRule="exact"/>
        <w:rPr>
          <w:rFonts w:ascii="宋体" w:hAnsi="宋体"/>
          <w:b/>
          <w:sz w:val="32"/>
          <w:szCs w:val="32"/>
        </w:rPr>
      </w:pPr>
      <w:r>
        <w:rPr>
          <w:rFonts w:hint="eastAsia" w:ascii="黑体" w:hAnsi="黑体" w:eastAsia="黑体"/>
          <w:b/>
          <w:sz w:val="32"/>
          <w:szCs w:val="32"/>
        </w:rPr>
        <w:t xml:space="preserve">十一、</w:t>
      </w:r>
      <w:r>
        <w:rPr>
          <w:rFonts w:hint="eastAsia" w:ascii="宋体" w:hAnsi="宋体"/>
          <w:b/>
          <w:sz w:val="32"/>
          <w:szCs w:val="32"/>
          <w:lang w:val="zh-CN"/>
        </w:rPr>
        <w:t xml:space="preserve">初次报价</w:t>
      </w:r>
      <w:r>
        <w:rPr>
          <w:rFonts w:ascii="宋体" w:hAnsi="宋体"/>
          <w:b/>
          <w:sz w:val="32"/>
          <w:szCs w:val="32"/>
          <w:lang w:val="zh-CN"/>
        </w:rPr>
        <w:t xml:space="preserve">表</w:t>
      </w:r>
      <w:r/>
    </w:p>
    <w:p>
      <w:pPr>
        <w:jc w:val="center"/>
        <w:spacing w:line="460" w:lineRule="exact"/>
        <w:rPr>
          <w:rFonts w:hint="eastAsia" w:ascii="宋体" w:hAnsi="宋体" w:eastAsia="宋体"/>
          <w:b/>
          <w:bCs/>
          <w:sz w:val="28"/>
          <w:lang w:eastAsia="zh-CN"/>
        </w:rPr>
      </w:pPr>
      <w:r>
        <w:rPr>
          <w:rFonts w:hint="eastAsia" w:ascii="宋体" w:hAnsi="宋体"/>
          <w:b/>
          <w:bCs/>
          <w:sz w:val="28"/>
          <w:lang w:eastAsia="zh-CN"/>
        </w:rPr>
        <w:t xml:space="preserve">（一）</w:t>
      </w:r>
      <w:r/>
    </w:p>
    <w:p>
      <w:pPr>
        <w:jc w:val="left"/>
        <w:spacing w:line="460" w:lineRule="exact"/>
        <w:rPr>
          <w:rFonts w:ascii="宋体" w:hAnsi="宋体"/>
          <w:sz w:val="28"/>
        </w:rPr>
      </w:pPr>
      <w:r>
        <w:rPr>
          <w:rFonts w:ascii="宋体" w:hAnsi="宋体"/>
          <w:sz w:val="28"/>
        </w:rPr>
      </w:r>
      <w:r/>
    </w:p>
    <w:p>
      <w:pPr>
        <w:jc w:val="center"/>
        <w:spacing w:line="360" w:lineRule="atLeast"/>
        <w:shd w:val="clear" w:color="auto" w:fill="ffffff"/>
        <w:widowControl/>
        <w:rPr>
          <w:rFonts w:ascii="宋体"/>
          <w:b/>
          <w:bCs/>
          <w:sz w:val="32"/>
          <w:szCs w:val="32"/>
          <w:shd w:val="clear" w:color="auto" w:fill="ffffff"/>
        </w:rPr>
      </w:pPr>
      <w:r>
        <w:rPr>
          <w:rFonts w:ascii="宋体"/>
          <w:b/>
          <w:bCs/>
          <w:sz w:val="32"/>
          <w:szCs w:val="32"/>
          <w:shd w:val="clear" w:color="auto" w:fill="ffffff"/>
        </w:rPr>
      </w:r>
      <w:r/>
    </w:p>
    <w:tbl>
      <w:tblPr>
        <w:tblStyle w:val="705"/>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项目编号</w:t>
            </w:r>
            <w:r/>
          </w:p>
        </w:tc>
        <w:tc>
          <w:tcPr>
            <w:tcW w:w="5936" w:type="dxa"/>
            <w:vAlign w:val="top"/>
            <w:textDirection w:val="lrTb"/>
            <w:noWrap w:val="false"/>
          </w:tcPr>
          <w:p>
            <w:pPr>
              <w:pStyle w:val="729"/>
              <w:ind w:firstLine="210"/>
            </w:pPr>
            <w:r/>
            <w:r/>
          </w:p>
        </w:tc>
      </w:tr>
      <w:tr>
        <w:trPr>
          <w:trHeight w:val="803" w:hRule="exact"/>
        </w:trPr>
        <w:tc>
          <w:tcPr>
            <w:tcW w:w="2943" w:type="dxa"/>
            <w:vAlign w:val="center"/>
            <w:textDirection w:val="lrTb"/>
            <w:noWrap w:val="false"/>
          </w:tcPr>
          <w:p>
            <w:pPr>
              <w:pStyle w:val="729"/>
              <w:ind w:firstLine="241"/>
              <w:rPr>
                <w:rFonts w:ascii="宋体" w:hAnsi="宋体" w:cs="宋体"/>
                <w:b/>
                <w:bCs/>
                <w:sz w:val="24"/>
                <w:szCs w:val="24"/>
              </w:rPr>
            </w:pPr>
            <w:r>
              <w:rPr>
                <w:rFonts w:hint="eastAsia" w:ascii="宋体" w:hAnsi="宋体" w:cs="宋体"/>
                <w:b/>
                <w:bCs/>
                <w:sz w:val="24"/>
                <w:szCs w:val="24"/>
              </w:rPr>
              <w:t xml:space="preserve">项目名称</w:t>
            </w:r>
            <w:r/>
          </w:p>
        </w:tc>
        <w:tc>
          <w:tcPr>
            <w:tcW w:w="5936" w:type="dxa"/>
            <w:vAlign w:val="top"/>
            <w:textDirection w:val="lrTb"/>
            <w:noWrap w:val="false"/>
          </w:tcPr>
          <w:p>
            <w:pPr>
              <w:pStyle w:val="729"/>
              <w:ind w:firstLine="210"/>
            </w:pPr>
            <w:r/>
            <w:r/>
          </w:p>
        </w:tc>
      </w:tr>
      <w:tr>
        <w:trPr>
          <w:trHeight w:val="4560"/>
        </w:trPr>
        <w:tc>
          <w:tcPr>
            <w:gridSpan w:val="2"/>
            <w:tcW w:w="8879" w:type="dxa"/>
            <w:vAlign w:val="center"/>
            <w:textDirection w:val="lrTb"/>
            <w:noWrap w:val="false"/>
          </w:tcPr>
          <w:p>
            <w:pPr>
              <w:pStyle w:val="709"/>
              <w:rPr>
                <w:highlight w:val="white"/>
              </w:rPr>
            </w:pPr>
            <w:r>
              <w:rPr>
                <w:rFonts w:hint="eastAsia" w:ascii="宋体" w:hAnsi="宋体" w:cs="宋体"/>
                <w:b/>
                <w:bCs/>
                <w:sz w:val="24"/>
                <w:highlight w:val="white"/>
              </w:rPr>
              <w:t xml:space="preserve">项目投标报价人民币：（大写）</w:t>
            </w:r>
            <w:r>
              <w:rPr>
                <w:rFonts w:hint="eastAsia" w:ascii="宋体" w:hAnsi="宋体" w:cs="宋体"/>
                <w:b/>
                <w:bCs/>
                <w:sz w:val="24"/>
                <w:highlight w:val="white"/>
                <w:u w:val="single"/>
                <w:lang w:eastAsia="zh-CN"/>
              </w:rPr>
              <w:t xml:space="preserve">肆拾捌万叁仟捌佰</w:t>
            </w:r>
            <w:r>
              <w:rPr>
                <w:rFonts w:hint="eastAsia" w:ascii="宋体" w:hAnsi="宋体" w:cs="宋体"/>
                <w:b/>
                <w:bCs/>
                <w:sz w:val="24"/>
                <w:highlight w:val="white"/>
                <w:u w:val="single"/>
              </w:rPr>
              <w:t xml:space="preserve">元整</w:t>
            </w:r>
            <w:r>
              <w:rPr>
                <w:rFonts w:hint="eastAsia" w:ascii="宋体" w:hAnsi="宋体" w:cs="宋体"/>
                <w:b/>
                <w:bCs/>
                <w:sz w:val="24"/>
                <w:highlight w:val="white"/>
              </w:rPr>
              <w:t xml:space="preserve">，小写：</w:t>
            </w:r>
            <w:r>
              <w:rPr>
                <w:rFonts w:hint="eastAsia" w:ascii="宋体" w:hAnsi="宋体" w:cs="宋体"/>
                <w:b/>
                <w:bCs/>
                <w:sz w:val="24"/>
                <w:highlight w:val="white"/>
                <w:u w:val="single"/>
                <w:lang w:val="en-US" w:eastAsia="zh-CN"/>
              </w:rPr>
              <w:t xml:space="preserve">483800</w:t>
            </w:r>
            <w:r>
              <w:rPr>
                <w:rFonts w:hint="eastAsia" w:ascii="宋体" w:hAnsi="宋体" w:cs="宋体"/>
                <w:b/>
                <w:bCs/>
                <w:sz w:val="24"/>
                <w:highlight w:val="white"/>
                <w:u w:val="single"/>
              </w:rPr>
              <w:t xml:space="preserve">.00元。</w:t>
            </w:r>
            <w:r/>
          </w:p>
          <w:p>
            <w:pPr>
              <w:pStyle w:val="729"/>
              <w:ind w:firstLine="241"/>
              <w:rPr>
                <w:rFonts w:ascii="宋体" w:hAnsi="宋体" w:cs="宋体"/>
                <w:b/>
                <w:bCs/>
                <w:sz w:val="24"/>
                <w:szCs w:val="24"/>
                <w:highlight w:val="white"/>
                <w:u w:val="single"/>
              </w:rPr>
            </w:pPr>
            <w:r>
              <w:rPr>
                <w:rFonts w:ascii="宋体" w:hAnsi="宋体" w:cs="宋体"/>
                <w:b/>
                <w:bCs/>
                <w:sz w:val="24"/>
                <w:szCs w:val="24"/>
                <w:highlight w:val="white"/>
                <w:u w:val="single"/>
              </w:rPr>
            </w:r>
            <w:r/>
          </w:p>
          <w:p>
            <w:pPr>
              <w:pStyle w:val="729"/>
              <w:ind w:firstLine="241"/>
              <w:rPr>
                <w:rFonts w:ascii="宋体" w:hAnsi="宋体" w:cs="宋体"/>
                <w:b/>
                <w:bCs/>
                <w:sz w:val="24"/>
                <w:szCs w:val="24"/>
                <w:highlight w:val="white"/>
              </w:rPr>
            </w:pPr>
            <w:r>
              <w:rPr>
                <w:rFonts w:ascii="宋体" w:hAnsi="宋体" w:cs="宋体"/>
                <w:b/>
                <w:bCs/>
                <w:sz w:val="24"/>
                <w:szCs w:val="24"/>
                <w:highlight w:val="white"/>
              </w:rPr>
              <w:t xml:space="preserve">                  </w:t>
            </w:r>
            <w:r>
              <w:rPr>
                <w:rFonts w:hint="eastAsia" w:ascii="宋体" w:hAnsi="宋体" w:cs="宋体"/>
                <w:b/>
                <w:bCs/>
                <w:sz w:val="24"/>
                <w:szCs w:val="24"/>
                <w:highlight w:val="white"/>
              </w:rPr>
              <w:t xml:space="preserve"> </w:t>
            </w:r>
            <w:r>
              <w:rPr>
                <w:rFonts w:ascii="宋体" w:hAnsi="宋体" w:cs="宋体"/>
                <w:b/>
                <w:bCs/>
                <w:sz w:val="24"/>
                <w:szCs w:val="24"/>
                <w:highlight w:val="white"/>
              </w:rPr>
              <w:t xml:space="preserve">                       </w:t>
            </w:r>
            <w:r/>
          </w:p>
        </w:tc>
      </w:tr>
    </w:tbl>
    <w:p>
      <w:pPr>
        <w:ind w:right="1560" w:firstLine="624"/>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日  期：</w:t>
      </w:r>
      <w:r/>
    </w:p>
    <w:p>
      <w:pPr>
        <w:spacing w:line="460" w:lineRule="exact"/>
        <w:rPr>
          <w:rFonts w:ascii="宋体"/>
          <w:b/>
          <w:sz w:val="28"/>
          <w:szCs w:val="30"/>
        </w:rPr>
      </w:pPr>
      <w:r>
        <w:rPr>
          <w:rFonts w:hint="eastAsia" w:ascii="宋体" w:cs="宋体"/>
          <w:b/>
          <w:sz w:val="24"/>
          <w:highlight w:val="white"/>
        </w:rPr>
        <w:t xml:space="preserve">注：</w:t>
      </w:r>
      <w:r>
        <w:rPr>
          <w:rFonts w:ascii="宋体" w:cs="宋体"/>
          <w:b/>
          <w:sz w:val="24"/>
          <w:highlight w:val="white"/>
        </w:rPr>
        <w:t xml:space="preserve">本项目为采用固定价格采购的项目，固定价格为人民币</w:t>
      </w:r>
      <w:r>
        <w:rPr>
          <w:rFonts w:hint="eastAsia" w:ascii="宋体" w:cs="宋体"/>
          <w:b/>
          <w:sz w:val="24"/>
          <w:highlight w:val="white"/>
          <w:lang w:val="en-US" w:eastAsia="zh-CN"/>
        </w:rPr>
        <w:t xml:space="preserve">48.38</w:t>
      </w:r>
      <w:r>
        <w:rPr>
          <w:rFonts w:ascii="宋体" w:cs="宋体"/>
          <w:b/>
          <w:sz w:val="24"/>
          <w:highlight w:val="white"/>
        </w:rPr>
        <w:t xml:space="preserve">万</w:t>
      </w:r>
      <w:r>
        <w:rPr>
          <w:rFonts w:hint="eastAsia" w:ascii="宋体" w:cs="宋体"/>
          <w:b/>
          <w:sz w:val="24"/>
          <w:highlight w:val="white"/>
        </w:rPr>
        <w:t xml:space="preserve">元</w:t>
      </w:r>
      <w:r>
        <w:rPr>
          <w:rFonts w:ascii="宋体" w:cs="宋体"/>
          <w:b/>
          <w:sz w:val="24"/>
          <w:highlight w:val="white"/>
        </w:rPr>
        <w:t xml:space="preserve">，不得浮动。</w:t>
      </w:r>
      <w:r>
        <w:rPr>
          <w:rFonts w:ascii="宋体"/>
          <w:b/>
          <w:sz w:val="28"/>
          <w:szCs w:val="30"/>
        </w:rPr>
        <w:t xml:space="preserve"> </w:t>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2"/>
        <w:jc w:val="center"/>
        <w:rPr>
          <w:rFonts w:hAnsi="宋体"/>
          <w:sz w:val="28"/>
        </w:rPr>
      </w:pPr>
      <w:r>
        <w:rPr>
          <w:rFonts w:hint="eastAsia" w:ascii="宋体" w:hAnsi="宋体"/>
          <w:b/>
          <w:bCs/>
          <w:sz w:val="32"/>
          <w:szCs w:val="32"/>
          <w:shd w:val="clear" w:color="auto" w:fill="ffffff"/>
          <w:lang w:val="zh-CN"/>
        </w:rPr>
        <w:t xml:space="preserve">（二）赔偿限额</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（1）被保险人已入住护理机构（包括但不限于福利院、敬老院、精神病院等）的赔偿限额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（2）被保险人未入住护理机构的赔偿限额</w:t>
      </w:r>
      <w:r>
        <w:rPr>
          <w:rFonts w:ascii="宋体" w:hAnsi="宋体"/>
          <w:sz w:val="28"/>
          <w:szCs w:val="28"/>
          <w:shd w:val="clear" w:color="auto" w:fill="ffffff"/>
        </w:rPr>
        <w:t xml:space="preserve"> </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元/人/月；</w:t>
      </w:r>
      <w:r/>
    </w:p>
    <w:p>
      <w:pPr>
        <w:ind w:firstLine="560"/>
        <w:jc w:val="left"/>
        <w:spacing w:line="360" w:lineRule="atLeast"/>
        <w:shd w:val="clear" w:color="auto" w:fill="ffffff"/>
        <w:widowControl/>
        <w:rPr>
          <w:rFonts w:ascii="宋体" w:hAnsi="宋体"/>
          <w:sz w:val="28"/>
          <w:szCs w:val="28"/>
          <w:shd w:val="clear" w:color="auto" w:fill="ffffff"/>
        </w:rPr>
      </w:pPr>
      <w:r>
        <w:rPr>
          <w:rFonts w:hint="eastAsia" w:ascii="宋体" w:hAnsi="宋体"/>
          <w:sz w:val="28"/>
          <w:szCs w:val="28"/>
          <w:shd w:val="clear" w:color="auto" w:fill="ffffff"/>
        </w:rPr>
        <w:t xml:space="preserve">（3）被保险人住院护理补贴赔偿限额</w:t>
      </w:r>
      <w:r>
        <w:rPr>
          <w:rFonts w:ascii="宋体" w:hAnsi="宋体"/>
          <w:sz w:val="28"/>
          <w:szCs w:val="28"/>
          <w:u w:val="single"/>
          <w:shd w:val="clear" w:color="auto" w:fill="ffffff"/>
        </w:rPr>
        <w:t xml:space="preserve">    </w:t>
      </w:r>
      <w:r>
        <w:rPr>
          <w:rFonts w:hint="eastAsia" w:ascii="宋体" w:hAnsi="宋体"/>
          <w:sz w:val="28"/>
          <w:szCs w:val="28"/>
          <w:shd w:val="clear" w:color="auto" w:fill="ffffff"/>
        </w:rPr>
        <w:t xml:space="preserve">元/人/天，共计90天。</w:t>
      </w:r>
      <w:r/>
    </w:p>
    <w:p>
      <w:pPr>
        <w:ind w:firstLine="2520"/>
        <w:spacing w:line="360" w:lineRule="atLeast"/>
        <w:shd w:val="clear" w:color="auto" w:fill="ffffff"/>
        <w:widowControl/>
        <w:rPr>
          <w:rFonts w:ascii="宋体" w:hAnsi="宋体"/>
          <w:sz w:val="28"/>
          <w:szCs w:val="28"/>
          <w:shd w:val="clear" w:color="auto" w:fill="ffffff"/>
        </w:rPr>
      </w:pPr>
      <w:r>
        <w:rPr>
          <w:rFonts w:ascii="宋体" w:hAnsi="宋体"/>
          <w:sz w:val="28"/>
          <w:szCs w:val="28"/>
          <w:shd w:val="clear" w:color="auto" w:fill="ffffff"/>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pStyle w:val="712"/>
        <w:rPr>
          <w:rFonts w:eastAsia="宋体"/>
        </w:rPr>
      </w:pPr>
      <w:r>
        <w:rPr>
          <w:rFonts w:eastAsia="宋体"/>
        </w:rPr>
      </w:r>
      <w:r/>
    </w:p>
    <w:p>
      <w:pPr>
        <w:rPr>
          <w:rFonts w:ascii="黑体" w:hAnsi="Arial" w:eastAsia="黑体"/>
          <w:sz w:val="32"/>
          <w:szCs w:val="21"/>
        </w:rPr>
      </w:pPr>
      <w:r>
        <w:rPr>
          <w:rFonts w:ascii="黑体" w:hAnsi="Arial" w:eastAsia="黑体"/>
          <w:sz w:val="32"/>
          <w:szCs w:val="21"/>
        </w:rPr>
      </w:r>
      <w:r/>
    </w:p>
    <w:p>
      <w:pPr>
        <w:pStyle w:val="711"/>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pStyle w:val="712"/>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both"/>
        <w:rPr>
          <w:rFonts w:ascii="宋体" w:hAnsi="宋体"/>
          <w:sz w:val="24"/>
          <w:szCs w:val="24"/>
        </w:rPr>
      </w:pPr>
      <w:r/>
      <w:bookmarkStart w:id="193" w:name="_Hlt26955054"/>
      <w:r/>
      <w:bookmarkEnd w:id="193"/>
      <w:r/>
      <w:r/>
    </w:p>
    <w:p>
      <w:pPr>
        <w:jc w:val="center"/>
        <w:rPr>
          <w:rFonts w:ascii="宋体" w:hAnsi="宋体"/>
          <w:sz w:val="24"/>
          <w:szCs w:val="24"/>
        </w:rPr>
      </w:pPr>
      <w:r>
        <w:rPr>
          <w:rFonts w:ascii="宋体" w:hAnsi="宋体"/>
          <w:sz w:val="24"/>
          <w:szCs w:val="24"/>
        </w:rPr>
      </w:r>
      <w:r/>
    </w:p>
    <w:p>
      <w:pPr>
        <w:jc w:val="center"/>
        <w:spacing w:line="420" w:lineRule="exact"/>
        <w:tabs>
          <w:tab w:val="left" w:pos="1320" w:leader="none"/>
        </w:tabs>
        <w:rPr>
          <w:rFonts w:ascii="宋体" w:hAnsi="宋体"/>
          <w:b/>
          <w:bCs/>
          <w:sz w:val="30"/>
          <w:szCs w:val="30"/>
        </w:rPr>
        <w:outlineLvl w:val="1"/>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二</w:t>
      </w:r>
      <w:r>
        <w:rPr>
          <w:rFonts w:hint="eastAsia" w:ascii="黑体" w:hAnsi="黑体" w:eastAsia="黑体"/>
          <w:b/>
          <w:sz w:val="32"/>
          <w:szCs w:val="32"/>
        </w:rPr>
        <w:t xml:space="preserve">、</w:t>
      </w:r>
      <w:r>
        <w:rPr>
          <w:rFonts w:hint="eastAsia" w:ascii="宋体" w:hAnsi="宋体"/>
          <w:b/>
          <w:bCs/>
          <w:sz w:val="30"/>
          <w:szCs w:val="30"/>
        </w:rPr>
        <w:t xml:space="preserve">类似业绩表</w:t>
      </w:r>
      <w:r/>
    </w:p>
    <w:p>
      <w:pPr>
        <w:pStyle w:val="697"/>
        <w:jc w:val="center"/>
        <w:rPr>
          <w:sz w:val="24"/>
          <w:szCs w:val="24"/>
        </w:rPr>
      </w:pPr>
      <w:r>
        <w:rPr>
          <w:rFonts w:hint="eastAsia"/>
          <w:sz w:val="24"/>
          <w:szCs w:val="24"/>
        </w:rPr>
        <w:t xml:space="preserve">（一）</w:t>
      </w:r>
      <w:r/>
    </w:p>
    <w:p>
      <w:pPr>
        <w:jc w:val="center"/>
        <w:spacing w:line="400" w:lineRule="exact"/>
        <w:rPr>
          <w:rFonts w:ascii="宋体" w:hAnsi="宋体"/>
          <w:b/>
          <w:sz w:val="28"/>
          <w:szCs w:val="30"/>
        </w:rPr>
      </w:pPr>
      <w:r>
        <w:rPr>
          <w:rFonts w:ascii="宋体" w:hAnsi="宋体"/>
          <w:b/>
          <w:sz w:val="28"/>
          <w:szCs w:val="30"/>
        </w:rPr>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289"/>
        <w:gridCol w:w="2603"/>
        <w:gridCol w:w="2603"/>
      </w:tblGrid>
      <w:tr>
        <w:trPr>
          <w:cantSplit/>
          <w:jc w:val="center"/>
          <w:trHeight w:val="575"/>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228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承保期限</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独家承保、首席保险人或共保人</w:t>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b/>
          <w:sz w:val="28"/>
          <w:szCs w:val="30"/>
        </w:rPr>
      </w:pPr>
      <w:r>
        <w:rPr>
          <w:rFonts w:ascii="宋体" w:hAnsi="宋体"/>
          <w:b/>
          <w:sz w:val="28"/>
          <w:szCs w:val="30"/>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30"/>
        <w:ind w:left="420" w:firstLine="640"/>
        <w:rPr>
          <w:rFonts w:ascii="宋体" w:hAnsi="宋体"/>
          <w:sz w:val="32"/>
          <w:szCs w:val="32"/>
          <w:lang w:val="zh-CN"/>
        </w:rPr>
      </w:pPr>
      <w:r>
        <w:rPr>
          <w:rFonts w:ascii="宋体" w:hAnsi="宋体"/>
          <w:sz w:val="32"/>
          <w:szCs w:val="32"/>
          <w:lang w:val="zh-CN"/>
        </w:rPr>
      </w:r>
      <w:r/>
    </w:p>
    <w:p>
      <w:pPr>
        <w:pStyle w:val="730"/>
        <w:ind w:left="420"/>
        <w:rPr>
          <w:lang w:val="zh-CN"/>
        </w:rPr>
      </w:pPr>
      <w:r>
        <w:rPr>
          <w:lang w:val="zh-CN"/>
        </w:rPr>
      </w:r>
      <w:r/>
    </w:p>
    <w:p>
      <w:pPr>
        <w:pStyle w:val="730"/>
        <w:ind w:left="420"/>
        <w:rPr>
          <w:lang w:val="zh-CN"/>
        </w:rPr>
      </w:pPr>
      <w:r>
        <w:rPr>
          <w:lang w:val="zh-CN"/>
        </w:rPr>
      </w:r>
      <w:r/>
    </w:p>
    <w:p>
      <w:pPr>
        <w:pStyle w:val="730"/>
        <w:ind w:left="420"/>
        <w:rPr>
          <w:lang w:val="zh-CN"/>
        </w:rPr>
      </w:pPr>
      <w:r>
        <w:rPr>
          <w:lang w:val="zh-CN"/>
        </w:rPr>
      </w:r>
      <w:r/>
    </w:p>
    <w:p>
      <w:pPr>
        <w:pStyle w:val="730"/>
        <w:ind w:left="420" w:firstLine="480"/>
        <w:jc w:val="center"/>
        <w:rPr>
          <w:sz w:val="24"/>
          <w:szCs w:val="21"/>
          <w:lang w:val="zh-CN"/>
        </w:rPr>
      </w:pPr>
      <w:r>
        <w:rPr>
          <w:rFonts w:hint="eastAsia"/>
          <w:sz w:val="24"/>
          <w:szCs w:val="21"/>
          <w:lang w:val="zh-CN"/>
        </w:rPr>
        <w:t xml:space="preserve">（二）</w:t>
      </w:r>
      <w:r/>
    </w:p>
    <w:p>
      <w:pPr>
        <w:jc w:val="center"/>
        <w:rPr>
          <w:rFonts w:ascii="宋体" w:hAnsi="宋体"/>
          <w:bCs/>
          <w:sz w:val="24"/>
          <w:lang w:val="zh-CN"/>
        </w:rPr>
      </w:pPr>
      <w:r>
        <w:rPr>
          <w:rFonts w:hint="eastAsia" w:ascii="宋体" w:hAnsi="宋体"/>
          <w:bCs/>
          <w:sz w:val="24"/>
          <w:lang w:val="zh-CN"/>
        </w:rPr>
        <w:t xml:space="preserve">合同或通知书原件彩色扫描件</w:t>
      </w:r>
      <w:r/>
    </w:p>
    <w:p>
      <w:pPr>
        <w:jc w:val="center"/>
        <w:rPr>
          <w:rFonts w:ascii="宋体" w:hAnsi="宋体"/>
          <w:b/>
          <w:sz w:val="32"/>
          <w:szCs w:val="32"/>
          <w:lang w:val="zh-CN"/>
        </w:rPr>
      </w:pPr>
      <w:r>
        <w:rPr>
          <w:rFonts w:ascii="宋体" w:hAnsi="宋体"/>
          <w:b/>
          <w:sz w:val="32"/>
          <w:szCs w:val="32"/>
          <w:lang w:val="zh-CN"/>
        </w:rPr>
      </w:r>
      <w:r/>
    </w:p>
    <w:p>
      <w:pPr>
        <w:spacing w:line="480" w:lineRule="auto"/>
        <w:rPr>
          <w:rFonts w:ascii="仿宋_GB2312" w:hAnsi="Arial"/>
          <w:sz w:val="30"/>
          <w:szCs w:val="21"/>
        </w:rPr>
      </w:pPr>
      <w:r>
        <w:rPr>
          <w:rFonts w:ascii="仿宋_GB2312" w:hAnsi="Arial"/>
          <w:sz w:val="30"/>
          <w:szCs w:val="21"/>
        </w:rPr>
      </w:r>
      <w:r/>
    </w:p>
    <w:p>
      <w:pPr>
        <w:jc w:val="center"/>
        <w:rPr>
          <w:rFonts w:ascii="黑体" w:hAnsi="黑体" w:eastAsia="黑体"/>
          <w:b/>
          <w:sz w:val="32"/>
          <w:szCs w:val="32"/>
        </w:rPr>
      </w:pPr>
      <w:r/>
      <w:bookmarkStart w:id="194" w:name="_Hlt26955066"/>
      <w:r/>
      <w:bookmarkEnd w:id="194"/>
      <w:r/>
      <w:bookmarkStart w:id="195" w:name="_Hlt26671374"/>
      <w:r/>
      <w:bookmarkEnd w:id="195"/>
      <w:r/>
      <w:bookmarkStart w:id="196" w:name="_Hlt26609389"/>
      <w:r/>
      <w:bookmarkEnd w:id="196"/>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both"/>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宋体" w:hAnsi="宋体"/>
          <w:b/>
          <w:sz w:val="28"/>
          <w:szCs w:val="28"/>
          <w:shd w:val="clear" w:color="auto" w:fill="ffffff"/>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三</w:t>
      </w:r>
      <w:r>
        <w:rPr>
          <w:rFonts w:hint="eastAsia" w:ascii="黑体" w:hAnsi="黑体" w:eastAsia="黑体"/>
          <w:b/>
          <w:sz w:val="32"/>
          <w:szCs w:val="32"/>
        </w:rPr>
        <w:t xml:space="preserve">、保险、</w:t>
      </w:r>
      <w:r>
        <w:rPr>
          <w:rFonts w:hint="eastAsia" w:ascii="宋体" w:hAnsi="宋体"/>
          <w:b/>
          <w:sz w:val="28"/>
          <w:szCs w:val="28"/>
          <w:shd w:val="clear" w:color="auto" w:fill="ffffff"/>
        </w:rPr>
        <w:t xml:space="preserve">服务方案</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宋体"/>
          <w:b/>
          <w:sz w:val="32"/>
          <w:szCs w:val="32"/>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四</w:t>
      </w:r>
      <w:r>
        <w:rPr>
          <w:rFonts w:hint="eastAsia" w:ascii="黑体" w:hAnsi="黑体" w:eastAsia="黑体"/>
          <w:b/>
          <w:sz w:val="32"/>
          <w:szCs w:val="32"/>
        </w:rPr>
        <w:t xml:space="preserve">、</w:t>
      </w:r>
      <w:r>
        <w:rPr>
          <w:rFonts w:hint="eastAsia" w:ascii="宋体" w:hAnsi="宋体" w:cs="宋体"/>
          <w:b/>
          <w:sz w:val="32"/>
          <w:szCs w:val="32"/>
        </w:rPr>
        <w:t xml:space="preserve">响水县政府采购事前信用承诺书</w:t>
      </w:r>
      <w:r/>
    </w:p>
    <w:p>
      <w:pPr>
        <w:ind w:firstLine="480"/>
        <w:spacing w:line="360" w:lineRule="auto"/>
        <w:widowControl/>
        <w:rPr>
          <w:rFonts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rPr>
      </w:pPr>
      <w:r>
        <w:rPr>
          <w:rFonts w:hint="eastAsia" w:ascii="宋体" w:hAnsi="宋体" w:cs="宋体"/>
          <w:sz w:val="24"/>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rPr>
      </w:pPr>
      <w:r>
        <w:rPr>
          <w:rFonts w:hint="eastAsia" w:ascii="宋体" w:hAnsi="宋体" w:cs="宋体"/>
          <w:sz w:val="24"/>
        </w:rPr>
        <w:t xml:space="preserve">（五）自觉接受政府、行业组织、社会公众、新闻舆论的监督；</w:t>
      </w:r>
      <w:r/>
    </w:p>
    <w:p>
      <w:pPr>
        <w:ind w:firstLine="480"/>
        <w:spacing w:line="360" w:lineRule="auto"/>
        <w:widowControl/>
        <w:rPr>
          <w:rFonts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rPr>
      </w:pPr>
      <w:r>
        <w:rPr>
          <w:rFonts w:hint="eastAsia" w:ascii="宋体" w:hAnsi="宋体" w:cs="宋体"/>
          <w:sz w:val="24"/>
        </w:rPr>
        <w:t xml:space="preserve">（七）本人已认真阅读上述承诺，并向本单位员工作了宣传教育。</w:t>
      </w:r>
      <w:r/>
    </w:p>
    <w:p>
      <w:pPr>
        <w:spacing w:line="360" w:lineRule="auto"/>
        <w:widowControl/>
        <w:rPr>
          <w:rFonts w:ascii="宋体" w:hAnsi="宋体" w:cs="宋体"/>
          <w:sz w:val="24"/>
        </w:rPr>
      </w:pPr>
      <w:r>
        <w:rPr>
          <w:rFonts w:ascii="宋体" w:hAnsi="宋体" w:cs="宋体"/>
          <w:sz w:val="24"/>
        </w:rPr>
      </w:r>
      <w:r/>
    </w:p>
    <w:p>
      <w:pPr>
        <w:jc w:val="left"/>
        <w:rPr>
          <w:rFonts w:ascii="宋体" w:hAnsi="宋体"/>
          <w:sz w:val="24"/>
          <w:szCs w:val="21"/>
        </w:rPr>
      </w:pPr>
      <w:r>
        <w:rPr>
          <w:rFonts w:hint="eastAsia" w:ascii="宋体" w:hAnsi="宋体"/>
          <w:sz w:val="24"/>
          <w:szCs w:val="21"/>
        </w:rPr>
        <w:t xml:space="preserve">法人签字或盖章：</w:t>
      </w:r>
      <w:r/>
    </w:p>
    <w:p>
      <w:pPr>
        <w:jc w:val="left"/>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p>
    <w:p>
      <w:pPr>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bookmarkStart w:id="197" w:name="_GoBack"/>
      <w:r/>
      <w:bookmarkEnd w:id="197"/>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10"/>
        <w:rFonts w:ascii="宋体" w:hAnsi="宋体"/>
      </w:rPr>
      <w:framePr w:wrap="around" w:vAnchor="text" w:hAnchor="margin" w:xAlign="center" w:y="1"/>
    </w:pPr>
    <w:r>
      <w:rPr>
        <w:rFonts w:ascii="宋体" w:hAnsi="宋体"/>
      </w:rPr>
      <w:fldChar w:fldCharType="begin"/>
    </w:r>
    <w:r>
      <w:rPr>
        <w:rStyle w:val="910"/>
        <w:rFonts w:ascii="宋体" w:hAnsi="宋体"/>
      </w:rPr>
      <w:instrText xml:space="preserve">PAGE  </w:instrText>
    </w:r>
    <w:r>
      <w:rPr>
        <w:rFonts w:ascii="宋体" w:hAnsi="宋体"/>
      </w:rPr>
      <w:fldChar w:fldCharType="separate"/>
    </w:r>
    <w:r>
      <w:rPr>
        <w:rStyle w:val="910"/>
        <w:rFonts w:ascii="宋体" w:hAnsi="宋体"/>
      </w:rPr>
      <w:t xml:space="preserve">３９</w:t>
    </w:r>
    <w:r>
      <w:rPr>
        <w:rFonts w:ascii="宋体" w:hAnsi="宋体"/>
      </w:rPr>
      <w:fldChar w:fldCharType="end"/>
    </w:r>
    <w:r/>
  </w:p>
  <w:p>
    <w:pPr>
      <w:pStyle w:val="9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10"/>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35"/>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6"/>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6"/>
    <w:link w:val="737"/>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3"/>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0"/>
    <w:qFormat/>
    <w:pPr>
      <w:ind w:firstLine="420"/>
    </w:pPr>
    <w:rPr>
      <w:szCs w:val="21"/>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uiPriority w:val="0"/>
    <w:unhideWhenUsed/>
    <w:qFormat/>
    <w:pPr>
      <w:jc w:val="left"/>
    </w:pPr>
  </w:style>
  <w:style w:type="paragraph" w:styleId="710">
    <w:name w:val="Body Text"/>
    <w:basedOn w:val="694"/>
    <w:uiPriority w:val="0"/>
    <w:qFormat/>
    <w:rPr>
      <w:rFonts w:ascii="楷体_GB2312" w:hAnsi="Arial" w:eastAsia="楷体_GB2312"/>
      <w:sz w:val="28"/>
      <w:szCs w:val="28"/>
    </w:rPr>
  </w:style>
  <w:style w:type="paragraph" w:styleId="711">
    <w:name w:val="Body Text Indent"/>
    <w:basedOn w:val="694"/>
    <w:next w:val="712"/>
    <w:uiPriority w:val="0"/>
    <w:unhideWhenUsed/>
    <w:qFormat/>
    <w:pPr>
      <w:ind w:left="420"/>
      <w:spacing w:after="120"/>
    </w:pPr>
  </w:style>
  <w:style w:type="paragraph" w:styleId="712">
    <w:name w:val="envelope return"/>
    <w:basedOn w:val="694"/>
    <w:uiPriority w:val="0"/>
    <w:qFormat/>
    <w:rPr>
      <w:rFonts w:ascii="Arial" w:hAnsi="Arial" w:eastAsia="Calibri"/>
    </w:r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toc 8"/>
    <w:basedOn w:val="694"/>
    <w:next w:val="694"/>
    <w:uiPriority w:val="39"/>
    <w:unhideWhenUsed/>
    <w:qFormat/>
    <w:pPr>
      <w:ind w:left="1984" w:right="0" w:firstLine="0"/>
      <w:spacing w:after="57"/>
    </w:pPr>
  </w:style>
  <w:style w:type="paragraph" w:styleId="716">
    <w:name w:val="endnote text"/>
    <w:basedOn w:val="694"/>
    <w:link w:val="881"/>
    <w:uiPriority w:val="99"/>
    <w:semiHidden/>
    <w:unhideWhenUsed/>
    <w:qFormat/>
    <w:pPr>
      <w:spacing w:after="0" w:line="240" w:lineRule="auto"/>
    </w:pPr>
    <w:rPr>
      <w:sz w:val="20"/>
    </w:rPr>
  </w:style>
  <w:style w:type="paragraph" w:styleId="717">
    <w:name w:val="Footer"/>
    <w:basedOn w:val="694"/>
    <w:link w:val="754"/>
    <w:uiPriority w:val="99"/>
    <w:unhideWhenUsed/>
    <w:pPr>
      <w:spacing w:after="0" w:line="240" w:lineRule="auto"/>
      <w:tabs>
        <w:tab w:val="center" w:pos="7143" w:leader="none"/>
        <w:tab w:val="right" w:pos="14287" w:leader="none"/>
      </w:tabs>
    </w:pPr>
  </w:style>
  <w:style w:type="paragraph" w:styleId="718">
    <w:name w:val="Header"/>
    <w:basedOn w:val="694"/>
    <w:link w:val="752"/>
    <w:uiPriority w:val="99"/>
    <w:unhideWhenUsed/>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link w:val="747"/>
    <w:uiPriority w:val="11"/>
    <w:qFormat/>
    <w:pPr>
      <w:spacing w:before="200" w:after="200"/>
    </w:pPr>
    <w:rPr>
      <w:sz w:val="24"/>
      <w:szCs w:val="24"/>
    </w:rPr>
  </w:style>
  <w:style w:type="paragraph" w:styleId="722">
    <w:name w:val="footnote text"/>
    <w:basedOn w:val="694"/>
    <w:link w:val="880"/>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Normal (Web)"/>
    <w:basedOn w:val="694"/>
    <w:uiPriority w:val="99"/>
    <w:pPr>
      <w:jc w:val="left"/>
      <w:spacing w:before="100" w:beforeAutospacing="1" w:after="100" w:afterAutospacing="1"/>
      <w:widowControl/>
    </w:pPr>
    <w:rPr>
      <w:rFonts w:ascii="宋体" w:hAnsi="宋体" w:cs="宋体"/>
      <w:sz w:val="24"/>
      <w:szCs w:val="24"/>
    </w:rPr>
  </w:style>
  <w:style w:type="paragraph" w:styleId="728">
    <w:name w:val="Title"/>
    <w:basedOn w:val="694"/>
    <w:next w:val="694"/>
    <w:link w:val="746"/>
    <w:uiPriority w:val="10"/>
    <w:qFormat/>
    <w:pPr>
      <w:contextualSpacing/>
      <w:spacing w:before="300" w:after="200"/>
    </w:pPr>
    <w:rPr>
      <w:sz w:val="48"/>
      <w:szCs w:val="48"/>
    </w:rPr>
  </w:style>
  <w:style w:type="paragraph" w:styleId="729">
    <w:name w:val="Body Text First Indent"/>
    <w:basedOn w:val="710"/>
    <w:uiPriority w:val="99"/>
    <w:unhideWhenUsed/>
    <w:qFormat/>
    <w:pPr>
      <w:ind w:firstLine="420"/>
      <w:spacing w:after="120"/>
    </w:pPr>
    <w:rPr>
      <w:rFonts w:ascii="Calibri" w:hAnsi="Calibri" w:eastAsia="宋体"/>
      <w:sz w:val="21"/>
      <w:szCs w:val="22"/>
    </w:rPr>
  </w:style>
  <w:style w:type="paragraph" w:styleId="730">
    <w:name w:val="Body Text First Indent 2"/>
    <w:basedOn w:val="711"/>
    <w:uiPriority w:val="99"/>
    <w:unhideWhenUsed/>
    <w:qFormat/>
    <w:pPr>
      <w:ind w:left="200" w:firstLine="420"/>
    </w:pPr>
  </w:style>
  <w:style w:type="table" w:styleId="7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Heading 1 Char"/>
    <w:link w:val="695"/>
    <w:uiPriority w:val="9"/>
    <w:qFormat/>
    <w:rPr>
      <w:rFonts w:ascii="Arial" w:hAnsi="Arial" w:eastAsia="Arial" w:cs="Arial"/>
      <w:sz w:val="40"/>
      <w:szCs w:val="40"/>
    </w:rPr>
  </w:style>
  <w:style w:type="character" w:styleId="736" w:customStyle="1">
    <w:name w:val="Heading 2 Char"/>
    <w:link w:val="696"/>
    <w:uiPriority w:val="9"/>
    <w:qFormat/>
    <w:rPr>
      <w:rFonts w:ascii="Arial" w:hAnsi="Arial" w:eastAsia="Arial" w:cs="Arial"/>
      <w:sz w:val="34"/>
    </w:rPr>
  </w:style>
  <w:style w:type="character" w:styleId="737" w:customStyle="1">
    <w:name w:val="Heading 3 Char"/>
    <w:link w:val="697"/>
    <w:uiPriority w:val="9"/>
    <w:qFormat/>
    <w:rPr>
      <w:rFonts w:ascii="Arial" w:hAnsi="Arial" w:eastAsia="Arial" w:cs="Arial"/>
      <w:sz w:val="30"/>
      <w:szCs w:val="30"/>
    </w:rPr>
  </w:style>
  <w:style w:type="character" w:styleId="738" w:customStyle="1">
    <w:name w:val="Heading 4 Char"/>
    <w:link w:val="698"/>
    <w:uiPriority w:val="9"/>
    <w:qFormat/>
    <w:rPr>
      <w:rFonts w:ascii="Arial" w:hAnsi="Arial" w:eastAsia="Arial" w:cs="Arial"/>
      <w:b/>
      <w:bCs/>
      <w:sz w:val="26"/>
      <w:szCs w:val="26"/>
    </w:rPr>
  </w:style>
  <w:style w:type="character" w:styleId="739" w:customStyle="1">
    <w:name w:val="Heading 5 Char"/>
    <w:link w:val="699"/>
    <w:uiPriority w:val="9"/>
    <w:qFormat/>
    <w:rPr>
      <w:rFonts w:ascii="Arial" w:hAnsi="Arial" w:eastAsia="Arial" w:cs="Arial"/>
      <w:b/>
      <w:bCs/>
      <w:sz w:val="24"/>
      <w:szCs w:val="24"/>
    </w:rPr>
  </w:style>
  <w:style w:type="character" w:styleId="740" w:customStyle="1">
    <w:name w:val="Heading 6 Char"/>
    <w:link w:val="700"/>
    <w:uiPriority w:val="9"/>
    <w:qFormat/>
    <w:rPr>
      <w:rFonts w:ascii="Arial" w:hAnsi="Arial" w:eastAsia="Arial" w:cs="Arial"/>
      <w:b/>
      <w:bCs/>
      <w:sz w:val="22"/>
      <w:szCs w:val="22"/>
    </w:rPr>
  </w:style>
  <w:style w:type="character" w:styleId="741" w:customStyle="1">
    <w:name w:val="Heading 7 Char"/>
    <w:link w:val="701"/>
    <w:uiPriority w:val="9"/>
    <w:qFormat/>
    <w:rPr>
      <w:rFonts w:ascii="Arial" w:hAnsi="Arial" w:eastAsia="Arial" w:cs="Arial"/>
      <w:b/>
      <w:bCs/>
      <w:i/>
      <w:iCs/>
      <w:sz w:val="22"/>
      <w:szCs w:val="22"/>
    </w:rPr>
  </w:style>
  <w:style w:type="character" w:styleId="742" w:customStyle="1">
    <w:name w:val="Heading 8 Char"/>
    <w:link w:val="702"/>
    <w:uiPriority w:val="9"/>
    <w:qFormat/>
    <w:rPr>
      <w:rFonts w:ascii="Arial" w:hAnsi="Arial" w:eastAsia="Arial" w:cs="Arial"/>
      <w:i/>
      <w:iCs/>
      <w:sz w:val="22"/>
      <w:szCs w:val="22"/>
    </w:rPr>
  </w:style>
  <w:style w:type="character" w:styleId="743" w:customStyle="1">
    <w:name w:val="Heading 9 Char"/>
    <w:link w:val="703"/>
    <w:uiPriority w:val="9"/>
    <w:qFormat/>
    <w:rPr>
      <w:rFonts w:ascii="Arial" w:hAnsi="Arial" w:eastAsia="Arial" w:cs="Arial"/>
      <w:i/>
      <w:iCs/>
      <w:sz w:val="21"/>
      <w:szCs w:val="21"/>
    </w:rPr>
  </w:style>
  <w:style w:type="paragraph" w:styleId="744">
    <w:name w:val="List Paragraph"/>
    <w:basedOn w:val="694"/>
    <w:uiPriority w:val="34"/>
    <w:qFormat/>
    <w:pPr>
      <w:contextualSpacing/>
      <w:ind w:left="720"/>
    </w:pPr>
  </w:style>
  <w:style w:type="paragraph" w:styleId="745">
    <w:name w:val="No Spacing"/>
    <w:uiPriority w:val="1"/>
    <w:qFormat/>
    <w:pPr>
      <w:spacing w:before="0" w:after="0" w:line="240" w:lineRule="auto"/>
    </w:pPr>
    <w:rPr>
      <w:rFonts w:hint="default" w:ascii="Calibri" w:hAnsi="Calibri" w:eastAsia="宋体" w:cs="Times New Roman"/>
    </w:rPr>
  </w:style>
  <w:style w:type="character" w:styleId="746" w:customStyle="1">
    <w:name w:val="Title Char"/>
    <w:link w:val="728"/>
    <w:uiPriority w:val="10"/>
    <w:qFormat/>
    <w:rPr>
      <w:sz w:val="48"/>
      <w:szCs w:val="48"/>
    </w:rPr>
  </w:style>
  <w:style w:type="character" w:styleId="747" w:customStyle="1">
    <w:name w:val="Subtitle Char"/>
    <w:link w:val="721"/>
    <w:uiPriority w:val="11"/>
    <w:qFormat/>
    <w:rPr>
      <w:sz w:val="24"/>
      <w:szCs w:val="24"/>
    </w:rPr>
  </w:style>
  <w:style w:type="paragraph" w:styleId="748">
    <w:name w:val="Quote"/>
    <w:basedOn w:val="694"/>
    <w:next w:val="694"/>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4"/>
    <w:next w:val="694"/>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link w:val="718"/>
    <w:uiPriority w:val="99"/>
  </w:style>
  <w:style w:type="character" w:styleId="753" w:customStyle="1">
    <w:name w:val="Footer Char"/>
    <w:link w:val="717"/>
    <w:uiPriority w:val="99"/>
  </w:style>
  <w:style w:type="character" w:styleId="754" w:customStyle="1">
    <w:name w:val="Caption Char"/>
    <w:link w:val="717"/>
    <w:uiPriority w:val="99"/>
  </w:style>
  <w:style w:type="table" w:styleId="75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2"/>
    <w:uiPriority w:val="99"/>
    <w:qFormat/>
    <w:rPr>
      <w:sz w:val="18"/>
    </w:rPr>
  </w:style>
  <w:style w:type="character" w:styleId="881" w:customStyle="1">
    <w:name w:val="Endnote Text Char"/>
    <w:link w:val="716"/>
    <w:uiPriority w:val="99"/>
    <w:qFormat/>
    <w:rPr>
      <w:sz w:val="20"/>
    </w:rPr>
  </w:style>
  <w:style w:type="paragraph" w:styleId="882" w:customStyle="1">
    <w:name w:val="TOC Heading"/>
    <w:uiPriority w:val="39"/>
    <w:unhideWhenUsed/>
    <w:qFormat/>
    <w:rPr>
      <w:rFonts w:hint="default" w:ascii="Calibri" w:hAnsi="Calibri" w:eastAsia="宋体" w:cs="Times New Roman"/>
    </w:rPr>
  </w:style>
  <w:style w:type="paragraph" w:styleId="883" w:customStyle="1">
    <w:name w:val="标题 11"/>
    <w:basedOn w:val="694"/>
    <w:next w:val="694"/>
    <w:link w:val="895"/>
    <w:uiPriority w:val="0"/>
    <w:qFormat/>
    <w:pPr>
      <w:jc w:val="center"/>
      <w:keepNext/>
      <w:outlineLvl w:val="0"/>
    </w:pPr>
    <w:rPr>
      <w:rFonts w:ascii="楷体_GB2312" w:hAnsi="Times New Roman" w:eastAsia="楷体_GB2312" w:cs="Times New Roman"/>
      <w:sz w:val="28"/>
      <w:szCs w:val="28"/>
    </w:rPr>
  </w:style>
  <w:style w:type="paragraph" w:styleId="884" w:customStyle="1">
    <w:name w:val="标题 21"/>
    <w:basedOn w:val="694"/>
    <w:next w:val="885"/>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5" w:customStyle="1">
    <w:name w:val="正文缩进1"/>
    <w:basedOn w:val="694"/>
    <w:link w:val="906"/>
    <w:uiPriority w:val="0"/>
    <w:qFormat/>
    <w:pPr>
      <w:ind w:firstLine="420"/>
    </w:pPr>
    <w:rPr>
      <w:szCs w:val="21"/>
    </w:rPr>
  </w:style>
  <w:style w:type="paragraph" w:styleId="886" w:customStyle="1">
    <w:name w:val="标题 31"/>
    <w:basedOn w:val="694"/>
    <w:next w:val="885"/>
    <w:link w:val="89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7" w:customStyle="1">
    <w:name w:val="标题 41"/>
    <w:basedOn w:val="694"/>
    <w:next w:val="885"/>
    <w:link w:val="898"/>
    <w:uiPriority w:val="0"/>
    <w:qFormat/>
    <w:pPr>
      <w:keepLines/>
      <w:keepNext/>
      <w:spacing w:before="280" w:after="290" w:line="376" w:lineRule="auto"/>
      <w:outlineLvl w:val="3"/>
    </w:pPr>
    <w:rPr>
      <w:rFonts w:ascii="Arial" w:hAnsi="Arial" w:eastAsia="黑体" w:cs="Arial"/>
      <w:b/>
      <w:bCs/>
      <w:sz w:val="28"/>
      <w:szCs w:val="28"/>
    </w:rPr>
  </w:style>
  <w:style w:type="paragraph" w:styleId="888" w:customStyle="1">
    <w:name w:val="标题 51"/>
    <w:basedOn w:val="694"/>
    <w:next w:val="885"/>
    <w:link w:val="899"/>
    <w:uiPriority w:val="0"/>
    <w:qFormat/>
    <w:pPr>
      <w:keepNext/>
      <w:outlineLvl w:val="4"/>
    </w:pPr>
    <w:rPr>
      <w:rFonts w:ascii="宋体" w:hAnsi="Times New Roman" w:eastAsia="宋体" w:cs="Times New Roman"/>
      <w:color w:val="000000"/>
      <w:sz w:val="28"/>
      <w:szCs w:val="28"/>
    </w:rPr>
  </w:style>
  <w:style w:type="paragraph" w:styleId="889" w:customStyle="1">
    <w:name w:val="标题 61"/>
    <w:basedOn w:val="694"/>
    <w:next w:val="694"/>
    <w:link w:val="90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0" w:customStyle="1">
    <w:name w:val="标题 71"/>
    <w:basedOn w:val="694"/>
    <w:next w:val="694"/>
    <w:link w:val="90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1" w:customStyle="1">
    <w:name w:val="标题 81"/>
    <w:basedOn w:val="694"/>
    <w:next w:val="694"/>
    <w:link w:val="90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2" w:customStyle="1">
    <w:name w:val="标题 91"/>
    <w:basedOn w:val="694"/>
    <w:next w:val="694"/>
    <w:link w:val="90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3" w:customStyle="1">
    <w:name w:val="默认段落字体1"/>
    <w:link w:val="694"/>
    <w:uiPriority w:val="1"/>
    <w:semiHidden/>
    <w:unhideWhenUsed/>
    <w:qFormat/>
  </w:style>
  <w:style w:type="table" w:styleId="894" w:customStyle="1">
    <w:name w:val="普通表格1"/>
    <w:uiPriority w:val="99"/>
    <w:semiHidden/>
    <w:unhideWhenUsed/>
    <w:qFormat/>
    <w:tblPr/>
  </w:style>
  <w:style w:type="character" w:styleId="895" w:customStyle="1">
    <w:name w:val="标题 1 Char"/>
    <w:link w:val="883"/>
    <w:uiPriority w:val="0"/>
    <w:qFormat/>
    <w:rPr>
      <w:rFonts w:ascii="楷体_GB2312" w:hAnsi="Times New Roman" w:eastAsia="楷体_GB2312" w:cs="Times New Roman"/>
      <w:sz w:val="28"/>
      <w:szCs w:val="28"/>
    </w:rPr>
  </w:style>
  <w:style w:type="character" w:styleId="896" w:customStyle="1">
    <w:name w:val="标题 2 Char"/>
    <w:link w:val="884"/>
    <w:uiPriority w:val="0"/>
    <w:qFormat/>
    <w:rPr>
      <w:rFonts w:ascii="Arial" w:hAnsi="Arial" w:eastAsia="幼圆" w:cs="Arial"/>
      <w:b/>
      <w:bCs/>
      <w:sz w:val="44"/>
      <w:szCs w:val="44"/>
    </w:rPr>
  </w:style>
  <w:style w:type="character" w:styleId="897" w:customStyle="1">
    <w:name w:val="标题 3 Char"/>
    <w:link w:val="886"/>
    <w:uiPriority w:val="0"/>
    <w:qFormat/>
    <w:rPr>
      <w:rFonts w:ascii="Times New Roman" w:hAnsi="Times New Roman" w:eastAsia="宋体" w:cs="Times New Roman"/>
      <w:b/>
      <w:bCs/>
      <w:sz w:val="32"/>
      <w:szCs w:val="32"/>
    </w:rPr>
  </w:style>
  <w:style w:type="character" w:styleId="898" w:customStyle="1">
    <w:name w:val="标题 4 Char"/>
    <w:link w:val="887"/>
    <w:uiPriority w:val="0"/>
    <w:qFormat/>
    <w:rPr>
      <w:rFonts w:ascii="Arial" w:hAnsi="Arial" w:eastAsia="黑体" w:cs="Arial"/>
      <w:b/>
      <w:bCs/>
      <w:sz w:val="28"/>
      <w:szCs w:val="28"/>
    </w:rPr>
  </w:style>
  <w:style w:type="character" w:styleId="899" w:customStyle="1">
    <w:name w:val="标题 5 Char"/>
    <w:link w:val="888"/>
    <w:uiPriority w:val="0"/>
    <w:qFormat/>
    <w:rPr>
      <w:rFonts w:ascii="宋体" w:hAnsi="Times New Roman" w:eastAsia="宋体" w:cs="Times New Roman"/>
      <w:color w:val="000000"/>
      <w:sz w:val="28"/>
      <w:szCs w:val="28"/>
    </w:rPr>
  </w:style>
  <w:style w:type="character" w:styleId="900" w:customStyle="1">
    <w:name w:val="标题 6 Char"/>
    <w:link w:val="889"/>
    <w:uiPriority w:val="0"/>
    <w:qFormat/>
    <w:rPr>
      <w:rFonts w:ascii="Arial" w:hAnsi="Arial" w:eastAsia="黑体" w:cs="Times New Roman"/>
      <w:b/>
      <w:bCs/>
      <w:sz w:val="24"/>
      <w:szCs w:val="24"/>
    </w:rPr>
  </w:style>
  <w:style w:type="character" w:styleId="901" w:customStyle="1">
    <w:name w:val="标题 7 Char"/>
    <w:link w:val="890"/>
    <w:uiPriority w:val="0"/>
    <w:qFormat/>
    <w:rPr>
      <w:rFonts w:ascii="Times New Roman" w:hAnsi="Times New Roman" w:eastAsia="宋体" w:cs="Times New Roman"/>
      <w:b/>
      <w:bCs/>
      <w:sz w:val="24"/>
      <w:szCs w:val="24"/>
    </w:rPr>
  </w:style>
  <w:style w:type="character" w:styleId="902" w:customStyle="1">
    <w:name w:val="标题 8 Char"/>
    <w:link w:val="891"/>
    <w:uiPriority w:val="0"/>
    <w:qFormat/>
    <w:rPr>
      <w:rFonts w:ascii="Arial" w:hAnsi="Arial" w:eastAsia="黑体" w:cs="Times New Roman"/>
      <w:sz w:val="24"/>
      <w:szCs w:val="24"/>
    </w:rPr>
  </w:style>
  <w:style w:type="character" w:styleId="903" w:customStyle="1">
    <w:name w:val="标题 9 Char"/>
    <w:link w:val="892"/>
    <w:uiPriority w:val="0"/>
    <w:qFormat/>
    <w:rPr>
      <w:rFonts w:ascii="Arial" w:hAnsi="Arial" w:eastAsia="黑体" w:cs="Times New Roman"/>
      <w:szCs w:val="21"/>
    </w:rPr>
  </w:style>
  <w:style w:type="character" w:styleId="904" w:customStyle="1">
    <w:name w:val="访问过的超链接"/>
    <w:link w:val="694"/>
    <w:uiPriority w:val="0"/>
    <w:qFormat/>
    <w:rPr>
      <w:color w:val="800080"/>
      <w:u w:val="single"/>
    </w:rPr>
  </w:style>
  <w:style w:type="character" w:styleId="905" w:customStyle="1">
    <w:name w:val="font5 Char"/>
    <w:link w:val="694"/>
    <w:uiPriority w:val="0"/>
    <w:qFormat/>
    <w:rPr>
      <w:rFonts w:ascii="宋体" w:hAnsi="宋体" w:eastAsia="宋体"/>
      <w:sz w:val="28"/>
      <w:szCs w:val="28"/>
      <w:lang w:val="en-US" w:eastAsia="zh-CN" w:bidi="ar-SA"/>
    </w:rPr>
  </w:style>
  <w:style w:type="character" w:styleId="906" w:customStyle="1">
    <w:name w:val="正文缩进 Char"/>
    <w:link w:val="885"/>
    <w:uiPriority w:val="0"/>
    <w:qFormat/>
    <w:rPr>
      <w:szCs w:val="21"/>
    </w:rPr>
  </w:style>
  <w:style w:type="character" w:styleId="907" w:customStyle="1">
    <w:name w:val="批注引用1"/>
    <w:link w:val="694"/>
    <w:uiPriority w:val="0"/>
    <w:semiHidden/>
    <w:qFormat/>
    <w:rPr>
      <w:sz w:val="21"/>
      <w:szCs w:val="21"/>
    </w:rPr>
  </w:style>
  <w:style w:type="character" w:styleId="908" w:customStyle="1">
    <w:name w:val="要点1"/>
    <w:link w:val="694"/>
    <w:uiPriority w:val="0"/>
    <w:qFormat/>
    <w:rPr>
      <w:b/>
      <w:bCs/>
    </w:rPr>
  </w:style>
  <w:style w:type="character" w:styleId="909" w:customStyle="1">
    <w:name w:val="超链接1"/>
    <w:link w:val="694"/>
    <w:uiPriority w:val="0"/>
    <w:qFormat/>
    <w:rPr>
      <w:color w:val="0000ff"/>
      <w:u w:val="single"/>
    </w:rPr>
  </w:style>
  <w:style w:type="character" w:styleId="910" w:customStyle="1">
    <w:name w:val="页码1"/>
    <w:link w:val="694"/>
    <w:uiPriority w:val="0"/>
    <w:qFormat/>
  </w:style>
  <w:style w:type="character" w:styleId="911" w:customStyle="1">
    <w:name w:val="二级目录 Char"/>
    <w:link w:val="912"/>
    <w:uiPriority w:val="0"/>
    <w:qFormat/>
    <w:rPr>
      <w:b/>
      <w:sz w:val="30"/>
      <w:szCs w:val="28"/>
    </w:rPr>
  </w:style>
  <w:style w:type="paragraph" w:styleId="912" w:customStyle="1">
    <w:name w:val="二级目录"/>
    <w:next w:val="694"/>
    <w:link w:val="91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13" w:customStyle="1">
    <w:name w:val="列出段落 Char"/>
    <w:link w:val="914"/>
    <w:uiPriority w:val="0"/>
    <w:qFormat/>
    <w:rPr>
      <w:rFonts w:ascii="Calibri" w:hAnsi="Calibri"/>
      <w:sz w:val="24"/>
      <w:szCs w:val="24"/>
      <w:lang w:eastAsia="en-US" w:bidi="en-US"/>
    </w:rPr>
  </w:style>
  <w:style w:type="paragraph" w:styleId="914" w:customStyle="1">
    <w:name w:val="列出段落1"/>
    <w:basedOn w:val="694"/>
    <w:link w:val="913"/>
    <w:uiPriority w:val="0"/>
    <w:qFormat/>
    <w:pPr>
      <w:contextualSpacing/>
      <w:ind w:left="720"/>
      <w:jc w:val="left"/>
      <w:widowControl/>
    </w:pPr>
    <w:rPr>
      <w:rFonts w:ascii="Calibri" w:hAnsi="Calibri"/>
      <w:sz w:val="24"/>
      <w:szCs w:val="24"/>
      <w:lang w:eastAsia="en-US" w:bidi="en-US"/>
    </w:rPr>
  </w:style>
  <w:style w:type="paragraph" w:styleId="915" w:customStyle="1">
    <w:name w:val="Body Text(ch)"/>
    <w:basedOn w:val="694"/>
    <w:next w:val="916"/>
    <w:uiPriority w:val="0"/>
    <w:qFormat/>
    <w:pPr>
      <w:spacing w:after="120"/>
    </w:pPr>
    <w:rPr>
      <w:rFonts w:ascii="宋体" w:hAnsi="Arial" w:eastAsia="宋体" w:cs="Times New Roman"/>
      <w:bCs/>
      <w:iCs/>
      <w:szCs w:val="24"/>
    </w:rPr>
  </w:style>
  <w:style w:type="paragraph" w:styleId="916" w:customStyle="1">
    <w:name w:val="正文文本1"/>
    <w:basedOn w:val="694"/>
    <w:link w:val="921"/>
    <w:uiPriority w:val="0"/>
    <w:qFormat/>
    <w:rPr>
      <w:rFonts w:ascii="楷体_GB2312" w:hAnsi="Arial" w:eastAsia="楷体_GB2312" w:cs="Times New Roman"/>
      <w:sz w:val="28"/>
      <w:szCs w:val="28"/>
    </w:rPr>
  </w:style>
  <w:style w:type="paragraph" w:styleId="917"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18"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9" w:customStyle="1">
    <w:name w:val="正文文本缩进 21"/>
    <w:basedOn w:val="694"/>
    <w:link w:val="920"/>
    <w:uiPriority w:val="0"/>
    <w:pPr>
      <w:ind w:left="630" w:firstLine="645"/>
    </w:pPr>
    <w:rPr>
      <w:rFonts w:ascii="Arial" w:hAnsi="Arial" w:eastAsia="仿宋_GB2312" w:cs="Arial"/>
      <w:sz w:val="32"/>
      <w:szCs w:val="32"/>
    </w:rPr>
  </w:style>
  <w:style w:type="character" w:styleId="920" w:customStyle="1">
    <w:name w:val="正文文本缩进 2 Char"/>
    <w:link w:val="919"/>
    <w:uiPriority w:val="0"/>
    <w:qFormat/>
    <w:rPr>
      <w:rFonts w:ascii="Arial" w:hAnsi="Arial" w:eastAsia="仿宋_GB2312" w:cs="Arial"/>
      <w:sz w:val="32"/>
      <w:szCs w:val="32"/>
    </w:rPr>
  </w:style>
  <w:style w:type="character" w:styleId="921" w:customStyle="1">
    <w:name w:val="正文文本 Char"/>
    <w:link w:val="916"/>
    <w:uiPriority w:val="0"/>
    <w:qFormat/>
    <w:rPr>
      <w:rFonts w:ascii="楷体_GB2312" w:hAnsi="Arial" w:eastAsia="楷体_GB2312" w:cs="Times New Roman"/>
      <w:sz w:val="28"/>
      <w:szCs w:val="28"/>
    </w:rPr>
  </w:style>
  <w:style w:type="paragraph" w:styleId="922"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23"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25" w:customStyle="1">
    <w:name w:val=" Char"/>
    <w:basedOn w:val="926"/>
    <w:uiPriority w:val="0"/>
    <w:qFormat/>
    <w:rPr>
      <w:rFonts w:ascii="Tahoma" w:hAnsi="Tahoma"/>
      <w:sz w:val="24"/>
      <w:szCs w:val="24"/>
    </w:rPr>
  </w:style>
  <w:style w:type="paragraph" w:styleId="926" w:customStyle="1">
    <w:name w:val="文档结构图1"/>
    <w:basedOn w:val="694"/>
    <w:link w:val="950"/>
    <w:uiPriority w:val="0"/>
    <w:semiHidden/>
    <w:qFormat/>
    <w:pPr>
      <w:shd w:val="clear" w:color="auto" w:fill="000080"/>
    </w:pPr>
    <w:rPr>
      <w:rFonts w:ascii="Times New Roman" w:hAnsi="Times New Roman" w:eastAsia="宋体" w:cs="Times New Roman"/>
      <w:szCs w:val="21"/>
    </w:rPr>
  </w:style>
  <w:style w:type="paragraph" w:styleId="927" w:customStyle="1">
    <w:name w:val="批注文字1"/>
    <w:basedOn w:val="694"/>
    <w:link w:val="928"/>
    <w:uiPriority w:val="0"/>
    <w:semiHidden/>
    <w:unhideWhenUsed/>
    <w:qFormat/>
    <w:pPr>
      <w:jc w:val="left"/>
    </w:pPr>
  </w:style>
  <w:style w:type="character" w:styleId="928" w:customStyle="1">
    <w:name w:val="批注文字 Char"/>
    <w:basedOn w:val="893"/>
    <w:link w:val="927"/>
    <w:uiPriority w:val="99"/>
    <w:semiHidden/>
    <w:qFormat/>
  </w:style>
  <w:style w:type="paragraph" w:styleId="929" w:customStyle="1">
    <w:name w:val="批注主题1"/>
    <w:basedOn w:val="927"/>
    <w:next w:val="927"/>
    <w:link w:val="930"/>
    <w:uiPriority w:val="0"/>
    <w:semiHidden/>
    <w:qFormat/>
    <w:rPr>
      <w:rFonts w:ascii="Times New Roman" w:hAnsi="Times New Roman" w:eastAsia="宋体" w:cs="Times New Roman"/>
      <w:b/>
      <w:bCs/>
      <w:szCs w:val="21"/>
    </w:rPr>
  </w:style>
  <w:style w:type="character" w:styleId="930" w:customStyle="1">
    <w:name w:val="批注主题 Char"/>
    <w:link w:val="929"/>
    <w:uiPriority w:val="0"/>
    <w:semiHidden/>
    <w:qFormat/>
    <w:rPr>
      <w:rFonts w:ascii="Times New Roman" w:hAnsi="Times New Roman" w:eastAsia="宋体" w:cs="Times New Roman"/>
      <w:b/>
      <w:bCs/>
      <w:szCs w:val="21"/>
    </w:rPr>
  </w:style>
  <w:style w:type="paragraph" w:styleId="931"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32"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33"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5"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36" w:customStyle="1">
    <w:name w:val="正文文本缩进1"/>
    <w:basedOn w:val="694"/>
    <w:link w:val="937"/>
    <w:uiPriority w:val="0"/>
    <w:unhideWhenUsed/>
    <w:qFormat/>
    <w:pPr>
      <w:ind w:left="420"/>
      <w:spacing w:after="120"/>
    </w:pPr>
  </w:style>
  <w:style w:type="character" w:styleId="937" w:customStyle="1">
    <w:name w:val="正文文本缩进 Char"/>
    <w:basedOn w:val="893"/>
    <w:link w:val="936"/>
    <w:uiPriority w:val="99"/>
    <w:semiHidden/>
  </w:style>
  <w:style w:type="paragraph" w:styleId="938" w:customStyle="1">
    <w:name w:val="正文首行缩进 21"/>
    <w:basedOn w:val="936"/>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首行缩进 2 Char"/>
    <w:link w:val="938"/>
    <w:uiPriority w:val="0"/>
    <w:qFormat/>
    <w:rPr>
      <w:rFonts w:ascii="宋体" w:hAnsi="宋体" w:eastAsia="宋体" w:cs="Times New Roman"/>
      <w:szCs w:val="20"/>
    </w:rPr>
  </w:style>
  <w:style w:type="paragraph" w:styleId="940" w:customStyle="1">
    <w:name w:val="正文文本缩进 31"/>
    <w:basedOn w:val="694"/>
    <w:link w:val="941"/>
    <w:uiPriority w:val="0"/>
    <w:qFormat/>
    <w:pPr>
      <w:ind w:left="645" w:firstLine="645"/>
    </w:pPr>
    <w:rPr>
      <w:rFonts w:ascii="Arial" w:hAnsi="Arial" w:eastAsia="仿宋_GB2312" w:cs="Arial"/>
      <w:color w:val="ffff00"/>
      <w:sz w:val="32"/>
      <w:szCs w:val="32"/>
    </w:rPr>
  </w:style>
  <w:style w:type="character" w:styleId="941" w:customStyle="1">
    <w:name w:val="正文文本缩进 3 Char"/>
    <w:link w:val="940"/>
    <w:uiPriority w:val="0"/>
    <w:qFormat/>
    <w:rPr>
      <w:rFonts w:ascii="Arial" w:hAnsi="Arial" w:eastAsia="仿宋_GB2312" w:cs="Arial"/>
      <w:color w:val="ffff00"/>
      <w:sz w:val="32"/>
      <w:szCs w:val="32"/>
    </w:rPr>
  </w:style>
  <w:style w:type="paragraph" w:styleId="942"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3"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4" w:customStyle="1">
    <w:name w:val=" Char Char Char Char"/>
    <w:basedOn w:val="926"/>
    <w:uiPriority w:val="0"/>
    <w:qFormat/>
    <w:pPr>
      <w:spacing w:line="360" w:lineRule="auto"/>
    </w:pPr>
    <w:rPr>
      <w:rFonts w:ascii="Tahoma" w:hAnsi="Tahoma"/>
      <w:sz w:val="24"/>
      <w:szCs w:val="24"/>
    </w:rPr>
  </w:style>
  <w:style w:type="paragraph" w:styleId="945" w:customStyle="1">
    <w:name w:val="正文文本 31"/>
    <w:basedOn w:val="694"/>
    <w:link w:val="946"/>
    <w:uiPriority w:val="0"/>
    <w:qFormat/>
    <w:rPr>
      <w:rFonts w:ascii="仿宋_GB2312" w:hAnsi="Arial" w:eastAsia="仿宋_GB2312" w:cs="Times New Roman"/>
      <w:sz w:val="32"/>
      <w:szCs w:val="32"/>
    </w:rPr>
  </w:style>
  <w:style w:type="character" w:styleId="946" w:customStyle="1">
    <w:name w:val="正文文本 3 Char"/>
    <w:link w:val="945"/>
    <w:uiPriority w:val="0"/>
    <w:qFormat/>
    <w:rPr>
      <w:rFonts w:ascii="仿宋_GB2312" w:hAnsi="Arial" w:eastAsia="仿宋_GB2312" w:cs="Times New Roman"/>
      <w:sz w:val="32"/>
      <w:szCs w:val="32"/>
    </w:rPr>
  </w:style>
  <w:style w:type="paragraph" w:styleId="947"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8"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49"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character" w:styleId="950" w:customStyle="1">
    <w:name w:val="文档结构图 Char"/>
    <w:link w:val="926"/>
    <w:uiPriority w:val="0"/>
    <w:semiHidden/>
    <w:qFormat/>
    <w:rPr>
      <w:rFonts w:ascii="Times New Roman" w:hAnsi="Times New Roman" w:eastAsia="宋体" w:cs="Times New Roman"/>
      <w:szCs w:val="21"/>
      <w:shd w:val="clear" w:color="auto" w:fill="000080"/>
    </w:rPr>
  </w:style>
  <w:style w:type="paragraph" w:styleId="951" w:customStyle="1">
    <w:name w:val="4"/>
    <w:basedOn w:val="694"/>
    <w:next w:val="940"/>
    <w:uiPriority w:val="0"/>
    <w:qFormat/>
    <w:pPr>
      <w:ind w:firstLine="420"/>
      <w:spacing w:line="360" w:lineRule="auto"/>
    </w:pPr>
    <w:rPr>
      <w:rFonts w:ascii="Times New Roman" w:hAnsi="Times New Roman" w:eastAsia="宋体" w:cs="Times New Roman"/>
      <w:color w:val="ff0000"/>
      <w:sz w:val="24"/>
      <w:szCs w:val="24"/>
    </w:rPr>
  </w:style>
  <w:style w:type="paragraph" w:styleId="952"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53"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54" w:customStyle="1">
    <w:name w:val="列表 21"/>
    <w:basedOn w:val="694"/>
    <w:uiPriority w:val="0"/>
    <w:qFormat/>
    <w:pPr>
      <w:ind w:left="100" w:hanging="200"/>
    </w:pPr>
    <w:rPr>
      <w:rFonts w:ascii="Times New Roman" w:hAnsi="Times New Roman" w:eastAsia="宋体" w:cs="Times New Roman"/>
      <w:szCs w:val="21"/>
    </w:rPr>
  </w:style>
  <w:style w:type="paragraph" w:styleId="955" w:customStyle="1">
    <w:name w:val="正文首行缩进1"/>
    <w:basedOn w:val="694"/>
    <w:link w:val="956"/>
    <w:uiPriority w:val="0"/>
    <w:qFormat/>
    <w:pPr>
      <w:ind w:firstLine="200"/>
      <w:spacing w:line="360" w:lineRule="auto"/>
    </w:pPr>
    <w:rPr>
      <w:rFonts w:ascii="仿宋_GB2312" w:hAnsi="Times New Roman" w:eastAsia="仿宋_GB2312" w:cs="Times New Roman"/>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样式1"/>
    <w:basedOn w:val="694"/>
    <w:uiPriority w:val="0"/>
    <w:qFormat/>
    <w:pPr>
      <w:numPr>
        <w:ilvl w:val="0"/>
        <w:numId w:val="3"/>
      </w:numPr>
    </w:pPr>
    <w:rPr>
      <w:rFonts w:ascii="宋体" w:hAnsi="宋体" w:eastAsia="宋体" w:cs="Times New Roman"/>
      <w:szCs w:val="21"/>
    </w:rPr>
  </w:style>
  <w:style w:type="paragraph" w:styleId="958"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9" w:customStyle="1">
    <w:name w:val="目录 51"/>
    <w:basedOn w:val="694"/>
    <w:next w:val="694"/>
    <w:uiPriority w:val="0"/>
    <w:semiHidden/>
    <w:pPr>
      <w:ind w:left="840"/>
      <w:jc w:val="left"/>
    </w:pPr>
    <w:rPr>
      <w:rFonts w:ascii="Times New Roman" w:hAnsi="Times New Roman" w:eastAsia="宋体" w:cs="Times New Roman"/>
      <w:szCs w:val="21"/>
    </w:rPr>
  </w:style>
  <w:style w:type="paragraph" w:styleId="960"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1" w:customStyle="1">
    <w:name w:val="纯文本1"/>
    <w:basedOn w:val="694"/>
    <w:link w:val="962"/>
    <w:uiPriority w:val="0"/>
    <w:qFormat/>
    <w:rPr>
      <w:rFonts w:ascii="宋体" w:hAnsi="Courier New" w:eastAsia="宋体" w:cs="Courier New"/>
      <w:szCs w:val="21"/>
    </w:rPr>
  </w:style>
  <w:style w:type="character" w:styleId="962" w:customStyle="1">
    <w:name w:val="纯文本 Char"/>
    <w:link w:val="961"/>
    <w:uiPriority w:val="0"/>
    <w:qFormat/>
    <w:rPr>
      <w:rFonts w:ascii="宋体" w:hAnsi="Courier New" w:eastAsia="宋体" w:cs="Courier New"/>
      <w:szCs w:val="21"/>
    </w:rPr>
  </w:style>
  <w:style w:type="paragraph" w:styleId="963" w:customStyle="1">
    <w:name w:val="批注框文本1"/>
    <w:basedOn w:val="694"/>
    <w:link w:val="964"/>
    <w:uiPriority w:val="0"/>
    <w:semiHidden/>
    <w:qFormat/>
    <w:rPr>
      <w:rFonts w:ascii="Times New Roman" w:hAnsi="Times New Roman" w:eastAsia="宋体" w:cs="Times New Roman"/>
      <w:sz w:val="18"/>
      <w:szCs w:val="18"/>
    </w:rPr>
  </w:style>
  <w:style w:type="character" w:styleId="964" w:customStyle="1">
    <w:name w:val="批注框文本 Char"/>
    <w:link w:val="963"/>
    <w:uiPriority w:val="0"/>
    <w:semiHidden/>
    <w:qFormat/>
    <w:rPr>
      <w:rFonts w:ascii="Times New Roman" w:hAnsi="Times New Roman" w:eastAsia="宋体" w:cs="Times New Roman"/>
      <w:sz w:val="18"/>
      <w:szCs w:val="18"/>
    </w:rPr>
  </w:style>
  <w:style w:type="paragraph" w:styleId="965"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列表1"/>
    <w:basedOn w:val="694"/>
    <w:uiPriority w:val="0"/>
    <w:qFormat/>
    <w:pPr>
      <w:ind w:left="200" w:hanging="200"/>
    </w:pPr>
    <w:rPr>
      <w:rFonts w:ascii="Times New Roman" w:hAnsi="Times New Roman" w:eastAsia="宋体" w:cs="Times New Roman"/>
      <w:szCs w:val="21"/>
    </w:rPr>
  </w:style>
  <w:style w:type="paragraph" w:styleId="967"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customStyle="1">
    <w:name w:val="日期1"/>
    <w:basedOn w:val="694"/>
    <w:next w:val="694"/>
    <w:link w:val="969"/>
    <w:uiPriority w:val="0"/>
    <w:qFormat/>
    <w:rPr>
      <w:rFonts w:ascii="Times New Roman" w:hAnsi="Times New Roman" w:eastAsia="宋体" w:cs="Times New Roman"/>
      <w:sz w:val="24"/>
      <w:szCs w:val="24"/>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71"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74" w:customStyle="1">
    <w:name w:val="正文文本 21"/>
    <w:basedOn w:val="694"/>
    <w:link w:val="975"/>
    <w:uiPriority w:val="0"/>
    <w:pPr>
      <w:jc w:val="center"/>
      <w:widowControl/>
    </w:pPr>
    <w:rPr>
      <w:rFonts w:ascii="楷体_GB2312" w:hAnsi="Times New Roman" w:eastAsia="楷体_GB2312" w:cs="Times New Roman"/>
      <w:sz w:val="28"/>
      <w:szCs w:val="28"/>
    </w:rPr>
  </w:style>
  <w:style w:type="character" w:styleId="975" w:customStyle="1">
    <w:name w:val="正文文本 2 Char"/>
    <w:link w:val="974"/>
    <w:uiPriority w:val="0"/>
    <w:qFormat/>
    <w:rPr>
      <w:rFonts w:ascii="楷体_GB2312" w:hAnsi="Times New Roman" w:eastAsia="楷体_GB2312" w:cs="Times New Roman"/>
      <w:sz w:val="28"/>
      <w:szCs w:val="28"/>
    </w:rPr>
  </w:style>
  <w:style w:type="paragraph" w:styleId="976" w:customStyle="1">
    <w:name w:val="列表 31"/>
    <w:basedOn w:val="694"/>
    <w:uiPriority w:val="0"/>
    <w:qFormat/>
    <w:pPr>
      <w:ind w:left="100" w:hanging="200"/>
    </w:pPr>
    <w:rPr>
      <w:rFonts w:ascii="Times New Roman" w:hAnsi="Times New Roman" w:eastAsia="宋体" w:cs="Times New Roman"/>
      <w:szCs w:val="21"/>
    </w:rPr>
  </w:style>
  <w:style w:type="paragraph" w:styleId="977"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78"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79"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customStyle="1">
    <w:name w:val="页眉1"/>
    <w:basedOn w:val="694"/>
    <w:link w:val="98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页脚1"/>
    <w:basedOn w:val="694"/>
    <w:link w:val="98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86"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26"/>
    <w:uiPriority w:val="0"/>
    <w:qFormat/>
    <w:pPr>
      <w:spacing w:line="360" w:lineRule="auto"/>
    </w:pPr>
    <w:rPr>
      <w:rFonts w:ascii="Tahoma" w:hAnsi="Tahoma"/>
      <w:sz w:val="24"/>
      <w:szCs w:val="24"/>
    </w:rPr>
  </w:style>
  <w:style w:type="paragraph" w:styleId="988"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4"/>
    <w:next w:val="694"/>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table" w:styleId="992" w:customStyle="1">
    <w:name w:val="网格型1"/>
    <w:basedOn w:val="894"/>
    <w:uiPriority w:val="0"/>
    <w:qFormat/>
    <w:pPr>
      <w:jc w:val="both"/>
      <w:widowControl w:val="off"/>
    </w:pPr>
    <w:rPr>
      <w:rFonts w:ascii="Times New Roman" w:hAnsi="Times New Roman" w:eastAsia="宋体" w:cs="Times New Roman"/>
      <w:sz w:val="20"/>
      <w:szCs w:val="20"/>
    </w:rPr>
    <w:tbl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p0"/>
    <w:basedOn w:val="694"/>
    <w:uiPriority w:val="0"/>
    <w:qFormat/>
    <w:pPr>
      <w:widowControl/>
    </w:pPr>
  </w:style>
  <w:style w:type="paragraph" w:styleId="995" w:customStyle="1">
    <w:name w:val="List Paragraph1"/>
    <w:basedOn w:val="694"/>
    <w:uiPriority w:val="99"/>
    <w:unhideWhenUsed/>
    <w:qFormat/>
    <w:pPr>
      <w:ind w:firstLine="420"/>
    </w:pPr>
    <w:rPr>
      <w:szCs w:val="20"/>
    </w:rPr>
  </w:style>
  <w:style w:type="paragraph" w:styleId="996" w:customStyle="1">
    <w:name w:val="Default"/>
    <w:uiPriority w:val="99"/>
    <w:qFormat/>
    <w:pPr>
      <w:widowControl w:val="off"/>
    </w:pPr>
    <w:rPr>
      <w:rFonts w:hint="default" w:ascii="微软雅黑" w:hAnsi="Calibri" w:eastAsia="微软雅黑" w:cs="微软雅黑"/>
      <w:color w:val="000000"/>
      <w:sz w:val="24"/>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21</cp:revision>
  <dcterms:created xsi:type="dcterms:W3CDTF">2023-03-27T07:28:00Z</dcterms:created>
  <dcterms:modified xsi:type="dcterms:W3CDTF">2026-07-28T03:14:17Z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2052-12.1.0.26895</vt:lpwstr>
  </property>
  <property fmtid="{D5CDD505-2E9C-101B-9397-08002B2CF9AE}" pid="4" name="ICV">
    <vt:lpwstr>CD5702BDC2BD42DF97978CDC32DA76C8_13</vt:lpwstr>
  </property>
</Properties>
</file>