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661FD9">
      <w:pPr>
        <w:jc w:val="left"/>
        <w:rPr>
          <w:color w:val="auto"/>
          <w:highlight w:val="none"/>
        </w:rPr>
      </w:pPr>
    </w:p>
    <w:p w14:paraId="11BDF984">
      <w:pPr>
        <w:jc w:val="left"/>
        <w:rPr>
          <w:color w:val="auto"/>
          <w:highlight w:val="none"/>
        </w:rPr>
      </w:pPr>
    </w:p>
    <w:p w14:paraId="518B1A31">
      <w:pPr>
        <w:rPr>
          <w:color w:val="auto"/>
          <w:highlight w:val="none"/>
        </w:rPr>
      </w:pPr>
      <w:bookmarkStart w:id="0" w:name="EB3ace3d43b98b41779337deb808be6fa3"/>
      <w:r>
        <w:rPr>
          <w:rFonts w:hint="eastAsia"/>
          <w:color w:val="auto"/>
          <w:sz w:val="20"/>
          <w:highlight w:val="none"/>
        </w:rPr>
        <w:t xml:space="preserve"> </w:t>
      </w:r>
      <w:bookmarkEnd w:id="0"/>
      <w:bookmarkStart w:id="1" w:name="EB57dd2a69e2b54b0cb3f5c2f03a1ab7bf"/>
      <w:r>
        <w:rPr>
          <w:rFonts w:hint="eastAsia"/>
          <w:color w:val="auto"/>
          <w:sz w:val="20"/>
          <w:highlight w:val="none"/>
        </w:rPr>
        <w:t xml:space="preserve"> </w:t>
      </w:r>
      <w:bookmarkEnd w:id="1"/>
    </w:p>
    <w:p w14:paraId="08DDB2A3">
      <w:pPr>
        <w:rPr>
          <w:color w:val="auto"/>
          <w:highlight w:val="none"/>
        </w:rPr>
      </w:pPr>
    </w:p>
    <w:p w14:paraId="45C981DB">
      <w:pPr>
        <w:spacing w:before="120" w:after="120" w:line="360" w:lineRule="auto"/>
        <w:jc w:val="center"/>
        <w:rPr>
          <w:rFonts w:ascii="Arial" w:hAnsi="Arial" w:eastAsia="黑体" w:cs="黑体"/>
          <w:b/>
          <w:color w:val="auto"/>
          <w:sz w:val="84"/>
          <w:szCs w:val="24"/>
          <w:highlight w:val="none"/>
          <w:lang w:bidi="ar"/>
        </w:rPr>
      </w:pPr>
    </w:p>
    <w:p w14:paraId="541A76C5">
      <w:pPr>
        <w:spacing w:before="120" w:after="120" w:line="360" w:lineRule="auto"/>
        <w:jc w:val="center"/>
        <w:rPr>
          <w:rFonts w:ascii="Arial" w:hAnsi="Arial" w:eastAsia="黑体" w:cs="黑体"/>
          <w:b/>
          <w:color w:val="auto"/>
          <w:sz w:val="84"/>
          <w:szCs w:val="24"/>
          <w:highlight w:val="none"/>
          <w:lang w:bidi="ar"/>
        </w:rPr>
      </w:pPr>
      <w:r>
        <w:rPr>
          <w:rFonts w:hint="eastAsia" w:ascii="Arial" w:hAnsi="Arial" w:eastAsia="黑体" w:cs="黑体"/>
          <w:b/>
          <w:color w:val="auto"/>
          <w:sz w:val="84"/>
          <w:szCs w:val="24"/>
          <w:highlight w:val="none"/>
          <w:lang w:bidi="ar"/>
        </w:rPr>
        <w:t>招　标　文　件</w:t>
      </w:r>
    </w:p>
    <w:p w14:paraId="3617044A">
      <w:pPr>
        <w:rPr>
          <w:rFonts w:ascii="Times New Roman" w:hAnsi="Times New Roman" w:cs="宋体"/>
          <w:b/>
          <w:color w:val="auto"/>
          <w:sz w:val="30"/>
          <w:szCs w:val="30"/>
          <w:highlight w:val="none"/>
          <w:lang w:bidi="ar"/>
        </w:rPr>
      </w:pPr>
    </w:p>
    <w:p w14:paraId="1EFF0935">
      <w:pPr>
        <w:rPr>
          <w:rFonts w:ascii="Times New Roman" w:hAnsi="Times New Roman" w:cs="宋体"/>
          <w:b/>
          <w:color w:val="auto"/>
          <w:sz w:val="30"/>
          <w:szCs w:val="30"/>
          <w:highlight w:val="none"/>
          <w:lang w:bidi="ar"/>
        </w:rPr>
      </w:pPr>
    </w:p>
    <w:p w14:paraId="5486CD5C">
      <w:pPr>
        <w:ind w:firstLine="1506"/>
        <w:jc w:val="left"/>
        <w:rPr>
          <w:rFonts w:ascii="Times New Roman" w:hAnsi="Times New Roman"/>
          <w:b/>
          <w:color w:val="auto"/>
          <w:sz w:val="30"/>
          <w:szCs w:val="30"/>
          <w:highlight w:val="none"/>
          <w:lang w:bidi="ar"/>
        </w:rPr>
      </w:pPr>
      <w:r>
        <w:rPr>
          <w:rFonts w:hint="eastAsia" w:ascii="Times New Roman" w:hAnsi="Times New Roman" w:cs="宋体"/>
          <w:b/>
          <w:color w:val="auto"/>
          <w:sz w:val="30"/>
          <w:szCs w:val="30"/>
          <w:highlight w:val="none"/>
          <w:lang w:bidi="ar"/>
        </w:rPr>
        <w:t>项目名称：</w:t>
      </w:r>
      <w:r>
        <w:rPr>
          <w:rFonts w:hint="eastAsia" w:ascii="Times New Roman" w:hAnsi="Times New Roman"/>
          <w:b/>
          <w:color w:val="auto"/>
          <w:sz w:val="30"/>
          <w:szCs w:val="30"/>
          <w:highlight w:val="none"/>
          <w:lang w:bidi="ar"/>
        </w:rPr>
        <w:t>泗洪县城区学校门口交通安全设施建设项目</w:t>
      </w:r>
    </w:p>
    <w:p w14:paraId="74BEA071">
      <w:pPr>
        <w:ind w:firstLine="1506"/>
        <w:rPr>
          <w:rFonts w:ascii="Times New Roman" w:hAnsi="Times New Roman" w:cs="宋体"/>
          <w:b/>
          <w:color w:val="auto"/>
          <w:sz w:val="30"/>
          <w:szCs w:val="30"/>
          <w:highlight w:val="none"/>
          <w:lang w:bidi="ar"/>
        </w:rPr>
      </w:pPr>
    </w:p>
    <w:p w14:paraId="04E2CC27">
      <w:pPr>
        <w:ind w:firstLine="1506"/>
        <w:rPr>
          <w:rFonts w:ascii="Times New Roman" w:hAnsi="Times New Roman" w:cs="宋体"/>
          <w:b/>
          <w:color w:val="auto"/>
          <w:sz w:val="30"/>
          <w:szCs w:val="30"/>
          <w:highlight w:val="none"/>
          <w:lang w:bidi="ar"/>
        </w:rPr>
      </w:pPr>
      <w:r>
        <w:rPr>
          <w:rFonts w:hint="eastAsia" w:ascii="Times New Roman" w:hAnsi="Times New Roman" w:cs="宋体"/>
          <w:b/>
          <w:color w:val="auto"/>
          <w:sz w:val="30"/>
          <w:szCs w:val="30"/>
          <w:highlight w:val="none"/>
          <w:lang w:bidi="ar"/>
        </w:rPr>
        <w:t>项目编号：JSZC-321324-JSCW-G2026-0024</w:t>
      </w:r>
    </w:p>
    <w:p w14:paraId="33FFB735">
      <w:pPr>
        <w:ind w:left="2800" w:hanging="2800"/>
        <w:rPr>
          <w:rFonts w:ascii="Times New Roman" w:hAnsi="Times New Roman"/>
          <w:color w:val="auto"/>
          <w:sz w:val="28"/>
          <w:szCs w:val="28"/>
          <w:highlight w:val="none"/>
          <w:lang w:bidi="ar"/>
        </w:rPr>
      </w:pPr>
    </w:p>
    <w:p w14:paraId="1E5D58C4">
      <w:pPr>
        <w:ind w:left="2800" w:hanging="2800"/>
        <w:rPr>
          <w:b/>
          <w:color w:val="auto"/>
          <w:sz w:val="28"/>
          <w:szCs w:val="28"/>
          <w:highlight w:val="none"/>
        </w:rPr>
      </w:pPr>
      <w:r>
        <w:rPr>
          <w:rFonts w:ascii="Times New Roman" w:hAnsi="Times New Roman"/>
          <w:color w:val="auto"/>
          <w:sz w:val="28"/>
          <w:szCs w:val="28"/>
          <w:highlight w:val="none"/>
          <w:lang w:bidi="ar"/>
        </w:rPr>
        <w:t xml:space="preserve">       </w:t>
      </w:r>
      <w:r>
        <w:rPr>
          <w:rFonts w:hint="eastAsia" w:ascii="Times New Roman" w:hAnsi="Times New Roman"/>
          <w:color w:val="auto"/>
          <w:sz w:val="28"/>
          <w:szCs w:val="28"/>
          <w:highlight w:val="none"/>
          <w:lang w:bidi="ar"/>
        </w:rPr>
        <w:t xml:space="preserve">   </w:t>
      </w:r>
      <w:r>
        <w:rPr>
          <w:rFonts w:ascii="Times New Roman" w:hAnsi="Times New Roman"/>
          <w:b/>
          <w:color w:val="auto"/>
          <w:sz w:val="28"/>
          <w:szCs w:val="28"/>
          <w:highlight w:val="none"/>
          <w:lang w:bidi="ar"/>
        </w:rPr>
        <w:t xml:space="preserve"> </w:t>
      </w:r>
    </w:p>
    <w:p w14:paraId="22E7D99F">
      <w:pPr>
        <w:spacing w:before="120" w:after="120" w:line="360" w:lineRule="auto"/>
        <w:jc w:val="center"/>
        <w:rPr>
          <w:rFonts w:ascii="Times New Roman" w:hAnsi="Times New Roman"/>
          <w:b/>
          <w:color w:val="auto"/>
          <w:sz w:val="30"/>
          <w:szCs w:val="30"/>
          <w:highlight w:val="none"/>
        </w:rPr>
      </w:pPr>
      <w:r>
        <w:rPr>
          <w:rFonts w:ascii="Times New Roman" w:hAnsi="Times New Roman"/>
          <w:b/>
          <w:bCs/>
          <w:color w:val="auto"/>
          <w:sz w:val="32"/>
          <w:szCs w:val="24"/>
          <w:highlight w:val="none"/>
        </w:rPr>
        <w:t>（</w:t>
      </w:r>
      <w:r>
        <w:rPr>
          <w:rFonts w:ascii="Times New Roman" w:hAnsi="Times New Roman"/>
          <w:b/>
          <w:bCs/>
          <w:color w:val="auto"/>
          <w:sz w:val="32"/>
          <w:szCs w:val="24"/>
          <w:highlight w:val="none"/>
          <w:u w:val="single"/>
        </w:rPr>
        <w:t>货物</w:t>
      </w:r>
      <w:r>
        <w:rPr>
          <w:rFonts w:ascii="Times New Roman" w:hAnsi="Times New Roman"/>
          <w:b/>
          <w:bCs/>
          <w:color w:val="auto"/>
          <w:sz w:val="32"/>
          <w:szCs w:val="24"/>
          <w:highlight w:val="none"/>
        </w:rPr>
        <w:t>类项目，</w:t>
      </w:r>
      <w:r>
        <w:rPr>
          <w:rFonts w:hint="eastAsia" w:ascii="Times New Roman" w:hAnsi="Times New Roman"/>
          <w:b/>
          <w:bCs/>
          <w:color w:val="auto"/>
          <w:sz w:val="32"/>
          <w:szCs w:val="24"/>
          <w:highlight w:val="none"/>
        </w:rPr>
        <w:t>本项目</w:t>
      </w:r>
      <w:r>
        <w:rPr>
          <w:rFonts w:ascii="Times New Roman" w:hAnsi="Times New Roman"/>
          <w:b/>
          <w:bCs/>
          <w:color w:val="auto"/>
          <w:sz w:val="32"/>
          <w:szCs w:val="24"/>
          <w:highlight w:val="none"/>
          <w:u w:val="single"/>
        </w:rPr>
        <w:t>专门</w:t>
      </w:r>
      <w:r>
        <w:rPr>
          <w:rFonts w:ascii="Times New Roman" w:hAnsi="Times New Roman"/>
          <w:b/>
          <w:bCs/>
          <w:color w:val="auto"/>
          <w:sz w:val="32"/>
          <w:szCs w:val="24"/>
          <w:highlight w:val="none"/>
        </w:rPr>
        <w:t>面向中小企业）</w:t>
      </w:r>
    </w:p>
    <w:p w14:paraId="6991C337">
      <w:pPr>
        <w:spacing w:line="360" w:lineRule="auto"/>
        <w:jc w:val="left"/>
        <w:rPr>
          <w:rFonts w:ascii="宋体" w:hAnsi="宋体" w:cs="宋体"/>
          <w:color w:val="auto"/>
          <w:sz w:val="24"/>
          <w:szCs w:val="24"/>
          <w:highlight w:val="none"/>
        </w:rPr>
      </w:pPr>
    </w:p>
    <w:p w14:paraId="50DFD70C">
      <w:pPr>
        <w:spacing w:line="360" w:lineRule="auto"/>
        <w:jc w:val="left"/>
        <w:rPr>
          <w:rFonts w:ascii="宋体" w:hAnsi="宋体" w:cs="宋体"/>
          <w:color w:val="auto"/>
          <w:sz w:val="24"/>
          <w:szCs w:val="24"/>
          <w:highlight w:val="none"/>
        </w:rPr>
      </w:pPr>
    </w:p>
    <w:p w14:paraId="2DA681CC">
      <w:pPr>
        <w:spacing w:line="360" w:lineRule="auto"/>
        <w:jc w:val="left"/>
        <w:rPr>
          <w:rFonts w:ascii="宋体" w:hAnsi="宋体" w:cs="宋体"/>
          <w:color w:val="auto"/>
          <w:sz w:val="24"/>
          <w:szCs w:val="24"/>
          <w:highlight w:val="none"/>
        </w:rPr>
      </w:pPr>
    </w:p>
    <w:p w14:paraId="023276B1">
      <w:pPr>
        <w:spacing w:line="360" w:lineRule="auto"/>
        <w:jc w:val="left"/>
        <w:rPr>
          <w:rFonts w:ascii="宋体" w:hAnsi="宋体" w:cs="宋体"/>
          <w:color w:val="auto"/>
          <w:sz w:val="24"/>
          <w:szCs w:val="24"/>
          <w:highlight w:val="none"/>
        </w:rPr>
      </w:pPr>
    </w:p>
    <w:p w14:paraId="2F6020B0">
      <w:pPr>
        <w:spacing w:line="360" w:lineRule="auto"/>
        <w:jc w:val="left"/>
        <w:rPr>
          <w:rFonts w:ascii="宋体" w:hAnsi="宋体" w:cs="宋体"/>
          <w:color w:val="auto"/>
          <w:sz w:val="24"/>
          <w:szCs w:val="24"/>
          <w:highlight w:val="none"/>
        </w:rPr>
      </w:pPr>
    </w:p>
    <w:tbl>
      <w:tblPr>
        <w:tblStyle w:val="32"/>
        <w:tblpPr w:leftFromText="180" w:rightFromText="180" w:vertAnchor="text" w:horzAnchor="page" w:tblpX="2413" w:tblpY="466"/>
        <w:tblW w:w="0" w:type="auto"/>
        <w:tblInd w:w="0" w:type="dxa"/>
        <w:tblLayout w:type="autofit"/>
        <w:tblCellMar>
          <w:top w:w="0" w:type="dxa"/>
          <w:left w:w="108" w:type="dxa"/>
          <w:bottom w:w="0" w:type="dxa"/>
          <w:right w:w="108" w:type="dxa"/>
        </w:tblCellMar>
      </w:tblPr>
      <w:tblGrid>
        <w:gridCol w:w="2675"/>
        <w:gridCol w:w="4752"/>
      </w:tblGrid>
      <w:tr w14:paraId="67BABF8C">
        <w:tblPrEx>
          <w:tblCellMar>
            <w:top w:w="0" w:type="dxa"/>
            <w:left w:w="108" w:type="dxa"/>
            <w:bottom w:w="0" w:type="dxa"/>
            <w:right w:w="108" w:type="dxa"/>
          </w:tblCellMar>
        </w:tblPrEx>
        <w:trPr>
          <w:trHeight w:val="586" w:hRule="atLeast"/>
        </w:trPr>
        <w:tc>
          <w:tcPr>
            <w:tcW w:w="2675" w:type="dxa"/>
            <w:tcBorders>
              <w:top w:val="nil"/>
              <w:left w:val="nil"/>
              <w:bottom w:val="nil"/>
              <w:right w:val="nil"/>
            </w:tcBorders>
            <w:noWrap w:val="0"/>
            <w:vAlign w:val="center"/>
          </w:tcPr>
          <w:p w14:paraId="2C85393F">
            <w:pPr>
              <w:spacing w:line="500" w:lineRule="exact"/>
              <w:jc w:val="left"/>
              <w:rPr>
                <w:rFonts w:ascii="仿宋" w:hAnsi="仿宋" w:eastAsia="仿宋" w:cs="仿宋"/>
                <w:color w:val="auto"/>
                <w:sz w:val="24"/>
                <w:szCs w:val="24"/>
                <w:highlight w:val="none"/>
              </w:rPr>
            </w:pPr>
            <w:r>
              <w:rPr>
                <w:rFonts w:hint="eastAsia" w:ascii="Times New Roman" w:hAnsi="Times New Roman"/>
                <w:b/>
                <w:bCs/>
                <w:color w:val="auto"/>
                <w:spacing w:val="45"/>
                <w:sz w:val="32"/>
                <w:szCs w:val="24"/>
                <w:highlight w:val="none"/>
              </w:rPr>
              <w:t>采  购 人</w:t>
            </w:r>
            <w:r>
              <w:rPr>
                <w:rFonts w:hint="eastAsia" w:ascii="Times New Roman" w:hAnsi="Times New Roman"/>
                <w:b/>
                <w:bCs/>
                <w:color w:val="auto"/>
                <w:spacing w:val="1"/>
                <w:sz w:val="32"/>
                <w:szCs w:val="24"/>
                <w:highlight w:val="none"/>
              </w:rPr>
              <w:t>：</w:t>
            </w:r>
          </w:p>
        </w:tc>
        <w:tc>
          <w:tcPr>
            <w:tcW w:w="4752" w:type="dxa"/>
            <w:tcBorders>
              <w:top w:val="nil"/>
              <w:left w:val="nil"/>
              <w:bottom w:val="nil"/>
              <w:right w:val="nil"/>
            </w:tcBorders>
            <w:noWrap w:val="0"/>
            <w:vAlign w:val="center"/>
          </w:tcPr>
          <w:p w14:paraId="7F028148">
            <w:pPr>
              <w:spacing w:line="500" w:lineRule="exact"/>
              <w:jc w:val="left"/>
              <w:rPr>
                <w:rFonts w:ascii="仿宋" w:hAnsi="仿宋" w:cs="仿宋"/>
                <w:color w:val="auto"/>
                <w:sz w:val="24"/>
                <w:szCs w:val="24"/>
                <w:highlight w:val="none"/>
              </w:rPr>
            </w:pPr>
            <w:r>
              <w:rPr>
                <w:rFonts w:hint="eastAsia" w:ascii="仿宋" w:hAnsi="仿宋" w:cs="仿宋"/>
                <w:b/>
                <w:bCs/>
                <w:color w:val="auto"/>
                <w:sz w:val="28"/>
                <w:szCs w:val="28"/>
                <w:highlight w:val="none"/>
              </w:rPr>
              <w:t>泗洪县教育局</w:t>
            </w:r>
          </w:p>
        </w:tc>
      </w:tr>
      <w:tr w14:paraId="148ADF68">
        <w:tblPrEx>
          <w:tblCellMar>
            <w:top w:w="0" w:type="dxa"/>
            <w:left w:w="108" w:type="dxa"/>
            <w:bottom w:w="0" w:type="dxa"/>
            <w:right w:w="108" w:type="dxa"/>
          </w:tblCellMar>
        </w:tblPrEx>
        <w:trPr>
          <w:trHeight w:val="617" w:hRule="atLeast"/>
        </w:trPr>
        <w:tc>
          <w:tcPr>
            <w:tcW w:w="2675" w:type="dxa"/>
            <w:tcBorders>
              <w:top w:val="nil"/>
              <w:left w:val="nil"/>
              <w:bottom w:val="nil"/>
              <w:right w:val="nil"/>
            </w:tcBorders>
            <w:noWrap w:val="0"/>
            <w:vAlign w:val="center"/>
          </w:tcPr>
          <w:p w14:paraId="1E1BE2B6">
            <w:pPr>
              <w:spacing w:line="500" w:lineRule="exact"/>
              <w:jc w:val="left"/>
              <w:rPr>
                <w:rFonts w:ascii="Times New Roman" w:hAnsi="Times New Roman"/>
                <w:b/>
                <w:bCs/>
                <w:color w:val="auto"/>
                <w:spacing w:val="45"/>
                <w:sz w:val="32"/>
                <w:szCs w:val="24"/>
                <w:highlight w:val="none"/>
              </w:rPr>
            </w:pPr>
            <w:r>
              <w:rPr>
                <w:rFonts w:hint="eastAsia" w:ascii="Times New Roman" w:hAnsi="Times New Roman"/>
                <w:b/>
                <w:bCs/>
                <w:color w:val="auto"/>
                <w:sz w:val="32"/>
                <w:szCs w:val="24"/>
                <w:highlight w:val="none"/>
              </w:rPr>
              <w:t>采购代理机构：</w:t>
            </w:r>
          </w:p>
        </w:tc>
        <w:tc>
          <w:tcPr>
            <w:tcW w:w="4752" w:type="dxa"/>
            <w:tcBorders>
              <w:top w:val="nil"/>
              <w:left w:val="nil"/>
              <w:bottom w:val="nil"/>
              <w:right w:val="nil"/>
            </w:tcBorders>
            <w:noWrap w:val="0"/>
            <w:vAlign w:val="center"/>
          </w:tcPr>
          <w:p w14:paraId="077D9D34">
            <w:pPr>
              <w:spacing w:line="500" w:lineRule="exact"/>
              <w:jc w:val="left"/>
              <w:rPr>
                <w:rFonts w:ascii="仿宋" w:hAnsi="仿宋" w:cs="仿宋"/>
                <w:color w:val="auto"/>
                <w:sz w:val="24"/>
                <w:szCs w:val="24"/>
                <w:highlight w:val="none"/>
              </w:rPr>
            </w:pPr>
            <w:r>
              <w:rPr>
                <w:rFonts w:hint="eastAsia" w:ascii="仿宋" w:hAnsi="仿宋" w:cs="仿宋"/>
                <w:b/>
                <w:bCs/>
                <w:color w:val="auto"/>
                <w:sz w:val="28"/>
                <w:szCs w:val="28"/>
                <w:highlight w:val="none"/>
              </w:rPr>
              <w:t>江苏春为全过程工程咨询有限公司</w:t>
            </w:r>
          </w:p>
        </w:tc>
      </w:tr>
    </w:tbl>
    <w:p w14:paraId="62ACFF98">
      <w:pPr>
        <w:spacing w:line="360" w:lineRule="auto"/>
        <w:jc w:val="left"/>
        <w:rPr>
          <w:rFonts w:ascii="宋体" w:hAnsi="宋体" w:cs="宋体"/>
          <w:color w:val="auto"/>
          <w:sz w:val="24"/>
          <w:szCs w:val="24"/>
          <w:highlight w:val="none"/>
        </w:rPr>
      </w:pPr>
    </w:p>
    <w:p w14:paraId="0F164217">
      <w:pPr>
        <w:spacing w:before="120" w:after="120" w:line="360" w:lineRule="auto"/>
        <w:ind w:firstLine="964"/>
        <w:jc w:val="left"/>
        <w:rPr>
          <w:rFonts w:ascii="Times New Roman" w:hAnsi="Times New Roman"/>
          <w:b/>
          <w:bCs/>
          <w:color w:val="auto"/>
          <w:sz w:val="32"/>
          <w:szCs w:val="24"/>
          <w:highlight w:val="none"/>
        </w:rPr>
      </w:pPr>
      <w:r>
        <w:rPr>
          <w:rFonts w:hint="eastAsia" w:ascii="Times New Roman" w:hAnsi="Times New Roman"/>
          <w:b/>
          <w:bCs/>
          <w:color w:val="auto"/>
          <w:sz w:val="32"/>
          <w:szCs w:val="24"/>
          <w:highlight w:val="none"/>
        </w:rPr>
        <w:t xml:space="preserve"> </w:t>
      </w:r>
    </w:p>
    <w:p w14:paraId="035AB3D8">
      <w:pPr>
        <w:spacing w:before="120" w:after="120" w:line="360" w:lineRule="auto"/>
        <w:ind w:firstLine="964"/>
        <w:jc w:val="left"/>
        <w:rPr>
          <w:rFonts w:ascii="Arial" w:hAnsi="Arial"/>
          <w:b/>
          <w:color w:val="auto"/>
          <w:sz w:val="32"/>
          <w:szCs w:val="24"/>
          <w:highlight w:val="none"/>
        </w:rPr>
      </w:pPr>
    </w:p>
    <w:p w14:paraId="165D96DE">
      <w:pPr>
        <w:spacing w:before="120" w:after="120" w:line="360" w:lineRule="auto"/>
        <w:jc w:val="center"/>
        <w:rPr>
          <w:rFonts w:ascii="Arial" w:hAnsi="Arial"/>
          <w:b/>
          <w:color w:val="auto"/>
          <w:sz w:val="32"/>
          <w:szCs w:val="24"/>
          <w:highlight w:val="none"/>
        </w:rPr>
      </w:pPr>
      <w:r>
        <w:rPr>
          <w:rFonts w:hint="eastAsia" w:ascii="Arial" w:hAnsi="Arial"/>
          <w:b/>
          <w:color w:val="auto"/>
          <w:sz w:val="32"/>
          <w:szCs w:val="24"/>
          <w:highlight w:val="none"/>
          <w:lang w:eastAsia="zh-CN" w:bidi="ar"/>
        </w:rPr>
        <w:t>2026年8月7日</w:t>
      </w:r>
    </w:p>
    <w:p w14:paraId="3CEC77F9">
      <w:pPr>
        <w:spacing w:before="120" w:after="120" w:line="360" w:lineRule="auto"/>
        <w:jc w:val="center"/>
        <w:rPr>
          <w:rFonts w:ascii="Arial" w:hAnsi="Arial"/>
          <w:b/>
          <w:color w:val="auto"/>
          <w:sz w:val="32"/>
          <w:szCs w:val="24"/>
          <w:highlight w:val="none"/>
        </w:rPr>
      </w:pPr>
    </w:p>
    <w:p w14:paraId="6C1CDC7F">
      <w:pPr>
        <w:keepNext/>
        <w:keepLines/>
        <w:pageBreakBefore/>
        <w:jc w:val="center"/>
        <w:rPr>
          <w:b/>
          <w:color w:val="auto"/>
          <w:sz w:val="44"/>
          <w:szCs w:val="44"/>
          <w:highlight w:val="none"/>
        </w:rPr>
      </w:pPr>
      <w:r>
        <w:rPr>
          <w:rFonts w:hint="eastAsia"/>
          <w:b/>
          <w:color w:val="auto"/>
          <w:sz w:val="44"/>
          <w:szCs w:val="44"/>
          <w:highlight w:val="none"/>
        </w:rPr>
        <w:t>目 录</w:t>
      </w:r>
    </w:p>
    <w:p w14:paraId="051B1A79">
      <w:pPr>
        <w:pStyle w:val="125"/>
        <w:tabs>
          <w:tab w:val="right" w:leader="dot" w:pos="9185"/>
        </w:tabs>
        <w:spacing w:line="600" w:lineRule="exact"/>
        <w:rPr>
          <w:rFonts w:ascii="Times New Roman" w:hAnsi="Times New Roman" w:eastAsia="黑体"/>
          <w:b w:val="0"/>
          <w:bCs w:val="0"/>
          <w:color w:val="auto"/>
          <w:sz w:val="32"/>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rPr>
          <w:color w:val="auto"/>
          <w:highlight w:val="none"/>
        </w:rPr>
        <w:fldChar w:fldCharType="begin"/>
      </w:r>
      <w:r>
        <w:rPr>
          <w:color w:val="auto"/>
          <w:highlight w:val="none"/>
        </w:rPr>
        <w:instrText xml:space="preserve"> HYPERLINK \l "_Toc10813" </w:instrText>
      </w:r>
      <w:r>
        <w:rPr>
          <w:color w:val="auto"/>
          <w:highlight w:val="none"/>
        </w:rPr>
        <w:fldChar w:fldCharType="separate"/>
      </w:r>
      <w:r>
        <w:rPr>
          <w:rFonts w:hint="eastAsia" w:ascii="Times New Roman" w:hAnsi="Times New Roman" w:eastAsia="黑体"/>
          <w:b w:val="0"/>
          <w:bCs w:val="0"/>
          <w:color w:val="auto"/>
          <w:sz w:val="32"/>
          <w:highlight w:val="none"/>
        </w:rPr>
        <w:t>第一章  投标邀请</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end"/>
      </w:r>
    </w:p>
    <w:p w14:paraId="16C98EAA">
      <w:pPr>
        <w:pStyle w:val="125"/>
        <w:tabs>
          <w:tab w:val="right" w:leader="dot" w:pos="9185"/>
        </w:tabs>
        <w:spacing w:line="600" w:lineRule="exact"/>
        <w:rPr>
          <w:rFonts w:ascii="Times New Roman" w:hAnsi="Times New Roman" w:eastAsia="黑体"/>
          <w:b w:val="0"/>
          <w:bCs w:val="0"/>
          <w:color w:val="auto"/>
          <w:sz w:val="32"/>
          <w:highlight w:val="none"/>
        </w:rPr>
      </w:pPr>
      <w:r>
        <w:rPr>
          <w:color w:val="auto"/>
          <w:highlight w:val="none"/>
        </w:rPr>
        <w:fldChar w:fldCharType="begin"/>
      </w:r>
      <w:r>
        <w:rPr>
          <w:color w:val="auto"/>
          <w:highlight w:val="none"/>
        </w:rPr>
        <w:instrText xml:space="preserve"> HYPERLINK \l "_Toc9425" </w:instrText>
      </w:r>
      <w:r>
        <w:rPr>
          <w:color w:val="auto"/>
          <w:highlight w:val="none"/>
        </w:rPr>
        <w:fldChar w:fldCharType="separate"/>
      </w:r>
      <w:r>
        <w:rPr>
          <w:rFonts w:hint="eastAsia" w:ascii="Times New Roman" w:hAnsi="Times New Roman" w:eastAsia="黑体"/>
          <w:b w:val="0"/>
          <w:bCs w:val="0"/>
          <w:color w:val="auto"/>
          <w:sz w:val="32"/>
          <w:highlight w:val="none"/>
        </w:rPr>
        <w:t>第二章  投标人须知</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end"/>
      </w:r>
    </w:p>
    <w:p w14:paraId="18149E0D">
      <w:pPr>
        <w:pStyle w:val="125"/>
        <w:tabs>
          <w:tab w:val="right" w:leader="dot" w:pos="9185"/>
        </w:tabs>
        <w:spacing w:line="600" w:lineRule="exact"/>
        <w:rPr>
          <w:rFonts w:ascii="Times New Roman" w:hAnsi="Times New Roman" w:eastAsia="黑体"/>
          <w:b w:val="0"/>
          <w:bCs w:val="0"/>
          <w:color w:val="auto"/>
          <w:sz w:val="32"/>
          <w:highlight w:val="none"/>
        </w:rPr>
      </w:pPr>
      <w:r>
        <w:rPr>
          <w:color w:val="auto"/>
          <w:highlight w:val="none"/>
        </w:rPr>
        <w:fldChar w:fldCharType="begin"/>
      </w:r>
      <w:r>
        <w:rPr>
          <w:color w:val="auto"/>
          <w:highlight w:val="none"/>
        </w:rPr>
        <w:instrText xml:space="preserve"> HYPERLINK \l "_Toc17996" </w:instrText>
      </w:r>
      <w:r>
        <w:rPr>
          <w:color w:val="auto"/>
          <w:highlight w:val="none"/>
        </w:rPr>
        <w:fldChar w:fldCharType="separate"/>
      </w:r>
      <w:r>
        <w:rPr>
          <w:rFonts w:hint="eastAsia" w:ascii="Times New Roman" w:hAnsi="Times New Roman" w:eastAsia="黑体" w:cs="Times New Roman"/>
          <w:b w:val="0"/>
          <w:bCs w:val="0"/>
          <w:color w:val="auto"/>
          <w:sz w:val="32"/>
          <w:szCs w:val="44"/>
          <w:highlight w:val="none"/>
        </w:rPr>
        <w:t>第三章  资格审查及评标办法</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end"/>
      </w:r>
    </w:p>
    <w:p w14:paraId="4D96D837">
      <w:pPr>
        <w:pStyle w:val="125"/>
        <w:tabs>
          <w:tab w:val="right" w:leader="dot" w:pos="9185"/>
        </w:tabs>
        <w:spacing w:line="600" w:lineRule="exact"/>
        <w:rPr>
          <w:rFonts w:ascii="Times New Roman" w:hAnsi="Times New Roman" w:eastAsia="黑体"/>
          <w:b w:val="0"/>
          <w:bCs w:val="0"/>
          <w:color w:val="auto"/>
          <w:sz w:val="32"/>
          <w:highlight w:val="none"/>
        </w:rPr>
      </w:pPr>
      <w:r>
        <w:rPr>
          <w:color w:val="auto"/>
          <w:highlight w:val="none"/>
        </w:rPr>
        <w:fldChar w:fldCharType="begin"/>
      </w:r>
      <w:r>
        <w:rPr>
          <w:color w:val="auto"/>
          <w:highlight w:val="none"/>
        </w:rPr>
        <w:instrText xml:space="preserve"> HYPERLINK \l "_Toc22314" </w:instrText>
      </w:r>
      <w:r>
        <w:rPr>
          <w:color w:val="auto"/>
          <w:highlight w:val="none"/>
        </w:rPr>
        <w:fldChar w:fldCharType="separate"/>
      </w:r>
      <w:r>
        <w:rPr>
          <w:rFonts w:hint="eastAsia" w:ascii="Times New Roman" w:hAnsi="Times New Roman" w:eastAsia="黑体"/>
          <w:b w:val="0"/>
          <w:bCs w:val="0"/>
          <w:color w:val="auto"/>
          <w:sz w:val="32"/>
          <w:szCs w:val="44"/>
          <w:highlight w:val="none"/>
        </w:rPr>
        <w:t>第四章</w:t>
      </w:r>
      <w:r>
        <w:rPr>
          <w:rFonts w:ascii="Times New Roman" w:hAnsi="Times New Roman" w:eastAsia="黑体"/>
          <w:b w:val="0"/>
          <w:bCs w:val="0"/>
          <w:color w:val="auto"/>
          <w:sz w:val="32"/>
          <w:szCs w:val="44"/>
          <w:highlight w:val="none"/>
        </w:rPr>
        <w:t xml:space="preserve">  </w:t>
      </w:r>
      <w:r>
        <w:rPr>
          <w:rFonts w:hint="eastAsia" w:ascii="Times New Roman" w:hAnsi="Times New Roman" w:eastAsia="黑体"/>
          <w:b w:val="0"/>
          <w:bCs w:val="0"/>
          <w:color w:val="auto"/>
          <w:sz w:val="32"/>
          <w:szCs w:val="44"/>
          <w:highlight w:val="none"/>
        </w:rPr>
        <w:t>采购需求</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end"/>
      </w:r>
    </w:p>
    <w:p w14:paraId="5A916950">
      <w:pPr>
        <w:pStyle w:val="125"/>
        <w:tabs>
          <w:tab w:val="right" w:leader="dot" w:pos="9185"/>
        </w:tabs>
        <w:spacing w:line="600" w:lineRule="exact"/>
        <w:rPr>
          <w:rFonts w:ascii="Times New Roman" w:hAnsi="Times New Roman" w:eastAsia="黑体"/>
          <w:b w:val="0"/>
          <w:bCs w:val="0"/>
          <w:color w:val="auto"/>
          <w:sz w:val="32"/>
          <w:highlight w:val="none"/>
        </w:rPr>
      </w:pPr>
      <w:r>
        <w:rPr>
          <w:color w:val="auto"/>
          <w:highlight w:val="none"/>
        </w:rPr>
        <w:fldChar w:fldCharType="begin"/>
      </w:r>
      <w:r>
        <w:rPr>
          <w:color w:val="auto"/>
          <w:highlight w:val="none"/>
        </w:rPr>
        <w:instrText xml:space="preserve"> HYPERLINK \l "_Toc2513" </w:instrText>
      </w:r>
      <w:r>
        <w:rPr>
          <w:color w:val="auto"/>
          <w:highlight w:val="none"/>
        </w:rPr>
        <w:fldChar w:fldCharType="separate"/>
      </w:r>
      <w:r>
        <w:rPr>
          <w:rFonts w:hint="eastAsia" w:ascii="Times New Roman" w:hAnsi="Times New Roman" w:eastAsia="黑体"/>
          <w:b w:val="0"/>
          <w:bCs w:val="0"/>
          <w:color w:val="auto"/>
          <w:sz w:val="32"/>
          <w:szCs w:val="44"/>
          <w:highlight w:val="none"/>
        </w:rPr>
        <w:t>第五章</w:t>
      </w:r>
      <w:r>
        <w:rPr>
          <w:rFonts w:ascii="Times New Roman" w:hAnsi="Times New Roman" w:eastAsia="黑体"/>
          <w:b w:val="0"/>
          <w:bCs w:val="0"/>
          <w:color w:val="auto"/>
          <w:sz w:val="32"/>
          <w:szCs w:val="44"/>
          <w:highlight w:val="none"/>
        </w:rPr>
        <w:t xml:space="preserve">  </w:t>
      </w:r>
      <w:r>
        <w:rPr>
          <w:rFonts w:hint="eastAsia" w:ascii="Times New Roman" w:hAnsi="Times New Roman" w:eastAsia="黑体"/>
          <w:b w:val="0"/>
          <w:bCs w:val="0"/>
          <w:color w:val="auto"/>
          <w:sz w:val="32"/>
          <w:szCs w:val="44"/>
          <w:highlight w:val="none"/>
        </w:rPr>
        <w:t>合同文本</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end"/>
      </w:r>
    </w:p>
    <w:p w14:paraId="2F55024B">
      <w:pPr>
        <w:pStyle w:val="125"/>
        <w:tabs>
          <w:tab w:val="right" w:leader="dot" w:pos="9185"/>
        </w:tabs>
        <w:spacing w:line="600" w:lineRule="exact"/>
        <w:rPr>
          <w:color w:val="auto"/>
          <w:highlight w:val="none"/>
        </w:rPr>
      </w:pPr>
      <w:r>
        <w:rPr>
          <w:color w:val="auto"/>
          <w:highlight w:val="none"/>
        </w:rPr>
        <w:fldChar w:fldCharType="begin"/>
      </w:r>
      <w:r>
        <w:rPr>
          <w:color w:val="auto"/>
          <w:highlight w:val="none"/>
        </w:rPr>
        <w:instrText xml:space="preserve"> HYPERLINK \l "_Toc12937" </w:instrText>
      </w:r>
      <w:r>
        <w:rPr>
          <w:color w:val="auto"/>
          <w:highlight w:val="none"/>
        </w:rPr>
        <w:fldChar w:fldCharType="separate"/>
      </w:r>
      <w:r>
        <w:rPr>
          <w:rFonts w:hint="eastAsia" w:ascii="Times New Roman" w:hAnsi="Times New Roman" w:eastAsia="黑体"/>
          <w:b w:val="0"/>
          <w:bCs w:val="0"/>
          <w:color w:val="auto"/>
          <w:sz w:val="32"/>
          <w:szCs w:val="44"/>
          <w:highlight w:val="none"/>
        </w:rPr>
        <w:t>第六章  投标文件格式</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end"/>
      </w:r>
    </w:p>
    <w:p w14:paraId="08E956DA">
      <w:pPr>
        <w:rPr>
          <w:color w:val="auto"/>
          <w:highlight w:val="none"/>
        </w:rPr>
      </w:pPr>
      <w:r>
        <w:rPr>
          <w:color w:val="auto"/>
          <w:highlight w:val="none"/>
        </w:rPr>
        <w:fldChar w:fldCharType="end"/>
      </w:r>
    </w:p>
    <w:p w14:paraId="4DAB3369">
      <w:pPr>
        <w:keepNext/>
        <w:keepLines/>
        <w:pageBreakBefore/>
        <w:jc w:val="center"/>
        <w:outlineLvl w:val="0"/>
        <w:rPr>
          <w:b/>
          <w:color w:val="auto"/>
          <w:sz w:val="44"/>
          <w:szCs w:val="44"/>
          <w:highlight w:val="none"/>
        </w:rPr>
        <w:sectPr>
          <w:footerReference r:id="rId5" w:type="first"/>
          <w:headerReference r:id="rId3" w:type="default"/>
          <w:footerReference r:id="rId4" w:type="default"/>
          <w:pgSz w:w="11907" w:h="16840"/>
          <w:pgMar w:top="1474" w:right="1304" w:bottom="1474" w:left="1418" w:header="851" w:footer="851" w:gutter="0"/>
          <w:cols w:space="1701" w:num="1"/>
          <w:docGrid w:linePitch="360" w:charSpace="0"/>
        </w:sectPr>
      </w:pPr>
      <w:bookmarkStart w:id="2" w:name="_Toc81575152"/>
      <w:bookmarkStart w:id="3" w:name="_Toc81575189"/>
    </w:p>
    <w:p w14:paraId="35213020">
      <w:pPr>
        <w:pStyle w:val="66"/>
        <w:numPr>
          <w:ilvl w:val="0"/>
          <w:numId w:val="3"/>
        </w:numPr>
        <w:spacing w:before="200"/>
        <w:jc w:val="center"/>
        <w:rPr>
          <w:rFonts w:eastAsia="黑体"/>
          <w:color w:val="auto"/>
          <w:sz w:val="36"/>
          <w:szCs w:val="36"/>
          <w:highlight w:val="none"/>
        </w:rPr>
      </w:pPr>
      <w:bookmarkStart w:id="4" w:name="_Toc10813"/>
      <w:bookmarkStart w:id="5" w:name="_Toc25722"/>
      <w:bookmarkStart w:id="6" w:name="_Toc30943"/>
      <w:r>
        <w:rPr>
          <w:rFonts w:hint="eastAsia" w:eastAsia="黑体"/>
          <w:color w:val="auto"/>
          <w:sz w:val="36"/>
          <w:szCs w:val="36"/>
          <w:highlight w:val="none"/>
        </w:rPr>
        <w:t xml:space="preserve"> 投标邀请</w:t>
      </w:r>
      <w:bookmarkEnd w:id="2"/>
      <w:bookmarkEnd w:id="3"/>
      <w:bookmarkEnd w:id="4"/>
      <w:bookmarkEnd w:id="5"/>
      <w:bookmarkEnd w:id="6"/>
    </w:p>
    <w:p w14:paraId="45FB2DD3">
      <w:pPr>
        <w:pBdr>
          <w:top w:val="single" w:color="000000" w:sz="4" w:space="1"/>
          <w:left w:val="single" w:color="000000" w:sz="4" w:space="4"/>
          <w:bottom w:val="single" w:color="000000" w:sz="4" w:space="1"/>
          <w:right w:val="single" w:color="000000" w:sz="4" w:space="4"/>
        </w:pBd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项目概况：</w:t>
      </w:r>
    </w:p>
    <w:p w14:paraId="0EEAD7F2">
      <w:pPr>
        <w:pBdr>
          <w:top w:val="single" w:color="000000" w:sz="4" w:space="1"/>
          <w:left w:val="single" w:color="000000" w:sz="4" w:space="4"/>
          <w:bottom w:val="single" w:color="000000" w:sz="4" w:space="1"/>
          <w:right w:val="single" w:color="000000" w:sz="4" w:space="4"/>
        </w:pBd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u w:val="single"/>
        </w:rPr>
        <w:t>泗洪县城区学校门口交通安全设施建设项目JSZC-321324-JSCW-G2026-0024</w:t>
      </w:r>
      <w:r>
        <w:rPr>
          <w:rFonts w:hint="eastAsia" w:ascii="宋体" w:hAnsi="宋体" w:cs="宋体"/>
          <w:color w:val="auto"/>
          <w:sz w:val="24"/>
          <w:szCs w:val="24"/>
          <w:highlight w:val="none"/>
        </w:rPr>
        <w:t>招标项目的潜在投标人应在投标人应在招标文件提供的时间内，通过“苏采云“系统 （网址：http://jszfcg.jsczt.cn) 找到本项目获取招标文件，并于</w:t>
      </w:r>
      <w:r>
        <w:rPr>
          <w:rFonts w:hint="eastAsia" w:ascii="宋体" w:hAnsi="宋体" w:cs="宋体"/>
          <w:color w:val="auto"/>
          <w:sz w:val="24"/>
          <w:szCs w:val="24"/>
          <w:highlight w:val="none"/>
          <w:lang w:eastAsia="zh-CN"/>
        </w:rPr>
        <w:t>2026年9月1日</w:t>
      </w:r>
      <w:r>
        <w:rPr>
          <w:rFonts w:hint="eastAsia" w:ascii="宋体" w:hAnsi="宋体" w:cs="宋体"/>
          <w:color w:val="auto"/>
          <w:sz w:val="24"/>
          <w:szCs w:val="24"/>
          <w:highlight w:val="none"/>
        </w:rPr>
        <w:t>09时00分</w:t>
      </w:r>
      <w:r>
        <w:rPr>
          <w:rFonts w:hint="eastAsia" w:ascii="宋体" w:hAnsi="宋体" w:cs="宋体"/>
          <w:color w:val="auto"/>
          <w:sz w:val="24"/>
          <w:szCs w:val="24"/>
          <w:highlight w:val="none"/>
        </w:rPr>
        <w:t>（北京时间）前递交投标文件。</w:t>
      </w:r>
    </w:p>
    <w:p w14:paraId="3616C444">
      <w:pPr>
        <w:pStyle w:val="67"/>
        <w:spacing w:before="120" w:after="0" w:line="480" w:lineRule="exact"/>
        <w:ind w:firstLine="482"/>
        <w:rPr>
          <w:rFonts w:ascii="宋体" w:hAnsi="宋体" w:eastAsia="宋体" w:cs="宋体"/>
          <w:bCs/>
          <w:color w:val="auto"/>
          <w:sz w:val="24"/>
          <w:szCs w:val="24"/>
          <w:highlight w:val="none"/>
        </w:rPr>
      </w:pPr>
      <w:bookmarkStart w:id="7" w:name="_Toc35393621"/>
      <w:bookmarkStart w:id="8" w:name="_Toc38985263"/>
      <w:bookmarkStart w:id="9" w:name="_Toc35393790"/>
      <w:bookmarkStart w:id="10" w:name="_Toc28359079"/>
      <w:bookmarkStart w:id="11" w:name="_Toc2584"/>
      <w:bookmarkStart w:id="12" w:name="_Toc28359002"/>
      <w:bookmarkStart w:id="13" w:name="_Hlk24379207"/>
      <w:r>
        <w:rPr>
          <w:rFonts w:hint="eastAsia" w:ascii="宋体" w:hAnsi="宋体" w:eastAsia="宋体" w:cs="宋体"/>
          <w:bCs/>
          <w:color w:val="auto"/>
          <w:sz w:val="24"/>
          <w:szCs w:val="24"/>
          <w:highlight w:val="none"/>
        </w:rPr>
        <w:t>一、项目基本情况</w:t>
      </w:r>
      <w:bookmarkEnd w:id="7"/>
      <w:bookmarkEnd w:id="8"/>
      <w:bookmarkEnd w:id="9"/>
      <w:bookmarkEnd w:id="10"/>
      <w:bookmarkEnd w:id="11"/>
      <w:bookmarkEnd w:id="12"/>
    </w:p>
    <w:p w14:paraId="017CDC2A">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1.项目编号：JSZC-321324-JSCW-G2026-0024</w:t>
      </w:r>
    </w:p>
    <w:p w14:paraId="00F0A270">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2.项目名称：</w:t>
      </w:r>
      <w:bookmarkEnd w:id="13"/>
      <w:r>
        <w:rPr>
          <w:rFonts w:hint="eastAsia" w:ascii="宋体" w:hAnsi="宋体" w:cs="宋体"/>
          <w:color w:val="auto"/>
          <w:sz w:val="24"/>
          <w:szCs w:val="24"/>
          <w:highlight w:val="none"/>
        </w:rPr>
        <w:t>泗洪县城区学校门口交通安全设施建设项目</w:t>
      </w:r>
    </w:p>
    <w:p w14:paraId="04CF4EE1">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3.预算金额：372.8534 万元</w:t>
      </w:r>
    </w:p>
    <w:p w14:paraId="0E9A1AEA">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4.最高限价（如有）：本项目设定最高限价，最高限价为</w:t>
      </w:r>
      <w:bookmarkStart w:id="14" w:name="EB6c1f3d39c6914ae1bada8ccaa777b37a"/>
      <w:r>
        <w:rPr>
          <w:rFonts w:hint="eastAsia" w:ascii="宋体" w:hAnsi="宋体" w:cs="宋体"/>
          <w:color w:val="auto"/>
          <w:sz w:val="24"/>
          <w:szCs w:val="24"/>
          <w:highlight w:val="none"/>
        </w:rPr>
        <w:t>336.8573万元，高于此最高限价为无效标。</w:t>
      </w:r>
      <w:bookmarkEnd w:id="14"/>
    </w:p>
    <w:p w14:paraId="1CB45F50">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5.采购需求：为了进一步强化校园及周边交通安全管理和秩序维护，泗洪县教育局拟进行城区学校门口交通安全设施建设，详细内容见本招标文件第四章采购需求。</w:t>
      </w:r>
    </w:p>
    <w:p w14:paraId="3C531909">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6.合同履行期限：合同签订后90日历天内安装完毕并交付使用。</w:t>
      </w:r>
    </w:p>
    <w:p w14:paraId="3CEC8586">
      <w:pPr>
        <w:spacing w:line="480" w:lineRule="exact"/>
        <w:ind w:firstLine="480"/>
        <w:rPr>
          <w:rFonts w:ascii="宋体" w:hAnsi="宋体" w:cs="宋体"/>
          <w:color w:val="auto"/>
          <w:sz w:val="24"/>
          <w:szCs w:val="24"/>
          <w:highlight w:val="none"/>
        </w:rPr>
      </w:pPr>
      <w:bookmarkStart w:id="15" w:name="_Toc27291"/>
      <w:bookmarkStart w:id="16" w:name="_Toc28359080"/>
      <w:bookmarkStart w:id="17" w:name="_Toc38985264"/>
      <w:bookmarkStart w:id="18" w:name="_Toc28359003"/>
      <w:bookmarkStart w:id="19" w:name="_Toc35393791"/>
      <w:bookmarkStart w:id="20" w:name="_Toc35393622"/>
      <w:r>
        <w:rPr>
          <w:rFonts w:hint="eastAsia" w:ascii="宋体" w:hAnsi="宋体" w:cs="宋体"/>
          <w:color w:val="auto"/>
          <w:sz w:val="24"/>
          <w:szCs w:val="24"/>
          <w:highlight w:val="none"/>
        </w:rPr>
        <w:t>7.本项目</w:t>
      </w:r>
      <w:r>
        <w:rPr>
          <w:rFonts w:hint="eastAsia" w:ascii="宋体" w:hAnsi="宋体" w:cs="宋体"/>
          <w:color w:val="auto"/>
          <w:sz w:val="24"/>
          <w:szCs w:val="24"/>
          <w:highlight w:val="none"/>
          <w:u w:val="single"/>
        </w:rPr>
        <w:t xml:space="preserve"> 不接受 </w:t>
      </w:r>
      <w:r>
        <w:rPr>
          <w:rFonts w:hint="eastAsia" w:ascii="宋体" w:hAnsi="宋体" w:cs="宋体"/>
          <w:color w:val="auto"/>
          <w:sz w:val="24"/>
          <w:szCs w:val="24"/>
          <w:highlight w:val="none"/>
        </w:rPr>
        <w:t>联合体投标。</w:t>
      </w:r>
    </w:p>
    <w:p w14:paraId="30710658">
      <w:pPr>
        <w:pStyle w:val="67"/>
        <w:spacing w:before="0" w:after="0" w:line="480" w:lineRule="exact"/>
        <w:ind w:firstLine="482"/>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二、申请人的资格要求</w:t>
      </w:r>
      <w:bookmarkEnd w:id="15"/>
      <w:bookmarkEnd w:id="16"/>
      <w:bookmarkEnd w:id="17"/>
      <w:bookmarkEnd w:id="18"/>
      <w:bookmarkEnd w:id="19"/>
      <w:bookmarkEnd w:id="20"/>
    </w:p>
    <w:p w14:paraId="5E428439">
      <w:pPr>
        <w:pBdr>
          <w:top w:val="none" w:color="000000" w:sz="0" w:space="0"/>
          <w:left w:val="none" w:color="000000" w:sz="0" w:space="0"/>
          <w:bottom w:val="none" w:color="000000" w:sz="0" w:space="0"/>
          <w:right w:val="none" w:color="000000" w:sz="0" w:space="0"/>
        </w:pBd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（一）满足《中华人民共和国政府采购法》第二十二条规定：</w:t>
      </w:r>
      <w:bookmarkStart w:id="21" w:name="_Toc28359004"/>
      <w:bookmarkStart w:id="22" w:name="_Toc35393623"/>
      <w:bookmarkStart w:id="23" w:name="_Toc28359081"/>
      <w:bookmarkStart w:id="24" w:name="_Toc38985265"/>
      <w:bookmarkStart w:id="25" w:name="_Toc35393792"/>
    </w:p>
    <w:p w14:paraId="0CD8E7B7">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1.具备《中华人民共和国政府采购法》第二十二条第一款规定的6项条件（按要求提供投标函）。</w:t>
      </w:r>
    </w:p>
    <w:p w14:paraId="31F5417C">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信用信息。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p>
    <w:p w14:paraId="2063EF7F">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3.投标人代理人(授权委托人)必须为本单位正式员工，并在投标文件中提供投标截止日前6个月内由本单位为其缴纳的任意1个月社会养老保险证明资料电子件。</w:t>
      </w:r>
    </w:p>
    <w:p w14:paraId="5F966294">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（二）落实政府采购政策需满足的资格要求：本项目专门面向中小企业（含监狱企业、残疾人福利企业）采购的项目，所投</w:t>
      </w:r>
      <w:r>
        <w:rPr>
          <w:rFonts w:hint="eastAsia" w:ascii="宋体" w:hAnsi="宋体" w:cs="宋体"/>
          <w:color w:val="auto"/>
          <w:sz w:val="24"/>
          <w:szCs w:val="24"/>
          <w:highlight w:val="none"/>
          <w:lang w:val="en-US" w:eastAsia="zh-CN"/>
        </w:rPr>
        <w:t>货物类</w:t>
      </w:r>
      <w:r>
        <w:rPr>
          <w:rFonts w:hint="eastAsia" w:ascii="宋体" w:hAnsi="宋体" w:cs="宋体"/>
          <w:color w:val="auto"/>
          <w:sz w:val="24"/>
          <w:szCs w:val="24"/>
          <w:highlight w:val="none"/>
        </w:rPr>
        <w:t>产品制造商</w:t>
      </w:r>
      <w:r>
        <w:rPr>
          <w:rFonts w:hint="eastAsia" w:ascii="宋体" w:hAnsi="宋体" w:cs="宋体"/>
          <w:color w:val="auto"/>
          <w:sz w:val="24"/>
          <w:szCs w:val="24"/>
          <w:highlight w:val="none"/>
          <w:lang w:val="en-US" w:eastAsia="zh-CN"/>
        </w:rPr>
        <w:t>和工程类承接商</w:t>
      </w:r>
      <w:r>
        <w:rPr>
          <w:rFonts w:hint="eastAsia" w:ascii="宋体" w:hAnsi="宋体" w:cs="宋体"/>
          <w:color w:val="auto"/>
          <w:sz w:val="24"/>
          <w:szCs w:val="24"/>
          <w:highlight w:val="none"/>
        </w:rPr>
        <w:t>应为中小企业（含监狱企业、残疾人福利企业）（须提供《中小企业或残疾人福利性单位声明函》）。所投货物类产品制造商和工程类承接商为非中小企业（含监狱企业、残疾人福利企业）参与本项目投标，将作无效投标处理。</w:t>
      </w:r>
    </w:p>
    <w:p w14:paraId="7F8243DB">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（三）本项目的特定资格要求：无。</w:t>
      </w:r>
    </w:p>
    <w:p w14:paraId="52DA0A23">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注：单位负责人为同一人或者存在直接控股、管理关系的不同供应商，不得参加同一合同项下的政府采购活动。否则，相关投标均无效。</w:t>
      </w:r>
    </w:p>
    <w:p w14:paraId="2ABAA824">
      <w:pPr>
        <w:pStyle w:val="67"/>
        <w:spacing w:before="0" w:after="0" w:line="480" w:lineRule="exact"/>
        <w:ind w:firstLine="482"/>
        <w:rPr>
          <w:rFonts w:ascii="宋体" w:hAnsi="宋体" w:eastAsia="宋体" w:cs="宋体"/>
          <w:bCs/>
          <w:color w:val="auto"/>
          <w:sz w:val="24"/>
          <w:szCs w:val="24"/>
          <w:highlight w:val="none"/>
        </w:rPr>
      </w:pPr>
      <w:bookmarkStart w:id="26" w:name="_Toc22204"/>
      <w:r>
        <w:rPr>
          <w:rFonts w:hint="eastAsia" w:ascii="宋体" w:hAnsi="宋体" w:eastAsia="宋体" w:cs="宋体"/>
          <w:bCs/>
          <w:color w:val="auto"/>
          <w:sz w:val="24"/>
          <w:szCs w:val="24"/>
          <w:highlight w:val="none"/>
        </w:rPr>
        <w:t>三、获取招标文件</w:t>
      </w:r>
      <w:bookmarkEnd w:id="21"/>
      <w:bookmarkEnd w:id="22"/>
      <w:bookmarkEnd w:id="23"/>
      <w:bookmarkEnd w:id="24"/>
      <w:bookmarkEnd w:id="25"/>
      <w:bookmarkEnd w:id="26"/>
    </w:p>
    <w:p w14:paraId="010D0C0F">
      <w:pPr>
        <w:pBdr>
          <w:top w:val="none" w:color="000000" w:sz="0" w:space="0"/>
          <w:left w:val="none" w:color="000000" w:sz="0" w:space="0"/>
          <w:bottom w:val="none" w:color="000000" w:sz="0" w:space="0"/>
          <w:right w:val="none" w:color="000000" w:sz="0" w:space="0"/>
        </w:pBdr>
        <w:spacing w:line="480" w:lineRule="exact"/>
        <w:ind w:firstLine="480"/>
        <w:rPr>
          <w:rFonts w:ascii="宋体" w:hAnsi="宋体" w:cs="宋体"/>
          <w:color w:val="auto"/>
          <w:sz w:val="24"/>
          <w:szCs w:val="24"/>
          <w:highlight w:val="none"/>
        </w:rPr>
      </w:pPr>
      <w:bookmarkStart w:id="27" w:name="_Toc28359005"/>
      <w:bookmarkStart w:id="28" w:name="_Toc28359082"/>
      <w:bookmarkStart w:id="29" w:name="_Toc38985266"/>
      <w:bookmarkStart w:id="30" w:name="_Toc19148"/>
      <w:bookmarkStart w:id="31" w:name="_Toc35393624"/>
      <w:bookmarkStart w:id="32" w:name="_Toc35393793"/>
      <w:r>
        <w:rPr>
          <w:rFonts w:hint="eastAsia" w:ascii="宋体" w:hAnsi="宋体" w:cs="宋体"/>
          <w:color w:val="auto"/>
          <w:sz w:val="24"/>
          <w:szCs w:val="24"/>
          <w:highlight w:val="none"/>
        </w:rPr>
        <w:t>时间：自招标文件公告发布之日起5个工作日。</w:t>
      </w:r>
    </w:p>
    <w:p w14:paraId="60664F18">
      <w:pPr>
        <w:pBdr>
          <w:top w:val="none" w:color="000000" w:sz="0" w:space="0"/>
          <w:left w:val="none" w:color="000000" w:sz="0" w:space="0"/>
          <w:bottom w:val="none" w:color="000000" w:sz="0" w:space="0"/>
          <w:right w:val="none" w:color="000000" w:sz="0" w:space="0"/>
        </w:pBd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地点：</w:t>
      </w:r>
      <w:bookmarkStart w:id="33" w:name="OLE_LINK32"/>
      <w:r>
        <w:rPr>
          <w:rFonts w:hint="eastAsia" w:ascii="宋体" w:hAnsi="宋体" w:cs="宋体"/>
          <w:color w:val="auto"/>
          <w:sz w:val="24"/>
          <w:szCs w:val="24"/>
          <w:highlight w:val="none"/>
        </w:rPr>
        <w:t>招标文件提供的时间内，通过“苏采云“系统（网址： http://jszfcg.jsczt.cn)找到本项目。</w:t>
      </w:r>
      <w:bookmarkEnd w:id="33"/>
    </w:p>
    <w:p w14:paraId="4A75D4F4">
      <w:pPr>
        <w:pBdr>
          <w:top w:val="none" w:color="000000" w:sz="0" w:space="0"/>
          <w:left w:val="none" w:color="000000" w:sz="0" w:space="0"/>
          <w:bottom w:val="none" w:color="000000" w:sz="0" w:space="0"/>
          <w:right w:val="none" w:color="000000" w:sz="0" w:space="0"/>
        </w:pBd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方式：投标人应在招标文件提供的时间内，通过“苏采云”系统（网址： http://jszfcg.jsczt.cn/），使用CA锁登录系统后，找到本项目获取招标文件（后缀名为“.kedt”）。</w:t>
      </w:r>
    </w:p>
    <w:p w14:paraId="4C6CADFB">
      <w:pPr>
        <w:pBdr>
          <w:top w:val="none" w:color="000000" w:sz="0" w:space="0"/>
          <w:left w:val="none" w:color="000000" w:sz="0" w:space="0"/>
          <w:bottom w:val="none" w:color="000000" w:sz="0" w:space="0"/>
          <w:right w:val="none" w:color="000000" w:sz="0" w:space="0"/>
        </w:pBd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售价：0.00元</w:t>
      </w:r>
    </w:p>
    <w:p w14:paraId="237A3695">
      <w:pPr>
        <w:pBdr>
          <w:top w:val="none" w:color="000000" w:sz="0" w:space="0"/>
          <w:left w:val="none" w:color="000000" w:sz="0" w:space="0"/>
          <w:bottom w:val="none" w:color="000000" w:sz="0" w:space="0"/>
          <w:right w:val="none" w:color="000000" w:sz="0" w:space="0"/>
        </w:pBd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本项目共分一个包。投标人参与多个采购包投标的，应按采购包分别获取招标文件。投标人未按要求获取招标文件导致无法投标的，后果自负（其投标文件不予接受）。 </w:t>
      </w:r>
    </w:p>
    <w:p w14:paraId="0692E4B1">
      <w:pPr>
        <w:pStyle w:val="67"/>
        <w:spacing w:before="0" w:after="0" w:line="480" w:lineRule="exact"/>
        <w:ind w:firstLine="482"/>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四、提交投标文件</w:t>
      </w:r>
      <w:bookmarkEnd w:id="27"/>
      <w:bookmarkEnd w:id="28"/>
      <w:r>
        <w:rPr>
          <w:rFonts w:hint="eastAsia" w:ascii="宋体" w:hAnsi="宋体" w:eastAsia="宋体" w:cs="宋体"/>
          <w:bCs/>
          <w:color w:val="auto"/>
          <w:sz w:val="24"/>
          <w:szCs w:val="24"/>
          <w:highlight w:val="none"/>
        </w:rPr>
        <w:t>截止时间、开标时间和地点</w:t>
      </w:r>
      <w:bookmarkEnd w:id="29"/>
      <w:bookmarkEnd w:id="30"/>
      <w:bookmarkEnd w:id="31"/>
      <w:bookmarkEnd w:id="32"/>
    </w:p>
    <w:p w14:paraId="128D2E58">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1.提交投标文件截止时间、开标时间：</w:t>
      </w:r>
      <w:r>
        <w:rPr>
          <w:rFonts w:hint="eastAsia" w:ascii="宋体" w:hAnsi="宋体" w:cs="宋体"/>
          <w:color w:val="auto"/>
          <w:sz w:val="24"/>
          <w:szCs w:val="24"/>
          <w:highlight w:val="none"/>
          <w:lang w:eastAsia="zh-CN"/>
        </w:rPr>
        <w:t>2026年9月1日</w:t>
      </w:r>
      <w:r>
        <w:rPr>
          <w:rFonts w:hint="eastAsia" w:ascii="宋体" w:hAnsi="宋体" w:cs="宋体"/>
          <w:color w:val="auto"/>
          <w:sz w:val="24"/>
          <w:szCs w:val="24"/>
          <w:highlight w:val="none"/>
        </w:rPr>
        <w:t>09点00分</w:t>
      </w:r>
      <w:r>
        <w:rPr>
          <w:rFonts w:hint="eastAsia" w:ascii="宋体" w:hAnsi="宋体" w:cs="宋体"/>
          <w:color w:val="auto"/>
          <w:sz w:val="24"/>
          <w:szCs w:val="24"/>
          <w:highlight w:val="none"/>
        </w:rPr>
        <w:t>（北京时间）</w:t>
      </w:r>
    </w:p>
    <w:p w14:paraId="4E94E718">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2.地点：“苏采云”政府采购交易系统网上开标大厅。</w:t>
      </w:r>
    </w:p>
    <w:p w14:paraId="676E0A94">
      <w:pPr>
        <w:pStyle w:val="67"/>
        <w:spacing w:before="0" w:after="0" w:line="480" w:lineRule="exact"/>
        <w:ind w:firstLine="482"/>
        <w:rPr>
          <w:rFonts w:ascii="宋体" w:hAnsi="宋体" w:eastAsia="宋体" w:cs="宋体"/>
          <w:bCs/>
          <w:color w:val="auto"/>
          <w:sz w:val="24"/>
          <w:szCs w:val="24"/>
          <w:highlight w:val="none"/>
        </w:rPr>
      </w:pPr>
      <w:bookmarkStart w:id="34" w:name="_Toc38985267"/>
      <w:bookmarkStart w:id="35" w:name="_Toc28359007"/>
      <w:bookmarkStart w:id="36" w:name="_Toc35393625"/>
      <w:bookmarkStart w:id="37" w:name="_Toc28359084"/>
      <w:bookmarkStart w:id="38" w:name="_Toc24820"/>
      <w:bookmarkStart w:id="39" w:name="_Toc35393794"/>
      <w:r>
        <w:rPr>
          <w:rFonts w:hint="eastAsia" w:ascii="宋体" w:hAnsi="宋体" w:eastAsia="宋体" w:cs="宋体"/>
          <w:bCs/>
          <w:color w:val="auto"/>
          <w:sz w:val="24"/>
          <w:szCs w:val="24"/>
          <w:highlight w:val="none"/>
        </w:rPr>
        <w:t>五、公告期限</w:t>
      </w:r>
      <w:bookmarkEnd w:id="34"/>
      <w:bookmarkEnd w:id="35"/>
      <w:bookmarkEnd w:id="36"/>
      <w:bookmarkEnd w:id="37"/>
      <w:bookmarkEnd w:id="38"/>
      <w:bookmarkEnd w:id="39"/>
    </w:p>
    <w:p w14:paraId="5B170F1C">
      <w:pPr>
        <w:spacing w:line="480" w:lineRule="exact"/>
        <w:ind w:firstLine="480"/>
        <w:rPr>
          <w:rFonts w:ascii="宋体" w:hAnsi="宋体" w:cs="宋体"/>
          <w:color w:val="auto"/>
          <w:sz w:val="24"/>
          <w:szCs w:val="24"/>
          <w:highlight w:val="none"/>
        </w:rPr>
      </w:pPr>
      <w:bookmarkStart w:id="40" w:name="_Toc38985268"/>
      <w:bookmarkStart w:id="41" w:name="_Toc35393795"/>
      <w:bookmarkStart w:id="42" w:name="_Toc35393626"/>
      <w:r>
        <w:rPr>
          <w:rFonts w:hint="eastAsia" w:ascii="宋体" w:hAnsi="宋体" w:cs="宋体"/>
          <w:color w:val="auto"/>
          <w:sz w:val="24"/>
          <w:szCs w:val="24"/>
          <w:highlight w:val="none"/>
        </w:rPr>
        <w:t>自本公告发布之日起5个工作日。</w:t>
      </w:r>
    </w:p>
    <w:p w14:paraId="26898BE9">
      <w:pPr>
        <w:pStyle w:val="67"/>
        <w:spacing w:before="0" w:after="0" w:line="480" w:lineRule="exact"/>
        <w:ind w:firstLine="482"/>
        <w:rPr>
          <w:rFonts w:ascii="宋体" w:hAnsi="宋体" w:eastAsia="宋体" w:cs="宋体"/>
          <w:bCs/>
          <w:color w:val="auto"/>
          <w:sz w:val="24"/>
          <w:szCs w:val="24"/>
          <w:highlight w:val="none"/>
        </w:rPr>
      </w:pPr>
      <w:bookmarkStart w:id="43" w:name="_Toc13415"/>
      <w:r>
        <w:rPr>
          <w:rFonts w:hint="eastAsia" w:ascii="宋体" w:hAnsi="宋体" w:eastAsia="宋体" w:cs="宋体"/>
          <w:bCs/>
          <w:color w:val="auto"/>
          <w:sz w:val="24"/>
          <w:szCs w:val="24"/>
          <w:highlight w:val="none"/>
        </w:rPr>
        <w:t>六、其他补充事宜</w:t>
      </w:r>
      <w:bookmarkEnd w:id="40"/>
      <w:bookmarkEnd w:id="41"/>
      <w:bookmarkEnd w:id="42"/>
      <w:bookmarkEnd w:id="43"/>
    </w:p>
    <w:p w14:paraId="2C21883F">
      <w:pPr>
        <w:spacing w:line="480" w:lineRule="exact"/>
        <w:ind w:firstLine="480"/>
        <w:rPr>
          <w:rFonts w:ascii="宋体" w:hAnsi="宋体" w:cs="宋体"/>
          <w:color w:val="auto"/>
          <w:sz w:val="24"/>
          <w:szCs w:val="24"/>
          <w:highlight w:val="none"/>
        </w:rPr>
      </w:pPr>
      <w:bookmarkStart w:id="44" w:name="_Toc35393627"/>
      <w:bookmarkStart w:id="45" w:name="_Toc35393796"/>
      <w:bookmarkStart w:id="46" w:name="_Toc29049"/>
      <w:bookmarkStart w:id="47" w:name="_Toc28359008"/>
      <w:bookmarkStart w:id="48" w:name="_Toc28359085"/>
      <w:bookmarkStart w:id="49" w:name="_Toc38985269"/>
      <w:r>
        <w:rPr>
          <w:rFonts w:hint="eastAsia" w:ascii="宋体" w:hAnsi="宋体" w:cs="宋体"/>
          <w:color w:val="auto"/>
          <w:sz w:val="24"/>
          <w:szCs w:val="24"/>
          <w:highlight w:val="none"/>
        </w:rPr>
        <w:t>1.财政部门监督电话：0527-88359233。</w:t>
      </w:r>
    </w:p>
    <w:p w14:paraId="6B71885B">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2.“CA”数字证书办理：“苏采云”系统目前仅支持“苏采云”系统下的意源CA。省内各地区办理的“苏采云”系统下的意源CA全省通用。宿迁地区CA数字证书办理联系方式：18351098172。</w:t>
      </w:r>
    </w:p>
    <w:p w14:paraId="3F432E3D">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3.宿迁地区“苏采云”技术支持客服电话：0527-84363067、0519-86722806。</w:t>
      </w:r>
    </w:p>
    <w:p w14:paraId="2152B80F">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4.投标人通过苏采云系统参与政府采购项目，相关操作手册详见链接：http://www.ccgp-jiangsu.gov.cn/jiangsu/zlxz/ee/ee3a4bc5a3454aa2b0d9312230633ce9.html。</w:t>
      </w:r>
    </w:p>
    <w:p w14:paraId="48A5A9FE">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5.现场勘察及答疑：本项目不组织集中勘察及答疑，投标人如对采购需求有疑问，请咨询采购单位联系人。</w:t>
      </w:r>
    </w:p>
    <w:p w14:paraId="7D2B9122">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6.有关本次招标的事项若存在变动或修改，敬请及时关注“宿迁市政府采购网”等平台更正公告。</w:t>
      </w:r>
    </w:p>
    <w:p w14:paraId="73DB8D35">
      <w:pPr>
        <w:pStyle w:val="67"/>
        <w:spacing w:before="0" w:after="0" w:line="480" w:lineRule="exact"/>
        <w:ind w:firstLine="482"/>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七、本次招标联系方式</w:t>
      </w:r>
      <w:bookmarkEnd w:id="44"/>
      <w:bookmarkEnd w:id="45"/>
      <w:bookmarkEnd w:id="46"/>
      <w:bookmarkEnd w:id="47"/>
      <w:bookmarkEnd w:id="48"/>
      <w:bookmarkEnd w:id="49"/>
    </w:p>
    <w:p w14:paraId="0030734B">
      <w:pPr>
        <w:widowControl/>
        <w:spacing w:line="480" w:lineRule="exact"/>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1.采购人信息</w:t>
      </w:r>
    </w:p>
    <w:p w14:paraId="4503F08C">
      <w:pPr>
        <w:spacing w:line="480" w:lineRule="exact"/>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名称：泗洪县教育局</w:t>
      </w:r>
    </w:p>
    <w:p w14:paraId="7DACE578">
      <w:pPr>
        <w:spacing w:line="480" w:lineRule="exact"/>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地址：泗洪县洪泽湖路东大街7号</w:t>
      </w:r>
    </w:p>
    <w:p w14:paraId="16C063B2">
      <w:pPr>
        <w:spacing w:line="480" w:lineRule="exact"/>
        <w:ind w:firstLine="480"/>
        <w:jc w:val="left"/>
        <w:rPr>
          <w:rFonts w:ascii="宋体" w:hAnsi="宋体" w:cs="宋体"/>
          <w:color w:val="auto"/>
          <w:sz w:val="24"/>
          <w:szCs w:val="24"/>
          <w:highlight w:val="none"/>
          <w:u w:val="single"/>
        </w:rPr>
      </w:pPr>
      <w:r>
        <w:rPr>
          <w:rFonts w:hint="eastAsia" w:ascii="宋体" w:hAnsi="宋体" w:cs="宋体"/>
          <w:color w:val="auto"/>
          <w:sz w:val="24"/>
          <w:szCs w:val="24"/>
          <w:highlight w:val="none"/>
        </w:rPr>
        <w:t>联系人：吴利祥</w:t>
      </w:r>
    </w:p>
    <w:p w14:paraId="14C6B9D0">
      <w:pPr>
        <w:spacing w:line="480" w:lineRule="exact"/>
        <w:ind w:firstLine="480"/>
        <w:jc w:val="left"/>
        <w:rPr>
          <w:rFonts w:ascii="宋体" w:hAnsi="宋体" w:cs="宋体"/>
          <w:color w:val="auto"/>
          <w:sz w:val="24"/>
          <w:szCs w:val="24"/>
          <w:highlight w:val="none"/>
          <w:u w:val="single"/>
        </w:rPr>
      </w:pPr>
      <w:r>
        <w:rPr>
          <w:rFonts w:hint="eastAsia" w:ascii="宋体" w:hAnsi="宋体" w:cs="宋体"/>
          <w:color w:val="auto"/>
          <w:sz w:val="24"/>
          <w:szCs w:val="24"/>
          <w:highlight w:val="none"/>
        </w:rPr>
        <w:t>联系方式：</w:t>
      </w:r>
      <w:bookmarkStart w:id="50" w:name="_Toc28359009"/>
      <w:bookmarkStart w:id="51" w:name="_Toc28359086"/>
      <w:r>
        <w:rPr>
          <w:rFonts w:hint="eastAsia" w:ascii="宋体" w:hAnsi="宋体" w:cs="宋体"/>
          <w:color w:val="auto"/>
          <w:sz w:val="24"/>
          <w:szCs w:val="24"/>
          <w:highlight w:val="none"/>
        </w:rPr>
        <w:t>13809094632</w:t>
      </w:r>
    </w:p>
    <w:p w14:paraId="28B4EEB6">
      <w:pPr>
        <w:spacing w:line="480" w:lineRule="exact"/>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2.</w:t>
      </w:r>
      <w:bookmarkEnd w:id="50"/>
      <w:bookmarkEnd w:id="51"/>
      <w:r>
        <w:rPr>
          <w:rFonts w:hint="eastAsia" w:ascii="宋体" w:hAnsi="宋体" w:cs="宋体"/>
          <w:color w:val="auto"/>
          <w:sz w:val="24"/>
          <w:szCs w:val="24"/>
          <w:highlight w:val="none"/>
        </w:rPr>
        <w:t>采购代理机构信息</w:t>
      </w:r>
    </w:p>
    <w:p w14:paraId="74CB3F21">
      <w:pPr>
        <w:spacing w:line="480" w:lineRule="exact"/>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名称：江苏春为全过程工程咨询有限公司</w:t>
      </w:r>
    </w:p>
    <w:p w14:paraId="63379615">
      <w:pPr>
        <w:spacing w:line="480" w:lineRule="exact"/>
        <w:ind w:firstLine="480"/>
        <w:rPr>
          <w:rFonts w:ascii="宋体" w:hAnsi="宋体" w:cs="宋体"/>
          <w:color w:val="auto"/>
          <w:sz w:val="24"/>
          <w:szCs w:val="24"/>
          <w:highlight w:val="none"/>
          <w:u w:val="single"/>
        </w:rPr>
      </w:pPr>
      <w:r>
        <w:rPr>
          <w:rFonts w:hint="eastAsia" w:ascii="宋体" w:hAnsi="宋体" w:cs="宋体"/>
          <w:color w:val="auto"/>
          <w:sz w:val="24"/>
          <w:szCs w:val="24"/>
          <w:highlight w:val="none"/>
        </w:rPr>
        <w:t>地址：泗洪县明德紫郡东门商铺往南50米</w:t>
      </w:r>
    </w:p>
    <w:p w14:paraId="176E59C8">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联系人：刘欣</w:t>
      </w:r>
    </w:p>
    <w:p w14:paraId="10AFE1BF">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联系方式：18851398356</w:t>
      </w:r>
    </w:p>
    <w:p w14:paraId="140BDBC6">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3.项目联系方式</w:t>
      </w:r>
    </w:p>
    <w:p w14:paraId="1452D8D6">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项目联系人：刘欣</w:t>
      </w:r>
    </w:p>
    <w:p w14:paraId="5D1496CC">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电 话：18851398356  </w:t>
      </w:r>
    </w:p>
    <w:p w14:paraId="5034BED9">
      <w:pPr>
        <w:spacing w:line="480" w:lineRule="exact"/>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八、其他</w:t>
      </w:r>
    </w:p>
    <w:p w14:paraId="27FE05BC">
      <w:pPr>
        <w:tabs>
          <w:tab w:val="left" w:pos="900"/>
        </w:tabs>
        <w:spacing w:line="48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1.有关本次采购的事项若存在变动或修改，敬请及时关注“宿迁市政府采购网”等平台更正公告。</w:t>
      </w:r>
    </w:p>
    <w:p w14:paraId="041003AE">
      <w:pPr>
        <w:tabs>
          <w:tab w:val="left" w:pos="900"/>
        </w:tabs>
        <w:spacing w:line="480" w:lineRule="exact"/>
        <w:ind w:firstLine="480"/>
        <w:rPr>
          <w:rFonts w:ascii="宋体" w:hAnsi="宋体" w:cs="宋体"/>
          <w:color w:val="auto"/>
          <w:sz w:val="24"/>
          <w:szCs w:val="24"/>
          <w:highlight w:val="none"/>
        </w:rPr>
      </w:pPr>
      <w:r>
        <w:rPr>
          <w:rFonts w:hint="eastAsia" w:ascii="宋体" w:hAnsi="宋体" w:cs="宋体"/>
          <w:bCs/>
          <w:color w:val="auto"/>
          <w:sz w:val="24"/>
          <w:szCs w:val="24"/>
          <w:highlight w:val="none"/>
        </w:rPr>
        <w:t>2.本次招标不收取投标保证金。</w:t>
      </w:r>
    </w:p>
    <w:p w14:paraId="76F670CB">
      <w:pPr>
        <w:spacing w:line="480" w:lineRule="exact"/>
        <w:ind w:firstLine="480"/>
        <w:jc w:val="left"/>
        <w:rPr>
          <w:rFonts w:ascii="宋体" w:hAnsi="宋体" w:cs="宋体"/>
          <w:color w:val="auto"/>
          <w:sz w:val="24"/>
          <w:szCs w:val="24"/>
          <w:highlight w:val="none"/>
        </w:rPr>
      </w:pPr>
    </w:p>
    <w:p w14:paraId="29747B88">
      <w:pPr>
        <w:spacing w:line="480" w:lineRule="exact"/>
        <w:ind w:firstLine="480"/>
        <w:rPr>
          <w:rFonts w:ascii="仿宋_GB2312" w:eastAsia="仿宋_GB2312"/>
          <w:color w:val="auto"/>
          <w:sz w:val="24"/>
          <w:highlight w:val="none"/>
        </w:rPr>
      </w:pPr>
    </w:p>
    <w:p w14:paraId="7EEC8EF0">
      <w:pPr>
        <w:spacing w:line="480" w:lineRule="exact"/>
        <w:ind w:firstLine="480"/>
        <w:jc w:val="center"/>
        <w:outlineLvl w:val="0"/>
        <w:rPr>
          <w:rFonts w:eastAsia="黑体"/>
          <w:color w:val="auto"/>
          <w:sz w:val="44"/>
          <w:highlight w:val="none"/>
        </w:rPr>
      </w:pPr>
      <w:r>
        <w:rPr>
          <w:rFonts w:hint="eastAsia" w:ascii="仿宋_GB2312" w:eastAsia="仿宋_GB2312"/>
          <w:color w:val="auto"/>
          <w:sz w:val="24"/>
          <w:highlight w:val="none"/>
        </w:rPr>
        <w:br w:type="page" w:clear="all"/>
      </w:r>
      <w:bookmarkStart w:id="52" w:name="_Toc15265"/>
      <w:bookmarkStart w:id="53" w:name="_Toc11687"/>
      <w:bookmarkStart w:id="54" w:name="_Toc9425"/>
      <w:bookmarkStart w:id="55" w:name="_Toc81575190"/>
      <w:bookmarkStart w:id="56" w:name="_Toc81575153"/>
      <w:r>
        <w:rPr>
          <w:rFonts w:hint="eastAsia" w:eastAsia="黑体"/>
          <w:color w:val="auto"/>
          <w:sz w:val="36"/>
          <w:szCs w:val="36"/>
          <w:highlight w:val="none"/>
        </w:rPr>
        <w:t>第二章  投标人须知</w:t>
      </w:r>
      <w:bookmarkEnd w:id="52"/>
      <w:bookmarkEnd w:id="53"/>
      <w:bookmarkEnd w:id="54"/>
      <w:bookmarkEnd w:id="55"/>
      <w:bookmarkEnd w:id="56"/>
    </w:p>
    <w:p w14:paraId="407B1E93">
      <w:pPr>
        <w:pStyle w:val="67"/>
        <w:spacing w:before="0" w:after="0" w:line="480" w:lineRule="exact"/>
        <w:ind w:firstLine="482"/>
        <w:rPr>
          <w:rFonts w:ascii="宋体" w:hAnsi="宋体" w:eastAsia="宋体" w:cs="宋体"/>
          <w:bCs/>
          <w:color w:val="auto"/>
          <w:sz w:val="24"/>
          <w:szCs w:val="24"/>
          <w:highlight w:val="none"/>
        </w:rPr>
      </w:pPr>
      <w:bookmarkStart w:id="57" w:name="_Toc4529"/>
      <w:r>
        <w:rPr>
          <w:rFonts w:hint="eastAsia" w:ascii="宋体" w:hAnsi="宋体" w:eastAsia="宋体" w:cs="宋体"/>
          <w:bCs/>
          <w:color w:val="auto"/>
          <w:sz w:val="24"/>
          <w:szCs w:val="24"/>
          <w:highlight w:val="none"/>
        </w:rPr>
        <w:t>投标人须知前附表：</w:t>
      </w:r>
      <w:bookmarkEnd w:id="57"/>
    </w:p>
    <w:tbl>
      <w:tblPr>
        <w:tblStyle w:val="32"/>
        <w:tblpPr w:leftFromText="180" w:rightFromText="180" w:vertAnchor="text" w:horzAnchor="page" w:tblpX="1530" w:tblpY="22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8"/>
        <w:gridCol w:w="1772"/>
        <w:gridCol w:w="6579"/>
      </w:tblGrid>
      <w:tr w14:paraId="599DE3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62" w:hRule="atLeast"/>
        </w:trPr>
        <w:tc>
          <w:tcPr>
            <w:tcW w:w="858" w:type="dxa"/>
            <w:noWrap w:val="0"/>
            <w:vAlign w:val="center"/>
          </w:tcPr>
          <w:p w14:paraId="160B71C3">
            <w:pPr>
              <w:spacing w:line="400" w:lineRule="exact"/>
              <w:jc w:val="center"/>
              <w:rPr>
                <w:rFonts w:ascii="宋体" w:hAnsi="宋体" w:cs="宋体"/>
                <w:b/>
                <w:color w:val="auto"/>
                <w:sz w:val="24"/>
                <w:szCs w:val="24"/>
                <w:highlight w:val="none"/>
              </w:rPr>
            </w:pPr>
            <w:bookmarkStart w:id="58" w:name="_Toc29262"/>
            <w:bookmarkStart w:id="59" w:name="_Toc81575191"/>
            <w:bookmarkStart w:id="60" w:name="_Toc81575154"/>
            <w:r>
              <w:rPr>
                <w:rFonts w:hint="eastAsia" w:ascii="宋体" w:hAnsi="宋体" w:cs="宋体"/>
                <w:b/>
                <w:color w:val="auto"/>
                <w:sz w:val="24"/>
                <w:szCs w:val="24"/>
                <w:highlight w:val="none"/>
              </w:rPr>
              <w:t>序号</w:t>
            </w:r>
          </w:p>
        </w:tc>
        <w:tc>
          <w:tcPr>
            <w:tcW w:w="1772" w:type="dxa"/>
            <w:noWrap w:val="0"/>
            <w:vAlign w:val="center"/>
          </w:tcPr>
          <w:p w14:paraId="5BFA802C">
            <w:pPr>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内容</w:t>
            </w:r>
          </w:p>
        </w:tc>
        <w:tc>
          <w:tcPr>
            <w:tcW w:w="6579" w:type="dxa"/>
            <w:noWrap w:val="0"/>
            <w:vAlign w:val="center"/>
          </w:tcPr>
          <w:p w14:paraId="3E0309AF">
            <w:pPr>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说明及要求</w:t>
            </w:r>
          </w:p>
        </w:tc>
      </w:tr>
      <w:tr w14:paraId="0C23E0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7F329DAB">
            <w:pPr>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1772" w:type="dxa"/>
            <w:noWrap w:val="0"/>
            <w:vAlign w:val="center"/>
          </w:tcPr>
          <w:p w14:paraId="53E72786">
            <w:pPr>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项目属性</w:t>
            </w:r>
          </w:p>
        </w:tc>
        <w:tc>
          <w:tcPr>
            <w:tcW w:w="6579" w:type="dxa"/>
            <w:noWrap w:val="0"/>
            <w:vAlign w:val="center"/>
          </w:tcPr>
          <w:p w14:paraId="232CFC87">
            <w:pPr>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本项目</w:t>
            </w:r>
            <w:bookmarkStart w:id="61" w:name="EB9a5853ee094f4f0ea6ec3169265f6f2c"/>
            <w:r>
              <w:rPr>
                <w:rFonts w:hint="eastAsia" w:ascii="宋体" w:hAnsi="宋体" w:cs="宋体"/>
                <w:color w:val="auto"/>
                <w:sz w:val="24"/>
                <w:szCs w:val="24"/>
                <w:highlight w:val="none"/>
              </w:rPr>
              <w:t>属性按以下第</w:t>
            </w:r>
            <w:bookmarkEnd w:id="61"/>
            <w:r>
              <w:rPr>
                <w:rFonts w:hint="eastAsia" w:ascii="宋体" w:hAnsi="宋体" w:cs="宋体"/>
                <w:color w:val="auto"/>
                <w:sz w:val="24"/>
                <w:szCs w:val="24"/>
                <w:highlight w:val="none"/>
                <w:u w:val="single"/>
              </w:rPr>
              <w:t xml:space="preserve"> 1  </w:t>
            </w:r>
            <w:r>
              <w:rPr>
                <w:rFonts w:hint="eastAsia" w:ascii="宋体" w:hAnsi="宋体" w:cs="宋体"/>
                <w:color w:val="auto"/>
                <w:sz w:val="24"/>
                <w:szCs w:val="24"/>
                <w:highlight w:val="none"/>
              </w:rPr>
              <w:t>种确定：</w:t>
            </w:r>
          </w:p>
          <w:p w14:paraId="19E5F7B5">
            <w:pPr>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1.货物</w:t>
            </w:r>
            <w:bookmarkStart w:id="62" w:name="EBd5c6c026f9674c39b21b31ecd0c1e7fa"/>
            <w:r>
              <w:rPr>
                <w:rFonts w:hint="eastAsia" w:ascii="宋体" w:hAnsi="宋体" w:cs="宋体"/>
                <w:color w:val="auto"/>
                <w:sz w:val="24"/>
                <w:szCs w:val="24"/>
                <w:highlight w:val="none"/>
              </w:rPr>
              <w:t>采购；2.</w:t>
            </w:r>
            <w:bookmarkEnd w:id="62"/>
            <w:r>
              <w:rPr>
                <w:rFonts w:hint="eastAsia" w:ascii="宋体" w:hAnsi="宋体" w:cs="宋体"/>
                <w:color w:val="auto"/>
                <w:sz w:val="24"/>
                <w:szCs w:val="24"/>
                <w:highlight w:val="none"/>
              </w:rPr>
              <w:t>服务</w:t>
            </w:r>
            <w:bookmarkStart w:id="63" w:name="EBf7d2a4f44ecb4166a93ea852e73be69f"/>
            <w:r>
              <w:rPr>
                <w:rFonts w:hint="eastAsia" w:ascii="宋体" w:hAnsi="宋体" w:cs="宋体"/>
                <w:color w:val="auto"/>
                <w:sz w:val="24"/>
                <w:szCs w:val="24"/>
                <w:highlight w:val="none"/>
              </w:rPr>
              <w:t>采购；3.</w:t>
            </w:r>
            <w:bookmarkEnd w:id="63"/>
            <w:r>
              <w:rPr>
                <w:rFonts w:hint="eastAsia" w:ascii="宋体" w:hAnsi="宋体" w:cs="宋体"/>
                <w:color w:val="auto"/>
                <w:sz w:val="24"/>
                <w:szCs w:val="24"/>
                <w:highlight w:val="none"/>
              </w:rPr>
              <w:t>工程采购。</w:t>
            </w:r>
          </w:p>
        </w:tc>
      </w:tr>
      <w:tr w14:paraId="269352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32A1FA58">
            <w:pPr>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1772" w:type="dxa"/>
            <w:noWrap w:val="0"/>
            <w:vAlign w:val="center"/>
          </w:tcPr>
          <w:p w14:paraId="617220AA">
            <w:pPr>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投标有效期</w:t>
            </w:r>
          </w:p>
        </w:tc>
        <w:tc>
          <w:tcPr>
            <w:tcW w:w="6579" w:type="dxa"/>
            <w:noWrap w:val="0"/>
            <w:vAlign w:val="center"/>
          </w:tcPr>
          <w:p w14:paraId="3A520448">
            <w:pPr>
              <w:spacing w:line="400" w:lineRule="exact"/>
              <w:jc w:val="left"/>
              <w:rPr>
                <w:rFonts w:ascii="宋体" w:hAnsi="宋体" w:cs="宋体"/>
                <w:color w:val="auto"/>
                <w:sz w:val="24"/>
                <w:szCs w:val="24"/>
                <w:highlight w:val="none"/>
              </w:rPr>
            </w:pPr>
            <w:bookmarkStart w:id="64" w:name="EBd40b5fb42f2944a3b45e579ce3941f02"/>
            <w:bookmarkEnd w:id="64"/>
            <w:r>
              <w:rPr>
                <w:rFonts w:hint="eastAsia" w:ascii="宋体" w:hAnsi="宋体" w:cs="宋体"/>
                <w:color w:val="auto"/>
                <w:sz w:val="24"/>
                <w:szCs w:val="24"/>
                <w:highlight w:val="none"/>
              </w:rPr>
              <w:t>60日（从提交投标文件截止之日起算）</w:t>
            </w:r>
          </w:p>
        </w:tc>
      </w:tr>
      <w:tr w14:paraId="431B26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48BD8856">
            <w:pPr>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1772" w:type="dxa"/>
            <w:noWrap w:val="0"/>
            <w:vAlign w:val="center"/>
          </w:tcPr>
          <w:p w14:paraId="29FE851D">
            <w:pPr>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投标文件份数</w:t>
            </w:r>
          </w:p>
        </w:tc>
        <w:tc>
          <w:tcPr>
            <w:tcW w:w="6579" w:type="dxa"/>
            <w:noWrap w:val="0"/>
            <w:vAlign w:val="center"/>
          </w:tcPr>
          <w:p w14:paraId="5376B7E1">
            <w:pPr>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提交加密电子投标文件</w:t>
            </w:r>
            <w:r>
              <w:rPr>
                <w:rFonts w:hint="eastAsia" w:ascii="宋体" w:hAnsi="宋体" w:cs="宋体"/>
                <w:color w:val="auto"/>
                <w:sz w:val="24"/>
                <w:szCs w:val="24"/>
                <w:highlight w:val="none"/>
                <w:u w:val="single"/>
              </w:rPr>
              <w:t>1</w:t>
            </w:r>
            <w:r>
              <w:rPr>
                <w:rFonts w:hint="eastAsia" w:ascii="宋体" w:hAnsi="宋体" w:cs="宋体"/>
                <w:color w:val="auto"/>
                <w:sz w:val="24"/>
                <w:szCs w:val="24"/>
                <w:highlight w:val="none"/>
              </w:rPr>
              <w:t>份。</w:t>
            </w:r>
          </w:p>
        </w:tc>
      </w:tr>
      <w:tr w14:paraId="3F999E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3F9237EE">
            <w:pPr>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4</w:t>
            </w:r>
          </w:p>
        </w:tc>
        <w:tc>
          <w:tcPr>
            <w:tcW w:w="1772" w:type="dxa"/>
            <w:noWrap w:val="0"/>
            <w:vAlign w:val="center"/>
          </w:tcPr>
          <w:p w14:paraId="482F728D">
            <w:pPr>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开标</w:t>
            </w:r>
          </w:p>
        </w:tc>
        <w:tc>
          <w:tcPr>
            <w:tcW w:w="6579" w:type="dxa"/>
            <w:noWrap w:val="0"/>
            <w:vAlign w:val="center"/>
          </w:tcPr>
          <w:p w14:paraId="353469A9">
            <w:pPr>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“苏采云”政府采购交易系统网上开标大厅进行不见面开标。</w:t>
            </w:r>
          </w:p>
        </w:tc>
      </w:tr>
      <w:tr w14:paraId="7B558B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58" w:type="dxa"/>
            <w:noWrap w:val="0"/>
            <w:vAlign w:val="center"/>
          </w:tcPr>
          <w:p w14:paraId="10100749">
            <w:pPr>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5</w:t>
            </w:r>
          </w:p>
        </w:tc>
        <w:tc>
          <w:tcPr>
            <w:tcW w:w="1772" w:type="dxa"/>
            <w:noWrap w:val="0"/>
            <w:vAlign w:val="center"/>
          </w:tcPr>
          <w:p w14:paraId="04782D10">
            <w:pPr>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进口产品</w:t>
            </w:r>
          </w:p>
        </w:tc>
        <w:tc>
          <w:tcPr>
            <w:tcW w:w="6579" w:type="dxa"/>
            <w:noWrap w:val="0"/>
            <w:vAlign w:val="center"/>
          </w:tcPr>
          <w:p w14:paraId="59EDA2C9">
            <w:pPr>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按以下第</w:t>
            </w:r>
            <w:r>
              <w:rPr>
                <w:rFonts w:hint="eastAsia" w:ascii="宋体" w:hAnsi="宋体" w:cs="宋体"/>
                <w:color w:val="auto"/>
                <w:sz w:val="24"/>
                <w:szCs w:val="24"/>
                <w:highlight w:val="none"/>
                <w:u w:val="single"/>
              </w:rPr>
              <w:t>2</w:t>
            </w:r>
            <w:r>
              <w:rPr>
                <w:rFonts w:hint="eastAsia" w:ascii="宋体" w:hAnsi="宋体" w:cs="宋体"/>
                <w:color w:val="auto"/>
                <w:sz w:val="24"/>
                <w:szCs w:val="24"/>
                <w:highlight w:val="none"/>
              </w:rPr>
              <w:t>种方式确定：</w:t>
            </w:r>
          </w:p>
          <w:p w14:paraId="59B03A68">
            <w:pPr>
              <w:widowControl/>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1.接受进口产品。应当符合《政府采购进口产品管理办法》（财库〔2007〕119号）、《关于政府采购进口产品管理有关问题的通知》（财办库〔2008〕248号）等相关规定；</w:t>
            </w:r>
          </w:p>
          <w:p w14:paraId="77613B46">
            <w:pPr>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2.不接受进口产品。</w:t>
            </w:r>
          </w:p>
        </w:tc>
      </w:tr>
      <w:tr w14:paraId="3B2F61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325C0CF7">
            <w:pPr>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6</w:t>
            </w:r>
          </w:p>
        </w:tc>
        <w:tc>
          <w:tcPr>
            <w:tcW w:w="1772" w:type="dxa"/>
            <w:noWrap w:val="0"/>
            <w:vAlign w:val="center"/>
          </w:tcPr>
          <w:p w14:paraId="126A7A3F">
            <w:pPr>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评标办法</w:t>
            </w:r>
          </w:p>
        </w:tc>
        <w:tc>
          <w:tcPr>
            <w:tcW w:w="6579" w:type="dxa"/>
            <w:noWrap w:val="0"/>
            <w:vAlign w:val="center"/>
          </w:tcPr>
          <w:p w14:paraId="1DAF7F63">
            <w:pPr>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具体评标办法详见招标文件第三章。</w:t>
            </w:r>
          </w:p>
          <w:p w14:paraId="7E5717D1">
            <w:pPr>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评标委员会依据招标文件规定的评标办法和标准推荐</w:t>
            </w:r>
            <w:r>
              <w:rPr>
                <w:rFonts w:hint="eastAsia" w:ascii="宋体" w:hAnsi="宋体" w:cs="宋体"/>
                <w:color w:val="auto"/>
                <w:sz w:val="24"/>
                <w:szCs w:val="24"/>
                <w:highlight w:val="none"/>
                <w:u w:val="single"/>
              </w:rPr>
              <w:t>3</w:t>
            </w:r>
            <w:r>
              <w:rPr>
                <w:rFonts w:hint="eastAsia" w:ascii="宋体" w:hAnsi="宋体" w:cs="宋体"/>
                <w:color w:val="auto"/>
                <w:sz w:val="24"/>
                <w:szCs w:val="24"/>
                <w:highlight w:val="none"/>
              </w:rPr>
              <w:t>名中标候选人。</w:t>
            </w:r>
          </w:p>
        </w:tc>
      </w:tr>
      <w:tr w14:paraId="4E4501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7CDA6ECC">
            <w:pPr>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7</w:t>
            </w:r>
          </w:p>
        </w:tc>
        <w:tc>
          <w:tcPr>
            <w:tcW w:w="1772" w:type="dxa"/>
            <w:noWrap w:val="0"/>
            <w:vAlign w:val="center"/>
          </w:tcPr>
          <w:p w14:paraId="55C2393B">
            <w:pPr>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确定中标人</w:t>
            </w:r>
          </w:p>
        </w:tc>
        <w:tc>
          <w:tcPr>
            <w:tcW w:w="6579" w:type="dxa"/>
            <w:noWrap w:val="0"/>
            <w:vAlign w:val="center"/>
          </w:tcPr>
          <w:p w14:paraId="5561346A">
            <w:pPr>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按以下第</w:t>
            </w:r>
            <w:r>
              <w:rPr>
                <w:rFonts w:hint="eastAsia" w:ascii="宋体" w:hAnsi="宋体" w:cs="宋体"/>
                <w:color w:val="auto"/>
                <w:sz w:val="24"/>
                <w:szCs w:val="24"/>
                <w:highlight w:val="none"/>
                <w:u w:val="single"/>
              </w:rPr>
              <w:t>1</w:t>
            </w:r>
            <w:r>
              <w:rPr>
                <w:rFonts w:hint="eastAsia" w:ascii="宋体" w:hAnsi="宋体" w:cs="宋体"/>
                <w:color w:val="auto"/>
                <w:sz w:val="24"/>
                <w:szCs w:val="24"/>
                <w:highlight w:val="none"/>
              </w:rPr>
              <w:t>种方式确定中标人：</w:t>
            </w:r>
          </w:p>
          <w:p w14:paraId="6F74DF6F">
            <w:pPr>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1.采购人按规定在评标委员会推荐的中标候选人中确定中标人；</w:t>
            </w:r>
          </w:p>
          <w:p w14:paraId="6F4CFE00">
            <w:pPr>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2.采购人授权评标委员会直接确定中标人。</w:t>
            </w:r>
          </w:p>
        </w:tc>
      </w:tr>
      <w:tr w14:paraId="2D9DB7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66F7E0FF">
            <w:pPr>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8</w:t>
            </w:r>
          </w:p>
        </w:tc>
        <w:tc>
          <w:tcPr>
            <w:tcW w:w="1772" w:type="dxa"/>
            <w:noWrap w:val="0"/>
            <w:vAlign w:val="center"/>
          </w:tcPr>
          <w:p w14:paraId="21C4FAB1">
            <w:pPr>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分包要求</w:t>
            </w:r>
          </w:p>
        </w:tc>
        <w:tc>
          <w:tcPr>
            <w:tcW w:w="6579" w:type="dxa"/>
            <w:noWrap w:val="0"/>
            <w:vAlign w:val="center"/>
          </w:tcPr>
          <w:p w14:paraId="0D6A74AC">
            <w:pPr>
              <w:spacing w:line="400" w:lineRule="exact"/>
              <w:jc w:val="left"/>
              <w:rPr>
                <w:rFonts w:ascii="宋体" w:hAnsi="宋体" w:cs="宋体"/>
                <w:color w:val="auto"/>
                <w:sz w:val="24"/>
                <w:szCs w:val="24"/>
                <w:highlight w:val="none"/>
              </w:rPr>
            </w:pPr>
            <w:bookmarkStart w:id="65" w:name="EBebac1462c5d9459fbda8a75065c2455d"/>
            <w:r>
              <w:rPr>
                <w:rFonts w:hint="eastAsia" w:ascii="宋体" w:hAnsi="宋体" w:cs="宋体"/>
                <w:color w:val="auto"/>
                <w:sz w:val="24"/>
                <w:szCs w:val="24"/>
                <w:highlight w:val="none"/>
              </w:rPr>
              <w:t>本项目的非主体、非关键性工作是否允许分包</w:t>
            </w:r>
            <w:bookmarkEnd w:id="65"/>
            <w:r>
              <w:rPr>
                <w:rFonts w:hint="eastAsia" w:ascii="宋体" w:hAnsi="宋体" w:cs="宋体"/>
                <w:color w:val="auto"/>
                <w:sz w:val="24"/>
                <w:szCs w:val="24"/>
                <w:highlight w:val="none"/>
              </w:rPr>
              <w:t>按以下第</w:t>
            </w:r>
            <w:r>
              <w:rPr>
                <w:rFonts w:hint="eastAsia" w:ascii="宋体" w:hAnsi="宋体" w:cs="宋体"/>
                <w:color w:val="auto"/>
                <w:sz w:val="24"/>
                <w:szCs w:val="24"/>
                <w:highlight w:val="none"/>
                <w:u w:val="single"/>
              </w:rPr>
              <w:t>1</w:t>
            </w:r>
            <w:r>
              <w:rPr>
                <w:rFonts w:hint="eastAsia" w:ascii="宋体" w:hAnsi="宋体" w:cs="宋体"/>
                <w:color w:val="auto"/>
                <w:sz w:val="24"/>
                <w:szCs w:val="24"/>
                <w:highlight w:val="none"/>
              </w:rPr>
              <w:t>种方式确定：</w:t>
            </w:r>
          </w:p>
          <w:p w14:paraId="2DA9D17F">
            <w:pPr>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1.允许分包，允许大中型企业向一家或者多家小微企业分包，分包具体内容、金额或比例：施工类。</w:t>
            </w:r>
          </w:p>
          <w:p w14:paraId="4C1AA008">
            <w:pPr>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分包企业要求：具有建筑工程施工总承包三级及以上资质或市政公用工程施工总承包三级及以上企业资质。</w:t>
            </w:r>
          </w:p>
          <w:p w14:paraId="29ADCBE5">
            <w:pPr>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2.不允许分包。</w:t>
            </w:r>
          </w:p>
        </w:tc>
      </w:tr>
      <w:tr w14:paraId="13F2C0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5AF2F215">
            <w:pPr>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9</w:t>
            </w:r>
          </w:p>
        </w:tc>
        <w:tc>
          <w:tcPr>
            <w:tcW w:w="1772" w:type="dxa"/>
            <w:noWrap w:val="0"/>
            <w:vAlign w:val="center"/>
          </w:tcPr>
          <w:p w14:paraId="42102C2E">
            <w:pPr>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专家评审劳务报酬支付标准、方式及周期</w:t>
            </w:r>
          </w:p>
        </w:tc>
        <w:tc>
          <w:tcPr>
            <w:tcW w:w="6579" w:type="dxa"/>
            <w:noWrap w:val="0"/>
            <w:vAlign w:val="center"/>
          </w:tcPr>
          <w:p w14:paraId="63770D2A">
            <w:pPr>
              <w:spacing w:line="400" w:lineRule="exact"/>
              <w:jc w:val="lef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支付标准:参照《宿迁市政府采购专家评审费发放标准》宿财购[2018]32号支付，(2小时以内200元/人；超过2小时不足8小时的，按100元/人</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zh-CN"/>
              </w:rPr>
              <w:t>小时计算；连续评审超过8小时，超出部分按200元/人</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zh-CN"/>
              </w:rPr>
              <w:t>小时计算。)</w:t>
            </w:r>
          </w:p>
          <w:p w14:paraId="57627D7D">
            <w:pPr>
              <w:spacing w:line="400" w:lineRule="exact"/>
              <w:jc w:val="lef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支付方式及周期:费用由采购人通过预算一体化系统支付评审费，支付周期不超过评审结束后</w:t>
            </w:r>
            <w:r>
              <w:rPr>
                <w:rFonts w:hint="eastAsia" w:ascii="宋体" w:hAnsi="宋体" w:cs="宋体"/>
                <w:color w:val="auto"/>
                <w:sz w:val="24"/>
                <w:szCs w:val="24"/>
                <w:highlight w:val="none"/>
              </w:rPr>
              <w:t>30</w:t>
            </w:r>
            <w:r>
              <w:rPr>
                <w:rFonts w:hint="eastAsia" w:ascii="宋体" w:hAnsi="宋体" w:cs="宋体"/>
                <w:color w:val="auto"/>
                <w:sz w:val="24"/>
                <w:szCs w:val="24"/>
                <w:highlight w:val="none"/>
                <w:lang w:val="zh-CN"/>
              </w:rPr>
              <w:t>个工作日。</w:t>
            </w:r>
          </w:p>
        </w:tc>
      </w:tr>
      <w:tr w14:paraId="0C2AB7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66C4D318">
            <w:pPr>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10</w:t>
            </w:r>
          </w:p>
        </w:tc>
        <w:tc>
          <w:tcPr>
            <w:tcW w:w="1772" w:type="dxa"/>
            <w:noWrap w:val="0"/>
            <w:vAlign w:val="center"/>
          </w:tcPr>
          <w:p w14:paraId="23A28BBA">
            <w:pPr>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其他</w:t>
            </w:r>
            <w:bookmarkEnd w:id="58"/>
            <w:bookmarkEnd w:id="59"/>
            <w:bookmarkEnd w:id="60"/>
          </w:p>
        </w:tc>
        <w:tc>
          <w:tcPr>
            <w:tcW w:w="6579" w:type="dxa"/>
            <w:noWrap w:val="0"/>
            <w:vAlign w:val="center"/>
          </w:tcPr>
          <w:p w14:paraId="350FA4BC">
            <w:pPr>
              <w:numPr>
                <w:ilvl w:val="0"/>
                <w:numId w:val="4"/>
              </w:numPr>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信用信息查询截止时间：资格审查结束前。由采购人在资格审查现场查询信用信息，网页截屏打印，查询结果留存并归档。</w:t>
            </w:r>
          </w:p>
          <w:p w14:paraId="44D4C270">
            <w:pPr>
              <w:numPr>
                <w:ilvl w:val="0"/>
                <w:numId w:val="4"/>
              </w:numPr>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本项目不组织踏勘现场，投标人如对项目现场进行踏勘，费用由投标人自行承担。投标人在投标时应充分考虑现场实际情况及所存在的投标风险，如因投标人未踏勘现场或对项目现场情况考虑不周可能产生的一切费用，</w:t>
            </w:r>
            <w:r>
              <w:rPr>
                <w:rFonts w:hint="eastAsia" w:ascii="宋体" w:hAnsi="宋体" w:cs="宋体"/>
                <w:color w:val="auto"/>
                <w:sz w:val="24"/>
                <w:szCs w:val="24"/>
                <w:highlight w:val="none"/>
                <w:lang w:val="en-US" w:eastAsia="zh-CN"/>
              </w:rPr>
              <w:t>由投标人自行承担</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踏勘现场联系人：吴利祥；电话：13809094632。</w:t>
            </w:r>
          </w:p>
        </w:tc>
      </w:tr>
    </w:tbl>
    <w:p w14:paraId="6220B138">
      <w:pPr>
        <w:pStyle w:val="67"/>
        <w:spacing w:before="0" w:after="0" w:line="480" w:lineRule="exact"/>
        <w:ind w:firstLine="482"/>
        <w:rPr>
          <w:rFonts w:ascii="宋体" w:hAnsi="宋体" w:eastAsia="宋体" w:cs="宋体"/>
          <w:bCs/>
          <w:color w:val="auto"/>
          <w:sz w:val="24"/>
          <w:szCs w:val="24"/>
          <w:highlight w:val="none"/>
        </w:rPr>
      </w:pPr>
      <w:bookmarkStart w:id="66" w:name="EB6eaaf474639940df900ef4965d71f450"/>
      <w:bookmarkEnd w:id="66"/>
      <w:bookmarkStart w:id="67" w:name="_Toc30953"/>
      <w:bookmarkEnd w:id="67"/>
      <w:bookmarkStart w:id="68" w:name="_Toc81575192"/>
      <w:bookmarkEnd w:id="68"/>
      <w:bookmarkStart w:id="69" w:name="_Toc81575155"/>
      <w:bookmarkEnd w:id="69"/>
      <w:bookmarkStart w:id="70" w:name="_Toc8239"/>
      <w:bookmarkEnd w:id="70"/>
    </w:p>
    <w:p w14:paraId="51F337D7">
      <w:pPr>
        <w:pStyle w:val="67"/>
        <w:spacing w:before="0" w:after="0" w:line="480" w:lineRule="exact"/>
        <w:ind w:firstLine="482"/>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一、总 则</w:t>
      </w:r>
    </w:p>
    <w:p w14:paraId="4F2E1F75">
      <w:pPr>
        <w:spacing w:line="480" w:lineRule="exact"/>
        <w:ind w:firstLine="482"/>
        <w:rPr>
          <w:rFonts w:ascii="宋体" w:hAnsi="宋体" w:cs="宋体"/>
          <w:b/>
          <w:color w:val="auto"/>
          <w:sz w:val="24"/>
          <w:highlight w:val="none"/>
        </w:rPr>
      </w:pPr>
      <w:r>
        <w:rPr>
          <w:rFonts w:hint="eastAsia" w:ascii="宋体" w:hAnsi="宋体" w:cs="宋体"/>
          <w:b/>
          <w:color w:val="auto"/>
          <w:sz w:val="24"/>
          <w:highlight w:val="none"/>
        </w:rPr>
        <w:t>1、招标方式</w:t>
      </w:r>
    </w:p>
    <w:p w14:paraId="00AD0405">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1.1 本次招标采取公开招标方式，本招标文件仅适用于招标公告中所述项目。</w:t>
      </w:r>
    </w:p>
    <w:p w14:paraId="5BAA4695">
      <w:pPr>
        <w:spacing w:line="480" w:lineRule="exact"/>
        <w:ind w:firstLine="482"/>
        <w:rPr>
          <w:rFonts w:ascii="宋体" w:hAnsi="宋体" w:cs="宋体"/>
          <w:b/>
          <w:color w:val="auto"/>
          <w:sz w:val="24"/>
          <w:highlight w:val="none"/>
        </w:rPr>
      </w:pPr>
      <w:r>
        <w:rPr>
          <w:rFonts w:hint="eastAsia" w:ascii="宋体" w:hAnsi="宋体" w:cs="宋体"/>
          <w:b/>
          <w:color w:val="auto"/>
          <w:sz w:val="24"/>
          <w:highlight w:val="none"/>
        </w:rPr>
        <w:t>2、合格的投标人</w:t>
      </w:r>
    </w:p>
    <w:p w14:paraId="72212867">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2.1满足招标公告中供应商的资格要求的规定。</w:t>
      </w:r>
    </w:p>
    <w:p w14:paraId="27C9BD8D">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2.2 满足本文件实质性要求的规定。</w:t>
      </w:r>
    </w:p>
    <w:p w14:paraId="0CD5A482">
      <w:pPr>
        <w:spacing w:line="480" w:lineRule="exact"/>
        <w:ind w:firstLine="482"/>
        <w:rPr>
          <w:rFonts w:ascii="宋体" w:hAnsi="宋体" w:cs="宋体"/>
          <w:b/>
          <w:color w:val="auto"/>
          <w:sz w:val="24"/>
          <w:highlight w:val="none"/>
        </w:rPr>
      </w:pPr>
      <w:r>
        <w:rPr>
          <w:rFonts w:hint="eastAsia" w:ascii="宋体" w:hAnsi="宋体" w:cs="宋体"/>
          <w:b/>
          <w:color w:val="auto"/>
          <w:sz w:val="24"/>
          <w:highlight w:val="none"/>
        </w:rPr>
        <w:t>3、适用法律</w:t>
      </w:r>
    </w:p>
    <w:p w14:paraId="773429A5">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3.1 本次招标及由此产生的合同受中华人民共和国有关的法律法规制约和保护。</w:t>
      </w:r>
    </w:p>
    <w:p w14:paraId="7D7B5B09">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3.2 在本项目政府采购活动过程中，如果所执行的标准有更新的，按照最新标准执行。</w:t>
      </w:r>
    </w:p>
    <w:p w14:paraId="730FBB14">
      <w:pPr>
        <w:spacing w:line="480" w:lineRule="exact"/>
        <w:ind w:firstLine="482"/>
        <w:rPr>
          <w:rFonts w:ascii="宋体" w:hAnsi="宋体" w:cs="宋体"/>
          <w:b/>
          <w:color w:val="auto"/>
          <w:sz w:val="24"/>
          <w:highlight w:val="none"/>
        </w:rPr>
      </w:pPr>
      <w:r>
        <w:rPr>
          <w:rFonts w:hint="eastAsia" w:ascii="宋体" w:hAnsi="宋体" w:cs="宋体"/>
          <w:b/>
          <w:color w:val="auto"/>
          <w:sz w:val="24"/>
          <w:highlight w:val="none"/>
        </w:rPr>
        <w:t>4、投标费用</w:t>
      </w:r>
    </w:p>
    <w:p w14:paraId="16EA43B9">
      <w:pPr>
        <w:spacing w:line="480" w:lineRule="exact"/>
        <w:ind w:firstLine="480"/>
        <w:rPr>
          <w:rFonts w:ascii="宋体" w:hAnsi="宋体" w:cs="宋体"/>
          <w:color w:val="auto"/>
          <w:sz w:val="24"/>
          <w:highlight w:val="none"/>
        </w:rPr>
      </w:pPr>
      <w:bookmarkStart w:id="71" w:name="_Toc81575193"/>
      <w:bookmarkStart w:id="72" w:name="_Toc15995"/>
      <w:bookmarkStart w:id="73" w:name="_Toc29306"/>
      <w:bookmarkStart w:id="74" w:name="_Toc81575156"/>
      <w:r>
        <w:rPr>
          <w:rFonts w:hint="eastAsia" w:ascii="宋体" w:hAnsi="宋体" w:cs="宋体"/>
          <w:color w:val="auto"/>
          <w:sz w:val="24"/>
          <w:highlight w:val="none"/>
        </w:rPr>
        <w:t>4.1 投标人应自行承担所有与参加投标有关的费用，无论投标过程中的做法和结果如何，采购代理机构在任何情况下均无义务和责任承担这些费用。</w:t>
      </w:r>
    </w:p>
    <w:p w14:paraId="57336C4E">
      <w:pPr>
        <w:spacing w:line="480" w:lineRule="exact"/>
        <w:ind w:firstLine="480"/>
        <w:rPr>
          <w:rFonts w:ascii="宋体" w:hAnsi="宋体" w:cs="宋体"/>
          <w:color w:val="auto"/>
          <w:sz w:val="24"/>
          <w:highlight w:val="none"/>
          <w:u w:val="single"/>
        </w:rPr>
      </w:pPr>
      <w:r>
        <w:rPr>
          <w:rFonts w:hint="eastAsia" w:ascii="宋体" w:hAnsi="宋体" w:cs="宋体"/>
          <w:color w:val="auto"/>
          <w:sz w:val="24"/>
          <w:highlight w:val="none"/>
        </w:rPr>
        <w:t>4.2 代理费用收取方式及标准：</w:t>
      </w:r>
      <w:r>
        <w:rPr>
          <w:rFonts w:hint="eastAsia" w:ascii="宋体" w:hAnsi="宋体" w:cs="宋体"/>
          <w:color w:val="auto"/>
          <w:sz w:val="24"/>
          <w:highlight w:val="none"/>
          <w:u w:val="single"/>
        </w:rPr>
        <w:t>由采购人支付，按照委托代理合同约定支付代理费（可以采用数字人民币支付）。</w:t>
      </w:r>
    </w:p>
    <w:p w14:paraId="5A8F9EA0">
      <w:pPr>
        <w:pStyle w:val="67"/>
        <w:spacing w:before="0" w:after="0" w:line="480" w:lineRule="exact"/>
        <w:ind w:firstLine="482"/>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5、招标文件的约束力</w:t>
      </w:r>
    </w:p>
    <w:p w14:paraId="01B50FA9">
      <w:pPr>
        <w:pStyle w:val="67"/>
        <w:spacing w:before="0" w:after="0" w:line="480" w:lineRule="exact"/>
        <w:ind w:firstLine="480"/>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5.1 投标人一旦参加本项目采购活动，即被认为接受了本招标文件的规定和约束。</w:t>
      </w:r>
    </w:p>
    <w:p w14:paraId="610DCF43">
      <w:pPr>
        <w:pStyle w:val="67"/>
        <w:spacing w:before="0" w:after="0" w:line="480" w:lineRule="exact"/>
        <w:ind w:firstLine="482"/>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二、招标文件</w:t>
      </w:r>
      <w:bookmarkEnd w:id="71"/>
      <w:bookmarkEnd w:id="72"/>
      <w:bookmarkEnd w:id="73"/>
      <w:bookmarkEnd w:id="74"/>
    </w:p>
    <w:p w14:paraId="20D558BA">
      <w:pPr>
        <w:spacing w:line="480" w:lineRule="exact"/>
        <w:ind w:firstLine="482"/>
        <w:rPr>
          <w:rFonts w:ascii="宋体" w:hAnsi="宋体" w:cs="宋体"/>
          <w:b/>
          <w:color w:val="auto"/>
          <w:sz w:val="24"/>
          <w:highlight w:val="none"/>
        </w:rPr>
      </w:pPr>
      <w:r>
        <w:rPr>
          <w:rFonts w:hint="eastAsia" w:ascii="宋体" w:hAnsi="宋体" w:cs="宋体"/>
          <w:b/>
          <w:color w:val="auto"/>
          <w:sz w:val="24"/>
          <w:highlight w:val="none"/>
        </w:rPr>
        <w:t>6、招标文件构成</w:t>
      </w:r>
    </w:p>
    <w:p w14:paraId="5FA52898">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（1）投标邀请</w:t>
      </w:r>
    </w:p>
    <w:p w14:paraId="573800BC">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（2）投标人须知</w:t>
      </w:r>
    </w:p>
    <w:p w14:paraId="2F14590A">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（3）合同文本</w:t>
      </w:r>
    </w:p>
    <w:p w14:paraId="69EDA5F1">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（4）采购需求</w:t>
      </w:r>
    </w:p>
    <w:p w14:paraId="79C1B5C8">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（5）评标方法与评标标准</w:t>
      </w:r>
    </w:p>
    <w:p w14:paraId="24F45507">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（6）投标文件格式</w:t>
      </w:r>
    </w:p>
    <w:p w14:paraId="2E0279B8">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请仔细检查招标文件是否齐全，如有缺漏请立即与代理机构联系解决。</w:t>
      </w:r>
    </w:p>
    <w:p w14:paraId="4FBE792A">
      <w:pPr>
        <w:spacing w:line="480" w:lineRule="exact"/>
        <w:ind w:firstLine="480"/>
        <w:rPr>
          <w:rFonts w:ascii="宋体" w:hAnsi="宋体" w:cs="宋体"/>
          <w:color w:val="auto"/>
          <w:sz w:val="24"/>
          <w:highlight w:val="none"/>
        </w:rPr>
      </w:pPr>
      <w:r>
        <w:rPr>
          <w:rFonts w:hint="eastAsia" w:ascii="宋体" w:hAnsi="宋体" w:cs="宋体"/>
          <w:color w:val="auto"/>
          <w:sz w:val="24"/>
          <w:szCs w:val="24"/>
          <w:highlight w:val="none"/>
        </w:rPr>
        <w:t>6.2投标人应认真阅读招标文件中所有的事项、格式、条款和规范等要求，按招标文件要求和规定编制投标文件，并保证所提供的全部资料的真实性，以使其投标文件对招标文件作出实质性响应，否则风险由投标人自行承担。</w:t>
      </w:r>
    </w:p>
    <w:p w14:paraId="0FE1B8A1">
      <w:pPr>
        <w:spacing w:line="480" w:lineRule="exact"/>
        <w:ind w:firstLine="482"/>
        <w:rPr>
          <w:rFonts w:ascii="宋体" w:hAnsi="宋体" w:cs="宋体"/>
          <w:b/>
          <w:color w:val="auto"/>
          <w:sz w:val="24"/>
          <w:highlight w:val="none"/>
        </w:rPr>
      </w:pPr>
      <w:r>
        <w:rPr>
          <w:rFonts w:hint="eastAsia" w:ascii="宋体" w:hAnsi="宋体" w:cs="宋体"/>
          <w:b/>
          <w:color w:val="auto"/>
          <w:sz w:val="24"/>
          <w:highlight w:val="none"/>
        </w:rPr>
        <w:t>7、政府采购政策功能落实</w:t>
      </w:r>
    </w:p>
    <w:p w14:paraId="0F7017A9">
      <w:pPr>
        <w:spacing w:line="480" w:lineRule="exact"/>
        <w:ind w:firstLine="482"/>
        <w:rPr>
          <w:rFonts w:ascii="宋体" w:hAnsi="宋体" w:cs="宋体"/>
          <w:b/>
          <w:bCs/>
          <w:color w:val="auto"/>
          <w:sz w:val="24"/>
          <w:highlight w:val="none"/>
          <w:u w:val="single"/>
        </w:rPr>
      </w:pPr>
      <w:r>
        <w:rPr>
          <w:rFonts w:hint="eastAsia" w:ascii="宋体" w:hAnsi="宋体" w:cs="宋体"/>
          <w:b/>
          <w:bCs/>
          <w:color w:val="auto"/>
          <w:sz w:val="24"/>
          <w:highlight w:val="none"/>
        </w:rPr>
        <w:t>本项目落实的政府采购政策对应序号为</w:t>
      </w:r>
      <w:r>
        <w:rPr>
          <w:rFonts w:hint="eastAsia" w:ascii="宋体" w:hAnsi="宋体" w:cs="宋体"/>
          <w:b/>
          <w:bCs/>
          <w:color w:val="auto"/>
          <w:sz w:val="24"/>
          <w:highlight w:val="none"/>
          <w:u w:val="single"/>
        </w:rPr>
        <w:t>7.1、7.2 、7.3、7.4、7.5</w:t>
      </w:r>
    </w:p>
    <w:p w14:paraId="48F65103">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7.1中小企业政策</w:t>
      </w:r>
    </w:p>
    <w:p w14:paraId="3C6867D6">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本项目按第</w:t>
      </w:r>
      <w:r>
        <w:rPr>
          <w:rFonts w:hint="eastAsia" w:ascii="宋体" w:hAnsi="宋体" w:cs="宋体"/>
          <w:color w:val="auto"/>
          <w:sz w:val="24"/>
          <w:highlight w:val="none"/>
          <w:u w:val="single"/>
        </w:rPr>
        <w:t>（1）</w:t>
      </w:r>
      <w:r>
        <w:rPr>
          <w:rFonts w:hint="eastAsia" w:ascii="宋体" w:hAnsi="宋体" w:cs="宋体"/>
          <w:color w:val="auto"/>
          <w:sz w:val="24"/>
          <w:highlight w:val="none"/>
        </w:rPr>
        <w:t>种政策落实：</w:t>
      </w:r>
    </w:p>
    <w:p w14:paraId="3AA61991">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（1）本项目专门面向中小企业（含监狱与戒毒企业、残疾人福利企业）采购。</w:t>
      </w:r>
    </w:p>
    <w:p w14:paraId="60582A71">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（2）对符合规定情形的小微企业报价给予</w:t>
      </w:r>
      <w:r>
        <w:rPr>
          <w:rFonts w:hint="eastAsia" w:ascii="宋体" w:hAnsi="宋体" w:cs="宋体"/>
          <w:color w:val="auto"/>
          <w:sz w:val="24"/>
          <w:highlight w:val="none"/>
          <w:u w:val="single"/>
        </w:rPr>
        <w:t>/</w:t>
      </w:r>
      <w:r>
        <w:rPr>
          <w:rFonts w:hint="eastAsia" w:ascii="宋体" w:hAnsi="宋体" w:cs="宋体"/>
          <w:color w:val="auto"/>
          <w:sz w:val="24"/>
          <w:highlight w:val="none"/>
        </w:rPr>
        <w:t>扣除，用扣除后的价格参加评审。</w:t>
      </w:r>
    </w:p>
    <w:p w14:paraId="71C3311A">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在货物采购项目中，货物由中小企业制造，即货物由中小企业生产且使用该中小企业商号或者注册商标。</w:t>
      </w:r>
    </w:p>
    <w:p w14:paraId="0D5ACF1F">
      <w:pPr>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在服务采购项目中，服务由中小企业承接，即提供服务的人员为中小企业依照《中华人民共和国劳动合同法》订立劳动合同的从业人员。</w:t>
      </w:r>
    </w:p>
    <w:p w14:paraId="4C87DF52">
      <w:pPr>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在工程采购项目中，工程由中小企业承建，即工程施工单位为中小企业。</w:t>
      </w:r>
    </w:p>
    <w:p w14:paraId="26D5C74E">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注：①参加投标的中小企业，应当按照《政府采购促进中小企业发展管理办法》（财库〔2020〕46号）规定，出具《中小企业声明函》，中小企业划型依据《关于印发中小企业划型标准规定的通知》（工信部联企业〔2011〕300号）。</w:t>
      </w:r>
    </w:p>
    <w:p w14:paraId="241C630D">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p>
    <w:p w14:paraId="686FF716">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③参加投标的残疾人福利性单位，视同小型、微型企业。残疾人福利性单位应当按照《财政部民政部中国残疾人联合会关于促进残疾人就业政府采购政策的通知》（财库〔2017〕141号）的规定，提供《残疾人福利性单位声明函》。</w:t>
      </w:r>
    </w:p>
    <w:p w14:paraId="02ED17B2">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p>
    <w:p w14:paraId="2F50DC42">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⑤联合体各方均为小型、微型企业（残疾人福利单位、监狱企业）的，联合体享受/%价格扣除，用扣除后的价格参与评审。</w:t>
      </w:r>
    </w:p>
    <w:p w14:paraId="337021F8">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7.2节能产品、环境标志产品</w:t>
      </w:r>
    </w:p>
    <w:p w14:paraId="433C97A4">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拟采购的产品属于品目清单范围的，采购人将依据国家确定的认证机构出具的、处于有效期之内的节能产品、环境标志产品认证证书，对获得证书的产品实施政府优先采购或强制采购。</w:t>
      </w:r>
    </w:p>
    <w:p w14:paraId="4C011D10">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7.2.1拟采购的产品属于政府强制采购的节能产品品目清单范围的，投标人须提供国家确定的认证机构出具的、处于有效期之内的节能产品认证证书，否则其投标文件作无效标处理。</w:t>
      </w:r>
    </w:p>
    <w:p w14:paraId="5150F521">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7.2.2采购人拟采购的产品属于优先采购的节能环保品目清单范围的，按以下条件优先采购：</w:t>
      </w:r>
    </w:p>
    <w:p w14:paraId="44E1ACD0">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采用综合评分法的项目，对提供有效节能环保证书的投标人加分。</w:t>
      </w:r>
    </w:p>
    <w:p w14:paraId="6478BC3F">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采用最低评标价法的项目，同等条件下优先推荐提供有效节能环保证书多的投标人为中标人。</w:t>
      </w:r>
    </w:p>
    <w:p w14:paraId="26D150EA">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7.3政府采购需求标准</w:t>
      </w:r>
    </w:p>
    <w:p w14:paraId="15D4022A">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7.3.1商品包装、快递包装政府采购需求标准（试行）</w:t>
      </w:r>
    </w:p>
    <w:p w14:paraId="196CD532">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按照财政部印发的《商品包装政府采购需求标准（试行）》《快递包装政府采购需求标准（试行）》要求执行，本项目商品包装和快递包装的具体需求详见第四章采购需求。</w:t>
      </w:r>
    </w:p>
    <w:p w14:paraId="766D6E27">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7.3.2绿色数据中心政府采购需求标准（试行）</w:t>
      </w:r>
    </w:p>
    <w:p w14:paraId="57DDBCAD">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按照财政部 生态环境部 工业和信息化部关于印发《绿色数据中心政府采购需求标准（试行）》的通知）要求执行。</w:t>
      </w:r>
    </w:p>
    <w:p w14:paraId="52BF0EA7">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7.3.3绿色建材政府采购需求标准</w:t>
      </w:r>
    </w:p>
    <w:p w14:paraId="3EBFF035">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按照财政部住房和城乡建设部工业和信息化部关于印发《关于扩大政府采购支持绿色建材促进建筑品质提升政策实施范围的通知》要求执行。</w:t>
      </w:r>
    </w:p>
    <w:p w14:paraId="5496DA49">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7.4采购产品中涉及涂料、胶黏剂、油墨、清洗剂等挥发性有机物产品的，属于强制性标准的，供应商应当提供符合国家和江苏省相关VOCs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p>
    <w:p w14:paraId="161B2794">
      <w:pPr>
        <w:pStyle w:val="433"/>
        <w:pBdr>
          <w:top w:val="none" w:color="000000" w:sz="0" w:space="0"/>
          <w:left w:val="none" w:color="000000" w:sz="0" w:space="0"/>
          <w:bottom w:val="none" w:color="000000" w:sz="0" w:space="0"/>
          <w:right w:val="none" w:color="000000" w:sz="0" w:space="0"/>
          <w:between w:val="none" w:color="000000" w:sz="0" w:space="0"/>
        </w:pBdr>
        <w:spacing w:line="480" w:lineRule="exact"/>
        <w:ind w:firstLine="480"/>
        <w:rPr>
          <w:rFonts w:ascii="宋体" w:hAnsi="宋体" w:cs="宋体"/>
          <w:b/>
          <w:bCs/>
          <w:color w:val="auto"/>
          <w:szCs w:val="24"/>
          <w:highlight w:val="none"/>
          <w:shd w:val="clear" w:color="auto" w:fill="FFFFFF"/>
        </w:rPr>
      </w:pPr>
      <w:r>
        <w:rPr>
          <w:rFonts w:hint="eastAsia" w:ascii="宋体" w:hAnsi="宋体" w:cs="宋体"/>
          <w:color w:val="auto"/>
          <w:highlight w:val="none"/>
        </w:rPr>
        <w:t>7.5</w:t>
      </w:r>
      <w:r>
        <w:rPr>
          <w:rFonts w:hint="eastAsia" w:ascii="宋体" w:hAnsi="宋体" w:cs="宋体"/>
          <w:b/>
          <w:bCs/>
          <w:color w:val="auto"/>
          <w:szCs w:val="24"/>
          <w:highlight w:val="none"/>
          <w:shd w:val="clear" w:color="auto" w:fill="FFFFFF"/>
        </w:rPr>
        <w:t>采购本国产品的支持政策</w:t>
      </w:r>
    </w:p>
    <w:p w14:paraId="6A8D1A7B">
      <w:pPr>
        <w:pStyle w:val="433"/>
        <w:pBdr>
          <w:top w:val="none" w:color="000000" w:sz="0" w:space="0"/>
          <w:left w:val="none" w:color="000000" w:sz="0" w:space="0"/>
          <w:bottom w:val="none" w:color="000000" w:sz="0" w:space="0"/>
          <w:right w:val="none" w:color="000000" w:sz="0" w:space="0"/>
          <w:between w:val="none" w:color="000000" w:sz="0" w:space="0"/>
        </w:pBdr>
        <w:spacing w:line="480" w:lineRule="exact"/>
        <w:ind w:firstLine="480"/>
        <w:rPr>
          <w:rFonts w:ascii="宋体" w:hAnsi="宋体" w:cs="宋体"/>
          <w:color w:val="auto"/>
          <w:szCs w:val="24"/>
          <w:highlight w:val="none"/>
          <w:shd w:val="clear" w:color="auto" w:fill="FFFFFF"/>
        </w:rPr>
      </w:pPr>
      <w:r>
        <w:rPr>
          <w:rFonts w:hint="eastAsia" w:ascii="宋体" w:hAnsi="宋体" w:cs="宋体"/>
          <w:color w:val="auto"/>
          <w:highlight w:val="none"/>
        </w:rPr>
        <w:t>7.5</w:t>
      </w:r>
      <w:r>
        <w:rPr>
          <w:rFonts w:hint="eastAsia" w:ascii="宋体" w:hAnsi="宋体" w:cs="宋体"/>
          <w:color w:val="auto"/>
          <w:szCs w:val="24"/>
          <w:highlight w:val="none"/>
          <w:shd w:val="clear" w:color="auto" w:fill="FFFFFF"/>
        </w:rPr>
        <w:t>.1 本项目政府采购活动中既有本国产品又有非本国产品参与竞争的，依法对本国产品给予价格评审优惠，对本国产品的报价给予</w:t>
      </w:r>
      <w:r>
        <w:rPr>
          <w:rFonts w:hint="eastAsia" w:ascii="宋体" w:hAnsi="宋体" w:cs="宋体"/>
          <w:color w:val="auto"/>
          <w:szCs w:val="24"/>
          <w:highlight w:val="none"/>
          <w:u w:val="single"/>
          <w:shd w:val="clear" w:color="auto" w:fill="FFFFFF"/>
        </w:rPr>
        <w:t>20%</w:t>
      </w:r>
      <w:r>
        <w:rPr>
          <w:rFonts w:hint="eastAsia" w:ascii="宋体" w:hAnsi="宋体" w:cs="宋体"/>
          <w:color w:val="auto"/>
          <w:szCs w:val="24"/>
          <w:highlight w:val="none"/>
          <w:shd w:val="clear" w:color="auto" w:fill="FFFFFF"/>
        </w:rPr>
        <w:t>的价格扣除，用扣除后的价格参与评审。</w:t>
      </w:r>
    </w:p>
    <w:p w14:paraId="72B42070">
      <w:pPr>
        <w:pStyle w:val="433"/>
        <w:pBdr>
          <w:top w:val="none" w:color="000000" w:sz="0" w:space="0"/>
          <w:left w:val="none" w:color="000000" w:sz="0" w:space="0"/>
          <w:bottom w:val="none" w:color="000000" w:sz="0" w:space="0"/>
          <w:right w:val="none" w:color="000000" w:sz="0" w:space="0"/>
          <w:between w:val="none" w:color="000000" w:sz="0" w:space="0"/>
        </w:pBdr>
        <w:spacing w:line="480" w:lineRule="exact"/>
        <w:ind w:firstLine="480"/>
        <w:rPr>
          <w:rFonts w:ascii="宋体" w:hAnsi="宋体" w:cs="宋体"/>
          <w:color w:val="auto"/>
          <w:szCs w:val="24"/>
          <w:highlight w:val="none"/>
          <w:shd w:val="clear" w:color="auto" w:fill="FFFFFF"/>
        </w:rPr>
      </w:pPr>
      <w:r>
        <w:rPr>
          <w:rFonts w:hint="eastAsia" w:ascii="宋体" w:hAnsi="宋体" w:cs="宋体"/>
          <w:color w:val="auto"/>
          <w:highlight w:val="none"/>
        </w:rPr>
        <w:t>7.5</w:t>
      </w:r>
      <w:r>
        <w:rPr>
          <w:rFonts w:hint="eastAsia" w:ascii="宋体" w:hAnsi="宋体" w:cs="宋体"/>
          <w:color w:val="auto"/>
          <w:szCs w:val="24"/>
          <w:highlight w:val="none"/>
          <w:shd w:val="clear" w:color="auto" w:fill="FFFFFF"/>
        </w:rPr>
        <w:t>.2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1B0C1702">
      <w:pPr>
        <w:pStyle w:val="433"/>
        <w:pBdr>
          <w:top w:val="none" w:color="000000" w:sz="0" w:space="0"/>
          <w:left w:val="none" w:color="000000" w:sz="0" w:space="0"/>
          <w:bottom w:val="none" w:color="000000" w:sz="0" w:space="0"/>
          <w:right w:val="none" w:color="000000" w:sz="0" w:space="0"/>
          <w:between w:val="none" w:color="000000" w:sz="0" w:space="0"/>
        </w:pBdr>
        <w:spacing w:line="480" w:lineRule="exact"/>
        <w:ind w:firstLine="480"/>
        <w:rPr>
          <w:rFonts w:ascii="宋体" w:hAnsi="宋体" w:cs="宋体"/>
          <w:color w:val="auto"/>
          <w:szCs w:val="24"/>
          <w:highlight w:val="none"/>
          <w:shd w:val="clear" w:color="auto" w:fill="FFFFFF"/>
        </w:rPr>
      </w:pPr>
      <w:r>
        <w:rPr>
          <w:rFonts w:hint="eastAsia" w:ascii="宋体" w:hAnsi="宋体" w:cs="宋体"/>
          <w:color w:val="auto"/>
          <w:highlight w:val="none"/>
        </w:rPr>
        <w:t>7.5</w:t>
      </w:r>
      <w:r>
        <w:rPr>
          <w:rFonts w:hint="eastAsia" w:ascii="宋体" w:hAnsi="宋体" w:cs="宋体"/>
          <w:color w:val="auto"/>
          <w:szCs w:val="24"/>
          <w:highlight w:val="none"/>
          <w:shd w:val="clear" w:color="auto" w:fill="FFFFFF"/>
        </w:rPr>
        <w:t>.3 供应商需按照招标文件的要求提供《关于符合本国产品标准的声明函》（以下简称《声明函》），如不提供将不享受本国产品价格评审优惠。</w:t>
      </w:r>
    </w:p>
    <w:p w14:paraId="5476A7A8">
      <w:pPr>
        <w:pStyle w:val="433"/>
        <w:pBdr>
          <w:top w:val="none" w:color="000000" w:sz="0" w:space="0"/>
          <w:left w:val="none" w:color="000000" w:sz="0" w:space="0"/>
          <w:bottom w:val="none" w:color="000000" w:sz="0" w:space="0"/>
          <w:right w:val="none" w:color="000000" w:sz="0" w:space="0"/>
          <w:between w:val="none" w:color="000000" w:sz="0" w:space="0"/>
        </w:pBdr>
        <w:spacing w:line="480" w:lineRule="exact"/>
        <w:ind w:firstLine="480"/>
        <w:rPr>
          <w:rFonts w:ascii="宋体" w:hAnsi="宋体" w:cs="宋体"/>
          <w:color w:val="auto"/>
          <w:szCs w:val="24"/>
          <w:highlight w:val="none"/>
          <w:shd w:val="clear" w:color="auto" w:fill="FFFFFF"/>
        </w:rPr>
      </w:pPr>
      <w:r>
        <w:rPr>
          <w:rFonts w:hint="eastAsia" w:ascii="宋体" w:hAnsi="宋体" w:cs="宋体"/>
          <w:color w:val="auto"/>
          <w:highlight w:val="none"/>
        </w:rPr>
        <w:t>7.5</w:t>
      </w:r>
      <w:r>
        <w:rPr>
          <w:rFonts w:hint="eastAsia" w:ascii="宋体" w:hAnsi="宋体" w:cs="宋体"/>
          <w:color w:val="auto"/>
          <w:szCs w:val="24"/>
          <w:highlight w:val="none"/>
          <w:shd w:val="clear" w:color="auto" w:fill="FFFFFF"/>
        </w:rPr>
        <w:t>.4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52699644">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7.5</w:t>
      </w:r>
      <w:r>
        <w:rPr>
          <w:rFonts w:hint="eastAsia" w:ascii="宋体" w:hAnsi="宋体" w:cs="宋体"/>
          <w:color w:val="auto"/>
          <w:sz w:val="24"/>
          <w:szCs w:val="24"/>
          <w:highlight w:val="none"/>
          <w:shd w:val="clear" w:color="auto" w:fill="FFFFFF"/>
        </w:rPr>
        <w:t>.5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1B52EA65">
      <w:pPr>
        <w:spacing w:line="480" w:lineRule="exact"/>
        <w:ind w:firstLine="482"/>
        <w:rPr>
          <w:rFonts w:ascii="宋体" w:hAnsi="宋体" w:cs="宋体"/>
          <w:b/>
          <w:color w:val="auto"/>
          <w:sz w:val="24"/>
          <w:highlight w:val="none"/>
        </w:rPr>
      </w:pPr>
      <w:r>
        <w:rPr>
          <w:rFonts w:hint="eastAsia" w:ascii="宋体" w:hAnsi="宋体" w:cs="宋体"/>
          <w:b/>
          <w:color w:val="auto"/>
          <w:sz w:val="24"/>
          <w:highlight w:val="none"/>
        </w:rPr>
        <w:t>8、招标文件的澄清或修改</w:t>
      </w:r>
    </w:p>
    <w:p w14:paraId="3E3E0DFB">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8.1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p>
    <w:p w14:paraId="285BB73F">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8.2招标文件的澄清、修改将在原公告媒体上发布更正公告，澄清、修改文件均作为招标文件的组成部分，并对投标人具有约束力。</w:t>
      </w:r>
    </w:p>
    <w:p w14:paraId="311AF099">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8.3投标人应及时登录“苏采云”系统获取澄清答疑文件（修改后的招标文件），如投标人未能及时下载澄清答疑文件，造成的相关责任由投标人承担。</w:t>
      </w:r>
    </w:p>
    <w:p w14:paraId="21D1D212">
      <w:pPr>
        <w:pStyle w:val="67"/>
        <w:spacing w:before="0" w:after="0" w:line="480" w:lineRule="exact"/>
        <w:ind w:firstLine="482"/>
        <w:rPr>
          <w:rFonts w:ascii="宋体" w:hAnsi="宋体" w:eastAsia="宋体" w:cs="宋体"/>
          <w:bCs/>
          <w:color w:val="auto"/>
          <w:sz w:val="24"/>
          <w:szCs w:val="24"/>
          <w:highlight w:val="none"/>
        </w:rPr>
      </w:pPr>
      <w:bookmarkStart w:id="75" w:name="_Toc81575194"/>
      <w:bookmarkStart w:id="76" w:name="_Toc81575157"/>
      <w:bookmarkStart w:id="77" w:name="_Toc11461"/>
      <w:bookmarkStart w:id="78" w:name="_Toc5574"/>
      <w:r>
        <w:rPr>
          <w:rFonts w:hint="eastAsia" w:ascii="宋体" w:hAnsi="宋体" w:eastAsia="宋体" w:cs="宋体"/>
          <w:bCs/>
          <w:color w:val="auto"/>
          <w:sz w:val="24"/>
          <w:szCs w:val="24"/>
          <w:highlight w:val="none"/>
        </w:rPr>
        <w:t>三、投标文件的编制</w:t>
      </w:r>
      <w:bookmarkEnd w:id="75"/>
      <w:bookmarkEnd w:id="76"/>
      <w:bookmarkEnd w:id="77"/>
      <w:bookmarkEnd w:id="78"/>
    </w:p>
    <w:p w14:paraId="5858DA87">
      <w:pPr>
        <w:spacing w:line="480" w:lineRule="exact"/>
        <w:ind w:firstLine="482"/>
        <w:rPr>
          <w:rFonts w:ascii="宋体" w:hAnsi="宋体" w:cs="宋体"/>
          <w:b/>
          <w:color w:val="auto"/>
          <w:sz w:val="24"/>
          <w:highlight w:val="none"/>
        </w:rPr>
      </w:pPr>
      <w:r>
        <w:rPr>
          <w:rFonts w:hint="eastAsia" w:ascii="宋体" w:hAnsi="宋体" w:cs="宋体"/>
          <w:b/>
          <w:color w:val="auto"/>
          <w:sz w:val="24"/>
          <w:highlight w:val="none"/>
        </w:rPr>
        <w:t>9、投标文件的编制要求</w:t>
      </w:r>
    </w:p>
    <w:p w14:paraId="719852F5">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9.1投标人应仔细阅读“招标文件”的所有内容，保证所提供的全部资料的真实性、完整性及有效性，以使其投标对“招标文件”作出实质性响应。</w:t>
      </w:r>
    </w:p>
    <w:p w14:paraId="21B96961">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9.2投标文件要求加盖电子签章之处，应按要求加盖投标人数字证书的电子签章。其他需要盖章但未明确要求电子签章的，投标人可按要求加盖公章后上传材料电子件或直接加盖电子签章。</w:t>
      </w:r>
    </w:p>
    <w:p w14:paraId="64D0739E">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9.3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p>
    <w:p w14:paraId="776C040C">
      <w:pPr>
        <w:spacing w:line="480" w:lineRule="exact"/>
        <w:ind w:firstLine="482"/>
        <w:rPr>
          <w:rFonts w:ascii="宋体" w:hAnsi="宋体" w:cs="宋体"/>
          <w:b/>
          <w:color w:val="auto"/>
          <w:sz w:val="24"/>
          <w:highlight w:val="none"/>
        </w:rPr>
      </w:pPr>
      <w:r>
        <w:rPr>
          <w:rFonts w:hint="eastAsia" w:ascii="宋体" w:hAnsi="宋体" w:cs="宋体"/>
          <w:b/>
          <w:color w:val="auto"/>
          <w:sz w:val="24"/>
          <w:highlight w:val="none"/>
        </w:rPr>
        <w:t>10、投标文件构成</w:t>
      </w:r>
    </w:p>
    <w:p w14:paraId="1F5DE898">
      <w:pPr>
        <w:spacing w:line="480" w:lineRule="exact"/>
        <w:ind w:firstLine="480"/>
        <w:rPr>
          <w:rFonts w:ascii="宋体" w:hAnsi="宋体" w:cs="宋体"/>
          <w:bCs/>
          <w:color w:val="auto"/>
          <w:sz w:val="24"/>
          <w:highlight w:val="none"/>
        </w:rPr>
      </w:pPr>
      <w:r>
        <w:rPr>
          <w:rFonts w:hint="eastAsia" w:ascii="宋体" w:hAnsi="宋体" w:cs="宋体"/>
          <w:color w:val="auto"/>
          <w:sz w:val="24"/>
          <w:highlight w:val="none"/>
        </w:rPr>
        <w:t>10.1投标文件包括资格证明文件、开标一览表、分项报价表、响应及偏离表、投标函、其他证明文件等部分。</w:t>
      </w:r>
      <w:r>
        <w:rPr>
          <w:rFonts w:hint="eastAsia" w:ascii="宋体" w:hAnsi="宋体" w:cs="宋体"/>
          <w:bCs/>
          <w:color w:val="auto"/>
          <w:sz w:val="24"/>
          <w:highlight w:val="none"/>
        </w:rPr>
        <w:t>投标文件构成资料为非中文时应提供中文译版。</w:t>
      </w:r>
      <w:bookmarkStart w:id="79" w:name="EBc50e2bb832bb43068403b10c1cce6141"/>
    </w:p>
    <w:p w14:paraId="67B5C328">
      <w:pPr>
        <w:spacing w:line="480" w:lineRule="exact"/>
        <w:ind w:firstLine="482"/>
        <w:rPr>
          <w:rFonts w:ascii="宋体" w:hAnsi="宋体" w:cs="宋体"/>
          <w:bCs/>
          <w:color w:val="auto"/>
          <w:sz w:val="24"/>
          <w:highlight w:val="none"/>
        </w:rPr>
      </w:pPr>
      <w:r>
        <w:rPr>
          <w:rFonts w:hint="eastAsia" w:ascii="宋体" w:hAnsi="宋体" w:cs="宋体"/>
          <w:b/>
          <w:color w:val="auto"/>
          <w:sz w:val="24"/>
          <w:highlight w:val="none"/>
        </w:rPr>
        <w:t>10.2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79"/>
    </w:p>
    <w:p w14:paraId="3EE7DB10">
      <w:pPr>
        <w:spacing w:line="480" w:lineRule="exact"/>
        <w:ind w:firstLine="482"/>
        <w:rPr>
          <w:rFonts w:ascii="宋体" w:hAnsi="宋体" w:cs="宋体"/>
          <w:b/>
          <w:color w:val="auto"/>
          <w:sz w:val="24"/>
          <w:highlight w:val="none"/>
        </w:rPr>
      </w:pPr>
      <w:r>
        <w:rPr>
          <w:rFonts w:hint="eastAsia" w:ascii="宋体" w:hAnsi="宋体" w:cs="宋体"/>
          <w:b/>
          <w:color w:val="auto"/>
          <w:sz w:val="24"/>
          <w:highlight w:val="none"/>
        </w:rPr>
        <w:t>11、投标报价</w:t>
      </w:r>
    </w:p>
    <w:p w14:paraId="2F13A0CB">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11.1报价为一次报价，本项目不接受备选的投标方案或有选择的报价，只允许有一个报价。投标报价内容包括：货物本身、所需设备、材料、安装、调试、维护、培训、运输、施工、垃圾清扫和搬运、成品保护、检测、检验、利润、税金、政策性文件规定及本项目包含的所有风险、责任等各项应有费用。</w:t>
      </w:r>
    </w:p>
    <w:p w14:paraId="60ADE525">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11.2报价注意事项：投标价格一律以人民币计算，以元为单位标注，最多保留至小数点后两位，招标文件有规定的按招标文件执行。</w:t>
      </w:r>
    </w:p>
    <w:p w14:paraId="1CFD25CA">
      <w:pPr>
        <w:spacing w:line="480" w:lineRule="exact"/>
        <w:ind w:firstLine="482"/>
        <w:rPr>
          <w:rFonts w:ascii="宋体" w:hAnsi="宋体" w:cs="宋体"/>
          <w:b/>
          <w:color w:val="auto"/>
          <w:sz w:val="24"/>
          <w:highlight w:val="none"/>
        </w:rPr>
      </w:pPr>
      <w:r>
        <w:rPr>
          <w:rFonts w:hint="eastAsia" w:ascii="宋体" w:hAnsi="宋体" w:cs="宋体"/>
          <w:b/>
          <w:color w:val="auto"/>
          <w:sz w:val="24"/>
          <w:highlight w:val="none"/>
        </w:rPr>
        <w:t>12、投标保证金</w:t>
      </w:r>
      <w:bookmarkStart w:id="80" w:name="EB183a0bf075204c54a4ff090f1aecaaa7"/>
    </w:p>
    <w:p w14:paraId="57B71A6C">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本项目不收取投标保证金。</w:t>
      </w:r>
      <w:bookmarkEnd w:id="80"/>
    </w:p>
    <w:p w14:paraId="4C48D1A6">
      <w:pPr>
        <w:spacing w:line="480" w:lineRule="exact"/>
        <w:ind w:firstLine="482"/>
        <w:rPr>
          <w:rFonts w:ascii="宋体" w:hAnsi="宋体" w:cs="宋体"/>
          <w:b/>
          <w:color w:val="auto"/>
          <w:sz w:val="24"/>
          <w:highlight w:val="none"/>
        </w:rPr>
      </w:pPr>
      <w:r>
        <w:rPr>
          <w:rFonts w:hint="eastAsia" w:ascii="宋体" w:hAnsi="宋体" w:cs="宋体"/>
          <w:b/>
          <w:color w:val="auto"/>
          <w:sz w:val="24"/>
          <w:highlight w:val="none"/>
        </w:rPr>
        <w:t>13、投标有效期</w:t>
      </w:r>
    </w:p>
    <w:p w14:paraId="3454EC45">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13.1在投标人须知前附表规定的投标有效期内，投标有效期从提交投标文件的截止之日起算。投标有效期比规定短的将被视为未实质性响应招标文件。</w:t>
      </w:r>
    </w:p>
    <w:p w14:paraId="36CC94CD">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13.2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p>
    <w:p w14:paraId="0D6C697B">
      <w:pPr>
        <w:pStyle w:val="67"/>
        <w:spacing w:before="0" w:after="0" w:line="480" w:lineRule="exact"/>
        <w:ind w:firstLine="482"/>
        <w:rPr>
          <w:rFonts w:ascii="宋体" w:hAnsi="宋体" w:eastAsia="宋体" w:cs="宋体"/>
          <w:bCs/>
          <w:color w:val="auto"/>
          <w:sz w:val="24"/>
          <w:szCs w:val="24"/>
          <w:highlight w:val="none"/>
        </w:rPr>
      </w:pPr>
      <w:bookmarkStart w:id="81" w:name="_Toc81575195"/>
      <w:bookmarkStart w:id="82" w:name="_Toc81575158"/>
      <w:bookmarkStart w:id="83" w:name="_Toc2773"/>
      <w:bookmarkStart w:id="84" w:name="_Toc23443"/>
      <w:r>
        <w:rPr>
          <w:rFonts w:hint="eastAsia" w:ascii="宋体" w:hAnsi="宋体" w:eastAsia="宋体" w:cs="宋体"/>
          <w:bCs/>
          <w:color w:val="auto"/>
          <w:sz w:val="24"/>
          <w:szCs w:val="24"/>
          <w:highlight w:val="none"/>
        </w:rPr>
        <w:t>四、投标文件的提交</w:t>
      </w:r>
      <w:bookmarkEnd w:id="81"/>
      <w:bookmarkEnd w:id="82"/>
      <w:bookmarkEnd w:id="83"/>
      <w:bookmarkEnd w:id="84"/>
    </w:p>
    <w:p w14:paraId="30486937">
      <w:pPr>
        <w:spacing w:line="480" w:lineRule="exact"/>
        <w:ind w:firstLine="482"/>
        <w:rPr>
          <w:rFonts w:ascii="宋体" w:hAnsi="宋体" w:cs="宋体"/>
          <w:b/>
          <w:color w:val="auto"/>
          <w:sz w:val="24"/>
          <w:highlight w:val="none"/>
        </w:rPr>
      </w:pPr>
      <w:r>
        <w:rPr>
          <w:rFonts w:hint="eastAsia" w:ascii="宋体" w:hAnsi="宋体" w:cs="宋体"/>
          <w:b/>
          <w:color w:val="auto"/>
          <w:sz w:val="24"/>
          <w:highlight w:val="none"/>
        </w:rPr>
        <w:t>14、投标文件的提交</w:t>
      </w:r>
    </w:p>
    <w:p w14:paraId="36C27947">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14.1投标人应在招标文件规定的投标截止时间前提交投标文件并将电子投标文件上传至“苏采云”系统对应的本次开标采购包中。除招标文件另有规定外，投标人所提交的投标文件不予退还。</w:t>
      </w:r>
    </w:p>
    <w:p w14:paraId="670FFA82">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14.2投标文件的修改和撤回：在投标截止时间之前，投标人可以撤回或重新提交投标文件。投标文件以最终完成上传的为准。</w:t>
      </w:r>
    </w:p>
    <w:p w14:paraId="060439F6">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14.3采购人、采购代理机构可以通过修改招标文件酌情延长投标文件接收截止日期，在此情况下，投标人的所有权利和义务以及投标人受制约的截止日期均应以延长后新的截止日期为准。</w:t>
      </w:r>
    </w:p>
    <w:p w14:paraId="15311CFD">
      <w:pPr>
        <w:spacing w:line="480" w:lineRule="exact"/>
        <w:ind w:firstLine="482"/>
        <w:rPr>
          <w:rFonts w:ascii="宋体" w:hAnsi="宋体" w:cs="宋体"/>
          <w:b/>
          <w:color w:val="auto"/>
          <w:sz w:val="24"/>
          <w:highlight w:val="none"/>
        </w:rPr>
      </w:pPr>
      <w:r>
        <w:rPr>
          <w:rFonts w:hint="eastAsia" w:ascii="宋体" w:hAnsi="宋体" w:cs="宋体"/>
          <w:b/>
          <w:color w:val="auto"/>
          <w:sz w:val="24"/>
          <w:highlight w:val="none"/>
        </w:rPr>
        <w:t>15、投标文件被拒绝接收的情形</w:t>
      </w:r>
    </w:p>
    <w:p w14:paraId="6CAD6453">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在招标文件规定的投标截止时间后上传的投标文件或对投标报价或其他实质性内容修正的文件。</w:t>
      </w:r>
    </w:p>
    <w:p w14:paraId="5623DFBD">
      <w:pPr>
        <w:pStyle w:val="67"/>
        <w:spacing w:before="0" w:after="0" w:line="480" w:lineRule="exact"/>
        <w:ind w:firstLine="482"/>
        <w:rPr>
          <w:rFonts w:ascii="宋体" w:hAnsi="宋体" w:eastAsia="宋体" w:cs="宋体"/>
          <w:bCs/>
          <w:color w:val="auto"/>
          <w:sz w:val="24"/>
          <w:szCs w:val="24"/>
          <w:highlight w:val="none"/>
        </w:rPr>
      </w:pPr>
      <w:bookmarkStart w:id="85" w:name="_Toc81575160"/>
      <w:bookmarkStart w:id="86" w:name="_Toc81575197"/>
      <w:bookmarkStart w:id="87" w:name="_Toc959"/>
      <w:bookmarkStart w:id="88" w:name="_Toc20026"/>
      <w:r>
        <w:rPr>
          <w:rFonts w:hint="eastAsia" w:ascii="宋体" w:hAnsi="宋体" w:eastAsia="宋体" w:cs="宋体"/>
          <w:bCs/>
          <w:color w:val="auto"/>
          <w:sz w:val="24"/>
          <w:szCs w:val="24"/>
          <w:highlight w:val="none"/>
        </w:rPr>
        <w:t>五、开标、评标程序</w:t>
      </w:r>
      <w:bookmarkEnd w:id="85"/>
      <w:bookmarkEnd w:id="86"/>
      <w:bookmarkEnd w:id="87"/>
      <w:bookmarkEnd w:id="88"/>
    </w:p>
    <w:p w14:paraId="6103F92B">
      <w:pPr>
        <w:spacing w:line="480" w:lineRule="exact"/>
        <w:ind w:firstLine="482"/>
        <w:rPr>
          <w:rFonts w:ascii="宋体" w:hAnsi="宋体" w:cs="宋体"/>
          <w:b/>
          <w:color w:val="auto"/>
          <w:sz w:val="24"/>
          <w:highlight w:val="none"/>
        </w:rPr>
      </w:pPr>
      <w:r>
        <w:rPr>
          <w:rFonts w:hint="eastAsia" w:ascii="宋体" w:hAnsi="宋体" w:cs="宋体"/>
          <w:b/>
          <w:color w:val="auto"/>
          <w:sz w:val="24"/>
          <w:highlight w:val="none"/>
        </w:rPr>
        <w:t>16、开标</w:t>
      </w:r>
    </w:p>
    <w:p w14:paraId="05A6F469">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16.1采购代理机构将在招标公告中规定的时间和地点组织公开开标。投标人应当按照《操作手册》规定，参加开标活动，在“苏采云”系统规定的时间内对投标文件解密。</w:t>
      </w:r>
    </w:p>
    <w:p w14:paraId="4096D507">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16.2开标仪式由采购代理机构组织。“苏采云”系统将自动对项目进行开标，并宣布各投标人名称和投标价格。</w:t>
      </w:r>
    </w:p>
    <w:p w14:paraId="1932534A">
      <w:pPr>
        <w:spacing w:line="480" w:lineRule="exact"/>
        <w:ind w:firstLine="482"/>
        <w:rPr>
          <w:rFonts w:ascii="宋体" w:hAnsi="宋体" w:cs="宋体"/>
          <w:b/>
          <w:bCs/>
          <w:color w:val="auto"/>
          <w:sz w:val="24"/>
          <w:highlight w:val="none"/>
        </w:rPr>
      </w:pPr>
      <w:r>
        <w:rPr>
          <w:rFonts w:hint="eastAsia" w:ascii="宋体" w:hAnsi="宋体" w:cs="宋体"/>
          <w:b/>
          <w:bCs/>
          <w:color w:val="auto"/>
          <w:sz w:val="24"/>
          <w:highlight w:val="none"/>
        </w:rPr>
        <w:t>16.3投标人用于解密的CA证书应为该投标文件生成加密、上传的同一把CA证书。投标人应登录“苏采云”系统进入“开标大厅”，在系统约定时间内使用CA证书解密，未成功解密的视为放弃投标。</w:t>
      </w:r>
    </w:p>
    <w:p w14:paraId="20A5B9BE">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16.4投标人如果对开标过程和开标记录有疑义，应当根据《操作手册》规定提出。如“苏采云”系统中《开标记录表》宣布后5分钟内未提出的，视同认可开标结果。</w:t>
      </w:r>
    </w:p>
    <w:p w14:paraId="49AA3499">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16.5投标人在开、评标全过程中应保持通讯畅通，及时登录“苏采云”系统查阅、答复相关信息。</w:t>
      </w:r>
    </w:p>
    <w:p w14:paraId="646B8A01">
      <w:pPr>
        <w:spacing w:line="480" w:lineRule="exact"/>
        <w:ind w:firstLine="482"/>
        <w:rPr>
          <w:rFonts w:ascii="宋体" w:hAnsi="宋体" w:cs="宋体"/>
          <w:b/>
          <w:color w:val="auto"/>
          <w:sz w:val="24"/>
          <w:highlight w:val="none"/>
        </w:rPr>
      </w:pPr>
      <w:r>
        <w:rPr>
          <w:rFonts w:hint="eastAsia" w:ascii="宋体" w:hAnsi="宋体" w:cs="宋体"/>
          <w:b/>
          <w:color w:val="auto"/>
          <w:sz w:val="24"/>
          <w:highlight w:val="none"/>
        </w:rPr>
        <w:t>17、评标委员会</w:t>
      </w:r>
    </w:p>
    <w:p w14:paraId="788D5545">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p>
    <w:p w14:paraId="47D6D323">
      <w:pPr>
        <w:spacing w:line="480" w:lineRule="exact"/>
        <w:ind w:firstLine="482"/>
        <w:rPr>
          <w:rFonts w:ascii="宋体" w:hAnsi="宋体" w:cs="宋体"/>
          <w:b/>
          <w:color w:val="auto"/>
          <w:sz w:val="24"/>
          <w:highlight w:val="none"/>
        </w:rPr>
      </w:pPr>
      <w:r>
        <w:rPr>
          <w:rFonts w:hint="eastAsia" w:ascii="宋体" w:hAnsi="宋体" w:cs="宋体"/>
          <w:b/>
          <w:color w:val="auto"/>
          <w:sz w:val="24"/>
          <w:highlight w:val="none"/>
        </w:rPr>
        <w:t>18、评标程序</w:t>
      </w:r>
    </w:p>
    <w:p w14:paraId="38C63779">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18.1资格审查</w:t>
      </w:r>
      <w:bookmarkStart w:id="89" w:name="EBa9c0a2c9e523494487594c65b2a92370"/>
    </w:p>
    <w:p w14:paraId="426C768C">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开标结束后，采购人依法根据招标文件的规定对投标人的资格证明文件等进行审查。</w:t>
      </w:r>
      <w:bookmarkEnd w:id="89"/>
    </w:p>
    <w:p w14:paraId="2C216499">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18.2符合性检查</w:t>
      </w:r>
    </w:p>
    <w:p w14:paraId="5D3BE0C7">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18.2.1依据招标文件的规定，由评标委员会从投标文件的有效性、完整性和对招标文件的响应程度进行审查，以确定是否对招标文件的实质性要求作出响应。</w:t>
      </w:r>
    </w:p>
    <w:p w14:paraId="2D23C057">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18.2.2在详细评标之前，评标委员会将首先审查每份投标文件是否实质性响应了招标文件的要求。实质性响应的投标应是与招标文件要求的全部条款、条件和规格相符，没有重大偏离的投标。</w:t>
      </w:r>
      <w:bookmarkStart w:id="90" w:name="EB1499356fad43416eb16398733accabf7"/>
      <w:r>
        <w:rPr>
          <w:rFonts w:hint="eastAsia" w:ascii="宋体" w:hAnsi="宋体" w:cs="宋体"/>
          <w:color w:val="auto"/>
          <w:sz w:val="24"/>
          <w:highlight w:val="none"/>
        </w:rPr>
        <w:t>所谓重大偏离是指投标人投标文件中所述设备质量、技术规格、数量、交货期、服务等明显不能满足招标文件要求。</w:t>
      </w:r>
      <w:bookmarkEnd w:id="90"/>
      <w:r>
        <w:rPr>
          <w:rFonts w:hint="eastAsia" w:ascii="宋体" w:hAnsi="宋体" w:cs="宋体"/>
          <w:color w:val="auto"/>
          <w:sz w:val="24"/>
          <w:highlight w:val="none"/>
        </w:rPr>
        <w:t>重大偏离的认定需经过评标委员会以少数服从多数的原则作出结论。</w:t>
      </w:r>
    </w:p>
    <w:p w14:paraId="2895E4E7">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18.3未通过资格审查或符合性审查的投标人，采购代理机构将在“苏采云”系统中告知未通过资格审查或符合性审查的原因，评标结束后，采购代理机构将不再告知未通过资格审查或符合性审查的原因。</w:t>
      </w:r>
    </w:p>
    <w:p w14:paraId="5DF2CE1C">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18.4评标委员会判断投标文件的响应性，仅基于投标文件本身而不靠外部证据。对非实质性响应的投标文件，投标人不能通过修正或撤销不符之处，而使其成为实质性响应。</w:t>
      </w:r>
    </w:p>
    <w:p w14:paraId="24C405D1">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18.5相同品牌产品投标</w:t>
      </w:r>
    </w:p>
    <w:p w14:paraId="1FB1DC49">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18.5.1采用最低评标价法的采购项目，提供相同品牌产品的不同投标人参加同一合同项下投标的，以其中通过资格审查、符合性审查且报价最低的参加评标；报价相同的，由采购人采取随机抽取方式确定，其他投标无效。</w:t>
      </w:r>
    </w:p>
    <w:p w14:paraId="4D4643D4">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18.5.2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p>
    <w:p w14:paraId="26589948">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18.5.3非单一产品采购项目，采购人确定核心产品，并在招标文件中载明。多家投标人提供的核心产品品牌相同的，按前两款规定处理。</w:t>
      </w:r>
    </w:p>
    <w:p w14:paraId="66D6AACD">
      <w:pPr>
        <w:spacing w:line="480" w:lineRule="exact"/>
        <w:ind w:firstLine="482"/>
        <w:rPr>
          <w:rFonts w:ascii="宋体" w:hAnsi="宋体" w:cs="宋体"/>
          <w:b/>
          <w:color w:val="auto"/>
          <w:sz w:val="24"/>
          <w:highlight w:val="none"/>
        </w:rPr>
      </w:pPr>
      <w:r>
        <w:rPr>
          <w:rFonts w:hint="eastAsia" w:ascii="宋体" w:hAnsi="宋体" w:cs="宋体"/>
          <w:b/>
          <w:color w:val="auto"/>
          <w:sz w:val="24"/>
          <w:highlight w:val="none"/>
        </w:rPr>
        <w:t>18.6有关问题的澄清</w:t>
      </w:r>
    </w:p>
    <w:p w14:paraId="42673893">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18.6.1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p>
    <w:p w14:paraId="46B58173">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18.6.2投标文件报价出现前后不一致的，除招标文件另有规定外，按照下列规定修正：</w:t>
      </w:r>
    </w:p>
    <w:p w14:paraId="090DFCB4">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①投标文件中开标一览表（报价表）内容与投标文件中相应内容不一致的，以开标一览表（报价表）为准；</w:t>
      </w:r>
    </w:p>
    <w:p w14:paraId="25C406DE">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②大写金额和小写金额不一致的，以大写金额为准；</w:t>
      </w:r>
    </w:p>
    <w:p w14:paraId="56AA8783">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③单价金额小数点或者百分比有明显错位的，以开标一览表的总价为准，并修改单价；</w:t>
      </w:r>
    </w:p>
    <w:p w14:paraId="4477111B">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④总价金额与按单价汇总金额不一致的，以单价金额计算结果为准。</w:t>
      </w:r>
    </w:p>
    <w:p w14:paraId="4FA035A2">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同时出现两种以上不一致的，按照前款规定的顺序修正。</w:t>
      </w:r>
    </w:p>
    <w:p w14:paraId="4C97F366">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18.6.3评标委员会将按上述修正错误的方法调整投标文件中的投标报价，并通过“苏采云”系统告知投标人，调整后的价格应对投标人具有约束力。投标人不接受修正后的价格，其投标将被拒绝。</w:t>
      </w:r>
    </w:p>
    <w:p w14:paraId="4120A788">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评标过程中，不得去掉报价中的最高报价和最低报价。</w:t>
      </w:r>
    </w:p>
    <w:p w14:paraId="1E2EC02F">
      <w:pPr>
        <w:spacing w:line="480" w:lineRule="exact"/>
        <w:ind w:firstLine="482"/>
        <w:rPr>
          <w:rFonts w:ascii="宋体" w:hAnsi="宋体" w:cs="宋体"/>
          <w:b/>
          <w:bCs/>
          <w:color w:val="auto"/>
          <w:sz w:val="24"/>
          <w:highlight w:val="none"/>
        </w:rPr>
      </w:pPr>
      <w:r>
        <w:rPr>
          <w:rFonts w:hint="eastAsia" w:ascii="宋体" w:hAnsi="宋体" w:cs="宋体"/>
          <w:b/>
          <w:bCs/>
          <w:color w:val="auto"/>
          <w:sz w:val="24"/>
          <w:highlight w:val="none"/>
        </w:rPr>
        <w:t>18.7异常低价投标审查</w:t>
      </w:r>
    </w:p>
    <w:p w14:paraId="5A0A64F0">
      <w:pPr>
        <w:spacing w:line="480" w:lineRule="exact"/>
        <w:ind w:firstLine="482"/>
        <w:rPr>
          <w:rFonts w:ascii="宋体" w:hAnsi="宋体" w:cs="宋体"/>
          <w:b/>
          <w:bCs/>
          <w:color w:val="auto"/>
          <w:sz w:val="24"/>
          <w:highlight w:val="none"/>
        </w:rPr>
      </w:pPr>
      <w:r>
        <w:rPr>
          <w:rFonts w:hint="eastAsia" w:ascii="宋体" w:hAnsi="宋体" w:cs="宋体"/>
          <w:b/>
          <w:bCs/>
          <w:color w:val="auto"/>
          <w:sz w:val="24"/>
          <w:highlight w:val="none"/>
        </w:rPr>
        <w:t>18.7.1 评标过程中出现下列情形之一的，评审委员会应当启动异常低价投标（响应）审查程序：</w:t>
      </w:r>
    </w:p>
    <w:p w14:paraId="09996EFC">
      <w:pPr>
        <w:spacing w:line="480" w:lineRule="exact"/>
        <w:ind w:firstLine="482"/>
        <w:rPr>
          <w:rFonts w:ascii="宋体" w:hAnsi="宋体" w:cs="宋体"/>
          <w:b/>
          <w:bCs/>
          <w:color w:val="auto"/>
          <w:sz w:val="24"/>
          <w:highlight w:val="none"/>
        </w:rPr>
      </w:pPr>
      <w:r>
        <w:rPr>
          <w:rFonts w:hint="eastAsia" w:ascii="宋体" w:hAnsi="宋体" w:cs="宋体"/>
          <w:b/>
          <w:bCs/>
          <w:color w:val="auto"/>
          <w:sz w:val="24"/>
          <w:highlight w:val="none"/>
        </w:rPr>
        <w:t>（1）投标(响应)报价低于全部通过符合性审查供应商投标(响应)报价平均值</w:t>
      </w:r>
      <w:r>
        <w:rPr>
          <w:rFonts w:hint="eastAsia" w:ascii="宋体" w:hAnsi="宋体" w:cs="宋体"/>
          <w:b/>
          <w:bCs/>
          <w:color w:val="auto"/>
          <w:sz w:val="24"/>
          <w:highlight w:val="none"/>
          <w:lang w:val="en-US" w:eastAsia="zh-CN"/>
        </w:rPr>
        <w:t>65</w:t>
      </w:r>
      <w:r>
        <w:rPr>
          <w:rFonts w:hint="eastAsia" w:ascii="宋体" w:hAnsi="宋体" w:cs="宋体"/>
          <w:b/>
          <w:bCs/>
          <w:color w:val="auto"/>
          <w:sz w:val="24"/>
          <w:highlight w:val="none"/>
        </w:rPr>
        <w:t>%的，即投标(响应)报价＜全部通过符合性审查供应商投标(响应)报价平均值×</w:t>
      </w:r>
      <w:r>
        <w:rPr>
          <w:rFonts w:hint="eastAsia" w:ascii="宋体" w:hAnsi="宋体" w:cs="宋体"/>
          <w:b/>
          <w:bCs/>
          <w:color w:val="auto"/>
          <w:sz w:val="24"/>
          <w:highlight w:val="none"/>
          <w:lang w:val="en-US" w:eastAsia="zh-CN"/>
        </w:rPr>
        <w:t>65</w:t>
      </w:r>
      <w:r>
        <w:rPr>
          <w:rFonts w:hint="eastAsia" w:ascii="宋体" w:hAnsi="宋体" w:cs="宋体"/>
          <w:b/>
          <w:bCs/>
          <w:color w:val="auto"/>
          <w:sz w:val="24"/>
          <w:highlight w:val="none"/>
        </w:rPr>
        <w:t>%;</w:t>
      </w:r>
    </w:p>
    <w:p w14:paraId="57FB5299">
      <w:pPr>
        <w:spacing w:line="480" w:lineRule="exact"/>
        <w:ind w:firstLine="482"/>
        <w:rPr>
          <w:rFonts w:ascii="宋体" w:hAnsi="宋体" w:cs="宋体"/>
          <w:b/>
          <w:bCs/>
          <w:color w:val="auto"/>
          <w:sz w:val="24"/>
          <w:highlight w:val="none"/>
        </w:rPr>
      </w:pPr>
      <w:r>
        <w:rPr>
          <w:rFonts w:hint="eastAsia" w:ascii="宋体" w:hAnsi="宋体" w:cs="宋体"/>
          <w:b/>
          <w:bCs/>
          <w:color w:val="auto"/>
          <w:sz w:val="24"/>
          <w:highlight w:val="none"/>
        </w:rPr>
        <w:t>（2）投标(响应)报价低于通过符合性审查的次低报价供应商投标(响应)报价</w:t>
      </w:r>
      <w:r>
        <w:rPr>
          <w:rFonts w:hint="eastAsia" w:ascii="宋体" w:hAnsi="宋体" w:cs="宋体"/>
          <w:b/>
          <w:bCs/>
          <w:color w:val="auto"/>
          <w:sz w:val="24"/>
          <w:highlight w:val="none"/>
          <w:lang w:val="en-US" w:eastAsia="zh-CN"/>
        </w:rPr>
        <w:t>65</w:t>
      </w:r>
      <w:r>
        <w:rPr>
          <w:rFonts w:hint="eastAsia" w:ascii="宋体" w:hAnsi="宋体" w:cs="宋体"/>
          <w:b/>
          <w:bCs/>
          <w:color w:val="auto"/>
          <w:sz w:val="24"/>
          <w:highlight w:val="none"/>
        </w:rPr>
        <w:t>%的，即投标(响应)报价＜通过符合性审查的次低报价供应商投标(响应)报价×</w:t>
      </w:r>
      <w:r>
        <w:rPr>
          <w:rFonts w:hint="eastAsia" w:ascii="宋体" w:hAnsi="宋体" w:cs="宋体"/>
          <w:b/>
          <w:bCs/>
          <w:color w:val="auto"/>
          <w:sz w:val="24"/>
          <w:highlight w:val="none"/>
          <w:lang w:val="en-US" w:eastAsia="zh-CN"/>
        </w:rPr>
        <w:t>65</w:t>
      </w:r>
      <w:r>
        <w:rPr>
          <w:rFonts w:hint="eastAsia" w:ascii="宋体" w:hAnsi="宋体" w:cs="宋体"/>
          <w:b/>
          <w:bCs/>
          <w:color w:val="auto"/>
          <w:sz w:val="24"/>
          <w:highlight w:val="none"/>
        </w:rPr>
        <w:t>%;</w:t>
      </w:r>
    </w:p>
    <w:p w14:paraId="5D814209">
      <w:pPr>
        <w:spacing w:line="480" w:lineRule="exact"/>
        <w:ind w:firstLine="482"/>
        <w:rPr>
          <w:rFonts w:ascii="宋体" w:hAnsi="宋体" w:cs="宋体"/>
          <w:b/>
          <w:bCs/>
          <w:color w:val="auto"/>
          <w:sz w:val="24"/>
          <w:highlight w:val="none"/>
        </w:rPr>
      </w:pPr>
      <w:r>
        <w:rPr>
          <w:rFonts w:hint="eastAsia" w:ascii="宋体" w:hAnsi="宋体" w:cs="宋体"/>
          <w:b/>
          <w:bCs/>
          <w:color w:val="auto"/>
          <w:sz w:val="24"/>
          <w:highlight w:val="none"/>
        </w:rPr>
        <w:t>（3）投标(响应)报价低于采购项目最高限价</w:t>
      </w:r>
      <w:r>
        <w:rPr>
          <w:rFonts w:hint="eastAsia" w:ascii="宋体" w:hAnsi="宋体" w:cs="宋体"/>
          <w:b/>
          <w:bCs/>
          <w:color w:val="auto"/>
          <w:sz w:val="24"/>
          <w:highlight w:val="none"/>
          <w:lang w:val="en-US" w:eastAsia="zh-CN"/>
        </w:rPr>
        <w:t>65</w:t>
      </w:r>
      <w:r>
        <w:rPr>
          <w:rFonts w:hint="eastAsia" w:ascii="宋体" w:hAnsi="宋体" w:cs="宋体"/>
          <w:b/>
          <w:bCs/>
          <w:color w:val="auto"/>
          <w:sz w:val="24"/>
          <w:highlight w:val="none"/>
        </w:rPr>
        <w:t>%的，即投标(响应)报价＜采购项目最高限价×</w:t>
      </w:r>
      <w:r>
        <w:rPr>
          <w:rFonts w:hint="eastAsia" w:ascii="宋体" w:hAnsi="宋体" w:cs="宋体"/>
          <w:b/>
          <w:bCs/>
          <w:color w:val="auto"/>
          <w:sz w:val="24"/>
          <w:highlight w:val="none"/>
          <w:lang w:val="en-US" w:eastAsia="zh-CN"/>
        </w:rPr>
        <w:t>65</w:t>
      </w:r>
      <w:r>
        <w:rPr>
          <w:rFonts w:hint="eastAsia" w:ascii="宋体" w:hAnsi="宋体" w:cs="宋体"/>
          <w:b/>
          <w:bCs/>
          <w:color w:val="auto"/>
          <w:sz w:val="24"/>
          <w:highlight w:val="none"/>
        </w:rPr>
        <w:t>%;</w:t>
      </w:r>
    </w:p>
    <w:p w14:paraId="40441A90">
      <w:pPr>
        <w:spacing w:line="480" w:lineRule="exact"/>
        <w:ind w:firstLine="482"/>
        <w:rPr>
          <w:rFonts w:ascii="宋体" w:hAnsi="宋体" w:cs="宋体"/>
          <w:b/>
          <w:bCs/>
          <w:color w:val="auto"/>
          <w:sz w:val="24"/>
          <w:highlight w:val="none"/>
        </w:rPr>
      </w:pPr>
      <w:r>
        <w:rPr>
          <w:rFonts w:hint="eastAsia" w:ascii="宋体" w:hAnsi="宋体" w:cs="宋体"/>
          <w:b/>
          <w:bCs/>
          <w:color w:val="auto"/>
          <w:sz w:val="24"/>
          <w:highlight w:val="none"/>
        </w:rPr>
        <w:t>（4）评审委员会基于专业判断，认为供应商报价过低，有可能影响产品质量或者不能诚信履约的其他情形。</w:t>
      </w:r>
    </w:p>
    <w:p w14:paraId="7F531CD8">
      <w:pPr>
        <w:spacing w:line="480" w:lineRule="exact"/>
        <w:ind w:firstLine="482"/>
        <w:rPr>
          <w:rFonts w:ascii="宋体" w:hAnsi="宋体" w:cs="宋体"/>
          <w:b/>
          <w:bCs/>
          <w:color w:val="auto"/>
          <w:sz w:val="24"/>
          <w:highlight w:val="none"/>
        </w:rPr>
      </w:pPr>
      <w:r>
        <w:rPr>
          <w:rFonts w:hint="eastAsia" w:ascii="宋体" w:hAnsi="宋体" w:cs="宋体"/>
          <w:b/>
          <w:bCs/>
          <w:color w:val="auto"/>
          <w:sz w:val="24"/>
          <w:highlight w:val="none"/>
        </w:rPr>
        <w:t>相关法律法规对供应商报价有规定的，从其规定。</w:t>
      </w:r>
    </w:p>
    <w:p w14:paraId="5D06DE98">
      <w:pPr>
        <w:spacing w:line="480" w:lineRule="exact"/>
        <w:ind w:firstLine="482"/>
        <w:rPr>
          <w:rFonts w:ascii="宋体" w:hAnsi="宋体" w:cs="宋体"/>
          <w:b/>
          <w:bCs/>
          <w:color w:val="auto"/>
          <w:sz w:val="24"/>
          <w:highlight w:val="none"/>
        </w:rPr>
      </w:pPr>
      <w:r>
        <w:rPr>
          <w:rFonts w:hint="eastAsia" w:ascii="宋体" w:hAnsi="宋体" w:cs="宋体"/>
          <w:b/>
          <w:bCs/>
          <w:color w:val="auto"/>
          <w:sz w:val="24"/>
          <w:highlight w:val="none"/>
        </w:rPr>
        <w:t>18.7.2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8DEDB9F">
      <w:pPr>
        <w:spacing w:line="480" w:lineRule="exact"/>
        <w:ind w:firstLine="482"/>
        <w:rPr>
          <w:rFonts w:ascii="宋体" w:hAnsi="宋体" w:cs="宋体"/>
          <w:b/>
          <w:bCs/>
          <w:color w:val="auto"/>
          <w:sz w:val="24"/>
          <w:highlight w:val="none"/>
        </w:rPr>
      </w:pPr>
      <w:r>
        <w:rPr>
          <w:rFonts w:hint="eastAsia" w:ascii="宋体" w:hAnsi="宋体" w:cs="宋体"/>
          <w:b/>
          <w:bCs/>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15FDFAF">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18.8比较</w:t>
      </w:r>
    </w:p>
    <w:p w14:paraId="6E00CFD0">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评标委员会将按招标文件中规定的评标方法和标准，对符合性检查合格的投标文件进行商务和技术评比。</w:t>
      </w:r>
    </w:p>
    <w:p w14:paraId="436C027A">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18.9推荐中标候选人</w:t>
      </w:r>
    </w:p>
    <w:p w14:paraId="37A07C2E">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评标委员会按照招标文件中规定的评标方法和标准推荐中标候选人。</w:t>
      </w:r>
    </w:p>
    <w:p w14:paraId="7EC77DA7">
      <w:pPr>
        <w:pStyle w:val="67"/>
        <w:spacing w:before="0" w:after="0" w:line="480" w:lineRule="exact"/>
        <w:ind w:firstLine="482"/>
        <w:rPr>
          <w:rFonts w:ascii="宋体" w:hAnsi="宋体" w:eastAsia="宋体" w:cs="宋体"/>
          <w:bCs/>
          <w:color w:val="auto"/>
          <w:sz w:val="24"/>
          <w:szCs w:val="24"/>
          <w:highlight w:val="none"/>
        </w:rPr>
      </w:pPr>
      <w:bookmarkStart w:id="91" w:name="_Toc81575196"/>
      <w:bookmarkStart w:id="92" w:name="_Toc8841"/>
      <w:bookmarkStart w:id="93" w:name="_Toc8712"/>
      <w:bookmarkStart w:id="94" w:name="_Toc81575159"/>
      <w:r>
        <w:rPr>
          <w:rFonts w:hint="eastAsia" w:ascii="宋体" w:hAnsi="宋体" w:eastAsia="宋体" w:cs="宋体"/>
          <w:bCs/>
          <w:color w:val="auto"/>
          <w:sz w:val="24"/>
          <w:szCs w:val="24"/>
          <w:highlight w:val="none"/>
        </w:rPr>
        <w:t>六、无效投标、废标、串通投标</w:t>
      </w:r>
      <w:bookmarkEnd w:id="91"/>
      <w:bookmarkEnd w:id="92"/>
      <w:bookmarkEnd w:id="93"/>
      <w:bookmarkEnd w:id="94"/>
      <w:r>
        <w:rPr>
          <w:rFonts w:hint="eastAsia" w:ascii="宋体" w:hAnsi="宋体" w:eastAsia="宋体" w:cs="宋体"/>
          <w:bCs/>
          <w:color w:val="auto"/>
          <w:sz w:val="24"/>
          <w:szCs w:val="24"/>
          <w:highlight w:val="none"/>
        </w:rPr>
        <w:t>及取消中标候选人资格情形</w:t>
      </w:r>
    </w:p>
    <w:p w14:paraId="3BAE8FF6">
      <w:pPr>
        <w:spacing w:line="480" w:lineRule="exact"/>
        <w:ind w:firstLine="482"/>
        <w:rPr>
          <w:rFonts w:ascii="宋体" w:hAnsi="宋体" w:cs="宋体"/>
          <w:b/>
          <w:color w:val="auto"/>
          <w:sz w:val="24"/>
          <w:highlight w:val="none"/>
        </w:rPr>
      </w:pPr>
      <w:r>
        <w:rPr>
          <w:rFonts w:hint="eastAsia" w:ascii="宋体" w:hAnsi="宋体" w:cs="宋体"/>
          <w:b/>
          <w:color w:val="auto"/>
          <w:sz w:val="24"/>
          <w:highlight w:val="none"/>
        </w:rPr>
        <w:t>19、无效投标情形</w:t>
      </w:r>
    </w:p>
    <w:p w14:paraId="41B8D65B">
      <w:pPr>
        <w:spacing w:line="480" w:lineRule="exact"/>
        <w:ind w:firstLine="480"/>
        <w:rPr>
          <w:rFonts w:ascii="宋体" w:hAnsi="宋体" w:cs="宋体"/>
          <w:strike/>
          <w:color w:val="auto"/>
          <w:sz w:val="24"/>
          <w:szCs w:val="24"/>
          <w:highlight w:val="none"/>
        </w:rPr>
      </w:pPr>
      <w:r>
        <w:rPr>
          <w:rFonts w:hint="eastAsia" w:ascii="宋体" w:hAnsi="宋体" w:cs="宋体"/>
          <w:color w:val="auto"/>
          <w:sz w:val="24"/>
          <w:szCs w:val="24"/>
          <w:highlight w:val="none"/>
        </w:rPr>
        <w:t>19.1投标人同一采购包提交两个（含两个）以上不同的投标报价的。</w:t>
      </w:r>
    </w:p>
    <w:p w14:paraId="68BBA9AF">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19.2投标人不符合招标文件规定资格要求的或未按规定提交资质证件的。</w:t>
      </w:r>
    </w:p>
    <w:p w14:paraId="0BD8274D">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19.3投标人的报价超过了采购预算或最高限价的。</w:t>
      </w:r>
    </w:p>
    <w:p w14:paraId="09832367">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19.4投标文件未通过符合性审查的。</w:t>
      </w:r>
    </w:p>
    <w:p w14:paraId="4476C12C">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19.5投标文件出现重大偏离，不符合招标文件中规定的实质性要求的（★部分为实质性要求）。</w:t>
      </w:r>
    </w:p>
    <w:p w14:paraId="0296230F">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19.6评标委员会认为投标人的报价明显低于其他通过符合性审查投标人的报价，有可能影响产品质量或者不能诚信履约的，且投标人不能在合理的时间内提供说明，证明其报价合理性的。</w:t>
      </w:r>
    </w:p>
    <w:p w14:paraId="738A60E0">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19.7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3120DE4E">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19.8投标文件未按照招标文件要求加盖CA电子公章的。</w:t>
      </w:r>
    </w:p>
    <w:p w14:paraId="000AE6B6">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19.9投标人有本招标文件规定的恶意串通投标情形的。</w:t>
      </w:r>
    </w:p>
    <w:p w14:paraId="0F66F3BC">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19.10投标文件含有采购人不能接受的附加条件的。</w:t>
      </w:r>
    </w:p>
    <w:p w14:paraId="261E2E57">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19.11投标人所投标产品不符合招标文件中所列国家强制性标准的。</w:t>
      </w:r>
    </w:p>
    <w:p w14:paraId="406BF3D8">
      <w:pPr>
        <w:spacing w:line="480" w:lineRule="exact"/>
        <w:ind w:firstLine="480"/>
        <w:rPr>
          <w:rFonts w:ascii="宋体" w:hAnsi="宋体" w:cs="宋体"/>
          <w:color w:val="auto"/>
          <w:sz w:val="24"/>
          <w:highlight w:val="none"/>
        </w:rPr>
      </w:pPr>
      <w:r>
        <w:rPr>
          <w:rFonts w:hint="eastAsia" w:ascii="宋体" w:hAnsi="宋体" w:cs="宋体"/>
          <w:color w:val="auto"/>
          <w:sz w:val="24"/>
          <w:szCs w:val="24"/>
          <w:highlight w:val="none"/>
        </w:rPr>
        <w:t>19.12其他法律、法规及本招标文件规定的属无效投标的情形。</w:t>
      </w:r>
    </w:p>
    <w:p w14:paraId="561D5769">
      <w:pPr>
        <w:spacing w:line="480" w:lineRule="exact"/>
        <w:ind w:firstLine="482"/>
        <w:rPr>
          <w:rFonts w:ascii="宋体" w:hAnsi="宋体" w:cs="宋体"/>
          <w:b/>
          <w:color w:val="auto"/>
          <w:sz w:val="24"/>
          <w:highlight w:val="none"/>
        </w:rPr>
      </w:pPr>
      <w:r>
        <w:rPr>
          <w:rFonts w:hint="eastAsia" w:ascii="宋体" w:hAnsi="宋体" w:cs="宋体"/>
          <w:b/>
          <w:color w:val="auto"/>
          <w:sz w:val="24"/>
          <w:highlight w:val="none"/>
        </w:rPr>
        <w:t>20、废标情形</w:t>
      </w:r>
    </w:p>
    <w:p w14:paraId="693DAC20">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20.1符合专业条件的投标人或者对招标文件作实质响应的投标人不足三家的。</w:t>
      </w:r>
    </w:p>
    <w:p w14:paraId="6424EDFE">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20.2出现影响采购公正的违法、违规行为的。</w:t>
      </w:r>
    </w:p>
    <w:p w14:paraId="3383AB53">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20.3因重大变故，采购任务取消的。</w:t>
      </w:r>
    </w:p>
    <w:p w14:paraId="3A163D11">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20.4评标委员会认定招标文件存在歧义、重大缺陷导致评审工作无法进行的。</w:t>
      </w:r>
    </w:p>
    <w:p w14:paraId="07720F14">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20.5在“苏采云”系统规定时间内成功解密电子投标文件的投标人不足3家的。</w:t>
      </w:r>
    </w:p>
    <w:p w14:paraId="5A28E057">
      <w:pPr>
        <w:spacing w:line="480" w:lineRule="exact"/>
        <w:ind w:firstLine="482"/>
        <w:rPr>
          <w:rFonts w:ascii="宋体" w:hAnsi="宋体" w:cs="宋体"/>
          <w:b/>
          <w:color w:val="auto"/>
          <w:sz w:val="24"/>
          <w:highlight w:val="none"/>
        </w:rPr>
      </w:pPr>
      <w:r>
        <w:rPr>
          <w:rFonts w:hint="eastAsia" w:ascii="宋体" w:hAnsi="宋体" w:cs="宋体"/>
          <w:b/>
          <w:color w:val="auto"/>
          <w:sz w:val="24"/>
          <w:highlight w:val="none"/>
        </w:rPr>
        <w:t>21、投标人不足三家情形处理</w:t>
      </w:r>
    </w:p>
    <w:p w14:paraId="0D1577EE">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投标截止后投标人不足3家或者通过资格审查或符合性审查的投标人不足3家的，除采购任务取消情形外，按财政部令第87号第四十三条条款进行处理。</w:t>
      </w:r>
    </w:p>
    <w:p w14:paraId="42D7FFAE">
      <w:pPr>
        <w:spacing w:line="480" w:lineRule="exact"/>
        <w:ind w:firstLine="482"/>
        <w:rPr>
          <w:rFonts w:ascii="宋体" w:hAnsi="宋体" w:cs="宋体"/>
          <w:b/>
          <w:color w:val="auto"/>
          <w:sz w:val="24"/>
          <w:highlight w:val="none"/>
        </w:rPr>
      </w:pPr>
      <w:r>
        <w:rPr>
          <w:rFonts w:hint="eastAsia" w:ascii="宋体" w:hAnsi="宋体" w:cs="宋体"/>
          <w:b/>
          <w:color w:val="auto"/>
          <w:sz w:val="24"/>
          <w:highlight w:val="none"/>
        </w:rPr>
        <w:t>22、串通投标情形</w:t>
      </w:r>
    </w:p>
    <w:p w14:paraId="2CBAC365">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有下列情形之一的，属于恶意串通投标：</w:t>
      </w:r>
    </w:p>
    <w:p w14:paraId="48DAA607">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22.1供应商直接或间接从采购人或采购代理机构处获得其他供应商的投标情况，并修改其投标文件；</w:t>
      </w:r>
    </w:p>
    <w:p w14:paraId="2A672E97">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22.2评审活动开始前供应商直接或间接从采购人或采购代理机构处获得评标委员会组成人员情况；</w:t>
      </w:r>
    </w:p>
    <w:p w14:paraId="46E139F5">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22.3供应商接受采购人或采购代理机构授意撤换、修改投标文件；</w:t>
      </w:r>
    </w:p>
    <w:p w14:paraId="17252630">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22.4供应商之间协商投标报价、技术方案等投标文件实质性内容；</w:t>
      </w:r>
    </w:p>
    <w:p w14:paraId="7C1D8903">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22.5属于同一集团、协会、商会等组织成员的供应商按照该组织要求协同投标；</w:t>
      </w:r>
    </w:p>
    <w:p w14:paraId="0D85ABB4">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22.6供应商之间事先约定由某一特定供应商中标、成交；</w:t>
      </w:r>
    </w:p>
    <w:p w14:paraId="538AC932">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22.7供应商之间商定部分供应商放弃投标或者放弃中标、成交；</w:t>
      </w:r>
    </w:p>
    <w:p w14:paraId="569BD47B">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22.8供应商与采购人或采购代理机构之间、供应商相互之间为谋求特定供应商中标成交或者排斥其他供应商的其他串通行为；</w:t>
      </w:r>
    </w:p>
    <w:p w14:paraId="19F5F9AD">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有下列情形之一的，视为投标人串通投标，其投标无效：</w:t>
      </w:r>
    </w:p>
    <w:p w14:paraId="60BC35FE">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22.9不同投标人的投标文件由同一单位或者个人编制；</w:t>
      </w:r>
    </w:p>
    <w:p w14:paraId="15CFC281">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22.10不同投标人委托同一单位或者个人办理投标事宜；</w:t>
      </w:r>
    </w:p>
    <w:p w14:paraId="2AF50743">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22.11不同投标人的投标文件载明的项目管理成员或者联系人员为同一人；</w:t>
      </w:r>
    </w:p>
    <w:p w14:paraId="5940740A">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22.12不同投标人的投标文件异常一致或者投标报价呈规律性差异；</w:t>
      </w:r>
    </w:p>
    <w:p w14:paraId="7460FF0A">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22.13不同投标人的投标文件相互混装；</w:t>
      </w:r>
    </w:p>
    <w:p w14:paraId="22B35305">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22.14不同投标人的投标保证金从同一单位或者个人的账户转出。</w:t>
      </w:r>
    </w:p>
    <w:p w14:paraId="7367B0DA">
      <w:pPr>
        <w:spacing w:line="480" w:lineRule="exact"/>
        <w:ind w:firstLine="482"/>
        <w:rPr>
          <w:rFonts w:ascii="宋体" w:hAnsi="宋体" w:cs="宋体"/>
          <w:b/>
          <w:color w:val="auto"/>
          <w:sz w:val="24"/>
          <w:highlight w:val="none"/>
        </w:rPr>
      </w:pPr>
      <w:r>
        <w:rPr>
          <w:rFonts w:hint="eastAsia" w:ascii="宋体" w:hAnsi="宋体" w:cs="宋体"/>
          <w:b/>
          <w:color w:val="auto"/>
          <w:sz w:val="24"/>
          <w:highlight w:val="none"/>
        </w:rPr>
        <w:t>23、</w:t>
      </w:r>
      <w:bookmarkStart w:id="95" w:name="OLE_LINK4"/>
      <w:r>
        <w:rPr>
          <w:rFonts w:hint="eastAsia" w:ascii="宋体" w:hAnsi="宋体" w:cs="宋体"/>
          <w:b/>
          <w:color w:val="auto"/>
          <w:sz w:val="24"/>
          <w:highlight w:val="none"/>
        </w:rPr>
        <w:t>取消中标候选人资格情形</w:t>
      </w:r>
      <w:bookmarkEnd w:id="95"/>
    </w:p>
    <w:p w14:paraId="47969648">
      <w:pPr>
        <w:spacing w:line="480" w:lineRule="exact"/>
        <w:ind w:firstLine="480"/>
        <w:rPr>
          <w:rFonts w:ascii="宋体" w:hAnsi="宋体" w:cs="宋体"/>
          <w:color w:val="auto"/>
          <w:sz w:val="24"/>
          <w:szCs w:val="24"/>
          <w:highlight w:val="none"/>
        </w:rPr>
      </w:pPr>
      <w:bookmarkStart w:id="96" w:name="_Toc81575198"/>
      <w:bookmarkStart w:id="97" w:name="_Toc81575161"/>
      <w:bookmarkStart w:id="98" w:name="_Toc6494"/>
      <w:bookmarkStart w:id="99" w:name="_Toc2391"/>
      <w:r>
        <w:rPr>
          <w:rFonts w:hint="eastAsia" w:ascii="宋体" w:hAnsi="宋体" w:cs="宋体"/>
          <w:color w:val="auto"/>
          <w:sz w:val="24"/>
          <w:szCs w:val="24"/>
          <w:highlight w:val="none"/>
        </w:rPr>
        <w:t>23.1提供虚假材料谋取中标的；</w:t>
      </w:r>
    </w:p>
    <w:p w14:paraId="2A18F929">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23.2采取不正当手段诋毁、排挤其他投标人的；</w:t>
      </w:r>
    </w:p>
    <w:p w14:paraId="104EE994">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23.3与采购人、其他投标人或者采购代理机构恶意串通的；</w:t>
      </w:r>
    </w:p>
    <w:p w14:paraId="577A4768">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23.4向采购人、采购代理机构行贿或者提供其他不正当利益的；</w:t>
      </w:r>
    </w:p>
    <w:p w14:paraId="17F13F39">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23.5未在规定时间内与采购人签订采购合同的；</w:t>
      </w:r>
    </w:p>
    <w:p w14:paraId="4BFF4597">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23.6法律、法规规定的其他情况。</w:t>
      </w:r>
    </w:p>
    <w:p w14:paraId="1C3C232B">
      <w:pPr>
        <w:spacing w:line="480" w:lineRule="exact"/>
        <w:ind w:firstLine="482"/>
        <w:outlineLvl w:val="1"/>
        <w:rPr>
          <w:rFonts w:ascii="宋体" w:hAnsi="宋体" w:cs="宋体"/>
          <w:b/>
          <w:bCs/>
          <w:color w:val="auto"/>
          <w:sz w:val="24"/>
          <w:highlight w:val="none"/>
        </w:rPr>
      </w:pPr>
      <w:r>
        <w:rPr>
          <w:rFonts w:hint="eastAsia" w:ascii="宋体" w:hAnsi="宋体" w:cs="宋体"/>
          <w:b/>
          <w:bCs/>
          <w:color w:val="auto"/>
          <w:sz w:val="24"/>
          <w:highlight w:val="none"/>
        </w:rPr>
        <w:t>七、中标及合同签订</w:t>
      </w:r>
      <w:bookmarkEnd w:id="96"/>
      <w:bookmarkEnd w:id="97"/>
      <w:bookmarkEnd w:id="98"/>
      <w:bookmarkEnd w:id="99"/>
    </w:p>
    <w:p w14:paraId="54944ED5">
      <w:pPr>
        <w:spacing w:line="480" w:lineRule="exact"/>
        <w:ind w:firstLine="482"/>
        <w:rPr>
          <w:rFonts w:ascii="宋体" w:hAnsi="宋体" w:cs="宋体"/>
          <w:b/>
          <w:color w:val="auto"/>
          <w:sz w:val="24"/>
          <w:highlight w:val="none"/>
        </w:rPr>
      </w:pPr>
      <w:r>
        <w:rPr>
          <w:rFonts w:hint="eastAsia" w:ascii="宋体" w:hAnsi="宋体" w:cs="宋体"/>
          <w:b/>
          <w:color w:val="auto"/>
          <w:sz w:val="24"/>
          <w:highlight w:val="none"/>
        </w:rPr>
        <w:t>24、确定中标人</w:t>
      </w:r>
    </w:p>
    <w:p w14:paraId="7108B3E0">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24.1采购人应当自收到评审报告之日起5个工作日内在评审报告推荐的中标候选人中按顺序确定中标人。</w:t>
      </w:r>
    </w:p>
    <w:p w14:paraId="2B1AAD40">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24.2中标人确定之日起2个工作日内，采购人、采购代理机构将发布中标结果，中标公告的公告期限为1个工作日。</w:t>
      </w:r>
    </w:p>
    <w:p w14:paraId="489973A9">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24.3采购人确定正被列为失信被执行人的投标人为中标人的，中标结果无效。</w:t>
      </w:r>
    </w:p>
    <w:p w14:paraId="42737E18">
      <w:pPr>
        <w:spacing w:line="480" w:lineRule="exact"/>
        <w:ind w:firstLine="482"/>
        <w:rPr>
          <w:rFonts w:ascii="宋体" w:hAnsi="宋体" w:cs="宋体"/>
          <w:b/>
          <w:color w:val="auto"/>
          <w:sz w:val="24"/>
          <w:highlight w:val="none"/>
        </w:rPr>
      </w:pPr>
      <w:r>
        <w:rPr>
          <w:rFonts w:hint="eastAsia" w:ascii="宋体" w:hAnsi="宋体" w:cs="宋体"/>
          <w:b/>
          <w:color w:val="auto"/>
          <w:sz w:val="24"/>
          <w:highlight w:val="none"/>
        </w:rPr>
        <w:t>25、中标通知书</w:t>
      </w:r>
    </w:p>
    <w:p w14:paraId="4AD25E36">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25.1在公告中标结果的同时，采购代理机构将向中标人发出中标通知书。中标人使用CA数字证书登录“苏采云”系统及时下载中标通知书。</w:t>
      </w:r>
    </w:p>
    <w:p w14:paraId="11AA6AF9">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25.2中标通知书发出后，采购人改变中标结果的，或者中标人放弃中标项目的，应当依法承担法律责任。</w:t>
      </w:r>
    </w:p>
    <w:p w14:paraId="3FCBA4DF">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25.3采用综合评分法评审的，未中标人可于中标结果公告期限届满之日起通过“苏采云”系统查看</w:t>
      </w:r>
      <w:bookmarkStart w:id="100" w:name="OLE_LINK5"/>
      <w:r>
        <w:rPr>
          <w:rFonts w:hint="eastAsia" w:ascii="宋体" w:hAnsi="宋体" w:cs="宋体"/>
          <w:color w:val="auto"/>
          <w:sz w:val="24"/>
          <w:highlight w:val="none"/>
        </w:rPr>
        <w:t>自己的评审得分及排序情况。</w:t>
      </w:r>
      <w:bookmarkEnd w:id="100"/>
    </w:p>
    <w:p w14:paraId="3C4175B8">
      <w:pPr>
        <w:spacing w:line="480" w:lineRule="exact"/>
        <w:ind w:firstLine="482"/>
        <w:rPr>
          <w:rFonts w:ascii="宋体" w:hAnsi="宋体" w:cs="宋体"/>
          <w:b/>
          <w:color w:val="auto"/>
          <w:sz w:val="24"/>
          <w:highlight w:val="none"/>
        </w:rPr>
      </w:pPr>
      <w:r>
        <w:rPr>
          <w:rFonts w:hint="eastAsia" w:ascii="宋体" w:hAnsi="宋体" w:cs="宋体"/>
          <w:b/>
          <w:color w:val="auto"/>
          <w:sz w:val="24"/>
          <w:highlight w:val="none"/>
        </w:rPr>
        <w:t>26、授予合同</w:t>
      </w:r>
    </w:p>
    <w:p w14:paraId="57AF42B3">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26.1采购人与中标人应当在中标通知书发出之日起15日内签订政府采购合同。招标文件、中标人的投标文件以及评标过程中有关澄清文件均作为合同附件。</w:t>
      </w:r>
    </w:p>
    <w:p w14:paraId="61744A65">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26.2采购人在自合同签订之日起2个工作日内，将合同在指定的媒体上公告。</w:t>
      </w:r>
    </w:p>
    <w:p w14:paraId="487A98B6">
      <w:pPr>
        <w:spacing w:line="480" w:lineRule="exact"/>
        <w:ind w:firstLine="482"/>
        <w:rPr>
          <w:rFonts w:ascii="宋体" w:hAnsi="宋体" w:cs="宋体"/>
          <w:b/>
          <w:color w:val="auto"/>
          <w:sz w:val="24"/>
          <w:highlight w:val="none"/>
        </w:rPr>
      </w:pPr>
      <w:r>
        <w:rPr>
          <w:rFonts w:hint="eastAsia" w:ascii="宋体" w:hAnsi="宋体" w:cs="宋体"/>
          <w:b/>
          <w:color w:val="auto"/>
          <w:sz w:val="24"/>
          <w:highlight w:val="none"/>
        </w:rPr>
        <w:t>27、履约保证金</w:t>
      </w:r>
    </w:p>
    <w:p w14:paraId="33E1B100">
      <w:pPr>
        <w:spacing w:line="480" w:lineRule="exact"/>
        <w:ind w:firstLine="480"/>
        <w:rPr>
          <w:rFonts w:ascii="宋体" w:hAnsi="宋体" w:cs="宋体"/>
          <w:color w:val="auto"/>
          <w:sz w:val="24"/>
          <w:highlight w:val="none"/>
          <w:lang w:val="zh-CN"/>
        </w:rPr>
      </w:pPr>
      <w:r>
        <w:rPr>
          <w:rFonts w:hint="eastAsia" w:ascii="宋体" w:hAnsi="宋体" w:cs="宋体"/>
          <w:color w:val="auto"/>
          <w:sz w:val="24"/>
          <w:highlight w:val="none"/>
          <w:lang w:val="zh-CN"/>
        </w:rPr>
        <w:t>按照以下第</w:t>
      </w:r>
      <w:r>
        <w:rPr>
          <w:rFonts w:hint="eastAsia" w:ascii="宋体" w:hAnsi="宋体" w:cs="宋体"/>
          <w:color w:val="auto"/>
          <w:sz w:val="24"/>
          <w:highlight w:val="none"/>
          <w:u w:val="single"/>
        </w:rPr>
        <w:t>（2）</w:t>
      </w:r>
      <w:r>
        <w:rPr>
          <w:rFonts w:hint="eastAsia" w:ascii="宋体" w:hAnsi="宋体" w:cs="宋体"/>
          <w:color w:val="auto"/>
          <w:sz w:val="24"/>
          <w:highlight w:val="none"/>
          <w:lang w:val="zh-CN"/>
        </w:rPr>
        <w:t>方式确定履约保证</w:t>
      </w:r>
      <w:r>
        <w:rPr>
          <w:rFonts w:hint="eastAsia" w:ascii="宋体" w:hAnsi="宋体" w:cs="宋体"/>
          <w:color w:val="auto"/>
          <w:sz w:val="24"/>
          <w:highlight w:val="none"/>
        </w:rPr>
        <w:t>金</w:t>
      </w:r>
      <w:r>
        <w:rPr>
          <w:rFonts w:hint="eastAsia" w:ascii="宋体" w:hAnsi="宋体" w:cs="宋体"/>
          <w:color w:val="auto"/>
          <w:sz w:val="24"/>
          <w:highlight w:val="none"/>
          <w:lang w:val="zh-CN"/>
        </w:rPr>
        <w:t>收取方式。</w:t>
      </w:r>
    </w:p>
    <w:p w14:paraId="4641BED2">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（1）本项目不收取履约保证金。</w:t>
      </w:r>
    </w:p>
    <w:p w14:paraId="72A87EDB">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（2）本项目收取履约保证金。</w:t>
      </w:r>
    </w:p>
    <w:p w14:paraId="5CBDAF7E">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27.1履约保证金提交形式</w:t>
      </w:r>
    </w:p>
    <w:p w14:paraId="3B2255B8">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履约保证金应</w:t>
      </w:r>
      <w:r>
        <w:rPr>
          <w:rFonts w:hint="eastAsia" w:ascii="宋体" w:hAnsi="宋体" w:cs="宋体"/>
          <w:color w:val="auto"/>
          <w:sz w:val="24"/>
          <w:highlight w:val="none"/>
          <w:lang w:val="zh-CN"/>
        </w:rPr>
        <w:t>在中标公告发布之日起7日历天内提交。</w:t>
      </w:r>
      <w:r>
        <w:rPr>
          <w:rFonts w:hint="eastAsia" w:ascii="宋体" w:hAnsi="宋体" w:cs="宋体"/>
          <w:color w:val="auto"/>
          <w:sz w:val="24"/>
          <w:highlight w:val="none"/>
        </w:rPr>
        <w:t>除银行电汇、网上银行、数字人民币外，投标人还可选用银行保函、担保公司的保证担保或保险公司的保证保险等多种形式向采购人缴纳。</w:t>
      </w:r>
    </w:p>
    <w:p w14:paraId="49910680">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27.2履约保证金提交金额</w:t>
      </w:r>
    </w:p>
    <w:p w14:paraId="5EE341C2">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按采购合同总价的</w:t>
      </w:r>
      <w:r>
        <w:rPr>
          <w:rFonts w:hint="eastAsia" w:ascii="宋体" w:hAnsi="宋体" w:cs="宋体"/>
          <w:color w:val="auto"/>
          <w:sz w:val="24"/>
          <w:highlight w:val="none"/>
          <w:u w:val="single"/>
        </w:rPr>
        <w:t>2</w:t>
      </w:r>
      <w:r>
        <w:rPr>
          <w:rFonts w:hint="eastAsia" w:ascii="宋体" w:hAnsi="宋体" w:cs="宋体"/>
          <w:color w:val="auto"/>
          <w:sz w:val="24"/>
          <w:highlight w:val="none"/>
        </w:rPr>
        <w:t>%提交。</w:t>
      </w:r>
    </w:p>
    <w:p w14:paraId="06F6DBDC">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 xml:space="preserve">支持和鼓励投标人使用江苏政府采购电子履约保函（保险）代替缴纳履约保证金，投标人如使用江苏政府采购电子履约保函（保险）的，可按采购合同总价的 </w:t>
      </w:r>
      <w:r>
        <w:rPr>
          <w:rFonts w:hint="eastAsia" w:ascii="宋体" w:hAnsi="宋体" w:cs="宋体"/>
          <w:color w:val="auto"/>
          <w:sz w:val="24"/>
          <w:highlight w:val="none"/>
          <w:u w:val="single"/>
        </w:rPr>
        <w:t>1.2</w:t>
      </w:r>
      <w:r>
        <w:rPr>
          <w:rFonts w:hint="eastAsia" w:ascii="宋体" w:hAnsi="宋体" w:cs="宋体"/>
          <w:color w:val="auto"/>
          <w:sz w:val="24"/>
          <w:highlight w:val="none"/>
        </w:rPr>
        <w:t xml:space="preserve"> %（履约保证金原提交金额的6折）提交。办理流程、偿付等内容见江苏政府采购网“保险保函”模块。</w:t>
      </w:r>
    </w:p>
    <w:p w14:paraId="09AF42E5">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27.3履约保证金退还方式</w:t>
      </w:r>
    </w:p>
    <w:p w14:paraId="1BE056E2">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以银行电汇、网上银行、数字人民币形式缴纳履约保证金的，退回至投标人存款账户或数字人民币账户；以保函、担保、保险等形式缴纳履约保证金的，在保函、担保、保险约定的保证期限届满之日起自行失效。</w:t>
      </w:r>
    </w:p>
    <w:p w14:paraId="0A7F2E2F">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27.4履约保证金退还条件，按以下第</w:t>
      </w:r>
      <w:r>
        <w:rPr>
          <w:rFonts w:hint="eastAsia" w:ascii="宋体" w:hAnsi="宋体" w:cs="宋体"/>
          <w:color w:val="auto"/>
          <w:sz w:val="24"/>
          <w:highlight w:val="none"/>
          <w:u w:val="single"/>
        </w:rPr>
        <w:t xml:space="preserve"> a </w:t>
      </w:r>
      <w:r>
        <w:rPr>
          <w:rFonts w:hint="eastAsia" w:ascii="宋体" w:hAnsi="宋体" w:cs="宋体"/>
          <w:color w:val="auto"/>
          <w:sz w:val="24"/>
          <w:highlight w:val="none"/>
        </w:rPr>
        <w:t>方式执行：</w:t>
      </w:r>
    </w:p>
    <w:p w14:paraId="233EDDC9">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a、货物类项目，项目验收合格，出具验收报告及履约保证金收据申请退付；</w:t>
      </w:r>
    </w:p>
    <w:p w14:paraId="183B671E">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b、服务类项目，项目履约期满评价合格，出具履约评价报告及履约保证金收据申请退付；</w:t>
      </w:r>
    </w:p>
    <w:p w14:paraId="46C76FF4">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c、工程类项目，项目完工验收合格，出具完工证明及履约保证金收据申请退付；</w:t>
      </w:r>
    </w:p>
    <w:p w14:paraId="6438E288">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27.5履约保证金退还时间</w:t>
      </w:r>
    </w:p>
    <w:p w14:paraId="30BF7372">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采购人收到投标人退付申请后5个工作日内退还。</w:t>
      </w:r>
    </w:p>
    <w:p w14:paraId="3D3014CD">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27.6履约保证金不予退还情形</w:t>
      </w:r>
    </w:p>
    <w:p w14:paraId="65B7B5ED">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除不可抗力外，中标人不履行与采购人订立的采购合同的，履约保证金不予退还，给采购人造成的损失超过履约保证金数额的，还应对超过部分予以赔偿。</w:t>
      </w:r>
    </w:p>
    <w:p w14:paraId="3ECD3004">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27.7逾期退还履约保证金违约责任</w:t>
      </w:r>
    </w:p>
    <w:p w14:paraId="79E3BBDA">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采购人逾期退还履约保证金的，除应退还履约保证金外，还应按中国人民银行同期贷款基准利率上浮20％后的利率支付超期资金占用费，但因投标人自身原因导致无法及时退还的除外。</w:t>
      </w:r>
    </w:p>
    <w:p w14:paraId="6F332FB2">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27.8如中标人未在规定时间内缴纳履约保证金，视为虚假承诺，采购人有权报请财政部门进行处理。</w:t>
      </w:r>
    </w:p>
    <w:p w14:paraId="62DDAA84">
      <w:pPr>
        <w:spacing w:line="480" w:lineRule="exact"/>
        <w:ind w:firstLine="482"/>
        <w:rPr>
          <w:rFonts w:ascii="宋体" w:hAnsi="宋体" w:cs="宋体"/>
          <w:b/>
          <w:bCs/>
          <w:color w:val="auto"/>
          <w:sz w:val="24"/>
          <w:highlight w:val="none"/>
        </w:rPr>
      </w:pPr>
      <w:r>
        <w:rPr>
          <w:rFonts w:hint="eastAsia" w:ascii="宋体" w:hAnsi="宋体" w:cs="宋体"/>
          <w:b/>
          <w:color w:val="auto"/>
          <w:sz w:val="24"/>
          <w:highlight w:val="none"/>
        </w:rPr>
        <w:t>28、</w:t>
      </w:r>
      <w:r>
        <w:rPr>
          <w:rFonts w:hint="eastAsia" w:ascii="宋体" w:hAnsi="宋体" w:cs="宋体"/>
          <w:b/>
          <w:color w:val="auto"/>
          <w:sz w:val="24"/>
          <w:szCs w:val="24"/>
          <w:highlight w:val="none"/>
        </w:rPr>
        <w:t>政府采购履约资金扶持政策</w:t>
      </w:r>
    </w:p>
    <w:p w14:paraId="10231F63">
      <w:pPr>
        <w:spacing w:line="48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中标供应商可凭政府采购合同办理融资贷款，详情请见江苏政府采购网“政采贷”专栏。</w:t>
      </w:r>
    </w:p>
    <w:p w14:paraId="39CD8FA4">
      <w:pPr>
        <w:spacing w:line="480" w:lineRule="exact"/>
        <w:ind w:firstLine="482"/>
        <w:rPr>
          <w:rFonts w:ascii="宋体" w:hAnsi="宋体" w:cs="宋体"/>
          <w:color w:val="auto"/>
          <w:sz w:val="24"/>
          <w:highlight w:val="none"/>
        </w:rPr>
      </w:pPr>
      <w:r>
        <w:rPr>
          <w:rFonts w:hint="eastAsia" w:ascii="宋体" w:hAnsi="宋体" w:cs="宋体"/>
          <w:b/>
          <w:color w:val="auto"/>
          <w:sz w:val="24"/>
          <w:highlight w:val="none"/>
        </w:rPr>
        <w:t>29、合同履行</w:t>
      </w:r>
    </w:p>
    <w:p w14:paraId="4F527B9A">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29.1政府采购合同订立后，合同各方不得擅自变更、中止或者终止合同。</w:t>
      </w:r>
    </w:p>
    <w:p w14:paraId="694B68A7">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29.2政府采购合同履行中，采购人需追加与合同标的相同的货物、工程或者服务的，在不改变合同其他条款的前提下，可以与中标人签订补充合同，但所补充合同的采购金额不得超过原采购金额的10%。</w:t>
      </w:r>
    </w:p>
    <w:p w14:paraId="396D5914">
      <w:pPr>
        <w:pStyle w:val="67"/>
        <w:spacing w:before="0" w:after="0" w:line="480" w:lineRule="exact"/>
        <w:ind w:firstLine="482"/>
        <w:rPr>
          <w:rFonts w:ascii="宋体" w:hAnsi="宋体" w:eastAsia="宋体" w:cs="宋体"/>
          <w:bCs/>
          <w:color w:val="auto"/>
          <w:sz w:val="24"/>
          <w:szCs w:val="24"/>
          <w:highlight w:val="none"/>
        </w:rPr>
      </w:pPr>
      <w:bookmarkStart w:id="101" w:name="_Toc7550"/>
      <w:bookmarkStart w:id="102" w:name="_Toc81575162"/>
      <w:bookmarkStart w:id="103" w:name="_Toc22084"/>
      <w:bookmarkStart w:id="104" w:name="_Toc81575199"/>
      <w:r>
        <w:rPr>
          <w:rFonts w:hint="eastAsia" w:ascii="宋体" w:hAnsi="宋体" w:eastAsia="宋体" w:cs="宋体"/>
          <w:bCs/>
          <w:color w:val="auto"/>
          <w:sz w:val="24"/>
          <w:szCs w:val="24"/>
          <w:highlight w:val="none"/>
        </w:rPr>
        <w:t>八、</w:t>
      </w:r>
      <w:bookmarkEnd w:id="101"/>
      <w:bookmarkEnd w:id="102"/>
      <w:bookmarkEnd w:id="103"/>
      <w:bookmarkEnd w:id="104"/>
      <w:bookmarkStart w:id="105" w:name="_Toc81575200"/>
      <w:bookmarkStart w:id="106" w:name="_Toc81575163"/>
      <w:bookmarkStart w:id="107" w:name="_Toc31888"/>
      <w:bookmarkStart w:id="108" w:name="_Toc12263"/>
      <w:r>
        <w:rPr>
          <w:rFonts w:hint="eastAsia" w:ascii="宋体" w:hAnsi="宋体" w:eastAsia="宋体" w:cs="宋体"/>
          <w:bCs/>
          <w:color w:val="auto"/>
          <w:sz w:val="24"/>
          <w:szCs w:val="24"/>
          <w:highlight w:val="none"/>
        </w:rPr>
        <w:t>质疑与投诉</w:t>
      </w:r>
      <w:bookmarkEnd w:id="105"/>
      <w:bookmarkEnd w:id="106"/>
      <w:bookmarkEnd w:id="107"/>
      <w:bookmarkEnd w:id="108"/>
    </w:p>
    <w:p w14:paraId="22A45DAA">
      <w:pPr>
        <w:spacing w:line="480" w:lineRule="exact"/>
        <w:ind w:firstLine="482"/>
        <w:rPr>
          <w:rFonts w:ascii="宋体" w:hAnsi="宋体" w:cs="宋体"/>
          <w:b/>
          <w:color w:val="auto"/>
          <w:sz w:val="24"/>
          <w:highlight w:val="none"/>
        </w:rPr>
      </w:pPr>
      <w:r>
        <w:rPr>
          <w:rFonts w:hint="eastAsia" w:ascii="宋体" w:hAnsi="宋体" w:cs="宋体"/>
          <w:b/>
          <w:color w:val="auto"/>
          <w:sz w:val="24"/>
          <w:highlight w:val="none"/>
        </w:rPr>
        <w:t>30、质疑</w:t>
      </w:r>
    </w:p>
    <w:p w14:paraId="3B4A2543">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30.1供应商认为采购文件、采购过程和中标结果使自己的权益受到损害的，可以在知道或者应知其权益受到损害之日起七个工作日内，（具体起算时间见30.2），以书面形式向采购人或者其委托的采购代理机构提出质疑。质疑超出采购机构代理范围的，投标人应当向采购人提出。</w:t>
      </w:r>
    </w:p>
    <w:p w14:paraId="6A1B14B2">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本项目接收质疑函的方式：现场接收或邮寄接收。</w:t>
      </w:r>
    </w:p>
    <w:p w14:paraId="55A09EDA">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联系部门：泗洪县教育局、江苏春为全过程工程咨询有限公司</w:t>
      </w:r>
    </w:p>
    <w:p w14:paraId="23A3E0C2">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联系电话：13809094632、18851398356</w:t>
      </w:r>
    </w:p>
    <w:p w14:paraId="4F8064B8">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通讯地址：泗洪县洪泽湖路东大街、泗洪县明德紫郡东门商铺往南50米</w:t>
      </w:r>
    </w:p>
    <w:p w14:paraId="3F0E7455">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30.2供应商应知其权益受到损害之日，是指：</w:t>
      </w:r>
    </w:p>
    <w:p w14:paraId="057A115C">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（1）对本项目采购文件提出质疑的，为获取采购文件之日或者采购文件公告期限届满之日；</w:t>
      </w:r>
    </w:p>
    <w:p w14:paraId="7854B0CF">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（2）对本项目采购过程提出质疑的，为各采购程序环节结束之日；</w:t>
      </w:r>
    </w:p>
    <w:p w14:paraId="0AC17961">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（3）对本项目中标结果提出质疑的，为中标结果公告期限届满之日。</w:t>
      </w:r>
    </w:p>
    <w:p w14:paraId="129BDAAE">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30.3质疑供应商应当是参与所质疑项目采购活动的供应商。潜在供应商已依法获取其可质疑的采购文件的，方可对该文件提出质疑。供应商在法定质疑期内应一次性提出针对同一采购程序环节的质疑。</w:t>
      </w:r>
    </w:p>
    <w:p w14:paraId="1EED8476">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30.4供应商提出质疑应当提交质疑函和必要的证明材料。质疑函的必备内容：</w:t>
      </w:r>
    </w:p>
    <w:p w14:paraId="4369D176">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（1）供应商的姓名或者名称、地址、邮编、联系人及联系电话；</w:t>
      </w:r>
    </w:p>
    <w:p w14:paraId="1E6A0CE3">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（2）质疑项目的名称、编号；</w:t>
      </w:r>
    </w:p>
    <w:p w14:paraId="13D196F7">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（3）获取采购文件的时间；</w:t>
      </w:r>
    </w:p>
    <w:p w14:paraId="5F96F25F">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（4）具体、明确的质疑事项和质疑事项相关的请求；</w:t>
      </w:r>
    </w:p>
    <w:p w14:paraId="470051B7">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（5）事实依据；</w:t>
      </w:r>
    </w:p>
    <w:p w14:paraId="1E59D12C">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（6）必要的法律依据；</w:t>
      </w:r>
    </w:p>
    <w:p w14:paraId="7DDC76A6">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（7）提出质疑的日期；</w:t>
      </w:r>
    </w:p>
    <w:p w14:paraId="0CC64226">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（8）供应商为自然人的，由本人签字；供应商为法人或者其他组织的，应当由法定代表人、主要负责人，或者其授权代表签字或者盖章，并加盖公章；</w:t>
      </w:r>
    </w:p>
    <w:p w14:paraId="73E01F2A">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p>
    <w:p w14:paraId="45CC3652">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30.5采购人在收到质疑函后7个工作日内作出答复，并以书面形式通知质疑供应商和其他有关供应商，但质疑答复的内容不涉及商业秘密。</w:t>
      </w:r>
    </w:p>
    <w:p w14:paraId="01B6C96B">
      <w:pPr>
        <w:spacing w:line="480" w:lineRule="exact"/>
        <w:ind w:firstLine="482"/>
        <w:rPr>
          <w:rFonts w:ascii="宋体" w:hAnsi="宋体" w:cs="宋体"/>
          <w:b/>
          <w:color w:val="auto"/>
          <w:sz w:val="24"/>
          <w:highlight w:val="none"/>
        </w:rPr>
      </w:pPr>
      <w:r>
        <w:rPr>
          <w:rFonts w:hint="eastAsia" w:ascii="宋体" w:hAnsi="宋体" w:cs="宋体"/>
          <w:b/>
          <w:color w:val="auto"/>
          <w:sz w:val="24"/>
          <w:highlight w:val="none"/>
        </w:rPr>
        <w:t>31、投诉</w:t>
      </w:r>
    </w:p>
    <w:p w14:paraId="60DD6FCB">
      <w:pPr>
        <w:spacing w:line="480" w:lineRule="exact"/>
        <w:ind w:firstLine="480"/>
        <w:rPr>
          <w:rFonts w:ascii="宋体" w:hAnsi="宋体" w:cs="宋体"/>
          <w:color w:val="auto"/>
          <w:sz w:val="24"/>
          <w:szCs w:val="24"/>
          <w:highlight w:val="none"/>
        </w:rPr>
      </w:pPr>
      <w:r>
        <w:rPr>
          <w:rFonts w:hint="eastAsia" w:ascii="宋体" w:hAnsi="宋体" w:cs="宋体"/>
          <w:color w:val="auto"/>
          <w:sz w:val="24"/>
          <w:highlight w:val="none"/>
        </w:rPr>
        <w:t>质疑供应商对答复不满意或采购人未在规定时间内作出答复的，可在答复期满后15个工作日内向同级财政部门提起投诉。</w:t>
      </w:r>
    </w:p>
    <w:p w14:paraId="26AD396A">
      <w:pPr>
        <w:pStyle w:val="66"/>
        <w:spacing w:before="200"/>
        <w:jc w:val="center"/>
        <w:rPr>
          <w:color w:val="auto"/>
          <w:highlight w:val="none"/>
        </w:rPr>
      </w:pPr>
      <w:bookmarkStart w:id="109" w:name="EB4d341233595e4bf8ad7006b4bd78d974"/>
      <w:bookmarkEnd w:id="109"/>
      <w:bookmarkStart w:id="110" w:name="_Toc81575164"/>
      <w:bookmarkStart w:id="111" w:name="_Toc81575201"/>
      <w:bookmarkStart w:id="112" w:name="_Hlk166141273"/>
      <w:r>
        <w:rPr>
          <w:rFonts w:hint="eastAsia"/>
          <w:color w:val="auto"/>
          <w:highlight w:val="none"/>
        </w:rPr>
        <w:br w:type="page" w:clear="all"/>
      </w:r>
      <w:bookmarkStart w:id="113" w:name="_Toc17996"/>
      <w:r>
        <w:rPr>
          <w:rFonts w:hint="eastAsia" w:ascii="Calibri" w:hAnsi="Calibri" w:eastAsia="宋体" w:cs="Times New Roman"/>
          <w:b/>
          <w:color w:val="auto"/>
          <w:sz w:val="36"/>
          <w:szCs w:val="36"/>
          <w:highlight w:val="none"/>
        </w:rPr>
        <w:t>第三章  资格审查及评标</w:t>
      </w:r>
      <w:bookmarkEnd w:id="110"/>
      <w:bookmarkEnd w:id="111"/>
      <w:bookmarkEnd w:id="113"/>
      <w:r>
        <w:rPr>
          <w:rFonts w:hint="eastAsia" w:ascii="Calibri" w:hAnsi="Calibri" w:eastAsia="宋体" w:cs="Times New Roman"/>
          <w:b/>
          <w:color w:val="auto"/>
          <w:sz w:val="36"/>
          <w:szCs w:val="36"/>
          <w:highlight w:val="none"/>
        </w:rPr>
        <w:t>方法</w:t>
      </w:r>
    </w:p>
    <w:p w14:paraId="7F3AFAC4">
      <w:pPr>
        <w:spacing w:line="480" w:lineRule="exact"/>
        <w:ind w:firstLine="482"/>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一、资格审查</w:t>
      </w:r>
    </w:p>
    <w:p w14:paraId="4BB36550">
      <w:pPr>
        <w:spacing w:line="480" w:lineRule="exact"/>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资格审查人员按照下列指标对各投标人的资格进行审查，未通过审查的为无效标，不参与评标。</w:t>
      </w:r>
    </w:p>
    <w:tbl>
      <w:tblPr>
        <w:tblStyle w:val="32"/>
        <w:tblW w:w="9213" w:type="dxa"/>
        <w:tblInd w:w="-7"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4422"/>
        <w:gridCol w:w="4791"/>
      </w:tblGrid>
      <w:tr w14:paraId="793CF8A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81" w:hRule="atLeast"/>
        </w:trPr>
        <w:tc>
          <w:tcPr>
            <w:tcW w:w="4422" w:type="dxa"/>
            <w:noWrap/>
            <w:vAlign w:val="center"/>
          </w:tcPr>
          <w:p w14:paraId="322CAE94">
            <w:pPr>
              <w:spacing w:line="360" w:lineRule="exact"/>
              <w:jc w:val="center"/>
              <w:rPr>
                <w:rFonts w:ascii="宋体" w:hAnsi="宋体" w:cs="宋体"/>
                <w:color w:val="auto"/>
                <w:sz w:val="24"/>
                <w:szCs w:val="24"/>
                <w:highlight w:val="none"/>
              </w:rPr>
            </w:pPr>
            <w:bookmarkStart w:id="114" w:name="EB9af8278fd1df4f8591f0fad951f64ddb"/>
            <w:r>
              <w:rPr>
                <w:rFonts w:hint="eastAsia" w:ascii="宋体" w:hAnsi="宋体" w:cs="宋体"/>
                <w:color w:val="auto"/>
                <w:sz w:val="24"/>
                <w:szCs w:val="24"/>
                <w:highlight w:val="none"/>
              </w:rPr>
              <w:t>资格审查因素</w:t>
            </w:r>
          </w:p>
        </w:tc>
        <w:tc>
          <w:tcPr>
            <w:tcW w:w="4791" w:type="dxa"/>
            <w:noWrap/>
            <w:vAlign w:val="center"/>
          </w:tcPr>
          <w:p w14:paraId="59DE4B87">
            <w:pPr>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审查标准</w:t>
            </w:r>
          </w:p>
        </w:tc>
      </w:tr>
      <w:tr w14:paraId="789459D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5" w:hRule="atLeast"/>
        </w:trPr>
        <w:tc>
          <w:tcPr>
            <w:tcW w:w="4422" w:type="dxa"/>
            <w:noWrap/>
            <w:vAlign w:val="center"/>
          </w:tcPr>
          <w:p w14:paraId="7C76203A">
            <w:pPr>
              <w:spacing w:line="360" w:lineRule="exact"/>
              <w:rPr>
                <w:rFonts w:ascii="宋体" w:hAnsi="宋体" w:cs="宋体"/>
                <w:color w:val="auto"/>
                <w:sz w:val="24"/>
                <w:szCs w:val="24"/>
                <w:highlight w:val="none"/>
              </w:rPr>
            </w:pPr>
            <w:bookmarkStart w:id="174" w:name="_GoBack"/>
            <w:r>
              <w:rPr>
                <w:rFonts w:hint="eastAsia" w:ascii="宋体" w:hAnsi="宋体" w:cs="宋体"/>
                <w:color w:val="auto"/>
                <w:sz w:val="24"/>
                <w:szCs w:val="24"/>
                <w:highlight w:val="none"/>
              </w:rPr>
              <w:t>投标声明及承诺函</w:t>
            </w:r>
            <w:bookmarkEnd w:id="174"/>
          </w:p>
        </w:tc>
        <w:tc>
          <w:tcPr>
            <w:tcW w:w="4791" w:type="dxa"/>
            <w:noWrap/>
            <w:vAlign w:val="center"/>
          </w:tcPr>
          <w:p w14:paraId="05F200B1">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符合招标文件要求</w:t>
            </w:r>
          </w:p>
        </w:tc>
      </w:tr>
      <w:tr w14:paraId="45F9398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c>
          <w:tcPr>
            <w:tcW w:w="4422" w:type="dxa"/>
            <w:noWrap/>
            <w:vAlign w:val="center"/>
          </w:tcPr>
          <w:p w14:paraId="07699FF0">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落实政府采购政策需满足的资格要求</w:t>
            </w:r>
          </w:p>
        </w:tc>
        <w:tc>
          <w:tcPr>
            <w:tcW w:w="4791" w:type="dxa"/>
            <w:noWrap/>
            <w:vAlign w:val="center"/>
          </w:tcPr>
          <w:p w14:paraId="363CE204">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符合招标文件要求</w:t>
            </w:r>
          </w:p>
        </w:tc>
      </w:tr>
      <w:tr w14:paraId="38F5A6F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c>
          <w:tcPr>
            <w:tcW w:w="4422" w:type="dxa"/>
            <w:noWrap/>
            <w:vAlign w:val="center"/>
          </w:tcPr>
          <w:p w14:paraId="20252014">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信用信息</w:t>
            </w:r>
            <w:bookmarkEnd w:id="114"/>
          </w:p>
        </w:tc>
        <w:tc>
          <w:tcPr>
            <w:tcW w:w="4791" w:type="dxa"/>
            <w:noWrap/>
            <w:vAlign w:val="center"/>
          </w:tcPr>
          <w:p w14:paraId="2DE771D9">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符合招标文件要求</w:t>
            </w:r>
          </w:p>
        </w:tc>
      </w:tr>
      <w:tr w14:paraId="70D2EE1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c>
          <w:tcPr>
            <w:tcW w:w="4422" w:type="dxa"/>
            <w:noWrap/>
            <w:vAlign w:val="center"/>
          </w:tcPr>
          <w:p w14:paraId="045E4298">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投标代理人(授权委托人)要求</w:t>
            </w:r>
          </w:p>
        </w:tc>
        <w:tc>
          <w:tcPr>
            <w:tcW w:w="4791" w:type="dxa"/>
            <w:noWrap/>
            <w:vAlign w:val="center"/>
          </w:tcPr>
          <w:p w14:paraId="0B725E38">
            <w:pPr>
              <w:spacing w:line="360" w:lineRule="exact"/>
              <w:rPr>
                <w:rFonts w:ascii="宋体" w:hAnsi="宋体" w:cs="宋体"/>
                <w:color w:val="auto"/>
                <w:sz w:val="24"/>
                <w:szCs w:val="24"/>
                <w:highlight w:val="none"/>
              </w:rPr>
            </w:pPr>
            <w:r>
              <w:rPr>
                <w:color w:val="auto"/>
                <w:sz w:val="24"/>
                <w:highlight w:val="none"/>
              </w:rPr>
              <w:t>符合招标文件要求</w:t>
            </w:r>
          </w:p>
        </w:tc>
      </w:tr>
      <w:tr w14:paraId="18F5DAB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c>
          <w:tcPr>
            <w:tcW w:w="4422" w:type="dxa"/>
            <w:noWrap/>
            <w:vAlign w:val="center"/>
          </w:tcPr>
          <w:p w14:paraId="47BC231F">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联合体投标</w:t>
            </w:r>
          </w:p>
        </w:tc>
        <w:tc>
          <w:tcPr>
            <w:tcW w:w="4791" w:type="dxa"/>
            <w:noWrap/>
            <w:vAlign w:val="center"/>
          </w:tcPr>
          <w:p w14:paraId="32986240">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本项目不接受联合体</w:t>
            </w:r>
          </w:p>
        </w:tc>
      </w:tr>
    </w:tbl>
    <w:p w14:paraId="3D586344">
      <w:pPr>
        <w:spacing w:line="480" w:lineRule="exact"/>
        <w:ind w:firstLine="482"/>
        <w:jc w:val="left"/>
        <w:rPr>
          <w:rFonts w:ascii="宋体" w:hAnsi="宋体" w:cs="宋体"/>
          <w:b/>
          <w:bCs/>
          <w:color w:val="auto"/>
          <w:sz w:val="24"/>
          <w:szCs w:val="24"/>
          <w:highlight w:val="none"/>
        </w:rPr>
      </w:pPr>
    </w:p>
    <w:p w14:paraId="4438BD07">
      <w:pPr>
        <w:pStyle w:val="433"/>
        <w:spacing w:line="480" w:lineRule="exact"/>
        <w:ind w:firstLine="482"/>
        <w:outlineLvl w:val="1"/>
        <w:rPr>
          <w:rFonts w:ascii="宋体" w:hAnsi="宋体" w:cs="宋体"/>
          <w:color w:val="auto"/>
          <w:szCs w:val="24"/>
          <w:highlight w:val="none"/>
        </w:rPr>
      </w:pPr>
      <w:bookmarkStart w:id="115" w:name="_Toc2916"/>
      <w:bookmarkStart w:id="116" w:name="_Toc12255"/>
      <w:bookmarkStart w:id="117" w:name="_Toc22314"/>
      <w:bookmarkStart w:id="118" w:name="_Toc81575205"/>
      <w:bookmarkStart w:id="119" w:name="_Toc81575168"/>
      <w:r>
        <w:rPr>
          <w:rFonts w:hint="eastAsia" w:ascii="宋体" w:hAnsi="宋体" w:cs="宋体"/>
          <w:b/>
          <w:bCs/>
          <w:color w:val="auto"/>
          <w:szCs w:val="24"/>
          <w:highlight w:val="none"/>
          <w:shd w:val="clear" w:color="auto" w:fill="FFFFFF"/>
        </w:rPr>
        <w:t>二、评分办法—综合评分法</w:t>
      </w:r>
    </w:p>
    <w:p w14:paraId="138FCCD8">
      <w:pPr>
        <w:pStyle w:val="433"/>
        <w:spacing w:line="480" w:lineRule="exact"/>
        <w:ind w:firstLine="482"/>
        <w:rPr>
          <w:rFonts w:ascii="宋体" w:hAnsi="宋体" w:cs="宋体"/>
          <w:color w:val="auto"/>
          <w:szCs w:val="24"/>
          <w:highlight w:val="none"/>
        </w:rPr>
      </w:pPr>
      <w:r>
        <w:rPr>
          <w:rFonts w:hint="eastAsia" w:ascii="宋体" w:hAnsi="宋体" w:cs="宋体"/>
          <w:b/>
          <w:bCs/>
          <w:color w:val="auto"/>
          <w:szCs w:val="24"/>
          <w:highlight w:val="none"/>
          <w:shd w:val="clear" w:color="auto" w:fill="FFFFFF"/>
        </w:rPr>
        <w:t>1、评标办法：</w:t>
      </w:r>
      <w:r>
        <w:rPr>
          <w:rFonts w:hint="eastAsia" w:ascii="宋体" w:hAnsi="宋体" w:cs="宋体"/>
          <w:color w:val="auto"/>
          <w:szCs w:val="24"/>
          <w:highlight w:val="none"/>
          <w:shd w:val="clear" w:color="auto" w:fill="FFFFFF"/>
        </w:rPr>
        <w:t>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p>
    <w:p w14:paraId="57201C5B">
      <w:pPr>
        <w:pStyle w:val="433"/>
        <w:spacing w:line="480" w:lineRule="exact"/>
        <w:ind w:firstLine="480"/>
        <w:rPr>
          <w:rFonts w:ascii="宋体" w:hAnsi="宋体" w:cs="宋体"/>
          <w:color w:val="auto"/>
          <w:szCs w:val="24"/>
          <w:highlight w:val="none"/>
        </w:rPr>
      </w:pPr>
      <w:r>
        <w:rPr>
          <w:rFonts w:hint="eastAsia" w:ascii="宋体" w:hAnsi="宋体" w:cs="宋体"/>
          <w:color w:val="auto"/>
          <w:szCs w:val="24"/>
          <w:highlight w:val="none"/>
          <w:shd w:val="clear" w:color="auto" w:fill="FFFFFF"/>
        </w:rPr>
        <w:t>评标委员会根据评审后投标人排序推荐中标候选人。投标文件满足招标文件全部实质性要求，且评审后排序第一的投标人为第一中标候选人，依次类推。</w:t>
      </w:r>
    </w:p>
    <w:p w14:paraId="301CB653">
      <w:pPr>
        <w:pStyle w:val="433"/>
        <w:spacing w:line="480" w:lineRule="exact"/>
        <w:ind w:firstLine="480"/>
        <w:rPr>
          <w:rFonts w:ascii="宋体" w:hAnsi="宋体" w:cs="宋体"/>
          <w:color w:val="auto"/>
          <w:szCs w:val="24"/>
          <w:highlight w:val="none"/>
        </w:rPr>
      </w:pPr>
      <w:r>
        <w:rPr>
          <w:rFonts w:hint="eastAsia" w:ascii="宋体" w:hAnsi="宋体" w:cs="宋体"/>
          <w:color w:val="auto"/>
          <w:szCs w:val="24"/>
          <w:highlight w:val="none"/>
          <w:shd w:val="clear" w:color="auto" w:fill="FFFFFF"/>
        </w:rPr>
        <w:t xml:space="preserve">综合评分保留至小数点后两位。 </w:t>
      </w:r>
    </w:p>
    <w:p w14:paraId="64923CF4">
      <w:pPr>
        <w:pStyle w:val="433"/>
        <w:spacing w:line="480" w:lineRule="exact"/>
        <w:ind w:firstLine="482"/>
        <w:rPr>
          <w:rFonts w:ascii="宋体" w:hAnsi="宋体" w:cs="宋体"/>
          <w:color w:val="auto"/>
          <w:szCs w:val="24"/>
          <w:highlight w:val="none"/>
        </w:rPr>
      </w:pPr>
      <w:r>
        <w:rPr>
          <w:rFonts w:hint="eastAsia" w:ascii="宋体" w:hAnsi="宋体" w:cs="宋体"/>
          <w:b/>
          <w:bCs/>
          <w:color w:val="auto"/>
          <w:szCs w:val="24"/>
          <w:highlight w:val="none"/>
          <w:shd w:val="clear" w:color="auto" w:fill="FFFFFF"/>
        </w:rPr>
        <w:t>2、符合性审查。</w:t>
      </w:r>
      <w:r>
        <w:rPr>
          <w:rFonts w:hint="eastAsia" w:ascii="宋体" w:hAnsi="宋体" w:cs="宋体"/>
          <w:color w:val="auto"/>
          <w:szCs w:val="24"/>
          <w:highlight w:val="none"/>
          <w:shd w:val="clear" w:color="auto" w:fill="FFFFFF"/>
        </w:rPr>
        <w:t>评标委员会首先按照下列指标对各投标人的投标文件进行符合性审查，未通过审查的为无效标，不再参与评审。</w:t>
      </w:r>
    </w:p>
    <w:tbl>
      <w:tblPr>
        <w:tblStyle w:val="32"/>
        <w:tblW w:w="9213" w:type="dxa"/>
        <w:tblInd w:w="-7"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4364"/>
        <w:gridCol w:w="4849"/>
      </w:tblGrid>
      <w:tr w14:paraId="6B36F79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76" w:hRule="atLeast"/>
        </w:trPr>
        <w:tc>
          <w:tcPr>
            <w:tcW w:w="4364" w:type="dxa"/>
            <w:noWrap/>
            <w:vAlign w:val="center"/>
          </w:tcPr>
          <w:p w14:paraId="506BE4BB">
            <w:pPr>
              <w:spacing w:line="360" w:lineRule="exact"/>
              <w:jc w:val="center"/>
              <w:rPr>
                <w:rFonts w:ascii="宋体" w:hAnsi="宋体" w:cs="宋体"/>
                <w:color w:val="auto"/>
                <w:sz w:val="24"/>
                <w:szCs w:val="24"/>
                <w:highlight w:val="none"/>
              </w:rPr>
            </w:pPr>
            <w:bookmarkStart w:id="120" w:name="EB75d0996a6f1d4348a21f8c3293010436"/>
            <w:r>
              <w:rPr>
                <w:rFonts w:hint="eastAsia" w:ascii="宋体" w:hAnsi="宋体" w:cs="宋体"/>
                <w:color w:val="auto"/>
                <w:sz w:val="24"/>
                <w:szCs w:val="24"/>
                <w:highlight w:val="none"/>
              </w:rPr>
              <w:t>符合性审查因素</w:t>
            </w:r>
          </w:p>
        </w:tc>
        <w:tc>
          <w:tcPr>
            <w:tcW w:w="4849" w:type="dxa"/>
            <w:noWrap/>
            <w:vAlign w:val="center"/>
          </w:tcPr>
          <w:p w14:paraId="6CB62478">
            <w:pPr>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审查标准</w:t>
            </w:r>
          </w:p>
        </w:tc>
      </w:tr>
      <w:tr w14:paraId="24FF24E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c>
          <w:tcPr>
            <w:tcW w:w="4364" w:type="dxa"/>
            <w:noWrap/>
            <w:vAlign w:val="center"/>
          </w:tcPr>
          <w:p w14:paraId="27B4E192">
            <w:pPr>
              <w:spacing w:line="36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报价符合性审查</w:t>
            </w:r>
          </w:p>
        </w:tc>
        <w:tc>
          <w:tcPr>
            <w:tcW w:w="4849" w:type="dxa"/>
            <w:noWrap/>
            <w:vAlign w:val="center"/>
          </w:tcPr>
          <w:p w14:paraId="101B63E6">
            <w:pPr>
              <w:spacing w:line="36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符合招标文件要求</w:t>
            </w:r>
          </w:p>
        </w:tc>
      </w:tr>
      <w:tr w14:paraId="6553A9A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c>
          <w:tcPr>
            <w:tcW w:w="4364" w:type="dxa"/>
            <w:noWrap/>
            <w:vAlign w:val="center"/>
          </w:tcPr>
          <w:p w14:paraId="0ABDEC1E">
            <w:pPr>
              <w:spacing w:line="36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法定代表人身份证明或授权委托书</w:t>
            </w:r>
          </w:p>
        </w:tc>
        <w:tc>
          <w:tcPr>
            <w:tcW w:w="4849" w:type="dxa"/>
            <w:noWrap/>
            <w:vAlign w:val="center"/>
          </w:tcPr>
          <w:p w14:paraId="78C68DF3">
            <w:pPr>
              <w:spacing w:line="36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符合招标文件要求</w:t>
            </w:r>
          </w:p>
        </w:tc>
      </w:tr>
      <w:tr w14:paraId="538564A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50" w:hRule="atLeast"/>
        </w:trPr>
        <w:tc>
          <w:tcPr>
            <w:tcW w:w="4364" w:type="dxa"/>
            <w:noWrap/>
            <w:vAlign w:val="center"/>
          </w:tcPr>
          <w:p w14:paraId="60E571F6">
            <w:pPr>
              <w:spacing w:line="360" w:lineRule="exact"/>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开标一览表及投标报价</w:t>
            </w:r>
          </w:p>
        </w:tc>
        <w:tc>
          <w:tcPr>
            <w:tcW w:w="4849" w:type="dxa"/>
            <w:noWrap/>
            <w:vAlign w:val="center"/>
          </w:tcPr>
          <w:p w14:paraId="1378BFC6">
            <w:pPr>
              <w:spacing w:line="360" w:lineRule="exact"/>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符合招标文件要求</w:t>
            </w:r>
          </w:p>
        </w:tc>
      </w:tr>
      <w:tr w14:paraId="73799D4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c>
          <w:tcPr>
            <w:tcW w:w="4364" w:type="dxa"/>
            <w:noWrap/>
            <w:vAlign w:val="center"/>
          </w:tcPr>
          <w:p w14:paraId="07DFEDD3">
            <w:pPr>
              <w:spacing w:line="36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技术标准和要求</w:t>
            </w:r>
          </w:p>
        </w:tc>
        <w:tc>
          <w:tcPr>
            <w:tcW w:w="4849" w:type="dxa"/>
            <w:noWrap/>
            <w:vAlign w:val="center"/>
          </w:tcPr>
          <w:p w14:paraId="1F1C8077">
            <w:pPr>
              <w:spacing w:line="36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符合招标文件要求</w:t>
            </w:r>
          </w:p>
        </w:tc>
      </w:tr>
      <w:tr w14:paraId="34505A7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c>
          <w:tcPr>
            <w:tcW w:w="4364" w:type="dxa"/>
            <w:noWrap/>
            <w:vAlign w:val="center"/>
          </w:tcPr>
          <w:p w14:paraId="6C940655">
            <w:pPr>
              <w:spacing w:line="36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其他</w:t>
            </w:r>
          </w:p>
        </w:tc>
        <w:tc>
          <w:tcPr>
            <w:tcW w:w="4849" w:type="dxa"/>
            <w:noWrap/>
            <w:vAlign w:val="center"/>
          </w:tcPr>
          <w:p w14:paraId="09ABA3A1">
            <w:pPr>
              <w:spacing w:line="36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符合招标文件要求</w:t>
            </w:r>
            <w:bookmarkEnd w:id="120"/>
          </w:p>
        </w:tc>
      </w:tr>
    </w:tbl>
    <w:p w14:paraId="7343EA54">
      <w:pPr>
        <w:pStyle w:val="433"/>
        <w:spacing w:line="480" w:lineRule="exact"/>
        <w:ind w:firstLine="482"/>
        <w:rPr>
          <w:rFonts w:ascii="宋体" w:hAnsi="宋体" w:cs="宋体"/>
          <w:color w:val="auto"/>
          <w:szCs w:val="24"/>
          <w:highlight w:val="none"/>
          <w:shd w:val="clear" w:color="auto" w:fill="FFFFFF"/>
        </w:rPr>
      </w:pPr>
      <w:r>
        <w:rPr>
          <w:rFonts w:hint="eastAsia" w:ascii="宋体" w:hAnsi="宋体" w:cs="宋体"/>
          <w:b/>
          <w:bCs/>
          <w:color w:val="auto"/>
          <w:szCs w:val="24"/>
          <w:highlight w:val="none"/>
          <w:shd w:val="clear" w:color="auto" w:fill="FFFFFF"/>
        </w:rPr>
        <w:t>3、详细评审。</w:t>
      </w:r>
      <w:r>
        <w:rPr>
          <w:rFonts w:hint="eastAsia" w:ascii="宋体" w:hAnsi="宋体" w:cs="宋体"/>
          <w:color w:val="auto"/>
          <w:szCs w:val="24"/>
          <w:highlight w:val="none"/>
          <w:shd w:val="clear" w:color="auto" w:fill="FFFFFF"/>
        </w:rPr>
        <w:t>评标委员会按照招标文件规定的评分标准，对各投标文件进行详细评审打分。评标委员会组长对各评审专家的打分情况进行复核无误后汇总，形成评审报告。</w:t>
      </w:r>
    </w:p>
    <w:tbl>
      <w:tblPr>
        <w:tblStyle w:val="32"/>
        <w:tblW w:w="9664" w:type="dxa"/>
        <w:tblInd w:w="-472" w:type="dxa"/>
        <w:tblLayout w:type="autofit"/>
        <w:tblCellMar>
          <w:top w:w="0" w:type="dxa"/>
          <w:left w:w="108" w:type="dxa"/>
          <w:bottom w:w="0" w:type="dxa"/>
          <w:right w:w="108" w:type="dxa"/>
        </w:tblCellMar>
      </w:tblPr>
      <w:tblGrid>
        <w:gridCol w:w="848"/>
        <w:gridCol w:w="990"/>
        <w:gridCol w:w="1125"/>
        <w:gridCol w:w="6701"/>
      </w:tblGrid>
      <w:tr w14:paraId="0FCC39DA">
        <w:tblPrEx>
          <w:tblCellMar>
            <w:top w:w="0" w:type="dxa"/>
            <w:left w:w="108" w:type="dxa"/>
            <w:bottom w:w="0" w:type="dxa"/>
            <w:right w:w="108" w:type="dxa"/>
          </w:tblCellMar>
        </w:tblPrEx>
        <w:trPr>
          <w:trHeight w:val="312" w:hRule="atLeast"/>
        </w:trPr>
        <w:tc>
          <w:tcPr>
            <w:tcW w:w="1838" w:type="dxa"/>
            <w:gridSpan w:val="2"/>
            <w:tcBorders>
              <w:top w:val="single" w:color="000000" w:sz="8" w:space="0"/>
              <w:left w:val="single" w:color="000000" w:sz="8" w:space="0"/>
              <w:bottom w:val="single" w:color="000000" w:sz="4" w:space="0"/>
              <w:right w:val="single" w:color="000000" w:sz="4" w:space="0"/>
            </w:tcBorders>
            <w:noWrap w:val="0"/>
            <w:vAlign w:val="center"/>
          </w:tcPr>
          <w:p w14:paraId="079D37FE">
            <w:pPr>
              <w:widowControl/>
              <w:spacing w:line="400" w:lineRule="exact"/>
              <w:jc w:val="center"/>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评审因素</w:t>
            </w:r>
          </w:p>
        </w:tc>
        <w:tc>
          <w:tcPr>
            <w:tcW w:w="1125" w:type="dxa"/>
            <w:tcBorders>
              <w:top w:val="single" w:color="000000" w:sz="8" w:space="0"/>
              <w:left w:val="single" w:color="000000" w:sz="4" w:space="0"/>
              <w:bottom w:val="single" w:color="000000" w:sz="4" w:space="0"/>
              <w:right w:val="single" w:color="000000" w:sz="4" w:space="0"/>
            </w:tcBorders>
            <w:noWrap w:val="0"/>
            <w:vAlign w:val="center"/>
          </w:tcPr>
          <w:p w14:paraId="24EE8F0F">
            <w:pPr>
              <w:widowControl/>
              <w:spacing w:line="400" w:lineRule="exact"/>
              <w:jc w:val="center"/>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分数</w:t>
            </w:r>
          </w:p>
        </w:tc>
        <w:tc>
          <w:tcPr>
            <w:tcW w:w="6701" w:type="dxa"/>
            <w:tcBorders>
              <w:top w:val="single" w:color="000000" w:sz="8" w:space="0"/>
              <w:left w:val="single" w:color="000000" w:sz="4" w:space="0"/>
              <w:bottom w:val="single" w:color="000000" w:sz="4" w:space="0"/>
              <w:right w:val="single" w:color="000000" w:sz="8" w:space="0"/>
            </w:tcBorders>
            <w:noWrap w:val="0"/>
            <w:vAlign w:val="center"/>
          </w:tcPr>
          <w:p w14:paraId="3055CD38">
            <w:pPr>
              <w:widowControl/>
              <w:spacing w:line="400" w:lineRule="exact"/>
              <w:jc w:val="center"/>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评审标准</w:t>
            </w:r>
          </w:p>
        </w:tc>
      </w:tr>
      <w:tr w14:paraId="00447701">
        <w:tblPrEx>
          <w:tblCellMar>
            <w:top w:w="0" w:type="dxa"/>
            <w:left w:w="108" w:type="dxa"/>
            <w:bottom w:w="0" w:type="dxa"/>
            <w:right w:w="108" w:type="dxa"/>
          </w:tblCellMar>
        </w:tblPrEx>
        <w:trPr>
          <w:trHeight w:val="624" w:hRule="atLeast"/>
        </w:trPr>
        <w:tc>
          <w:tcPr>
            <w:tcW w:w="848" w:type="dxa"/>
            <w:tcBorders>
              <w:top w:val="single" w:color="000000" w:sz="4" w:space="0"/>
              <w:left w:val="single" w:color="000000" w:sz="8" w:space="0"/>
              <w:bottom w:val="single" w:color="000000" w:sz="4" w:space="0"/>
              <w:right w:val="single" w:color="000000" w:sz="4" w:space="0"/>
            </w:tcBorders>
            <w:noWrap w:val="0"/>
            <w:vAlign w:val="center"/>
          </w:tcPr>
          <w:p w14:paraId="54C2546E">
            <w:pPr>
              <w:widowControl/>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报价分</w:t>
            </w:r>
          </w:p>
        </w:tc>
        <w:tc>
          <w:tcPr>
            <w:tcW w:w="990" w:type="dxa"/>
            <w:tcBorders>
              <w:top w:val="single" w:color="000000" w:sz="4" w:space="0"/>
              <w:left w:val="single" w:color="000000" w:sz="4" w:space="0"/>
              <w:bottom w:val="single" w:color="000000" w:sz="4" w:space="0"/>
              <w:right w:val="single" w:color="000000" w:sz="4" w:space="0"/>
            </w:tcBorders>
            <w:noWrap w:val="0"/>
            <w:vAlign w:val="center"/>
          </w:tcPr>
          <w:p w14:paraId="56AA8BFD">
            <w:pPr>
              <w:widowControl/>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投标报价</w:t>
            </w: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5503EB96">
            <w:pPr>
              <w:widowControl/>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30.0</w:t>
            </w:r>
          </w:p>
        </w:tc>
        <w:tc>
          <w:tcPr>
            <w:tcW w:w="6701" w:type="dxa"/>
            <w:tcBorders>
              <w:top w:val="single" w:color="000000" w:sz="4" w:space="0"/>
              <w:left w:val="single" w:color="000000" w:sz="4" w:space="0"/>
              <w:bottom w:val="single" w:color="000000" w:sz="4" w:space="0"/>
              <w:right w:val="single" w:color="000000" w:sz="8" w:space="0"/>
            </w:tcBorders>
            <w:noWrap w:val="0"/>
            <w:vAlign w:val="center"/>
          </w:tcPr>
          <w:p w14:paraId="26740E6D">
            <w:pPr>
              <w:widowControl/>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lang w:bidi="ar"/>
              </w:rPr>
              <w:t>采用低价优先法计算，即满足招标文件要求且投标价格最低的投标报价为评标基准价，其价格分为满分。其他投标人投标报价得分＝（评标基准价/投标报价）×30。最终计算结果四舍五入保留至小数点后两位。</w:t>
            </w:r>
          </w:p>
        </w:tc>
      </w:tr>
      <w:tr w14:paraId="0D872435">
        <w:tblPrEx>
          <w:tblCellMar>
            <w:top w:w="0" w:type="dxa"/>
            <w:left w:w="108" w:type="dxa"/>
            <w:bottom w:w="0" w:type="dxa"/>
            <w:right w:w="108" w:type="dxa"/>
          </w:tblCellMar>
        </w:tblPrEx>
        <w:trPr>
          <w:trHeight w:val="1063" w:hRule="atLeast"/>
        </w:trPr>
        <w:tc>
          <w:tcPr>
            <w:tcW w:w="848" w:type="dxa"/>
            <w:vMerge w:val="restart"/>
            <w:tcBorders>
              <w:top w:val="single" w:color="000000" w:sz="4" w:space="0"/>
              <w:left w:val="single" w:color="000000" w:sz="8" w:space="0"/>
              <w:bottom w:val="single" w:color="000000" w:sz="4" w:space="0"/>
              <w:right w:val="single" w:color="000000" w:sz="4" w:space="0"/>
            </w:tcBorders>
            <w:noWrap w:val="0"/>
            <w:vAlign w:val="center"/>
          </w:tcPr>
          <w:p w14:paraId="416A8F3E">
            <w:pPr>
              <w:widowControl/>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技术响应</w:t>
            </w:r>
          </w:p>
        </w:tc>
        <w:tc>
          <w:tcPr>
            <w:tcW w:w="990" w:type="dxa"/>
            <w:tcBorders>
              <w:top w:val="single" w:color="000000" w:sz="4" w:space="0"/>
              <w:left w:val="single" w:color="000000" w:sz="4" w:space="0"/>
              <w:bottom w:val="single" w:color="000000" w:sz="4" w:space="0"/>
              <w:right w:val="single" w:color="000000" w:sz="4" w:space="0"/>
            </w:tcBorders>
            <w:noWrap w:val="0"/>
            <w:vAlign w:val="center"/>
          </w:tcPr>
          <w:p w14:paraId="4C31143A">
            <w:pPr>
              <w:widowControl/>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技术参数要求响应</w:t>
            </w: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7CE09C74">
            <w:pPr>
              <w:widowControl/>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lang w:val="en-US" w:eastAsia="zh-CN" w:bidi="ar"/>
              </w:rPr>
              <w:t>35</w:t>
            </w:r>
            <w:r>
              <w:rPr>
                <w:rFonts w:hint="eastAsia" w:ascii="宋体" w:hAnsi="宋体" w:cs="宋体"/>
                <w:color w:val="auto"/>
                <w:sz w:val="24"/>
                <w:szCs w:val="24"/>
                <w:highlight w:val="none"/>
                <w:lang w:bidi="ar"/>
              </w:rPr>
              <w:t>.0</w:t>
            </w:r>
          </w:p>
        </w:tc>
        <w:tc>
          <w:tcPr>
            <w:tcW w:w="6701" w:type="dxa"/>
            <w:tcBorders>
              <w:top w:val="single" w:color="000000" w:sz="4" w:space="0"/>
              <w:left w:val="single" w:color="000000" w:sz="4" w:space="0"/>
              <w:bottom w:val="single" w:color="000000" w:sz="4" w:space="0"/>
              <w:right w:val="single" w:color="000000" w:sz="8" w:space="0"/>
            </w:tcBorders>
            <w:noWrap w:val="0"/>
            <w:vAlign w:val="center"/>
          </w:tcPr>
          <w:p w14:paraId="3DE5D399">
            <w:pPr>
              <w:widowControl/>
              <w:spacing w:line="400" w:lineRule="exact"/>
              <w:jc w:val="lef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针对招标文件“第四部分、采购需求”中的“采购清单及技术参数要求”所列内容进行评分，所投产品技术参数完全满足或优于招标文件技术参数要求的得</w:t>
            </w:r>
            <w:r>
              <w:rPr>
                <w:rFonts w:hint="eastAsia" w:ascii="宋体" w:hAnsi="宋体" w:cs="宋体"/>
                <w:color w:val="auto"/>
                <w:sz w:val="24"/>
                <w:szCs w:val="24"/>
                <w:highlight w:val="none"/>
                <w:lang w:val="en-US" w:eastAsia="zh-CN" w:bidi="ar"/>
              </w:rPr>
              <w:t>35</w:t>
            </w:r>
            <w:r>
              <w:rPr>
                <w:rFonts w:hint="eastAsia" w:ascii="宋体" w:hAnsi="宋体" w:cs="宋体"/>
                <w:color w:val="auto"/>
                <w:sz w:val="24"/>
                <w:szCs w:val="24"/>
                <w:highlight w:val="none"/>
                <w:lang w:bidi="ar"/>
              </w:rPr>
              <w:t>分。</w:t>
            </w:r>
          </w:p>
          <w:p w14:paraId="68F1C5CB">
            <w:pPr>
              <w:widowControl/>
              <w:numPr>
                <w:ilvl w:val="0"/>
                <w:numId w:val="0"/>
              </w:numPr>
              <w:spacing w:line="400" w:lineRule="exact"/>
              <w:jc w:val="left"/>
              <w:rPr>
                <w:rFonts w:hint="eastAsia" w:ascii="宋体" w:hAnsi="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w:t>
            </w:r>
            <w:r>
              <w:rPr>
                <w:rFonts w:hint="eastAsia" w:ascii="宋体" w:hAnsi="宋体" w:cs="宋体"/>
                <w:color w:val="auto"/>
                <w:sz w:val="24"/>
                <w:szCs w:val="24"/>
                <w:highlight w:val="none"/>
                <w:lang w:val="en-US" w:eastAsia="zh-CN" w:bidi="ar"/>
              </w:rPr>
              <w:t>标“</w:t>
            </w:r>
            <w:r>
              <w:rPr>
                <w:rFonts w:hint="eastAsia" w:ascii="宋体" w:hAnsi="宋体" w:cs="宋体"/>
                <w:color w:val="auto"/>
                <w:sz w:val="24"/>
                <w:szCs w:val="24"/>
                <w:highlight w:val="none"/>
                <w:lang w:bidi="ar"/>
              </w:rPr>
              <w:t>★</w:t>
            </w:r>
            <w:r>
              <w:rPr>
                <w:rFonts w:hint="eastAsia" w:ascii="宋体" w:hAnsi="宋体" w:cs="宋体"/>
                <w:color w:val="auto"/>
                <w:sz w:val="24"/>
                <w:szCs w:val="24"/>
                <w:highlight w:val="none"/>
                <w:lang w:val="en-US" w:eastAsia="zh-CN" w:bidi="ar"/>
              </w:rPr>
              <w:t>”为实质性响应要求（共1条），不响应为无效标；</w:t>
            </w:r>
          </w:p>
          <w:p w14:paraId="39C8B850">
            <w:pPr>
              <w:widowControl/>
              <w:numPr>
                <w:ilvl w:val="0"/>
                <w:numId w:val="0"/>
              </w:numPr>
              <w:spacing w:line="400" w:lineRule="exact"/>
              <w:jc w:val="left"/>
              <w:rPr>
                <w:rFonts w:ascii="宋体" w:hAnsi="宋体" w:cs="宋体"/>
                <w:color w:val="auto"/>
                <w:sz w:val="24"/>
                <w:szCs w:val="24"/>
                <w:highlight w:val="none"/>
                <w:lang w:bidi="ar"/>
              </w:rPr>
            </w:pPr>
            <w:r>
              <w:rPr>
                <w:rFonts w:ascii="宋体" w:hAnsi="宋体" w:eastAsia="宋体" w:cs="宋体"/>
                <w:color w:val="auto"/>
                <w:sz w:val="24"/>
                <w:szCs w:val="24"/>
                <w:highlight w:val="none"/>
                <w:lang w:val="en-US" w:eastAsia="zh-CN" w:bidi="ar"/>
              </w:rPr>
              <w:t>2、</w:t>
            </w:r>
            <w:r>
              <w:rPr>
                <w:rFonts w:hint="eastAsia" w:ascii="宋体" w:hAnsi="宋体" w:cs="宋体"/>
                <w:color w:val="auto"/>
                <w:sz w:val="24"/>
                <w:szCs w:val="24"/>
                <w:highlight w:val="none"/>
                <w:lang w:bidi="ar"/>
              </w:rPr>
              <w:t>标“▲”为重要技术参数（共</w:t>
            </w:r>
            <w:r>
              <w:rPr>
                <w:rFonts w:hint="eastAsia" w:ascii="宋体" w:hAnsi="宋体" w:cs="宋体"/>
                <w:color w:val="auto"/>
                <w:sz w:val="24"/>
                <w:szCs w:val="24"/>
                <w:highlight w:val="none"/>
                <w:lang w:val="en-US" w:eastAsia="zh-CN" w:bidi="ar"/>
              </w:rPr>
              <w:t>5</w:t>
            </w:r>
            <w:r>
              <w:rPr>
                <w:rFonts w:hint="eastAsia" w:ascii="宋体" w:hAnsi="宋体" w:cs="宋体"/>
                <w:color w:val="auto"/>
                <w:sz w:val="24"/>
                <w:szCs w:val="24"/>
                <w:highlight w:val="none"/>
                <w:lang w:bidi="ar"/>
              </w:rPr>
              <w:t>条，计</w:t>
            </w:r>
            <w:r>
              <w:rPr>
                <w:rFonts w:hint="eastAsia" w:ascii="宋体" w:hAnsi="宋体" w:cs="宋体"/>
                <w:color w:val="auto"/>
                <w:sz w:val="24"/>
                <w:szCs w:val="24"/>
                <w:highlight w:val="none"/>
                <w:lang w:val="en-US" w:eastAsia="zh-CN" w:bidi="ar"/>
              </w:rPr>
              <w:t>5</w:t>
            </w:r>
            <w:r>
              <w:rPr>
                <w:rFonts w:hint="eastAsia" w:ascii="宋体" w:hAnsi="宋体" w:cs="宋体"/>
                <w:color w:val="auto"/>
                <w:sz w:val="24"/>
                <w:szCs w:val="24"/>
                <w:highlight w:val="none"/>
                <w:lang w:bidi="ar"/>
              </w:rPr>
              <w:t>分），每有一项负偏离扣</w:t>
            </w:r>
            <w:r>
              <w:rPr>
                <w:rFonts w:hint="eastAsia" w:ascii="宋体" w:hAnsi="宋体" w:cs="宋体"/>
                <w:color w:val="auto"/>
                <w:sz w:val="24"/>
                <w:szCs w:val="24"/>
                <w:highlight w:val="none"/>
                <w:lang w:val="en-US" w:eastAsia="zh-CN" w:bidi="ar"/>
              </w:rPr>
              <w:t>1</w:t>
            </w:r>
            <w:r>
              <w:rPr>
                <w:rFonts w:hint="eastAsia" w:ascii="宋体" w:hAnsi="宋体" w:cs="宋体"/>
                <w:color w:val="auto"/>
                <w:sz w:val="24"/>
                <w:szCs w:val="24"/>
                <w:highlight w:val="none"/>
                <w:lang w:bidi="ar"/>
              </w:rPr>
              <w:t>分，扣完为止。</w:t>
            </w:r>
          </w:p>
          <w:p w14:paraId="2C571514">
            <w:pPr>
              <w:widowControl/>
              <w:spacing w:line="400" w:lineRule="exact"/>
              <w:jc w:val="left"/>
              <w:rPr>
                <w:rFonts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3</w:t>
            </w:r>
            <w:r>
              <w:rPr>
                <w:rFonts w:hint="eastAsia" w:ascii="宋体" w:hAnsi="宋体" w:cs="宋体"/>
                <w:color w:val="auto"/>
                <w:sz w:val="24"/>
                <w:szCs w:val="24"/>
                <w:highlight w:val="none"/>
                <w:lang w:bidi="ar"/>
              </w:rPr>
              <w:t>、标“＃”为一般参数（共</w:t>
            </w:r>
            <w:r>
              <w:rPr>
                <w:rFonts w:hint="eastAsia" w:ascii="宋体" w:hAnsi="宋体" w:cs="宋体"/>
                <w:color w:val="auto"/>
                <w:sz w:val="24"/>
                <w:szCs w:val="24"/>
                <w:highlight w:val="none"/>
                <w:lang w:val="en-US" w:eastAsia="zh-CN" w:bidi="ar"/>
              </w:rPr>
              <w:t>60</w:t>
            </w:r>
            <w:r>
              <w:rPr>
                <w:rFonts w:hint="eastAsia" w:ascii="宋体" w:hAnsi="宋体" w:cs="宋体"/>
                <w:color w:val="auto"/>
                <w:sz w:val="24"/>
                <w:szCs w:val="24"/>
                <w:highlight w:val="none"/>
                <w:lang w:bidi="ar"/>
              </w:rPr>
              <w:t>条，计</w:t>
            </w:r>
            <w:r>
              <w:rPr>
                <w:rFonts w:hint="eastAsia" w:ascii="宋体" w:hAnsi="宋体" w:cs="宋体"/>
                <w:color w:val="auto"/>
                <w:sz w:val="24"/>
                <w:szCs w:val="24"/>
                <w:highlight w:val="none"/>
                <w:lang w:val="en-US" w:eastAsia="zh-CN" w:bidi="ar"/>
              </w:rPr>
              <w:t>30</w:t>
            </w:r>
            <w:r>
              <w:rPr>
                <w:rFonts w:hint="eastAsia" w:ascii="宋体" w:hAnsi="宋体" w:cs="宋体"/>
                <w:color w:val="auto"/>
                <w:sz w:val="24"/>
                <w:szCs w:val="24"/>
                <w:highlight w:val="none"/>
                <w:lang w:bidi="ar"/>
              </w:rPr>
              <w:t>分），每有一项负偏离扣</w:t>
            </w:r>
            <w:r>
              <w:rPr>
                <w:rFonts w:hint="eastAsia" w:ascii="宋体" w:hAnsi="宋体" w:cs="宋体"/>
                <w:color w:val="auto"/>
                <w:sz w:val="24"/>
                <w:szCs w:val="24"/>
                <w:highlight w:val="none"/>
                <w:lang w:val="en-US" w:eastAsia="zh-CN" w:bidi="ar"/>
              </w:rPr>
              <w:t>0.5</w:t>
            </w:r>
            <w:r>
              <w:rPr>
                <w:rFonts w:hint="eastAsia" w:ascii="宋体" w:hAnsi="宋体" w:cs="宋体"/>
                <w:color w:val="auto"/>
                <w:sz w:val="24"/>
                <w:szCs w:val="24"/>
                <w:highlight w:val="none"/>
                <w:lang w:bidi="ar"/>
              </w:rPr>
              <w:t>分，扣完为止。</w:t>
            </w:r>
          </w:p>
          <w:p w14:paraId="7C35901E">
            <w:pPr>
              <w:widowControl/>
              <w:spacing w:line="400" w:lineRule="exact"/>
              <w:jc w:val="left"/>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bidi="ar"/>
              </w:rPr>
              <w:t>注：</w:t>
            </w:r>
            <w:r>
              <w:rPr>
                <w:rFonts w:hint="eastAsia" w:ascii="宋体" w:hAnsi="宋体" w:cs="宋体"/>
                <w:color w:val="auto"/>
                <w:sz w:val="24"/>
                <w:szCs w:val="24"/>
                <w:highlight w:val="none"/>
                <w:lang w:val="en-US" w:eastAsia="zh-CN" w:bidi="ar"/>
              </w:rPr>
              <w:t>1.标“</w:t>
            </w:r>
            <w:r>
              <w:rPr>
                <w:rFonts w:hint="eastAsia" w:ascii="宋体" w:hAnsi="宋体" w:cs="宋体"/>
                <w:color w:val="auto"/>
                <w:sz w:val="24"/>
                <w:szCs w:val="24"/>
                <w:highlight w:val="none"/>
                <w:lang w:bidi="ar"/>
              </w:rPr>
              <w:t>★</w:t>
            </w:r>
            <w:r>
              <w:rPr>
                <w:rFonts w:hint="eastAsia" w:ascii="宋体" w:hAnsi="宋体" w:cs="宋体"/>
                <w:color w:val="auto"/>
                <w:sz w:val="24"/>
                <w:szCs w:val="24"/>
                <w:highlight w:val="none"/>
                <w:lang w:val="en-US" w:eastAsia="zh-CN" w:bidi="ar"/>
              </w:rPr>
              <w:t>”项：（1）投标人须详尽真实的提供投标产品的《技术要求响应及偏离表》，且均须在技术要求响应及偏离表内详尽真实的逐条提供偏差情况，否则将视为无效标。（2）有指定证明材料要求的未按指定要求提供相关证明材料的将视为无效标。（3）无指定证明材料要求的以加盖投标人公章的《技术要求响应及偏离表》为准。</w:t>
            </w:r>
          </w:p>
          <w:p w14:paraId="12FE0449">
            <w:pPr>
              <w:widowControl/>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lang w:val="en-US" w:eastAsia="zh-CN" w:bidi="ar"/>
              </w:rPr>
              <w:t>2.标“▲”和</w:t>
            </w:r>
            <w:r>
              <w:rPr>
                <w:rFonts w:hint="eastAsia" w:ascii="宋体" w:hAnsi="宋体" w:cs="宋体"/>
                <w:color w:val="auto"/>
                <w:sz w:val="24"/>
                <w:szCs w:val="24"/>
                <w:highlight w:val="none"/>
                <w:lang w:bidi="ar"/>
              </w:rPr>
              <w:t>“＃”</w:t>
            </w:r>
            <w:r>
              <w:rPr>
                <w:rFonts w:hint="eastAsia" w:ascii="宋体" w:hAnsi="宋体" w:cs="宋体"/>
                <w:color w:val="auto"/>
                <w:sz w:val="24"/>
                <w:szCs w:val="24"/>
                <w:highlight w:val="none"/>
                <w:lang w:val="en-US" w:eastAsia="zh-CN" w:bidi="ar"/>
              </w:rPr>
              <w:t>项：</w:t>
            </w:r>
            <w:r>
              <w:rPr>
                <w:rFonts w:hint="eastAsia" w:ascii="宋体" w:hAnsi="宋体" w:cs="宋体"/>
                <w:color w:val="auto"/>
                <w:sz w:val="24"/>
                <w:szCs w:val="24"/>
                <w:highlight w:val="none"/>
                <w:lang w:bidi="ar"/>
              </w:rPr>
              <w:t>（1）投标人</w:t>
            </w:r>
            <w:r>
              <w:rPr>
                <w:rFonts w:hint="eastAsia" w:ascii="宋体" w:hAnsi="宋体" w:cs="宋体"/>
                <w:color w:val="auto"/>
                <w:sz w:val="24"/>
                <w:szCs w:val="24"/>
                <w:highlight w:val="none"/>
                <w:lang w:val="en-US" w:eastAsia="zh-CN" w:bidi="ar"/>
              </w:rPr>
              <w:t>须</w:t>
            </w:r>
            <w:r>
              <w:rPr>
                <w:rFonts w:hint="eastAsia" w:ascii="宋体" w:hAnsi="宋体" w:cs="宋体"/>
                <w:color w:val="auto"/>
                <w:sz w:val="24"/>
                <w:szCs w:val="24"/>
                <w:highlight w:val="none"/>
                <w:lang w:bidi="ar"/>
              </w:rPr>
              <w:t>详尽真实的提供投标产品的《技术要求响应及偏离表》，且均需在技术要求响应及偏离表内详尽真实的逐条提供偏差情况，否则将视为负偏离。（2）有指定证明材料要求的未按指定要求提供相关证明材料的将视为负偏离。（3）无指定证明材料要求的以加盖投标人公章的《技术要求响应及偏离表》为准。</w:t>
            </w:r>
          </w:p>
        </w:tc>
      </w:tr>
      <w:tr w14:paraId="73BB65FD">
        <w:tblPrEx>
          <w:tblCellMar>
            <w:top w:w="0" w:type="dxa"/>
            <w:left w:w="108" w:type="dxa"/>
            <w:bottom w:w="0" w:type="dxa"/>
            <w:right w:w="108" w:type="dxa"/>
          </w:tblCellMar>
        </w:tblPrEx>
        <w:trPr>
          <w:trHeight w:val="936" w:hRule="atLeast"/>
        </w:trPr>
        <w:tc>
          <w:tcPr>
            <w:tcW w:w="848" w:type="dxa"/>
            <w:vMerge w:val="continue"/>
            <w:tcBorders>
              <w:top w:val="single" w:color="000000" w:sz="4" w:space="0"/>
              <w:left w:val="single" w:color="000000" w:sz="8" w:space="0"/>
              <w:bottom w:val="single" w:color="000000" w:sz="4" w:space="0"/>
              <w:right w:val="single" w:color="000000" w:sz="4" w:space="0"/>
            </w:tcBorders>
            <w:noWrap w:val="0"/>
            <w:vAlign w:val="center"/>
          </w:tcPr>
          <w:p w14:paraId="68C21346">
            <w:pPr>
              <w:spacing w:line="400" w:lineRule="exact"/>
              <w:jc w:val="center"/>
              <w:rPr>
                <w:rFonts w:ascii="宋体" w:hAnsi="宋体" w:cs="宋体"/>
                <w:color w:val="auto"/>
                <w:sz w:val="24"/>
                <w:szCs w:val="24"/>
                <w:highlight w:val="none"/>
              </w:rPr>
            </w:pPr>
          </w:p>
        </w:tc>
        <w:tc>
          <w:tcPr>
            <w:tcW w:w="990" w:type="dxa"/>
            <w:tcBorders>
              <w:top w:val="single" w:color="000000" w:sz="4" w:space="0"/>
              <w:left w:val="single" w:color="000000" w:sz="4" w:space="0"/>
              <w:bottom w:val="single" w:color="000000" w:sz="4" w:space="0"/>
              <w:right w:val="single" w:color="000000" w:sz="4" w:space="0"/>
            </w:tcBorders>
            <w:noWrap w:val="0"/>
            <w:vAlign w:val="center"/>
          </w:tcPr>
          <w:p w14:paraId="5E7786BD">
            <w:pPr>
              <w:widowControl/>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视频演示</w:t>
            </w: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2DED9C1B">
            <w:pPr>
              <w:widowControl/>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4.0</w:t>
            </w:r>
          </w:p>
        </w:tc>
        <w:tc>
          <w:tcPr>
            <w:tcW w:w="6701" w:type="dxa"/>
            <w:tcBorders>
              <w:top w:val="single" w:color="000000" w:sz="4" w:space="0"/>
              <w:left w:val="single" w:color="000000" w:sz="4" w:space="0"/>
              <w:bottom w:val="single" w:color="000000" w:sz="4" w:space="0"/>
              <w:right w:val="single" w:color="000000" w:sz="8" w:space="0"/>
            </w:tcBorders>
            <w:noWrap w:val="0"/>
            <w:vAlign w:val="center"/>
          </w:tcPr>
          <w:p w14:paraId="3B69955E">
            <w:pPr>
              <w:widowControl/>
              <w:spacing w:line="400" w:lineRule="exact"/>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bidi="ar"/>
              </w:rPr>
              <w:t>采购清单中技术要求前标有“</w:t>
            </w:r>
            <w:r>
              <w:rPr>
                <w:rFonts w:hint="eastAsia" w:ascii="宋体" w:hAnsi="宋体" w:cs="宋体"/>
                <w:b/>
                <w:bCs/>
                <w:color w:val="auto"/>
                <w:sz w:val="24"/>
                <w:szCs w:val="24"/>
                <w:highlight w:val="none"/>
                <w:lang w:bidi="ar"/>
              </w:rPr>
              <w:t>☆☆</w:t>
            </w:r>
            <w:r>
              <w:rPr>
                <w:rFonts w:hint="eastAsia" w:ascii="宋体" w:hAnsi="宋体" w:cs="宋体"/>
                <w:color w:val="auto"/>
                <w:sz w:val="24"/>
                <w:szCs w:val="24"/>
                <w:highlight w:val="none"/>
                <w:lang w:bidi="ar"/>
              </w:rPr>
              <w:t>”的技术参数(共2条，每条2分，共计4分)，投标人需提供产品功能演示视频，评标委员会根据投标人提供的产品功能演示视频进行评审:</w:t>
            </w:r>
            <w:r>
              <w:rPr>
                <w:rFonts w:hint="default" w:ascii="宋体" w:hAnsi="宋体" w:cs="宋体"/>
                <w:color w:val="auto"/>
                <w:sz w:val="24"/>
                <w:szCs w:val="24"/>
                <w:highlight w:val="none"/>
                <w:lang w:val="en-US" w:eastAsia="zh-CN" w:bidi="ar"/>
              </w:rPr>
              <w:t>每</w:t>
            </w:r>
            <w:r>
              <w:rPr>
                <w:rFonts w:hint="eastAsia" w:ascii="宋体" w:hAnsi="宋体" w:cs="宋体"/>
                <w:color w:val="auto"/>
                <w:sz w:val="24"/>
                <w:szCs w:val="24"/>
                <w:highlight w:val="none"/>
                <w:lang w:val="en-US" w:eastAsia="zh-CN" w:bidi="ar"/>
              </w:rPr>
              <w:t>条</w:t>
            </w:r>
            <w:r>
              <w:rPr>
                <w:rFonts w:hint="default" w:ascii="宋体" w:hAnsi="宋体" w:cs="宋体"/>
                <w:color w:val="auto"/>
                <w:sz w:val="24"/>
                <w:szCs w:val="24"/>
                <w:highlight w:val="none"/>
                <w:lang w:val="en-US" w:eastAsia="zh-CN" w:bidi="ar"/>
              </w:rPr>
              <w:t>演示功能完全覆盖并符合采购需求要求，</w:t>
            </w:r>
            <w:r>
              <w:rPr>
                <w:rFonts w:hint="eastAsia" w:ascii="宋体" w:hAnsi="宋体" w:cs="宋体"/>
                <w:color w:val="auto"/>
                <w:sz w:val="24"/>
                <w:szCs w:val="24"/>
                <w:highlight w:val="none"/>
                <w:lang w:val="en-US" w:eastAsia="zh-CN" w:bidi="ar"/>
              </w:rPr>
              <w:t>业务</w:t>
            </w:r>
            <w:r>
              <w:rPr>
                <w:rFonts w:hint="default" w:ascii="宋体" w:hAnsi="宋体" w:cs="宋体"/>
                <w:color w:val="auto"/>
                <w:sz w:val="24"/>
                <w:szCs w:val="24"/>
                <w:highlight w:val="none"/>
                <w:lang w:val="en-US" w:eastAsia="zh-CN" w:bidi="ar"/>
              </w:rPr>
              <w:t>逻辑准确、系统结构清晰、流程顺畅，无任何逻辑错误或</w:t>
            </w:r>
            <w:r>
              <w:rPr>
                <w:rFonts w:hint="eastAsia" w:ascii="宋体" w:hAnsi="宋体" w:cs="宋体"/>
                <w:color w:val="auto"/>
                <w:sz w:val="24"/>
                <w:szCs w:val="24"/>
                <w:highlight w:val="none"/>
                <w:lang w:val="en-US" w:eastAsia="zh-CN" w:bidi="ar"/>
              </w:rPr>
              <w:t>演示</w:t>
            </w:r>
            <w:r>
              <w:rPr>
                <w:rFonts w:hint="default" w:ascii="宋体" w:hAnsi="宋体" w:cs="宋体"/>
                <w:color w:val="auto"/>
                <w:sz w:val="24"/>
                <w:szCs w:val="24"/>
                <w:highlight w:val="none"/>
                <w:lang w:val="en-US" w:eastAsia="zh-CN" w:bidi="ar"/>
              </w:rPr>
              <w:t>缺失的，得</w:t>
            </w:r>
            <w:r>
              <w:rPr>
                <w:rFonts w:hint="eastAsia" w:ascii="宋体" w:hAnsi="宋体" w:cs="宋体"/>
                <w:color w:val="auto"/>
                <w:sz w:val="24"/>
                <w:szCs w:val="24"/>
                <w:highlight w:val="none"/>
                <w:lang w:val="en-US" w:eastAsia="zh-CN" w:bidi="ar"/>
              </w:rPr>
              <w:t>2</w:t>
            </w:r>
            <w:r>
              <w:rPr>
                <w:rFonts w:hint="default" w:ascii="宋体" w:hAnsi="宋体" w:cs="宋体"/>
                <w:color w:val="auto"/>
                <w:sz w:val="24"/>
                <w:szCs w:val="24"/>
                <w:highlight w:val="none"/>
                <w:lang w:val="en-US" w:eastAsia="zh-CN" w:bidi="ar"/>
              </w:rPr>
              <w:t>分；每</w:t>
            </w:r>
            <w:r>
              <w:rPr>
                <w:rFonts w:hint="eastAsia" w:ascii="宋体" w:hAnsi="宋体" w:cs="宋体"/>
                <w:color w:val="auto"/>
                <w:sz w:val="24"/>
                <w:szCs w:val="24"/>
                <w:highlight w:val="none"/>
                <w:lang w:val="en-US" w:eastAsia="zh-CN" w:bidi="ar"/>
              </w:rPr>
              <w:t>条</w:t>
            </w:r>
            <w:r>
              <w:rPr>
                <w:rFonts w:hint="default" w:ascii="宋体" w:hAnsi="宋体" w:cs="宋体"/>
                <w:color w:val="auto"/>
                <w:sz w:val="24"/>
                <w:szCs w:val="24"/>
                <w:highlight w:val="none"/>
                <w:lang w:val="en-US" w:eastAsia="zh-CN" w:bidi="ar"/>
              </w:rPr>
              <w:t>演示功能基本符合采购需求要求，在非核心流程上存在瑕疵但未导致流程中断，能够完成演示的，得</w:t>
            </w:r>
            <w:r>
              <w:rPr>
                <w:rFonts w:hint="eastAsia" w:ascii="宋体" w:hAnsi="宋体" w:cs="宋体"/>
                <w:color w:val="auto"/>
                <w:sz w:val="24"/>
                <w:szCs w:val="24"/>
                <w:highlight w:val="none"/>
                <w:lang w:val="en-US" w:eastAsia="zh-CN" w:bidi="ar"/>
              </w:rPr>
              <w:t>1</w:t>
            </w:r>
            <w:r>
              <w:rPr>
                <w:rFonts w:hint="default" w:ascii="宋体" w:hAnsi="宋体" w:cs="宋体"/>
                <w:color w:val="auto"/>
                <w:sz w:val="24"/>
                <w:szCs w:val="24"/>
                <w:highlight w:val="none"/>
                <w:lang w:val="en-US" w:eastAsia="zh-CN" w:bidi="ar"/>
              </w:rPr>
              <w:t>分；</w:t>
            </w:r>
            <w:r>
              <w:rPr>
                <w:rFonts w:hint="eastAsia" w:ascii="宋体" w:hAnsi="宋体" w:cs="宋体"/>
                <w:color w:val="auto"/>
                <w:sz w:val="24"/>
                <w:szCs w:val="24"/>
                <w:highlight w:val="none"/>
                <w:lang w:bidi="ar"/>
              </w:rPr>
              <w:t>每条演示功能与采购需求存在核心业务上的偏差，或业务逻辑错误或系统结构缺陷导致流程中断无法演示或未提供的，不得分。</w:t>
            </w:r>
          </w:p>
        </w:tc>
      </w:tr>
      <w:tr w14:paraId="6D8F147A">
        <w:tblPrEx>
          <w:tblCellMar>
            <w:top w:w="0" w:type="dxa"/>
            <w:left w:w="108" w:type="dxa"/>
            <w:bottom w:w="0" w:type="dxa"/>
            <w:right w:w="108" w:type="dxa"/>
          </w:tblCellMar>
        </w:tblPrEx>
        <w:trPr>
          <w:trHeight w:val="1560" w:hRule="atLeast"/>
        </w:trPr>
        <w:tc>
          <w:tcPr>
            <w:tcW w:w="848" w:type="dxa"/>
            <w:vMerge w:val="restart"/>
            <w:tcBorders>
              <w:top w:val="single" w:color="000000" w:sz="4" w:space="0"/>
              <w:left w:val="single" w:color="000000" w:sz="8" w:space="0"/>
              <w:bottom w:val="single" w:color="000000" w:sz="4" w:space="0"/>
              <w:right w:val="single" w:color="000000" w:sz="4" w:space="0"/>
            </w:tcBorders>
            <w:noWrap w:val="0"/>
            <w:vAlign w:val="center"/>
          </w:tcPr>
          <w:p w14:paraId="174B1EBC">
            <w:pPr>
              <w:widowControl/>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lang w:bidi="ar"/>
              </w:rPr>
              <w:t>企业经营业绩、能力</w:t>
            </w:r>
          </w:p>
        </w:tc>
        <w:tc>
          <w:tcPr>
            <w:tcW w:w="990" w:type="dxa"/>
            <w:tcBorders>
              <w:top w:val="single" w:color="000000" w:sz="4" w:space="0"/>
              <w:left w:val="single" w:color="000000" w:sz="4" w:space="0"/>
              <w:bottom w:val="single" w:color="000000" w:sz="4" w:space="0"/>
              <w:right w:val="single" w:color="000000" w:sz="4" w:space="0"/>
            </w:tcBorders>
            <w:noWrap w:val="0"/>
            <w:vAlign w:val="center"/>
          </w:tcPr>
          <w:p w14:paraId="11057402">
            <w:pPr>
              <w:widowControl/>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企业业绩</w:t>
            </w: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0815A987">
            <w:pPr>
              <w:widowControl/>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lang w:val="en-US" w:eastAsia="zh-CN" w:bidi="ar"/>
              </w:rPr>
              <w:t>3</w:t>
            </w:r>
            <w:r>
              <w:rPr>
                <w:rFonts w:hint="eastAsia" w:ascii="宋体" w:hAnsi="宋体" w:cs="宋体"/>
                <w:color w:val="auto"/>
                <w:sz w:val="24"/>
                <w:szCs w:val="24"/>
                <w:highlight w:val="none"/>
                <w:lang w:bidi="ar"/>
              </w:rPr>
              <w:t>.0</w:t>
            </w:r>
          </w:p>
        </w:tc>
        <w:tc>
          <w:tcPr>
            <w:tcW w:w="6701" w:type="dxa"/>
            <w:tcBorders>
              <w:top w:val="single" w:color="000000" w:sz="4" w:space="0"/>
              <w:left w:val="single" w:color="000000" w:sz="4" w:space="0"/>
              <w:bottom w:val="single" w:color="000000" w:sz="4" w:space="0"/>
              <w:right w:val="single" w:color="000000" w:sz="8" w:space="0"/>
            </w:tcBorders>
            <w:noWrap w:val="0"/>
            <w:vAlign w:val="center"/>
          </w:tcPr>
          <w:p w14:paraId="0C968D2C">
            <w:pPr>
              <w:widowControl/>
              <w:spacing w:line="400" w:lineRule="exact"/>
              <w:jc w:val="lef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投标人自</w:t>
            </w:r>
            <w:r>
              <w:rPr>
                <w:rFonts w:hint="eastAsia" w:ascii="宋体" w:hAnsi="宋体" w:cs="宋体"/>
                <w:color w:val="auto"/>
                <w:sz w:val="24"/>
                <w:szCs w:val="24"/>
                <w:highlight w:val="none"/>
                <w:lang w:eastAsia="zh-CN" w:bidi="ar"/>
              </w:rPr>
              <w:t>2023年1月1日</w:t>
            </w:r>
            <w:r>
              <w:rPr>
                <w:rFonts w:hint="eastAsia" w:ascii="宋体" w:hAnsi="宋体" w:cs="宋体"/>
                <w:color w:val="auto"/>
                <w:sz w:val="24"/>
                <w:szCs w:val="24"/>
                <w:highlight w:val="none"/>
                <w:lang w:bidi="ar"/>
              </w:rPr>
              <w:t>以来（以合同或者合同协议书签订时间为准）已完成的类似业绩，每提供一个得</w:t>
            </w:r>
            <w:r>
              <w:rPr>
                <w:rFonts w:hint="eastAsia" w:ascii="宋体" w:hAnsi="宋体" w:cs="宋体"/>
                <w:color w:val="auto"/>
                <w:sz w:val="24"/>
                <w:szCs w:val="24"/>
                <w:highlight w:val="none"/>
                <w:lang w:val="en-US" w:eastAsia="zh-CN" w:bidi="ar"/>
              </w:rPr>
              <w:t>1</w:t>
            </w:r>
            <w:r>
              <w:rPr>
                <w:rFonts w:hint="eastAsia" w:ascii="宋体" w:hAnsi="宋体" w:cs="宋体"/>
                <w:color w:val="auto"/>
                <w:sz w:val="24"/>
                <w:szCs w:val="24"/>
                <w:highlight w:val="none"/>
                <w:lang w:bidi="ar"/>
              </w:rPr>
              <w:t>分，本项最高得</w:t>
            </w:r>
            <w:r>
              <w:rPr>
                <w:rFonts w:hint="eastAsia" w:ascii="宋体" w:hAnsi="宋体" w:cs="宋体"/>
                <w:color w:val="auto"/>
                <w:sz w:val="24"/>
                <w:szCs w:val="24"/>
                <w:highlight w:val="none"/>
                <w:lang w:val="en-US" w:eastAsia="zh-CN" w:bidi="ar"/>
              </w:rPr>
              <w:t>3</w:t>
            </w:r>
            <w:r>
              <w:rPr>
                <w:rFonts w:hint="eastAsia" w:ascii="宋体" w:hAnsi="宋体" w:cs="宋体"/>
                <w:color w:val="auto"/>
                <w:sz w:val="24"/>
                <w:szCs w:val="24"/>
                <w:highlight w:val="none"/>
                <w:lang w:bidi="ar"/>
              </w:rPr>
              <w:t>分。</w:t>
            </w:r>
          </w:p>
          <w:p w14:paraId="50E71DDF">
            <w:pPr>
              <w:widowControl/>
              <w:spacing w:line="400" w:lineRule="exact"/>
              <w:jc w:val="lef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注：</w:t>
            </w:r>
          </w:p>
          <w:p w14:paraId="081EEE8A">
            <w:pPr>
              <w:widowControl/>
              <w:spacing w:line="400" w:lineRule="exact"/>
              <w:jc w:val="lef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投标人需提供业绩证明材料至投标文件，证明材料原件扫描件需包含中标（或者成交）通知书、合同（或者合同协议书）、采购人履约评价（或者验收合格报告或者验收合格证明），三者缺一不可，未提供或提供不全或模糊不清无法辨认均不予计分。</w:t>
            </w:r>
          </w:p>
          <w:p w14:paraId="236C572A">
            <w:pPr>
              <w:widowControl/>
              <w:spacing w:line="400" w:lineRule="exact"/>
              <w:jc w:val="lef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（2）合同甲方履约评价中出现“不满意”或“差”或“不合格”或同等意思表达的，该业绩不得分。</w:t>
            </w:r>
          </w:p>
          <w:p w14:paraId="28E4C0A1">
            <w:pPr>
              <w:widowControl/>
              <w:spacing w:line="400" w:lineRule="exact"/>
              <w:jc w:val="lef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（3）投标人提供的企业业绩将随中标结果公告同步公开。</w:t>
            </w:r>
          </w:p>
        </w:tc>
      </w:tr>
      <w:tr w14:paraId="5E9FE676">
        <w:tblPrEx>
          <w:tblCellMar>
            <w:top w:w="0" w:type="dxa"/>
            <w:left w:w="108" w:type="dxa"/>
            <w:bottom w:w="0" w:type="dxa"/>
            <w:right w:w="108" w:type="dxa"/>
          </w:tblCellMar>
        </w:tblPrEx>
        <w:trPr>
          <w:trHeight w:val="510" w:hRule="atLeast"/>
        </w:trPr>
        <w:tc>
          <w:tcPr>
            <w:tcW w:w="848" w:type="dxa"/>
            <w:vMerge w:val="continue"/>
            <w:tcBorders>
              <w:top w:val="single" w:color="000000" w:sz="4" w:space="0"/>
              <w:left w:val="single" w:color="000000" w:sz="8" w:space="0"/>
              <w:bottom w:val="single" w:color="000000" w:sz="4" w:space="0"/>
              <w:right w:val="single" w:color="000000" w:sz="4" w:space="0"/>
            </w:tcBorders>
            <w:noWrap w:val="0"/>
            <w:vAlign w:val="center"/>
          </w:tcPr>
          <w:p w14:paraId="1E163717">
            <w:pPr>
              <w:spacing w:line="400" w:lineRule="exact"/>
              <w:rPr>
                <w:rFonts w:ascii="宋体" w:hAnsi="宋体" w:cs="宋体"/>
                <w:color w:val="auto"/>
                <w:sz w:val="24"/>
                <w:szCs w:val="24"/>
                <w:highlight w:val="none"/>
              </w:rPr>
            </w:pPr>
          </w:p>
        </w:tc>
        <w:tc>
          <w:tcPr>
            <w:tcW w:w="990" w:type="dxa"/>
            <w:tcBorders>
              <w:top w:val="single" w:color="000000" w:sz="4" w:space="0"/>
              <w:left w:val="single" w:color="000000" w:sz="4" w:space="0"/>
              <w:bottom w:val="single" w:color="000000" w:sz="4" w:space="0"/>
              <w:right w:val="single" w:color="000000" w:sz="4" w:space="0"/>
            </w:tcBorders>
            <w:noWrap w:val="0"/>
            <w:vAlign w:val="center"/>
          </w:tcPr>
          <w:p w14:paraId="40108BCB">
            <w:pPr>
              <w:widowControl/>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环境标志、节能产品</w:t>
            </w: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2CA7462A">
            <w:pPr>
              <w:widowControl/>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1.0</w:t>
            </w:r>
          </w:p>
        </w:tc>
        <w:tc>
          <w:tcPr>
            <w:tcW w:w="6701" w:type="dxa"/>
            <w:tcBorders>
              <w:top w:val="single" w:color="000000" w:sz="4" w:space="0"/>
              <w:left w:val="single" w:color="000000" w:sz="4" w:space="0"/>
              <w:bottom w:val="single" w:color="000000" w:sz="4" w:space="0"/>
              <w:right w:val="single" w:color="000000" w:sz="8" w:space="0"/>
            </w:tcBorders>
            <w:noWrap w:val="0"/>
            <w:vAlign w:val="center"/>
          </w:tcPr>
          <w:p w14:paraId="2B3E82CE">
            <w:pPr>
              <w:widowControl/>
              <w:numPr>
                <w:ilvl w:val="0"/>
                <w:numId w:val="0"/>
              </w:numPr>
              <w:spacing w:line="400" w:lineRule="exact"/>
              <w:jc w:val="left"/>
              <w:rPr>
                <w:rFonts w:ascii="宋体" w:hAnsi="宋体" w:cs="宋体"/>
                <w:color w:val="auto"/>
                <w:sz w:val="24"/>
                <w:szCs w:val="24"/>
                <w:highlight w:val="none"/>
                <w:lang w:bidi="ar"/>
              </w:rPr>
            </w:pPr>
            <w:r>
              <w:rPr>
                <w:rFonts w:ascii="宋体" w:hAnsi="宋体" w:eastAsia="宋体" w:cs="宋体"/>
                <w:color w:val="auto"/>
                <w:sz w:val="24"/>
                <w:szCs w:val="24"/>
                <w:highlight w:val="none"/>
                <w:lang w:val="en-US" w:eastAsia="zh-CN" w:bidi="ar"/>
              </w:rPr>
              <w:t>1、</w:t>
            </w:r>
            <w:r>
              <w:rPr>
                <w:rFonts w:hint="eastAsia" w:ascii="宋体" w:hAnsi="宋体" w:cs="宋体"/>
                <w:color w:val="auto"/>
                <w:sz w:val="24"/>
                <w:szCs w:val="24"/>
                <w:highlight w:val="none"/>
                <w:lang w:bidi="ar"/>
              </w:rPr>
              <w:t>投标产品在财政部、生态环境部公布的“环境标志产品政府采购品目清单”内，且投标文件中提供国家市场监督管理局确定的列入“参与实施政府采购环境标志产品认证机构名录 ”内的认证机构出具的、有效期内的该产品环境标志产品认证证书电子件的得0.5分。</w:t>
            </w:r>
            <w:r>
              <w:rPr>
                <w:rFonts w:hint="eastAsia" w:ascii="宋体" w:hAnsi="宋体" w:cs="宋体"/>
                <w:color w:val="auto"/>
                <w:sz w:val="24"/>
                <w:szCs w:val="24"/>
                <w:highlight w:val="none"/>
                <w:lang w:bidi="ar"/>
              </w:rPr>
              <w:br w:type="textWrapping"/>
            </w:r>
            <w:r>
              <w:rPr>
                <w:rFonts w:hint="eastAsia" w:ascii="宋体" w:hAnsi="宋体" w:cs="宋体"/>
                <w:color w:val="auto"/>
                <w:sz w:val="24"/>
                <w:szCs w:val="24"/>
                <w:highlight w:val="none"/>
                <w:lang w:bidi="ar"/>
              </w:rPr>
              <w:t>2、投标产品在财政部、发展改革委公布的“节能产品政府采购品目清单”内（属于政府强制采购产品除外），且投标文件中提供国家市场监督管理局确定的列入“参与实施政府采购节能产品认证机构名录”内的认证机构出具的、有效期内的该产品的节能产品认证证书电子件的得0.5分。</w:t>
            </w:r>
          </w:p>
          <w:p w14:paraId="5137657B">
            <w:pPr>
              <w:widowControl/>
              <w:spacing w:line="400" w:lineRule="exact"/>
              <w:jc w:val="lef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注：1、在投标文件中提供证书原件扫描件；2、如未提供或提供不全或提供不符合要求的均不得分。</w:t>
            </w:r>
          </w:p>
        </w:tc>
      </w:tr>
      <w:tr w14:paraId="6E614CEF">
        <w:tblPrEx>
          <w:tblCellMar>
            <w:top w:w="0" w:type="dxa"/>
            <w:left w:w="108" w:type="dxa"/>
            <w:bottom w:w="0" w:type="dxa"/>
            <w:right w:w="108" w:type="dxa"/>
          </w:tblCellMar>
        </w:tblPrEx>
        <w:trPr>
          <w:trHeight w:val="1872" w:hRule="atLeast"/>
        </w:trPr>
        <w:tc>
          <w:tcPr>
            <w:tcW w:w="848" w:type="dxa"/>
            <w:vMerge w:val="restart"/>
            <w:tcBorders>
              <w:top w:val="single" w:color="000000" w:sz="4" w:space="0"/>
              <w:left w:val="single" w:color="000000" w:sz="8" w:space="0"/>
              <w:right w:val="single" w:color="000000" w:sz="4" w:space="0"/>
            </w:tcBorders>
            <w:noWrap w:val="0"/>
            <w:vAlign w:val="center"/>
          </w:tcPr>
          <w:p w14:paraId="7716F93B">
            <w:pPr>
              <w:widowControl/>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项目实施</w:t>
            </w:r>
          </w:p>
        </w:tc>
        <w:tc>
          <w:tcPr>
            <w:tcW w:w="990" w:type="dxa"/>
            <w:tcBorders>
              <w:top w:val="single" w:color="000000" w:sz="4" w:space="0"/>
              <w:left w:val="single" w:color="000000" w:sz="4" w:space="0"/>
              <w:bottom w:val="single" w:color="000000" w:sz="4" w:space="0"/>
              <w:right w:val="single" w:color="000000" w:sz="4" w:space="0"/>
            </w:tcBorders>
            <w:noWrap w:val="0"/>
            <w:vAlign w:val="center"/>
          </w:tcPr>
          <w:p w14:paraId="46A66A6B">
            <w:pPr>
              <w:widowControl/>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项目组人员</w:t>
            </w: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5DAD2E32">
            <w:pPr>
              <w:widowControl/>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lang w:val="en-US" w:eastAsia="zh-CN" w:bidi="ar"/>
              </w:rPr>
              <w:t>3</w:t>
            </w:r>
            <w:r>
              <w:rPr>
                <w:rFonts w:hint="eastAsia" w:ascii="宋体" w:hAnsi="宋体" w:cs="宋体"/>
                <w:color w:val="auto"/>
                <w:sz w:val="24"/>
                <w:szCs w:val="24"/>
                <w:highlight w:val="none"/>
                <w:lang w:bidi="ar"/>
              </w:rPr>
              <w:t>.0</w:t>
            </w:r>
          </w:p>
        </w:tc>
        <w:tc>
          <w:tcPr>
            <w:tcW w:w="6701" w:type="dxa"/>
            <w:tcBorders>
              <w:top w:val="single" w:color="000000" w:sz="4" w:space="0"/>
              <w:left w:val="single" w:color="000000" w:sz="4" w:space="0"/>
              <w:bottom w:val="single" w:color="000000" w:sz="4" w:space="0"/>
              <w:right w:val="single" w:color="000000" w:sz="8" w:space="0"/>
            </w:tcBorders>
            <w:noWrap w:val="0"/>
            <w:vAlign w:val="center"/>
          </w:tcPr>
          <w:p w14:paraId="5946AA57">
            <w:pPr>
              <w:widowControl/>
              <w:spacing w:line="400" w:lineRule="exact"/>
              <w:jc w:val="lef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1、投标人针对本项目拟派的项目负责人具有工业和信息化部或人力资源社会保障部颁发的信息系统项目管理师证书的</w:t>
            </w:r>
            <w:r>
              <w:rPr>
                <w:rFonts w:hint="eastAsia" w:ascii="宋体" w:hAnsi="宋体" w:cs="宋体"/>
                <w:color w:val="auto"/>
                <w:sz w:val="24"/>
                <w:szCs w:val="24"/>
                <w:highlight w:val="none"/>
                <w:lang w:eastAsia="zh-CN" w:bidi="ar"/>
              </w:rPr>
              <w:t>，</w:t>
            </w:r>
            <w:r>
              <w:rPr>
                <w:rFonts w:hint="eastAsia" w:ascii="宋体" w:hAnsi="宋体" w:cs="宋体"/>
                <w:color w:val="auto"/>
                <w:sz w:val="24"/>
                <w:szCs w:val="24"/>
                <w:highlight w:val="none"/>
                <w:lang w:bidi="ar"/>
              </w:rPr>
              <w:t>得1分。</w:t>
            </w:r>
          </w:p>
          <w:p w14:paraId="45D4F52C">
            <w:pPr>
              <w:widowControl/>
              <w:spacing w:line="400" w:lineRule="exact"/>
              <w:jc w:val="lef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2、项目组其他人员（不含项目负责人）具有工业和信息化部或人力资源社会保障部颁发的系统集成项目管理工程师、网络工程师证书</w:t>
            </w:r>
            <w:r>
              <w:rPr>
                <w:rFonts w:hint="eastAsia" w:ascii="宋体" w:hAnsi="宋体" w:cs="宋体"/>
                <w:color w:val="auto"/>
                <w:sz w:val="24"/>
                <w:szCs w:val="24"/>
                <w:highlight w:val="none"/>
                <w:lang w:val="en-US" w:eastAsia="zh-CN" w:bidi="ar"/>
              </w:rPr>
              <w:t>的</w:t>
            </w:r>
            <w:r>
              <w:rPr>
                <w:rFonts w:hint="eastAsia" w:ascii="宋体" w:hAnsi="宋体" w:cs="宋体"/>
                <w:color w:val="auto"/>
                <w:sz w:val="24"/>
                <w:szCs w:val="24"/>
                <w:highlight w:val="none"/>
                <w:lang w:bidi="ar"/>
              </w:rPr>
              <w:t>，每有一个得</w:t>
            </w:r>
            <w:r>
              <w:rPr>
                <w:rFonts w:hint="eastAsia" w:ascii="宋体" w:hAnsi="宋体" w:cs="宋体"/>
                <w:color w:val="auto"/>
                <w:sz w:val="24"/>
                <w:szCs w:val="24"/>
                <w:highlight w:val="none"/>
                <w:lang w:val="en-US" w:eastAsia="zh-CN" w:bidi="ar"/>
              </w:rPr>
              <w:t>1</w:t>
            </w:r>
            <w:r>
              <w:rPr>
                <w:rFonts w:hint="eastAsia" w:ascii="宋体" w:hAnsi="宋体" w:cs="宋体"/>
                <w:color w:val="auto"/>
                <w:sz w:val="24"/>
                <w:szCs w:val="24"/>
                <w:highlight w:val="none"/>
                <w:lang w:bidi="ar"/>
              </w:rPr>
              <w:t>分，最高得</w:t>
            </w:r>
            <w:r>
              <w:rPr>
                <w:rFonts w:hint="eastAsia" w:ascii="宋体" w:hAnsi="宋体" w:cs="宋体"/>
                <w:color w:val="auto"/>
                <w:sz w:val="24"/>
                <w:szCs w:val="24"/>
                <w:highlight w:val="none"/>
                <w:lang w:val="en-US" w:eastAsia="zh-CN" w:bidi="ar"/>
              </w:rPr>
              <w:t>2</w:t>
            </w:r>
            <w:r>
              <w:rPr>
                <w:rFonts w:hint="eastAsia" w:ascii="宋体" w:hAnsi="宋体" w:cs="宋体"/>
                <w:color w:val="auto"/>
                <w:sz w:val="24"/>
                <w:szCs w:val="24"/>
                <w:highlight w:val="none"/>
                <w:lang w:bidi="ar"/>
              </w:rPr>
              <w:t>分。</w:t>
            </w:r>
          </w:p>
          <w:p w14:paraId="57772282">
            <w:pPr>
              <w:widowControl/>
              <w:spacing w:line="400" w:lineRule="exact"/>
              <w:jc w:val="lef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注：（1）上述项目组成员必须为本单位员工，以上项目组成员必须为本单位员工，需提供2025年</w:t>
            </w:r>
            <w:r>
              <w:rPr>
                <w:rFonts w:hint="eastAsia" w:ascii="宋体" w:hAnsi="宋体" w:cs="宋体"/>
                <w:color w:val="auto"/>
                <w:sz w:val="24"/>
                <w:szCs w:val="24"/>
                <w:highlight w:val="none"/>
                <w:lang w:val="en-US" w:eastAsia="zh-CN" w:bidi="ar"/>
              </w:rPr>
              <w:t>12</w:t>
            </w:r>
            <w:r>
              <w:rPr>
                <w:rFonts w:hint="eastAsia" w:ascii="宋体" w:hAnsi="宋体" w:cs="宋体"/>
                <w:color w:val="auto"/>
                <w:sz w:val="24"/>
                <w:szCs w:val="24"/>
                <w:highlight w:val="none"/>
                <w:lang w:bidi="ar"/>
              </w:rPr>
              <w:t>月1日以来内任意一个月社会养老保险证明原件扫描件，否则不得分；（2）以上项目组成员的证书均须提供原件扫描件，未提供的本项不得分；</w:t>
            </w:r>
          </w:p>
          <w:p w14:paraId="13AC53A7">
            <w:pPr>
              <w:widowControl/>
              <w:spacing w:line="400" w:lineRule="exact"/>
              <w:jc w:val="lef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（3）提供上述项目组成员相关证书原件备查，服务过程中，人员不得</w:t>
            </w:r>
            <w:r>
              <w:rPr>
                <w:rFonts w:hint="eastAsia" w:ascii="宋体" w:hAnsi="宋体" w:cs="宋体"/>
                <w:color w:val="auto"/>
                <w:sz w:val="24"/>
                <w:szCs w:val="24"/>
                <w:highlight w:val="none"/>
                <w:lang w:val="en-US" w:eastAsia="zh-CN" w:bidi="ar"/>
              </w:rPr>
              <w:t>随意</w:t>
            </w:r>
            <w:r>
              <w:rPr>
                <w:rFonts w:hint="eastAsia" w:ascii="宋体" w:hAnsi="宋体" w:cs="宋体"/>
                <w:color w:val="auto"/>
                <w:sz w:val="24"/>
                <w:szCs w:val="24"/>
                <w:highlight w:val="none"/>
                <w:lang w:bidi="ar"/>
              </w:rPr>
              <w:t>更改。</w:t>
            </w:r>
          </w:p>
          <w:p w14:paraId="542AA9AD">
            <w:pPr>
              <w:widowControl/>
              <w:spacing w:line="400" w:lineRule="exact"/>
              <w:jc w:val="lef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（4）以上项目组成员中同一人员具备上述多种证书的，不重复计分；同一证书多人具备的，不重复计分。</w:t>
            </w:r>
          </w:p>
        </w:tc>
      </w:tr>
      <w:tr w14:paraId="58720D8B">
        <w:tblPrEx>
          <w:tblCellMar>
            <w:top w:w="0" w:type="dxa"/>
            <w:left w:w="108" w:type="dxa"/>
            <w:bottom w:w="0" w:type="dxa"/>
            <w:right w:w="108" w:type="dxa"/>
          </w:tblCellMar>
        </w:tblPrEx>
        <w:trPr>
          <w:trHeight w:val="90" w:hRule="atLeast"/>
        </w:trPr>
        <w:tc>
          <w:tcPr>
            <w:tcW w:w="848" w:type="dxa"/>
            <w:vMerge w:val="continue"/>
            <w:tcBorders>
              <w:left w:val="single" w:color="000000" w:sz="8" w:space="0"/>
              <w:right w:val="single" w:color="000000" w:sz="4" w:space="0"/>
            </w:tcBorders>
            <w:noWrap w:val="0"/>
            <w:vAlign w:val="center"/>
          </w:tcPr>
          <w:p w14:paraId="761CB9C3">
            <w:pPr>
              <w:spacing w:line="400" w:lineRule="exact"/>
              <w:jc w:val="center"/>
              <w:rPr>
                <w:rFonts w:ascii="宋体" w:hAnsi="宋体" w:cs="宋体"/>
                <w:color w:val="auto"/>
                <w:sz w:val="24"/>
                <w:szCs w:val="24"/>
                <w:highlight w:val="none"/>
              </w:rPr>
            </w:pPr>
          </w:p>
        </w:tc>
        <w:tc>
          <w:tcPr>
            <w:tcW w:w="990" w:type="dxa"/>
            <w:tcBorders>
              <w:top w:val="single" w:color="000000" w:sz="4" w:space="0"/>
              <w:left w:val="single" w:color="000000" w:sz="4" w:space="0"/>
              <w:bottom w:val="single" w:color="000000" w:sz="4" w:space="0"/>
              <w:right w:val="single" w:color="000000" w:sz="4" w:space="0"/>
            </w:tcBorders>
            <w:noWrap w:val="0"/>
            <w:vAlign w:val="center"/>
          </w:tcPr>
          <w:p w14:paraId="574DF4B3">
            <w:pPr>
              <w:widowControl/>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项目实施方案</w:t>
            </w: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6E12CD55">
            <w:pPr>
              <w:widowControl/>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lang w:val="en-US" w:eastAsia="zh-CN" w:bidi="ar"/>
              </w:rPr>
              <w:t>3</w:t>
            </w:r>
            <w:r>
              <w:rPr>
                <w:rFonts w:hint="eastAsia" w:ascii="宋体" w:hAnsi="宋体" w:cs="宋体"/>
                <w:color w:val="auto"/>
                <w:sz w:val="24"/>
                <w:szCs w:val="24"/>
                <w:highlight w:val="none"/>
                <w:lang w:bidi="ar"/>
              </w:rPr>
              <w:t>.0</w:t>
            </w:r>
          </w:p>
        </w:tc>
        <w:tc>
          <w:tcPr>
            <w:tcW w:w="6701" w:type="dxa"/>
            <w:tcBorders>
              <w:top w:val="single" w:color="000000" w:sz="4" w:space="0"/>
              <w:left w:val="single" w:color="000000" w:sz="4" w:space="0"/>
              <w:bottom w:val="single" w:color="000000" w:sz="4" w:space="0"/>
              <w:right w:val="single" w:color="000000" w:sz="8" w:space="0"/>
            </w:tcBorders>
            <w:noWrap w:val="0"/>
            <w:vAlign w:val="center"/>
          </w:tcPr>
          <w:p w14:paraId="198EC39A">
            <w:pPr>
              <w:widowControl/>
              <w:spacing w:line="400" w:lineRule="exact"/>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投标人根据招标文件“第四章采购需求—项目实施要求”中“质量保证方案”制定方案内容，评委根据以下标准综合打分：</w:t>
            </w:r>
            <w:r>
              <w:rPr>
                <w:rFonts w:hint="eastAsia" w:ascii="宋体" w:hAnsi="宋体" w:cs="宋体"/>
                <w:color w:val="auto"/>
                <w:sz w:val="24"/>
                <w:szCs w:val="24"/>
                <w:highlight w:val="none"/>
              </w:rPr>
              <w:t>①方案</w:t>
            </w:r>
            <w:r>
              <w:rPr>
                <w:rFonts w:hint="eastAsia" w:ascii="宋体" w:hAnsi="宋体" w:cs="宋体"/>
                <w:color w:val="auto"/>
                <w:sz w:val="24"/>
                <w:szCs w:val="24"/>
                <w:highlight w:val="none"/>
                <w:lang w:val="en-US" w:eastAsia="zh-CN"/>
              </w:rPr>
              <w:t>内容详细全面，能够针对采购需求进行细化</w:t>
            </w:r>
            <w:r>
              <w:rPr>
                <w:rFonts w:hint="eastAsia" w:ascii="宋体" w:hAnsi="宋体" w:cs="宋体"/>
                <w:color w:val="auto"/>
                <w:sz w:val="24"/>
                <w:szCs w:val="24"/>
                <w:highlight w:val="none"/>
              </w:rPr>
              <w:t>且优于采购需求的得</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分；②方案</w:t>
            </w:r>
            <w:r>
              <w:rPr>
                <w:rFonts w:hint="eastAsia" w:ascii="宋体" w:hAnsi="宋体" w:cs="宋体"/>
                <w:color w:val="auto"/>
                <w:sz w:val="24"/>
                <w:szCs w:val="24"/>
                <w:highlight w:val="none"/>
                <w:lang w:val="en-US" w:eastAsia="zh-CN"/>
              </w:rPr>
              <w:t>基本完整</w:t>
            </w:r>
            <w:r>
              <w:rPr>
                <w:rFonts w:hint="eastAsia" w:ascii="宋体" w:hAnsi="宋体" w:cs="宋体"/>
                <w:color w:val="auto"/>
                <w:sz w:val="24"/>
                <w:szCs w:val="24"/>
                <w:highlight w:val="none"/>
              </w:rPr>
              <w:t>，针对采购需求内容要求而制定，内容表述有一定的偏差，但不影响实质性意思表达，能够满足采购需求的得</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分；③方案不完整承诺后期优化能满足采购基本要求的得1分；④未提供内容的，不得分。</w:t>
            </w:r>
          </w:p>
        </w:tc>
      </w:tr>
      <w:tr w14:paraId="74B6608D">
        <w:tblPrEx>
          <w:tblCellMar>
            <w:top w:w="0" w:type="dxa"/>
            <w:left w:w="108" w:type="dxa"/>
            <w:bottom w:w="0" w:type="dxa"/>
            <w:right w:w="108" w:type="dxa"/>
          </w:tblCellMar>
        </w:tblPrEx>
        <w:trPr>
          <w:trHeight w:val="1575" w:hRule="atLeast"/>
        </w:trPr>
        <w:tc>
          <w:tcPr>
            <w:tcW w:w="848" w:type="dxa"/>
            <w:vMerge w:val="continue"/>
            <w:tcBorders>
              <w:left w:val="single" w:color="000000" w:sz="8" w:space="0"/>
              <w:bottom w:val="single" w:color="000000" w:sz="8" w:space="0"/>
              <w:right w:val="single" w:color="000000" w:sz="4" w:space="0"/>
            </w:tcBorders>
            <w:noWrap w:val="0"/>
            <w:vAlign w:val="center"/>
          </w:tcPr>
          <w:p w14:paraId="49B5FA8F">
            <w:pPr>
              <w:widowControl/>
              <w:spacing w:line="400" w:lineRule="exact"/>
              <w:jc w:val="center"/>
              <w:rPr>
                <w:rFonts w:ascii="宋体" w:hAnsi="宋体" w:cs="宋体"/>
                <w:color w:val="auto"/>
                <w:sz w:val="24"/>
                <w:szCs w:val="24"/>
                <w:highlight w:val="none"/>
                <w:lang w:bidi="ar"/>
              </w:rPr>
            </w:pPr>
          </w:p>
        </w:tc>
        <w:tc>
          <w:tcPr>
            <w:tcW w:w="990" w:type="dxa"/>
            <w:tcBorders>
              <w:top w:val="single" w:color="000000" w:sz="4" w:space="0"/>
              <w:left w:val="single" w:color="000000" w:sz="4" w:space="0"/>
              <w:bottom w:val="single" w:color="000000" w:sz="8" w:space="0"/>
              <w:right w:val="single" w:color="000000" w:sz="4" w:space="0"/>
            </w:tcBorders>
            <w:noWrap w:val="0"/>
            <w:vAlign w:val="center"/>
          </w:tcPr>
          <w:p w14:paraId="1AB4AC1B">
            <w:pPr>
              <w:widowControl/>
              <w:spacing w:line="400" w:lineRule="exact"/>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培训及技术支持方案</w:t>
            </w:r>
          </w:p>
        </w:tc>
        <w:tc>
          <w:tcPr>
            <w:tcW w:w="1125" w:type="dxa"/>
            <w:tcBorders>
              <w:top w:val="single" w:color="000000" w:sz="4" w:space="0"/>
              <w:left w:val="single" w:color="000000" w:sz="4" w:space="0"/>
              <w:bottom w:val="single" w:color="000000" w:sz="8" w:space="0"/>
              <w:right w:val="single" w:color="000000" w:sz="4" w:space="0"/>
            </w:tcBorders>
            <w:noWrap w:val="0"/>
            <w:vAlign w:val="center"/>
          </w:tcPr>
          <w:p w14:paraId="2501BB79">
            <w:pPr>
              <w:widowControl/>
              <w:spacing w:line="400" w:lineRule="exact"/>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3</w:t>
            </w:r>
            <w:r>
              <w:rPr>
                <w:rFonts w:hint="eastAsia" w:ascii="宋体" w:hAnsi="宋体" w:cs="宋体"/>
                <w:color w:val="auto"/>
                <w:sz w:val="24"/>
                <w:szCs w:val="24"/>
                <w:highlight w:val="none"/>
                <w:lang w:bidi="ar"/>
              </w:rPr>
              <w:t>.0</w:t>
            </w:r>
          </w:p>
        </w:tc>
        <w:tc>
          <w:tcPr>
            <w:tcW w:w="6701" w:type="dxa"/>
            <w:tcBorders>
              <w:top w:val="single" w:color="000000" w:sz="4" w:space="0"/>
              <w:left w:val="single" w:color="000000" w:sz="4" w:space="0"/>
              <w:bottom w:val="single" w:color="000000" w:sz="8" w:space="0"/>
              <w:right w:val="single" w:color="000000" w:sz="8" w:space="0"/>
            </w:tcBorders>
            <w:noWrap w:val="0"/>
            <w:vAlign w:val="center"/>
          </w:tcPr>
          <w:p w14:paraId="3B26EC7F">
            <w:pPr>
              <w:widowControl/>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投标人根据招标文件“第四章、采购需求—项目实施要求”中“培训及技术支持要求”制定方案内容，评委根据以下标准综合打分：①方案</w:t>
            </w:r>
            <w:r>
              <w:rPr>
                <w:rFonts w:hint="eastAsia" w:ascii="宋体" w:hAnsi="宋体" w:cs="宋体"/>
                <w:color w:val="auto"/>
                <w:sz w:val="24"/>
                <w:szCs w:val="24"/>
                <w:highlight w:val="none"/>
                <w:lang w:val="en-US" w:eastAsia="zh-CN"/>
              </w:rPr>
              <w:t>内容详细，科学</w:t>
            </w:r>
            <w:r>
              <w:rPr>
                <w:rFonts w:hint="eastAsia" w:ascii="宋体" w:hAnsi="宋体" w:cs="宋体"/>
                <w:color w:val="auto"/>
                <w:sz w:val="24"/>
                <w:szCs w:val="24"/>
                <w:highlight w:val="none"/>
              </w:rPr>
              <w:t>合理</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能够针对采购需求进行细化且优于采购需求的得</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分；②方案内容</w:t>
            </w:r>
            <w:r>
              <w:rPr>
                <w:rFonts w:hint="eastAsia" w:ascii="宋体" w:hAnsi="宋体" w:cs="宋体"/>
                <w:color w:val="auto"/>
                <w:sz w:val="24"/>
                <w:szCs w:val="24"/>
                <w:highlight w:val="none"/>
                <w:lang w:val="en-US" w:eastAsia="zh-CN"/>
              </w:rPr>
              <w:t>基本完整</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内容表述有一定的偏差，但不影响实质性意思表达，能够满足采购需求的得2分</w:t>
            </w:r>
            <w:r>
              <w:rPr>
                <w:rFonts w:hint="eastAsia" w:ascii="宋体" w:hAnsi="宋体" w:cs="宋体"/>
                <w:color w:val="auto"/>
                <w:sz w:val="24"/>
                <w:szCs w:val="24"/>
                <w:highlight w:val="none"/>
              </w:rPr>
              <w:t>；③方案不完整承诺后期优化能满足采购基本要求的得1分；④未提供内容的，不得分。</w:t>
            </w:r>
          </w:p>
        </w:tc>
      </w:tr>
      <w:tr w14:paraId="52452918">
        <w:tblPrEx>
          <w:tblCellMar>
            <w:top w:w="0" w:type="dxa"/>
            <w:left w:w="108" w:type="dxa"/>
            <w:bottom w:w="0" w:type="dxa"/>
            <w:right w:w="108" w:type="dxa"/>
          </w:tblCellMar>
        </w:tblPrEx>
        <w:trPr>
          <w:trHeight w:val="1575" w:hRule="atLeast"/>
        </w:trPr>
        <w:tc>
          <w:tcPr>
            <w:tcW w:w="848" w:type="dxa"/>
            <w:vMerge w:val="restart"/>
            <w:tcBorders>
              <w:top w:val="single" w:color="000000" w:sz="4" w:space="0"/>
              <w:left w:val="single" w:color="000000" w:sz="8" w:space="0"/>
              <w:right w:val="single" w:color="000000" w:sz="4" w:space="0"/>
            </w:tcBorders>
            <w:noWrap w:val="0"/>
            <w:vAlign w:val="center"/>
          </w:tcPr>
          <w:p w14:paraId="7EA89914">
            <w:pPr>
              <w:widowControl/>
              <w:spacing w:line="400" w:lineRule="exact"/>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设备安装</w:t>
            </w:r>
          </w:p>
        </w:tc>
        <w:tc>
          <w:tcPr>
            <w:tcW w:w="990" w:type="dxa"/>
            <w:tcBorders>
              <w:top w:val="single" w:color="000000" w:sz="4" w:space="0"/>
              <w:left w:val="single" w:color="000000" w:sz="4" w:space="0"/>
              <w:bottom w:val="single" w:color="000000" w:sz="8" w:space="0"/>
              <w:right w:val="single" w:color="000000" w:sz="4" w:space="0"/>
            </w:tcBorders>
            <w:noWrap w:val="0"/>
            <w:vAlign w:val="center"/>
          </w:tcPr>
          <w:p w14:paraId="7132C22B">
            <w:pPr>
              <w:widowControl/>
              <w:spacing w:line="400" w:lineRule="exact"/>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交通安全设施安装规划方案</w:t>
            </w:r>
          </w:p>
        </w:tc>
        <w:tc>
          <w:tcPr>
            <w:tcW w:w="1125" w:type="dxa"/>
            <w:tcBorders>
              <w:top w:val="single" w:color="000000" w:sz="4" w:space="0"/>
              <w:left w:val="single" w:color="000000" w:sz="4" w:space="0"/>
              <w:bottom w:val="single" w:color="000000" w:sz="8" w:space="0"/>
              <w:right w:val="single" w:color="000000" w:sz="4" w:space="0"/>
            </w:tcBorders>
            <w:noWrap w:val="0"/>
            <w:vAlign w:val="center"/>
          </w:tcPr>
          <w:p w14:paraId="1E2CBFE1">
            <w:pPr>
              <w:widowControl/>
              <w:spacing w:line="400" w:lineRule="exact"/>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5.0</w:t>
            </w:r>
          </w:p>
        </w:tc>
        <w:tc>
          <w:tcPr>
            <w:tcW w:w="6701" w:type="dxa"/>
            <w:tcBorders>
              <w:top w:val="single" w:color="000000" w:sz="4" w:space="0"/>
              <w:left w:val="single" w:color="000000" w:sz="4" w:space="0"/>
              <w:bottom w:val="single" w:color="000000" w:sz="8" w:space="0"/>
              <w:right w:val="single" w:color="000000" w:sz="8" w:space="0"/>
            </w:tcBorders>
            <w:noWrap w:val="0"/>
            <w:vAlign w:val="center"/>
          </w:tcPr>
          <w:p w14:paraId="6D975B28">
            <w:pPr>
              <w:widowControl/>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投标人根据招标文件“第四章、采购需求—设备安装要求”制定方案内容，评委根据以下标准综合打分：①方案</w:t>
            </w:r>
            <w:r>
              <w:rPr>
                <w:rFonts w:hint="eastAsia" w:ascii="宋体" w:hAnsi="宋体" w:cs="宋体"/>
                <w:color w:val="auto"/>
                <w:sz w:val="24"/>
                <w:szCs w:val="24"/>
                <w:highlight w:val="none"/>
                <w:lang w:val="en-US" w:eastAsia="zh-CN"/>
              </w:rPr>
              <w:t>内容详细全面，能够针对采购需求进行细化</w:t>
            </w:r>
            <w:r>
              <w:rPr>
                <w:rFonts w:hint="eastAsia" w:ascii="宋体" w:hAnsi="宋体" w:cs="宋体"/>
                <w:color w:val="auto"/>
                <w:sz w:val="24"/>
                <w:szCs w:val="24"/>
                <w:highlight w:val="none"/>
              </w:rPr>
              <w:t>且优于采购需求</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图纸设计规范、标注明确、细节清晰</w:t>
            </w:r>
            <w:r>
              <w:rPr>
                <w:rFonts w:hint="eastAsia" w:ascii="宋体" w:hAnsi="宋体" w:cs="宋体"/>
                <w:color w:val="auto"/>
                <w:sz w:val="24"/>
                <w:szCs w:val="24"/>
                <w:highlight w:val="none"/>
              </w:rPr>
              <w:t>的</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得</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分；②方案</w:t>
            </w:r>
            <w:r>
              <w:rPr>
                <w:rFonts w:hint="eastAsia" w:ascii="宋体" w:hAnsi="宋体" w:cs="宋体"/>
                <w:color w:val="auto"/>
                <w:sz w:val="24"/>
                <w:szCs w:val="24"/>
                <w:highlight w:val="none"/>
                <w:lang w:val="en-US" w:eastAsia="zh-CN"/>
              </w:rPr>
              <w:t>基本完整</w:t>
            </w:r>
            <w:r>
              <w:rPr>
                <w:rFonts w:hint="eastAsia" w:ascii="宋体" w:hAnsi="宋体" w:cs="宋体"/>
                <w:color w:val="auto"/>
                <w:sz w:val="24"/>
                <w:szCs w:val="24"/>
                <w:highlight w:val="none"/>
              </w:rPr>
              <w:t>，针对采购需求内容要求而制定，内容表述有一定的偏差，但不影响实质性意思表达，能够满足采购需求</w:t>
            </w:r>
            <w:r>
              <w:rPr>
                <w:rFonts w:hint="eastAsia" w:ascii="宋体" w:hAnsi="宋体" w:cs="宋体"/>
                <w:color w:val="auto"/>
                <w:sz w:val="24"/>
                <w:szCs w:val="24"/>
                <w:highlight w:val="none"/>
                <w:lang w:eastAsia="zh-CN"/>
              </w:rPr>
              <w:t>，核心设计无缺失，标注基本规范，提供</w:t>
            </w:r>
            <w:r>
              <w:rPr>
                <w:rFonts w:hint="eastAsia" w:ascii="宋体" w:hAnsi="宋体" w:cs="宋体"/>
                <w:color w:val="auto"/>
                <w:sz w:val="24"/>
                <w:szCs w:val="24"/>
                <w:highlight w:val="none"/>
                <w:lang w:val="en-US" w:eastAsia="zh-CN"/>
              </w:rPr>
              <w:t>的图纸</w:t>
            </w:r>
            <w:r>
              <w:rPr>
                <w:rFonts w:hint="eastAsia" w:ascii="宋体" w:hAnsi="宋体" w:cs="宋体"/>
                <w:color w:val="auto"/>
                <w:sz w:val="24"/>
                <w:szCs w:val="24"/>
                <w:highlight w:val="none"/>
                <w:lang w:eastAsia="zh-CN"/>
              </w:rPr>
              <w:t>能基本呈现</w:t>
            </w:r>
            <w:r>
              <w:rPr>
                <w:rFonts w:hint="eastAsia" w:ascii="宋体" w:hAnsi="宋体" w:cs="宋体"/>
                <w:color w:val="auto"/>
                <w:sz w:val="24"/>
                <w:szCs w:val="24"/>
                <w:highlight w:val="none"/>
                <w:lang w:val="en-US" w:eastAsia="zh-CN"/>
              </w:rPr>
              <w:t>采购</w:t>
            </w:r>
            <w:r>
              <w:rPr>
                <w:rFonts w:hint="eastAsia" w:ascii="宋体" w:hAnsi="宋体" w:cs="宋体"/>
                <w:color w:val="auto"/>
                <w:sz w:val="24"/>
                <w:szCs w:val="24"/>
                <w:highlight w:val="none"/>
                <w:lang w:eastAsia="zh-CN"/>
              </w:rPr>
              <w:t>内容</w:t>
            </w:r>
            <w:r>
              <w:rPr>
                <w:rFonts w:hint="eastAsia" w:ascii="宋体" w:hAnsi="宋体" w:cs="宋体"/>
                <w:color w:val="auto"/>
                <w:sz w:val="24"/>
                <w:szCs w:val="24"/>
                <w:highlight w:val="none"/>
              </w:rPr>
              <w:t>的</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得</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分；③方案不完整承诺后期优化能满足采购基本要求的得1分；④未提供内容的，不得分。</w:t>
            </w:r>
          </w:p>
        </w:tc>
      </w:tr>
      <w:tr w14:paraId="4CB1ECF1">
        <w:tblPrEx>
          <w:tblCellMar>
            <w:top w:w="0" w:type="dxa"/>
            <w:left w:w="108" w:type="dxa"/>
            <w:bottom w:w="0" w:type="dxa"/>
            <w:right w:w="108" w:type="dxa"/>
          </w:tblCellMar>
        </w:tblPrEx>
        <w:trPr>
          <w:trHeight w:val="1575" w:hRule="atLeast"/>
        </w:trPr>
        <w:tc>
          <w:tcPr>
            <w:tcW w:w="848" w:type="dxa"/>
            <w:vMerge w:val="continue"/>
            <w:tcBorders>
              <w:left w:val="single" w:color="000000" w:sz="8" w:space="0"/>
              <w:right w:val="single" w:color="000000" w:sz="4" w:space="0"/>
            </w:tcBorders>
            <w:noWrap w:val="0"/>
            <w:vAlign w:val="center"/>
          </w:tcPr>
          <w:p w14:paraId="34472AC8">
            <w:pPr>
              <w:widowControl/>
              <w:spacing w:line="400" w:lineRule="exact"/>
              <w:jc w:val="center"/>
              <w:rPr>
                <w:rFonts w:ascii="宋体" w:hAnsi="宋体" w:cs="宋体"/>
                <w:color w:val="auto"/>
                <w:sz w:val="24"/>
                <w:szCs w:val="24"/>
                <w:highlight w:val="none"/>
                <w:lang w:bidi="ar"/>
              </w:rPr>
            </w:pPr>
          </w:p>
        </w:tc>
        <w:tc>
          <w:tcPr>
            <w:tcW w:w="990" w:type="dxa"/>
            <w:tcBorders>
              <w:top w:val="single" w:color="000000" w:sz="4" w:space="0"/>
              <w:left w:val="single" w:color="000000" w:sz="4" w:space="0"/>
              <w:bottom w:val="single" w:color="000000" w:sz="8" w:space="0"/>
              <w:right w:val="single" w:color="000000" w:sz="4" w:space="0"/>
            </w:tcBorders>
            <w:noWrap w:val="0"/>
            <w:vAlign w:val="center"/>
          </w:tcPr>
          <w:p w14:paraId="1CFE0C0D">
            <w:pPr>
              <w:widowControl/>
              <w:spacing w:line="400" w:lineRule="exact"/>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AI</w:t>
            </w:r>
            <w:r>
              <w:rPr>
                <w:rFonts w:hint="eastAsia" w:ascii="宋体" w:hAnsi="宋体" w:cs="宋体"/>
                <w:color w:val="auto"/>
                <w:sz w:val="24"/>
                <w:szCs w:val="24"/>
                <w:highlight w:val="none"/>
                <w:lang w:val="en-US" w:eastAsia="zh-CN" w:bidi="ar"/>
              </w:rPr>
              <w:t>系统接入</w:t>
            </w:r>
            <w:r>
              <w:rPr>
                <w:rFonts w:hint="eastAsia" w:ascii="宋体" w:hAnsi="宋体" w:cs="宋体"/>
                <w:color w:val="auto"/>
                <w:sz w:val="24"/>
                <w:szCs w:val="24"/>
                <w:highlight w:val="none"/>
                <w:lang w:bidi="ar"/>
              </w:rPr>
              <w:t>方案</w:t>
            </w:r>
          </w:p>
        </w:tc>
        <w:tc>
          <w:tcPr>
            <w:tcW w:w="1125" w:type="dxa"/>
            <w:tcBorders>
              <w:top w:val="single" w:color="000000" w:sz="4" w:space="0"/>
              <w:left w:val="single" w:color="000000" w:sz="4" w:space="0"/>
              <w:bottom w:val="single" w:color="000000" w:sz="8" w:space="0"/>
              <w:right w:val="single" w:color="000000" w:sz="4" w:space="0"/>
            </w:tcBorders>
            <w:noWrap w:val="0"/>
            <w:vAlign w:val="center"/>
          </w:tcPr>
          <w:p w14:paraId="20F36EDE">
            <w:pPr>
              <w:widowControl/>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5.0</w:t>
            </w:r>
          </w:p>
        </w:tc>
        <w:tc>
          <w:tcPr>
            <w:tcW w:w="6701" w:type="dxa"/>
            <w:tcBorders>
              <w:top w:val="single" w:color="000000" w:sz="4" w:space="0"/>
              <w:left w:val="single" w:color="000000" w:sz="4" w:space="0"/>
              <w:bottom w:val="single" w:color="000000" w:sz="8" w:space="0"/>
              <w:right w:val="single" w:color="000000" w:sz="8" w:space="0"/>
            </w:tcBorders>
            <w:noWrap w:val="0"/>
            <w:vAlign w:val="center"/>
          </w:tcPr>
          <w:p w14:paraId="5EDD748C">
            <w:pPr>
              <w:widowControl/>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投标人根据招标文件“第四章、采购需求—设备安装要求”制定方案内容，评委根据以下标准综合打分：①方案</w:t>
            </w:r>
            <w:r>
              <w:rPr>
                <w:rFonts w:hint="eastAsia" w:ascii="宋体" w:hAnsi="宋体" w:cs="宋体"/>
                <w:color w:val="auto"/>
                <w:sz w:val="24"/>
                <w:szCs w:val="24"/>
                <w:highlight w:val="none"/>
                <w:lang w:val="en-US" w:eastAsia="zh-CN"/>
              </w:rPr>
              <w:t>内容详细全面，能够针对采购需求进行细化</w:t>
            </w:r>
            <w:r>
              <w:rPr>
                <w:rFonts w:hint="eastAsia" w:ascii="宋体" w:hAnsi="宋体" w:cs="宋体"/>
                <w:color w:val="auto"/>
                <w:sz w:val="24"/>
                <w:szCs w:val="24"/>
                <w:highlight w:val="none"/>
              </w:rPr>
              <w:t>且优于采购需求的得</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分；②方案</w:t>
            </w:r>
            <w:r>
              <w:rPr>
                <w:rFonts w:hint="eastAsia" w:ascii="宋体" w:hAnsi="宋体" w:cs="宋体"/>
                <w:color w:val="auto"/>
                <w:sz w:val="24"/>
                <w:szCs w:val="24"/>
                <w:highlight w:val="none"/>
                <w:lang w:val="en-US" w:eastAsia="zh-CN"/>
              </w:rPr>
              <w:t>基本完整</w:t>
            </w:r>
            <w:r>
              <w:rPr>
                <w:rFonts w:hint="eastAsia" w:ascii="宋体" w:hAnsi="宋体" w:cs="宋体"/>
                <w:color w:val="auto"/>
                <w:sz w:val="24"/>
                <w:szCs w:val="24"/>
                <w:highlight w:val="none"/>
              </w:rPr>
              <w:t>，针对采购需求内容要求而制定，内容表述有一定的偏差，但不影响实质性意思表达，能够满足采购需求的得</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分；③方案不完整承诺后期优化能满足采购基本要求的得1分；④未提供内容的，不得分。</w:t>
            </w:r>
          </w:p>
        </w:tc>
      </w:tr>
      <w:tr w14:paraId="39CCC268">
        <w:tblPrEx>
          <w:tblCellMar>
            <w:top w:w="0" w:type="dxa"/>
            <w:left w:w="108" w:type="dxa"/>
            <w:bottom w:w="0" w:type="dxa"/>
            <w:right w:w="108" w:type="dxa"/>
          </w:tblCellMar>
        </w:tblPrEx>
        <w:trPr>
          <w:trHeight w:val="1575" w:hRule="atLeast"/>
        </w:trPr>
        <w:tc>
          <w:tcPr>
            <w:tcW w:w="848" w:type="dxa"/>
            <w:vMerge w:val="continue"/>
            <w:tcBorders>
              <w:left w:val="single" w:color="000000" w:sz="8" w:space="0"/>
              <w:bottom w:val="single" w:color="000000" w:sz="8" w:space="0"/>
              <w:right w:val="single" w:color="000000" w:sz="4" w:space="0"/>
            </w:tcBorders>
            <w:noWrap w:val="0"/>
            <w:vAlign w:val="center"/>
          </w:tcPr>
          <w:p w14:paraId="18ECCF16">
            <w:pPr>
              <w:widowControl/>
              <w:spacing w:line="400" w:lineRule="exact"/>
              <w:jc w:val="center"/>
              <w:rPr>
                <w:rFonts w:ascii="宋体" w:hAnsi="宋体" w:cs="宋体"/>
                <w:color w:val="auto"/>
                <w:sz w:val="24"/>
                <w:szCs w:val="24"/>
                <w:highlight w:val="none"/>
                <w:lang w:bidi="ar"/>
              </w:rPr>
            </w:pPr>
          </w:p>
        </w:tc>
        <w:tc>
          <w:tcPr>
            <w:tcW w:w="990" w:type="dxa"/>
            <w:tcBorders>
              <w:top w:val="single" w:color="000000" w:sz="4" w:space="0"/>
              <w:left w:val="single" w:color="000000" w:sz="4" w:space="0"/>
              <w:bottom w:val="single" w:color="000000" w:sz="8" w:space="0"/>
              <w:right w:val="single" w:color="000000" w:sz="4" w:space="0"/>
            </w:tcBorders>
            <w:noWrap w:val="0"/>
            <w:vAlign w:val="center"/>
          </w:tcPr>
          <w:p w14:paraId="0B095122">
            <w:pPr>
              <w:widowControl/>
              <w:spacing w:line="400" w:lineRule="exact"/>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网络接入</w:t>
            </w:r>
            <w:r>
              <w:rPr>
                <w:rFonts w:hint="eastAsia" w:ascii="宋体" w:hAnsi="宋体" w:cs="宋体"/>
                <w:color w:val="auto"/>
                <w:sz w:val="24"/>
                <w:szCs w:val="24"/>
                <w:highlight w:val="none"/>
                <w:lang w:bidi="ar"/>
              </w:rPr>
              <w:t>方案</w:t>
            </w:r>
          </w:p>
        </w:tc>
        <w:tc>
          <w:tcPr>
            <w:tcW w:w="1125" w:type="dxa"/>
            <w:tcBorders>
              <w:top w:val="single" w:color="000000" w:sz="4" w:space="0"/>
              <w:left w:val="single" w:color="000000" w:sz="4" w:space="0"/>
              <w:bottom w:val="single" w:color="000000" w:sz="8" w:space="0"/>
              <w:right w:val="single" w:color="000000" w:sz="4" w:space="0"/>
            </w:tcBorders>
            <w:noWrap w:val="0"/>
            <w:vAlign w:val="center"/>
          </w:tcPr>
          <w:p w14:paraId="3AF6A8AF">
            <w:pPr>
              <w:widowControl/>
              <w:spacing w:line="400" w:lineRule="exact"/>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5.0</w:t>
            </w:r>
          </w:p>
        </w:tc>
        <w:tc>
          <w:tcPr>
            <w:tcW w:w="6701" w:type="dxa"/>
            <w:tcBorders>
              <w:top w:val="single" w:color="000000" w:sz="4" w:space="0"/>
              <w:left w:val="single" w:color="000000" w:sz="4" w:space="0"/>
              <w:bottom w:val="single" w:color="000000" w:sz="8" w:space="0"/>
              <w:right w:val="single" w:color="000000" w:sz="8" w:space="0"/>
            </w:tcBorders>
            <w:noWrap w:val="0"/>
            <w:vAlign w:val="center"/>
          </w:tcPr>
          <w:p w14:paraId="2C5651DC">
            <w:pPr>
              <w:widowControl/>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投标人根据招标文件“第四章、采购需求—设备安装要求”制定方案内容，评委根据以下标准综合打分：①方案内容详细全面，能够针对采购需求进行细化且优于采购需求的得</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分；②方案内容完整，针对采购需求内容要求而制定，内容表述有一定的偏差，但不影响实质性意思表达，能够满足采购需求的得</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分；③方案不完整承诺后期优化能满足采购基本要求的得1分；④未提供内容的，不得分。</w:t>
            </w:r>
          </w:p>
        </w:tc>
      </w:tr>
      <w:tr w14:paraId="01B62EBF">
        <w:tblPrEx>
          <w:tblCellMar>
            <w:top w:w="0" w:type="dxa"/>
            <w:left w:w="108" w:type="dxa"/>
            <w:bottom w:w="0" w:type="dxa"/>
            <w:right w:w="108" w:type="dxa"/>
          </w:tblCellMar>
        </w:tblPrEx>
        <w:trPr>
          <w:trHeight w:val="1575" w:hRule="atLeast"/>
        </w:trPr>
        <w:tc>
          <w:tcPr>
            <w:tcW w:w="848" w:type="dxa"/>
            <w:tcBorders>
              <w:top w:val="single" w:color="000000" w:sz="4" w:space="0"/>
              <w:left w:val="single" w:color="000000" w:sz="8" w:space="0"/>
              <w:bottom w:val="single" w:color="000000" w:sz="8" w:space="0"/>
              <w:right w:val="single" w:color="000000" w:sz="4" w:space="0"/>
            </w:tcBorders>
            <w:noWrap w:val="0"/>
            <w:vAlign w:val="center"/>
          </w:tcPr>
          <w:p w14:paraId="5694E085">
            <w:pPr>
              <w:widowControl/>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其他</w:t>
            </w:r>
          </w:p>
        </w:tc>
        <w:tc>
          <w:tcPr>
            <w:tcW w:w="990" w:type="dxa"/>
            <w:tcBorders>
              <w:top w:val="single" w:color="000000" w:sz="4" w:space="0"/>
              <w:left w:val="single" w:color="000000" w:sz="4" w:space="0"/>
              <w:bottom w:val="single" w:color="000000" w:sz="8" w:space="0"/>
              <w:right w:val="single" w:color="000000" w:sz="4" w:space="0"/>
            </w:tcBorders>
            <w:noWrap w:val="0"/>
            <w:vAlign w:val="center"/>
          </w:tcPr>
          <w:p w14:paraId="14365D56">
            <w:pPr>
              <w:widowControl/>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售后服务方案</w:t>
            </w:r>
          </w:p>
        </w:tc>
        <w:tc>
          <w:tcPr>
            <w:tcW w:w="1125" w:type="dxa"/>
            <w:tcBorders>
              <w:top w:val="single" w:color="000000" w:sz="4" w:space="0"/>
              <w:left w:val="single" w:color="000000" w:sz="4" w:space="0"/>
              <w:bottom w:val="single" w:color="000000" w:sz="8" w:space="0"/>
              <w:right w:val="single" w:color="000000" w:sz="4" w:space="0"/>
            </w:tcBorders>
            <w:noWrap w:val="0"/>
            <w:vAlign w:val="center"/>
          </w:tcPr>
          <w:p w14:paraId="68B8FD16">
            <w:pPr>
              <w:widowControl/>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3.0</w:t>
            </w:r>
          </w:p>
        </w:tc>
        <w:tc>
          <w:tcPr>
            <w:tcW w:w="6701" w:type="dxa"/>
            <w:tcBorders>
              <w:top w:val="single" w:color="000000" w:sz="4" w:space="0"/>
              <w:left w:val="single" w:color="000000" w:sz="4" w:space="0"/>
              <w:bottom w:val="single" w:color="000000" w:sz="8" w:space="0"/>
              <w:right w:val="single" w:color="000000" w:sz="8" w:space="0"/>
            </w:tcBorders>
            <w:noWrap w:val="0"/>
            <w:vAlign w:val="center"/>
          </w:tcPr>
          <w:p w14:paraId="337FD846">
            <w:pPr>
              <w:widowControl/>
              <w:spacing w:line="400" w:lineRule="exact"/>
              <w:jc w:val="left"/>
              <w:rPr>
                <w:rFonts w:ascii="宋体" w:hAnsi="宋体" w:cs="宋体"/>
                <w:color w:val="auto"/>
                <w:sz w:val="24"/>
                <w:szCs w:val="24"/>
                <w:highlight w:val="none"/>
                <w:lang w:bidi="ar"/>
              </w:rPr>
            </w:pPr>
            <w:r>
              <w:rPr>
                <w:rFonts w:hint="eastAsia" w:ascii="宋体" w:hAnsi="宋体" w:cs="宋体"/>
                <w:color w:val="auto"/>
                <w:sz w:val="24"/>
                <w:szCs w:val="24"/>
                <w:highlight w:val="none"/>
              </w:rPr>
              <w:t>投标人根据招标文件“第四章、采购需求—售后服务要求”制定方案内容，评委根据以下标准综合打分：①方案</w:t>
            </w:r>
            <w:r>
              <w:rPr>
                <w:rFonts w:hint="eastAsia" w:ascii="宋体" w:hAnsi="宋体" w:cs="宋体"/>
                <w:color w:val="auto"/>
                <w:sz w:val="24"/>
                <w:szCs w:val="24"/>
                <w:highlight w:val="none"/>
                <w:lang w:val="en-US" w:eastAsia="zh-CN"/>
              </w:rPr>
              <w:t>内容详细全面，能够针对采购需求进行细化</w:t>
            </w:r>
            <w:r>
              <w:rPr>
                <w:rFonts w:hint="eastAsia" w:ascii="宋体" w:hAnsi="宋体" w:cs="宋体"/>
                <w:color w:val="auto"/>
                <w:sz w:val="24"/>
                <w:szCs w:val="24"/>
                <w:highlight w:val="none"/>
              </w:rPr>
              <w:t>且优于采购需求的得3分；②方案内容</w:t>
            </w:r>
            <w:r>
              <w:rPr>
                <w:rFonts w:hint="eastAsia" w:ascii="宋体" w:hAnsi="宋体" w:cs="宋体"/>
                <w:color w:val="auto"/>
                <w:sz w:val="24"/>
                <w:szCs w:val="24"/>
                <w:highlight w:val="none"/>
                <w:lang w:val="en-US" w:eastAsia="zh-CN"/>
              </w:rPr>
              <w:t>基本完整</w:t>
            </w:r>
            <w:r>
              <w:rPr>
                <w:rFonts w:hint="eastAsia" w:ascii="宋体" w:hAnsi="宋体" w:cs="宋体"/>
                <w:color w:val="auto"/>
                <w:sz w:val="24"/>
                <w:szCs w:val="24"/>
                <w:highlight w:val="none"/>
              </w:rPr>
              <w:t>，针对采购需求内容要求而制定，内容表述有一定的偏差，但不影响实质性意思表达，能够满足采购需求的得2分；③方案不完整承诺后期优化能满足采购基本要求的得1分；④未提供内容的，不得分。</w:t>
            </w:r>
          </w:p>
        </w:tc>
      </w:tr>
    </w:tbl>
    <w:p w14:paraId="41B4C68C">
      <w:pPr>
        <w:pStyle w:val="433"/>
        <w:pBdr>
          <w:top w:val="none" w:color="000000" w:sz="0" w:space="0"/>
          <w:left w:val="none" w:color="000000" w:sz="0" w:space="0"/>
          <w:bottom w:val="none" w:color="000000" w:sz="0" w:space="0"/>
          <w:right w:val="none" w:color="000000" w:sz="0" w:space="0"/>
          <w:between w:val="none" w:color="000000" w:sz="0" w:space="0"/>
        </w:pBdr>
        <w:spacing w:line="480" w:lineRule="exact"/>
        <w:ind w:firstLine="482"/>
        <w:rPr>
          <w:rFonts w:ascii="宋体" w:hAnsi="宋体" w:cs="宋体"/>
          <w:b/>
          <w:bCs/>
          <w:color w:val="auto"/>
          <w:szCs w:val="24"/>
          <w:highlight w:val="none"/>
          <w:shd w:val="clear" w:color="auto" w:fill="FFFFFF"/>
        </w:rPr>
      </w:pPr>
      <w:r>
        <w:rPr>
          <w:rFonts w:hint="eastAsia" w:ascii="宋体" w:hAnsi="宋体" w:cs="宋体"/>
          <w:b/>
          <w:bCs/>
          <w:color w:val="auto"/>
          <w:szCs w:val="24"/>
          <w:highlight w:val="none"/>
          <w:shd w:val="clear" w:color="auto" w:fill="FFFFFF"/>
        </w:rPr>
        <w:t>4、采购本国产品的支持政策</w:t>
      </w:r>
    </w:p>
    <w:p w14:paraId="20835861">
      <w:pPr>
        <w:pStyle w:val="433"/>
        <w:pBdr>
          <w:top w:val="none" w:color="000000" w:sz="0" w:space="0"/>
          <w:left w:val="none" w:color="000000" w:sz="0" w:space="0"/>
          <w:bottom w:val="none" w:color="000000" w:sz="0" w:space="0"/>
          <w:right w:val="none" w:color="000000" w:sz="0" w:space="0"/>
          <w:between w:val="none" w:color="000000" w:sz="0" w:space="0"/>
        </w:pBdr>
        <w:spacing w:line="480" w:lineRule="exact"/>
        <w:ind w:firstLine="480"/>
        <w:rPr>
          <w:rFonts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1.1 本项目政府采购活动中既有本国产品又有非本国产品参与竞争的，依法对本国产品给予价格评审优惠，对本国产品的报价给予</w:t>
      </w:r>
      <w:r>
        <w:rPr>
          <w:rFonts w:hint="eastAsia" w:ascii="宋体" w:hAnsi="宋体" w:cs="宋体"/>
          <w:color w:val="auto"/>
          <w:szCs w:val="24"/>
          <w:highlight w:val="none"/>
          <w:u w:val="single"/>
          <w:shd w:val="clear" w:color="auto" w:fill="FFFFFF"/>
        </w:rPr>
        <w:t>20%</w:t>
      </w:r>
      <w:r>
        <w:rPr>
          <w:rFonts w:hint="eastAsia" w:ascii="宋体" w:hAnsi="宋体" w:cs="宋体"/>
          <w:color w:val="auto"/>
          <w:szCs w:val="24"/>
          <w:highlight w:val="none"/>
          <w:shd w:val="clear" w:color="auto" w:fill="FFFFFF"/>
        </w:rPr>
        <w:t>的价格扣除，用扣除后的价格参与评审。</w:t>
      </w:r>
    </w:p>
    <w:p w14:paraId="2281CC77">
      <w:pPr>
        <w:pStyle w:val="433"/>
        <w:pBdr>
          <w:top w:val="none" w:color="000000" w:sz="0" w:space="0"/>
          <w:left w:val="none" w:color="000000" w:sz="0" w:space="0"/>
          <w:bottom w:val="none" w:color="000000" w:sz="0" w:space="0"/>
          <w:right w:val="none" w:color="000000" w:sz="0" w:space="0"/>
          <w:between w:val="none" w:color="000000" w:sz="0" w:space="0"/>
        </w:pBdr>
        <w:spacing w:line="480" w:lineRule="exact"/>
        <w:ind w:firstLine="480"/>
        <w:rPr>
          <w:rFonts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1.2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64967C23">
      <w:pPr>
        <w:pStyle w:val="433"/>
        <w:pBdr>
          <w:top w:val="none" w:color="000000" w:sz="0" w:space="0"/>
          <w:left w:val="none" w:color="000000" w:sz="0" w:space="0"/>
          <w:bottom w:val="none" w:color="000000" w:sz="0" w:space="0"/>
          <w:right w:val="none" w:color="000000" w:sz="0" w:space="0"/>
          <w:between w:val="none" w:color="000000" w:sz="0" w:space="0"/>
        </w:pBdr>
        <w:spacing w:line="480" w:lineRule="exact"/>
        <w:ind w:firstLine="480"/>
        <w:rPr>
          <w:rFonts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1.3 供应商需按照招标文件的要求提供《关于符合本国产品标准的声明函》（以下简称《声明函》），如不提供将不享受本国产品价格评审优惠。</w:t>
      </w:r>
    </w:p>
    <w:p w14:paraId="55B97E28">
      <w:pPr>
        <w:pStyle w:val="433"/>
        <w:pBdr>
          <w:top w:val="none" w:color="000000" w:sz="0" w:space="0"/>
          <w:left w:val="none" w:color="000000" w:sz="0" w:space="0"/>
          <w:bottom w:val="none" w:color="000000" w:sz="0" w:space="0"/>
          <w:right w:val="none" w:color="000000" w:sz="0" w:space="0"/>
          <w:between w:val="none" w:color="000000" w:sz="0" w:space="0"/>
        </w:pBdr>
        <w:spacing w:line="480" w:lineRule="exact"/>
        <w:ind w:firstLine="480"/>
        <w:rPr>
          <w:rFonts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1.4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291A0373">
      <w:pPr>
        <w:pStyle w:val="433"/>
        <w:pBdr>
          <w:top w:val="none" w:color="000000" w:sz="0" w:space="0"/>
          <w:left w:val="none" w:color="000000" w:sz="0" w:space="0"/>
          <w:bottom w:val="none" w:color="000000" w:sz="0" w:space="0"/>
          <w:right w:val="none" w:color="000000" w:sz="0" w:space="0"/>
          <w:between w:val="none" w:color="000000" w:sz="0" w:space="0"/>
        </w:pBdr>
        <w:spacing w:line="480" w:lineRule="exact"/>
        <w:ind w:firstLine="480"/>
        <w:rPr>
          <w:rFonts w:ascii="宋体" w:hAnsi="宋体" w:cs="宋体"/>
          <w:b/>
          <w:bCs/>
          <w:color w:val="auto"/>
          <w:szCs w:val="24"/>
          <w:highlight w:val="none"/>
          <w:shd w:val="clear" w:color="auto" w:fill="FFFFFF"/>
        </w:rPr>
      </w:pPr>
      <w:r>
        <w:rPr>
          <w:rFonts w:hint="eastAsia" w:ascii="宋体" w:hAnsi="宋体" w:cs="宋体"/>
          <w:color w:val="auto"/>
          <w:szCs w:val="24"/>
          <w:highlight w:val="none"/>
          <w:shd w:val="clear" w:color="auto" w:fill="FFFFFF"/>
        </w:rPr>
        <w:t>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23B04C67">
      <w:pPr>
        <w:pStyle w:val="433"/>
        <w:pBdr>
          <w:top w:val="none" w:color="000000" w:sz="0" w:space="0"/>
          <w:left w:val="none" w:color="000000" w:sz="0" w:space="0"/>
          <w:bottom w:val="none" w:color="000000" w:sz="0" w:space="0"/>
          <w:right w:val="none" w:color="000000" w:sz="0" w:space="0"/>
          <w:between w:val="none" w:color="000000" w:sz="0" w:space="0"/>
        </w:pBdr>
        <w:spacing w:line="480" w:lineRule="exact"/>
        <w:ind w:firstLine="482"/>
        <w:rPr>
          <w:rFonts w:ascii="宋体" w:hAnsi="宋体" w:cs="宋体"/>
          <w:color w:val="auto"/>
          <w:szCs w:val="24"/>
          <w:highlight w:val="none"/>
          <w:shd w:val="clear" w:color="auto" w:fill="FFFFFF"/>
        </w:rPr>
      </w:pPr>
      <w:r>
        <w:rPr>
          <w:rFonts w:hint="eastAsia" w:ascii="宋体" w:hAnsi="宋体" w:cs="宋体"/>
          <w:b/>
          <w:bCs/>
          <w:color w:val="auto"/>
          <w:szCs w:val="24"/>
          <w:highlight w:val="none"/>
          <w:shd w:val="clear" w:color="auto" w:fill="FFFFFF"/>
        </w:rPr>
        <w:t>（三）评标结果。</w:t>
      </w:r>
      <w:r>
        <w:rPr>
          <w:rFonts w:hint="eastAsia" w:ascii="宋体" w:hAnsi="宋体" w:cs="宋体"/>
          <w:color w:val="auto"/>
          <w:szCs w:val="24"/>
          <w:highlight w:val="none"/>
          <w:shd w:val="clear" w:color="auto" w:fill="FFFFFF"/>
        </w:rPr>
        <w:t>评标委员会按照本办法规定推荐中标候选人，并形成评标报告。</w:t>
      </w:r>
    </w:p>
    <w:p w14:paraId="4FC18FAF">
      <w:pPr>
        <w:spacing w:line="460" w:lineRule="exact"/>
        <w:ind w:firstLine="480"/>
        <w:rPr>
          <w:color w:val="auto"/>
          <w:highlight w:val="none"/>
        </w:rPr>
      </w:pPr>
    </w:p>
    <w:p w14:paraId="761177A4">
      <w:pPr>
        <w:pStyle w:val="433"/>
        <w:pBdr>
          <w:top w:val="none" w:color="000000" w:sz="0" w:space="0"/>
          <w:left w:val="none" w:color="000000" w:sz="0" w:space="0"/>
          <w:bottom w:val="none" w:color="000000" w:sz="0" w:space="0"/>
          <w:right w:val="none" w:color="000000" w:sz="0" w:space="0"/>
          <w:between w:val="none" w:color="000000" w:sz="0" w:space="0"/>
        </w:pBdr>
        <w:spacing w:line="440" w:lineRule="exact"/>
        <w:ind w:left="482"/>
        <w:rPr>
          <w:rFonts w:ascii="宋体" w:cs="宋体"/>
          <w:color w:val="auto"/>
          <w:highlight w:val="none"/>
          <w:shd w:val="clear" w:color="auto" w:fill="FFFFFF"/>
        </w:rPr>
      </w:pPr>
    </w:p>
    <w:p w14:paraId="5A17846C">
      <w:pPr>
        <w:spacing w:line="480" w:lineRule="exact"/>
        <w:jc w:val="left"/>
        <w:rPr>
          <w:rFonts w:ascii="宋体" w:hAnsi="宋体" w:cs="宋体"/>
          <w:color w:val="auto"/>
          <w:sz w:val="24"/>
          <w:szCs w:val="24"/>
          <w:highlight w:val="none"/>
        </w:rPr>
      </w:pPr>
    </w:p>
    <w:p w14:paraId="7CCEDCF6">
      <w:pPr>
        <w:spacing w:line="480" w:lineRule="exact"/>
        <w:jc w:val="center"/>
        <w:rPr>
          <w:b/>
          <w:color w:val="auto"/>
          <w:sz w:val="44"/>
          <w:szCs w:val="44"/>
          <w:highlight w:val="none"/>
        </w:rPr>
        <w:sectPr>
          <w:footerReference r:id="rId6" w:type="default"/>
          <w:pgSz w:w="11906" w:h="16838"/>
          <w:pgMar w:top="1440" w:right="1304" w:bottom="1440" w:left="1418" w:header="851" w:footer="992" w:gutter="0"/>
          <w:pgNumType w:start="1"/>
          <w:cols w:space="1701" w:num="1"/>
          <w:docGrid w:linePitch="360" w:charSpace="0"/>
        </w:sectPr>
      </w:pPr>
    </w:p>
    <w:p w14:paraId="28A08B8F">
      <w:pPr>
        <w:spacing w:line="480" w:lineRule="exact"/>
        <w:jc w:val="center"/>
        <w:rPr>
          <w:b/>
          <w:color w:val="auto"/>
          <w:sz w:val="36"/>
          <w:szCs w:val="36"/>
          <w:highlight w:val="none"/>
        </w:rPr>
      </w:pPr>
      <w:r>
        <w:rPr>
          <w:rFonts w:hint="eastAsia"/>
          <w:b/>
          <w:color w:val="auto"/>
          <w:sz w:val="36"/>
          <w:szCs w:val="36"/>
          <w:highlight w:val="none"/>
        </w:rPr>
        <w:t>第四章</w:t>
      </w:r>
      <w:r>
        <w:rPr>
          <w:b/>
          <w:color w:val="auto"/>
          <w:sz w:val="36"/>
          <w:szCs w:val="36"/>
          <w:highlight w:val="none"/>
        </w:rPr>
        <w:t xml:space="preserve">  </w:t>
      </w:r>
      <w:r>
        <w:rPr>
          <w:rFonts w:hint="eastAsia"/>
          <w:b/>
          <w:color w:val="auto"/>
          <w:sz w:val="36"/>
          <w:szCs w:val="36"/>
          <w:highlight w:val="none"/>
        </w:rPr>
        <w:t>采购需求</w:t>
      </w:r>
      <w:bookmarkEnd w:id="112"/>
      <w:bookmarkEnd w:id="115"/>
      <w:bookmarkEnd w:id="116"/>
      <w:bookmarkEnd w:id="117"/>
      <w:bookmarkEnd w:id="118"/>
      <w:bookmarkEnd w:id="119"/>
    </w:p>
    <w:p w14:paraId="427115CB">
      <w:pPr>
        <w:spacing w:line="360" w:lineRule="auto"/>
        <w:ind w:firstLine="480"/>
        <w:rPr>
          <w:rFonts w:ascii="Times New Roman" w:hAnsi="Times New Roman"/>
          <w:bCs/>
          <w:color w:val="auto"/>
          <w:sz w:val="24"/>
          <w:highlight w:val="none"/>
        </w:rPr>
      </w:pPr>
    </w:p>
    <w:p w14:paraId="2529E859">
      <w:pPr>
        <w:spacing w:line="360" w:lineRule="auto"/>
        <w:ind w:firstLine="480"/>
        <w:rPr>
          <w:rFonts w:ascii="Times New Roman" w:hAnsi="Times New Roman"/>
          <w:bCs/>
          <w:color w:val="auto"/>
          <w:sz w:val="24"/>
          <w:highlight w:val="none"/>
        </w:rPr>
      </w:pPr>
      <w:r>
        <w:rPr>
          <w:rFonts w:hint="eastAsia" w:ascii="Times New Roman" w:hAnsi="Times New Roman"/>
          <w:bCs/>
          <w:color w:val="auto"/>
          <w:sz w:val="24"/>
          <w:highlight w:val="none"/>
        </w:rPr>
        <w:t>项目属性：</w:t>
      </w:r>
      <w:r>
        <w:rPr>
          <w:rFonts w:hint="eastAsia" w:ascii="Times New Roman" w:hAnsi="Times New Roman"/>
          <w:bCs/>
          <w:color w:val="auto"/>
          <w:sz w:val="24"/>
          <w:highlight w:val="none"/>
          <w:u w:val="single"/>
        </w:rPr>
        <w:t>货物类项目</w:t>
      </w:r>
    </w:p>
    <w:p w14:paraId="6F06E40A">
      <w:pPr>
        <w:spacing w:line="360" w:lineRule="auto"/>
        <w:ind w:firstLine="480"/>
        <w:rPr>
          <w:rFonts w:ascii="Times New Roman" w:hAnsi="Times New Roman"/>
          <w:bCs/>
          <w:color w:val="auto"/>
          <w:sz w:val="24"/>
          <w:highlight w:val="none"/>
        </w:rPr>
      </w:pPr>
      <w:r>
        <w:rPr>
          <w:rFonts w:hint="eastAsia" w:ascii="Times New Roman" w:hAnsi="Times New Roman"/>
          <w:bCs/>
          <w:color w:val="auto"/>
          <w:sz w:val="24"/>
          <w:highlight w:val="none"/>
        </w:rPr>
        <w:t>本项目</w:t>
      </w:r>
      <w:r>
        <w:rPr>
          <w:rFonts w:hint="eastAsia" w:ascii="Times New Roman" w:hAnsi="Times New Roman"/>
          <w:bCs/>
          <w:color w:val="auto"/>
          <w:sz w:val="24"/>
          <w:highlight w:val="none"/>
          <w:u w:val="single"/>
        </w:rPr>
        <w:t>不接受</w:t>
      </w:r>
      <w:r>
        <w:rPr>
          <w:rFonts w:hint="eastAsia" w:ascii="Times New Roman" w:hAnsi="Times New Roman"/>
          <w:bCs/>
          <w:color w:val="auto"/>
          <w:sz w:val="24"/>
          <w:highlight w:val="none"/>
        </w:rPr>
        <w:t>（接受/不接受）进口。</w:t>
      </w:r>
    </w:p>
    <w:p w14:paraId="0F5A3DA8">
      <w:pPr>
        <w:spacing w:line="360" w:lineRule="auto"/>
        <w:ind w:firstLine="480"/>
        <w:rPr>
          <w:rFonts w:ascii="Times New Roman" w:hAnsi="Times New Roman"/>
          <w:bCs/>
          <w:color w:val="auto"/>
          <w:sz w:val="24"/>
          <w:highlight w:val="none"/>
        </w:rPr>
      </w:pPr>
      <w:r>
        <w:rPr>
          <w:rFonts w:hint="eastAsia" w:ascii="Times New Roman" w:hAnsi="Times New Roman"/>
          <w:bCs/>
          <w:color w:val="auto"/>
          <w:sz w:val="24"/>
          <w:highlight w:val="none"/>
        </w:rPr>
        <w:t>本项目采购标的对应的中小企业划分标准所属行业：</w:t>
      </w:r>
    </w:p>
    <w:tbl>
      <w:tblPr>
        <w:tblStyle w:val="32"/>
        <w:tblW w:w="7608" w:type="dxa"/>
        <w:tblInd w:w="8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0"/>
        <w:gridCol w:w="3092"/>
        <w:gridCol w:w="3556"/>
      </w:tblGrid>
      <w:tr w14:paraId="01F54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60" w:type="dxa"/>
            <w:noWrap w:val="0"/>
          </w:tcPr>
          <w:p w14:paraId="20967FD1">
            <w:pPr>
              <w:widowControl/>
              <w:jc w:val="center"/>
              <w:rPr>
                <w:rFonts w:ascii="宋体" w:hAnsi="宋体" w:cs="宋体"/>
                <w:b/>
                <w:bCs/>
                <w:color w:val="auto"/>
                <w:szCs w:val="21"/>
                <w:highlight w:val="none"/>
              </w:rPr>
            </w:pPr>
            <w:r>
              <w:rPr>
                <w:rFonts w:hint="eastAsia" w:ascii="宋体" w:hAnsi="宋体" w:cs="宋体"/>
                <w:b/>
                <w:bCs/>
                <w:color w:val="auto"/>
                <w:szCs w:val="21"/>
                <w:highlight w:val="none"/>
                <w:lang w:bidi="ar"/>
              </w:rPr>
              <w:t>序号</w:t>
            </w:r>
          </w:p>
        </w:tc>
        <w:tc>
          <w:tcPr>
            <w:tcW w:w="3092" w:type="dxa"/>
            <w:noWrap w:val="0"/>
            <w:vAlign w:val="center"/>
          </w:tcPr>
          <w:p w14:paraId="55D016CE">
            <w:pPr>
              <w:widowControl/>
              <w:jc w:val="center"/>
              <w:rPr>
                <w:rFonts w:ascii="宋体" w:hAnsi="宋体" w:cs="宋体"/>
                <w:b/>
                <w:bCs/>
                <w:color w:val="auto"/>
                <w:szCs w:val="21"/>
                <w:highlight w:val="none"/>
              </w:rPr>
            </w:pPr>
            <w:r>
              <w:rPr>
                <w:rFonts w:hint="eastAsia" w:ascii="宋体" w:hAnsi="宋体" w:cs="宋体"/>
                <w:b/>
                <w:bCs/>
                <w:color w:val="auto"/>
                <w:szCs w:val="21"/>
                <w:highlight w:val="none"/>
                <w:lang w:bidi="ar"/>
              </w:rPr>
              <w:t>采购标的</w:t>
            </w:r>
          </w:p>
        </w:tc>
        <w:tc>
          <w:tcPr>
            <w:tcW w:w="3556" w:type="dxa"/>
            <w:noWrap w:val="0"/>
            <w:vAlign w:val="center"/>
          </w:tcPr>
          <w:p w14:paraId="0705D49C">
            <w:pPr>
              <w:widowControl/>
              <w:jc w:val="center"/>
              <w:rPr>
                <w:rFonts w:ascii="宋体" w:hAnsi="宋体" w:cs="宋体"/>
                <w:b/>
                <w:bCs/>
                <w:color w:val="auto"/>
                <w:szCs w:val="21"/>
                <w:highlight w:val="none"/>
              </w:rPr>
            </w:pPr>
            <w:r>
              <w:rPr>
                <w:rFonts w:hint="eastAsia" w:ascii="宋体" w:hAnsi="宋体" w:cs="宋体"/>
                <w:b/>
                <w:bCs/>
                <w:color w:val="auto"/>
                <w:szCs w:val="21"/>
                <w:highlight w:val="none"/>
                <w:lang w:bidi="ar"/>
              </w:rPr>
              <w:t>对应中小企业划分标准所属行业</w:t>
            </w:r>
          </w:p>
        </w:tc>
      </w:tr>
      <w:tr w14:paraId="2A707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7608" w:type="dxa"/>
            <w:gridSpan w:val="3"/>
            <w:shd w:val="clear" w:color="auto" w:fill="FFFFFF"/>
            <w:noWrap w:val="0"/>
            <w:vAlign w:val="center"/>
          </w:tcPr>
          <w:p w14:paraId="5EC9A4D9">
            <w:pPr>
              <w:widowControl/>
              <w:jc w:val="center"/>
              <w:rPr>
                <w:rFonts w:ascii="宋体" w:hAnsi="宋体" w:cs="宋体"/>
                <w:color w:val="auto"/>
                <w:szCs w:val="21"/>
                <w:highlight w:val="none"/>
              </w:rPr>
            </w:pPr>
            <w:r>
              <w:rPr>
                <w:rFonts w:hint="eastAsia" w:ascii="宋体" w:hAnsi="宋体" w:cs="宋体"/>
                <w:color w:val="auto"/>
                <w:szCs w:val="21"/>
                <w:highlight w:val="none"/>
                <w:lang w:bidi="ar"/>
              </w:rPr>
              <w:t>一、路段标识标牌标线</w:t>
            </w:r>
          </w:p>
        </w:tc>
      </w:tr>
      <w:tr w14:paraId="5C89B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960" w:type="dxa"/>
            <w:shd w:val="clear" w:color="auto" w:fill="FFFFFF"/>
            <w:noWrap w:val="0"/>
            <w:vAlign w:val="center"/>
          </w:tcPr>
          <w:p w14:paraId="2DEE9748">
            <w:pPr>
              <w:widowControl/>
              <w:jc w:val="center"/>
              <w:rPr>
                <w:rFonts w:ascii="宋体" w:hAnsi="宋体" w:cs="宋体"/>
                <w:color w:val="auto"/>
                <w:szCs w:val="21"/>
                <w:highlight w:val="none"/>
              </w:rPr>
            </w:pPr>
            <w:r>
              <w:rPr>
                <w:rFonts w:hint="eastAsia" w:ascii="宋体" w:hAnsi="宋体" w:cs="宋体"/>
                <w:color w:val="auto"/>
                <w:szCs w:val="21"/>
                <w:highlight w:val="none"/>
                <w:lang w:bidi="ar"/>
              </w:rPr>
              <w:t>1</w:t>
            </w:r>
          </w:p>
        </w:tc>
        <w:tc>
          <w:tcPr>
            <w:tcW w:w="3092" w:type="dxa"/>
            <w:shd w:val="clear" w:color="auto" w:fill="FFFFFF"/>
            <w:noWrap w:val="0"/>
            <w:vAlign w:val="center"/>
          </w:tcPr>
          <w:p w14:paraId="6F014450">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人行横道标志牌</w:t>
            </w:r>
          </w:p>
        </w:tc>
        <w:tc>
          <w:tcPr>
            <w:tcW w:w="3556" w:type="dxa"/>
            <w:noWrap/>
            <w:vAlign w:val="center"/>
          </w:tcPr>
          <w:p w14:paraId="378881B3">
            <w:pPr>
              <w:widowControl/>
              <w:jc w:val="center"/>
              <w:rPr>
                <w:rFonts w:ascii="宋体" w:hAnsi="宋体" w:cs="宋体"/>
                <w:color w:val="auto"/>
                <w:szCs w:val="21"/>
                <w:highlight w:val="none"/>
              </w:rPr>
            </w:pPr>
            <w:r>
              <w:rPr>
                <w:rFonts w:hint="eastAsia" w:ascii="宋体" w:hAnsi="宋体" w:cs="宋体"/>
                <w:color w:val="auto"/>
                <w:szCs w:val="21"/>
                <w:highlight w:val="none"/>
                <w:lang w:bidi="ar"/>
              </w:rPr>
              <w:t>工业</w:t>
            </w:r>
          </w:p>
        </w:tc>
      </w:tr>
      <w:tr w14:paraId="7C15F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60" w:type="dxa"/>
            <w:shd w:val="clear" w:color="auto" w:fill="FFFFFF"/>
            <w:noWrap w:val="0"/>
            <w:vAlign w:val="center"/>
          </w:tcPr>
          <w:p w14:paraId="068FAA39">
            <w:pPr>
              <w:widowControl/>
              <w:jc w:val="center"/>
              <w:rPr>
                <w:rFonts w:ascii="宋体" w:hAnsi="宋体" w:cs="宋体"/>
                <w:color w:val="auto"/>
                <w:szCs w:val="21"/>
                <w:highlight w:val="none"/>
              </w:rPr>
            </w:pPr>
            <w:r>
              <w:rPr>
                <w:rFonts w:hint="eastAsia" w:ascii="宋体" w:hAnsi="宋体" w:cs="宋体"/>
                <w:color w:val="auto"/>
                <w:szCs w:val="21"/>
                <w:highlight w:val="none"/>
                <w:lang w:bidi="ar"/>
              </w:rPr>
              <w:t>2</w:t>
            </w:r>
          </w:p>
        </w:tc>
        <w:tc>
          <w:tcPr>
            <w:tcW w:w="3092" w:type="dxa"/>
            <w:shd w:val="clear" w:color="auto" w:fill="FFFFFF"/>
            <w:noWrap w:val="0"/>
            <w:vAlign w:val="center"/>
          </w:tcPr>
          <w:p w14:paraId="2BBF1B2A">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路面凸起标志牌</w:t>
            </w:r>
          </w:p>
        </w:tc>
        <w:tc>
          <w:tcPr>
            <w:tcW w:w="3556" w:type="dxa"/>
            <w:noWrap/>
            <w:vAlign w:val="center"/>
          </w:tcPr>
          <w:p w14:paraId="03E937D4">
            <w:pPr>
              <w:widowControl/>
              <w:jc w:val="center"/>
              <w:rPr>
                <w:rFonts w:ascii="宋体" w:hAnsi="宋体" w:cs="宋体"/>
                <w:color w:val="auto"/>
                <w:szCs w:val="21"/>
                <w:highlight w:val="none"/>
              </w:rPr>
            </w:pPr>
            <w:r>
              <w:rPr>
                <w:rFonts w:hint="eastAsia" w:ascii="宋体" w:hAnsi="宋体" w:cs="宋体"/>
                <w:color w:val="auto"/>
                <w:szCs w:val="21"/>
                <w:highlight w:val="none"/>
                <w:lang w:bidi="ar"/>
              </w:rPr>
              <w:t>工业</w:t>
            </w:r>
          </w:p>
        </w:tc>
      </w:tr>
      <w:tr w14:paraId="1C08A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60" w:type="dxa"/>
            <w:shd w:val="clear" w:color="auto" w:fill="FFFFFF"/>
            <w:noWrap w:val="0"/>
            <w:vAlign w:val="center"/>
          </w:tcPr>
          <w:p w14:paraId="3A8E626E">
            <w:pPr>
              <w:widowControl/>
              <w:jc w:val="center"/>
              <w:rPr>
                <w:rFonts w:ascii="宋体" w:hAnsi="宋体" w:cs="宋体"/>
                <w:color w:val="auto"/>
                <w:szCs w:val="21"/>
                <w:highlight w:val="none"/>
              </w:rPr>
            </w:pPr>
            <w:r>
              <w:rPr>
                <w:rFonts w:hint="eastAsia" w:ascii="宋体" w:hAnsi="宋体" w:cs="宋体"/>
                <w:color w:val="auto"/>
                <w:szCs w:val="21"/>
                <w:highlight w:val="none"/>
                <w:lang w:bidi="ar"/>
              </w:rPr>
              <w:t>3</w:t>
            </w:r>
          </w:p>
        </w:tc>
        <w:tc>
          <w:tcPr>
            <w:tcW w:w="3092" w:type="dxa"/>
            <w:shd w:val="clear" w:color="auto" w:fill="FFFFFF"/>
            <w:noWrap w:val="0"/>
            <w:vAlign w:val="center"/>
          </w:tcPr>
          <w:p w14:paraId="52BAD18B">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调头标志牌</w:t>
            </w:r>
          </w:p>
        </w:tc>
        <w:tc>
          <w:tcPr>
            <w:tcW w:w="3556" w:type="dxa"/>
            <w:noWrap/>
            <w:vAlign w:val="center"/>
          </w:tcPr>
          <w:p w14:paraId="48B2A6B9">
            <w:pPr>
              <w:widowControl/>
              <w:jc w:val="center"/>
              <w:rPr>
                <w:rFonts w:ascii="宋体" w:hAnsi="宋体" w:cs="宋体"/>
                <w:color w:val="auto"/>
                <w:szCs w:val="21"/>
                <w:highlight w:val="none"/>
              </w:rPr>
            </w:pPr>
            <w:r>
              <w:rPr>
                <w:rFonts w:hint="eastAsia" w:ascii="宋体" w:hAnsi="宋体" w:cs="宋体"/>
                <w:color w:val="auto"/>
                <w:szCs w:val="21"/>
                <w:highlight w:val="none"/>
                <w:lang w:bidi="ar"/>
              </w:rPr>
              <w:t>工业</w:t>
            </w:r>
          </w:p>
        </w:tc>
      </w:tr>
      <w:tr w14:paraId="49FD5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60" w:type="dxa"/>
            <w:shd w:val="clear" w:color="auto" w:fill="FFFFFF"/>
            <w:noWrap w:val="0"/>
            <w:vAlign w:val="center"/>
          </w:tcPr>
          <w:p w14:paraId="766C9D4A">
            <w:pPr>
              <w:widowControl/>
              <w:jc w:val="center"/>
              <w:rPr>
                <w:rFonts w:ascii="宋体" w:hAnsi="宋体" w:cs="宋体"/>
                <w:color w:val="auto"/>
                <w:szCs w:val="21"/>
                <w:highlight w:val="none"/>
              </w:rPr>
            </w:pPr>
            <w:r>
              <w:rPr>
                <w:rFonts w:hint="eastAsia" w:ascii="宋体" w:hAnsi="宋体" w:cs="宋体"/>
                <w:color w:val="auto"/>
                <w:szCs w:val="21"/>
                <w:highlight w:val="none"/>
                <w:lang w:bidi="ar"/>
              </w:rPr>
              <w:t>4</w:t>
            </w:r>
          </w:p>
        </w:tc>
        <w:tc>
          <w:tcPr>
            <w:tcW w:w="3092" w:type="dxa"/>
            <w:shd w:val="clear" w:color="auto" w:fill="FFFFFF"/>
            <w:noWrap w:val="0"/>
            <w:vAlign w:val="center"/>
          </w:tcPr>
          <w:p w14:paraId="68996A84">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学校区域限速牌</w:t>
            </w:r>
          </w:p>
        </w:tc>
        <w:tc>
          <w:tcPr>
            <w:tcW w:w="3556" w:type="dxa"/>
            <w:noWrap/>
            <w:vAlign w:val="center"/>
          </w:tcPr>
          <w:p w14:paraId="104ED93E">
            <w:pPr>
              <w:widowControl/>
              <w:jc w:val="center"/>
              <w:rPr>
                <w:rFonts w:ascii="宋体" w:hAnsi="宋体" w:cs="宋体"/>
                <w:color w:val="auto"/>
                <w:szCs w:val="21"/>
                <w:highlight w:val="none"/>
              </w:rPr>
            </w:pPr>
            <w:r>
              <w:rPr>
                <w:rFonts w:hint="eastAsia" w:ascii="宋体" w:hAnsi="宋体" w:cs="宋体"/>
                <w:color w:val="auto"/>
                <w:szCs w:val="21"/>
                <w:highlight w:val="none"/>
                <w:lang w:bidi="ar"/>
              </w:rPr>
              <w:t>工业</w:t>
            </w:r>
          </w:p>
        </w:tc>
      </w:tr>
      <w:tr w14:paraId="5CE54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60" w:type="dxa"/>
            <w:shd w:val="clear" w:color="auto" w:fill="FFFFFF"/>
            <w:noWrap w:val="0"/>
            <w:vAlign w:val="center"/>
          </w:tcPr>
          <w:p w14:paraId="79BCC5CE">
            <w:pPr>
              <w:widowControl/>
              <w:jc w:val="center"/>
              <w:rPr>
                <w:rFonts w:ascii="宋体" w:hAnsi="宋体" w:cs="宋体"/>
                <w:color w:val="auto"/>
                <w:szCs w:val="21"/>
                <w:highlight w:val="none"/>
                <w:lang w:bidi="ar"/>
              </w:rPr>
            </w:pPr>
            <w:r>
              <w:rPr>
                <w:rFonts w:hint="eastAsia" w:ascii="宋体" w:hAnsi="宋体" w:cs="宋体"/>
                <w:color w:val="auto"/>
                <w:szCs w:val="21"/>
                <w:highlight w:val="none"/>
                <w:lang w:bidi="ar"/>
              </w:rPr>
              <w:t>5</w:t>
            </w:r>
          </w:p>
        </w:tc>
        <w:tc>
          <w:tcPr>
            <w:tcW w:w="3092" w:type="dxa"/>
            <w:shd w:val="clear" w:color="auto" w:fill="FFFFFF"/>
            <w:noWrap w:val="0"/>
            <w:vAlign w:val="center"/>
          </w:tcPr>
          <w:p w14:paraId="25151D75">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机非分离组合标志牌</w:t>
            </w:r>
          </w:p>
        </w:tc>
        <w:tc>
          <w:tcPr>
            <w:tcW w:w="3556" w:type="dxa"/>
            <w:noWrap/>
            <w:vAlign w:val="center"/>
          </w:tcPr>
          <w:p w14:paraId="73519240">
            <w:pPr>
              <w:widowControl/>
              <w:jc w:val="center"/>
              <w:rPr>
                <w:rFonts w:ascii="宋体" w:hAnsi="宋体" w:cs="宋体"/>
                <w:color w:val="auto"/>
                <w:szCs w:val="21"/>
                <w:highlight w:val="none"/>
                <w:lang w:bidi="ar"/>
              </w:rPr>
            </w:pPr>
            <w:r>
              <w:rPr>
                <w:rFonts w:hint="eastAsia" w:ascii="宋体" w:hAnsi="宋体" w:cs="宋体"/>
                <w:color w:val="auto"/>
                <w:szCs w:val="21"/>
                <w:highlight w:val="none"/>
                <w:lang w:bidi="ar"/>
              </w:rPr>
              <w:t>工业</w:t>
            </w:r>
          </w:p>
        </w:tc>
      </w:tr>
      <w:tr w14:paraId="4AE50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60" w:type="dxa"/>
            <w:shd w:val="clear" w:color="auto" w:fill="FFFFFF"/>
            <w:noWrap w:val="0"/>
            <w:vAlign w:val="center"/>
          </w:tcPr>
          <w:p w14:paraId="72EE0066">
            <w:pPr>
              <w:widowControl/>
              <w:jc w:val="center"/>
              <w:rPr>
                <w:rFonts w:ascii="宋体" w:hAnsi="宋体" w:cs="宋体"/>
                <w:color w:val="auto"/>
                <w:szCs w:val="21"/>
                <w:highlight w:val="none"/>
                <w:lang w:bidi="ar"/>
              </w:rPr>
            </w:pPr>
            <w:r>
              <w:rPr>
                <w:rFonts w:hint="eastAsia" w:ascii="宋体" w:hAnsi="宋体" w:cs="宋体"/>
                <w:color w:val="auto"/>
                <w:szCs w:val="21"/>
                <w:highlight w:val="none"/>
                <w:lang w:bidi="ar"/>
              </w:rPr>
              <w:t>6</w:t>
            </w:r>
          </w:p>
        </w:tc>
        <w:tc>
          <w:tcPr>
            <w:tcW w:w="3092" w:type="dxa"/>
            <w:shd w:val="clear" w:color="auto" w:fill="FFFFFF"/>
            <w:noWrap w:val="0"/>
            <w:vAlign w:val="center"/>
          </w:tcPr>
          <w:p w14:paraId="55156C51">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靠右行驶标志牌</w:t>
            </w:r>
          </w:p>
        </w:tc>
        <w:tc>
          <w:tcPr>
            <w:tcW w:w="3556" w:type="dxa"/>
            <w:noWrap/>
            <w:vAlign w:val="center"/>
          </w:tcPr>
          <w:p w14:paraId="0210EEBB">
            <w:pPr>
              <w:widowControl/>
              <w:jc w:val="center"/>
              <w:rPr>
                <w:rFonts w:ascii="宋体" w:hAnsi="宋体" w:cs="宋体"/>
                <w:color w:val="auto"/>
                <w:szCs w:val="21"/>
                <w:highlight w:val="none"/>
                <w:lang w:bidi="ar"/>
              </w:rPr>
            </w:pPr>
            <w:r>
              <w:rPr>
                <w:rFonts w:hint="eastAsia" w:ascii="宋体" w:hAnsi="宋体" w:cs="宋体"/>
                <w:color w:val="auto"/>
                <w:szCs w:val="21"/>
                <w:highlight w:val="none"/>
                <w:lang w:bidi="ar"/>
              </w:rPr>
              <w:t>工业</w:t>
            </w:r>
          </w:p>
        </w:tc>
      </w:tr>
      <w:tr w14:paraId="26E54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60" w:type="dxa"/>
            <w:shd w:val="clear" w:color="auto" w:fill="FFFFFF"/>
            <w:noWrap w:val="0"/>
            <w:vAlign w:val="center"/>
          </w:tcPr>
          <w:p w14:paraId="2A06B6DC">
            <w:pPr>
              <w:widowControl/>
              <w:jc w:val="center"/>
              <w:rPr>
                <w:rFonts w:ascii="宋体" w:hAnsi="宋体" w:cs="宋体"/>
                <w:color w:val="auto"/>
                <w:szCs w:val="21"/>
                <w:highlight w:val="none"/>
                <w:lang w:bidi="ar"/>
              </w:rPr>
            </w:pPr>
            <w:r>
              <w:rPr>
                <w:rFonts w:hint="eastAsia" w:ascii="宋体" w:hAnsi="宋体" w:cs="宋体"/>
                <w:color w:val="auto"/>
                <w:szCs w:val="21"/>
                <w:highlight w:val="none"/>
                <w:lang w:bidi="ar"/>
              </w:rPr>
              <w:t>7</w:t>
            </w:r>
          </w:p>
        </w:tc>
        <w:tc>
          <w:tcPr>
            <w:tcW w:w="3092" w:type="dxa"/>
            <w:shd w:val="clear" w:color="auto" w:fill="FFFFFF"/>
            <w:noWrap w:val="0"/>
            <w:vAlign w:val="center"/>
          </w:tcPr>
          <w:p w14:paraId="2DC3AD81">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杆件、预埋件、基础</w:t>
            </w:r>
          </w:p>
        </w:tc>
        <w:tc>
          <w:tcPr>
            <w:tcW w:w="3556" w:type="dxa"/>
            <w:noWrap/>
            <w:vAlign w:val="center"/>
          </w:tcPr>
          <w:p w14:paraId="45169750">
            <w:pPr>
              <w:widowControl/>
              <w:jc w:val="center"/>
              <w:rPr>
                <w:rFonts w:ascii="宋体" w:hAnsi="宋体" w:cs="宋体"/>
                <w:color w:val="auto"/>
                <w:szCs w:val="21"/>
                <w:highlight w:val="none"/>
                <w:lang w:bidi="ar"/>
              </w:rPr>
            </w:pPr>
            <w:r>
              <w:rPr>
                <w:rFonts w:hint="eastAsia" w:ascii="宋体" w:hAnsi="宋体" w:cs="宋体"/>
                <w:color w:val="auto"/>
                <w:szCs w:val="21"/>
                <w:highlight w:val="none"/>
              </w:rPr>
              <w:t>建筑业</w:t>
            </w:r>
          </w:p>
        </w:tc>
      </w:tr>
      <w:tr w14:paraId="03DCA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60" w:type="dxa"/>
            <w:shd w:val="clear" w:color="auto" w:fill="FFFFFF"/>
            <w:noWrap w:val="0"/>
            <w:vAlign w:val="center"/>
          </w:tcPr>
          <w:p w14:paraId="69F77A89">
            <w:pPr>
              <w:widowControl/>
              <w:jc w:val="center"/>
              <w:rPr>
                <w:rFonts w:ascii="宋体" w:hAnsi="宋体" w:cs="宋体"/>
                <w:color w:val="auto"/>
                <w:szCs w:val="21"/>
                <w:highlight w:val="none"/>
                <w:lang w:bidi="ar"/>
              </w:rPr>
            </w:pPr>
            <w:r>
              <w:rPr>
                <w:rFonts w:hint="eastAsia" w:ascii="宋体" w:hAnsi="宋体" w:cs="宋体"/>
                <w:color w:val="auto"/>
                <w:szCs w:val="21"/>
                <w:highlight w:val="none"/>
                <w:lang w:bidi="ar"/>
              </w:rPr>
              <w:t>8</w:t>
            </w:r>
          </w:p>
        </w:tc>
        <w:tc>
          <w:tcPr>
            <w:tcW w:w="3092" w:type="dxa"/>
            <w:shd w:val="clear" w:color="auto" w:fill="FFFFFF"/>
            <w:noWrap w:val="0"/>
            <w:vAlign w:val="center"/>
          </w:tcPr>
          <w:p w14:paraId="0E9903B2">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硬化路面取芯</w:t>
            </w:r>
          </w:p>
        </w:tc>
        <w:tc>
          <w:tcPr>
            <w:tcW w:w="3556" w:type="dxa"/>
            <w:noWrap/>
            <w:vAlign w:val="center"/>
          </w:tcPr>
          <w:p w14:paraId="65299C86">
            <w:pPr>
              <w:widowControl/>
              <w:jc w:val="center"/>
              <w:rPr>
                <w:rFonts w:ascii="宋体" w:hAnsi="宋体" w:cs="宋体"/>
                <w:color w:val="auto"/>
                <w:szCs w:val="21"/>
                <w:highlight w:val="none"/>
                <w:lang w:bidi="ar"/>
              </w:rPr>
            </w:pPr>
            <w:r>
              <w:rPr>
                <w:rFonts w:hint="eastAsia" w:ascii="宋体" w:hAnsi="宋体" w:cs="宋体"/>
                <w:color w:val="auto"/>
                <w:szCs w:val="21"/>
                <w:highlight w:val="none"/>
              </w:rPr>
              <w:t>建筑业</w:t>
            </w:r>
          </w:p>
        </w:tc>
      </w:tr>
      <w:tr w14:paraId="0D70A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60" w:type="dxa"/>
            <w:shd w:val="clear" w:color="auto" w:fill="FFFFFF"/>
            <w:noWrap w:val="0"/>
            <w:vAlign w:val="center"/>
          </w:tcPr>
          <w:p w14:paraId="6CD2DA4B">
            <w:pPr>
              <w:widowControl/>
              <w:jc w:val="center"/>
              <w:rPr>
                <w:rFonts w:ascii="宋体" w:hAnsi="宋体" w:cs="宋体"/>
                <w:color w:val="auto"/>
                <w:szCs w:val="21"/>
                <w:highlight w:val="none"/>
                <w:lang w:bidi="ar"/>
              </w:rPr>
            </w:pPr>
            <w:r>
              <w:rPr>
                <w:rFonts w:hint="eastAsia" w:ascii="宋体" w:hAnsi="宋体" w:cs="宋体"/>
                <w:color w:val="auto"/>
                <w:szCs w:val="21"/>
                <w:highlight w:val="none"/>
                <w:lang w:bidi="ar"/>
              </w:rPr>
              <w:t>9</w:t>
            </w:r>
          </w:p>
        </w:tc>
        <w:tc>
          <w:tcPr>
            <w:tcW w:w="3092" w:type="dxa"/>
            <w:shd w:val="clear" w:color="auto" w:fill="FFFFFF"/>
            <w:noWrap w:val="0"/>
            <w:vAlign w:val="center"/>
          </w:tcPr>
          <w:p w14:paraId="5ED1CF6D">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人行横道线</w:t>
            </w:r>
          </w:p>
        </w:tc>
        <w:tc>
          <w:tcPr>
            <w:tcW w:w="3556" w:type="dxa"/>
            <w:noWrap/>
            <w:vAlign w:val="center"/>
          </w:tcPr>
          <w:p w14:paraId="51ED26E2">
            <w:pPr>
              <w:widowControl/>
              <w:jc w:val="center"/>
              <w:rPr>
                <w:rFonts w:ascii="宋体" w:hAnsi="宋体" w:cs="宋体"/>
                <w:color w:val="auto"/>
                <w:szCs w:val="21"/>
                <w:highlight w:val="none"/>
                <w:lang w:bidi="ar"/>
              </w:rPr>
            </w:pPr>
            <w:r>
              <w:rPr>
                <w:rFonts w:hint="eastAsia" w:ascii="宋体" w:hAnsi="宋体" w:cs="宋体"/>
                <w:color w:val="auto"/>
                <w:szCs w:val="21"/>
                <w:highlight w:val="none"/>
              </w:rPr>
              <w:t>建筑业</w:t>
            </w:r>
          </w:p>
        </w:tc>
      </w:tr>
      <w:tr w14:paraId="223D1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60" w:type="dxa"/>
            <w:shd w:val="clear" w:color="auto" w:fill="FFFFFF"/>
            <w:noWrap w:val="0"/>
            <w:vAlign w:val="center"/>
          </w:tcPr>
          <w:p w14:paraId="00E54EEF">
            <w:pPr>
              <w:widowControl/>
              <w:jc w:val="center"/>
              <w:rPr>
                <w:rFonts w:ascii="宋体" w:hAnsi="宋体" w:cs="宋体"/>
                <w:color w:val="auto"/>
                <w:szCs w:val="21"/>
                <w:highlight w:val="none"/>
                <w:lang w:bidi="ar"/>
              </w:rPr>
            </w:pPr>
            <w:r>
              <w:rPr>
                <w:rFonts w:hint="eastAsia" w:ascii="宋体" w:hAnsi="宋体" w:cs="宋体"/>
                <w:color w:val="auto"/>
                <w:szCs w:val="21"/>
                <w:highlight w:val="none"/>
                <w:lang w:bidi="ar"/>
              </w:rPr>
              <w:t>10</w:t>
            </w:r>
          </w:p>
        </w:tc>
        <w:tc>
          <w:tcPr>
            <w:tcW w:w="3092" w:type="dxa"/>
            <w:shd w:val="clear" w:color="auto" w:fill="FFFFFF"/>
            <w:noWrap w:val="0"/>
            <w:vAlign w:val="center"/>
          </w:tcPr>
          <w:p w14:paraId="73DFE942">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禁停网状线</w:t>
            </w:r>
          </w:p>
        </w:tc>
        <w:tc>
          <w:tcPr>
            <w:tcW w:w="3556" w:type="dxa"/>
            <w:noWrap/>
            <w:vAlign w:val="center"/>
          </w:tcPr>
          <w:p w14:paraId="27ECABDE">
            <w:pPr>
              <w:widowControl/>
              <w:jc w:val="center"/>
              <w:rPr>
                <w:rFonts w:ascii="宋体" w:hAnsi="宋体" w:cs="宋体"/>
                <w:color w:val="auto"/>
                <w:szCs w:val="21"/>
                <w:highlight w:val="none"/>
                <w:lang w:bidi="ar"/>
              </w:rPr>
            </w:pPr>
            <w:r>
              <w:rPr>
                <w:rFonts w:hint="eastAsia" w:ascii="宋体" w:hAnsi="宋体" w:cs="宋体"/>
                <w:color w:val="auto"/>
                <w:szCs w:val="21"/>
                <w:highlight w:val="none"/>
              </w:rPr>
              <w:t>建筑业</w:t>
            </w:r>
          </w:p>
        </w:tc>
      </w:tr>
      <w:tr w14:paraId="06922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60" w:type="dxa"/>
            <w:shd w:val="clear" w:color="auto" w:fill="FFFFFF"/>
            <w:noWrap w:val="0"/>
            <w:vAlign w:val="center"/>
          </w:tcPr>
          <w:p w14:paraId="797F883E">
            <w:pPr>
              <w:widowControl/>
              <w:jc w:val="center"/>
              <w:rPr>
                <w:rFonts w:ascii="宋体" w:hAnsi="宋体" w:cs="宋体"/>
                <w:color w:val="auto"/>
                <w:szCs w:val="21"/>
                <w:highlight w:val="none"/>
                <w:lang w:bidi="ar"/>
              </w:rPr>
            </w:pPr>
            <w:r>
              <w:rPr>
                <w:rFonts w:hint="eastAsia" w:ascii="宋体" w:hAnsi="宋体" w:cs="宋体"/>
                <w:color w:val="auto"/>
                <w:szCs w:val="21"/>
                <w:highlight w:val="none"/>
                <w:lang w:bidi="ar"/>
              </w:rPr>
              <w:t>11</w:t>
            </w:r>
          </w:p>
        </w:tc>
        <w:tc>
          <w:tcPr>
            <w:tcW w:w="3092" w:type="dxa"/>
            <w:shd w:val="clear" w:color="auto" w:fill="FFFFFF"/>
            <w:noWrap w:val="0"/>
            <w:vAlign w:val="center"/>
          </w:tcPr>
          <w:p w14:paraId="3E9F5BA4">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清洗旧标线</w:t>
            </w:r>
          </w:p>
        </w:tc>
        <w:tc>
          <w:tcPr>
            <w:tcW w:w="3556" w:type="dxa"/>
            <w:noWrap/>
            <w:vAlign w:val="center"/>
          </w:tcPr>
          <w:p w14:paraId="2128E9E8">
            <w:pPr>
              <w:widowControl/>
              <w:jc w:val="center"/>
              <w:rPr>
                <w:rFonts w:ascii="宋体" w:hAnsi="宋体" w:cs="宋体"/>
                <w:color w:val="auto"/>
                <w:szCs w:val="21"/>
                <w:highlight w:val="none"/>
                <w:lang w:bidi="ar"/>
              </w:rPr>
            </w:pPr>
            <w:r>
              <w:rPr>
                <w:rFonts w:hint="eastAsia" w:ascii="宋体" w:hAnsi="宋体" w:cs="宋体"/>
                <w:color w:val="auto"/>
                <w:szCs w:val="21"/>
                <w:highlight w:val="none"/>
              </w:rPr>
              <w:t>建筑业</w:t>
            </w:r>
          </w:p>
        </w:tc>
      </w:tr>
      <w:tr w14:paraId="0CED5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7608" w:type="dxa"/>
            <w:gridSpan w:val="3"/>
            <w:shd w:val="clear" w:color="auto" w:fill="FFFFFF"/>
            <w:noWrap w:val="0"/>
            <w:vAlign w:val="center"/>
          </w:tcPr>
          <w:p w14:paraId="68D39A32">
            <w:pPr>
              <w:widowControl/>
              <w:spacing w:line="360" w:lineRule="exact"/>
              <w:jc w:val="center"/>
              <w:rPr>
                <w:rFonts w:ascii="宋体" w:hAnsi="宋体" w:cs="宋体"/>
                <w:color w:val="auto"/>
                <w:szCs w:val="21"/>
                <w:highlight w:val="none"/>
                <w:lang w:bidi="ar"/>
              </w:rPr>
            </w:pPr>
            <w:r>
              <w:rPr>
                <w:rFonts w:hint="eastAsia" w:ascii="宋体" w:hAnsi="宋体" w:cs="宋体"/>
                <w:color w:val="auto"/>
                <w:szCs w:val="21"/>
                <w:highlight w:val="none"/>
                <w:lang w:bidi="ar"/>
              </w:rPr>
              <w:t>二、隔离减速装置</w:t>
            </w:r>
          </w:p>
        </w:tc>
      </w:tr>
      <w:tr w14:paraId="478B3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60" w:type="dxa"/>
            <w:shd w:val="clear" w:color="auto" w:fill="FFFFFF"/>
            <w:noWrap w:val="0"/>
            <w:vAlign w:val="center"/>
          </w:tcPr>
          <w:p w14:paraId="09DBBA6F">
            <w:pPr>
              <w:widowControl/>
              <w:spacing w:line="360" w:lineRule="exact"/>
              <w:jc w:val="center"/>
              <w:rPr>
                <w:rFonts w:ascii="宋体" w:hAnsi="宋体" w:cs="宋体"/>
                <w:color w:val="auto"/>
                <w:szCs w:val="21"/>
                <w:highlight w:val="none"/>
                <w:lang w:bidi="ar"/>
              </w:rPr>
            </w:pPr>
            <w:r>
              <w:rPr>
                <w:rFonts w:hint="eastAsia" w:ascii="宋体" w:hAnsi="宋体" w:cs="宋体"/>
                <w:color w:val="auto"/>
                <w:szCs w:val="21"/>
                <w:highlight w:val="none"/>
                <w:lang w:bidi="ar"/>
              </w:rPr>
              <w:t>12</w:t>
            </w:r>
          </w:p>
        </w:tc>
        <w:tc>
          <w:tcPr>
            <w:tcW w:w="3092" w:type="dxa"/>
            <w:noWrap w:val="0"/>
            <w:vAlign w:val="center"/>
          </w:tcPr>
          <w:p w14:paraId="209757A3">
            <w:pPr>
              <w:widowControl/>
              <w:spacing w:line="360" w:lineRule="exact"/>
              <w:jc w:val="center"/>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震荡标线</w:t>
            </w:r>
          </w:p>
        </w:tc>
        <w:tc>
          <w:tcPr>
            <w:tcW w:w="3556" w:type="dxa"/>
            <w:noWrap/>
            <w:vAlign w:val="center"/>
          </w:tcPr>
          <w:p w14:paraId="11DEC2B4">
            <w:pPr>
              <w:widowControl/>
              <w:spacing w:line="360" w:lineRule="exact"/>
              <w:jc w:val="center"/>
              <w:rPr>
                <w:rFonts w:ascii="宋体" w:hAnsi="宋体" w:cs="宋体"/>
                <w:color w:val="auto"/>
                <w:szCs w:val="21"/>
                <w:highlight w:val="none"/>
                <w:lang w:bidi="ar"/>
              </w:rPr>
            </w:pPr>
            <w:r>
              <w:rPr>
                <w:rFonts w:hint="eastAsia" w:ascii="宋体" w:hAnsi="宋体" w:cs="宋体"/>
                <w:color w:val="auto"/>
                <w:szCs w:val="21"/>
                <w:highlight w:val="none"/>
                <w:lang w:bidi="ar"/>
              </w:rPr>
              <w:t>工业</w:t>
            </w:r>
          </w:p>
        </w:tc>
      </w:tr>
      <w:tr w14:paraId="10200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60" w:type="dxa"/>
            <w:shd w:val="clear" w:color="auto" w:fill="FFFFFF"/>
            <w:noWrap w:val="0"/>
            <w:vAlign w:val="center"/>
          </w:tcPr>
          <w:p w14:paraId="0D34AE7D">
            <w:pPr>
              <w:widowControl/>
              <w:spacing w:line="360" w:lineRule="exact"/>
              <w:jc w:val="center"/>
              <w:rPr>
                <w:rFonts w:ascii="宋体" w:hAnsi="宋体" w:cs="宋体"/>
                <w:color w:val="auto"/>
                <w:szCs w:val="21"/>
                <w:highlight w:val="none"/>
                <w:lang w:bidi="ar"/>
              </w:rPr>
            </w:pPr>
            <w:r>
              <w:rPr>
                <w:rFonts w:hint="eastAsia" w:ascii="宋体" w:hAnsi="宋体" w:cs="宋体"/>
                <w:color w:val="auto"/>
                <w:szCs w:val="21"/>
                <w:highlight w:val="none"/>
                <w:lang w:bidi="ar"/>
              </w:rPr>
              <w:t>13</w:t>
            </w:r>
          </w:p>
        </w:tc>
        <w:tc>
          <w:tcPr>
            <w:tcW w:w="3092" w:type="dxa"/>
            <w:noWrap w:val="0"/>
            <w:vAlign w:val="center"/>
          </w:tcPr>
          <w:p w14:paraId="6D54BC56">
            <w:pPr>
              <w:widowControl/>
              <w:spacing w:line="360" w:lineRule="exact"/>
              <w:jc w:val="center"/>
              <w:rPr>
                <w:rFonts w:ascii="宋体" w:hAnsi="宋体" w:cs="宋体"/>
                <w:color w:val="auto"/>
                <w:szCs w:val="21"/>
                <w:highlight w:val="none"/>
                <w:lang w:bidi="ar"/>
              </w:rPr>
            </w:pPr>
            <w:r>
              <w:rPr>
                <w:rFonts w:hint="eastAsia" w:ascii="宋体" w:hAnsi="宋体" w:cs="宋体"/>
                <w:color w:val="auto"/>
                <w:szCs w:val="21"/>
                <w:highlight w:val="none"/>
                <w:lang w:bidi="ar"/>
              </w:rPr>
              <w:t>隔离护栏</w:t>
            </w:r>
          </w:p>
        </w:tc>
        <w:tc>
          <w:tcPr>
            <w:tcW w:w="3556" w:type="dxa"/>
            <w:noWrap/>
            <w:vAlign w:val="center"/>
          </w:tcPr>
          <w:p w14:paraId="34EECB61">
            <w:pPr>
              <w:widowControl/>
              <w:spacing w:line="360" w:lineRule="exact"/>
              <w:jc w:val="center"/>
              <w:rPr>
                <w:rFonts w:ascii="宋体" w:hAnsi="宋体" w:cs="宋体"/>
                <w:color w:val="auto"/>
                <w:szCs w:val="21"/>
                <w:highlight w:val="none"/>
                <w:lang w:bidi="ar"/>
              </w:rPr>
            </w:pPr>
            <w:r>
              <w:rPr>
                <w:rFonts w:hint="eastAsia" w:ascii="宋体" w:hAnsi="宋体" w:cs="宋体"/>
                <w:color w:val="auto"/>
                <w:szCs w:val="21"/>
                <w:highlight w:val="none"/>
                <w:lang w:bidi="ar"/>
              </w:rPr>
              <w:t>工业</w:t>
            </w:r>
          </w:p>
        </w:tc>
      </w:tr>
      <w:tr w14:paraId="0E58A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60" w:type="dxa"/>
            <w:shd w:val="clear" w:color="auto" w:fill="FFFFFF"/>
            <w:noWrap w:val="0"/>
            <w:vAlign w:val="center"/>
          </w:tcPr>
          <w:p w14:paraId="144385E6">
            <w:pPr>
              <w:widowControl/>
              <w:spacing w:line="360" w:lineRule="exact"/>
              <w:jc w:val="center"/>
              <w:rPr>
                <w:rFonts w:ascii="宋体" w:hAnsi="宋体" w:cs="宋体"/>
                <w:color w:val="auto"/>
                <w:szCs w:val="21"/>
                <w:highlight w:val="none"/>
                <w:lang w:bidi="ar"/>
              </w:rPr>
            </w:pPr>
            <w:r>
              <w:rPr>
                <w:rFonts w:hint="eastAsia" w:ascii="宋体" w:hAnsi="宋体" w:cs="宋体"/>
                <w:color w:val="auto"/>
                <w:szCs w:val="21"/>
                <w:highlight w:val="none"/>
                <w:lang w:bidi="ar"/>
              </w:rPr>
              <w:t>14</w:t>
            </w:r>
          </w:p>
        </w:tc>
        <w:tc>
          <w:tcPr>
            <w:tcW w:w="3092" w:type="dxa"/>
            <w:noWrap w:val="0"/>
            <w:vAlign w:val="center"/>
          </w:tcPr>
          <w:p w14:paraId="2B49D9DB">
            <w:pPr>
              <w:widowControl/>
              <w:spacing w:line="360" w:lineRule="exact"/>
              <w:jc w:val="center"/>
              <w:rPr>
                <w:rFonts w:ascii="宋体" w:hAnsi="宋体" w:cs="宋体"/>
                <w:color w:val="auto"/>
                <w:szCs w:val="21"/>
                <w:highlight w:val="none"/>
                <w:lang w:bidi="ar"/>
              </w:rPr>
            </w:pPr>
            <w:r>
              <w:rPr>
                <w:rFonts w:hint="eastAsia" w:ascii="宋体" w:hAnsi="宋体" w:cs="宋体"/>
                <w:color w:val="auto"/>
                <w:szCs w:val="21"/>
                <w:highlight w:val="none"/>
                <w:lang w:bidi="ar"/>
              </w:rPr>
              <w:t>防撞柱</w:t>
            </w:r>
          </w:p>
        </w:tc>
        <w:tc>
          <w:tcPr>
            <w:tcW w:w="3556" w:type="dxa"/>
            <w:noWrap/>
            <w:vAlign w:val="center"/>
          </w:tcPr>
          <w:p w14:paraId="6E1FEEF1">
            <w:pPr>
              <w:widowControl/>
              <w:spacing w:line="360" w:lineRule="exact"/>
              <w:jc w:val="center"/>
              <w:rPr>
                <w:rFonts w:ascii="宋体" w:hAnsi="宋体" w:cs="宋体"/>
                <w:color w:val="auto"/>
                <w:szCs w:val="21"/>
                <w:highlight w:val="none"/>
                <w:lang w:bidi="ar"/>
              </w:rPr>
            </w:pPr>
            <w:r>
              <w:rPr>
                <w:rFonts w:hint="eastAsia" w:ascii="宋体" w:hAnsi="宋体" w:cs="宋体"/>
                <w:color w:val="auto"/>
                <w:szCs w:val="21"/>
                <w:highlight w:val="none"/>
                <w:lang w:bidi="ar"/>
              </w:rPr>
              <w:t>工业</w:t>
            </w:r>
          </w:p>
        </w:tc>
      </w:tr>
      <w:tr w14:paraId="383A1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60" w:type="dxa"/>
            <w:shd w:val="clear" w:color="auto" w:fill="FFFFFF"/>
            <w:noWrap w:val="0"/>
            <w:vAlign w:val="center"/>
          </w:tcPr>
          <w:p w14:paraId="6BC49D6E">
            <w:pPr>
              <w:widowControl/>
              <w:spacing w:line="360" w:lineRule="exact"/>
              <w:jc w:val="center"/>
              <w:rPr>
                <w:rFonts w:ascii="宋体" w:hAnsi="宋体" w:cs="宋体"/>
                <w:color w:val="auto"/>
                <w:szCs w:val="21"/>
                <w:highlight w:val="none"/>
                <w:lang w:bidi="ar"/>
              </w:rPr>
            </w:pPr>
            <w:r>
              <w:rPr>
                <w:rFonts w:hint="eastAsia" w:ascii="宋体" w:hAnsi="宋体" w:cs="宋体"/>
                <w:color w:val="auto"/>
                <w:szCs w:val="21"/>
                <w:highlight w:val="none"/>
                <w:lang w:bidi="ar"/>
              </w:rPr>
              <w:t>15</w:t>
            </w:r>
          </w:p>
        </w:tc>
        <w:tc>
          <w:tcPr>
            <w:tcW w:w="3092" w:type="dxa"/>
            <w:noWrap w:val="0"/>
            <w:vAlign w:val="center"/>
          </w:tcPr>
          <w:p w14:paraId="3860DAA9">
            <w:pPr>
              <w:widowControl/>
              <w:spacing w:line="360" w:lineRule="exact"/>
              <w:jc w:val="center"/>
              <w:rPr>
                <w:rFonts w:ascii="宋体" w:hAnsi="宋体" w:cs="宋体"/>
                <w:color w:val="auto"/>
                <w:szCs w:val="21"/>
                <w:highlight w:val="none"/>
                <w:lang w:bidi="ar"/>
              </w:rPr>
            </w:pPr>
            <w:r>
              <w:rPr>
                <w:rFonts w:hint="eastAsia" w:ascii="宋体" w:hAnsi="宋体" w:cs="宋体"/>
                <w:color w:val="auto"/>
                <w:szCs w:val="21"/>
                <w:highlight w:val="none"/>
                <w:lang w:bidi="ar"/>
              </w:rPr>
              <w:t>移动护栏</w:t>
            </w:r>
          </w:p>
        </w:tc>
        <w:tc>
          <w:tcPr>
            <w:tcW w:w="3556" w:type="dxa"/>
            <w:noWrap/>
            <w:vAlign w:val="center"/>
          </w:tcPr>
          <w:p w14:paraId="6541EA0A">
            <w:pPr>
              <w:widowControl/>
              <w:spacing w:line="360" w:lineRule="exact"/>
              <w:jc w:val="center"/>
              <w:rPr>
                <w:rFonts w:ascii="宋体" w:hAnsi="宋体" w:cs="宋体"/>
                <w:color w:val="auto"/>
                <w:szCs w:val="21"/>
                <w:highlight w:val="none"/>
                <w:lang w:bidi="ar"/>
              </w:rPr>
            </w:pPr>
            <w:r>
              <w:rPr>
                <w:rFonts w:hint="eastAsia" w:ascii="宋体" w:hAnsi="宋体" w:cs="宋体"/>
                <w:color w:val="auto"/>
                <w:szCs w:val="21"/>
                <w:highlight w:val="none"/>
                <w:lang w:bidi="ar"/>
              </w:rPr>
              <w:t>工业</w:t>
            </w:r>
          </w:p>
        </w:tc>
      </w:tr>
      <w:tr w14:paraId="149D6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7608" w:type="dxa"/>
            <w:gridSpan w:val="3"/>
            <w:shd w:val="clear" w:color="auto" w:fill="FFFFFF"/>
            <w:noWrap w:val="0"/>
            <w:vAlign w:val="center"/>
          </w:tcPr>
          <w:p w14:paraId="63E5C2CB">
            <w:pPr>
              <w:widowControl/>
              <w:jc w:val="center"/>
              <w:rPr>
                <w:rFonts w:ascii="宋体" w:hAnsi="宋体" w:cs="宋体"/>
                <w:color w:val="auto"/>
                <w:szCs w:val="21"/>
                <w:highlight w:val="none"/>
              </w:rPr>
            </w:pPr>
            <w:r>
              <w:rPr>
                <w:rFonts w:hint="eastAsia" w:ascii="宋体" w:hAnsi="宋体" w:cs="宋体"/>
                <w:color w:val="auto"/>
                <w:szCs w:val="21"/>
                <w:highlight w:val="none"/>
              </w:rPr>
              <w:t>三、护学岗配套物资</w:t>
            </w:r>
          </w:p>
        </w:tc>
      </w:tr>
      <w:tr w14:paraId="76637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60" w:type="dxa"/>
            <w:shd w:val="clear" w:color="auto" w:fill="FFFFFF"/>
            <w:noWrap w:val="0"/>
            <w:vAlign w:val="center"/>
          </w:tcPr>
          <w:p w14:paraId="15072AD5">
            <w:pPr>
              <w:widowControl/>
              <w:spacing w:line="360" w:lineRule="exact"/>
              <w:jc w:val="center"/>
              <w:rPr>
                <w:rFonts w:ascii="宋体" w:hAnsi="宋体" w:cs="宋体"/>
                <w:color w:val="auto"/>
                <w:szCs w:val="21"/>
                <w:highlight w:val="none"/>
                <w:lang w:bidi="ar"/>
              </w:rPr>
            </w:pPr>
            <w:r>
              <w:rPr>
                <w:rFonts w:hint="eastAsia" w:ascii="宋体" w:hAnsi="宋体" w:cs="宋体"/>
                <w:color w:val="auto"/>
                <w:szCs w:val="21"/>
                <w:highlight w:val="none"/>
                <w:lang w:bidi="ar"/>
              </w:rPr>
              <w:t>16</w:t>
            </w:r>
          </w:p>
        </w:tc>
        <w:tc>
          <w:tcPr>
            <w:tcW w:w="3092" w:type="dxa"/>
            <w:shd w:val="clear" w:color="auto" w:fill="FFFFFF"/>
            <w:noWrap w:val="0"/>
            <w:vAlign w:val="center"/>
          </w:tcPr>
          <w:p w14:paraId="62450410">
            <w:pPr>
              <w:widowControl/>
              <w:spacing w:line="360" w:lineRule="exact"/>
              <w:jc w:val="center"/>
              <w:rPr>
                <w:rFonts w:ascii="宋体" w:hAnsi="宋体" w:cs="宋体"/>
                <w:color w:val="auto"/>
                <w:szCs w:val="21"/>
                <w:highlight w:val="none"/>
                <w:lang w:bidi="ar"/>
              </w:rPr>
            </w:pPr>
            <w:r>
              <w:rPr>
                <w:rFonts w:hint="eastAsia" w:ascii="宋体" w:hAnsi="宋体" w:cs="宋体"/>
                <w:color w:val="auto"/>
                <w:szCs w:val="21"/>
                <w:highlight w:val="none"/>
                <w:lang w:bidi="ar"/>
              </w:rPr>
              <w:t>移动信号灯</w:t>
            </w:r>
          </w:p>
        </w:tc>
        <w:tc>
          <w:tcPr>
            <w:tcW w:w="3556" w:type="dxa"/>
            <w:noWrap/>
            <w:vAlign w:val="center"/>
          </w:tcPr>
          <w:p w14:paraId="7FFC2A4C">
            <w:pPr>
              <w:widowControl/>
              <w:spacing w:line="360" w:lineRule="exact"/>
              <w:jc w:val="center"/>
              <w:rPr>
                <w:rFonts w:ascii="宋体" w:hAnsi="宋体" w:cs="宋体"/>
                <w:color w:val="auto"/>
                <w:szCs w:val="21"/>
                <w:highlight w:val="none"/>
                <w:lang w:bidi="ar"/>
              </w:rPr>
            </w:pPr>
            <w:r>
              <w:rPr>
                <w:rFonts w:hint="eastAsia" w:ascii="宋体" w:hAnsi="宋体" w:cs="宋体"/>
                <w:color w:val="auto"/>
                <w:szCs w:val="21"/>
                <w:highlight w:val="none"/>
                <w:lang w:bidi="ar"/>
              </w:rPr>
              <w:t>工业</w:t>
            </w:r>
          </w:p>
        </w:tc>
      </w:tr>
      <w:tr w14:paraId="773FF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60" w:type="dxa"/>
            <w:shd w:val="clear" w:color="auto" w:fill="FFFFFF"/>
            <w:noWrap w:val="0"/>
            <w:vAlign w:val="center"/>
          </w:tcPr>
          <w:p w14:paraId="247AA694">
            <w:pPr>
              <w:widowControl/>
              <w:spacing w:line="360" w:lineRule="exact"/>
              <w:jc w:val="center"/>
              <w:rPr>
                <w:rFonts w:ascii="宋体" w:hAnsi="宋体" w:cs="宋体"/>
                <w:color w:val="auto"/>
                <w:szCs w:val="21"/>
                <w:highlight w:val="none"/>
                <w:lang w:bidi="ar"/>
              </w:rPr>
            </w:pPr>
            <w:r>
              <w:rPr>
                <w:rFonts w:hint="eastAsia" w:ascii="宋体" w:hAnsi="宋体" w:cs="宋体"/>
                <w:color w:val="auto"/>
                <w:szCs w:val="21"/>
                <w:highlight w:val="none"/>
                <w:lang w:bidi="ar"/>
              </w:rPr>
              <w:t>17</w:t>
            </w:r>
          </w:p>
        </w:tc>
        <w:tc>
          <w:tcPr>
            <w:tcW w:w="3092" w:type="dxa"/>
            <w:shd w:val="clear" w:color="auto" w:fill="FFFFFF"/>
            <w:noWrap w:val="0"/>
            <w:vAlign w:val="center"/>
          </w:tcPr>
          <w:p w14:paraId="3FB59599">
            <w:pPr>
              <w:widowControl/>
              <w:spacing w:line="360" w:lineRule="exact"/>
              <w:jc w:val="center"/>
              <w:rPr>
                <w:rFonts w:ascii="宋体" w:hAnsi="宋体" w:cs="宋体"/>
                <w:color w:val="auto"/>
                <w:szCs w:val="21"/>
                <w:highlight w:val="none"/>
                <w:lang w:bidi="ar"/>
              </w:rPr>
            </w:pPr>
            <w:r>
              <w:rPr>
                <w:rFonts w:hint="eastAsia" w:ascii="宋体" w:hAnsi="宋体" w:cs="宋体"/>
                <w:color w:val="auto"/>
                <w:szCs w:val="21"/>
                <w:highlight w:val="none"/>
                <w:lang w:bidi="ar"/>
              </w:rPr>
              <w:t>反光背心</w:t>
            </w:r>
          </w:p>
        </w:tc>
        <w:tc>
          <w:tcPr>
            <w:tcW w:w="3556" w:type="dxa"/>
            <w:noWrap/>
            <w:vAlign w:val="center"/>
          </w:tcPr>
          <w:p w14:paraId="3A937A67">
            <w:pPr>
              <w:widowControl/>
              <w:spacing w:line="360" w:lineRule="exact"/>
              <w:jc w:val="center"/>
              <w:rPr>
                <w:rFonts w:ascii="宋体" w:hAnsi="宋体" w:cs="宋体"/>
                <w:color w:val="auto"/>
                <w:szCs w:val="21"/>
                <w:highlight w:val="none"/>
                <w:lang w:bidi="ar"/>
              </w:rPr>
            </w:pPr>
            <w:r>
              <w:rPr>
                <w:rFonts w:hint="eastAsia" w:ascii="宋体" w:hAnsi="宋体" w:cs="宋体"/>
                <w:color w:val="auto"/>
                <w:szCs w:val="21"/>
                <w:highlight w:val="none"/>
                <w:lang w:bidi="ar"/>
              </w:rPr>
              <w:t>工业</w:t>
            </w:r>
          </w:p>
        </w:tc>
      </w:tr>
      <w:tr w14:paraId="66812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60" w:type="dxa"/>
            <w:shd w:val="clear" w:color="auto" w:fill="FFFFFF"/>
            <w:noWrap w:val="0"/>
            <w:vAlign w:val="center"/>
          </w:tcPr>
          <w:p w14:paraId="30518048">
            <w:pPr>
              <w:widowControl/>
              <w:spacing w:line="360" w:lineRule="exact"/>
              <w:jc w:val="center"/>
              <w:rPr>
                <w:rFonts w:ascii="宋体" w:hAnsi="宋体" w:cs="宋体"/>
                <w:color w:val="auto"/>
                <w:szCs w:val="21"/>
                <w:highlight w:val="none"/>
                <w:lang w:bidi="ar"/>
              </w:rPr>
            </w:pPr>
            <w:r>
              <w:rPr>
                <w:rFonts w:hint="eastAsia" w:ascii="宋体" w:hAnsi="宋体" w:cs="宋体"/>
                <w:color w:val="auto"/>
                <w:szCs w:val="21"/>
                <w:highlight w:val="none"/>
                <w:lang w:bidi="ar"/>
              </w:rPr>
              <w:t>18</w:t>
            </w:r>
          </w:p>
        </w:tc>
        <w:tc>
          <w:tcPr>
            <w:tcW w:w="3092" w:type="dxa"/>
            <w:shd w:val="clear" w:color="auto" w:fill="FFFFFF"/>
            <w:noWrap w:val="0"/>
            <w:vAlign w:val="center"/>
          </w:tcPr>
          <w:p w14:paraId="2BBD1A35">
            <w:pPr>
              <w:widowControl/>
              <w:spacing w:line="360" w:lineRule="exact"/>
              <w:jc w:val="center"/>
              <w:rPr>
                <w:rFonts w:ascii="宋体" w:hAnsi="宋体" w:cs="宋体"/>
                <w:color w:val="auto"/>
                <w:szCs w:val="21"/>
                <w:highlight w:val="none"/>
                <w:lang w:bidi="ar"/>
              </w:rPr>
            </w:pPr>
            <w:r>
              <w:rPr>
                <w:rFonts w:hint="eastAsia" w:ascii="宋体" w:hAnsi="宋体" w:cs="宋体"/>
                <w:color w:val="auto"/>
                <w:szCs w:val="21"/>
                <w:highlight w:val="none"/>
                <w:lang w:bidi="ar"/>
              </w:rPr>
              <w:t>指挥棒</w:t>
            </w:r>
          </w:p>
        </w:tc>
        <w:tc>
          <w:tcPr>
            <w:tcW w:w="3556" w:type="dxa"/>
            <w:noWrap/>
            <w:vAlign w:val="center"/>
          </w:tcPr>
          <w:p w14:paraId="5D19C9D2">
            <w:pPr>
              <w:widowControl/>
              <w:spacing w:line="360" w:lineRule="exact"/>
              <w:jc w:val="center"/>
              <w:rPr>
                <w:rFonts w:ascii="宋体" w:hAnsi="宋体" w:cs="宋体"/>
                <w:color w:val="auto"/>
                <w:szCs w:val="21"/>
                <w:highlight w:val="none"/>
                <w:lang w:bidi="ar"/>
              </w:rPr>
            </w:pPr>
            <w:r>
              <w:rPr>
                <w:rFonts w:hint="eastAsia" w:ascii="宋体" w:hAnsi="宋体" w:cs="宋体"/>
                <w:color w:val="auto"/>
                <w:szCs w:val="21"/>
                <w:highlight w:val="none"/>
                <w:lang w:bidi="ar"/>
              </w:rPr>
              <w:t>工业</w:t>
            </w:r>
          </w:p>
        </w:tc>
      </w:tr>
      <w:tr w14:paraId="0D941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60" w:type="dxa"/>
            <w:shd w:val="clear" w:color="auto" w:fill="FFFFFF"/>
            <w:noWrap w:val="0"/>
            <w:vAlign w:val="center"/>
          </w:tcPr>
          <w:p w14:paraId="134717D1">
            <w:pPr>
              <w:widowControl/>
              <w:spacing w:line="360" w:lineRule="exact"/>
              <w:jc w:val="center"/>
              <w:rPr>
                <w:rFonts w:ascii="宋体" w:hAnsi="宋体" w:cs="宋体"/>
                <w:color w:val="auto"/>
                <w:szCs w:val="21"/>
                <w:highlight w:val="none"/>
                <w:lang w:bidi="ar"/>
              </w:rPr>
            </w:pPr>
            <w:r>
              <w:rPr>
                <w:rFonts w:hint="eastAsia" w:ascii="宋体" w:hAnsi="宋体" w:cs="宋体"/>
                <w:color w:val="auto"/>
                <w:szCs w:val="21"/>
                <w:highlight w:val="none"/>
                <w:lang w:bidi="ar"/>
              </w:rPr>
              <w:t>19</w:t>
            </w:r>
          </w:p>
        </w:tc>
        <w:tc>
          <w:tcPr>
            <w:tcW w:w="3092" w:type="dxa"/>
            <w:shd w:val="clear" w:color="auto" w:fill="FFFFFF"/>
            <w:noWrap w:val="0"/>
            <w:vAlign w:val="center"/>
          </w:tcPr>
          <w:p w14:paraId="4E7E4383">
            <w:pPr>
              <w:widowControl/>
              <w:spacing w:line="360" w:lineRule="exact"/>
              <w:jc w:val="center"/>
              <w:rPr>
                <w:rFonts w:ascii="宋体" w:hAnsi="宋体" w:cs="宋体"/>
                <w:color w:val="auto"/>
                <w:szCs w:val="21"/>
                <w:highlight w:val="none"/>
                <w:lang w:bidi="ar"/>
              </w:rPr>
            </w:pPr>
            <w:r>
              <w:rPr>
                <w:rFonts w:hint="eastAsia" w:ascii="宋体" w:hAnsi="宋体" w:cs="宋体"/>
                <w:color w:val="auto"/>
                <w:szCs w:val="21"/>
                <w:highlight w:val="none"/>
                <w:lang w:bidi="ar"/>
              </w:rPr>
              <w:t>宣传喇叭</w:t>
            </w:r>
          </w:p>
        </w:tc>
        <w:tc>
          <w:tcPr>
            <w:tcW w:w="3556" w:type="dxa"/>
            <w:noWrap/>
            <w:vAlign w:val="center"/>
          </w:tcPr>
          <w:p w14:paraId="4376AF88">
            <w:pPr>
              <w:widowControl/>
              <w:spacing w:line="360" w:lineRule="exact"/>
              <w:jc w:val="center"/>
              <w:rPr>
                <w:rFonts w:ascii="宋体" w:hAnsi="宋体" w:cs="宋体"/>
                <w:color w:val="auto"/>
                <w:szCs w:val="21"/>
                <w:highlight w:val="none"/>
                <w:lang w:bidi="ar"/>
              </w:rPr>
            </w:pPr>
            <w:r>
              <w:rPr>
                <w:rFonts w:hint="eastAsia" w:ascii="宋体" w:hAnsi="宋体" w:cs="宋体"/>
                <w:color w:val="auto"/>
                <w:szCs w:val="21"/>
                <w:highlight w:val="none"/>
                <w:lang w:bidi="ar"/>
              </w:rPr>
              <w:t>工业</w:t>
            </w:r>
          </w:p>
        </w:tc>
      </w:tr>
      <w:tr w14:paraId="6DB93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7608" w:type="dxa"/>
            <w:gridSpan w:val="3"/>
            <w:shd w:val="clear" w:color="auto" w:fill="FFFFFF"/>
            <w:noWrap w:val="0"/>
            <w:vAlign w:val="center"/>
          </w:tcPr>
          <w:p w14:paraId="41BE7076">
            <w:pPr>
              <w:widowControl/>
              <w:jc w:val="center"/>
              <w:rPr>
                <w:rFonts w:ascii="宋体" w:hAnsi="宋体" w:cs="宋体"/>
                <w:color w:val="auto"/>
                <w:szCs w:val="21"/>
                <w:highlight w:val="none"/>
              </w:rPr>
            </w:pPr>
            <w:r>
              <w:rPr>
                <w:rFonts w:hint="eastAsia" w:ascii="宋体" w:hAnsi="宋体" w:cs="宋体"/>
                <w:color w:val="auto"/>
                <w:szCs w:val="21"/>
                <w:highlight w:val="none"/>
              </w:rPr>
              <w:t>四、智能前端配套设备</w:t>
            </w:r>
          </w:p>
        </w:tc>
      </w:tr>
      <w:tr w14:paraId="605D9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60" w:type="dxa"/>
            <w:shd w:val="clear" w:color="auto" w:fill="FFFFFF"/>
            <w:noWrap w:val="0"/>
            <w:vAlign w:val="center"/>
          </w:tcPr>
          <w:p w14:paraId="7BD2F59F">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20</w:t>
            </w:r>
          </w:p>
        </w:tc>
        <w:tc>
          <w:tcPr>
            <w:tcW w:w="3092" w:type="dxa"/>
            <w:shd w:val="clear" w:color="auto" w:fill="FFFFFF"/>
            <w:noWrap w:val="0"/>
            <w:vAlign w:val="center"/>
          </w:tcPr>
          <w:p w14:paraId="332EC9F0">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val="en-US" w:eastAsia="zh-CN" w:bidi="ar"/>
              </w:rPr>
              <w:t>便携式</w:t>
            </w:r>
            <w:r>
              <w:rPr>
                <w:rFonts w:hint="eastAsia" w:ascii="宋体" w:hAnsi="宋体" w:cs="宋体"/>
                <w:color w:val="auto"/>
                <w:szCs w:val="21"/>
                <w:highlight w:val="none"/>
                <w:lang w:bidi="ar"/>
              </w:rPr>
              <w:t>布控球</w:t>
            </w:r>
          </w:p>
        </w:tc>
        <w:tc>
          <w:tcPr>
            <w:tcW w:w="3556" w:type="dxa"/>
            <w:noWrap/>
            <w:vAlign w:val="center"/>
          </w:tcPr>
          <w:p w14:paraId="1D188ACF">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工业</w:t>
            </w:r>
          </w:p>
        </w:tc>
      </w:tr>
      <w:tr w14:paraId="1ED35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60" w:type="dxa"/>
            <w:shd w:val="clear" w:color="auto" w:fill="FFFFFF"/>
            <w:noWrap w:val="0"/>
            <w:vAlign w:val="center"/>
          </w:tcPr>
          <w:p w14:paraId="2DCD79D4">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21</w:t>
            </w:r>
          </w:p>
        </w:tc>
        <w:tc>
          <w:tcPr>
            <w:tcW w:w="3092" w:type="dxa"/>
            <w:shd w:val="clear" w:color="auto" w:fill="FFFFFF"/>
            <w:noWrap w:val="0"/>
            <w:vAlign w:val="center"/>
          </w:tcPr>
          <w:p w14:paraId="7388D564">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枪球一体机</w:t>
            </w:r>
          </w:p>
        </w:tc>
        <w:tc>
          <w:tcPr>
            <w:tcW w:w="3556" w:type="dxa"/>
            <w:noWrap/>
            <w:vAlign w:val="center"/>
          </w:tcPr>
          <w:p w14:paraId="1301A55B">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工业</w:t>
            </w:r>
          </w:p>
        </w:tc>
      </w:tr>
      <w:tr w14:paraId="58AC5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60" w:type="dxa"/>
            <w:shd w:val="clear" w:color="auto" w:fill="FFFFFF"/>
            <w:noWrap w:val="0"/>
            <w:vAlign w:val="center"/>
          </w:tcPr>
          <w:p w14:paraId="09BBC7EF">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22</w:t>
            </w:r>
          </w:p>
        </w:tc>
        <w:tc>
          <w:tcPr>
            <w:tcW w:w="3092" w:type="dxa"/>
            <w:shd w:val="clear" w:color="auto" w:fill="FFFFFF"/>
            <w:noWrap w:val="0"/>
            <w:vAlign w:val="center"/>
          </w:tcPr>
          <w:p w14:paraId="6B416DDF">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立杆杆件、预埋件、基础</w:t>
            </w:r>
          </w:p>
        </w:tc>
        <w:tc>
          <w:tcPr>
            <w:tcW w:w="3556" w:type="dxa"/>
            <w:noWrap/>
            <w:vAlign w:val="center"/>
          </w:tcPr>
          <w:p w14:paraId="32620DB3">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建筑业</w:t>
            </w:r>
          </w:p>
        </w:tc>
      </w:tr>
      <w:tr w14:paraId="3EF36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60" w:type="dxa"/>
            <w:shd w:val="clear" w:color="auto" w:fill="FFFFFF"/>
            <w:noWrap w:val="0"/>
            <w:vAlign w:val="center"/>
          </w:tcPr>
          <w:p w14:paraId="4760D01F">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23</w:t>
            </w:r>
          </w:p>
        </w:tc>
        <w:tc>
          <w:tcPr>
            <w:tcW w:w="3092" w:type="dxa"/>
            <w:shd w:val="clear" w:color="auto" w:fill="FFFFFF"/>
            <w:noWrap w:val="0"/>
            <w:vAlign w:val="center"/>
          </w:tcPr>
          <w:p w14:paraId="7AE57082">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设备箱及配套</w:t>
            </w:r>
          </w:p>
        </w:tc>
        <w:tc>
          <w:tcPr>
            <w:tcW w:w="3556" w:type="dxa"/>
            <w:noWrap/>
            <w:vAlign w:val="center"/>
          </w:tcPr>
          <w:p w14:paraId="28DD7D94">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工业</w:t>
            </w:r>
          </w:p>
        </w:tc>
      </w:tr>
      <w:tr w14:paraId="5820A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60" w:type="dxa"/>
            <w:shd w:val="clear" w:color="auto" w:fill="FFFFFF"/>
            <w:noWrap w:val="0"/>
            <w:vAlign w:val="center"/>
          </w:tcPr>
          <w:p w14:paraId="57A54202">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24</w:t>
            </w:r>
          </w:p>
        </w:tc>
        <w:tc>
          <w:tcPr>
            <w:tcW w:w="3092" w:type="dxa"/>
            <w:shd w:val="clear" w:color="auto" w:fill="FFFFFF"/>
            <w:noWrap w:val="0"/>
            <w:vAlign w:val="center"/>
          </w:tcPr>
          <w:p w14:paraId="0E3B3F2D">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电源线</w:t>
            </w:r>
          </w:p>
        </w:tc>
        <w:tc>
          <w:tcPr>
            <w:tcW w:w="3556" w:type="dxa"/>
            <w:noWrap/>
            <w:vAlign w:val="center"/>
          </w:tcPr>
          <w:p w14:paraId="53E8413F">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工业</w:t>
            </w:r>
          </w:p>
        </w:tc>
      </w:tr>
      <w:tr w14:paraId="02274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60" w:type="dxa"/>
            <w:shd w:val="clear" w:color="auto" w:fill="FFFFFF"/>
            <w:noWrap w:val="0"/>
            <w:vAlign w:val="center"/>
          </w:tcPr>
          <w:p w14:paraId="46DCF5D6">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25</w:t>
            </w:r>
          </w:p>
        </w:tc>
        <w:tc>
          <w:tcPr>
            <w:tcW w:w="3092" w:type="dxa"/>
            <w:shd w:val="clear" w:color="auto" w:fill="FFFFFF"/>
            <w:noWrap w:val="0"/>
            <w:vAlign w:val="center"/>
          </w:tcPr>
          <w:p w14:paraId="1E862A4A">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网线</w:t>
            </w:r>
          </w:p>
        </w:tc>
        <w:tc>
          <w:tcPr>
            <w:tcW w:w="3556" w:type="dxa"/>
            <w:noWrap/>
            <w:vAlign w:val="center"/>
          </w:tcPr>
          <w:p w14:paraId="41283DD3">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工业</w:t>
            </w:r>
          </w:p>
        </w:tc>
      </w:tr>
      <w:tr w14:paraId="1A710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60" w:type="dxa"/>
            <w:shd w:val="clear" w:color="auto" w:fill="FFFFFF"/>
            <w:noWrap w:val="0"/>
            <w:vAlign w:val="center"/>
          </w:tcPr>
          <w:p w14:paraId="1281A8A1">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26</w:t>
            </w:r>
          </w:p>
        </w:tc>
        <w:tc>
          <w:tcPr>
            <w:tcW w:w="3092" w:type="dxa"/>
            <w:shd w:val="clear" w:color="auto" w:fill="FFFFFF"/>
            <w:noWrap w:val="0"/>
            <w:vAlign w:val="center"/>
          </w:tcPr>
          <w:p w14:paraId="4327405E">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挑臂</w:t>
            </w:r>
          </w:p>
        </w:tc>
        <w:tc>
          <w:tcPr>
            <w:tcW w:w="3556" w:type="dxa"/>
            <w:noWrap/>
            <w:vAlign w:val="center"/>
          </w:tcPr>
          <w:p w14:paraId="7F720AB4">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工业</w:t>
            </w:r>
          </w:p>
        </w:tc>
      </w:tr>
      <w:tr w14:paraId="29D2B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60" w:type="dxa"/>
            <w:shd w:val="clear" w:color="auto" w:fill="FFFFFF"/>
            <w:noWrap w:val="0"/>
            <w:vAlign w:val="center"/>
          </w:tcPr>
          <w:p w14:paraId="6E3E8ECA">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27</w:t>
            </w:r>
          </w:p>
        </w:tc>
        <w:tc>
          <w:tcPr>
            <w:tcW w:w="3092" w:type="dxa"/>
            <w:shd w:val="clear" w:color="auto" w:fill="FFFFFF"/>
            <w:noWrap w:val="0"/>
            <w:vAlign w:val="center"/>
          </w:tcPr>
          <w:p w14:paraId="4D4D2D2F">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辅材</w:t>
            </w:r>
          </w:p>
        </w:tc>
        <w:tc>
          <w:tcPr>
            <w:tcW w:w="3556" w:type="dxa"/>
            <w:noWrap/>
            <w:vAlign w:val="center"/>
          </w:tcPr>
          <w:p w14:paraId="1796B576">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工业</w:t>
            </w:r>
          </w:p>
        </w:tc>
      </w:tr>
      <w:tr w14:paraId="645AE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7608" w:type="dxa"/>
            <w:gridSpan w:val="3"/>
            <w:shd w:val="clear" w:color="auto" w:fill="FFFFFF"/>
            <w:noWrap w:val="0"/>
            <w:vAlign w:val="center"/>
          </w:tcPr>
          <w:p w14:paraId="602B3141">
            <w:pPr>
              <w:widowControl/>
              <w:jc w:val="center"/>
              <w:rPr>
                <w:rFonts w:ascii="宋体" w:hAnsi="宋体" w:cs="宋体"/>
                <w:color w:val="auto"/>
                <w:szCs w:val="21"/>
                <w:highlight w:val="none"/>
              </w:rPr>
            </w:pPr>
            <w:r>
              <w:rPr>
                <w:rFonts w:hint="eastAsia" w:ascii="宋体" w:hAnsi="宋体" w:cs="宋体"/>
                <w:color w:val="auto"/>
                <w:szCs w:val="21"/>
                <w:highlight w:val="none"/>
              </w:rPr>
              <w:t>五、后端设备</w:t>
            </w:r>
          </w:p>
        </w:tc>
      </w:tr>
      <w:tr w14:paraId="3A939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60" w:type="dxa"/>
            <w:shd w:val="clear" w:color="auto" w:fill="FFFFFF"/>
            <w:noWrap w:val="0"/>
            <w:vAlign w:val="center"/>
          </w:tcPr>
          <w:p w14:paraId="006305FC">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28</w:t>
            </w:r>
          </w:p>
        </w:tc>
        <w:tc>
          <w:tcPr>
            <w:tcW w:w="3092" w:type="dxa"/>
            <w:shd w:val="clear" w:color="auto" w:fill="FFFFFF"/>
            <w:noWrap w:val="0"/>
            <w:vAlign w:val="center"/>
          </w:tcPr>
          <w:p w14:paraId="1F7ACDC5">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AI融合巡检一体化系统</w:t>
            </w:r>
          </w:p>
        </w:tc>
        <w:tc>
          <w:tcPr>
            <w:tcW w:w="3556" w:type="dxa"/>
            <w:noWrap/>
            <w:vAlign w:val="center"/>
          </w:tcPr>
          <w:p w14:paraId="2251F689">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工业</w:t>
            </w:r>
          </w:p>
        </w:tc>
      </w:tr>
      <w:tr w14:paraId="5E265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60" w:type="dxa"/>
            <w:shd w:val="clear" w:color="auto" w:fill="FFFFFF"/>
            <w:noWrap w:val="0"/>
            <w:vAlign w:val="center"/>
          </w:tcPr>
          <w:p w14:paraId="21B5A059">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29</w:t>
            </w:r>
          </w:p>
        </w:tc>
        <w:tc>
          <w:tcPr>
            <w:tcW w:w="3092" w:type="dxa"/>
            <w:shd w:val="clear" w:color="auto" w:fill="FFFFFF"/>
            <w:noWrap w:val="0"/>
            <w:vAlign w:val="center"/>
          </w:tcPr>
          <w:p w14:paraId="2EB9E87F">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安全网关</w:t>
            </w:r>
          </w:p>
        </w:tc>
        <w:tc>
          <w:tcPr>
            <w:tcW w:w="3556" w:type="dxa"/>
            <w:noWrap/>
            <w:vAlign w:val="center"/>
          </w:tcPr>
          <w:p w14:paraId="5E4B23FD">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工业</w:t>
            </w:r>
          </w:p>
        </w:tc>
      </w:tr>
      <w:tr w14:paraId="20D8B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60" w:type="dxa"/>
            <w:shd w:val="clear" w:color="auto" w:fill="FFFFFF"/>
            <w:noWrap w:val="0"/>
            <w:vAlign w:val="center"/>
          </w:tcPr>
          <w:p w14:paraId="0DBA4F3F">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30</w:t>
            </w:r>
          </w:p>
        </w:tc>
        <w:tc>
          <w:tcPr>
            <w:tcW w:w="3092" w:type="dxa"/>
            <w:shd w:val="clear" w:color="auto" w:fill="FFFFFF"/>
            <w:noWrap w:val="0"/>
            <w:vAlign w:val="center"/>
          </w:tcPr>
          <w:p w14:paraId="7B4AF587">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交换机</w:t>
            </w:r>
          </w:p>
        </w:tc>
        <w:tc>
          <w:tcPr>
            <w:tcW w:w="3556" w:type="dxa"/>
            <w:noWrap/>
            <w:vAlign w:val="center"/>
          </w:tcPr>
          <w:p w14:paraId="0C0A91BE">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工业</w:t>
            </w:r>
          </w:p>
        </w:tc>
      </w:tr>
      <w:tr w14:paraId="58A28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7608" w:type="dxa"/>
            <w:gridSpan w:val="3"/>
            <w:shd w:val="clear" w:color="auto" w:fill="FFFFFF"/>
            <w:noWrap w:val="0"/>
            <w:vAlign w:val="center"/>
          </w:tcPr>
          <w:p w14:paraId="42677E72">
            <w:pPr>
              <w:widowControl/>
              <w:jc w:val="center"/>
              <w:rPr>
                <w:rFonts w:ascii="宋体" w:hAnsi="宋体" w:cs="宋体"/>
                <w:color w:val="auto"/>
                <w:szCs w:val="21"/>
                <w:highlight w:val="none"/>
              </w:rPr>
            </w:pPr>
            <w:r>
              <w:rPr>
                <w:rFonts w:hint="eastAsia" w:ascii="宋体" w:hAnsi="宋体" w:cs="宋体"/>
                <w:color w:val="auto"/>
                <w:szCs w:val="21"/>
                <w:highlight w:val="none"/>
              </w:rPr>
              <w:t>六、施工集成</w:t>
            </w:r>
          </w:p>
        </w:tc>
      </w:tr>
      <w:tr w14:paraId="6259A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60" w:type="dxa"/>
            <w:shd w:val="clear" w:color="auto" w:fill="FFFFFF"/>
            <w:noWrap w:val="0"/>
            <w:vAlign w:val="center"/>
          </w:tcPr>
          <w:p w14:paraId="6DC24811">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31</w:t>
            </w:r>
          </w:p>
        </w:tc>
        <w:tc>
          <w:tcPr>
            <w:tcW w:w="3092" w:type="dxa"/>
            <w:shd w:val="clear" w:color="auto" w:fill="FFFFFF"/>
            <w:noWrap w:val="0"/>
            <w:vAlign w:val="center"/>
          </w:tcPr>
          <w:p w14:paraId="5C503EE3">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施工集成</w:t>
            </w:r>
          </w:p>
        </w:tc>
        <w:tc>
          <w:tcPr>
            <w:tcW w:w="3556" w:type="dxa"/>
            <w:noWrap/>
            <w:vAlign w:val="center"/>
          </w:tcPr>
          <w:p w14:paraId="5CB5A70F">
            <w:pPr>
              <w:widowControl/>
              <w:jc w:val="center"/>
              <w:rPr>
                <w:rFonts w:ascii="宋体" w:hAnsi="宋体" w:cs="宋体"/>
                <w:color w:val="auto"/>
                <w:szCs w:val="21"/>
                <w:highlight w:val="none"/>
              </w:rPr>
            </w:pPr>
            <w:r>
              <w:rPr>
                <w:rFonts w:hint="eastAsia" w:ascii="宋体" w:hAnsi="宋体" w:cs="宋体"/>
                <w:color w:val="auto"/>
                <w:szCs w:val="21"/>
                <w:highlight w:val="none"/>
              </w:rPr>
              <w:t>建筑业</w:t>
            </w:r>
          </w:p>
        </w:tc>
      </w:tr>
    </w:tbl>
    <w:p w14:paraId="2D067720">
      <w:pPr>
        <w:spacing w:line="480" w:lineRule="exact"/>
        <w:ind w:firstLine="482"/>
        <w:rPr>
          <w:rFonts w:ascii="宋体" w:hAnsi="宋体" w:cs="宋体"/>
          <w:b/>
          <w:bCs/>
          <w:color w:val="auto"/>
          <w:sz w:val="24"/>
          <w:szCs w:val="24"/>
          <w:highlight w:val="none"/>
        </w:rPr>
      </w:pPr>
    </w:p>
    <w:p w14:paraId="4FB920B1">
      <w:pPr>
        <w:spacing w:line="480" w:lineRule="exact"/>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一、项目概况</w:t>
      </w:r>
    </w:p>
    <w:p w14:paraId="76E1D0D6">
      <w:pPr>
        <w:pStyle w:val="518"/>
        <w:tabs>
          <w:tab w:val="left" w:pos="753"/>
        </w:tabs>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1、项目名称：泗洪县城区学校门口交通安全设施建设项目</w:t>
      </w:r>
    </w:p>
    <w:p w14:paraId="0214022F">
      <w:pPr>
        <w:pStyle w:val="518"/>
        <w:tabs>
          <w:tab w:val="left" w:pos="753"/>
        </w:tabs>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主要内容为：为了进一步强化校园及周边交通安全管理和秩序维护，泗洪县教育局拟进行城区学校门口交通安全设施建设，主要内容包括路段标识标牌标线、隔离减速装置、护学岗配套物资及智能AI巡查系统设备、智能前端配套设备、后端平台设备等建设内容。</w:t>
      </w:r>
    </w:p>
    <w:p w14:paraId="381390C4">
      <w:pPr>
        <w:pStyle w:val="518"/>
        <w:tabs>
          <w:tab w:val="left" w:pos="753"/>
        </w:tabs>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3、供货地点：采购人指定地点。</w:t>
      </w:r>
    </w:p>
    <w:p w14:paraId="6044B5B1">
      <w:pPr>
        <w:pStyle w:val="518"/>
        <w:tabs>
          <w:tab w:val="left" w:pos="753"/>
        </w:tabs>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4、合同履行期限：合同签订后90日历天内安装完毕并交付使用。</w:t>
      </w:r>
    </w:p>
    <w:p w14:paraId="78954112">
      <w:pPr>
        <w:pStyle w:val="518"/>
        <w:tabs>
          <w:tab w:val="left" w:pos="753"/>
        </w:tabs>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5、运行维护期：3年（自验收合格之日起算）。</w:t>
      </w:r>
    </w:p>
    <w:p w14:paraId="61724A78">
      <w:pPr>
        <w:pStyle w:val="518"/>
        <w:tabs>
          <w:tab w:val="left" w:pos="753"/>
        </w:tabs>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6、质量：合格，提供的产品性能及质量有国家标准的应符合国家标准。无国家标准的应符合行业标准或企业标准，并满足招标文件要求，实现投标文件承诺条款。</w:t>
      </w:r>
    </w:p>
    <w:p w14:paraId="2A64D43B">
      <w:pPr>
        <w:pStyle w:val="14"/>
        <w:spacing w:line="480" w:lineRule="exact"/>
        <w:ind w:firstLine="482"/>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二、付款方式</w:t>
      </w:r>
    </w:p>
    <w:p w14:paraId="3ADCF67A">
      <w:pPr>
        <w:pStyle w:val="518"/>
        <w:tabs>
          <w:tab w:val="left" w:pos="753"/>
        </w:tabs>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预付款：</w:t>
      </w:r>
      <w:r>
        <w:rPr>
          <w:rFonts w:hint="eastAsia" w:ascii="宋体" w:hAnsi="宋体" w:cs="宋体"/>
          <w:color w:val="auto"/>
          <w:sz w:val="24"/>
          <w:szCs w:val="24"/>
          <w:highlight w:val="none"/>
          <w:lang w:val="zh-CN"/>
        </w:rPr>
        <w:t>签订合同后，自收到</w:t>
      </w:r>
      <w:r>
        <w:rPr>
          <w:rFonts w:hint="eastAsia" w:ascii="宋体" w:hAnsi="宋体" w:cs="宋体"/>
          <w:color w:val="auto"/>
          <w:sz w:val="24"/>
          <w:highlight w:val="none"/>
        </w:rPr>
        <w:t>供应商</w:t>
      </w:r>
      <w:r>
        <w:rPr>
          <w:rFonts w:hint="eastAsia" w:ascii="宋体" w:hAnsi="宋体" w:cs="宋体"/>
          <w:color w:val="auto"/>
          <w:sz w:val="24"/>
          <w:szCs w:val="24"/>
          <w:highlight w:val="none"/>
          <w:lang w:val="zh-CN"/>
        </w:rPr>
        <w:t>发票后10个工作日内</w:t>
      </w:r>
      <w:r>
        <w:rPr>
          <w:rFonts w:hint="eastAsia" w:ascii="宋体" w:hAnsi="宋体" w:cs="宋体"/>
          <w:color w:val="auto"/>
          <w:sz w:val="24"/>
          <w:szCs w:val="24"/>
          <w:highlight w:val="none"/>
        </w:rPr>
        <w:t>采购人</w:t>
      </w:r>
      <w:r>
        <w:rPr>
          <w:rFonts w:hint="eastAsia" w:ascii="宋体" w:hAnsi="宋体" w:cs="宋体"/>
          <w:color w:val="auto"/>
          <w:sz w:val="24"/>
          <w:szCs w:val="24"/>
          <w:highlight w:val="none"/>
          <w:lang w:val="zh-CN"/>
        </w:rPr>
        <w:t>支付合同总价款的30%；</w:t>
      </w:r>
      <w:r>
        <w:rPr>
          <w:rFonts w:hint="eastAsia" w:ascii="宋体" w:hAnsi="宋体" w:cs="宋体"/>
          <w:color w:val="auto"/>
          <w:sz w:val="24"/>
          <w:szCs w:val="24"/>
          <w:highlight w:val="none"/>
        </w:rPr>
        <w:t xml:space="preserve"> </w:t>
      </w:r>
    </w:p>
    <w:p w14:paraId="32440813">
      <w:pPr>
        <w:pStyle w:val="518"/>
        <w:tabs>
          <w:tab w:val="left" w:pos="753"/>
        </w:tabs>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进度款：全部设备安装调试完毕经验收合格且收到供应商发票后10个工作日内付至合同价款的100%。</w:t>
      </w:r>
    </w:p>
    <w:p w14:paraId="78315CB1">
      <w:pPr>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备注：</w:t>
      </w:r>
    </w:p>
    <w:p w14:paraId="68A86A19">
      <w:pPr>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（1）可以采用数字人民币支付；</w:t>
      </w:r>
    </w:p>
    <w:p w14:paraId="7B60F7F1">
      <w:pPr>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（2）资金支付的时间：收到供应商发票10个工作日内；</w:t>
      </w:r>
    </w:p>
    <w:p w14:paraId="29A3C628">
      <w:pPr>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（3）资金支付的条件：满足相应阶段的要求且收到供应商发票；</w:t>
      </w:r>
    </w:p>
    <w:p w14:paraId="0628AE93">
      <w:pPr>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w:t>
      </w:r>
      <w:r>
        <w:rPr>
          <w:rFonts w:hint="eastAsia" w:ascii="Times New Roman" w:hAnsi="Times New Roman"/>
          <w:color w:val="auto"/>
          <w:sz w:val="24"/>
          <w:szCs w:val="24"/>
          <w:highlight w:val="none"/>
        </w:rPr>
        <w:t>4</w:t>
      </w:r>
      <w:r>
        <w:rPr>
          <w:rFonts w:ascii="Times New Roman" w:hAnsi="Times New Roman"/>
          <w:color w:val="auto"/>
          <w:sz w:val="24"/>
          <w:szCs w:val="24"/>
          <w:highlight w:val="none"/>
        </w:rPr>
        <w:t>）在签订合同时，供应商明确表示无需预付款或者主动要求降低预付款比例的，采购人可不适用前述规定。</w:t>
      </w:r>
    </w:p>
    <w:p w14:paraId="1ED5048D">
      <w:pPr>
        <w:pStyle w:val="518"/>
        <w:tabs>
          <w:tab w:val="left" w:pos="753"/>
        </w:tabs>
        <w:spacing w:line="480" w:lineRule="exact"/>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三、政府采购中实施本国产品标准及相关政策</w:t>
      </w:r>
    </w:p>
    <w:p w14:paraId="0C77993A">
      <w:pPr>
        <w:pStyle w:val="518"/>
        <w:tabs>
          <w:tab w:val="left" w:pos="753"/>
        </w:tabs>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1、本项目对采购本国产品给予政策支持，具体内容见招标文件“第三部分 资格审查及评标办法”。</w:t>
      </w:r>
    </w:p>
    <w:p w14:paraId="269B37F4">
      <w:pPr>
        <w:pStyle w:val="518"/>
        <w:tabs>
          <w:tab w:val="left" w:pos="753"/>
        </w:tabs>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910984F">
      <w:pPr>
        <w:pStyle w:val="518"/>
        <w:tabs>
          <w:tab w:val="left" w:pos="753"/>
        </w:tabs>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BB0AB57">
      <w:pPr>
        <w:pStyle w:val="518"/>
        <w:tabs>
          <w:tab w:val="left" w:pos="753"/>
        </w:tabs>
        <w:spacing w:line="480" w:lineRule="exact"/>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四、采购清单及技术参数要求</w:t>
      </w:r>
    </w:p>
    <w:p w14:paraId="2D0A86E1">
      <w:pPr>
        <w:pStyle w:val="518"/>
        <w:tabs>
          <w:tab w:val="left" w:pos="753"/>
        </w:tabs>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（一）采购清单及技术参数要求</w:t>
      </w:r>
    </w:p>
    <w:p w14:paraId="48CA89B7">
      <w:pPr>
        <w:rPr>
          <w:color w:val="auto"/>
          <w:highlight w:val="none"/>
        </w:rPr>
      </w:pPr>
    </w:p>
    <w:tbl>
      <w:tblPr>
        <w:tblStyle w:val="32"/>
        <w:tblW w:w="5976" w:type="pct"/>
        <w:tblInd w:w="-683" w:type="dxa"/>
        <w:tblLayout w:type="fixed"/>
        <w:tblCellMar>
          <w:top w:w="0" w:type="dxa"/>
          <w:left w:w="108" w:type="dxa"/>
          <w:bottom w:w="0" w:type="dxa"/>
          <w:right w:w="108" w:type="dxa"/>
        </w:tblCellMar>
      </w:tblPr>
      <w:tblGrid>
        <w:gridCol w:w="627"/>
        <w:gridCol w:w="1240"/>
        <w:gridCol w:w="5633"/>
        <w:gridCol w:w="1065"/>
        <w:gridCol w:w="600"/>
        <w:gridCol w:w="1020"/>
      </w:tblGrid>
      <w:tr w14:paraId="081C8109">
        <w:tblPrEx>
          <w:tblCellMar>
            <w:top w:w="0" w:type="dxa"/>
            <w:left w:w="108" w:type="dxa"/>
            <w:bottom w:w="0" w:type="dxa"/>
            <w:right w:w="108" w:type="dxa"/>
          </w:tblCellMar>
        </w:tblPrEx>
        <w:trPr>
          <w:trHeight w:val="360" w:hRule="atLeast"/>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224A5910">
            <w:pPr>
              <w:widowControl/>
              <w:spacing w:line="360" w:lineRule="exact"/>
              <w:jc w:val="center"/>
              <w:rPr>
                <w:rFonts w:ascii="宋体" w:hAnsi="宋体" w:cs="宋体"/>
                <w:b/>
                <w:bCs/>
                <w:color w:val="auto"/>
                <w:szCs w:val="21"/>
                <w:highlight w:val="none"/>
              </w:rPr>
            </w:pPr>
            <w:r>
              <w:rPr>
                <w:rFonts w:hint="eastAsia" w:ascii="宋体" w:hAnsi="宋体" w:cs="宋体"/>
                <w:b/>
                <w:bCs/>
                <w:color w:val="auto"/>
                <w:szCs w:val="21"/>
                <w:highlight w:val="none"/>
                <w:lang w:bidi="ar"/>
              </w:rPr>
              <w:t>序号</w:t>
            </w:r>
          </w:p>
        </w:tc>
        <w:tc>
          <w:tcPr>
            <w:tcW w:w="608" w:type="pct"/>
            <w:tcBorders>
              <w:top w:val="single" w:color="000000" w:sz="4" w:space="0"/>
              <w:left w:val="single" w:color="000000" w:sz="4" w:space="0"/>
              <w:bottom w:val="single" w:color="000000" w:sz="4" w:space="0"/>
              <w:right w:val="single" w:color="000000" w:sz="4" w:space="0"/>
            </w:tcBorders>
            <w:noWrap w:val="0"/>
            <w:vAlign w:val="center"/>
          </w:tcPr>
          <w:p w14:paraId="05568231">
            <w:pPr>
              <w:widowControl/>
              <w:spacing w:line="360" w:lineRule="exact"/>
              <w:jc w:val="center"/>
              <w:rPr>
                <w:rFonts w:ascii="宋体" w:hAnsi="宋体" w:cs="宋体"/>
                <w:b/>
                <w:bCs/>
                <w:color w:val="auto"/>
                <w:szCs w:val="21"/>
                <w:highlight w:val="none"/>
              </w:rPr>
            </w:pPr>
            <w:r>
              <w:rPr>
                <w:rFonts w:hint="eastAsia" w:ascii="宋体" w:hAnsi="宋体" w:cs="宋体"/>
                <w:b/>
                <w:bCs/>
                <w:color w:val="auto"/>
                <w:szCs w:val="21"/>
                <w:highlight w:val="none"/>
                <w:lang w:bidi="ar"/>
              </w:rPr>
              <w:t>项目</w:t>
            </w:r>
          </w:p>
        </w:tc>
        <w:tc>
          <w:tcPr>
            <w:tcW w:w="2765" w:type="pct"/>
            <w:tcBorders>
              <w:top w:val="single" w:color="000000" w:sz="4" w:space="0"/>
              <w:left w:val="single" w:color="000000" w:sz="4" w:space="0"/>
              <w:bottom w:val="single" w:color="000000" w:sz="4" w:space="0"/>
              <w:right w:val="single" w:color="000000" w:sz="4" w:space="0"/>
            </w:tcBorders>
            <w:noWrap w:val="0"/>
            <w:vAlign w:val="center"/>
          </w:tcPr>
          <w:p w14:paraId="2794F427">
            <w:pPr>
              <w:widowControl/>
              <w:spacing w:line="360" w:lineRule="exact"/>
              <w:jc w:val="center"/>
              <w:rPr>
                <w:rFonts w:ascii="宋体" w:hAnsi="宋体" w:cs="宋体"/>
                <w:b/>
                <w:bCs/>
                <w:color w:val="auto"/>
                <w:szCs w:val="21"/>
                <w:highlight w:val="none"/>
              </w:rPr>
            </w:pPr>
            <w:r>
              <w:rPr>
                <w:rFonts w:hint="eastAsia" w:ascii="宋体" w:hAnsi="宋体" w:cs="宋体"/>
                <w:b/>
                <w:bCs/>
                <w:color w:val="auto"/>
                <w:szCs w:val="21"/>
                <w:highlight w:val="none"/>
                <w:lang w:bidi="ar"/>
              </w:rPr>
              <w:t>技术要求</w:t>
            </w:r>
          </w:p>
        </w:tc>
        <w:tc>
          <w:tcPr>
            <w:tcW w:w="522" w:type="pct"/>
            <w:tcBorders>
              <w:top w:val="single" w:color="000000" w:sz="4" w:space="0"/>
              <w:left w:val="single" w:color="000000" w:sz="4" w:space="0"/>
              <w:bottom w:val="single" w:color="000000" w:sz="4" w:space="0"/>
              <w:right w:val="single" w:color="000000" w:sz="4" w:space="0"/>
            </w:tcBorders>
            <w:noWrap w:val="0"/>
            <w:vAlign w:val="center"/>
          </w:tcPr>
          <w:p w14:paraId="437A2553">
            <w:pPr>
              <w:widowControl/>
              <w:spacing w:line="360" w:lineRule="exact"/>
              <w:jc w:val="center"/>
              <w:rPr>
                <w:rFonts w:ascii="宋体" w:hAnsi="宋体" w:cs="宋体"/>
                <w:b/>
                <w:bCs/>
                <w:color w:val="auto"/>
                <w:szCs w:val="21"/>
                <w:highlight w:val="none"/>
              </w:rPr>
            </w:pPr>
            <w:r>
              <w:rPr>
                <w:rFonts w:hint="eastAsia" w:ascii="宋体" w:hAnsi="宋体" w:cs="宋体"/>
                <w:b/>
                <w:bCs/>
                <w:color w:val="auto"/>
                <w:szCs w:val="21"/>
                <w:highlight w:val="none"/>
                <w:lang w:bidi="ar"/>
              </w:rPr>
              <w:t>数量</w:t>
            </w:r>
          </w:p>
        </w:tc>
        <w:tc>
          <w:tcPr>
            <w:tcW w:w="294" w:type="pct"/>
            <w:tcBorders>
              <w:top w:val="single" w:color="000000" w:sz="4" w:space="0"/>
              <w:left w:val="single" w:color="000000" w:sz="4" w:space="0"/>
              <w:bottom w:val="single" w:color="000000" w:sz="4" w:space="0"/>
              <w:right w:val="single" w:color="000000" w:sz="4" w:space="0"/>
            </w:tcBorders>
            <w:noWrap w:val="0"/>
            <w:vAlign w:val="center"/>
          </w:tcPr>
          <w:p w14:paraId="1A3CC636">
            <w:pPr>
              <w:widowControl/>
              <w:spacing w:line="360" w:lineRule="exact"/>
              <w:jc w:val="center"/>
              <w:rPr>
                <w:rFonts w:ascii="宋体" w:hAnsi="宋体" w:cs="宋体"/>
                <w:b/>
                <w:bCs/>
                <w:color w:val="auto"/>
                <w:szCs w:val="21"/>
                <w:highlight w:val="none"/>
              </w:rPr>
            </w:pPr>
            <w:r>
              <w:rPr>
                <w:rFonts w:hint="eastAsia" w:ascii="宋体" w:hAnsi="宋体" w:cs="宋体"/>
                <w:b/>
                <w:bCs/>
                <w:color w:val="auto"/>
                <w:szCs w:val="21"/>
                <w:highlight w:val="none"/>
                <w:lang w:bidi="ar"/>
              </w:rPr>
              <w:t>单位</w:t>
            </w:r>
          </w:p>
        </w:tc>
        <w:tc>
          <w:tcPr>
            <w:tcW w:w="500" w:type="pct"/>
            <w:tcBorders>
              <w:top w:val="single" w:color="000000" w:sz="4" w:space="0"/>
              <w:left w:val="single" w:color="000000" w:sz="4" w:space="0"/>
              <w:bottom w:val="single" w:color="000000" w:sz="4" w:space="0"/>
              <w:right w:val="single" w:color="000000" w:sz="4" w:space="0"/>
            </w:tcBorders>
            <w:noWrap w:val="0"/>
            <w:vAlign w:val="center"/>
          </w:tcPr>
          <w:p w14:paraId="5113F63B">
            <w:pPr>
              <w:widowControl/>
              <w:spacing w:line="360" w:lineRule="exact"/>
              <w:jc w:val="center"/>
              <w:rPr>
                <w:rFonts w:hint="eastAsia" w:ascii="宋体" w:hAnsi="宋体" w:eastAsia="宋体" w:cs="宋体"/>
                <w:b/>
                <w:bCs/>
                <w:color w:val="auto"/>
                <w:szCs w:val="21"/>
                <w:highlight w:val="none"/>
                <w:lang w:val="en-US" w:eastAsia="zh-CN" w:bidi="ar"/>
              </w:rPr>
            </w:pPr>
            <w:r>
              <w:rPr>
                <w:rFonts w:hint="eastAsia" w:ascii="宋体" w:hAnsi="宋体" w:cs="宋体"/>
                <w:b/>
                <w:bCs/>
                <w:color w:val="auto"/>
                <w:szCs w:val="21"/>
                <w:highlight w:val="none"/>
                <w:lang w:val="en-US" w:eastAsia="zh-CN" w:bidi="ar"/>
              </w:rPr>
              <w:t>备注</w:t>
            </w:r>
          </w:p>
        </w:tc>
      </w:tr>
      <w:tr w14:paraId="0BD72F4B">
        <w:tblPrEx>
          <w:tblCellMar>
            <w:top w:w="0" w:type="dxa"/>
            <w:left w:w="108" w:type="dxa"/>
            <w:bottom w:w="0" w:type="dxa"/>
            <w:right w:w="108" w:type="dxa"/>
          </w:tblCellMar>
        </w:tblPrEx>
        <w:trPr>
          <w:trHeight w:val="360" w:hRule="atLeast"/>
        </w:trPr>
        <w:tc>
          <w:tcPr>
            <w:tcW w:w="4499" w:type="pct"/>
            <w:gridSpan w:val="5"/>
            <w:tcBorders>
              <w:top w:val="single" w:color="000000" w:sz="4" w:space="0"/>
              <w:left w:val="single" w:color="000000" w:sz="4" w:space="0"/>
              <w:bottom w:val="single" w:color="000000" w:sz="4" w:space="0"/>
              <w:right w:val="single" w:color="000000" w:sz="4" w:space="0"/>
            </w:tcBorders>
            <w:noWrap w:val="0"/>
            <w:vAlign w:val="center"/>
          </w:tcPr>
          <w:p w14:paraId="0AB799FE">
            <w:pPr>
              <w:widowControl/>
              <w:spacing w:line="360" w:lineRule="exact"/>
              <w:jc w:val="center"/>
              <w:rPr>
                <w:rFonts w:ascii="宋体" w:hAnsi="宋体" w:cs="宋体"/>
                <w:b/>
                <w:bCs/>
                <w:color w:val="auto"/>
                <w:szCs w:val="21"/>
                <w:highlight w:val="none"/>
              </w:rPr>
            </w:pPr>
            <w:r>
              <w:rPr>
                <w:rFonts w:hint="eastAsia" w:ascii="宋体" w:hAnsi="宋体" w:cs="宋体"/>
                <w:b/>
                <w:bCs/>
                <w:color w:val="auto"/>
                <w:szCs w:val="21"/>
                <w:highlight w:val="none"/>
                <w:lang w:bidi="ar"/>
              </w:rPr>
              <w:t>一、路段标识标牌标线</w:t>
            </w:r>
          </w:p>
        </w:tc>
        <w:tc>
          <w:tcPr>
            <w:tcW w:w="500" w:type="pct"/>
            <w:tcBorders>
              <w:top w:val="single" w:color="000000" w:sz="4" w:space="0"/>
              <w:left w:val="single" w:color="000000" w:sz="4" w:space="0"/>
              <w:bottom w:val="single" w:color="000000" w:sz="4" w:space="0"/>
              <w:right w:val="single" w:color="000000" w:sz="4" w:space="0"/>
            </w:tcBorders>
            <w:noWrap w:val="0"/>
            <w:vAlign w:val="center"/>
          </w:tcPr>
          <w:p w14:paraId="56A2D315">
            <w:pPr>
              <w:widowControl/>
              <w:spacing w:line="360" w:lineRule="exact"/>
              <w:jc w:val="center"/>
              <w:rPr>
                <w:rFonts w:hint="eastAsia" w:ascii="宋体" w:hAnsi="宋体" w:cs="宋体"/>
                <w:b/>
                <w:bCs/>
                <w:color w:val="auto"/>
                <w:szCs w:val="21"/>
                <w:highlight w:val="none"/>
                <w:lang w:bidi="ar"/>
              </w:rPr>
            </w:pPr>
          </w:p>
        </w:tc>
      </w:tr>
      <w:tr w14:paraId="011EFE5A">
        <w:tblPrEx>
          <w:tblCellMar>
            <w:top w:w="0" w:type="dxa"/>
            <w:left w:w="108" w:type="dxa"/>
            <w:bottom w:w="0" w:type="dxa"/>
            <w:right w:w="108" w:type="dxa"/>
          </w:tblCellMar>
        </w:tblPrEx>
        <w:trPr>
          <w:trHeight w:val="360" w:hRule="atLeast"/>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4F60CEF2">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1</w:t>
            </w:r>
          </w:p>
        </w:tc>
        <w:tc>
          <w:tcPr>
            <w:tcW w:w="608" w:type="pct"/>
            <w:tcBorders>
              <w:top w:val="single" w:color="000000" w:sz="4" w:space="0"/>
              <w:left w:val="single" w:color="000000" w:sz="4" w:space="0"/>
              <w:bottom w:val="single" w:color="000000" w:sz="4" w:space="0"/>
              <w:right w:val="single" w:color="000000" w:sz="4" w:space="0"/>
            </w:tcBorders>
            <w:noWrap w:val="0"/>
            <w:vAlign w:val="center"/>
          </w:tcPr>
          <w:p w14:paraId="1601C1A8">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人行横道标志牌</w:t>
            </w:r>
          </w:p>
        </w:tc>
        <w:tc>
          <w:tcPr>
            <w:tcW w:w="2765" w:type="pct"/>
            <w:tcBorders>
              <w:top w:val="single" w:color="000000" w:sz="4" w:space="0"/>
              <w:left w:val="single" w:color="000000" w:sz="4" w:space="0"/>
              <w:bottom w:val="single" w:color="000000" w:sz="4" w:space="0"/>
              <w:right w:val="single" w:color="000000" w:sz="4" w:space="0"/>
            </w:tcBorders>
            <w:noWrap w:val="0"/>
            <w:vAlign w:val="center"/>
          </w:tcPr>
          <w:p w14:paraId="76BA0B53">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lang w:bidi="ar"/>
              </w:rPr>
              <w:t>#1</w:t>
            </w:r>
            <w:r>
              <w:rPr>
                <w:rFonts w:hint="eastAsia" w:ascii="宋体" w:hAnsi="宋体" w:cs="宋体"/>
                <w:color w:val="auto"/>
                <w:szCs w:val="21"/>
                <w:highlight w:val="none"/>
                <w:lang w:val="en-US" w:eastAsia="zh-CN" w:bidi="ar"/>
              </w:rPr>
              <w:t>.</w:t>
            </w:r>
            <w:r>
              <w:rPr>
                <w:rFonts w:hint="eastAsia" w:ascii="宋体" w:hAnsi="宋体" w:cs="宋体"/>
                <w:color w:val="auto"/>
                <w:szCs w:val="21"/>
                <w:highlight w:val="none"/>
                <w:lang w:bidi="ar"/>
              </w:rPr>
              <w:t>材质、规格尺寸：80cm（L）*80cm(W),铝板厚度≥2.0mm；板面反光膜等级：四类超强反光膜。</w:t>
            </w:r>
            <w:r>
              <w:rPr>
                <w:rFonts w:hint="eastAsia" w:ascii="宋体" w:hAnsi="宋体" w:cs="宋体"/>
                <w:color w:val="auto"/>
                <w:szCs w:val="21"/>
                <w:highlight w:val="none"/>
                <w:lang w:val="en-US" w:eastAsia="zh-CN" w:bidi="ar"/>
              </w:rPr>
              <w:t>符合GB/T 18833-2012《道路交通反光膜》标准。</w:t>
            </w:r>
          </w:p>
        </w:tc>
        <w:tc>
          <w:tcPr>
            <w:tcW w:w="522" w:type="pct"/>
            <w:tcBorders>
              <w:top w:val="single" w:color="000000" w:sz="4" w:space="0"/>
              <w:left w:val="single" w:color="000000" w:sz="4" w:space="0"/>
              <w:bottom w:val="single" w:color="000000" w:sz="4" w:space="0"/>
              <w:right w:val="single" w:color="000000" w:sz="4" w:space="0"/>
            </w:tcBorders>
            <w:noWrap w:val="0"/>
            <w:vAlign w:val="center"/>
          </w:tcPr>
          <w:p w14:paraId="3344ECFB">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101</w:t>
            </w:r>
          </w:p>
        </w:tc>
        <w:tc>
          <w:tcPr>
            <w:tcW w:w="294" w:type="pct"/>
            <w:tcBorders>
              <w:top w:val="single" w:color="000000" w:sz="4" w:space="0"/>
              <w:left w:val="single" w:color="000000" w:sz="4" w:space="0"/>
              <w:bottom w:val="single" w:color="000000" w:sz="4" w:space="0"/>
              <w:right w:val="single" w:color="000000" w:sz="4" w:space="0"/>
            </w:tcBorders>
            <w:noWrap w:val="0"/>
            <w:vAlign w:val="center"/>
          </w:tcPr>
          <w:p w14:paraId="736D9FB8">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套</w:t>
            </w:r>
          </w:p>
        </w:tc>
        <w:tc>
          <w:tcPr>
            <w:tcW w:w="500" w:type="pct"/>
            <w:tcBorders>
              <w:top w:val="single" w:color="000000" w:sz="4" w:space="0"/>
              <w:left w:val="single" w:color="000000" w:sz="4" w:space="0"/>
              <w:bottom w:val="single" w:color="000000" w:sz="4" w:space="0"/>
              <w:right w:val="single" w:color="000000" w:sz="4" w:space="0"/>
            </w:tcBorders>
            <w:noWrap w:val="0"/>
            <w:vAlign w:val="center"/>
          </w:tcPr>
          <w:p w14:paraId="24796A46">
            <w:pPr>
              <w:widowControl/>
              <w:spacing w:line="360" w:lineRule="exact"/>
              <w:jc w:val="center"/>
              <w:rPr>
                <w:rFonts w:hint="eastAsia" w:ascii="宋体" w:hAnsi="宋体" w:cs="宋体"/>
                <w:color w:val="auto"/>
                <w:szCs w:val="21"/>
                <w:highlight w:val="none"/>
                <w:lang w:bidi="ar"/>
              </w:rPr>
            </w:pPr>
          </w:p>
        </w:tc>
      </w:tr>
      <w:tr w14:paraId="5C1D7E11">
        <w:tblPrEx>
          <w:tblCellMar>
            <w:top w:w="0" w:type="dxa"/>
            <w:left w:w="108" w:type="dxa"/>
            <w:bottom w:w="0" w:type="dxa"/>
            <w:right w:w="108" w:type="dxa"/>
          </w:tblCellMar>
        </w:tblPrEx>
        <w:trPr>
          <w:trHeight w:val="360" w:hRule="atLeast"/>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229FA8F7">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2</w:t>
            </w:r>
          </w:p>
        </w:tc>
        <w:tc>
          <w:tcPr>
            <w:tcW w:w="608" w:type="pct"/>
            <w:tcBorders>
              <w:top w:val="single" w:color="000000" w:sz="4" w:space="0"/>
              <w:left w:val="single" w:color="000000" w:sz="4" w:space="0"/>
              <w:bottom w:val="single" w:color="000000" w:sz="4" w:space="0"/>
              <w:right w:val="single" w:color="000000" w:sz="4" w:space="0"/>
            </w:tcBorders>
            <w:noWrap w:val="0"/>
            <w:vAlign w:val="center"/>
          </w:tcPr>
          <w:p w14:paraId="7B8E00ED">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路面凸起标志牌</w:t>
            </w:r>
          </w:p>
        </w:tc>
        <w:tc>
          <w:tcPr>
            <w:tcW w:w="2765" w:type="pct"/>
            <w:tcBorders>
              <w:top w:val="single" w:color="000000" w:sz="4" w:space="0"/>
              <w:left w:val="single" w:color="000000" w:sz="4" w:space="0"/>
              <w:bottom w:val="single" w:color="000000" w:sz="4" w:space="0"/>
              <w:right w:val="single" w:color="000000" w:sz="4" w:space="0"/>
            </w:tcBorders>
            <w:noWrap w:val="0"/>
            <w:vAlign w:val="center"/>
          </w:tcPr>
          <w:p w14:paraId="68E7CFC0">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lang w:bidi="ar"/>
              </w:rPr>
              <w:t>#1</w:t>
            </w:r>
            <w:r>
              <w:rPr>
                <w:rFonts w:hint="eastAsia" w:ascii="宋体" w:hAnsi="宋体" w:cs="宋体"/>
                <w:color w:val="auto"/>
                <w:szCs w:val="21"/>
                <w:highlight w:val="none"/>
                <w:lang w:val="en-US" w:eastAsia="zh-CN" w:bidi="ar"/>
              </w:rPr>
              <w:t>.</w:t>
            </w:r>
            <w:r>
              <w:rPr>
                <w:rFonts w:hint="eastAsia" w:ascii="宋体" w:hAnsi="宋体" w:cs="宋体"/>
                <w:color w:val="auto"/>
                <w:szCs w:val="21"/>
                <w:highlight w:val="none"/>
                <w:lang w:bidi="ar"/>
              </w:rPr>
              <w:t>材质、规格尺寸：边长90cm三角形状标志牌，铝板厚度≥2.0mm；板面反光膜等级：四类超强反光膜。</w:t>
            </w:r>
            <w:r>
              <w:rPr>
                <w:rFonts w:hint="eastAsia" w:ascii="宋体" w:hAnsi="宋体" w:cs="宋体"/>
                <w:color w:val="auto"/>
                <w:szCs w:val="21"/>
                <w:highlight w:val="none"/>
                <w:lang w:val="en-US" w:eastAsia="zh-CN" w:bidi="ar"/>
              </w:rPr>
              <w:t>符合GB/T 18833-2012《道路交通反光膜》标准。</w:t>
            </w:r>
          </w:p>
        </w:tc>
        <w:tc>
          <w:tcPr>
            <w:tcW w:w="522" w:type="pct"/>
            <w:tcBorders>
              <w:top w:val="single" w:color="000000" w:sz="4" w:space="0"/>
              <w:left w:val="single" w:color="000000" w:sz="4" w:space="0"/>
              <w:bottom w:val="single" w:color="000000" w:sz="4" w:space="0"/>
              <w:right w:val="single" w:color="000000" w:sz="4" w:space="0"/>
            </w:tcBorders>
            <w:noWrap w:val="0"/>
            <w:vAlign w:val="center"/>
          </w:tcPr>
          <w:p w14:paraId="6B8411DA">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32</w:t>
            </w:r>
          </w:p>
        </w:tc>
        <w:tc>
          <w:tcPr>
            <w:tcW w:w="294" w:type="pct"/>
            <w:tcBorders>
              <w:top w:val="single" w:color="000000" w:sz="4" w:space="0"/>
              <w:left w:val="single" w:color="000000" w:sz="4" w:space="0"/>
              <w:bottom w:val="single" w:color="000000" w:sz="4" w:space="0"/>
              <w:right w:val="single" w:color="000000" w:sz="4" w:space="0"/>
            </w:tcBorders>
            <w:noWrap w:val="0"/>
            <w:vAlign w:val="center"/>
          </w:tcPr>
          <w:p w14:paraId="32407BC9">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套</w:t>
            </w:r>
          </w:p>
        </w:tc>
        <w:tc>
          <w:tcPr>
            <w:tcW w:w="500" w:type="pct"/>
            <w:tcBorders>
              <w:top w:val="single" w:color="000000" w:sz="4" w:space="0"/>
              <w:left w:val="single" w:color="000000" w:sz="4" w:space="0"/>
              <w:bottom w:val="single" w:color="000000" w:sz="4" w:space="0"/>
              <w:right w:val="single" w:color="000000" w:sz="4" w:space="0"/>
            </w:tcBorders>
            <w:noWrap w:val="0"/>
            <w:vAlign w:val="center"/>
          </w:tcPr>
          <w:p w14:paraId="281F57BF">
            <w:pPr>
              <w:widowControl/>
              <w:spacing w:line="360" w:lineRule="exact"/>
              <w:jc w:val="center"/>
              <w:rPr>
                <w:rFonts w:hint="eastAsia" w:ascii="宋体" w:hAnsi="宋体" w:cs="宋体"/>
                <w:color w:val="auto"/>
                <w:szCs w:val="21"/>
                <w:highlight w:val="none"/>
                <w:lang w:bidi="ar"/>
              </w:rPr>
            </w:pPr>
          </w:p>
        </w:tc>
      </w:tr>
      <w:tr w14:paraId="3997014D">
        <w:tblPrEx>
          <w:tblCellMar>
            <w:top w:w="0" w:type="dxa"/>
            <w:left w:w="108" w:type="dxa"/>
            <w:bottom w:w="0" w:type="dxa"/>
            <w:right w:w="108" w:type="dxa"/>
          </w:tblCellMar>
        </w:tblPrEx>
        <w:trPr>
          <w:trHeight w:val="360" w:hRule="atLeast"/>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44D38A4A">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3</w:t>
            </w:r>
          </w:p>
        </w:tc>
        <w:tc>
          <w:tcPr>
            <w:tcW w:w="608" w:type="pct"/>
            <w:tcBorders>
              <w:top w:val="single" w:color="000000" w:sz="4" w:space="0"/>
              <w:left w:val="single" w:color="000000" w:sz="4" w:space="0"/>
              <w:bottom w:val="single" w:color="000000" w:sz="4" w:space="0"/>
              <w:right w:val="single" w:color="000000" w:sz="4" w:space="0"/>
            </w:tcBorders>
            <w:noWrap w:val="0"/>
            <w:vAlign w:val="center"/>
          </w:tcPr>
          <w:p w14:paraId="3FFAD265">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调头标志牌</w:t>
            </w:r>
          </w:p>
        </w:tc>
        <w:tc>
          <w:tcPr>
            <w:tcW w:w="2765" w:type="pct"/>
            <w:tcBorders>
              <w:top w:val="single" w:color="000000" w:sz="4" w:space="0"/>
              <w:left w:val="single" w:color="000000" w:sz="4" w:space="0"/>
              <w:bottom w:val="single" w:color="000000" w:sz="4" w:space="0"/>
              <w:right w:val="single" w:color="000000" w:sz="4" w:space="0"/>
            </w:tcBorders>
            <w:noWrap w:val="0"/>
            <w:vAlign w:val="center"/>
          </w:tcPr>
          <w:p w14:paraId="360ECDEC">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lang w:bidi="ar"/>
              </w:rPr>
              <w:t>#1</w:t>
            </w:r>
            <w:r>
              <w:rPr>
                <w:rFonts w:hint="eastAsia" w:ascii="宋体" w:hAnsi="宋体" w:cs="宋体"/>
                <w:color w:val="auto"/>
                <w:szCs w:val="21"/>
                <w:highlight w:val="none"/>
                <w:lang w:val="en-US" w:eastAsia="zh-CN" w:bidi="ar"/>
              </w:rPr>
              <w:t>.</w:t>
            </w:r>
            <w:r>
              <w:rPr>
                <w:rFonts w:hint="eastAsia" w:ascii="宋体" w:hAnsi="宋体" w:cs="宋体"/>
                <w:color w:val="auto"/>
                <w:szCs w:val="21"/>
                <w:highlight w:val="none"/>
                <w:lang w:bidi="ar"/>
              </w:rPr>
              <w:t>材质、规格尺寸：60cm（L）*60cm(W),铝板厚度≥2.0mm；板面反光膜等级：四类超强反光膜。</w:t>
            </w:r>
            <w:r>
              <w:rPr>
                <w:rFonts w:hint="eastAsia" w:ascii="宋体" w:hAnsi="宋体" w:cs="宋体"/>
                <w:color w:val="auto"/>
                <w:szCs w:val="21"/>
                <w:highlight w:val="none"/>
                <w:lang w:val="en-US" w:eastAsia="zh-CN" w:bidi="ar"/>
              </w:rPr>
              <w:t>符合GB/T 18833-2012《道路交通反光膜》标准。</w:t>
            </w:r>
          </w:p>
        </w:tc>
        <w:tc>
          <w:tcPr>
            <w:tcW w:w="522" w:type="pct"/>
            <w:tcBorders>
              <w:top w:val="single" w:color="000000" w:sz="4" w:space="0"/>
              <w:left w:val="single" w:color="000000" w:sz="4" w:space="0"/>
              <w:bottom w:val="single" w:color="000000" w:sz="4" w:space="0"/>
              <w:right w:val="single" w:color="000000" w:sz="4" w:space="0"/>
            </w:tcBorders>
            <w:noWrap w:val="0"/>
            <w:vAlign w:val="center"/>
          </w:tcPr>
          <w:p w14:paraId="47DBD4AD">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16</w:t>
            </w:r>
          </w:p>
        </w:tc>
        <w:tc>
          <w:tcPr>
            <w:tcW w:w="294" w:type="pct"/>
            <w:tcBorders>
              <w:top w:val="single" w:color="000000" w:sz="4" w:space="0"/>
              <w:left w:val="single" w:color="000000" w:sz="4" w:space="0"/>
              <w:bottom w:val="single" w:color="000000" w:sz="4" w:space="0"/>
              <w:right w:val="single" w:color="000000" w:sz="4" w:space="0"/>
            </w:tcBorders>
            <w:noWrap w:val="0"/>
            <w:vAlign w:val="center"/>
          </w:tcPr>
          <w:p w14:paraId="23DAE988">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套</w:t>
            </w:r>
          </w:p>
        </w:tc>
        <w:tc>
          <w:tcPr>
            <w:tcW w:w="500" w:type="pct"/>
            <w:tcBorders>
              <w:top w:val="single" w:color="000000" w:sz="4" w:space="0"/>
              <w:left w:val="single" w:color="000000" w:sz="4" w:space="0"/>
              <w:bottom w:val="single" w:color="000000" w:sz="4" w:space="0"/>
              <w:right w:val="single" w:color="000000" w:sz="4" w:space="0"/>
            </w:tcBorders>
            <w:noWrap w:val="0"/>
            <w:vAlign w:val="center"/>
          </w:tcPr>
          <w:p w14:paraId="5AFDB5AE">
            <w:pPr>
              <w:widowControl/>
              <w:spacing w:line="360" w:lineRule="exact"/>
              <w:jc w:val="center"/>
              <w:rPr>
                <w:rFonts w:hint="eastAsia" w:ascii="宋体" w:hAnsi="宋体" w:cs="宋体"/>
                <w:color w:val="auto"/>
                <w:szCs w:val="21"/>
                <w:highlight w:val="none"/>
                <w:lang w:bidi="ar"/>
              </w:rPr>
            </w:pPr>
          </w:p>
        </w:tc>
      </w:tr>
      <w:tr w14:paraId="48D8EB97">
        <w:tblPrEx>
          <w:tblCellMar>
            <w:top w:w="0" w:type="dxa"/>
            <w:left w:w="108" w:type="dxa"/>
            <w:bottom w:w="0" w:type="dxa"/>
            <w:right w:w="108" w:type="dxa"/>
          </w:tblCellMar>
        </w:tblPrEx>
        <w:trPr>
          <w:trHeight w:val="360" w:hRule="atLeast"/>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3F87B966">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4</w:t>
            </w:r>
          </w:p>
        </w:tc>
        <w:tc>
          <w:tcPr>
            <w:tcW w:w="608" w:type="pct"/>
            <w:tcBorders>
              <w:top w:val="single" w:color="000000" w:sz="4" w:space="0"/>
              <w:left w:val="single" w:color="000000" w:sz="4" w:space="0"/>
              <w:bottom w:val="single" w:color="000000" w:sz="4" w:space="0"/>
              <w:right w:val="single" w:color="000000" w:sz="4" w:space="0"/>
            </w:tcBorders>
            <w:noWrap w:val="0"/>
            <w:vAlign w:val="center"/>
          </w:tcPr>
          <w:p w14:paraId="74993204">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学校区域限速牌</w:t>
            </w:r>
          </w:p>
        </w:tc>
        <w:tc>
          <w:tcPr>
            <w:tcW w:w="2765" w:type="pct"/>
            <w:tcBorders>
              <w:top w:val="single" w:color="000000" w:sz="4" w:space="0"/>
              <w:left w:val="single" w:color="000000" w:sz="4" w:space="0"/>
              <w:bottom w:val="single" w:color="000000" w:sz="4" w:space="0"/>
              <w:right w:val="single" w:color="000000" w:sz="4" w:space="0"/>
            </w:tcBorders>
            <w:noWrap w:val="0"/>
            <w:vAlign w:val="center"/>
          </w:tcPr>
          <w:p w14:paraId="5CF049FA">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lang w:bidi="ar"/>
              </w:rPr>
              <w:t>#1</w:t>
            </w:r>
            <w:r>
              <w:rPr>
                <w:rFonts w:hint="eastAsia" w:ascii="宋体" w:hAnsi="宋体" w:cs="宋体"/>
                <w:color w:val="auto"/>
                <w:szCs w:val="21"/>
                <w:highlight w:val="none"/>
                <w:lang w:val="en-US" w:eastAsia="zh-CN" w:bidi="ar"/>
              </w:rPr>
              <w:t>.</w:t>
            </w:r>
            <w:r>
              <w:rPr>
                <w:rFonts w:hint="eastAsia" w:ascii="宋体" w:hAnsi="宋体" w:cs="宋体"/>
                <w:color w:val="auto"/>
                <w:szCs w:val="21"/>
                <w:highlight w:val="none"/>
                <w:lang w:bidi="ar"/>
              </w:rPr>
              <w:t>类型：限速30指示牌；材质、规格尺寸</w:t>
            </w:r>
            <w:r>
              <w:rPr>
                <w:rFonts w:hint="eastAsia" w:ascii="宋体" w:hAnsi="宋体" w:cs="宋体"/>
                <w:color w:val="auto"/>
                <w:szCs w:val="21"/>
                <w:highlight w:val="none"/>
                <w:lang w:eastAsia="zh-CN" w:bidi="ar"/>
              </w:rPr>
              <w:t>：</w:t>
            </w:r>
            <w:r>
              <w:rPr>
                <w:rFonts w:hint="eastAsia" w:ascii="宋体" w:hAnsi="宋体" w:cs="宋体"/>
                <w:color w:val="auto"/>
                <w:szCs w:val="21"/>
                <w:highlight w:val="none"/>
                <w:lang w:bidi="ar"/>
              </w:rPr>
              <w:t>90cm(L)*180cm(W),铝板厚度≥2.0mm；板面反光膜等级：四类超强反光膜。</w:t>
            </w:r>
            <w:r>
              <w:rPr>
                <w:rFonts w:hint="eastAsia" w:ascii="宋体" w:hAnsi="宋体" w:cs="宋体"/>
                <w:color w:val="auto"/>
                <w:szCs w:val="21"/>
                <w:highlight w:val="none"/>
                <w:lang w:val="en-US" w:eastAsia="zh-CN" w:bidi="ar"/>
              </w:rPr>
              <w:t>符合GB/T 18833-2012《道路交通反光膜》标准。</w:t>
            </w:r>
          </w:p>
        </w:tc>
        <w:tc>
          <w:tcPr>
            <w:tcW w:w="522" w:type="pct"/>
            <w:tcBorders>
              <w:top w:val="single" w:color="000000" w:sz="4" w:space="0"/>
              <w:left w:val="single" w:color="000000" w:sz="4" w:space="0"/>
              <w:bottom w:val="single" w:color="000000" w:sz="4" w:space="0"/>
              <w:right w:val="single" w:color="000000" w:sz="4" w:space="0"/>
            </w:tcBorders>
            <w:noWrap w:val="0"/>
            <w:vAlign w:val="center"/>
          </w:tcPr>
          <w:p w14:paraId="62585EBB">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80</w:t>
            </w:r>
          </w:p>
        </w:tc>
        <w:tc>
          <w:tcPr>
            <w:tcW w:w="294" w:type="pct"/>
            <w:tcBorders>
              <w:top w:val="single" w:color="000000" w:sz="4" w:space="0"/>
              <w:left w:val="single" w:color="000000" w:sz="4" w:space="0"/>
              <w:bottom w:val="single" w:color="000000" w:sz="4" w:space="0"/>
              <w:right w:val="single" w:color="000000" w:sz="4" w:space="0"/>
            </w:tcBorders>
            <w:noWrap w:val="0"/>
            <w:vAlign w:val="center"/>
          </w:tcPr>
          <w:p w14:paraId="2C95FD06">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套</w:t>
            </w:r>
          </w:p>
        </w:tc>
        <w:tc>
          <w:tcPr>
            <w:tcW w:w="500" w:type="pct"/>
            <w:tcBorders>
              <w:top w:val="single" w:color="000000" w:sz="4" w:space="0"/>
              <w:left w:val="single" w:color="000000" w:sz="4" w:space="0"/>
              <w:bottom w:val="single" w:color="000000" w:sz="4" w:space="0"/>
              <w:right w:val="single" w:color="000000" w:sz="4" w:space="0"/>
            </w:tcBorders>
            <w:noWrap w:val="0"/>
            <w:vAlign w:val="center"/>
          </w:tcPr>
          <w:p w14:paraId="2F08B84F">
            <w:pPr>
              <w:widowControl/>
              <w:spacing w:line="360" w:lineRule="exact"/>
              <w:jc w:val="center"/>
              <w:rPr>
                <w:rFonts w:hint="eastAsia" w:ascii="宋体" w:hAnsi="宋体" w:cs="宋体"/>
                <w:color w:val="auto"/>
                <w:szCs w:val="21"/>
                <w:highlight w:val="none"/>
                <w:lang w:bidi="ar"/>
              </w:rPr>
            </w:pPr>
          </w:p>
        </w:tc>
      </w:tr>
      <w:tr w14:paraId="7FD3AE7D">
        <w:tblPrEx>
          <w:tblCellMar>
            <w:top w:w="0" w:type="dxa"/>
            <w:left w:w="108" w:type="dxa"/>
            <w:bottom w:w="0" w:type="dxa"/>
            <w:right w:w="108" w:type="dxa"/>
          </w:tblCellMar>
        </w:tblPrEx>
        <w:trPr>
          <w:trHeight w:val="360" w:hRule="atLeast"/>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4DCC9320">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5</w:t>
            </w:r>
          </w:p>
        </w:tc>
        <w:tc>
          <w:tcPr>
            <w:tcW w:w="608" w:type="pct"/>
            <w:tcBorders>
              <w:top w:val="single" w:color="000000" w:sz="4" w:space="0"/>
              <w:left w:val="single" w:color="000000" w:sz="4" w:space="0"/>
              <w:bottom w:val="single" w:color="000000" w:sz="4" w:space="0"/>
              <w:right w:val="single" w:color="000000" w:sz="4" w:space="0"/>
            </w:tcBorders>
            <w:noWrap w:val="0"/>
            <w:vAlign w:val="center"/>
          </w:tcPr>
          <w:p w14:paraId="62FAFDE9">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机非分离组合标志牌</w:t>
            </w:r>
          </w:p>
        </w:tc>
        <w:tc>
          <w:tcPr>
            <w:tcW w:w="2765" w:type="pct"/>
            <w:tcBorders>
              <w:top w:val="single" w:color="000000" w:sz="4" w:space="0"/>
              <w:left w:val="single" w:color="000000" w:sz="4" w:space="0"/>
              <w:bottom w:val="single" w:color="000000" w:sz="4" w:space="0"/>
              <w:right w:val="single" w:color="000000" w:sz="4" w:space="0"/>
            </w:tcBorders>
            <w:noWrap w:val="0"/>
            <w:vAlign w:val="center"/>
          </w:tcPr>
          <w:p w14:paraId="4F91DF72">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lang w:bidi="ar"/>
              </w:rPr>
              <w:t>#1</w:t>
            </w:r>
            <w:r>
              <w:rPr>
                <w:rFonts w:hint="eastAsia" w:ascii="宋体" w:hAnsi="宋体" w:cs="宋体"/>
                <w:color w:val="auto"/>
                <w:szCs w:val="21"/>
                <w:highlight w:val="none"/>
                <w:lang w:val="en-US" w:eastAsia="zh-CN" w:bidi="ar"/>
              </w:rPr>
              <w:t>.</w:t>
            </w:r>
            <w:r>
              <w:rPr>
                <w:rFonts w:hint="eastAsia" w:ascii="宋体" w:hAnsi="宋体" w:cs="宋体"/>
                <w:color w:val="auto"/>
                <w:szCs w:val="21"/>
                <w:highlight w:val="none"/>
                <w:lang w:bidi="ar"/>
              </w:rPr>
              <w:t>材质、规格尺寸：60cm圆形标志牌,铝板厚度≥2.0mm；板面反光膜等级：四类超强反光膜。</w:t>
            </w:r>
            <w:r>
              <w:rPr>
                <w:rFonts w:hint="eastAsia" w:ascii="宋体" w:hAnsi="宋体" w:cs="宋体"/>
                <w:color w:val="auto"/>
                <w:szCs w:val="21"/>
                <w:highlight w:val="none"/>
                <w:lang w:val="en-US" w:eastAsia="zh-CN" w:bidi="ar"/>
              </w:rPr>
              <w:t>符合GB/T 18833-2012《道路交通反光膜》标准。</w:t>
            </w:r>
          </w:p>
        </w:tc>
        <w:tc>
          <w:tcPr>
            <w:tcW w:w="522" w:type="pct"/>
            <w:tcBorders>
              <w:top w:val="single" w:color="000000" w:sz="4" w:space="0"/>
              <w:left w:val="single" w:color="000000" w:sz="4" w:space="0"/>
              <w:bottom w:val="single" w:color="000000" w:sz="4" w:space="0"/>
              <w:right w:val="single" w:color="000000" w:sz="4" w:space="0"/>
            </w:tcBorders>
            <w:noWrap w:val="0"/>
            <w:vAlign w:val="center"/>
          </w:tcPr>
          <w:p w14:paraId="5CC40775">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29</w:t>
            </w:r>
          </w:p>
        </w:tc>
        <w:tc>
          <w:tcPr>
            <w:tcW w:w="294" w:type="pct"/>
            <w:tcBorders>
              <w:top w:val="single" w:color="000000" w:sz="4" w:space="0"/>
              <w:left w:val="single" w:color="000000" w:sz="4" w:space="0"/>
              <w:bottom w:val="single" w:color="000000" w:sz="4" w:space="0"/>
              <w:right w:val="single" w:color="000000" w:sz="4" w:space="0"/>
            </w:tcBorders>
            <w:noWrap w:val="0"/>
            <w:vAlign w:val="center"/>
          </w:tcPr>
          <w:p w14:paraId="3A2288ED">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套</w:t>
            </w:r>
          </w:p>
        </w:tc>
        <w:tc>
          <w:tcPr>
            <w:tcW w:w="500" w:type="pct"/>
            <w:tcBorders>
              <w:top w:val="single" w:color="000000" w:sz="4" w:space="0"/>
              <w:left w:val="single" w:color="000000" w:sz="4" w:space="0"/>
              <w:bottom w:val="single" w:color="000000" w:sz="4" w:space="0"/>
              <w:right w:val="single" w:color="000000" w:sz="4" w:space="0"/>
            </w:tcBorders>
            <w:noWrap w:val="0"/>
            <w:vAlign w:val="center"/>
          </w:tcPr>
          <w:p w14:paraId="3AF3EC8E">
            <w:pPr>
              <w:widowControl/>
              <w:spacing w:line="360" w:lineRule="exact"/>
              <w:jc w:val="center"/>
              <w:rPr>
                <w:rFonts w:hint="eastAsia" w:ascii="宋体" w:hAnsi="宋体" w:cs="宋体"/>
                <w:color w:val="auto"/>
                <w:szCs w:val="21"/>
                <w:highlight w:val="none"/>
                <w:lang w:bidi="ar"/>
              </w:rPr>
            </w:pPr>
          </w:p>
        </w:tc>
      </w:tr>
      <w:tr w14:paraId="49E97232">
        <w:tblPrEx>
          <w:tblCellMar>
            <w:top w:w="0" w:type="dxa"/>
            <w:left w:w="108" w:type="dxa"/>
            <w:bottom w:w="0" w:type="dxa"/>
            <w:right w:w="108" w:type="dxa"/>
          </w:tblCellMar>
        </w:tblPrEx>
        <w:trPr>
          <w:trHeight w:val="360" w:hRule="atLeast"/>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09EA75B1">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6</w:t>
            </w:r>
          </w:p>
        </w:tc>
        <w:tc>
          <w:tcPr>
            <w:tcW w:w="608" w:type="pct"/>
            <w:tcBorders>
              <w:top w:val="single" w:color="000000" w:sz="4" w:space="0"/>
              <w:left w:val="single" w:color="000000" w:sz="4" w:space="0"/>
              <w:bottom w:val="single" w:color="000000" w:sz="4" w:space="0"/>
              <w:right w:val="single" w:color="000000" w:sz="4" w:space="0"/>
            </w:tcBorders>
            <w:noWrap w:val="0"/>
            <w:vAlign w:val="center"/>
          </w:tcPr>
          <w:p w14:paraId="469715D4">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靠右行驶标志牌</w:t>
            </w:r>
          </w:p>
        </w:tc>
        <w:tc>
          <w:tcPr>
            <w:tcW w:w="2765" w:type="pct"/>
            <w:tcBorders>
              <w:top w:val="single" w:color="000000" w:sz="4" w:space="0"/>
              <w:left w:val="single" w:color="000000" w:sz="4" w:space="0"/>
              <w:bottom w:val="single" w:color="000000" w:sz="4" w:space="0"/>
              <w:right w:val="single" w:color="000000" w:sz="4" w:space="0"/>
            </w:tcBorders>
            <w:noWrap w:val="0"/>
            <w:vAlign w:val="center"/>
          </w:tcPr>
          <w:p w14:paraId="64E114B0">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lang w:bidi="ar"/>
              </w:rPr>
              <w:t>#1、材质、规格尺寸：60cm圆形标志牌,铝板厚度≥2.0mm；板面反光膜等级：四类超强反光膜。</w:t>
            </w:r>
            <w:r>
              <w:rPr>
                <w:rFonts w:hint="eastAsia" w:ascii="宋体" w:hAnsi="宋体" w:cs="宋体"/>
                <w:color w:val="auto"/>
                <w:szCs w:val="21"/>
                <w:highlight w:val="none"/>
                <w:lang w:val="en-US" w:eastAsia="zh-CN" w:bidi="ar"/>
              </w:rPr>
              <w:t>符合GB/T 18833-2012《道路交通反光膜》标准。</w:t>
            </w:r>
          </w:p>
        </w:tc>
        <w:tc>
          <w:tcPr>
            <w:tcW w:w="522" w:type="pct"/>
            <w:tcBorders>
              <w:top w:val="single" w:color="000000" w:sz="4" w:space="0"/>
              <w:left w:val="single" w:color="000000" w:sz="4" w:space="0"/>
              <w:bottom w:val="single" w:color="000000" w:sz="4" w:space="0"/>
              <w:right w:val="single" w:color="000000" w:sz="4" w:space="0"/>
            </w:tcBorders>
            <w:noWrap w:val="0"/>
            <w:vAlign w:val="center"/>
          </w:tcPr>
          <w:p w14:paraId="720D1818">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2</w:t>
            </w:r>
          </w:p>
        </w:tc>
        <w:tc>
          <w:tcPr>
            <w:tcW w:w="294" w:type="pct"/>
            <w:tcBorders>
              <w:top w:val="single" w:color="000000" w:sz="4" w:space="0"/>
              <w:left w:val="single" w:color="000000" w:sz="4" w:space="0"/>
              <w:bottom w:val="single" w:color="000000" w:sz="4" w:space="0"/>
              <w:right w:val="single" w:color="000000" w:sz="4" w:space="0"/>
            </w:tcBorders>
            <w:noWrap w:val="0"/>
            <w:vAlign w:val="center"/>
          </w:tcPr>
          <w:p w14:paraId="17AF7793">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组</w:t>
            </w:r>
          </w:p>
        </w:tc>
        <w:tc>
          <w:tcPr>
            <w:tcW w:w="500" w:type="pct"/>
            <w:tcBorders>
              <w:top w:val="single" w:color="000000" w:sz="4" w:space="0"/>
              <w:left w:val="single" w:color="000000" w:sz="4" w:space="0"/>
              <w:bottom w:val="single" w:color="000000" w:sz="4" w:space="0"/>
              <w:right w:val="single" w:color="000000" w:sz="4" w:space="0"/>
            </w:tcBorders>
            <w:noWrap w:val="0"/>
            <w:vAlign w:val="center"/>
          </w:tcPr>
          <w:p w14:paraId="37C1A2B2">
            <w:pPr>
              <w:widowControl/>
              <w:spacing w:line="360" w:lineRule="exact"/>
              <w:jc w:val="center"/>
              <w:rPr>
                <w:rFonts w:hint="eastAsia" w:ascii="宋体" w:hAnsi="宋体" w:cs="宋体"/>
                <w:color w:val="auto"/>
                <w:szCs w:val="21"/>
                <w:highlight w:val="none"/>
                <w:lang w:bidi="ar"/>
              </w:rPr>
            </w:pPr>
          </w:p>
        </w:tc>
      </w:tr>
      <w:tr w14:paraId="1D56684E">
        <w:tblPrEx>
          <w:tblCellMar>
            <w:top w:w="0" w:type="dxa"/>
            <w:left w:w="108" w:type="dxa"/>
            <w:bottom w:w="0" w:type="dxa"/>
            <w:right w:w="108" w:type="dxa"/>
          </w:tblCellMar>
        </w:tblPrEx>
        <w:trPr>
          <w:trHeight w:val="360" w:hRule="atLeast"/>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669FB8F4">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7</w:t>
            </w:r>
          </w:p>
        </w:tc>
        <w:tc>
          <w:tcPr>
            <w:tcW w:w="608" w:type="pct"/>
            <w:tcBorders>
              <w:top w:val="single" w:color="000000" w:sz="4" w:space="0"/>
              <w:left w:val="single" w:color="000000" w:sz="4" w:space="0"/>
              <w:bottom w:val="single" w:color="000000" w:sz="4" w:space="0"/>
              <w:right w:val="single" w:color="000000" w:sz="4" w:space="0"/>
            </w:tcBorders>
            <w:noWrap w:val="0"/>
            <w:vAlign w:val="center"/>
          </w:tcPr>
          <w:p w14:paraId="526519C7">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杆件、预埋件、基础</w:t>
            </w:r>
          </w:p>
        </w:tc>
        <w:tc>
          <w:tcPr>
            <w:tcW w:w="2765" w:type="pct"/>
            <w:tcBorders>
              <w:top w:val="single" w:color="000000" w:sz="4" w:space="0"/>
              <w:left w:val="single" w:color="000000" w:sz="4" w:space="0"/>
              <w:bottom w:val="single" w:color="000000" w:sz="4" w:space="0"/>
              <w:right w:val="single" w:color="000000" w:sz="4" w:space="0"/>
            </w:tcBorders>
            <w:noWrap w:val="0"/>
            <w:vAlign w:val="center"/>
          </w:tcPr>
          <w:p w14:paraId="441146D2">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lang w:bidi="ar"/>
              </w:rPr>
              <w:t>#1</w:t>
            </w:r>
            <w:r>
              <w:rPr>
                <w:rFonts w:hint="eastAsia" w:ascii="宋体" w:hAnsi="宋体" w:cs="宋体"/>
                <w:color w:val="auto"/>
                <w:szCs w:val="21"/>
                <w:highlight w:val="none"/>
                <w:lang w:val="en-US" w:eastAsia="zh-CN" w:bidi="ar"/>
              </w:rPr>
              <w:t>.</w:t>
            </w:r>
            <w:r>
              <w:rPr>
                <w:rFonts w:hint="eastAsia" w:ascii="宋体" w:hAnsi="宋体" w:cs="宋体"/>
                <w:color w:val="auto"/>
                <w:szCs w:val="21"/>
                <w:highlight w:val="none"/>
                <w:lang w:bidi="ar"/>
              </w:rPr>
              <w:t>杆件:3m高,≥Φ89mm镀锌，壁厚≥2.0mm；基础：C25混凝土，规格：40cm(L)*40cm(L)*60cm(H)；预埋件地笼面板240mm（L）*240mm(L)-3mm(T)，对边距160mm*160mm,4根M18-650mm长地脚螺栓。</w:t>
            </w:r>
          </w:p>
        </w:tc>
        <w:tc>
          <w:tcPr>
            <w:tcW w:w="522" w:type="pct"/>
            <w:tcBorders>
              <w:top w:val="single" w:color="000000" w:sz="4" w:space="0"/>
              <w:left w:val="single" w:color="000000" w:sz="4" w:space="0"/>
              <w:bottom w:val="single" w:color="000000" w:sz="4" w:space="0"/>
              <w:right w:val="single" w:color="000000" w:sz="4" w:space="0"/>
            </w:tcBorders>
            <w:noWrap w:val="0"/>
            <w:vAlign w:val="center"/>
          </w:tcPr>
          <w:p w14:paraId="5AC4FE7E">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42</w:t>
            </w:r>
          </w:p>
        </w:tc>
        <w:tc>
          <w:tcPr>
            <w:tcW w:w="294" w:type="pct"/>
            <w:tcBorders>
              <w:top w:val="single" w:color="000000" w:sz="4" w:space="0"/>
              <w:left w:val="single" w:color="000000" w:sz="4" w:space="0"/>
              <w:bottom w:val="single" w:color="000000" w:sz="4" w:space="0"/>
              <w:right w:val="single" w:color="000000" w:sz="4" w:space="0"/>
            </w:tcBorders>
            <w:noWrap w:val="0"/>
            <w:vAlign w:val="center"/>
          </w:tcPr>
          <w:p w14:paraId="05663609">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套</w:t>
            </w:r>
          </w:p>
        </w:tc>
        <w:tc>
          <w:tcPr>
            <w:tcW w:w="500" w:type="pct"/>
            <w:tcBorders>
              <w:top w:val="single" w:color="000000" w:sz="4" w:space="0"/>
              <w:left w:val="single" w:color="000000" w:sz="4" w:space="0"/>
              <w:bottom w:val="single" w:color="000000" w:sz="4" w:space="0"/>
              <w:right w:val="single" w:color="000000" w:sz="4" w:space="0"/>
            </w:tcBorders>
            <w:noWrap w:val="0"/>
            <w:vAlign w:val="center"/>
          </w:tcPr>
          <w:p w14:paraId="3BA9865C">
            <w:pPr>
              <w:widowControl/>
              <w:spacing w:line="360" w:lineRule="exact"/>
              <w:jc w:val="center"/>
              <w:rPr>
                <w:rFonts w:hint="eastAsia" w:ascii="宋体" w:hAnsi="宋体" w:cs="宋体"/>
                <w:color w:val="auto"/>
                <w:szCs w:val="21"/>
                <w:highlight w:val="none"/>
                <w:lang w:bidi="ar"/>
              </w:rPr>
            </w:pPr>
          </w:p>
        </w:tc>
      </w:tr>
      <w:tr w14:paraId="3DFBC2F4">
        <w:tblPrEx>
          <w:tblCellMar>
            <w:top w:w="0" w:type="dxa"/>
            <w:left w:w="108" w:type="dxa"/>
            <w:bottom w:w="0" w:type="dxa"/>
            <w:right w:w="108" w:type="dxa"/>
          </w:tblCellMar>
        </w:tblPrEx>
        <w:trPr>
          <w:trHeight w:val="360" w:hRule="atLeast"/>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683227A8">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8</w:t>
            </w:r>
          </w:p>
        </w:tc>
        <w:tc>
          <w:tcPr>
            <w:tcW w:w="608" w:type="pct"/>
            <w:tcBorders>
              <w:top w:val="single" w:color="000000" w:sz="4" w:space="0"/>
              <w:left w:val="single" w:color="000000" w:sz="4" w:space="0"/>
              <w:bottom w:val="single" w:color="000000" w:sz="4" w:space="0"/>
              <w:right w:val="single" w:color="000000" w:sz="4" w:space="0"/>
            </w:tcBorders>
            <w:noWrap w:val="0"/>
            <w:vAlign w:val="center"/>
          </w:tcPr>
          <w:p w14:paraId="64F1CA7F">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硬化路面取芯</w:t>
            </w:r>
          </w:p>
        </w:tc>
        <w:tc>
          <w:tcPr>
            <w:tcW w:w="2765" w:type="pct"/>
            <w:tcBorders>
              <w:top w:val="single" w:color="000000" w:sz="4" w:space="0"/>
              <w:left w:val="single" w:color="000000" w:sz="4" w:space="0"/>
              <w:bottom w:val="single" w:color="000000" w:sz="4" w:space="0"/>
              <w:right w:val="single" w:color="000000" w:sz="4" w:space="0"/>
            </w:tcBorders>
            <w:noWrap w:val="0"/>
            <w:vAlign w:val="center"/>
          </w:tcPr>
          <w:p w14:paraId="0A5981CC">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lang w:bidi="ar"/>
              </w:rPr>
              <w:t>#1</w:t>
            </w:r>
            <w:r>
              <w:rPr>
                <w:rFonts w:hint="eastAsia" w:ascii="宋体" w:hAnsi="宋体" w:cs="宋体"/>
                <w:color w:val="auto"/>
                <w:szCs w:val="21"/>
                <w:highlight w:val="none"/>
                <w:lang w:val="en-US" w:eastAsia="zh-CN" w:bidi="ar"/>
              </w:rPr>
              <w:t>.</w:t>
            </w:r>
            <w:r>
              <w:rPr>
                <w:rFonts w:hint="eastAsia" w:ascii="宋体" w:hAnsi="宋体" w:cs="宋体"/>
                <w:color w:val="auto"/>
                <w:szCs w:val="21"/>
                <w:highlight w:val="none"/>
                <w:lang w:bidi="ar"/>
              </w:rPr>
              <w:t>硬化路面取芯打孔，直径：100mm,深度：≥25cm。</w:t>
            </w:r>
          </w:p>
        </w:tc>
        <w:tc>
          <w:tcPr>
            <w:tcW w:w="522" w:type="pct"/>
            <w:tcBorders>
              <w:top w:val="single" w:color="000000" w:sz="4" w:space="0"/>
              <w:left w:val="single" w:color="000000" w:sz="4" w:space="0"/>
              <w:bottom w:val="single" w:color="000000" w:sz="4" w:space="0"/>
              <w:right w:val="single" w:color="000000" w:sz="4" w:space="0"/>
            </w:tcBorders>
            <w:noWrap w:val="0"/>
            <w:vAlign w:val="center"/>
          </w:tcPr>
          <w:p w14:paraId="485FEFB0">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28</w:t>
            </w:r>
          </w:p>
        </w:tc>
        <w:tc>
          <w:tcPr>
            <w:tcW w:w="294" w:type="pct"/>
            <w:tcBorders>
              <w:top w:val="single" w:color="000000" w:sz="4" w:space="0"/>
              <w:left w:val="single" w:color="000000" w:sz="4" w:space="0"/>
              <w:bottom w:val="single" w:color="000000" w:sz="4" w:space="0"/>
              <w:right w:val="single" w:color="000000" w:sz="4" w:space="0"/>
            </w:tcBorders>
            <w:noWrap w:val="0"/>
            <w:vAlign w:val="center"/>
          </w:tcPr>
          <w:p w14:paraId="5A7568E7">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根</w:t>
            </w:r>
          </w:p>
        </w:tc>
        <w:tc>
          <w:tcPr>
            <w:tcW w:w="500" w:type="pct"/>
            <w:tcBorders>
              <w:top w:val="single" w:color="000000" w:sz="4" w:space="0"/>
              <w:left w:val="single" w:color="000000" w:sz="4" w:space="0"/>
              <w:bottom w:val="single" w:color="000000" w:sz="4" w:space="0"/>
              <w:right w:val="single" w:color="000000" w:sz="4" w:space="0"/>
            </w:tcBorders>
            <w:noWrap w:val="0"/>
            <w:vAlign w:val="center"/>
          </w:tcPr>
          <w:p w14:paraId="7840F3AF">
            <w:pPr>
              <w:widowControl/>
              <w:spacing w:line="360" w:lineRule="exact"/>
              <w:jc w:val="center"/>
              <w:rPr>
                <w:rFonts w:hint="eastAsia" w:ascii="宋体" w:hAnsi="宋体" w:cs="宋体"/>
                <w:color w:val="auto"/>
                <w:szCs w:val="21"/>
                <w:highlight w:val="none"/>
                <w:lang w:bidi="ar"/>
              </w:rPr>
            </w:pPr>
          </w:p>
        </w:tc>
      </w:tr>
      <w:tr w14:paraId="6C8BCDF4">
        <w:tblPrEx>
          <w:tblCellMar>
            <w:top w:w="0" w:type="dxa"/>
            <w:left w:w="108" w:type="dxa"/>
            <w:bottom w:w="0" w:type="dxa"/>
            <w:right w:w="108" w:type="dxa"/>
          </w:tblCellMar>
        </w:tblPrEx>
        <w:trPr>
          <w:trHeight w:val="360" w:hRule="atLeast"/>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1F324076">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9</w:t>
            </w:r>
          </w:p>
        </w:tc>
        <w:tc>
          <w:tcPr>
            <w:tcW w:w="608" w:type="pct"/>
            <w:tcBorders>
              <w:top w:val="single" w:color="000000" w:sz="4" w:space="0"/>
              <w:left w:val="single" w:color="000000" w:sz="4" w:space="0"/>
              <w:bottom w:val="single" w:color="000000" w:sz="4" w:space="0"/>
              <w:right w:val="single" w:color="000000" w:sz="4" w:space="0"/>
            </w:tcBorders>
            <w:noWrap w:val="0"/>
            <w:vAlign w:val="center"/>
          </w:tcPr>
          <w:p w14:paraId="04D4EE07">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人行横道线</w:t>
            </w:r>
          </w:p>
        </w:tc>
        <w:tc>
          <w:tcPr>
            <w:tcW w:w="2765" w:type="pct"/>
            <w:tcBorders>
              <w:top w:val="single" w:color="000000" w:sz="4" w:space="0"/>
              <w:left w:val="single" w:color="000000" w:sz="4" w:space="0"/>
              <w:bottom w:val="single" w:color="000000" w:sz="4" w:space="0"/>
              <w:right w:val="single" w:color="000000" w:sz="4" w:space="0"/>
            </w:tcBorders>
            <w:noWrap w:val="0"/>
            <w:vAlign w:val="center"/>
          </w:tcPr>
          <w:p w14:paraId="1E774CB9">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lang w:bidi="ar"/>
              </w:rPr>
              <w:t>#1</w:t>
            </w:r>
            <w:r>
              <w:rPr>
                <w:rFonts w:hint="eastAsia" w:ascii="宋体" w:hAnsi="宋体" w:cs="宋体"/>
                <w:color w:val="auto"/>
                <w:szCs w:val="21"/>
                <w:highlight w:val="none"/>
                <w:lang w:val="en-US" w:eastAsia="zh-CN" w:bidi="ar"/>
              </w:rPr>
              <w:t>.</w:t>
            </w:r>
            <w:r>
              <w:rPr>
                <w:rFonts w:hint="eastAsia" w:ascii="宋体" w:hAnsi="宋体" w:cs="宋体"/>
                <w:color w:val="auto"/>
                <w:szCs w:val="21"/>
                <w:highlight w:val="none"/>
                <w:lang w:bidi="ar"/>
              </w:rPr>
              <w:t>热熔标线；</w:t>
            </w:r>
            <w:r>
              <w:rPr>
                <w:rFonts w:hint="eastAsia" w:ascii="宋体" w:hAnsi="宋体" w:cs="宋体"/>
                <w:color w:val="auto"/>
                <w:szCs w:val="21"/>
                <w:highlight w:val="none"/>
                <w:lang w:val="en-US" w:eastAsia="zh-CN" w:bidi="ar"/>
              </w:rPr>
              <w:t>厚度</w:t>
            </w:r>
            <w:r>
              <w:rPr>
                <w:rFonts w:hint="eastAsia" w:ascii="宋体" w:hAnsi="宋体" w:cs="宋体"/>
                <w:color w:val="auto"/>
                <w:szCs w:val="21"/>
                <w:highlight w:val="none"/>
                <w:lang w:bidi="ar"/>
              </w:rPr>
              <w:t>：1.5-2.5mm；宽度：≥45cm。</w:t>
            </w:r>
          </w:p>
        </w:tc>
        <w:tc>
          <w:tcPr>
            <w:tcW w:w="522" w:type="pct"/>
            <w:tcBorders>
              <w:top w:val="single" w:color="000000" w:sz="4" w:space="0"/>
              <w:left w:val="single" w:color="000000" w:sz="4" w:space="0"/>
              <w:bottom w:val="single" w:color="000000" w:sz="4" w:space="0"/>
              <w:right w:val="single" w:color="000000" w:sz="4" w:space="0"/>
            </w:tcBorders>
            <w:noWrap w:val="0"/>
            <w:vAlign w:val="center"/>
          </w:tcPr>
          <w:p w14:paraId="395D699F">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3957.5</w:t>
            </w:r>
          </w:p>
        </w:tc>
        <w:tc>
          <w:tcPr>
            <w:tcW w:w="294" w:type="pct"/>
            <w:tcBorders>
              <w:top w:val="single" w:color="000000" w:sz="4" w:space="0"/>
              <w:left w:val="single" w:color="000000" w:sz="4" w:space="0"/>
              <w:bottom w:val="single" w:color="000000" w:sz="4" w:space="0"/>
              <w:right w:val="single" w:color="000000" w:sz="4" w:space="0"/>
            </w:tcBorders>
            <w:noWrap w:val="0"/>
            <w:vAlign w:val="center"/>
          </w:tcPr>
          <w:p w14:paraId="1C4ED50E">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w:t>
            </w:r>
          </w:p>
        </w:tc>
        <w:tc>
          <w:tcPr>
            <w:tcW w:w="500" w:type="pct"/>
            <w:tcBorders>
              <w:top w:val="single" w:color="000000" w:sz="4" w:space="0"/>
              <w:left w:val="single" w:color="000000" w:sz="4" w:space="0"/>
              <w:bottom w:val="single" w:color="000000" w:sz="4" w:space="0"/>
              <w:right w:val="single" w:color="000000" w:sz="4" w:space="0"/>
            </w:tcBorders>
            <w:noWrap w:val="0"/>
            <w:vAlign w:val="center"/>
          </w:tcPr>
          <w:p w14:paraId="68B9170B">
            <w:pPr>
              <w:widowControl/>
              <w:spacing w:line="360" w:lineRule="exact"/>
              <w:jc w:val="center"/>
              <w:rPr>
                <w:rFonts w:hint="eastAsia" w:ascii="宋体" w:hAnsi="宋体" w:cs="宋体"/>
                <w:color w:val="auto"/>
                <w:szCs w:val="21"/>
                <w:highlight w:val="none"/>
                <w:lang w:bidi="ar"/>
              </w:rPr>
            </w:pPr>
          </w:p>
        </w:tc>
      </w:tr>
      <w:tr w14:paraId="18853564">
        <w:tblPrEx>
          <w:tblCellMar>
            <w:top w:w="0" w:type="dxa"/>
            <w:left w:w="108" w:type="dxa"/>
            <w:bottom w:w="0" w:type="dxa"/>
            <w:right w:w="108" w:type="dxa"/>
          </w:tblCellMar>
        </w:tblPrEx>
        <w:trPr>
          <w:trHeight w:val="360" w:hRule="atLeast"/>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1AC7D6B3">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10</w:t>
            </w:r>
          </w:p>
        </w:tc>
        <w:tc>
          <w:tcPr>
            <w:tcW w:w="608" w:type="pct"/>
            <w:tcBorders>
              <w:top w:val="single" w:color="000000" w:sz="4" w:space="0"/>
              <w:left w:val="single" w:color="000000" w:sz="4" w:space="0"/>
              <w:bottom w:val="single" w:color="000000" w:sz="4" w:space="0"/>
              <w:right w:val="single" w:color="000000" w:sz="4" w:space="0"/>
            </w:tcBorders>
            <w:noWrap w:val="0"/>
            <w:vAlign w:val="center"/>
          </w:tcPr>
          <w:p w14:paraId="12A107DA">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禁停网状线</w:t>
            </w:r>
          </w:p>
        </w:tc>
        <w:tc>
          <w:tcPr>
            <w:tcW w:w="2765" w:type="pct"/>
            <w:tcBorders>
              <w:top w:val="single" w:color="000000" w:sz="4" w:space="0"/>
              <w:left w:val="single" w:color="000000" w:sz="4" w:space="0"/>
              <w:bottom w:val="single" w:color="000000" w:sz="4" w:space="0"/>
              <w:right w:val="single" w:color="000000" w:sz="4" w:space="0"/>
            </w:tcBorders>
            <w:noWrap w:val="0"/>
            <w:vAlign w:val="center"/>
          </w:tcPr>
          <w:p w14:paraId="39D89D10">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lang w:bidi="ar"/>
              </w:rPr>
              <w:t>#1</w:t>
            </w:r>
            <w:r>
              <w:rPr>
                <w:rFonts w:hint="eastAsia" w:ascii="宋体" w:hAnsi="宋体" w:cs="宋体"/>
                <w:color w:val="auto"/>
                <w:szCs w:val="21"/>
                <w:highlight w:val="none"/>
                <w:lang w:val="en-US" w:eastAsia="zh-CN" w:bidi="ar"/>
              </w:rPr>
              <w:t>.</w:t>
            </w:r>
            <w:r>
              <w:rPr>
                <w:rFonts w:hint="eastAsia" w:ascii="宋体" w:hAnsi="宋体" w:cs="宋体"/>
                <w:color w:val="auto"/>
                <w:szCs w:val="21"/>
                <w:highlight w:val="none"/>
                <w:lang w:bidi="ar"/>
              </w:rPr>
              <w:t>热熔标线；</w:t>
            </w:r>
            <w:r>
              <w:rPr>
                <w:rFonts w:hint="eastAsia" w:ascii="宋体" w:hAnsi="宋体" w:cs="宋体"/>
                <w:color w:val="auto"/>
                <w:szCs w:val="21"/>
                <w:highlight w:val="none"/>
                <w:lang w:val="en-US" w:eastAsia="zh-CN" w:bidi="ar"/>
              </w:rPr>
              <w:t>厚度</w:t>
            </w:r>
            <w:r>
              <w:rPr>
                <w:rFonts w:hint="eastAsia" w:ascii="宋体" w:hAnsi="宋体" w:cs="宋体"/>
                <w:color w:val="auto"/>
                <w:szCs w:val="21"/>
                <w:highlight w:val="none"/>
                <w:lang w:bidi="ar"/>
              </w:rPr>
              <w:t>：1.5-2.5mm；宽度：≥15cm。</w:t>
            </w:r>
          </w:p>
        </w:tc>
        <w:tc>
          <w:tcPr>
            <w:tcW w:w="522" w:type="pct"/>
            <w:tcBorders>
              <w:top w:val="single" w:color="000000" w:sz="4" w:space="0"/>
              <w:left w:val="single" w:color="000000" w:sz="4" w:space="0"/>
              <w:bottom w:val="single" w:color="000000" w:sz="4" w:space="0"/>
              <w:right w:val="single" w:color="000000" w:sz="4" w:space="0"/>
            </w:tcBorders>
            <w:noWrap w:val="0"/>
            <w:vAlign w:val="center"/>
          </w:tcPr>
          <w:p w14:paraId="2A695D3D">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10834</w:t>
            </w:r>
          </w:p>
        </w:tc>
        <w:tc>
          <w:tcPr>
            <w:tcW w:w="294" w:type="pct"/>
            <w:tcBorders>
              <w:top w:val="single" w:color="000000" w:sz="4" w:space="0"/>
              <w:left w:val="single" w:color="000000" w:sz="4" w:space="0"/>
              <w:bottom w:val="single" w:color="000000" w:sz="4" w:space="0"/>
              <w:right w:val="single" w:color="000000" w:sz="4" w:space="0"/>
            </w:tcBorders>
            <w:noWrap w:val="0"/>
            <w:vAlign w:val="center"/>
          </w:tcPr>
          <w:p w14:paraId="03C35FB0">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w:t>
            </w:r>
          </w:p>
        </w:tc>
        <w:tc>
          <w:tcPr>
            <w:tcW w:w="500" w:type="pct"/>
            <w:tcBorders>
              <w:top w:val="single" w:color="000000" w:sz="4" w:space="0"/>
              <w:left w:val="single" w:color="000000" w:sz="4" w:space="0"/>
              <w:bottom w:val="single" w:color="000000" w:sz="4" w:space="0"/>
              <w:right w:val="single" w:color="000000" w:sz="4" w:space="0"/>
            </w:tcBorders>
            <w:noWrap w:val="0"/>
            <w:vAlign w:val="center"/>
          </w:tcPr>
          <w:p w14:paraId="75ED66E5">
            <w:pPr>
              <w:widowControl/>
              <w:spacing w:line="360" w:lineRule="exact"/>
              <w:jc w:val="center"/>
              <w:rPr>
                <w:rFonts w:hint="eastAsia" w:ascii="宋体" w:hAnsi="宋体" w:cs="宋体"/>
                <w:color w:val="auto"/>
                <w:szCs w:val="21"/>
                <w:highlight w:val="none"/>
                <w:lang w:bidi="ar"/>
              </w:rPr>
            </w:pPr>
          </w:p>
        </w:tc>
      </w:tr>
      <w:tr w14:paraId="470E6EA6">
        <w:tblPrEx>
          <w:tblCellMar>
            <w:top w:w="0" w:type="dxa"/>
            <w:left w:w="108" w:type="dxa"/>
            <w:bottom w:w="0" w:type="dxa"/>
            <w:right w:w="108" w:type="dxa"/>
          </w:tblCellMar>
        </w:tblPrEx>
        <w:trPr>
          <w:trHeight w:val="360" w:hRule="atLeast"/>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729980F3">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11</w:t>
            </w:r>
          </w:p>
        </w:tc>
        <w:tc>
          <w:tcPr>
            <w:tcW w:w="608" w:type="pct"/>
            <w:tcBorders>
              <w:top w:val="single" w:color="000000" w:sz="4" w:space="0"/>
              <w:left w:val="single" w:color="000000" w:sz="4" w:space="0"/>
              <w:bottom w:val="single" w:color="000000" w:sz="4" w:space="0"/>
              <w:right w:val="single" w:color="000000" w:sz="4" w:space="0"/>
            </w:tcBorders>
            <w:noWrap w:val="0"/>
            <w:vAlign w:val="center"/>
          </w:tcPr>
          <w:p w14:paraId="7C364E88">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清洗旧标线</w:t>
            </w:r>
          </w:p>
        </w:tc>
        <w:tc>
          <w:tcPr>
            <w:tcW w:w="2765" w:type="pct"/>
            <w:tcBorders>
              <w:top w:val="single" w:color="000000" w:sz="4" w:space="0"/>
              <w:left w:val="single" w:color="000000" w:sz="4" w:space="0"/>
              <w:bottom w:val="single" w:color="000000" w:sz="4" w:space="0"/>
              <w:right w:val="single" w:color="000000" w:sz="4" w:space="0"/>
            </w:tcBorders>
            <w:noWrap w:val="0"/>
            <w:vAlign w:val="center"/>
          </w:tcPr>
          <w:p w14:paraId="7FC5344B">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lang w:bidi="ar"/>
              </w:rPr>
              <w:t>#1</w:t>
            </w:r>
            <w:r>
              <w:rPr>
                <w:rFonts w:hint="eastAsia" w:ascii="宋体" w:hAnsi="宋体" w:cs="宋体"/>
                <w:color w:val="auto"/>
                <w:szCs w:val="21"/>
                <w:highlight w:val="none"/>
                <w:lang w:val="en-US" w:eastAsia="zh-CN" w:bidi="ar"/>
              </w:rPr>
              <w:t>.</w:t>
            </w:r>
            <w:r>
              <w:rPr>
                <w:rFonts w:hint="eastAsia" w:ascii="宋体" w:hAnsi="宋体" w:cs="宋体"/>
                <w:color w:val="auto"/>
                <w:szCs w:val="21"/>
                <w:highlight w:val="none"/>
                <w:lang w:bidi="ar"/>
              </w:rPr>
              <w:t>热熔标线清洗。</w:t>
            </w:r>
          </w:p>
        </w:tc>
        <w:tc>
          <w:tcPr>
            <w:tcW w:w="522" w:type="pct"/>
            <w:tcBorders>
              <w:top w:val="single" w:color="000000" w:sz="4" w:space="0"/>
              <w:left w:val="single" w:color="000000" w:sz="4" w:space="0"/>
              <w:bottom w:val="single" w:color="000000" w:sz="4" w:space="0"/>
              <w:right w:val="single" w:color="000000" w:sz="4" w:space="0"/>
            </w:tcBorders>
            <w:noWrap w:val="0"/>
            <w:vAlign w:val="center"/>
          </w:tcPr>
          <w:p w14:paraId="06920F8B">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215</w:t>
            </w:r>
          </w:p>
        </w:tc>
        <w:tc>
          <w:tcPr>
            <w:tcW w:w="294" w:type="pct"/>
            <w:tcBorders>
              <w:top w:val="single" w:color="000000" w:sz="4" w:space="0"/>
              <w:left w:val="single" w:color="000000" w:sz="4" w:space="0"/>
              <w:bottom w:val="single" w:color="000000" w:sz="4" w:space="0"/>
              <w:right w:val="single" w:color="000000" w:sz="4" w:space="0"/>
            </w:tcBorders>
            <w:noWrap w:val="0"/>
            <w:vAlign w:val="center"/>
          </w:tcPr>
          <w:p w14:paraId="284D4266">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w:t>
            </w:r>
          </w:p>
        </w:tc>
        <w:tc>
          <w:tcPr>
            <w:tcW w:w="500" w:type="pct"/>
            <w:tcBorders>
              <w:top w:val="single" w:color="000000" w:sz="4" w:space="0"/>
              <w:left w:val="single" w:color="000000" w:sz="4" w:space="0"/>
              <w:bottom w:val="single" w:color="000000" w:sz="4" w:space="0"/>
              <w:right w:val="single" w:color="000000" w:sz="4" w:space="0"/>
            </w:tcBorders>
            <w:noWrap w:val="0"/>
            <w:vAlign w:val="center"/>
          </w:tcPr>
          <w:p w14:paraId="190CA8E4">
            <w:pPr>
              <w:widowControl/>
              <w:spacing w:line="360" w:lineRule="exact"/>
              <w:jc w:val="center"/>
              <w:rPr>
                <w:rFonts w:hint="eastAsia" w:ascii="宋体" w:hAnsi="宋体" w:cs="宋体"/>
                <w:color w:val="auto"/>
                <w:szCs w:val="21"/>
                <w:highlight w:val="none"/>
                <w:lang w:bidi="ar"/>
              </w:rPr>
            </w:pPr>
          </w:p>
        </w:tc>
      </w:tr>
      <w:tr w14:paraId="4553E35F">
        <w:tblPrEx>
          <w:tblCellMar>
            <w:top w:w="0" w:type="dxa"/>
            <w:left w:w="108" w:type="dxa"/>
            <w:bottom w:w="0" w:type="dxa"/>
            <w:right w:w="108" w:type="dxa"/>
          </w:tblCellMar>
        </w:tblPrEx>
        <w:trPr>
          <w:trHeight w:val="360" w:hRule="atLeast"/>
        </w:trPr>
        <w:tc>
          <w:tcPr>
            <w:tcW w:w="4499" w:type="pct"/>
            <w:gridSpan w:val="5"/>
            <w:tcBorders>
              <w:top w:val="single" w:color="000000" w:sz="4" w:space="0"/>
              <w:left w:val="single" w:color="000000" w:sz="4" w:space="0"/>
              <w:bottom w:val="single" w:color="000000" w:sz="4" w:space="0"/>
              <w:right w:val="single" w:color="000000" w:sz="4" w:space="0"/>
            </w:tcBorders>
            <w:noWrap w:val="0"/>
            <w:vAlign w:val="center"/>
          </w:tcPr>
          <w:p w14:paraId="19A7E471">
            <w:pPr>
              <w:widowControl/>
              <w:spacing w:line="360" w:lineRule="exact"/>
              <w:jc w:val="center"/>
              <w:rPr>
                <w:rFonts w:ascii="宋体" w:hAnsi="宋体" w:cs="宋体"/>
                <w:b/>
                <w:bCs/>
                <w:color w:val="auto"/>
                <w:szCs w:val="21"/>
                <w:highlight w:val="none"/>
              </w:rPr>
            </w:pPr>
            <w:r>
              <w:rPr>
                <w:rFonts w:hint="eastAsia" w:ascii="宋体" w:hAnsi="宋体" w:cs="宋体"/>
                <w:b/>
                <w:bCs/>
                <w:color w:val="auto"/>
                <w:szCs w:val="21"/>
                <w:highlight w:val="none"/>
                <w:lang w:bidi="ar"/>
              </w:rPr>
              <w:t>二、隔离减速装置</w:t>
            </w:r>
          </w:p>
        </w:tc>
        <w:tc>
          <w:tcPr>
            <w:tcW w:w="500" w:type="pct"/>
            <w:tcBorders>
              <w:top w:val="single" w:color="000000" w:sz="4" w:space="0"/>
              <w:left w:val="single" w:color="000000" w:sz="4" w:space="0"/>
              <w:bottom w:val="single" w:color="000000" w:sz="4" w:space="0"/>
              <w:right w:val="single" w:color="000000" w:sz="4" w:space="0"/>
            </w:tcBorders>
            <w:noWrap w:val="0"/>
            <w:vAlign w:val="center"/>
          </w:tcPr>
          <w:p w14:paraId="1BC3A486">
            <w:pPr>
              <w:widowControl/>
              <w:spacing w:line="360" w:lineRule="exact"/>
              <w:jc w:val="center"/>
              <w:rPr>
                <w:rFonts w:hint="eastAsia" w:ascii="宋体" w:hAnsi="宋体" w:cs="宋体"/>
                <w:b/>
                <w:bCs/>
                <w:color w:val="auto"/>
                <w:szCs w:val="21"/>
                <w:highlight w:val="none"/>
                <w:lang w:bidi="ar"/>
              </w:rPr>
            </w:pPr>
          </w:p>
        </w:tc>
      </w:tr>
      <w:tr w14:paraId="234DF3B3">
        <w:tblPrEx>
          <w:tblCellMar>
            <w:top w:w="0" w:type="dxa"/>
            <w:left w:w="108" w:type="dxa"/>
            <w:bottom w:w="0" w:type="dxa"/>
            <w:right w:w="108" w:type="dxa"/>
          </w:tblCellMar>
        </w:tblPrEx>
        <w:trPr>
          <w:trHeight w:val="360" w:hRule="atLeast"/>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6B0C5C51">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12</w:t>
            </w:r>
          </w:p>
        </w:tc>
        <w:tc>
          <w:tcPr>
            <w:tcW w:w="608" w:type="pct"/>
            <w:tcBorders>
              <w:top w:val="single" w:color="000000" w:sz="4" w:space="0"/>
              <w:left w:val="single" w:color="000000" w:sz="4" w:space="0"/>
              <w:bottom w:val="single" w:color="000000" w:sz="4" w:space="0"/>
              <w:right w:val="single" w:color="000000" w:sz="4" w:space="0"/>
            </w:tcBorders>
            <w:noWrap w:val="0"/>
            <w:vAlign w:val="center"/>
          </w:tcPr>
          <w:p w14:paraId="693198CE">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震荡标线</w:t>
            </w:r>
          </w:p>
        </w:tc>
        <w:tc>
          <w:tcPr>
            <w:tcW w:w="2765" w:type="pct"/>
            <w:tcBorders>
              <w:top w:val="single" w:color="000000" w:sz="4" w:space="0"/>
              <w:left w:val="single" w:color="000000" w:sz="4" w:space="0"/>
              <w:bottom w:val="single" w:color="000000" w:sz="4" w:space="0"/>
              <w:right w:val="single" w:color="000000" w:sz="4" w:space="0"/>
            </w:tcBorders>
            <w:noWrap w:val="0"/>
            <w:vAlign w:val="center"/>
          </w:tcPr>
          <w:p w14:paraId="65D1869B">
            <w:pPr>
              <w:widowControl/>
              <w:spacing w:line="360" w:lineRule="exact"/>
              <w:jc w:val="lef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bidi="ar"/>
              </w:rPr>
              <w:t>#1</w:t>
            </w:r>
            <w:r>
              <w:rPr>
                <w:rFonts w:hint="eastAsia" w:ascii="宋体" w:hAnsi="宋体" w:cs="宋体"/>
                <w:color w:val="auto"/>
                <w:szCs w:val="21"/>
                <w:highlight w:val="none"/>
                <w:lang w:val="en-US" w:eastAsia="zh-CN" w:bidi="ar"/>
              </w:rPr>
              <w:t>.</w:t>
            </w:r>
            <w:r>
              <w:rPr>
                <w:rFonts w:hint="eastAsia" w:ascii="宋体" w:hAnsi="宋体" w:cs="宋体"/>
                <w:color w:val="auto"/>
                <w:szCs w:val="21"/>
                <w:highlight w:val="none"/>
                <w:lang w:bidi="ar"/>
              </w:rPr>
              <w:t>震荡标线；基底厚度≥1.8mm，宽度≥40cm；凸起部分厚度为3-8mm。</w:t>
            </w:r>
          </w:p>
        </w:tc>
        <w:tc>
          <w:tcPr>
            <w:tcW w:w="522" w:type="pct"/>
            <w:tcBorders>
              <w:top w:val="single" w:color="000000" w:sz="4" w:space="0"/>
              <w:left w:val="single" w:color="000000" w:sz="4" w:space="0"/>
              <w:bottom w:val="single" w:color="000000" w:sz="4" w:space="0"/>
              <w:right w:val="single" w:color="000000" w:sz="4" w:space="0"/>
            </w:tcBorders>
            <w:noWrap w:val="0"/>
            <w:vAlign w:val="center"/>
          </w:tcPr>
          <w:p w14:paraId="7596AD79">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3433</w:t>
            </w:r>
          </w:p>
        </w:tc>
        <w:tc>
          <w:tcPr>
            <w:tcW w:w="294" w:type="pct"/>
            <w:tcBorders>
              <w:top w:val="single" w:color="000000" w:sz="4" w:space="0"/>
              <w:left w:val="single" w:color="000000" w:sz="4" w:space="0"/>
              <w:bottom w:val="single" w:color="000000" w:sz="4" w:space="0"/>
              <w:right w:val="single" w:color="000000" w:sz="4" w:space="0"/>
            </w:tcBorders>
            <w:noWrap w:val="0"/>
            <w:vAlign w:val="center"/>
          </w:tcPr>
          <w:p w14:paraId="374EF4CD">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米</w:t>
            </w:r>
          </w:p>
        </w:tc>
        <w:tc>
          <w:tcPr>
            <w:tcW w:w="500" w:type="pct"/>
            <w:tcBorders>
              <w:top w:val="single" w:color="000000" w:sz="4" w:space="0"/>
              <w:left w:val="single" w:color="000000" w:sz="4" w:space="0"/>
              <w:bottom w:val="single" w:color="000000" w:sz="4" w:space="0"/>
              <w:right w:val="single" w:color="000000" w:sz="4" w:space="0"/>
            </w:tcBorders>
            <w:noWrap w:val="0"/>
            <w:vAlign w:val="center"/>
          </w:tcPr>
          <w:p w14:paraId="15867D49">
            <w:pPr>
              <w:widowControl/>
              <w:spacing w:line="360" w:lineRule="exact"/>
              <w:jc w:val="center"/>
              <w:rPr>
                <w:rFonts w:hint="eastAsia" w:ascii="宋体" w:hAnsi="宋体" w:cs="宋体"/>
                <w:color w:val="auto"/>
                <w:szCs w:val="21"/>
                <w:highlight w:val="none"/>
                <w:lang w:bidi="ar"/>
              </w:rPr>
            </w:pPr>
          </w:p>
        </w:tc>
      </w:tr>
      <w:tr w14:paraId="5F6472EB">
        <w:tblPrEx>
          <w:tblCellMar>
            <w:top w:w="0" w:type="dxa"/>
            <w:left w:w="108" w:type="dxa"/>
            <w:bottom w:w="0" w:type="dxa"/>
            <w:right w:w="108" w:type="dxa"/>
          </w:tblCellMar>
        </w:tblPrEx>
        <w:trPr>
          <w:trHeight w:val="360" w:hRule="atLeast"/>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5B5EF937">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13</w:t>
            </w:r>
          </w:p>
        </w:tc>
        <w:tc>
          <w:tcPr>
            <w:tcW w:w="608" w:type="pct"/>
            <w:tcBorders>
              <w:top w:val="single" w:color="000000" w:sz="4" w:space="0"/>
              <w:left w:val="single" w:color="000000" w:sz="4" w:space="0"/>
              <w:bottom w:val="single" w:color="000000" w:sz="4" w:space="0"/>
              <w:right w:val="single" w:color="000000" w:sz="4" w:space="0"/>
            </w:tcBorders>
            <w:noWrap w:val="0"/>
            <w:vAlign w:val="center"/>
          </w:tcPr>
          <w:p w14:paraId="3B875568">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隔离护栏</w:t>
            </w:r>
          </w:p>
        </w:tc>
        <w:tc>
          <w:tcPr>
            <w:tcW w:w="2765" w:type="pct"/>
            <w:tcBorders>
              <w:top w:val="single" w:color="000000" w:sz="4" w:space="0"/>
              <w:left w:val="single" w:color="000000" w:sz="4" w:space="0"/>
              <w:bottom w:val="single" w:color="000000" w:sz="4" w:space="0"/>
              <w:right w:val="single" w:color="000000" w:sz="4" w:space="0"/>
            </w:tcBorders>
            <w:noWrap w:val="0"/>
            <w:vAlign w:val="center"/>
          </w:tcPr>
          <w:p w14:paraId="6DC5A2C2">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lang w:bidi="ar"/>
              </w:rPr>
              <w:t>#1</w:t>
            </w:r>
            <w:r>
              <w:rPr>
                <w:rFonts w:hint="eastAsia" w:ascii="宋体" w:hAnsi="宋体" w:cs="宋体"/>
                <w:color w:val="auto"/>
                <w:szCs w:val="21"/>
                <w:highlight w:val="none"/>
                <w:lang w:val="en-US" w:eastAsia="zh-CN" w:bidi="ar"/>
              </w:rPr>
              <w:t>.</w:t>
            </w:r>
            <w:r>
              <w:rPr>
                <w:rFonts w:hint="eastAsia" w:ascii="宋体" w:hAnsi="宋体" w:cs="宋体"/>
                <w:color w:val="auto"/>
                <w:szCs w:val="21"/>
                <w:highlight w:val="none"/>
                <w:lang w:bidi="ar"/>
              </w:rPr>
              <w:t>类型：城市隔离护栏</w:t>
            </w:r>
            <w:r>
              <w:rPr>
                <w:rFonts w:hint="eastAsia" w:ascii="宋体" w:hAnsi="宋体" w:cs="宋体"/>
                <w:color w:val="auto"/>
                <w:szCs w:val="21"/>
                <w:highlight w:val="none"/>
                <w:lang w:eastAsia="zh-CN" w:bidi="ar"/>
              </w:rPr>
              <w:t>，</w:t>
            </w:r>
            <w:r>
              <w:rPr>
                <w:rFonts w:hint="eastAsia" w:ascii="宋体" w:hAnsi="宋体" w:cs="宋体"/>
                <w:color w:val="auto"/>
                <w:szCs w:val="21"/>
                <w:highlight w:val="none"/>
                <w:lang w:val="en-US" w:eastAsia="zh-CN" w:bidi="ar"/>
              </w:rPr>
              <w:t>颜色根据采购方要求定制</w:t>
            </w:r>
            <w:r>
              <w:rPr>
                <w:rFonts w:hint="eastAsia" w:ascii="宋体" w:hAnsi="宋体" w:cs="宋体"/>
                <w:color w:val="auto"/>
                <w:szCs w:val="21"/>
                <w:highlight w:val="none"/>
                <w:lang w:bidi="ar"/>
              </w:rPr>
              <w:t>；规格尺寸：护栏规格:1200mm（H）*3120mm(L)；立柱:120mm(L)*120mm(W)*1.5mm(T)；上下横杆：Φ60mm*1.2mm(T)；两边竖杆: Φ50mm*1.2mm(T)；内横杆：Φ40mm*1.2mm(T)；内圆弧：Φ40mm*1.8mm(T)；水泥底座：≥300*400*150mm。</w:t>
            </w:r>
          </w:p>
        </w:tc>
        <w:tc>
          <w:tcPr>
            <w:tcW w:w="522" w:type="pct"/>
            <w:tcBorders>
              <w:top w:val="single" w:color="000000" w:sz="4" w:space="0"/>
              <w:left w:val="single" w:color="000000" w:sz="4" w:space="0"/>
              <w:bottom w:val="single" w:color="000000" w:sz="4" w:space="0"/>
              <w:right w:val="single" w:color="000000" w:sz="4" w:space="0"/>
            </w:tcBorders>
            <w:noWrap w:val="0"/>
            <w:vAlign w:val="center"/>
          </w:tcPr>
          <w:p w14:paraId="05EE7898">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3967</w:t>
            </w:r>
          </w:p>
        </w:tc>
        <w:tc>
          <w:tcPr>
            <w:tcW w:w="294" w:type="pct"/>
            <w:tcBorders>
              <w:top w:val="single" w:color="000000" w:sz="4" w:space="0"/>
              <w:left w:val="single" w:color="000000" w:sz="4" w:space="0"/>
              <w:bottom w:val="single" w:color="000000" w:sz="4" w:space="0"/>
              <w:right w:val="single" w:color="000000" w:sz="4" w:space="0"/>
            </w:tcBorders>
            <w:noWrap w:val="0"/>
            <w:vAlign w:val="center"/>
          </w:tcPr>
          <w:p w14:paraId="28782E90">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米</w:t>
            </w:r>
          </w:p>
        </w:tc>
        <w:tc>
          <w:tcPr>
            <w:tcW w:w="500" w:type="pct"/>
            <w:tcBorders>
              <w:top w:val="single" w:color="000000" w:sz="4" w:space="0"/>
              <w:left w:val="single" w:color="000000" w:sz="4" w:space="0"/>
              <w:bottom w:val="single" w:color="000000" w:sz="4" w:space="0"/>
              <w:right w:val="single" w:color="000000" w:sz="4" w:space="0"/>
            </w:tcBorders>
            <w:noWrap w:val="0"/>
            <w:vAlign w:val="center"/>
          </w:tcPr>
          <w:p w14:paraId="7497CB7A">
            <w:pPr>
              <w:widowControl/>
              <w:spacing w:line="360" w:lineRule="exact"/>
              <w:jc w:val="center"/>
              <w:rPr>
                <w:rFonts w:hint="eastAsia" w:ascii="宋体" w:hAnsi="宋体" w:cs="宋体"/>
                <w:color w:val="auto"/>
                <w:szCs w:val="21"/>
                <w:highlight w:val="none"/>
                <w:lang w:bidi="ar"/>
              </w:rPr>
            </w:pPr>
          </w:p>
        </w:tc>
      </w:tr>
      <w:tr w14:paraId="67A46D3A">
        <w:tblPrEx>
          <w:tblCellMar>
            <w:top w:w="0" w:type="dxa"/>
            <w:left w:w="108" w:type="dxa"/>
            <w:bottom w:w="0" w:type="dxa"/>
            <w:right w:w="108" w:type="dxa"/>
          </w:tblCellMar>
        </w:tblPrEx>
        <w:trPr>
          <w:trHeight w:val="360" w:hRule="atLeast"/>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5BB42E15">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14</w:t>
            </w:r>
          </w:p>
        </w:tc>
        <w:tc>
          <w:tcPr>
            <w:tcW w:w="608" w:type="pct"/>
            <w:tcBorders>
              <w:top w:val="single" w:color="000000" w:sz="4" w:space="0"/>
              <w:left w:val="single" w:color="000000" w:sz="4" w:space="0"/>
              <w:bottom w:val="single" w:color="000000" w:sz="4" w:space="0"/>
              <w:right w:val="single" w:color="000000" w:sz="4" w:space="0"/>
            </w:tcBorders>
            <w:noWrap w:val="0"/>
            <w:vAlign w:val="center"/>
          </w:tcPr>
          <w:p w14:paraId="176C43B4">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防撞柱</w:t>
            </w:r>
          </w:p>
        </w:tc>
        <w:tc>
          <w:tcPr>
            <w:tcW w:w="2765" w:type="pct"/>
            <w:tcBorders>
              <w:top w:val="single" w:color="000000" w:sz="4" w:space="0"/>
              <w:left w:val="single" w:color="000000" w:sz="4" w:space="0"/>
              <w:bottom w:val="single" w:color="000000" w:sz="4" w:space="0"/>
              <w:right w:val="single" w:color="000000" w:sz="4" w:space="0"/>
            </w:tcBorders>
            <w:noWrap w:val="0"/>
            <w:vAlign w:val="center"/>
          </w:tcPr>
          <w:p w14:paraId="75DF5ED4">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lang w:bidi="ar"/>
              </w:rPr>
              <w:t>#1</w:t>
            </w:r>
            <w:r>
              <w:rPr>
                <w:rFonts w:hint="eastAsia" w:ascii="宋体" w:hAnsi="宋体" w:cs="宋体"/>
                <w:color w:val="auto"/>
                <w:szCs w:val="21"/>
                <w:highlight w:val="none"/>
                <w:lang w:val="en-US" w:eastAsia="zh-CN" w:bidi="ar"/>
              </w:rPr>
              <w:t>.</w:t>
            </w:r>
            <w:r>
              <w:rPr>
                <w:rFonts w:hint="eastAsia" w:ascii="宋体" w:hAnsi="宋体" w:cs="宋体"/>
                <w:color w:val="auto"/>
                <w:szCs w:val="21"/>
                <w:highlight w:val="none"/>
                <w:lang w:bidi="ar"/>
              </w:rPr>
              <w:t>材质、规格尺寸：热镀锌钢管</w:t>
            </w:r>
            <w:r>
              <w:rPr>
                <w:rFonts w:hint="eastAsia" w:ascii="宋体" w:hAnsi="宋体" w:cs="宋体"/>
                <w:color w:val="auto"/>
                <w:szCs w:val="21"/>
                <w:highlight w:val="none"/>
                <w:lang w:eastAsia="zh-CN" w:bidi="ar"/>
              </w:rPr>
              <w:t>；</w:t>
            </w:r>
            <w:r>
              <w:rPr>
                <w:rFonts w:hint="eastAsia" w:ascii="宋体" w:hAnsi="宋体" w:cs="宋体"/>
                <w:color w:val="auto"/>
                <w:szCs w:val="21"/>
                <w:highlight w:val="none"/>
                <w:lang w:bidi="ar"/>
              </w:rPr>
              <w:t xml:space="preserve">直径：165mm高度：85cm；厚度：≥2.0mm </w:t>
            </w:r>
            <w:r>
              <w:rPr>
                <w:rFonts w:hint="eastAsia" w:ascii="宋体" w:hAnsi="宋体" w:cs="宋体"/>
                <w:color w:val="auto"/>
                <w:szCs w:val="21"/>
                <w:highlight w:val="none"/>
                <w:lang w:eastAsia="zh-CN" w:bidi="ar"/>
              </w:rPr>
              <w:t>；</w:t>
            </w:r>
            <w:r>
              <w:rPr>
                <w:rFonts w:hint="eastAsia" w:ascii="宋体" w:hAnsi="宋体" w:cs="宋体"/>
                <w:color w:val="auto"/>
                <w:szCs w:val="21"/>
                <w:highlight w:val="none"/>
                <w:lang w:bidi="ar"/>
              </w:rPr>
              <w:t>三类高强黄黑反光膜</w:t>
            </w:r>
            <w:r>
              <w:rPr>
                <w:rFonts w:hint="eastAsia" w:ascii="宋体" w:hAnsi="宋体" w:cs="宋体"/>
                <w:color w:val="auto"/>
                <w:szCs w:val="21"/>
                <w:highlight w:val="none"/>
                <w:lang w:eastAsia="zh-CN" w:bidi="ar"/>
              </w:rPr>
              <w:t>；</w:t>
            </w:r>
            <w:r>
              <w:rPr>
                <w:rFonts w:hint="eastAsia" w:ascii="宋体" w:hAnsi="宋体" w:cs="宋体"/>
                <w:color w:val="auto"/>
                <w:szCs w:val="21"/>
                <w:highlight w:val="none"/>
                <w:lang w:bidi="ar"/>
              </w:rPr>
              <w:t xml:space="preserve"> 柱内C25混凝土灌方；取芯（硬化路面取芯打孔，直径：180mm,深度：25cm）。</w:t>
            </w:r>
          </w:p>
        </w:tc>
        <w:tc>
          <w:tcPr>
            <w:tcW w:w="522" w:type="pct"/>
            <w:tcBorders>
              <w:top w:val="single" w:color="000000" w:sz="4" w:space="0"/>
              <w:left w:val="single" w:color="000000" w:sz="4" w:space="0"/>
              <w:bottom w:val="single" w:color="000000" w:sz="4" w:space="0"/>
              <w:right w:val="single" w:color="000000" w:sz="4" w:space="0"/>
            </w:tcBorders>
            <w:noWrap w:val="0"/>
            <w:vAlign w:val="center"/>
          </w:tcPr>
          <w:p w14:paraId="27EB50FD">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252</w:t>
            </w:r>
          </w:p>
        </w:tc>
        <w:tc>
          <w:tcPr>
            <w:tcW w:w="294" w:type="pct"/>
            <w:tcBorders>
              <w:top w:val="single" w:color="000000" w:sz="4" w:space="0"/>
              <w:left w:val="single" w:color="000000" w:sz="4" w:space="0"/>
              <w:bottom w:val="single" w:color="000000" w:sz="4" w:space="0"/>
              <w:right w:val="single" w:color="000000" w:sz="4" w:space="0"/>
            </w:tcBorders>
            <w:noWrap w:val="0"/>
            <w:vAlign w:val="center"/>
          </w:tcPr>
          <w:p w14:paraId="52F84F89">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根</w:t>
            </w:r>
          </w:p>
        </w:tc>
        <w:tc>
          <w:tcPr>
            <w:tcW w:w="500" w:type="pct"/>
            <w:tcBorders>
              <w:top w:val="single" w:color="000000" w:sz="4" w:space="0"/>
              <w:left w:val="single" w:color="000000" w:sz="4" w:space="0"/>
              <w:bottom w:val="single" w:color="000000" w:sz="4" w:space="0"/>
              <w:right w:val="single" w:color="000000" w:sz="4" w:space="0"/>
            </w:tcBorders>
            <w:noWrap w:val="0"/>
            <w:vAlign w:val="center"/>
          </w:tcPr>
          <w:p w14:paraId="00778CFD">
            <w:pPr>
              <w:widowControl/>
              <w:spacing w:line="360" w:lineRule="exact"/>
              <w:jc w:val="center"/>
              <w:rPr>
                <w:rFonts w:hint="eastAsia" w:ascii="宋体" w:hAnsi="宋体" w:cs="宋体"/>
                <w:color w:val="auto"/>
                <w:szCs w:val="21"/>
                <w:highlight w:val="none"/>
                <w:lang w:bidi="ar"/>
              </w:rPr>
            </w:pPr>
          </w:p>
        </w:tc>
      </w:tr>
      <w:tr w14:paraId="4C26F54C">
        <w:tblPrEx>
          <w:tblCellMar>
            <w:top w:w="0" w:type="dxa"/>
            <w:left w:w="108" w:type="dxa"/>
            <w:bottom w:w="0" w:type="dxa"/>
            <w:right w:w="108" w:type="dxa"/>
          </w:tblCellMar>
        </w:tblPrEx>
        <w:trPr>
          <w:trHeight w:val="360" w:hRule="atLeast"/>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67223D0A">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15</w:t>
            </w:r>
          </w:p>
        </w:tc>
        <w:tc>
          <w:tcPr>
            <w:tcW w:w="608" w:type="pct"/>
            <w:tcBorders>
              <w:top w:val="single" w:color="000000" w:sz="4" w:space="0"/>
              <w:left w:val="single" w:color="000000" w:sz="4" w:space="0"/>
              <w:bottom w:val="single" w:color="000000" w:sz="4" w:space="0"/>
              <w:right w:val="single" w:color="000000" w:sz="4" w:space="0"/>
            </w:tcBorders>
            <w:noWrap w:val="0"/>
            <w:vAlign w:val="center"/>
          </w:tcPr>
          <w:p w14:paraId="0EE53DDB">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移动护栏</w:t>
            </w:r>
          </w:p>
        </w:tc>
        <w:tc>
          <w:tcPr>
            <w:tcW w:w="2765" w:type="pct"/>
            <w:tcBorders>
              <w:top w:val="single" w:color="000000" w:sz="4" w:space="0"/>
              <w:left w:val="single" w:color="000000" w:sz="4" w:space="0"/>
              <w:bottom w:val="single" w:color="000000" w:sz="4" w:space="0"/>
              <w:right w:val="single" w:color="000000" w:sz="4" w:space="0"/>
            </w:tcBorders>
            <w:noWrap w:val="0"/>
            <w:vAlign w:val="center"/>
          </w:tcPr>
          <w:p w14:paraId="2B091B54">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lang w:bidi="ar"/>
              </w:rPr>
              <w:t>#1</w:t>
            </w:r>
            <w:r>
              <w:rPr>
                <w:rFonts w:hint="eastAsia" w:ascii="宋体" w:hAnsi="宋体" w:cs="宋体"/>
                <w:color w:val="auto"/>
                <w:szCs w:val="21"/>
                <w:highlight w:val="none"/>
                <w:lang w:val="en-US" w:eastAsia="zh-CN" w:bidi="ar"/>
              </w:rPr>
              <w:t>.</w:t>
            </w:r>
            <w:r>
              <w:rPr>
                <w:rFonts w:hint="eastAsia" w:ascii="宋体" w:hAnsi="宋体" w:cs="宋体"/>
                <w:color w:val="auto"/>
                <w:szCs w:val="21"/>
                <w:highlight w:val="none"/>
                <w:lang w:bidi="ar"/>
              </w:rPr>
              <w:t>类型:深灰色城市隔离护栏；护栏规格:1200mm（H）*3120mm(L)；立柱:120mm(L)*120mm(W)*1.5mm(T)；上下横杆:Φ60mm*1.2mm(T)；两边竖杆:Φ50mm*1.2mm(T)；内横杆:Φ40mm*1.2mm(T)；</w:t>
            </w:r>
          </w:p>
        </w:tc>
        <w:tc>
          <w:tcPr>
            <w:tcW w:w="522" w:type="pct"/>
            <w:tcBorders>
              <w:top w:val="single" w:color="000000" w:sz="4" w:space="0"/>
              <w:left w:val="single" w:color="000000" w:sz="4" w:space="0"/>
              <w:bottom w:val="single" w:color="000000" w:sz="4" w:space="0"/>
              <w:right w:val="single" w:color="000000" w:sz="4" w:space="0"/>
            </w:tcBorders>
            <w:noWrap w:val="0"/>
            <w:vAlign w:val="center"/>
          </w:tcPr>
          <w:p w14:paraId="000C367C">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174</w:t>
            </w:r>
          </w:p>
        </w:tc>
        <w:tc>
          <w:tcPr>
            <w:tcW w:w="294" w:type="pct"/>
            <w:tcBorders>
              <w:top w:val="single" w:color="000000" w:sz="4" w:space="0"/>
              <w:left w:val="single" w:color="000000" w:sz="4" w:space="0"/>
              <w:bottom w:val="single" w:color="000000" w:sz="4" w:space="0"/>
              <w:right w:val="single" w:color="000000" w:sz="4" w:space="0"/>
            </w:tcBorders>
            <w:noWrap w:val="0"/>
            <w:vAlign w:val="center"/>
          </w:tcPr>
          <w:p w14:paraId="7F7B7419">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米</w:t>
            </w:r>
          </w:p>
        </w:tc>
        <w:tc>
          <w:tcPr>
            <w:tcW w:w="500" w:type="pct"/>
            <w:tcBorders>
              <w:top w:val="single" w:color="000000" w:sz="4" w:space="0"/>
              <w:left w:val="single" w:color="000000" w:sz="4" w:space="0"/>
              <w:bottom w:val="single" w:color="000000" w:sz="4" w:space="0"/>
              <w:right w:val="single" w:color="000000" w:sz="4" w:space="0"/>
            </w:tcBorders>
            <w:noWrap w:val="0"/>
            <w:vAlign w:val="center"/>
          </w:tcPr>
          <w:p w14:paraId="5A5C3231">
            <w:pPr>
              <w:widowControl/>
              <w:spacing w:line="360" w:lineRule="exact"/>
              <w:jc w:val="center"/>
              <w:rPr>
                <w:rFonts w:hint="eastAsia" w:ascii="宋体" w:hAnsi="宋体" w:cs="宋体"/>
                <w:color w:val="auto"/>
                <w:szCs w:val="21"/>
                <w:highlight w:val="none"/>
                <w:lang w:bidi="ar"/>
              </w:rPr>
            </w:pPr>
          </w:p>
        </w:tc>
      </w:tr>
      <w:tr w14:paraId="2BC3AC92">
        <w:tblPrEx>
          <w:tblCellMar>
            <w:top w:w="0" w:type="dxa"/>
            <w:left w:w="108" w:type="dxa"/>
            <w:bottom w:w="0" w:type="dxa"/>
            <w:right w:w="108" w:type="dxa"/>
          </w:tblCellMar>
        </w:tblPrEx>
        <w:trPr>
          <w:trHeight w:val="360" w:hRule="atLeast"/>
        </w:trPr>
        <w:tc>
          <w:tcPr>
            <w:tcW w:w="4499" w:type="pct"/>
            <w:gridSpan w:val="5"/>
            <w:tcBorders>
              <w:top w:val="single" w:color="000000" w:sz="4" w:space="0"/>
              <w:left w:val="single" w:color="000000" w:sz="4" w:space="0"/>
              <w:bottom w:val="single" w:color="000000" w:sz="4" w:space="0"/>
              <w:right w:val="single" w:color="000000" w:sz="4" w:space="0"/>
            </w:tcBorders>
            <w:noWrap w:val="0"/>
            <w:vAlign w:val="center"/>
          </w:tcPr>
          <w:p w14:paraId="018AFE3F">
            <w:pPr>
              <w:widowControl/>
              <w:spacing w:line="360" w:lineRule="exact"/>
              <w:jc w:val="center"/>
              <w:rPr>
                <w:rFonts w:ascii="宋体" w:hAnsi="宋体" w:cs="宋体"/>
                <w:b/>
                <w:bCs/>
                <w:color w:val="auto"/>
                <w:szCs w:val="21"/>
                <w:highlight w:val="none"/>
              </w:rPr>
            </w:pPr>
            <w:r>
              <w:rPr>
                <w:rFonts w:hint="eastAsia" w:ascii="宋体" w:hAnsi="宋体" w:cs="宋体"/>
                <w:b/>
                <w:bCs/>
                <w:color w:val="auto"/>
                <w:szCs w:val="21"/>
                <w:highlight w:val="none"/>
                <w:lang w:bidi="ar"/>
              </w:rPr>
              <w:t>三、护学岗配套物资</w:t>
            </w:r>
          </w:p>
        </w:tc>
        <w:tc>
          <w:tcPr>
            <w:tcW w:w="500" w:type="pct"/>
            <w:tcBorders>
              <w:top w:val="single" w:color="000000" w:sz="4" w:space="0"/>
              <w:left w:val="single" w:color="000000" w:sz="4" w:space="0"/>
              <w:bottom w:val="single" w:color="000000" w:sz="4" w:space="0"/>
              <w:right w:val="single" w:color="000000" w:sz="4" w:space="0"/>
            </w:tcBorders>
            <w:noWrap w:val="0"/>
            <w:vAlign w:val="center"/>
          </w:tcPr>
          <w:p w14:paraId="7300A3E8">
            <w:pPr>
              <w:widowControl/>
              <w:spacing w:line="360" w:lineRule="exact"/>
              <w:jc w:val="center"/>
              <w:rPr>
                <w:rFonts w:hint="eastAsia" w:ascii="宋体" w:hAnsi="宋体" w:cs="宋体"/>
                <w:b/>
                <w:bCs/>
                <w:color w:val="auto"/>
                <w:szCs w:val="21"/>
                <w:highlight w:val="none"/>
                <w:lang w:bidi="ar"/>
              </w:rPr>
            </w:pPr>
          </w:p>
        </w:tc>
      </w:tr>
      <w:tr w14:paraId="55A5E2E5">
        <w:tblPrEx>
          <w:tblCellMar>
            <w:top w:w="0" w:type="dxa"/>
            <w:left w:w="108" w:type="dxa"/>
            <w:bottom w:w="0" w:type="dxa"/>
            <w:right w:w="108" w:type="dxa"/>
          </w:tblCellMar>
        </w:tblPrEx>
        <w:trPr>
          <w:trHeight w:val="360" w:hRule="atLeast"/>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08FE2999">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16</w:t>
            </w:r>
          </w:p>
        </w:tc>
        <w:tc>
          <w:tcPr>
            <w:tcW w:w="608" w:type="pct"/>
            <w:tcBorders>
              <w:top w:val="single" w:color="000000" w:sz="4" w:space="0"/>
              <w:left w:val="single" w:color="000000" w:sz="4" w:space="0"/>
              <w:bottom w:val="single" w:color="000000" w:sz="4" w:space="0"/>
              <w:right w:val="single" w:color="000000" w:sz="4" w:space="0"/>
            </w:tcBorders>
            <w:noWrap w:val="0"/>
            <w:vAlign w:val="center"/>
          </w:tcPr>
          <w:p w14:paraId="243527F2">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移动信号灯</w:t>
            </w:r>
          </w:p>
        </w:tc>
        <w:tc>
          <w:tcPr>
            <w:tcW w:w="2765" w:type="pct"/>
            <w:tcBorders>
              <w:top w:val="single" w:color="000000" w:sz="4" w:space="0"/>
              <w:left w:val="single" w:color="000000" w:sz="4" w:space="0"/>
              <w:bottom w:val="single" w:color="000000" w:sz="4" w:space="0"/>
              <w:right w:val="single" w:color="000000" w:sz="4" w:space="0"/>
            </w:tcBorders>
            <w:noWrap w:val="0"/>
            <w:vAlign w:val="center"/>
          </w:tcPr>
          <w:p w14:paraId="577AC0B0">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lang w:bidi="ar"/>
              </w:rPr>
              <w:t>#1.出光面直径:≥Φ300mm；工作电压:DC12V；胶体电池:12V100AH；太阳能电池板:单晶硅 ≥50W；防护等级:≥IP54。</w:t>
            </w:r>
          </w:p>
        </w:tc>
        <w:tc>
          <w:tcPr>
            <w:tcW w:w="522" w:type="pct"/>
            <w:tcBorders>
              <w:top w:val="single" w:color="000000" w:sz="4" w:space="0"/>
              <w:left w:val="single" w:color="000000" w:sz="4" w:space="0"/>
              <w:bottom w:val="single" w:color="000000" w:sz="4" w:space="0"/>
              <w:right w:val="single" w:color="000000" w:sz="4" w:space="0"/>
            </w:tcBorders>
            <w:noWrap w:val="0"/>
            <w:vAlign w:val="center"/>
          </w:tcPr>
          <w:p w14:paraId="78E381CD">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40</w:t>
            </w:r>
          </w:p>
        </w:tc>
        <w:tc>
          <w:tcPr>
            <w:tcW w:w="294" w:type="pct"/>
            <w:tcBorders>
              <w:top w:val="single" w:color="000000" w:sz="4" w:space="0"/>
              <w:left w:val="single" w:color="000000" w:sz="4" w:space="0"/>
              <w:bottom w:val="single" w:color="000000" w:sz="4" w:space="0"/>
              <w:right w:val="single" w:color="000000" w:sz="4" w:space="0"/>
            </w:tcBorders>
            <w:noWrap w:val="0"/>
            <w:vAlign w:val="center"/>
          </w:tcPr>
          <w:p w14:paraId="29D07D1E">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个</w:t>
            </w:r>
          </w:p>
        </w:tc>
        <w:tc>
          <w:tcPr>
            <w:tcW w:w="500" w:type="pct"/>
            <w:tcBorders>
              <w:top w:val="single" w:color="000000" w:sz="4" w:space="0"/>
              <w:left w:val="single" w:color="000000" w:sz="4" w:space="0"/>
              <w:bottom w:val="single" w:color="000000" w:sz="4" w:space="0"/>
              <w:right w:val="single" w:color="000000" w:sz="4" w:space="0"/>
            </w:tcBorders>
            <w:noWrap w:val="0"/>
            <w:vAlign w:val="center"/>
          </w:tcPr>
          <w:p w14:paraId="069722A9">
            <w:pPr>
              <w:widowControl/>
              <w:spacing w:line="360" w:lineRule="exact"/>
              <w:jc w:val="center"/>
              <w:rPr>
                <w:rFonts w:hint="eastAsia" w:ascii="宋体" w:hAnsi="宋体" w:cs="宋体"/>
                <w:color w:val="auto"/>
                <w:szCs w:val="21"/>
                <w:highlight w:val="none"/>
                <w:lang w:bidi="ar"/>
              </w:rPr>
            </w:pPr>
          </w:p>
        </w:tc>
      </w:tr>
      <w:tr w14:paraId="33E46221">
        <w:tblPrEx>
          <w:tblCellMar>
            <w:top w:w="0" w:type="dxa"/>
            <w:left w:w="108" w:type="dxa"/>
            <w:bottom w:w="0" w:type="dxa"/>
            <w:right w:w="108" w:type="dxa"/>
          </w:tblCellMar>
        </w:tblPrEx>
        <w:trPr>
          <w:trHeight w:val="360" w:hRule="atLeast"/>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24ED3262">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17</w:t>
            </w:r>
          </w:p>
        </w:tc>
        <w:tc>
          <w:tcPr>
            <w:tcW w:w="608" w:type="pct"/>
            <w:tcBorders>
              <w:top w:val="single" w:color="000000" w:sz="4" w:space="0"/>
              <w:left w:val="single" w:color="000000" w:sz="4" w:space="0"/>
              <w:bottom w:val="single" w:color="000000" w:sz="4" w:space="0"/>
              <w:right w:val="single" w:color="000000" w:sz="4" w:space="0"/>
            </w:tcBorders>
            <w:noWrap w:val="0"/>
            <w:vAlign w:val="center"/>
          </w:tcPr>
          <w:p w14:paraId="5947B9EB">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反光背心</w:t>
            </w:r>
          </w:p>
        </w:tc>
        <w:tc>
          <w:tcPr>
            <w:tcW w:w="2765" w:type="pct"/>
            <w:tcBorders>
              <w:top w:val="single" w:color="000000" w:sz="4" w:space="0"/>
              <w:left w:val="single" w:color="000000" w:sz="4" w:space="0"/>
              <w:bottom w:val="single" w:color="000000" w:sz="4" w:space="0"/>
              <w:right w:val="single" w:color="000000" w:sz="4" w:space="0"/>
            </w:tcBorders>
            <w:noWrap w:val="0"/>
            <w:vAlign w:val="center"/>
          </w:tcPr>
          <w:p w14:paraId="4D98B7F5">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lang w:bidi="ar"/>
              </w:rPr>
              <w:t>#1.尺寸:均码；重量:≥150g；布料:针织布；颜色:荧光黄。</w:t>
            </w:r>
          </w:p>
        </w:tc>
        <w:tc>
          <w:tcPr>
            <w:tcW w:w="522" w:type="pct"/>
            <w:tcBorders>
              <w:top w:val="single" w:color="000000" w:sz="4" w:space="0"/>
              <w:left w:val="single" w:color="000000" w:sz="4" w:space="0"/>
              <w:bottom w:val="single" w:color="000000" w:sz="4" w:space="0"/>
              <w:right w:val="single" w:color="000000" w:sz="4" w:space="0"/>
            </w:tcBorders>
            <w:noWrap w:val="0"/>
            <w:vAlign w:val="center"/>
          </w:tcPr>
          <w:p w14:paraId="24ECB2EA">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1000</w:t>
            </w:r>
          </w:p>
        </w:tc>
        <w:tc>
          <w:tcPr>
            <w:tcW w:w="294" w:type="pct"/>
            <w:tcBorders>
              <w:top w:val="single" w:color="000000" w:sz="4" w:space="0"/>
              <w:left w:val="single" w:color="000000" w:sz="4" w:space="0"/>
              <w:bottom w:val="single" w:color="000000" w:sz="4" w:space="0"/>
              <w:right w:val="single" w:color="000000" w:sz="4" w:space="0"/>
            </w:tcBorders>
            <w:noWrap w:val="0"/>
            <w:vAlign w:val="center"/>
          </w:tcPr>
          <w:p w14:paraId="1525F48D">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个</w:t>
            </w:r>
          </w:p>
        </w:tc>
        <w:tc>
          <w:tcPr>
            <w:tcW w:w="500" w:type="pct"/>
            <w:tcBorders>
              <w:top w:val="single" w:color="000000" w:sz="4" w:space="0"/>
              <w:left w:val="single" w:color="000000" w:sz="4" w:space="0"/>
              <w:bottom w:val="single" w:color="000000" w:sz="4" w:space="0"/>
              <w:right w:val="single" w:color="000000" w:sz="4" w:space="0"/>
            </w:tcBorders>
            <w:noWrap w:val="0"/>
            <w:vAlign w:val="center"/>
          </w:tcPr>
          <w:p w14:paraId="75A26D3F">
            <w:pPr>
              <w:widowControl/>
              <w:spacing w:line="360" w:lineRule="exact"/>
              <w:jc w:val="center"/>
              <w:rPr>
                <w:rFonts w:hint="eastAsia" w:ascii="宋体" w:hAnsi="宋体" w:cs="宋体"/>
                <w:color w:val="auto"/>
                <w:szCs w:val="21"/>
                <w:highlight w:val="none"/>
                <w:lang w:bidi="ar"/>
              </w:rPr>
            </w:pPr>
          </w:p>
        </w:tc>
      </w:tr>
      <w:tr w14:paraId="5F3334E5">
        <w:tblPrEx>
          <w:tblCellMar>
            <w:top w:w="0" w:type="dxa"/>
            <w:left w:w="108" w:type="dxa"/>
            <w:bottom w:w="0" w:type="dxa"/>
            <w:right w:w="108" w:type="dxa"/>
          </w:tblCellMar>
        </w:tblPrEx>
        <w:trPr>
          <w:trHeight w:val="360" w:hRule="atLeast"/>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7F374336">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18</w:t>
            </w:r>
          </w:p>
        </w:tc>
        <w:tc>
          <w:tcPr>
            <w:tcW w:w="608" w:type="pct"/>
            <w:tcBorders>
              <w:top w:val="single" w:color="000000" w:sz="4" w:space="0"/>
              <w:left w:val="single" w:color="000000" w:sz="4" w:space="0"/>
              <w:bottom w:val="single" w:color="000000" w:sz="4" w:space="0"/>
              <w:right w:val="single" w:color="000000" w:sz="4" w:space="0"/>
            </w:tcBorders>
            <w:noWrap w:val="0"/>
            <w:vAlign w:val="center"/>
          </w:tcPr>
          <w:p w14:paraId="6B50C2F2">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指挥棒</w:t>
            </w:r>
          </w:p>
        </w:tc>
        <w:tc>
          <w:tcPr>
            <w:tcW w:w="2765" w:type="pct"/>
            <w:tcBorders>
              <w:top w:val="single" w:color="000000" w:sz="4" w:space="0"/>
              <w:left w:val="single" w:color="000000" w:sz="4" w:space="0"/>
              <w:bottom w:val="single" w:color="000000" w:sz="4" w:space="0"/>
              <w:right w:val="single" w:color="000000" w:sz="4" w:space="0"/>
            </w:tcBorders>
            <w:noWrap w:val="0"/>
            <w:vAlign w:val="center"/>
          </w:tcPr>
          <w:p w14:paraId="4010C4A9">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lang w:bidi="ar"/>
              </w:rPr>
              <w:t>#1.尺寸:≥50cm；款式:指挥棒；颜色:绿色；可视距离:≥800 米。</w:t>
            </w:r>
          </w:p>
        </w:tc>
        <w:tc>
          <w:tcPr>
            <w:tcW w:w="522" w:type="pct"/>
            <w:tcBorders>
              <w:top w:val="single" w:color="000000" w:sz="4" w:space="0"/>
              <w:left w:val="single" w:color="000000" w:sz="4" w:space="0"/>
              <w:bottom w:val="single" w:color="000000" w:sz="4" w:space="0"/>
              <w:right w:val="single" w:color="000000" w:sz="4" w:space="0"/>
            </w:tcBorders>
            <w:noWrap w:val="0"/>
            <w:vAlign w:val="center"/>
          </w:tcPr>
          <w:p w14:paraId="30608AEB">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200</w:t>
            </w:r>
          </w:p>
        </w:tc>
        <w:tc>
          <w:tcPr>
            <w:tcW w:w="294" w:type="pct"/>
            <w:tcBorders>
              <w:top w:val="single" w:color="000000" w:sz="4" w:space="0"/>
              <w:left w:val="single" w:color="000000" w:sz="4" w:space="0"/>
              <w:bottom w:val="single" w:color="000000" w:sz="4" w:space="0"/>
              <w:right w:val="single" w:color="000000" w:sz="4" w:space="0"/>
            </w:tcBorders>
            <w:noWrap w:val="0"/>
            <w:vAlign w:val="center"/>
          </w:tcPr>
          <w:p w14:paraId="403483DC">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个</w:t>
            </w:r>
          </w:p>
        </w:tc>
        <w:tc>
          <w:tcPr>
            <w:tcW w:w="500" w:type="pct"/>
            <w:tcBorders>
              <w:top w:val="single" w:color="000000" w:sz="4" w:space="0"/>
              <w:left w:val="single" w:color="000000" w:sz="4" w:space="0"/>
              <w:bottom w:val="single" w:color="000000" w:sz="4" w:space="0"/>
              <w:right w:val="single" w:color="000000" w:sz="4" w:space="0"/>
            </w:tcBorders>
            <w:noWrap w:val="0"/>
            <w:vAlign w:val="center"/>
          </w:tcPr>
          <w:p w14:paraId="4E1D593F">
            <w:pPr>
              <w:widowControl/>
              <w:spacing w:line="360" w:lineRule="exact"/>
              <w:jc w:val="center"/>
              <w:rPr>
                <w:rFonts w:hint="eastAsia" w:ascii="宋体" w:hAnsi="宋体" w:cs="宋体"/>
                <w:color w:val="auto"/>
                <w:szCs w:val="21"/>
                <w:highlight w:val="none"/>
                <w:lang w:bidi="ar"/>
              </w:rPr>
            </w:pPr>
          </w:p>
        </w:tc>
      </w:tr>
      <w:tr w14:paraId="39721CEC">
        <w:tblPrEx>
          <w:tblCellMar>
            <w:top w:w="0" w:type="dxa"/>
            <w:left w:w="108" w:type="dxa"/>
            <w:bottom w:w="0" w:type="dxa"/>
            <w:right w:w="108" w:type="dxa"/>
          </w:tblCellMar>
        </w:tblPrEx>
        <w:trPr>
          <w:trHeight w:val="360" w:hRule="atLeast"/>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0E43E6F2">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19</w:t>
            </w:r>
          </w:p>
        </w:tc>
        <w:tc>
          <w:tcPr>
            <w:tcW w:w="608" w:type="pct"/>
            <w:tcBorders>
              <w:top w:val="single" w:color="000000" w:sz="4" w:space="0"/>
              <w:left w:val="single" w:color="000000" w:sz="4" w:space="0"/>
              <w:bottom w:val="single" w:color="000000" w:sz="4" w:space="0"/>
              <w:right w:val="single" w:color="000000" w:sz="4" w:space="0"/>
            </w:tcBorders>
            <w:noWrap w:val="0"/>
            <w:vAlign w:val="center"/>
          </w:tcPr>
          <w:p w14:paraId="5FEFBAF9">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宣传喇叭</w:t>
            </w:r>
          </w:p>
        </w:tc>
        <w:tc>
          <w:tcPr>
            <w:tcW w:w="2765" w:type="pct"/>
            <w:tcBorders>
              <w:top w:val="single" w:color="000000" w:sz="4" w:space="0"/>
              <w:left w:val="single" w:color="000000" w:sz="4" w:space="0"/>
              <w:bottom w:val="single" w:color="000000" w:sz="4" w:space="0"/>
              <w:right w:val="single" w:color="000000" w:sz="4" w:space="0"/>
            </w:tcBorders>
            <w:noWrap w:val="0"/>
            <w:vAlign w:val="center"/>
          </w:tcPr>
          <w:p w14:paraId="1FF9D25A">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lang w:bidi="ar"/>
              </w:rPr>
              <w:t>#1.录音时长：≥120秒；电池容量：≥2000mAh；材质：ABS工程材质。</w:t>
            </w:r>
          </w:p>
        </w:tc>
        <w:tc>
          <w:tcPr>
            <w:tcW w:w="522" w:type="pct"/>
            <w:tcBorders>
              <w:top w:val="single" w:color="000000" w:sz="4" w:space="0"/>
              <w:left w:val="single" w:color="000000" w:sz="4" w:space="0"/>
              <w:bottom w:val="single" w:color="000000" w:sz="4" w:space="0"/>
              <w:right w:val="single" w:color="000000" w:sz="4" w:space="0"/>
            </w:tcBorders>
            <w:noWrap w:val="0"/>
            <w:vAlign w:val="center"/>
          </w:tcPr>
          <w:p w14:paraId="0FB1B83A">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100</w:t>
            </w:r>
          </w:p>
        </w:tc>
        <w:tc>
          <w:tcPr>
            <w:tcW w:w="294" w:type="pct"/>
            <w:tcBorders>
              <w:top w:val="single" w:color="000000" w:sz="4" w:space="0"/>
              <w:left w:val="single" w:color="000000" w:sz="4" w:space="0"/>
              <w:bottom w:val="single" w:color="000000" w:sz="4" w:space="0"/>
              <w:right w:val="single" w:color="000000" w:sz="4" w:space="0"/>
            </w:tcBorders>
            <w:noWrap w:val="0"/>
            <w:vAlign w:val="center"/>
          </w:tcPr>
          <w:p w14:paraId="3E2E75A5">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个</w:t>
            </w:r>
          </w:p>
        </w:tc>
        <w:tc>
          <w:tcPr>
            <w:tcW w:w="500" w:type="pct"/>
            <w:tcBorders>
              <w:top w:val="single" w:color="000000" w:sz="4" w:space="0"/>
              <w:left w:val="single" w:color="000000" w:sz="4" w:space="0"/>
              <w:bottom w:val="single" w:color="000000" w:sz="4" w:space="0"/>
              <w:right w:val="single" w:color="000000" w:sz="4" w:space="0"/>
            </w:tcBorders>
            <w:noWrap w:val="0"/>
            <w:vAlign w:val="center"/>
          </w:tcPr>
          <w:p w14:paraId="5B28B7D9">
            <w:pPr>
              <w:widowControl/>
              <w:spacing w:line="360" w:lineRule="exact"/>
              <w:jc w:val="center"/>
              <w:rPr>
                <w:rFonts w:hint="eastAsia" w:ascii="宋体" w:hAnsi="宋体" w:cs="宋体"/>
                <w:color w:val="auto"/>
                <w:szCs w:val="21"/>
                <w:highlight w:val="none"/>
                <w:lang w:bidi="ar"/>
              </w:rPr>
            </w:pPr>
          </w:p>
        </w:tc>
      </w:tr>
      <w:tr w14:paraId="4F6BE997">
        <w:tblPrEx>
          <w:tblCellMar>
            <w:top w:w="0" w:type="dxa"/>
            <w:left w:w="108" w:type="dxa"/>
            <w:bottom w:w="0" w:type="dxa"/>
            <w:right w:w="108" w:type="dxa"/>
          </w:tblCellMar>
        </w:tblPrEx>
        <w:trPr>
          <w:trHeight w:val="360" w:hRule="atLeast"/>
        </w:trPr>
        <w:tc>
          <w:tcPr>
            <w:tcW w:w="4499" w:type="pct"/>
            <w:gridSpan w:val="5"/>
            <w:tcBorders>
              <w:top w:val="single" w:color="000000" w:sz="4" w:space="0"/>
              <w:left w:val="single" w:color="000000" w:sz="4" w:space="0"/>
              <w:bottom w:val="single" w:color="000000" w:sz="4" w:space="0"/>
              <w:right w:val="single" w:color="000000" w:sz="4" w:space="0"/>
            </w:tcBorders>
            <w:noWrap w:val="0"/>
            <w:vAlign w:val="center"/>
          </w:tcPr>
          <w:p w14:paraId="5EDD4A0B">
            <w:pPr>
              <w:widowControl/>
              <w:spacing w:line="360" w:lineRule="exact"/>
              <w:jc w:val="center"/>
              <w:rPr>
                <w:rFonts w:ascii="宋体" w:hAnsi="宋体" w:cs="宋体"/>
                <w:b/>
                <w:bCs/>
                <w:color w:val="auto"/>
                <w:szCs w:val="21"/>
                <w:highlight w:val="none"/>
              </w:rPr>
            </w:pPr>
            <w:r>
              <w:rPr>
                <w:rFonts w:hint="eastAsia" w:ascii="宋体" w:hAnsi="宋体" w:cs="宋体"/>
                <w:b/>
                <w:bCs/>
                <w:color w:val="auto"/>
                <w:szCs w:val="21"/>
                <w:highlight w:val="none"/>
                <w:lang w:bidi="ar"/>
              </w:rPr>
              <w:t>四、智能前端配套设备</w:t>
            </w:r>
          </w:p>
        </w:tc>
        <w:tc>
          <w:tcPr>
            <w:tcW w:w="500" w:type="pct"/>
            <w:tcBorders>
              <w:top w:val="single" w:color="000000" w:sz="4" w:space="0"/>
              <w:left w:val="single" w:color="000000" w:sz="4" w:space="0"/>
              <w:bottom w:val="single" w:color="000000" w:sz="4" w:space="0"/>
              <w:right w:val="single" w:color="000000" w:sz="4" w:space="0"/>
            </w:tcBorders>
            <w:noWrap w:val="0"/>
            <w:vAlign w:val="center"/>
          </w:tcPr>
          <w:p w14:paraId="1EE196AC">
            <w:pPr>
              <w:widowControl/>
              <w:spacing w:line="360" w:lineRule="exact"/>
              <w:jc w:val="center"/>
              <w:rPr>
                <w:rFonts w:hint="eastAsia" w:ascii="宋体" w:hAnsi="宋体" w:cs="宋体"/>
                <w:b/>
                <w:bCs/>
                <w:color w:val="auto"/>
                <w:szCs w:val="21"/>
                <w:highlight w:val="none"/>
                <w:lang w:bidi="ar"/>
              </w:rPr>
            </w:pPr>
          </w:p>
        </w:tc>
      </w:tr>
      <w:tr w14:paraId="2615BA5D">
        <w:tblPrEx>
          <w:tblCellMar>
            <w:top w:w="0" w:type="dxa"/>
            <w:left w:w="108" w:type="dxa"/>
            <w:bottom w:w="0" w:type="dxa"/>
            <w:right w:w="108" w:type="dxa"/>
          </w:tblCellMar>
        </w:tblPrEx>
        <w:trPr>
          <w:trHeight w:val="360" w:hRule="atLeast"/>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4670355D">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20</w:t>
            </w:r>
          </w:p>
        </w:tc>
        <w:tc>
          <w:tcPr>
            <w:tcW w:w="608" w:type="pct"/>
            <w:tcBorders>
              <w:top w:val="single" w:color="000000" w:sz="4" w:space="0"/>
              <w:left w:val="single" w:color="000000" w:sz="4" w:space="0"/>
              <w:bottom w:val="single" w:color="000000" w:sz="4" w:space="0"/>
              <w:right w:val="single" w:color="000000" w:sz="4" w:space="0"/>
            </w:tcBorders>
            <w:noWrap w:val="0"/>
            <w:vAlign w:val="center"/>
          </w:tcPr>
          <w:p w14:paraId="35AE83B6">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val="en-US" w:eastAsia="zh-CN" w:bidi="ar"/>
              </w:rPr>
              <w:t>便携式</w:t>
            </w:r>
            <w:r>
              <w:rPr>
                <w:rFonts w:hint="eastAsia" w:ascii="宋体" w:hAnsi="宋体" w:cs="宋体"/>
                <w:color w:val="auto"/>
                <w:szCs w:val="21"/>
                <w:highlight w:val="none"/>
                <w:lang w:bidi="ar"/>
              </w:rPr>
              <w:t>布控球</w:t>
            </w:r>
          </w:p>
        </w:tc>
        <w:tc>
          <w:tcPr>
            <w:tcW w:w="2765" w:type="pct"/>
            <w:tcBorders>
              <w:top w:val="single" w:color="000000" w:sz="4" w:space="0"/>
              <w:left w:val="single" w:color="000000" w:sz="4" w:space="0"/>
              <w:bottom w:val="single" w:color="000000" w:sz="4" w:space="0"/>
              <w:right w:val="single" w:color="000000" w:sz="4" w:space="0"/>
            </w:tcBorders>
            <w:noWrap w:val="0"/>
            <w:vAlign w:val="center"/>
          </w:tcPr>
          <w:p w14:paraId="2D119CA7">
            <w:pPr>
              <w:widowControl/>
              <w:spacing w:line="360" w:lineRule="exact"/>
              <w:jc w:val="left"/>
              <w:rPr>
                <w:rFonts w:hint="eastAsia" w:ascii="宋体" w:hAnsi="宋体" w:cs="宋体"/>
                <w:color w:val="auto"/>
                <w:szCs w:val="21"/>
                <w:highlight w:val="none"/>
                <w:lang w:bidi="ar"/>
              </w:rPr>
            </w:pPr>
            <w:r>
              <w:rPr>
                <w:rFonts w:hint="eastAsia" w:ascii="宋体" w:hAnsi="宋体" w:cs="宋体"/>
                <w:color w:val="auto"/>
                <w:szCs w:val="21"/>
                <w:highlight w:val="none"/>
                <w:lang w:bidi="ar"/>
              </w:rPr>
              <w:t>#1</w:t>
            </w:r>
            <w:r>
              <w:rPr>
                <w:rFonts w:hint="eastAsia" w:ascii="宋体" w:hAnsi="宋体" w:cs="宋体"/>
                <w:color w:val="auto"/>
                <w:szCs w:val="21"/>
                <w:highlight w:val="none"/>
                <w:lang w:val="en-US" w:eastAsia="zh-CN" w:bidi="ar"/>
              </w:rPr>
              <w:t>.</w:t>
            </w:r>
            <w:r>
              <w:rPr>
                <w:rFonts w:hint="eastAsia" w:ascii="宋体" w:hAnsi="宋体" w:cs="宋体"/>
                <w:color w:val="auto"/>
                <w:szCs w:val="21"/>
                <w:highlight w:val="none"/>
                <w:lang w:bidi="ar"/>
              </w:rPr>
              <w:t>不小于200万</w:t>
            </w:r>
            <w:r>
              <w:rPr>
                <w:rFonts w:hint="eastAsia" w:ascii="宋体" w:hAnsi="宋体" w:cs="宋体"/>
                <w:color w:val="auto"/>
                <w:szCs w:val="21"/>
                <w:highlight w:val="none"/>
                <w:lang w:val="en-US" w:eastAsia="zh-CN" w:bidi="ar"/>
              </w:rPr>
              <w:t>像素，</w:t>
            </w:r>
            <w:r>
              <w:rPr>
                <w:rFonts w:hint="eastAsia" w:ascii="宋体" w:hAnsi="宋体" w:cs="宋体"/>
                <w:color w:val="auto"/>
                <w:szCs w:val="21"/>
                <w:highlight w:val="none"/>
                <w:lang w:bidi="ar"/>
              </w:rPr>
              <w:t>双4G便携球</w:t>
            </w:r>
            <w:r>
              <w:rPr>
                <w:rFonts w:hint="eastAsia" w:ascii="宋体" w:hAnsi="宋体" w:cs="宋体"/>
                <w:color w:val="auto"/>
                <w:szCs w:val="21"/>
                <w:highlight w:val="none"/>
                <w:lang w:eastAsia="zh-CN" w:bidi="ar"/>
              </w:rPr>
              <w:t>，</w:t>
            </w:r>
            <w:r>
              <w:rPr>
                <w:rFonts w:hint="eastAsia" w:ascii="宋体" w:hAnsi="宋体" w:cs="宋体"/>
                <w:color w:val="auto"/>
                <w:szCs w:val="21"/>
                <w:highlight w:val="none"/>
                <w:lang w:bidi="ar"/>
              </w:rPr>
              <w:t>分辨率高</w:t>
            </w:r>
            <w:r>
              <w:rPr>
                <w:rFonts w:hint="eastAsia" w:ascii="宋体" w:hAnsi="宋体" w:cs="宋体"/>
                <w:color w:val="auto"/>
                <w:szCs w:val="21"/>
                <w:highlight w:val="none"/>
                <w:lang w:val="en-US" w:eastAsia="zh-CN" w:bidi="ar"/>
              </w:rPr>
              <w:t>不低于</w:t>
            </w:r>
            <w:r>
              <w:rPr>
                <w:rFonts w:hint="eastAsia" w:ascii="宋体" w:hAnsi="宋体" w:cs="宋体"/>
                <w:color w:val="auto"/>
                <w:szCs w:val="21"/>
                <w:highlight w:val="none"/>
                <w:lang w:bidi="ar"/>
              </w:rPr>
              <w:t>1080P</w:t>
            </w:r>
            <w:r>
              <w:rPr>
                <w:rFonts w:hint="eastAsia" w:ascii="宋体" w:hAnsi="宋体" w:cs="宋体"/>
                <w:color w:val="auto"/>
                <w:szCs w:val="21"/>
                <w:highlight w:val="none"/>
                <w:lang w:eastAsia="zh-CN" w:bidi="ar"/>
              </w:rPr>
              <w:t>；</w:t>
            </w:r>
            <w:r>
              <w:rPr>
                <w:rFonts w:hint="eastAsia" w:ascii="宋体" w:hAnsi="宋体" w:cs="宋体"/>
                <w:color w:val="auto"/>
                <w:szCs w:val="21"/>
                <w:highlight w:val="none"/>
                <w:lang w:bidi="ar"/>
              </w:rPr>
              <w:br w:type="textWrapping"/>
            </w:r>
            <w:r>
              <w:rPr>
                <w:rFonts w:hint="eastAsia" w:ascii="宋体" w:hAnsi="宋体" w:cs="宋体"/>
                <w:color w:val="auto"/>
                <w:szCs w:val="21"/>
                <w:highlight w:val="none"/>
                <w:lang w:bidi="ar"/>
              </w:rPr>
              <w:t>#</w:t>
            </w:r>
            <w:r>
              <w:rPr>
                <w:rFonts w:hint="eastAsia" w:ascii="宋体" w:hAnsi="宋体" w:cs="宋体"/>
                <w:color w:val="auto"/>
                <w:szCs w:val="21"/>
                <w:highlight w:val="none"/>
                <w:lang w:val="en-US" w:eastAsia="zh-CN" w:bidi="ar"/>
              </w:rPr>
              <w:t>2.</w:t>
            </w:r>
            <w:r>
              <w:rPr>
                <w:rFonts w:hint="eastAsia" w:ascii="宋体" w:hAnsi="宋体" w:cs="宋体"/>
                <w:color w:val="auto"/>
                <w:szCs w:val="21"/>
                <w:highlight w:val="none"/>
                <w:lang w:bidi="ar"/>
              </w:rPr>
              <w:t>低照度，≤彩色0.001lux@F1.6，支持MIC、扬声器</w:t>
            </w:r>
            <w:r>
              <w:rPr>
                <w:rFonts w:hint="eastAsia" w:ascii="宋体" w:hAnsi="宋体" w:cs="宋体"/>
                <w:color w:val="auto"/>
                <w:szCs w:val="21"/>
                <w:highlight w:val="none"/>
                <w:lang w:eastAsia="zh-CN" w:bidi="ar"/>
              </w:rPr>
              <w:t>；</w:t>
            </w:r>
            <w:r>
              <w:rPr>
                <w:rFonts w:hint="eastAsia" w:ascii="宋体" w:hAnsi="宋体" w:cs="宋体"/>
                <w:color w:val="auto"/>
                <w:szCs w:val="21"/>
                <w:highlight w:val="none"/>
                <w:lang w:bidi="ar"/>
              </w:rPr>
              <w:br w:type="textWrapping"/>
            </w:r>
            <w:r>
              <w:rPr>
                <w:rFonts w:hint="eastAsia" w:ascii="宋体" w:hAnsi="宋体" w:cs="宋体"/>
                <w:color w:val="auto"/>
                <w:szCs w:val="21"/>
                <w:highlight w:val="none"/>
                <w:lang w:bidi="ar"/>
              </w:rPr>
              <w:t>#</w:t>
            </w:r>
            <w:r>
              <w:rPr>
                <w:rFonts w:hint="eastAsia" w:ascii="宋体" w:hAnsi="宋体" w:cs="宋体"/>
                <w:color w:val="auto"/>
                <w:szCs w:val="21"/>
                <w:highlight w:val="none"/>
                <w:lang w:val="en-US" w:eastAsia="zh-CN" w:bidi="ar"/>
              </w:rPr>
              <w:t>3.</w:t>
            </w:r>
            <w:r>
              <w:rPr>
                <w:rFonts w:hint="eastAsia" w:ascii="宋体" w:hAnsi="宋体" w:cs="宋体"/>
                <w:color w:val="auto"/>
                <w:szCs w:val="21"/>
                <w:highlight w:val="none"/>
                <w:lang w:bidi="ar"/>
              </w:rPr>
              <w:t>支持自动彩转黑功能；支持图像宽动态、背光补偿、强光抑制、降噪、透雾、防抖；</w:t>
            </w:r>
            <w:r>
              <w:rPr>
                <w:rFonts w:hint="eastAsia" w:ascii="宋体" w:hAnsi="宋体" w:cs="宋体"/>
                <w:color w:val="auto"/>
                <w:szCs w:val="21"/>
                <w:highlight w:val="none"/>
                <w:lang w:bidi="ar"/>
              </w:rPr>
              <w:br w:type="textWrapping"/>
            </w:r>
            <w:r>
              <w:rPr>
                <w:rFonts w:hint="eastAsia" w:ascii="宋体" w:hAnsi="宋体" w:cs="宋体"/>
                <w:color w:val="auto"/>
                <w:szCs w:val="21"/>
                <w:highlight w:val="none"/>
                <w:lang w:bidi="ar"/>
              </w:rPr>
              <w:t>#</w:t>
            </w:r>
            <w:r>
              <w:rPr>
                <w:rFonts w:hint="eastAsia" w:ascii="宋体" w:hAnsi="宋体" w:cs="宋体"/>
                <w:color w:val="auto"/>
                <w:szCs w:val="21"/>
                <w:highlight w:val="none"/>
                <w:lang w:val="en-US" w:eastAsia="zh-CN" w:bidi="ar"/>
              </w:rPr>
              <w:t>4.</w:t>
            </w:r>
            <w:r>
              <w:rPr>
                <w:rFonts w:hint="eastAsia" w:ascii="宋体" w:hAnsi="宋体" w:cs="宋体"/>
                <w:color w:val="auto"/>
                <w:szCs w:val="21"/>
                <w:highlight w:val="none"/>
                <w:lang w:bidi="ar"/>
              </w:rPr>
              <w:t>可通过设备自身附带小屏显示当前电池电量、GPS状态、4G状态、录像状态、剩余存储时间、蓝牙状态、平台连接状态、</w:t>
            </w:r>
            <w:r>
              <w:rPr>
                <w:rFonts w:hint="eastAsia" w:ascii="宋体" w:hAnsi="宋体" w:cs="宋体"/>
                <w:color w:val="auto"/>
                <w:szCs w:val="21"/>
                <w:highlight w:val="none"/>
                <w:lang w:eastAsia="zh-CN" w:bidi="ar"/>
              </w:rPr>
              <w:t>Wi-Fi</w:t>
            </w:r>
            <w:r>
              <w:rPr>
                <w:rFonts w:hint="eastAsia" w:ascii="宋体" w:hAnsi="宋体" w:cs="宋体"/>
                <w:color w:val="auto"/>
                <w:szCs w:val="21"/>
                <w:highlight w:val="none"/>
                <w:lang w:bidi="ar"/>
              </w:rPr>
              <w:t>状态；</w:t>
            </w:r>
            <w:r>
              <w:rPr>
                <w:rFonts w:hint="eastAsia" w:ascii="宋体" w:hAnsi="宋体" w:cs="宋体"/>
                <w:color w:val="auto"/>
                <w:szCs w:val="21"/>
                <w:highlight w:val="none"/>
                <w:lang w:bidi="ar"/>
              </w:rPr>
              <w:br w:type="textWrapping"/>
            </w:r>
            <w:r>
              <w:rPr>
                <w:rFonts w:hint="eastAsia" w:ascii="宋体" w:hAnsi="宋体" w:cs="宋体"/>
                <w:color w:val="auto"/>
                <w:szCs w:val="21"/>
                <w:highlight w:val="none"/>
                <w:lang w:bidi="ar"/>
              </w:rPr>
              <w:t>#</w:t>
            </w:r>
            <w:r>
              <w:rPr>
                <w:rFonts w:hint="eastAsia" w:ascii="宋体" w:hAnsi="宋体" w:cs="宋体"/>
                <w:color w:val="auto"/>
                <w:szCs w:val="21"/>
                <w:highlight w:val="none"/>
                <w:lang w:val="en-US" w:eastAsia="zh-CN" w:bidi="ar"/>
              </w:rPr>
              <w:t>5.</w:t>
            </w:r>
            <w:r>
              <w:rPr>
                <w:rFonts w:hint="eastAsia" w:ascii="宋体" w:hAnsi="宋体" w:cs="宋体"/>
                <w:color w:val="auto"/>
                <w:szCs w:val="21"/>
                <w:highlight w:val="none"/>
                <w:lang w:bidi="ar"/>
              </w:rPr>
              <w:t>支持TF卡存储，不低于256G；配置可拆卸电池，单电池可支持不小于</w:t>
            </w:r>
            <w:r>
              <w:rPr>
                <w:rFonts w:hint="eastAsia" w:ascii="宋体" w:hAnsi="宋体" w:cs="宋体"/>
                <w:color w:val="auto"/>
                <w:szCs w:val="21"/>
                <w:highlight w:val="none"/>
                <w:lang w:val="en-US" w:eastAsia="zh-CN" w:bidi="ar"/>
              </w:rPr>
              <w:t>8</w:t>
            </w:r>
            <w:r>
              <w:rPr>
                <w:rFonts w:hint="eastAsia" w:ascii="宋体" w:hAnsi="宋体" w:cs="宋体"/>
                <w:color w:val="auto"/>
                <w:szCs w:val="21"/>
                <w:highlight w:val="none"/>
                <w:lang w:bidi="ar"/>
              </w:rPr>
              <w:t>小时连续工作；</w:t>
            </w:r>
            <w:r>
              <w:rPr>
                <w:rFonts w:hint="eastAsia" w:ascii="宋体" w:hAnsi="宋体" w:cs="宋体"/>
                <w:color w:val="auto"/>
                <w:szCs w:val="21"/>
                <w:highlight w:val="none"/>
                <w:lang w:bidi="ar"/>
              </w:rPr>
              <w:br w:type="textWrapping"/>
            </w:r>
            <w:r>
              <w:rPr>
                <w:rFonts w:hint="eastAsia" w:ascii="宋体" w:hAnsi="宋体" w:cs="宋体"/>
                <w:color w:val="auto"/>
                <w:szCs w:val="21"/>
                <w:highlight w:val="none"/>
                <w:lang w:bidi="ar"/>
              </w:rPr>
              <w:t>#</w:t>
            </w:r>
            <w:r>
              <w:rPr>
                <w:rFonts w:hint="eastAsia" w:ascii="宋体" w:hAnsi="宋体" w:cs="宋体"/>
                <w:color w:val="auto"/>
                <w:szCs w:val="21"/>
                <w:highlight w:val="none"/>
                <w:lang w:val="en-US" w:eastAsia="zh-CN" w:bidi="ar"/>
              </w:rPr>
              <w:t>6.</w:t>
            </w:r>
            <w:r>
              <w:rPr>
                <w:rFonts w:hint="eastAsia" w:ascii="宋体" w:hAnsi="宋体" w:cs="宋体"/>
                <w:color w:val="auto"/>
                <w:szCs w:val="21"/>
                <w:highlight w:val="none"/>
                <w:lang w:bidi="ar"/>
              </w:rPr>
              <w:t>底部配置高吸力磁铁，安装便捷；</w:t>
            </w:r>
            <w:r>
              <w:rPr>
                <w:rFonts w:hint="eastAsia" w:ascii="宋体" w:hAnsi="宋体" w:cs="宋体"/>
                <w:color w:val="auto"/>
                <w:szCs w:val="21"/>
                <w:highlight w:val="none"/>
                <w:lang w:bidi="ar"/>
              </w:rPr>
              <w:br w:type="textWrapping"/>
            </w:r>
            <w:r>
              <w:rPr>
                <w:rFonts w:hint="eastAsia" w:ascii="宋体" w:hAnsi="宋体" w:cs="宋体"/>
                <w:color w:val="auto"/>
                <w:szCs w:val="21"/>
                <w:highlight w:val="none"/>
                <w:lang w:bidi="ar"/>
              </w:rPr>
              <w:t>#</w:t>
            </w:r>
            <w:r>
              <w:rPr>
                <w:rFonts w:hint="eastAsia" w:ascii="宋体" w:hAnsi="宋体" w:cs="宋体"/>
                <w:color w:val="auto"/>
                <w:szCs w:val="21"/>
                <w:highlight w:val="none"/>
                <w:lang w:val="en-US" w:eastAsia="zh-CN" w:bidi="ar"/>
              </w:rPr>
              <w:t>7.</w:t>
            </w:r>
            <w:r>
              <w:rPr>
                <w:rFonts w:hint="eastAsia" w:ascii="宋体" w:hAnsi="宋体" w:cs="宋体"/>
                <w:color w:val="auto"/>
                <w:szCs w:val="21"/>
                <w:highlight w:val="none"/>
                <w:lang w:bidi="ar"/>
              </w:rPr>
              <w:t>包含电池*2，不小于256GTF卡*1，电源适配器、手提箱、三脚架、座充等配件；</w:t>
            </w:r>
            <w:r>
              <w:rPr>
                <w:rFonts w:hint="eastAsia" w:ascii="宋体" w:hAnsi="宋体" w:cs="宋体"/>
                <w:color w:val="auto"/>
                <w:szCs w:val="21"/>
                <w:highlight w:val="none"/>
                <w:lang w:bidi="ar"/>
              </w:rPr>
              <w:br w:type="textWrapping"/>
            </w:r>
            <w:r>
              <w:rPr>
                <w:rFonts w:hint="eastAsia" w:ascii="宋体" w:hAnsi="宋体" w:cs="宋体"/>
                <w:color w:val="auto"/>
                <w:szCs w:val="21"/>
                <w:highlight w:val="none"/>
                <w:lang w:bidi="ar"/>
              </w:rPr>
              <w:t>#</w:t>
            </w:r>
            <w:r>
              <w:rPr>
                <w:rFonts w:hint="eastAsia" w:ascii="宋体" w:hAnsi="宋体" w:cs="宋体"/>
                <w:color w:val="auto"/>
                <w:szCs w:val="21"/>
                <w:highlight w:val="none"/>
                <w:lang w:val="en-US" w:eastAsia="zh-CN" w:bidi="ar"/>
              </w:rPr>
              <w:t>8.</w:t>
            </w:r>
            <w:r>
              <w:rPr>
                <w:rFonts w:hint="eastAsia" w:ascii="宋体" w:hAnsi="宋体" w:cs="宋体"/>
                <w:color w:val="auto"/>
                <w:szCs w:val="21"/>
                <w:highlight w:val="none"/>
                <w:lang w:bidi="ar"/>
              </w:rPr>
              <w:t>支持自动白平衡，色温2800K~10000K自适应；</w:t>
            </w:r>
            <w:r>
              <w:rPr>
                <w:rFonts w:hint="eastAsia" w:ascii="宋体" w:hAnsi="宋体" w:cs="宋体"/>
                <w:color w:val="auto"/>
                <w:szCs w:val="21"/>
                <w:highlight w:val="none"/>
                <w:lang w:bidi="ar"/>
              </w:rPr>
              <w:br w:type="textWrapping"/>
            </w:r>
            <w:r>
              <w:rPr>
                <w:rFonts w:hint="eastAsia" w:ascii="宋体" w:hAnsi="宋体" w:cs="宋体"/>
                <w:color w:val="auto"/>
                <w:szCs w:val="21"/>
                <w:highlight w:val="none"/>
                <w:lang w:bidi="ar"/>
              </w:rPr>
              <w:t>#</w:t>
            </w:r>
            <w:r>
              <w:rPr>
                <w:rFonts w:hint="eastAsia" w:ascii="宋体" w:hAnsi="宋体" w:cs="宋体"/>
                <w:color w:val="auto"/>
                <w:szCs w:val="21"/>
                <w:highlight w:val="none"/>
                <w:lang w:val="en-US" w:eastAsia="zh-CN" w:bidi="ar"/>
              </w:rPr>
              <w:t>9.</w:t>
            </w:r>
            <w:r>
              <w:rPr>
                <w:rFonts w:hint="eastAsia" w:ascii="宋体" w:hAnsi="宋体" w:cs="宋体"/>
                <w:color w:val="auto"/>
                <w:szCs w:val="21"/>
                <w:highlight w:val="none"/>
                <w:lang w:bidi="ar"/>
              </w:rPr>
              <w:t>支持2.4G/5G，可通过WiFi接入无线网络，也可将自身设置为WiFi热点，支持通过移动终端直连访问操作；</w:t>
            </w:r>
          </w:p>
          <w:p w14:paraId="6C3567BD">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lang w:bidi="ar"/>
              </w:rPr>
              <w:t>#1</w:t>
            </w:r>
            <w:r>
              <w:rPr>
                <w:rFonts w:hint="eastAsia" w:ascii="宋体" w:hAnsi="宋体" w:cs="宋体"/>
                <w:color w:val="auto"/>
                <w:szCs w:val="21"/>
                <w:highlight w:val="none"/>
                <w:lang w:val="en-US" w:eastAsia="zh-CN" w:bidi="ar"/>
              </w:rPr>
              <w:t>0.</w:t>
            </w:r>
            <w:r>
              <w:rPr>
                <w:rFonts w:hint="eastAsia" w:ascii="宋体" w:hAnsi="宋体" w:cs="宋体"/>
                <w:color w:val="auto"/>
                <w:szCs w:val="21"/>
                <w:highlight w:val="none"/>
                <w:lang w:bidi="ar"/>
              </w:rPr>
              <w:t>具有电子防抖功能，能设置电子防抖功能开启/关闭。</w:t>
            </w:r>
          </w:p>
        </w:tc>
        <w:tc>
          <w:tcPr>
            <w:tcW w:w="522" w:type="pct"/>
            <w:tcBorders>
              <w:top w:val="single" w:color="000000" w:sz="4" w:space="0"/>
              <w:left w:val="single" w:color="000000" w:sz="4" w:space="0"/>
              <w:bottom w:val="single" w:color="000000" w:sz="4" w:space="0"/>
              <w:right w:val="single" w:color="000000" w:sz="4" w:space="0"/>
            </w:tcBorders>
            <w:noWrap w:val="0"/>
            <w:vAlign w:val="center"/>
          </w:tcPr>
          <w:p w14:paraId="5087FC54">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4</w:t>
            </w:r>
          </w:p>
        </w:tc>
        <w:tc>
          <w:tcPr>
            <w:tcW w:w="294" w:type="pct"/>
            <w:tcBorders>
              <w:top w:val="single" w:color="000000" w:sz="4" w:space="0"/>
              <w:left w:val="single" w:color="000000" w:sz="4" w:space="0"/>
              <w:bottom w:val="single" w:color="000000" w:sz="4" w:space="0"/>
              <w:right w:val="single" w:color="000000" w:sz="4" w:space="0"/>
            </w:tcBorders>
            <w:noWrap w:val="0"/>
            <w:vAlign w:val="center"/>
          </w:tcPr>
          <w:p w14:paraId="4DF9D608">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台</w:t>
            </w:r>
          </w:p>
        </w:tc>
        <w:tc>
          <w:tcPr>
            <w:tcW w:w="500" w:type="pct"/>
            <w:tcBorders>
              <w:top w:val="single" w:color="000000" w:sz="4" w:space="0"/>
              <w:left w:val="single" w:color="000000" w:sz="4" w:space="0"/>
              <w:bottom w:val="single" w:color="000000" w:sz="4" w:space="0"/>
              <w:right w:val="single" w:color="000000" w:sz="4" w:space="0"/>
            </w:tcBorders>
            <w:noWrap w:val="0"/>
            <w:vAlign w:val="center"/>
          </w:tcPr>
          <w:p w14:paraId="61F8D44A">
            <w:pPr>
              <w:widowControl/>
              <w:spacing w:line="360" w:lineRule="exact"/>
              <w:jc w:val="left"/>
              <w:rPr>
                <w:rFonts w:hint="eastAsia" w:ascii="宋体" w:hAnsi="宋体" w:cs="宋体"/>
                <w:color w:val="auto"/>
                <w:szCs w:val="21"/>
                <w:highlight w:val="none"/>
                <w:lang w:bidi="ar"/>
              </w:rPr>
            </w:pPr>
            <w:r>
              <w:rPr>
                <w:rFonts w:hint="eastAsia" w:ascii="宋体" w:hAnsi="宋体" w:cs="宋体"/>
                <w:color w:val="auto"/>
                <w:szCs w:val="21"/>
                <w:highlight w:val="none"/>
                <w:lang w:bidi="ar"/>
              </w:rPr>
              <w:t>运用场景，适配中高考等重大考务活动现场视频巡查取证。</w:t>
            </w:r>
          </w:p>
        </w:tc>
      </w:tr>
      <w:tr w14:paraId="1DFBAEE7">
        <w:tblPrEx>
          <w:tblCellMar>
            <w:top w:w="0" w:type="dxa"/>
            <w:left w:w="108" w:type="dxa"/>
            <w:bottom w:w="0" w:type="dxa"/>
            <w:right w:w="108" w:type="dxa"/>
          </w:tblCellMar>
        </w:tblPrEx>
        <w:trPr>
          <w:trHeight w:val="360" w:hRule="atLeast"/>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4B11A131">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21</w:t>
            </w:r>
          </w:p>
        </w:tc>
        <w:tc>
          <w:tcPr>
            <w:tcW w:w="608" w:type="pct"/>
            <w:tcBorders>
              <w:top w:val="single" w:color="000000" w:sz="4" w:space="0"/>
              <w:left w:val="single" w:color="000000" w:sz="4" w:space="0"/>
              <w:bottom w:val="single" w:color="000000" w:sz="4" w:space="0"/>
              <w:right w:val="single" w:color="000000" w:sz="4" w:space="0"/>
            </w:tcBorders>
            <w:noWrap w:val="0"/>
            <w:vAlign w:val="center"/>
          </w:tcPr>
          <w:p w14:paraId="1D2EDAB4">
            <w:pPr>
              <w:widowControl/>
              <w:spacing w:line="360" w:lineRule="exact"/>
              <w:jc w:val="center"/>
              <w:rPr>
                <w:rFonts w:ascii="宋体" w:hAnsi="宋体" w:cs="宋体"/>
                <w:color w:val="auto"/>
                <w:szCs w:val="21"/>
                <w:highlight w:val="none"/>
              </w:rPr>
            </w:pPr>
            <w:r>
              <w:rPr>
                <w:rFonts w:hint="eastAsia" w:ascii="宋体" w:hAnsi="宋体" w:cs="宋体"/>
                <w:bCs/>
                <w:color w:val="auto"/>
                <w:sz w:val="24"/>
                <w:szCs w:val="24"/>
                <w:highlight w:val="none"/>
              </w:rPr>
              <w:t>●</w:t>
            </w:r>
            <w:r>
              <w:rPr>
                <w:rFonts w:hint="eastAsia" w:ascii="宋体" w:hAnsi="宋体" w:cs="宋体"/>
                <w:color w:val="auto"/>
                <w:szCs w:val="21"/>
                <w:highlight w:val="none"/>
                <w:lang w:bidi="ar"/>
              </w:rPr>
              <w:t>枪球一体机</w:t>
            </w:r>
          </w:p>
        </w:tc>
        <w:tc>
          <w:tcPr>
            <w:tcW w:w="2765" w:type="pct"/>
            <w:tcBorders>
              <w:top w:val="single" w:color="000000" w:sz="4" w:space="0"/>
              <w:left w:val="single" w:color="000000" w:sz="4" w:space="0"/>
              <w:bottom w:val="single" w:color="000000" w:sz="4" w:space="0"/>
              <w:right w:val="single" w:color="000000" w:sz="4" w:space="0"/>
            </w:tcBorders>
            <w:noWrap w:val="0"/>
            <w:vAlign w:val="center"/>
          </w:tcPr>
          <w:p w14:paraId="24C770D8">
            <w:pPr>
              <w:widowControl/>
              <w:spacing w:line="360" w:lineRule="exact"/>
              <w:jc w:val="left"/>
              <w:rPr>
                <w:rFonts w:hint="eastAsia" w:ascii="宋体" w:hAnsi="宋体" w:cs="宋体"/>
                <w:color w:val="auto"/>
                <w:szCs w:val="21"/>
                <w:highlight w:val="none"/>
                <w:lang w:bidi="ar"/>
              </w:rPr>
            </w:pPr>
            <w:r>
              <w:rPr>
                <w:rFonts w:hint="eastAsia" w:ascii="宋体" w:hAnsi="宋体" w:cs="宋体"/>
                <w:color w:val="auto"/>
                <w:szCs w:val="21"/>
                <w:highlight w:val="none"/>
                <w:lang w:bidi="ar"/>
              </w:rPr>
              <w:t>#1</w:t>
            </w:r>
            <w:r>
              <w:rPr>
                <w:rFonts w:hint="eastAsia" w:ascii="宋体" w:hAnsi="宋体" w:cs="宋体"/>
                <w:color w:val="auto"/>
                <w:szCs w:val="21"/>
                <w:highlight w:val="none"/>
                <w:lang w:val="en-US" w:eastAsia="zh-CN" w:bidi="ar"/>
              </w:rPr>
              <w:t>.</w:t>
            </w:r>
            <w:r>
              <w:rPr>
                <w:rFonts w:hint="eastAsia" w:ascii="宋体" w:hAnsi="宋体" w:cs="宋体"/>
                <w:color w:val="auto"/>
                <w:szCs w:val="21"/>
                <w:highlight w:val="none"/>
                <w:lang w:bidi="ar"/>
              </w:rPr>
              <w:t>设备内置不少于2个全景通道和1个细节通道，细节最大分辨率不小于2560*1440；</w:t>
            </w:r>
            <w:r>
              <w:rPr>
                <w:rFonts w:hint="eastAsia" w:ascii="宋体" w:hAnsi="宋体" w:cs="宋体"/>
                <w:color w:val="auto"/>
                <w:szCs w:val="21"/>
                <w:highlight w:val="none"/>
                <w:lang w:bidi="ar"/>
              </w:rPr>
              <w:br w:type="textWrapping"/>
            </w:r>
            <w:r>
              <w:rPr>
                <w:rFonts w:hint="eastAsia" w:ascii="宋体" w:hAnsi="宋体" w:cs="宋体"/>
                <w:color w:val="auto"/>
                <w:szCs w:val="21"/>
                <w:highlight w:val="none"/>
                <w:lang w:bidi="ar"/>
              </w:rPr>
              <w:t>#2</w:t>
            </w:r>
            <w:r>
              <w:rPr>
                <w:rFonts w:hint="eastAsia" w:ascii="宋体" w:hAnsi="宋体" w:cs="宋体"/>
                <w:color w:val="auto"/>
                <w:szCs w:val="21"/>
                <w:highlight w:val="none"/>
                <w:lang w:val="en-US" w:eastAsia="zh-CN" w:bidi="ar"/>
              </w:rPr>
              <w:t>.</w:t>
            </w:r>
            <w:r>
              <w:rPr>
                <w:rFonts w:hint="eastAsia" w:ascii="宋体" w:hAnsi="宋体" w:cs="宋体"/>
                <w:color w:val="auto"/>
                <w:szCs w:val="21"/>
                <w:highlight w:val="none"/>
                <w:lang w:bidi="ar"/>
              </w:rPr>
              <w:t>支持最低照度彩色≤0.0005l</w:t>
            </w:r>
            <w:r>
              <w:rPr>
                <w:rFonts w:hint="eastAsia" w:ascii="宋体" w:hAnsi="宋体" w:cs="宋体"/>
                <w:color w:val="auto"/>
                <w:szCs w:val="21"/>
                <w:highlight w:val="none"/>
                <w:lang w:val="en-US" w:eastAsia="zh-CN" w:bidi="ar"/>
              </w:rPr>
              <w:t>u</w:t>
            </w:r>
            <w:r>
              <w:rPr>
                <w:rFonts w:hint="eastAsia" w:ascii="宋体" w:hAnsi="宋体" w:cs="宋体"/>
                <w:color w:val="auto"/>
                <w:szCs w:val="21"/>
                <w:highlight w:val="none"/>
                <w:lang w:bidi="ar"/>
              </w:rPr>
              <w:t>x，黑白≤0.0001l</w:t>
            </w:r>
            <w:r>
              <w:rPr>
                <w:rFonts w:hint="eastAsia" w:ascii="宋体" w:hAnsi="宋体" w:cs="宋体"/>
                <w:color w:val="auto"/>
                <w:szCs w:val="21"/>
                <w:highlight w:val="none"/>
                <w:lang w:val="en-US" w:eastAsia="zh-CN" w:bidi="ar"/>
              </w:rPr>
              <w:t>u</w:t>
            </w:r>
            <w:r>
              <w:rPr>
                <w:rFonts w:hint="eastAsia" w:ascii="宋体" w:hAnsi="宋体" w:cs="宋体"/>
                <w:color w:val="auto"/>
                <w:szCs w:val="21"/>
                <w:highlight w:val="none"/>
                <w:lang w:bidi="ar"/>
              </w:rPr>
              <w:t>x；</w:t>
            </w:r>
            <w:r>
              <w:rPr>
                <w:rFonts w:hint="eastAsia" w:ascii="宋体" w:hAnsi="宋体" w:cs="宋体"/>
                <w:color w:val="auto"/>
                <w:szCs w:val="21"/>
                <w:highlight w:val="none"/>
                <w:lang w:bidi="ar"/>
              </w:rPr>
              <w:br w:type="textWrapping"/>
            </w:r>
            <w:r>
              <w:rPr>
                <w:rFonts w:hint="eastAsia" w:ascii="宋体" w:hAnsi="宋体" w:cs="宋体"/>
                <w:color w:val="auto"/>
                <w:szCs w:val="21"/>
                <w:highlight w:val="none"/>
                <w:lang w:bidi="ar"/>
              </w:rPr>
              <w:t>#3</w:t>
            </w:r>
            <w:r>
              <w:rPr>
                <w:rFonts w:hint="eastAsia" w:ascii="宋体" w:hAnsi="宋体" w:cs="宋体"/>
                <w:color w:val="auto"/>
                <w:szCs w:val="21"/>
                <w:highlight w:val="none"/>
                <w:lang w:val="en-US" w:eastAsia="zh-CN" w:bidi="ar"/>
              </w:rPr>
              <w:t>.</w:t>
            </w:r>
            <w:r>
              <w:rPr>
                <w:rFonts w:hint="eastAsia" w:ascii="宋体" w:hAnsi="宋体" w:cs="宋体"/>
                <w:color w:val="auto"/>
                <w:szCs w:val="21"/>
                <w:highlight w:val="none"/>
                <w:lang w:bidi="ar"/>
              </w:rPr>
              <w:t>支持白光补光不小于30米，红外补光不小于100米；</w:t>
            </w:r>
            <w:r>
              <w:rPr>
                <w:rFonts w:hint="eastAsia" w:ascii="宋体" w:hAnsi="宋体" w:cs="宋体"/>
                <w:color w:val="auto"/>
                <w:szCs w:val="21"/>
                <w:highlight w:val="none"/>
                <w:lang w:bidi="ar"/>
              </w:rPr>
              <w:br w:type="textWrapping"/>
            </w:r>
            <w:r>
              <w:rPr>
                <w:rFonts w:hint="eastAsia" w:ascii="宋体" w:hAnsi="宋体" w:cs="宋体"/>
                <w:color w:val="auto"/>
                <w:szCs w:val="21"/>
                <w:highlight w:val="none"/>
                <w:lang w:bidi="ar"/>
              </w:rPr>
              <w:t>#4.全景支持拼接模式和非拼接模式，在拼接模式下，全景通道支持分辨率不小于3680×1656；在非拼接模式下，可输出2个全景通道，支持分辨率不小于1920×1080；</w:t>
            </w:r>
            <w:r>
              <w:rPr>
                <w:rFonts w:hint="eastAsia" w:ascii="宋体" w:hAnsi="宋体" w:cs="宋体"/>
                <w:color w:val="auto"/>
                <w:szCs w:val="21"/>
                <w:highlight w:val="none"/>
                <w:lang w:bidi="ar"/>
              </w:rPr>
              <w:br w:type="textWrapping"/>
            </w:r>
            <w:r>
              <w:rPr>
                <w:rFonts w:hint="eastAsia" w:ascii="宋体" w:hAnsi="宋体" w:cs="宋体"/>
                <w:color w:val="auto"/>
                <w:szCs w:val="21"/>
                <w:highlight w:val="none"/>
                <w:lang w:bidi="ar"/>
              </w:rPr>
              <w:t>#5</w:t>
            </w:r>
            <w:r>
              <w:rPr>
                <w:rFonts w:hint="eastAsia" w:ascii="宋体" w:hAnsi="宋体" w:cs="宋体"/>
                <w:color w:val="auto"/>
                <w:szCs w:val="21"/>
                <w:highlight w:val="none"/>
                <w:lang w:val="en-US" w:eastAsia="zh-CN" w:bidi="ar"/>
              </w:rPr>
              <w:t>.</w:t>
            </w:r>
            <w:r>
              <w:rPr>
                <w:rFonts w:hint="eastAsia" w:ascii="宋体" w:hAnsi="宋体" w:cs="宋体"/>
                <w:color w:val="auto"/>
                <w:szCs w:val="21"/>
                <w:highlight w:val="none"/>
                <w:lang w:bidi="ar"/>
              </w:rPr>
              <w:t>细节通道支持不小于</w:t>
            </w:r>
            <w:r>
              <w:rPr>
                <w:rFonts w:hint="eastAsia" w:ascii="宋体" w:hAnsi="宋体" w:cs="宋体"/>
                <w:color w:val="auto"/>
                <w:szCs w:val="21"/>
                <w:highlight w:val="none"/>
                <w:lang w:val="en-US" w:eastAsia="zh-CN" w:bidi="ar"/>
              </w:rPr>
              <w:t>20</w:t>
            </w:r>
            <w:r>
              <w:rPr>
                <w:rFonts w:hint="eastAsia" w:ascii="宋体" w:hAnsi="宋体" w:cs="宋体"/>
                <w:color w:val="auto"/>
                <w:szCs w:val="21"/>
                <w:highlight w:val="none"/>
                <w:lang w:bidi="ar"/>
              </w:rPr>
              <w:t>倍光学变倍，最大焦距不小</w:t>
            </w:r>
            <w:r>
              <w:rPr>
                <w:rFonts w:hint="eastAsia" w:ascii="宋体" w:hAnsi="宋体" w:cs="宋体"/>
                <w:color w:val="auto"/>
                <w:szCs w:val="21"/>
                <w:highlight w:val="none"/>
                <w:lang w:val="en-US" w:eastAsia="zh-CN" w:bidi="ar"/>
              </w:rPr>
              <w:t>于100</w:t>
            </w:r>
            <w:r>
              <w:rPr>
                <w:rFonts w:hint="eastAsia" w:ascii="宋体" w:hAnsi="宋体" w:cs="宋体"/>
                <w:color w:val="auto"/>
                <w:szCs w:val="21"/>
                <w:highlight w:val="none"/>
                <w:lang w:bidi="ar"/>
              </w:rPr>
              <w:t>mm；</w:t>
            </w:r>
          </w:p>
          <w:p w14:paraId="42A1836E">
            <w:pPr>
              <w:widowControl/>
              <w:spacing w:line="360" w:lineRule="exact"/>
              <w:jc w:val="left"/>
              <w:rPr>
                <w:rFonts w:hint="eastAsia" w:ascii="宋体" w:hAnsi="宋体" w:cs="宋体"/>
                <w:color w:val="auto"/>
                <w:szCs w:val="21"/>
                <w:highlight w:val="none"/>
                <w:lang w:bidi="ar"/>
              </w:rPr>
            </w:pPr>
            <w:r>
              <w:rPr>
                <w:rFonts w:hint="eastAsia" w:ascii="宋体" w:hAnsi="宋体" w:cs="宋体"/>
                <w:color w:val="auto"/>
                <w:szCs w:val="21"/>
                <w:highlight w:val="none"/>
                <w:lang w:bidi="ar"/>
              </w:rPr>
              <w:t>#6.全景通道1、2支持：水平90°旋转，垂直0°-350°旋转，轴心旋转0°-350°。细节通道支持水平360°旋转，垂直俯仰-10°-90°；</w:t>
            </w:r>
            <w:r>
              <w:rPr>
                <w:rFonts w:hint="eastAsia" w:ascii="宋体" w:hAnsi="宋体" w:cs="宋体"/>
                <w:color w:val="auto"/>
                <w:szCs w:val="21"/>
                <w:highlight w:val="none"/>
                <w:lang w:bidi="ar"/>
              </w:rPr>
              <w:br w:type="textWrapping"/>
            </w:r>
            <w:r>
              <w:rPr>
                <w:rFonts w:hint="eastAsia" w:ascii="宋体" w:hAnsi="宋体" w:cs="宋体"/>
                <w:color w:val="auto"/>
                <w:szCs w:val="21"/>
                <w:highlight w:val="none"/>
                <w:lang w:bidi="ar"/>
              </w:rPr>
              <w:t>▲7.全景双镜头、细节球机镜头支持独立水平/垂直角度调节。</w:t>
            </w:r>
            <w:r>
              <w:rPr>
                <w:rFonts w:hint="eastAsia" w:ascii="宋体" w:hAnsi="宋体" w:cs="宋体"/>
                <w:color w:val="auto"/>
                <w:szCs w:val="21"/>
                <w:highlight w:val="none"/>
                <w:lang w:eastAsia="zh-CN" w:bidi="ar"/>
              </w:rPr>
              <w:t>（</w:t>
            </w:r>
            <w:r>
              <w:rPr>
                <w:rFonts w:hint="eastAsia" w:ascii="宋体" w:hAnsi="宋体" w:cs="宋体"/>
                <w:color w:val="auto"/>
                <w:szCs w:val="21"/>
                <w:highlight w:val="none"/>
                <w:lang w:bidi="ar"/>
              </w:rPr>
              <w:t>提供第三方检验机构出具的检测报告原件扫描件）</w:t>
            </w:r>
          </w:p>
          <w:p w14:paraId="5AF39F50">
            <w:pPr>
              <w:widowControl/>
              <w:spacing w:line="360" w:lineRule="exact"/>
              <w:jc w:val="left"/>
              <w:rPr>
                <w:rFonts w:hint="eastAsia" w:ascii="宋体" w:hAnsi="宋体" w:cs="宋体"/>
                <w:color w:val="auto"/>
                <w:szCs w:val="21"/>
                <w:highlight w:val="none"/>
                <w:lang w:bidi="ar"/>
              </w:rPr>
            </w:pPr>
            <w:r>
              <w:rPr>
                <w:rFonts w:hint="eastAsia" w:ascii="宋体" w:hAnsi="宋体" w:cs="宋体"/>
                <w:color w:val="auto"/>
                <w:szCs w:val="21"/>
                <w:highlight w:val="none"/>
                <w:lang w:bidi="ar"/>
              </w:rPr>
              <w:t>#8</w:t>
            </w:r>
            <w:r>
              <w:rPr>
                <w:rFonts w:hint="eastAsia" w:ascii="宋体" w:hAnsi="宋体" w:cs="宋体"/>
                <w:color w:val="auto"/>
                <w:szCs w:val="21"/>
                <w:highlight w:val="none"/>
                <w:lang w:val="en-US" w:eastAsia="zh-CN" w:bidi="ar"/>
              </w:rPr>
              <w:t>.</w:t>
            </w:r>
            <w:r>
              <w:rPr>
                <w:rFonts w:hint="eastAsia" w:ascii="宋体" w:hAnsi="宋体" w:cs="宋体"/>
                <w:color w:val="auto"/>
                <w:szCs w:val="21"/>
                <w:highlight w:val="none"/>
                <w:lang w:bidi="ar"/>
              </w:rPr>
              <w:t>设备支持不少于</w:t>
            </w:r>
            <w:r>
              <w:rPr>
                <w:rFonts w:hint="eastAsia" w:ascii="宋体" w:hAnsi="宋体" w:cs="宋体"/>
                <w:color w:val="auto"/>
                <w:szCs w:val="21"/>
                <w:highlight w:val="none"/>
                <w:lang w:val="en-US" w:eastAsia="zh-CN" w:bidi="ar"/>
              </w:rPr>
              <w:t>256</w:t>
            </w:r>
            <w:r>
              <w:rPr>
                <w:rFonts w:hint="eastAsia" w:ascii="宋体" w:hAnsi="宋体" w:cs="宋体"/>
                <w:color w:val="auto"/>
                <w:szCs w:val="21"/>
                <w:highlight w:val="none"/>
                <w:lang w:bidi="ar"/>
              </w:rPr>
              <w:t>个预置位，可按照所设置的预置位设置不少于8条巡航路径；</w:t>
            </w:r>
            <w:r>
              <w:rPr>
                <w:rFonts w:hint="eastAsia" w:ascii="宋体" w:hAnsi="宋体" w:cs="宋体"/>
                <w:color w:val="auto"/>
                <w:szCs w:val="21"/>
                <w:highlight w:val="none"/>
                <w:lang w:bidi="ar"/>
              </w:rPr>
              <w:br w:type="textWrapping"/>
            </w:r>
            <w:r>
              <w:rPr>
                <w:rFonts w:hint="eastAsia" w:ascii="宋体" w:hAnsi="宋体" w:cs="宋体"/>
                <w:color w:val="auto"/>
                <w:szCs w:val="21"/>
                <w:highlight w:val="none"/>
                <w:lang w:bidi="ar"/>
              </w:rPr>
              <w:t>#9</w:t>
            </w:r>
            <w:r>
              <w:rPr>
                <w:rFonts w:hint="eastAsia" w:ascii="宋体" w:hAnsi="宋体" w:cs="宋体"/>
                <w:color w:val="auto"/>
                <w:szCs w:val="21"/>
                <w:highlight w:val="none"/>
                <w:lang w:val="en-US" w:eastAsia="zh-CN" w:bidi="ar"/>
              </w:rPr>
              <w:t>.</w:t>
            </w:r>
            <w:r>
              <w:rPr>
                <w:rFonts w:hint="eastAsia" w:ascii="宋体" w:hAnsi="宋体" w:cs="宋体"/>
                <w:color w:val="auto"/>
                <w:szCs w:val="21"/>
                <w:highlight w:val="none"/>
                <w:lang w:bidi="ar"/>
              </w:rPr>
              <w:t>H.264、H.265编码均支持High Profile高阶编码档位；</w:t>
            </w:r>
            <w:r>
              <w:rPr>
                <w:rFonts w:hint="eastAsia" w:ascii="宋体" w:hAnsi="宋体" w:cs="宋体"/>
                <w:color w:val="auto"/>
                <w:szCs w:val="21"/>
                <w:highlight w:val="none"/>
                <w:lang w:bidi="ar"/>
              </w:rPr>
              <w:br w:type="textWrapping"/>
            </w:r>
            <w:r>
              <w:rPr>
                <w:rFonts w:hint="eastAsia" w:ascii="宋体" w:hAnsi="宋体" w:cs="宋体"/>
                <w:color w:val="auto"/>
                <w:szCs w:val="21"/>
                <w:highlight w:val="none"/>
                <w:lang w:bidi="ar"/>
              </w:rPr>
              <w:t>▲10.设备支持双规格安装接口，兼容快速快拆旋转安装、多孔位稳固壁挂/抱杆安装两种方式；</w:t>
            </w:r>
            <w:r>
              <w:rPr>
                <w:rFonts w:hint="eastAsia" w:ascii="宋体" w:hAnsi="宋体" w:cs="宋体"/>
                <w:color w:val="auto"/>
                <w:szCs w:val="21"/>
                <w:highlight w:val="none"/>
                <w:lang w:eastAsia="zh-CN" w:bidi="ar"/>
              </w:rPr>
              <w:t>（</w:t>
            </w:r>
            <w:r>
              <w:rPr>
                <w:rFonts w:hint="eastAsia" w:ascii="宋体" w:hAnsi="宋体" w:cs="宋体"/>
                <w:color w:val="auto"/>
                <w:szCs w:val="21"/>
                <w:highlight w:val="none"/>
                <w:lang w:bidi="ar"/>
              </w:rPr>
              <w:t>提供第三方检验机构出具的检测报告原件扫描件）</w:t>
            </w:r>
          </w:p>
          <w:p w14:paraId="09C109C2">
            <w:pPr>
              <w:widowControl/>
              <w:spacing w:line="360" w:lineRule="exact"/>
              <w:jc w:val="left"/>
              <w:rPr>
                <w:rFonts w:hint="eastAsia" w:ascii="宋体" w:hAnsi="宋体" w:cs="宋体"/>
                <w:color w:val="auto"/>
                <w:szCs w:val="21"/>
                <w:highlight w:val="none"/>
                <w:lang w:bidi="ar"/>
              </w:rPr>
            </w:pPr>
            <w:r>
              <w:rPr>
                <w:rFonts w:hint="eastAsia" w:ascii="宋体" w:hAnsi="宋体" w:cs="宋体"/>
                <w:color w:val="auto"/>
                <w:szCs w:val="21"/>
                <w:highlight w:val="none"/>
                <w:lang w:bidi="ar"/>
              </w:rPr>
              <w:t>#1</w:t>
            </w:r>
            <w:r>
              <w:rPr>
                <w:rFonts w:hint="eastAsia" w:ascii="宋体" w:hAnsi="宋体" w:cs="宋体"/>
                <w:color w:val="auto"/>
                <w:szCs w:val="21"/>
                <w:highlight w:val="none"/>
                <w:lang w:val="en-US" w:eastAsia="zh-CN" w:bidi="ar"/>
              </w:rPr>
              <w:t>1.</w:t>
            </w:r>
            <w:r>
              <w:rPr>
                <w:rFonts w:hint="eastAsia" w:ascii="宋体" w:hAnsi="宋体" w:cs="宋体"/>
                <w:color w:val="auto"/>
                <w:szCs w:val="21"/>
                <w:highlight w:val="none"/>
                <w:lang w:bidi="ar"/>
              </w:rPr>
              <w:t>细节通道支持smart</w:t>
            </w:r>
            <w:r>
              <w:rPr>
                <w:rFonts w:hint="eastAsia" w:ascii="宋体" w:hAnsi="宋体" w:cs="宋体"/>
                <w:color w:val="auto"/>
                <w:szCs w:val="21"/>
                <w:highlight w:val="none"/>
                <w:lang w:val="en-US" w:eastAsia="zh-CN" w:bidi="ar"/>
              </w:rPr>
              <w:t>智能</w:t>
            </w:r>
            <w:r>
              <w:rPr>
                <w:rFonts w:hint="eastAsia" w:ascii="宋体" w:hAnsi="宋体" w:cs="宋体"/>
                <w:color w:val="auto"/>
                <w:szCs w:val="21"/>
                <w:highlight w:val="none"/>
                <w:lang w:bidi="ar"/>
              </w:rPr>
              <w:t>事件</w:t>
            </w:r>
            <w:r>
              <w:rPr>
                <w:rFonts w:hint="eastAsia" w:ascii="宋体" w:hAnsi="宋体" w:cs="宋体"/>
                <w:color w:val="auto"/>
                <w:szCs w:val="21"/>
                <w:highlight w:val="none"/>
                <w:lang w:val="en-US" w:eastAsia="zh-CN" w:bidi="ar"/>
              </w:rPr>
              <w:t>检测</w:t>
            </w:r>
            <w:r>
              <w:rPr>
                <w:rFonts w:hint="eastAsia" w:ascii="宋体" w:hAnsi="宋体" w:cs="宋体"/>
                <w:color w:val="auto"/>
                <w:szCs w:val="21"/>
                <w:highlight w:val="none"/>
                <w:lang w:bidi="ar"/>
              </w:rPr>
              <w:t>、全结构化模式，</w:t>
            </w:r>
            <w:r>
              <w:rPr>
                <w:rFonts w:hint="eastAsia" w:ascii="宋体" w:hAnsi="宋体" w:cs="宋体"/>
                <w:color w:val="auto"/>
                <w:szCs w:val="21"/>
                <w:highlight w:val="none"/>
                <w:lang w:val="en-US" w:eastAsia="zh-CN" w:bidi="ar"/>
              </w:rPr>
              <w:t>各类</w:t>
            </w:r>
            <w:r>
              <w:rPr>
                <w:rFonts w:hint="eastAsia" w:ascii="宋体" w:hAnsi="宋体" w:cs="宋体"/>
                <w:color w:val="auto"/>
                <w:szCs w:val="21"/>
                <w:highlight w:val="none"/>
                <w:lang w:bidi="ar"/>
              </w:rPr>
              <w:t>智能</w:t>
            </w:r>
            <w:r>
              <w:rPr>
                <w:rFonts w:hint="eastAsia" w:ascii="宋体" w:hAnsi="宋体" w:cs="宋体"/>
                <w:color w:val="auto"/>
                <w:szCs w:val="21"/>
                <w:highlight w:val="none"/>
                <w:lang w:val="en-US" w:eastAsia="zh-CN" w:bidi="ar"/>
              </w:rPr>
              <w:t>分析</w:t>
            </w:r>
            <w:r>
              <w:rPr>
                <w:rFonts w:hint="eastAsia" w:ascii="宋体" w:hAnsi="宋体" w:cs="宋体"/>
                <w:color w:val="auto"/>
                <w:szCs w:val="21"/>
                <w:highlight w:val="none"/>
                <w:lang w:bidi="ar"/>
              </w:rPr>
              <w:t>功能可任意选择保存生效；</w:t>
            </w:r>
            <w:r>
              <w:rPr>
                <w:rFonts w:hint="eastAsia" w:ascii="宋体" w:hAnsi="宋体" w:cs="宋体"/>
                <w:color w:val="auto"/>
                <w:szCs w:val="21"/>
                <w:highlight w:val="none"/>
                <w:lang w:bidi="ar"/>
              </w:rPr>
              <w:br w:type="textWrapping"/>
            </w:r>
            <w:r>
              <w:rPr>
                <w:rFonts w:hint="eastAsia" w:ascii="宋体" w:hAnsi="宋体" w:cs="宋体"/>
                <w:color w:val="auto"/>
                <w:szCs w:val="21"/>
                <w:highlight w:val="none"/>
                <w:lang w:bidi="ar"/>
              </w:rPr>
              <w:t>#12.全景通道支持一键拼接功能，可将2个全景画面进行拼接输出，在拼接模式下，设备可输出全景和细节2个视频画面，在非拼接模式下，设备可输出全景通道1、全景通道2和细节通道共3个视频画面；</w:t>
            </w:r>
          </w:p>
          <w:p w14:paraId="1C57BF40">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lang w:bidi="ar"/>
              </w:rPr>
              <w:t>#1</w:t>
            </w:r>
            <w:r>
              <w:rPr>
                <w:rFonts w:hint="eastAsia" w:ascii="宋体" w:hAnsi="宋体" w:cs="宋体"/>
                <w:color w:val="auto"/>
                <w:szCs w:val="21"/>
                <w:highlight w:val="none"/>
                <w:lang w:val="en-US" w:eastAsia="zh-CN" w:bidi="ar"/>
              </w:rPr>
              <w:t>3</w:t>
            </w:r>
            <w:r>
              <w:rPr>
                <w:rFonts w:hint="eastAsia" w:ascii="宋体" w:hAnsi="宋体" w:cs="宋体"/>
                <w:color w:val="auto"/>
                <w:szCs w:val="21"/>
                <w:highlight w:val="none"/>
                <w:lang w:bidi="ar"/>
              </w:rPr>
              <w:t>.全景通道1和全景通道2分别内置1个麦克风。</w:t>
            </w:r>
            <w:r>
              <w:rPr>
                <w:rFonts w:hint="eastAsia" w:ascii="宋体" w:hAnsi="宋体" w:cs="宋体"/>
                <w:color w:val="auto"/>
                <w:szCs w:val="21"/>
                <w:highlight w:val="none"/>
                <w:lang w:bidi="ar"/>
              </w:rPr>
              <w:br w:type="textWrapping"/>
            </w:r>
            <w:r>
              <w:rPr>
                <w:rFonts w:hint="eastAsia" w:ascii="宋体" w:hAnsi="宋体" w:cs="宋体"/>
                <w:color w:val="auto"/>
                <w:szCs w:val="21"/>
                <w:highlight w:val="none"/>
                <w:lang w:bidi="ar"/>
              </w:rPr>
              <w:t>#1</w:t>
            </w:r>
            <w:r>
              <w:rPr>
                <w:rFonts w:hint="eastAsia" w:ascii="宋体" w:hAnsi="宋体" w:cs="宋体"/>
                <w:color w:val="auto"/>
                <w:szCs w:val="21"/>
                <w:highlight w:val="none"/>
                <w:lang w:val="en-US" w:eastAsia="zh-CN" w:bidi="ar"/>
              </w:rPr>
              <w:t>4.</w:t>
            </w:r>
            <w:r>
              <w:rPr>
                <w:rFonts w:hint="eastAsia" w:ascii="宋体" w:hAnsi="宋体" w:cs="宋体"/>
                <w:color w:val="auto"/>
                <w:szCs w:val="21"/>
                <w:highlight w:val="none"/>
                <w:lang w:bidi="ar"/>
              </w:rPr>
              <w:t>设备具有语音对讲设置；设备支持不少于2路报警输入，不少于1路报警输出，不少于1路音频输入，不少于1路音频输出，不少于2个麦克风，不少于1个扬声器、不少于1个SD卡槽，不少于1个RJ45网口，不少于1个485接口。</w:t>
            </w:r>
          </w:p>
        </w:tc>
        <w:tc>
          <w:tcPr>
            <w:tcW w:w="522" w:type="pct"/>
            <w:tcBorders>
              <w:top w:val="single" w:color="000000" w:sz="4" w:space="0"/>
              <w:left w:val="single" w:color="000000" w:sz="4" w:space="0"/>
              <w:bottom w:val="single" w:color="000000" w:sz="4" w:space="0"/>
              <w:right w:val="single" w:color="000000" w:sz="4" w:space="0"/>
            </w:tcBorders>
            <w:noWrap w:val="0"/>
            <w:vAlign w:val="center"/>
          </w:tcPr>
          <w:p w14:paraId="174EBD0D">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54</w:t>
            </w:r>
          </w:p>
        </w:tc>
        <w:tc>
          <w:tcPr>
            <w:tcW w:w="294" w:type="pct"/>
            <w:tcBorders>
              <w:top w:val="single" w:color="000000" w:sz="4" w:space="0"/>
              <w:left w:val="single" w:color="000000" w:sz="4" w:space="0"/>
              <w:bottom w:val="single" w:color="000000" w:sz="4" w:space="0"/>
              <w:right w:val="single" w:color="000000" w:sz="4" w:space="0"/>
            </w:tcBorders>
            <w:noWrap w:val="0"/>
            <w:vAlign w:val="center"/>
          </w:tcPr>
          <w:p w14:paraId="483EC385">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套</w:t>
            </w:r>
          </w:p>
        </w:tc>
        <w:tc>
          <w:tcPr>
            <w:tcW w:w="500" w:type="pct"/>
            <w:tcBorders>
              <w:top w:val="single" w:color="000000" w:sz="4" w:space="0"/>
              <w:left w:val="single" w:color="000000" w:sz="4" w:space="0"/>
              <w:bottom w:val="single" w:color="000000" w:sz="4" w:space="0"/>
              <w:right w:val="single" w:color="000000" w:sz="4" w:space="0"/>
            </w:tcBorders>
            <w:noWrap w:val="0"/>
            <w:vAlign w:val="center"/>
          </w:tcPr>
          <w:p w14:paraId="5BD73794">
            <w:pPr>
              <w:widowControl/>
              <w:spacing w:line="360" w:lineRule="exact"/>
              <w:jc w:val="center"/>
              <w:rPr>
                <w:rFonts w:hint="eastAsia" w:ascii="宋体" w:hAnsi="宋体" w:cs="宋体"/>
                <w:color w:val="auto"/>
                <w:szCs w:val="21"/>
                <w:highlight w:val="none"/>
                <w:lang w:bidi="ar"/>
              </w:rPr>
            </w:pPr>
          </w:p>
        </w:tc>
      </w:tr>
      <w:tr w14:paraId="4806103A">
        <w:tblPrEx>
          <w:tblCellMar>
            <w:top w:w="0" w:type="dxa"/>
            <w:left w:w="108" w:type="dxa"/>
            <w:bottom w:w="0" w:type="dxa"/>
            <w:right w:w="108" w:type="dxa"/>
          </w:tblCellMar>
        </w:tblPrEx>
        <w:trPr>
          <w:trHeight w:val="360" w:hRule="atLeast"/>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321A0CDE">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22</w:t>
            </w:r>
          </w:p>
        </w:tc>
        <w:tc>
          <w:tcPr>
            <w:tcW w:w="608" w:type="pct"/>
            <w:tcBorders>
              <w:top w:val="single" w:color="000000" w:sz="4" w:space="0"/>
              <w:left w:val="single" w:color="000000" w:sz="4" w:space="0"/>
              <w:bottom w:val="single" w:color="000000" w:sz="4" w:space="0"/>
              <w:right w:val="single" w:color="000000" w:sz="4" w:space="0"/>
            </w:tcBorders>
            <w:noWrap w:val="0"/>
            <w:vAlign w:val="center"/>
          </w:tcPr>
          <w:p w14:paraId="6C3F13AB">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立杆杆件、预埋件、基础</w:t>
            </w:r>
          </w:p>
        </w:tc>
        <w:tc>
          <w:tcPr>
            <w:tcW w:w="2765" w:type="pct"/>
            <w:tcBorders>
              <w:top w:val="single" w:color="000000" w:sz="4" w:space="0"/>
              <w:left w:val="single" w:color="000000" w:sz="4" w:space="0"/>
              <w:bottom w:val="single" w:color="000000" w:sz="4" w:space="0"/>
              <w:right w:val="single" w:color="000000" w:sz="4" w:space="0"/>
            </w:tcBorders>
            <w:noWrap w:val="0"/>
            <w:vAlign w:val="center"/>
          </w:tcPr>
          <w:p w14:paraId="5838C28F">
            <w:pPr>
              <w:widowControl/>
              <w:spacing w:line="360" w:lineRule="exact"/>
              <w:jc w:val="left"/>
              <w:rPr>
                <w:rFonts w:hint="eastAsia" w:ascii="宋体" w:hAnsi="宋体" w:cs="宋体"/>
                <w:color w:val="auto"/>
                <w:szCs w:val="21"/>
                <w:highlight w:val="none"/>
                <w:lang w:bidi="ar"/>
              </w:rPr>
            </w:pPr>
            <w:r>
              <w:rPr>
                <w:rFonts w:hint="eastAsia" w:ascii="宋体" w:hAnsi="宋体" w:cs="宋体"/>
                <w:color w:val="auto"/>
                <w:szCs w:val="21"/>
                <w:highlight w:val="none"/>
                <w:lang w:bidi="ar"/>
              </w:rPr>
              <w:t>#1.材质：采用 Q235B 钢板，等径焊管杆，杆高 4.5m，上口径φ140mm，下口径为φ140mm，主杆壁厚≥3.5mm；底板法兰：320mm*320mm*14mm；横臂：横臂长度 0.5m-1.0m，等径焊管≥φ76mm，横臂壁厚≥2.75mm；整体热镀锌喷塑上色。</w:t>
            </w:r>
          </w:p>
          <w:p w14:paraId="6460C74B">
            <w:pPr>
              <w:widowControl/>
              <w:spacing w:line="360" w:lineRule="exact"/>
              <w:jc w:val="left"/>
              <w:rPr>
                <w:rFonts w:hint="eastAsia" w:ascii="宋体" w:hAnsi="宋体" w:cs="宋体"/>
                <w:color w:val="auto"/>
                <w:szCs w:val="21"/>
                <w:highlight w:val="none"/>
                <w:lang w:bidi="ar"/>
              </w:rPr>
            </w:pPr>
            <w:r>
              <w:rPr>
                <w:rFonts w:hint="eastAsia" w:ascii="宋体" w:hAnsi="宋体" w:cs="宋体"/>
                <w:color w:val="auto"/>
                <w:szCs w:val="21"/>
                <w:highlight w:val="none"/>
                <w:lang w:bidi="ar"/>
              </w:rPr>
              <w:t>#2.地笼：4-M18*800mm；接地-4*40*1200mm(镀锌扁铁）。</w:t>
            </w:r>
          </w:p>
          <w:p w14:paraId="46FD7BAE">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lang w:bidi="ar"/>
              </w:rPr>
              <w:t>#3.C25 砼,基础</w:t>
            </w:r>
            <w:r>
              <w:rPr>
                <w:rFonts w:hint="eastAsia" w:ascii="宋体" w:hAnsi="宋体" w:cs="宋体"/>
                <w:color w:val="auto"/>
                <w:szCs w:val="21"/>
                <w:highlight w:val="none"/>
                <w:lang w:val="en-US" w:eastAsia="zh-CN" w:bidi="ar"/>
              </w:rPr>
              <w:t>尺</w:t>
            </w:r>
            <w:r>
              <w:rPr>
                <w:rFonts w:hint="eastAsia" w:ascii="宋体" w:hAnsi="宋体" w:cs="宋体"/>
                <w:color w:val="auto"/>
                <w:szCs w:val="21"/>
                <w:highlight w:val="none"/>
                <w:lang w:bidi="ar"/>
              </w:rPr>
              <w:t>寸：650mm*650mm*800mm，所供杆件设计按照国家《钢结构设计规范》标准，并提供相关图纸。</w:t>
            </w:r>
          </w:p>
        </w:tc>
        <w:tc>
          <w:tcPr>
            <w:tcW w:w="522" w:type="pct"/>
            <w:tcBorders>
              <w:top w:val="single" w:color="000000" w:sz="4" w:space="0"/>
              <w:left w:val="single" w:color="000000" w:sz="4" w:space="0"/>
              <w:bottom w:val="single" w:color="000000" w:sz="4" w:space="0"/>
              <w:right w:val="single" w:color="000000" w:sz="4" w:space="0"/>
            </w:tcBorders>
            <w:noWrap w:val="0"/>
            <w:vAlign w:val="center"/>
          </w:tcPr>
          <w:p w14:paraId="2D7B8922">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35</w:t>
            </w:r>
          </w:p>
        </w:tc>
        <w:tc>
          <w:tcPr>
            <w:tcW w:w="294" w:type="pct"/>
            <w:tcBorders>
              <w:top w:val="single" w:color="000000" w:sz="4" w:space="0"/>
              <w:left w:val="single" w:color="000000" w:sz="4" w:space="0"/>
              <w:bottom w:val="single" w:color="000000" w:sz="4" w:space="0"/>
              <w:right w:val="single" w:color="000000" w:sz="4" w:space="0"/>
            </w:tcBorders>
            <w:noWrap w:val="0"/>
            <w:vAlign w:val="center"/>
          </w:tcPr>
          <w:p w14:paraId="030D4961">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根</w:t>
            </w:r>
          </w:p>
        </w:tc>
        <w:tc>
          <w:tcPr>
            <w:tcW w:w="500" w:type="pct"/>
            <w:tcBorders>
              <w:top w:val="single" w:color="000000" w:sz="4" w:space="0"/>
              <w:left w:val="single" w:color="000000" w:sz="4" w:space="0"/>
              <w:bottom w:val="single" w:color="000000" w:sz="4" w:space="0"/>
              <w:right w:val="single" w:color="000000" w:sz="4" w:space="0"/>
            </w:tcBorders>
            <w:noWrap w:val="0"/>
            <w:vAlign w:val="center"/>
          </w:tcPr>
          <w:p w14:paraId="25E38DF9">
            <w:pPr>
              <w:widowControl/>
              <w:spacing w:line="360" w:lineRule="exact"/>
              <w:jc w:val="center"/>
              <w:rPr>
                <w:rFonts w:hint="eastAsia" w:ascii="宋体" w:hAnsi="宋体" w:cs="宋体"/>
                <w:color w:val="auto"/>
                <w:szCs w:val="21"/>
                <w:highlight w:val="none"/>
                <w:lang w:bidi="ar"/>
              </w:rPr>
            </w:pPr>
          </w:p>
        </w:tc>
      </w:tr>
      <w:tr w14:paraId="41B7782E">
        <w:tblPrEx>
          <w:tblCellMar>
            <w:top w:w="0" w:type="dxa"/>
            <w:left w:w="108" w:type="dxa"/>
            <w:bottom w:w="0" w:type="dxa"/>
            <w:right w:w="108" w:type="dxa"/>
          </w:tblCellMar>
        </w:tblPrEx>
        <w:trPr>
          <w:trHeight w:val="360" w:hRule="atLeast"/>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00345D7E">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23</w:t>
            </w:r>
          </w:p>
        </w:tc>
        <w:tc>
          <w:tcPr>
            <w:tcW w:w="608" w:type="pct"/>
            <w:tcBorders>
              <w:top w:val="single" w:color="000000" w:sz="4" w:space="0"/>
              <w:left w:val="single" w:color="000000" w:sz="4" w:space="0"/>
              <w:bottom w:val="single" w:color="000000" w:sz="4" w:space="0"/>
              <w:right w:val="single" w:color="000000" w:sz="4" w:space="0"/>
            </w:tcBorders>
            <w:noWrap w:val="0"/>
            <w:vAlign w:val="center"/>
          </w:tcPr>
          <w:p w14:paraId="7FA0B51C">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设备箱及配套</w:t>
            </w:r>
          </w:p>
        </w:tc>
        <w:tc>
          <w:tcPr>
            <w:tcW w:w="2765" w:type="pct"/>
            <w:tcBorders>
              <w:top w:val="single" w:color="000000" w:sz="4" w:space="0"/>
              <w:left w:val="single" w:color="000000" w:sz="4" w:space="0"/>
              <w:bottom w:val="single" w:color="000000" w:sz="4" w:space="0"/>
              <w:right w:val="single" w:color="000000" w:sz="4" w:space="0"/>
            </w:tcBorders>
            <w:noWrap w:val="0"/>
            <w:vAlign w:val="center"/>
          </w:tcPr>
          <w:p w14:paraId="386DBB24">
            <w:pPr>
              <w:widowControl/>
              <w:spacing w:line="360" w:lineRule="exact"/>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bidi="ar"/>
              </w:rPr>
              <w:t>#1.设备箱尺寸：400mm*300mm*200mm；材质：≥1.2mm镀锌板；接地铜排、电源防雷器等配套设备；箱门图案根据客户需求打印。</w:t>
            </w:r>
          </w:p>
        </w:tc>
        <w:tc>
          <w:tcPr>
            <w:tcW w:w="522" w:type="pct"/>
            <w:tcBorders>
              <w:top w:val="single" w:color="000000" w:sz="4" w:space="0"/>
              <w:left w:val="single" w:color="000000" w:sz="4" w:space="0"/>
              <w:bottom w:val="single" w:color="000000" w:sz="4" w:space="0"/>
              <w:right w:val="single" w:color="000000" w:sz="4" w:space="0"/>
            </w:tcBorders>
            <w:noWrap w:val="0"/>
            <w:vAlign w:val="center"/>
          </w:tcPr>
          <w:p w14:paraId="0BEFFF2B">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44</w:t>
            </w:r>
          </w:p>
        </w:tc>
        <w:tc>
          <w:tcPr>
            <w:tcW w:w="294" w:type="pct"/>
            <w:tcBorders>
              <w:top w:val="single" w:color="000000" w:sz="4" w:space="0"/>
              <w:left w:val="single" w:color="000000" w:sz="4" w:space="0"/>
              <w:bottom w:val="single" w:color="000000" w:sz="4" w:space="0"/>
              <w:right w:val="single" w:color="000000" w:sz="4" w:space="0"/>
            </w:tcBorders>
            <w:noWrap w:val="0"/>
            <w:vAlign w:val="center"/>
          </w:tcPr>
          <w:p w14:paraId="65D09045">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套</w:t>
            </w:r>
          </w:p>
        </w:tc>
        <w:tc>
          <w:tcPr>
            <w:tcW w:w="500" w:type="pct"/>
            <w:tcBorders>
              <w:top w:val="single" w:color="000000" w:sz="4" w:space="0"/>
              <w:left w:val="single" w:color="000000" w:sz="4" w:space="0"/>
              <w:bottom w:val="single" w:color="000000" w:sz="4" w:space="0"/>
              <w:right w:val="single" w:color="000000" w:sz="4" w:space="0"/>
            </w:tcBorders>
            <w:noWrap w:val="0"/>
            <w:vAlign w:val="center"/>
          </w:tcPr>
          <w:p w14:paraId="3D7EB542">
            <w:pPr>
              <w:widowControl/>
              <w:spacing w:line="360" w:lineRule="exact"/>
              <w:jc w:val="center"/>
              <w:rPr>
                <w:rFonts w:hint="eastAsia" w:ascii="宋体" w:hAnsi="宋体" w:cs="宋体"/>
                <w:color w:val="auto"/>
                <w:szCs w:val="21"/>
                <w:highlight w:val="none"/>
                <w:lang w:bidi="ar"/>
              </w:rPr>
            </w:pPr>
          </w:p>
        </w:tc>
      </w:tr>
      <w:tr w14:paraId="7970D199">
        <w:tblPrEx>
          <w:tblCellMar>
            <w:top w:w="0" w:type="dxa"/>
            <w:left w:w="108" w:type="dxa"/>
            <w:bottom w:w="0" w:type="dxa"/>
            <w:right w:w="108" w:type="dxa"/>
          </w:tblCellMar>
        </w:tblPrEx>
        <w:trPr>
          <w:trHeight w:val="360" w:hRule="atLeast"/>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216D7F17">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24</w:t>
            </w:r>
          </w:p>
        </w:tc>
        <w:tc>
          <w:tcPr>
            <w:tcW w:w="608" w:type="pct"/>
            <w:tcBorders>
              <w:top w:val="single" w:color="000000" w:sz="4" w:space="0"/>
              <w:left w:val="single" w:color="000000" w:sz="4" w:space="0"/>
              <w:bottom w:val="single" w:color="000000" w:sz="4" w:space="0"/>
              <w:right w:val="single" w:color="000000" w:sz="4" w:space="0"/>
            </w:tcBorders>
            <w:noWrap w:val="0"/>
            <w:vAlign w:val="center"/>
          </w:tcPr>
          <w:p w14:paraId="0A544C04">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★电源线</w:t>
            </w:r>
          </w:p>
        </w:tc>
        <w:tc>
          <w:tcPr>
            <w:tcW w:w="2765" w:type="pct"/>
            <w:tcBorders>
              <w:top w:val="single" w:color="000000" w:sz="4" w:space="0"/>
              <w:left w:val="single" w:color="000000" w:sz="4" w:space="0"/>
              <w:bottom w:val="single" w:color="000000" w:sz="4" w:space="0"/>
              <w:right w:val="single" w:color="000000" w:sz="4" w:space="0"/>
            </w:tcBorders>
            <w:noWrap w:val="0"/>
            <w:vAlign w:val="center"/>
          </w:tcPr>
          <w:p w14:paraId="48EC114F">
            <w:pPr>
              <w:widowControl/>
              <w:spacing w:line="360" w:lineRule="exact"/>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bidi="ar"/>
              </w:rPr>
              <w:t>#1</w:t>
            </w:r>
            <w:r>
              <w:rPr>
                <w:rFonts w:hint="eastAsia" w:ascii="宋体" w:hAnsi="宋体" w:cs="宋体"/>
                <w:color w:val="auto"/>
                <w:szCs w:val="21"/>
                <w:highlight w:val="none"/>
                <w:lang w:val="en-US" w:eastAsia="zh-CN" w:bidi="ar"/>
              </w:rPr>
              <w:t>.国标</w:t>
            </w:r>
            <w:r>
              <w:rPr>
                <w:rFonts w:hint="eastAsia" w:ascii="宋体" w:hAnsi="宋体" w:cs="宋体"/>
                <w:color w:val="auto"/>
                <w:szCs w:val="21"/>
                <w:highlight w:val="none"/>
                <w:lang w:bidi="ar"/>
              </w:rPr>
              <w:t>2*1.5平方</w:t>
            </w:r>
            <w:r>
              <w:rPr>
                <w:rFonts w:hint="eastAsia" w:ascii="宋体" w:hAnsi="宋体" w:cs="宋体"/>
                <w:color w:val="auto"/>
                <w:szCs w:val="21"/>
                <w:highlight w:val="none"/>
                <w:lang w:eastAsia="zh-CN" w:bidi="ar"/>
              </w:rPr>
              <w:t>（</w:t>
            </w:r>
            <w:r>
              <w:rPr>
                <w:rFonts w:hint="eastAsia" w:ascii="宋体" w:hAnsi="宋体" w:cs="宋体"/>
                <w:color w:val="auto"/>
                <w:szCs w:val="21"/>
                <w:highlight w:val="none"/>
                <w:lang w:val="en-US" w:eastAsia="zh-CN" w:bidi="ar"/>
              </w:rPr>
              <w:t>提供3C认证证书</w:t>
            </w:r>
            <w:r>
              <w:rPr>
                <w:rFonts w:hint="eastAsia" w:ascii="宋体" w:hAnsi="宋体" w:cs="宋体"/>
                <w:color w:val="auto"/>
                <w:szCs w:val="21"/>
                <w:highlight w:val="none"/>
                <w:lang w:eastAsia="zh-CN" w:bidi="ar"/>
              </w:rPr>
              <w:t>）</w:t>
            </w:r>
          </w:p>
        </w:tc>
        <w:tc>
          <w:tcPr>
            <w:tcW w:w="522" w:type="pct"/>
            <w:tcBorders>
              <w:top w:val="single" w:color="000000" w:sz="4" w:space="0"/>
              <w:left w:val="single" w:color="000000" w:sz="4" w:space="0"/>
              <w:bottom w:val="single" w:color="000000" w:sz="4" w:space="0"/>
              <w:right w:val="single" w:color="000000" w:sz="4" w:space="0"/>
            </w:tcBorders>
            <w:noWrap w:val="0"/>
            <w:vAlign w:val="center"/>
          </w:tcPr>
          <w:p w14:paraId="4D031D45">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3000</w:t>
            </w:r>
          </w:p>
        </w:tc>
        <w:tc>
          <w:tcPr>
            <w:tcW w:w="294" w:type="pct"/>
            <w:tcBorders>
              <w:top w:val="single" w:color="000000" w:sz="4" w:space="0"/>
              <w:left w:val="single" w:color="000000" w:sz="4" w:space="0"/>
              <w:bottom w:val="single" w:color="000000" w:sz="4" w:space="0"/>
              <w:right w:val="single" w:color="000000" w:sz="4" w:space="0"/>
            </w:tcBorders>
            <w:noWrap w:val="0"/>
            <w:vAlign w:val="center"/>
          </w:tcPr>
          <w:p w14:paraId="2AB4CC04">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米</w:t>
            </w:r>
          </w:p>
        </w:tc>
        <w:tc>
          <w:tcPr>
            <w:tcW w:w="500" w:type="pct"/>
            <w:tcBorders>
              <w:top w:val="single" w:color="000000" w:sz="4" w:space="0"/>
              <w:left w:val="single" w:color="000000" w:sz="4" w:space="0"/>
              <w:bottom w:val="single" w:color="000000" w:sz="4" w:space="0"/>
              <w:right w:val="single" w:color="000000" w:sz="4" w:space="0"/>
            </w:tcBorders>
            <w:noWrap w:val="0"/>
            <w:vAlign w:val="center"/>
          </w:tcPr>
          <w:p w14:paraId="56B82601">
            <w:pPr>
              <w:widowControl/>
              <w:spacing w:line="360" w:lineRule="exact"/>
              <w:jc w:val="center"/>
              <w:rPr>
                <w:rFonts w:hint="eastAsia" w:ascii="宋体" w:hAnsi="宋体" w:cs="宋体"/>
                <w:color w:val="auto"/>
                <w:szCs w:val="21"/>
                <w:highlight w:val="none"/>
                <w:lang w:bidi="ar"/>
              </w:rPr>
            </w:pPr>
          </w:p>
        </w:tc>
      </w:tr>
      <w:tr w14:paraId="469DF258">
        <w:tblPrEx>
          <w:tblCellMar>
            <w:top w:w="0" w:type="dxa"/>
            <w:left w:w="108" w:type="dxa"/>
            <w:bottom w:w="0" w:type="dxa"/>
            <w:right w:w="108" w:type="dxa"/>
          </w:tblCellMar>
        </w:tblPrEx>
        <w:trPr>
          <w:trHeight w:val="360" w:hRule="atLeast"/>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1E1274E8">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25</w:t>
            </w:r>
          </w:p>
        </w:tc>
        <w:tc>
          <w:tcPr>
            <w:tcW w:w="608" w:type="pct"/>
            <w:tcBorders>
              <w:top w:val="single" w:color="000000" w:sz="4" w:space="0"/>
              <w:left w:val="single" w:color="000000" w:sz="4" w:space="0"/>
              <w:bottom w:val="single" w:color="000000" w:sz="4" w:space="0"/>
              <w:right w:val="single" w:color="000000" w:sz="4" w:space="0"/>
            </w:tcBorders>
            <w:noWrap w:val="0"/>
            <w:vAlign w:val="center"/>
          </w:tcPr>
          <w:p w14:paraId="38B53540">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网线</w:t>
            </w:r>
          </w:p>
        </w:tc>
        <w:tc>
          <w:tcPr>
            <w:tcW w:w="2765" w:type="pct"/>
            <w:tcBorders>
              <w:top w:val="single" w:color="000000" w:sz="4" w:space="0"/>
              <w:left w:val="single" w:color="000000" w:sz="4" w:space="0"/>
              <w:bottom w:val="single" w:color="000000" w:sz="4" w:space="0"/>
              <w:right w:val="single" w:color="000000" w:sz="4" w:space="0"/>
            </w:tcBorders>
            <w:noWrap w:val="0"/>
            <w:vAlign w:val="center"/>
          </w:tcPr>
          <w:p w14:paraId="63BA5C1C">
            <w:pPr>
              <w:widowControl/>
              <w:spacing w:line="360" w:lineRule="exact"/>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bidi="ar"/>
              </w:rPr>
              <w:t>#1</w:t>
            </w:r>
            <w:r>
              <w:rPr>
                <w:rFonts w:hint="eastAsia" w:ascii="宋体" w:hAnsi="宋体" w:cs="宋体"/>
                <w:color w:val="auto"/>
                <w:szCs w:val="21"/>
                <w:highlight w:val="none"/>
                <w:lang w:val="en-US" w:eastAsia="zh-CN" w:bidi="ar"/>
              </w:rPr>
              <w:t>.不低于</w:t>
            </w:r>
            <w:r>
              <w:rPr>
                <w:rFonts w:hint="eastAsia" w:ascii="宋体" w:hAnsi="宋体" w:cs="宋体"/>
                <w:color w:val="auto"/>
                <w:szCs w:val="21"/>
                <w:highlight w:val="none"/>
                <w:lang w:bidi="ar"/>
              </w:rPr>
              <w:t>超五类非屏蔽</w:t>
            </w:r>
            <w:r>
              <w:rPr>
                <w:rFonts w:hint="eastAsia" w:ascii="宋体" w:hAnsi="宋体" w:cs="宋体"/>
                <w:color w:val="auto"/>
                <w:szCs w:val="21"/>
                <w:highlight w:val="none"/>
                <w:lang w:val="en-US" w:eastAsia="zh-CN" w:bidi="ar"/>
              </w:rPr>
              <w:t>网线</w:t>
            </w:r>
          </w:p>
        </w:tc>
        <w:tc>
          <w:tcPr>
            <w:tcW w:w="522" w:type="pct"/>
            <w:tcBorders>
              <w:top w:val="single" w:color="000000" w:sz="4" w:space="0"/>
              <w:left w:val="single" w:color="000000" w:sz="4" w:space="0"/>
              <w:bottom w:val="single" w:color="000000" w:sz="4" w:space="0"/>
              <w:right w:val="single" w:color="000000" w:sz="4" w:space="0"/>
            </w:tcBorders>
            <w:noWrap w:val="0"/>
            <w:vAlign w:val="center"/>
          </w:tcPr>
          <w:p w14:paraId="6BC6A955">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300</w:t>
            </w:r>
          </w:p>
        </w:tc>
        <w:tc>
          <w:tcPr>
            <w:tcW w:w="294" w:type="pct"/>
            <w:tcBorders>
              <w:top w:val="single" w:color="000000" w:sz="4" w:space="0"/>
              <w:left w:val="single" w:color="000000" w:sz="4" w:space="0"/>
              <w:bottom w:val="single" w:color="000000" w:sz="4" w:space="0"/>
              <w:right w:val="single" w:color="000000" w:sz="4" w:space="0"/>
            </w:tcBorders>
            <w:noWrap w:val="0"/>
            <w:vAlign w:val="center"/>
          </w:tcPr>
          <w:p w14:paraId="64207EC8">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米</w:t>
            </w:r>
          </w:p>
        </w:tc>
        <w:tc>
          <w:tcPr>
            <w:tcW w:w="500" w:type="pct"/>
            <w:tcBorders>
              <w:top w:val="single" w:color="000000" w:sz="4" w:space="0"/>
              <w:left w:val="single" w:color="000000" w:sz="4" w:space="0"/>
              <w:bottom w:val="single" w:color="000000" w:sz="4" w:space="0"/>
              <w:right w:val="single" w:color="000000" w:sz="4" w:space="0"/>
            </w:tcBorders>
            <w:noWrap w:val="0"/>
            <w:vAlign w:val="center"/>
          </w:tcPr>
          <w:p w14:paraId="44A404B9">
            <w:pPr>
              <w:widowControl/>
              <w:spacing w:line="360" w:lineRule="exact"/>
              <w:jc w:val="center"/>
              <w:rPr>
                <w:rFonts w:hint="eastAsia" w:ascii="宋体" w:hAnsi="宋体" w:cs="宋体"/>
                <w:color w:val="auto"/>
                <w:szCs w:val="21"/>
                <w:highlight w:val="none"/>
                <w:lang w:bidi="ar"/>
              </w:rPr>
            </w:pPr>
          </w:p>
        </w:tc>
      </w:tr>
      <w:tr w14:paraId="713BB796">
        <w:tblPrEx>
          <w:tblCellMar>
            <w:top w:w="0" w:type="dxa"/>
            <w:left w:w="108" w:type="dxa"/>
            <w:bottom w:w="0" w:type="dxa"/>
            <w:right w:w="108" w:type="dxa"/>
          </w:tblCellMar>
        </w:tblPrEx>
        <w:trPr>
          <w:trHeight w:val="360" w:hRule="atLeast"/>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6C9FA96B">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26</w:t>
            </w:r>
          </w:p>
        </w:tc>
        <w:tc>
          <w:tcPr>
            <w:tcW w:w="608" w:type="pct"/>
            <w:tcBorders>
              <w:top w:val="single" w:color="000000" w:sz="4" w:space="0"/>
              <w:left w:val="single" w:color="000000" w:sz="4" w:space="0"/>
              <w:bottom w:val="single" w:color="000000" w:sz="4" w:space="0"/>
              <w:right w:val="single" w:color="000000" w:sz="4" w:space="0"/>
            </w:tcBorders>
            <w:noWrap w:val="0"/>
            <w:vAlign w:val="center"/>
          </w:tcPr>
          <w:p w14:paraId="452DD771">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挑臂</w:t>
            </w:r>
          </w:p>
        </w:tc>
        <w:tc>
          <w:tcPr>
            <w:tcW w:w="2765" w:type="pct"/>
            <w:tcBorders>
              <w:top w:val="single" w:color="000000" w:sz="4" w:space="0"/>
              <w:left w:val="single" w:color="000000" w:sz="4" w:space="0"/>
              <w:bottom w:val="single" w:color="000000" w:sz="4" w:space="0"/>
              <w:right w:val="single" w:color="000000" w:sz="4" w:space="0"/>
            </w:tcBorders>
            <w:noWrap w:val="0"/>
            <w:vAlign w:val="center"/>
          </w:tcPr>
          <w:p w14:paraId="52FE0B80">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lang w:bidi="ar"/>
              </w:rPr>
              <w:t>#1</w:t>
            </w:r>
            <w:r>
              <w:rPr>
                <w:rFonts w:hint="eastAsia" w:ascii="宋体" w:hAnsi="宋体" w:cs="宋体"/>
                <w:color w:val="auto"/>
                <w:szCs w:val="21"/>
                <w:highlight w:val="none"/>
                <w:lang w:val="en-US" w:eastAsia="zh-CN" w:bidi="ar"/>
              </w:rPr>
              <w:t>.长度≤1.5米；具体</w:t>
            </w:r>
            <w:r>
              <w:rPr>
                <w:rFonts w:hint="eastAsia" w:ascii="宋体" w:hAnsi="宋体" w:cs="宋体"/>
                <w:color w:val="auto"/>
                <w:szCs w:val="21"/>
                <w:highlight w:val="none"/>
                <w:lang w:bidi="ar"/>
              </w:rPr>
              <w:t>根据现场环境定制</w:t>
            </w:r>
          </w:p>
        </w:tc>
        <w:tc>
          <w:tcPr>
            <w:tcW w:w="522" w:type="pct"/>
            <w:tcBorders>
              <w:top w:val="single" w:color="000000" w:sz="4" w:space="0"/>
              <w:left w:val="single" w:color="000000" w:sz="4" w:space="0"/>
              <w:bottom w:val="single" w:color="000000" w:sz="4" w:space="0"/>
              <w:right w:val="single" w:color="000000" w:sz="4" w:space="0"/>
            </w:tcBorders>
            <w:noWrap w:val="0"/>
            <w:vAlign w:val="center"/>
          </w:tcPr>
          <w:p w14:paraId="6384796A">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19</w:t>
            </w:r>
          </w:p>
        </w:tc>
        <w:tc>
          <w:tcPr>
            <w:tcW w:w="294" w:type="pct"/>
            <w:tcBorders>
              <w:top w:val="single" w:color="000000" w:sz="4" w:space="0"/>
              <w:left w:val="single" w:color="000000" w:sz="4" w:space="0"/>
              <w:bottom w:val="single" w:color="000000" w:sz="4" w:space="0"/>
              <w:right w:val="single" w:color="000000" w:sz="4" w:space="0"/>
            </w:tcBorders>
            <w:noWrap w:val="0"/>
            <w:vAlign w:val="center"/>
          </w:tcPr>
          <w:p w14:paraId="72651BC1">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套</w:t>
            </w:r>
          </w:p>
        </w:tc>
        <w:tc>
          <w:tcPr>
            <w:tcW w:w="500" w:type="pct"/>
            <w:tcBorders>
              <w:top w:val="single" w:color="000000" w:sz="4" w:space="0"/>
              <w:left w:val="single" w:color="000000" w:sz="4" w:space="0"/>
              <w:bottom w:val="single" w:color="000000" w:sz="4" w:space="0"/>
              <w:right w:val="single" w:color="000000" w:sz="4" w:space="0"/>
            </w:tcBorders>
            <w:noWrap w:val="0"/>
            <w:vAlign w:val="center"/>
          </w:tcPr>
          <w:p w14:paraId="2DE6FB37">
            <w:pPr>
              <w:widowControl/>
              <w:spacing w:line="360" w:lineRule="exact"/>
              <w:jc w:val="center"/>
              <w:rPr>
                <w:rFonts w:hint="eastAsia" w:ascii="宋体" w:hAnsi="宋体" w:cs="宋体"/>
                <w:color w:val="auto"/>
                <w:szCs w:val="21"/>
                <w:highlight w:val="none"/>
                <w:lang w:bidi="ar"/>
              </w:rPr>
            </w:pPr>
          </w:p>
        </w:tc>
      </w:tr>
      <w:tr w14:paraId="4784EB0E">
        <w:tblPrEx>
          <w:tblCellMar>
            <w:top w:w="0" w:type="dxa"/>
            <w:left w:w="108" w:type="dxa"/>
            <w:bottom w:w="0" w:type="dxa"/>
            <w:right w:w="108" w:type="dxa"/>
          </w:tblCellMar>
        </w:tblPrEx>
        <w:trPr>
          <w:trHeight w:val="360" w:hRule="atLeast"/>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0E03B182">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27</w:t>
            </w:r>
          </w:p>
        </w:tc>
        <w:tc>
          <w:tcPr>
            <w:tcW w:w="608" w:type="pct"/>
            <w:tcBorders>
              <w:top w:val="single" w:color="000000" w:sz="4" w:space="0"/>
              <w:left w:val="single" w:color="000000" w:sz="4" w:space="0"/>
              <w:bottom w:val="single" w:color="000000" w:sz="4" w:space="0"/>
              <w:right w:val="single" w:color="000000" w:sz="4" w:space="0"/>
            </w:tcBorders>
            <w:noWrap w:val="0"/>
            <w:vAlign w:val="center"/>
          </w:tcPr>
          <w:p w14:paraId="48C3121E">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辅材</w:t>
            </w:r>
          </w:p>
        </w:tc>
        <w:tc>
          <w:tcPr>
            <w:tcW w:w="2765" w:type="pct"/>
            <w:tcBorders>
              <w:top w:val="single" w:color="000000" w:sz="4" w:space="0"/>
              <w:left w:val="single" w:color="000000" w:sz="4" w:space="0"/>
              <w:bottom w:val="single" w:color="000000" w:sz="4" w:space="0"/>
              <w:right w:val="single" w:color="000000" w:sz="4" w:space="0"/>
            </w:tcBorders>
            <w:noWrap w:val="0"/>
            <w:vAlign w:val="center"/>
          </w:tcPr>
          <w:p w14:paraId="0307D3CA">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lang w:bidi="ar"/>
              </w:rPr>
              <w:t>#1</w:t>
            </w:r>
            <w:r>
              <w:rPr>
                <w:rFonts w:hint="eastAsia" w:ascii="宋体" w:hAnsi="宋体" w:cs="宋体"/>
                <w:color w:val="auto"/>
                <w:szCs w:val="21"/>
                <w:highlight w:val="none"/>
                <w:lang w:val="en-US" w:eastAsia="zh-CN" w:bidi="ar"/>
              </w:rPr>
              <w:t>.</w:t>
            </w:r>
            <w:r>
              <w:rPr>
                <w:rFonts w:hint="eastAsia" w:ascii="宋体" w:hAnsi="宋体" w:cs="宋体"/>
                <w:color w:val="auto"/>
                <w:szCs w:val="21"/>
                <w:highlight w:val="none"/>
                <w:lang w:bidi="ar"/>
              </w:rPr>
              <w:t>PE管、水晶头、扎带、防水胶布、相机支架等。</w:t>
            </w:r>
          </w:p>
        </w:tc>
        <w:tc>
          <w:tcPr>
            <w:tcW w:w="522" w:type="pct"/>
            <w:tcBorders>
              <w:top w:val="single" w:color="000000" w:sz="4" w:space="0"/>
              <w:left w:val="single" w:color="000000" w:sz="4" w:space="0"/>
              <w:bottom w:val="single" w:color="000000" w:sz="4" w:space="0"/>
              <w:right w:val="single" w:color="000000" w:sz="4" w:space="0"/>
            </w:tcBorders>
            <w:noWrap w:val="0"/>
            <w:vAlign w:val="center"/>
          </w:tcPr>
          <w:p w14:paraId="46B0E2B9">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1</w:t>
            </w:r>
          </w:p>
        </w:tc>
        <w:tc>
          <w:tcPr>
            <w:tcW w:w="294" w:type="pct"/>
            <w:tcBorders>
              <w:top w:val="single" w:color="000000" w:sz="4" w:space="0"/>
              <w:left w:val="single" w:color="000000" w:sz="4" w:space="0"/>
              <w:bottom w:val="single" w:color="000000" w:sz="4" w:space="0"/>
              <w:right w:val="single" w:color="000000" w:sz="4" w:space="0"/>
            </w:tcBorders>
            <w:noWrap w:val="0"/>
            <w:vAlign w:val="center"/>
          </w:tcPr>
          <w:p w14:paraId="534006E1">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批</w:t>
            </w:r>
          </w:p>
        </w:tc>
        <w:tc>
          <w:tcPr>
            <w:tcW w:w="500" w:type="pct"/>
            <w:tcBorders>
              <w:top w:val="single" w:color="000000" w:sz="4" w:space="0"/>
              <w:left w:val="single" w:color="000000" w:sz="4" w:space="0"/>
              <w:bottom w:val="single" w:color="000000" w:sz="4" w:space="0"/>
              <w:right w:val="single" w:color="000000" w:sz="4" w:space="0"/>
            </w:tcBorders>
            <w:noWrap w:val="0"/>
            <w:vAlign w:val="center"/>
          </w:tcPr>
          <w:p w14:paraId="266912EC">
            <w:pPr>
              <w:widowControl/>
              <w:spacing w:line="360" w:lineRule="exact"/>
              <w:jc w:val="center"/>
              <w:rPr>
                <w:rFonts w:hint="eastAsia" w:ascii="宋体" w:hAnsi="宋体" w:cs="宋体"/>
                <w:color w:val="auto"/>
                <w:szCs w:val="21"/>
                <w:highlight w:val="none"/>
                <w:lang w:bidi="ar"/>
              </w:rPr>
            </w:pPr>
          </w:p>
        </w:tc>
      </w:tr>
      <w:tr w14:paraId="0DCD09B7">
        <w:tblPrEx>
          <w:tblCellMar>
            <w:top w:w="0" w:type="dxa"/>
            <w:left w:w="108" w:type="dxa"/>
            <w:bottom w:w="0" w:type="dxa"/>
            <w:right w:w="108" w:type="dxa"/>
          </w:tblCellMar>
        </w:tblPrEx>
        <w:trPr>
          <w:trHeight w:val="360" w:hRule="atLeast"/>
        </w:trPr>
        <w:tc>
          <w:tcPr>
            <w:tcW w:w="4499" w:type="pct"/>
            <w:gridSpan w:val="5"/>
            <w:tcBorders>
              <w:top w:val="single" w:color="000000" w:sz="4" w:space="0"/>
              <w:left w:val="single" w:color="000000" w:sz="4" w:space="0"/>
              <w:bottom w:val="single" w:color="000000" w:sz="4" w:space="0"/>
              <w:right w:val="single" w:color="000000" w:sz="4" w:space="0"/>
            </w:tcBorders>
            <w:noWrap w:val="0"/>
            <w:vAlign w:val="center"/>
          </w:tcPr>
          <w:p w14:paraId="1635ED2F">
            <w:pPr>
              <w:widowControl/>
              <w:spacing w:line="360" w:lineRule="exact"/>
              <w:jc w:val="center"/>
              <w:rPr>
                <w:rFonts w:ascii="宋体" w:hAnsi="宋体" w:cs="宋体"/>
                <w:b/>
                <w:bCs/>
                <w:color w:val="auto"/>
                <w:szCs w:val="21"/>
                <w:highlight w:val="none"/>
              </w:rPr>
            </w:pPr>
            <w:r>
              <w:rPr>
                <w:rFonts w:hint="eastAsia" w:ascii="宋体" w:hAnsi="宋体" w:cs="宋体"/>
                <w:b/>
                <w:bCs/>
                <w:color w:val="auto"/>
                <w:szCs w:val="21"/>
                <w:highlight w:val="none"/>
                <w:lang w:bidi="ar"/>
              </w:rPr>
              <w:t>五、后端设备</w:t>
            </w:r>
          </w:p>
        </w:tc>
        <w:tc>
          <w:tcPr>
            <w:tcW w:w="500" w:type="pct"/>
            <w:tcBorders>
              <w:top w:val="single" w:color="000000" w:sz="4" w:space="0"/>
              <w:left w:val="single" w:color="000000" w:sz="4" w:space="0"/>
              <w:bottom w:val="single" w:color="000000" w:sz="4" w:space="0"/>
              <w:right w:val="single" w:color="000000" w:sz="4" w:space="0"/>
            </w:tcBorders>
            <w:noWrap w:val="0"/>
            <w:vAlign w:val="center"/>
          </w:tcPr>
          <w:p w14:paraId="365076C3">
            <w:pPr>
              <w:widowControl/>
              <w:spacing w:line="360" w:lineRule="exact"/>
              <w:jc w:val="center"/>
              <w:rPr>
                <w:rFonts w:hint="eastAsia" w:ascii="宋体" w:hAnsi="宋体" w:cs="宋体"/>
                <w:b/>
                <w:bCs/>
                <w:color w:val="auto"/>
                <w:szCs w:val="21"/>
                <w:highlight w:val="none"/>
                <w:lang w:bidi="ar"/>
              </w:rPr>
            </w:pPr>
          </w:p>
        </w:tc>
      </w:tr>
      <w:tr w14:paraId="3AE8A458">
        <w:tblPrEx>
          <w:tblCellMar>
            <w:top w:w="0" w:type="dxa"/>
            <w:left w:w="108" w:type="dxa"/>
            <w:bottom w:w="0" w:type="dxa"/>
            <w:right w:w="108" w:type="dxa"/>
          </w:tblCellMar>
        </w:tblPrEx>
        <w:trPr>
          <w:trHeight w:val="360" w:hRule="atLeast"/>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09B03783">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28</w:t>
            </w:r>
          </w:p>
        </w:tc>
        <w:tc>
          <w:tcPr>
            <w:tcW w:w="608" w:type="pct"/>
            <w:tcBorders>
              <w:top w:val="single" w:color="000000" w:sz="4" w:space="0"/>
              <w:left w:val="single" w:color="000000" w:sz="4" w:space="0"/>
              <w:bottom w:val="single" w:color="000000" w:sz="4" w:space="0"/>
              <w:right w:val="single" w:color="000000" w:sz="4" w:space="0"/>
            </w:tcBorders>
            <w:noWrap w:val="0"/>
            <w:vAlign w:val="center"/>
          </w:tcPr>
          <w:p w14:paraId="4C0A16F8">
            <w:pPr>
              <w:widowControl/>
              <w:spacing w:line="360" w:lineRule="exact"/>
              <w:jc w:val="center"/>
              <w:rPr>
                <w:rFonts w:hint="eastAsia" w:ascii="宋体" w:hAnsi="宋体" w:cs="宋体"/>
                <w:color w:val="auto"/>
                <w:szCs w:val="21"/>
                <w:highlight w:val="none"/>
              </w:rPr>
            </w:pPr>
            <w:r>
              <w:rPr>
                <w:rFonts w:hint="eastAsia" w:ascii="宋体" w:hAnsi="宋体" w:cs="宋体"/>
                <w:color w:val="auto"/>
                <w:szCs w:val="21"/>
                <w:highlight w:val="none"/>
                <w:lang w:bidi="ar"/>
              </w:rPr>
              <w:t>AI融合巡检一体化系统</w:t>
            </w:r>
            <w:r>
              <w:rPr>
                <w:rFonts w:ascii="宋体" w:hAnsi="宋体" w:cs="宋体"/>
                <w:color w:val="auto"/>
                <w:szCs w:val="21"/>
                <w:highlight w:val="none"/>
                <w:lang w:bidi="ar"/>
              </w:rPr>
              <w:br w:type="textWrapping"/>
            </w:r>
            <w:r>
              <w:rPr>
                <w:rFonts w:ascii="宋体" w:hAnsi="宋体" w:cs="宋体"/>
                <w:color w:val="auto"/>
                <w:szCs w:val="21"/>
                <w:highlight w:val="none"/>
                <w:lang w:bidi="ar"/>
              </w:rPr>
              <w:br w:type="textWrapping"/>
            </w:r>
          </w:p>
        </w:tc>
        <w:tc>
          <w:tcPr>
            <w:tcW w:w="2765" w:type="pct"/>
            <w:tcBorders>
              <w:top w:val="single" w:color="000000" w:sz="4" w:space="0"/>
              <w:left w:val="single" w:color="000000" w:sz="4" w:space="0"/>
              <w:bottom w:val="single" w:color="000000" w:sz="4" w:space="0"/>
              <w:right w:val="single" w:color="000000" w:sz="4" w:space="0"/>
            </w:tcBorders>
            <w:noWrap w:val="0"/>
            <w:vAlign w:val="center"/>
          </w:tcPr>
          <w:p w14:paraId="6901AC67">
            <w:pPr>
              <w:widowControl/>
              <w:spacing w:line="360" w:lineRule="exact"/>
              <w:jc w:val="left"/>
              <w:rPr>
                <w:rFonts w:hint="eastAsia" w:ascii="宋体" w:hAnsi="宋体" w:cs="宋体"/>
                <w:b w:val="0"/>
                <w:bCs w:val="0"/>
                <w:color w:val="auto"/>
                <w:szCs w:val="21"/>
                <w:highlight w:val="none"/>
                <w:lang w:bidi="ar"/>
              </w:rPr>
            </w:pPr>
            <w:r>
              <w:rPr>
                <w:rFonts w:hint="eastAsia" w:ascii="宋体" w:hAnsi="宋体" w:cs="宋体"/>
                <w:color w:val="auto"/>
                <w:szCs w:val="21"/>
                <w:highlight w:val="none"/>
                <w:lang w:bidi="ar"/>
              </w:rPr>
              <w:t>#</w:t>
            </w:r>
            <w:r>
              <w:rPr>
                <w:rFonts w:hint="eastAsia" w:ascii="宋体" w:hAnsi="宋体" w:cs="宋体"/>
                <w:color w:val="auto"/>
                <w:szCs w:val="21"/>
                <w:highlight w:val="none"/>
                <w:lang w:val="en-US" w:eastAsia="zh-CN" w:bidi="ar"/>
              </w:rPr>
              <w:t>1.</w:t>
            </w:r>
            <w:r>
              <w:rPr>
                <w:rFonts w:hint="eastAsia" w:ascii="宋体" w:hAnsi="宋体" w:cs="宋体"/>
                <w:color w:val="auto"/>
                <w:szCs w:val="21"/>
                <w:highlight w:val="none"/>
                <w:lang w:bidi="ar"/>
              </w:rPr>
              <w:t>系统集成行人、机动车、非机动车、异常行为、安全事件多类型智能AI算法，覆盖5大类及以上常态化智能研判场景；</w:t>
            </w:r>
            <w:r>
              <w:rPr>
                <w:rFonts w:hint="eastAsia" w:ascii="宋体" w:hAnsi="宋体" w:cs="宋体"/>
                <w:color w:val="auto"/>
                <w:szCs w:val="21"/>
                <w:highlight w:val="none"/>
                <w:lang w:bidi="ar"/>
              </w:rPr>
              <w:br w:type="textWrapping"/>
            </w:r>
            <w:r>
              <w:rPr>
                <w:rFonts w:hint="eastAsia" w:ascii="宋体" w:hAnsi="宋体" w:cs="宋体"/>
                <w:color w:val="auto"/>
                <w:szCs w:val="21"/>
                <w:highlight w:val="none"/>
                <w:lang w:bidi="ar"/>
              </w:rPr>
              <w:t>#</w:t>
            </w:r>
            <w:r>
              <w:rPr>
                <w:rFonts w:hint="eastAsia" w:ascii="宋体" w:hAnsi="宋体" w:cs="宋体"/>
                <w:color w:val="auto"/>
                <w:szCs w:val="21"/>
                <w:highlight w:val="none"/>
                <w:lang w:val="en-US" w:eastAsia="zh-CN" w:bidi="ar"/>
              </w:rPr>
              <w:t>2.</w:t>
            </w:r>
            <w:r>
              <w:rPr>
                <w:rFonts w:hint="eastAsia" w:ascii="宋体" w:hAnsi="宋体" w:cs="宋体"/>
                <w:color w:val="auto"/>
                <w:szCs w:val="21"/>
                <w:highlight w:val="none"/>
                <w:lang w:bidi="ar"/>
              </w:rPr>
              <w:t>输入带宽：≥</w:t>
            </w:r>
            <w:r>
              <w:rPr>
                <w:rFonts w:hint="eastAsia" w:ascii="宋体" w:hAnsi="宋体" w:cs="宋体"/>
                <w:color w:val="auto"/>
                <w:szCs w:val="21"/>
                <w:highlight w:val="none"/>
                <w:lang w:val="en-US" w:eastAsia="zh-CN" w:bidi="ar"/>
              </w:rPr>
              <w:t>512</w:t>
            </w:r>
            <w:r>
              <w:rPr>
                <w:rFonts w:hint="eastAsia" w:ascii="宋体" w:hAnsi="宋体" w:cs="宋体"/>
                <w:color w:val="auto"/>
                <w:szCs w:val="21"/>
                <w:highlight w:val="none"/>
                <w:lang w:bidi="ar"/>
              </w:rPr>
              <w:t>Mbps，输出带宽：≥</w:t>
            </w:r>
            <w:r>
              <w:rPr>
                <w:rFonts w:hint="eastAsia" w:ascii="宋体" w:hAnsi="宋体" w:cs="宋体"/>
                <w:color w:val="auto"/>
                <w:szCs w:val="21"/>
                <w:highlight w:val="none"/>
                <w:lang w:val="en-US" w:eastAsia="zh-CN" w:bidi="ar"/>
              </w:rPr>
              <w:t>512</w:t>
            </w:r>
            <w:r>
              <w:rPr>
                <w:rFonts w:hint="eastAsia" w:ascii="宋体" w:hAnsi="宋体" w:cs="宋体"/>
                <w:color w:val="auto"/>
                <w:szCs w:val="21"/>
                <w:highlight w:val="none"/>
                <w:lang w:bidi="ar"/>
              </w:rPr>
              <w:t>Mbps；</w:t>
            </w:r>
            <w:r>
              <w:rPr>
                <w:rFonts w:hint="eastAsia" w:ascii="宋体" w:hAnsi="宋体" w:cs="宋体"/>
                <w:color w:val="auto"/>
                <w:szCs w:val="21"/>
                <w:highlight w:val="none"/>
                <w:lang w:bidi="ar"/>
              </w:rPr>
              <w:br w:type="textWrapping"/>
            </w:r>
            <w:r>
              <w:rPr>
                <w:rFonts w:hint="eastAsia" w:ascii="宋体" w:hAnsi="宋体" w:cs="宋体"/>
                <w:b/>
                <w:bCs/>
                <w:color w:val="auto"/>
                <w:szCs w:val="21"/>
                <w:highlight w:val="none"/>
                <w:lang w:bidi="ar"/>
              </w:rPr>
              <w:t>☆☆</w:t>
            </w:r>
            <w:r>
              <w:rPr>
                <w:rFonts w:hint="eastAsia" w:ascii="宋体" w:hAnsi="宋体" w:cs="宋体"/>
                <w:b w:val="0"/>
                <w:bCs w:val="0"/>
                <w:color w:val="auto"/>
                <w:szCs w:val="21"/>
                <w:highlight w:val="none"/>
                <w:lang w:bidi="ar"/>
              </w:rPr>
              <w:t>3.设备可视化界面可实时展示AI运算引擎运行温度、引擎配置、引擎利用率，用于辅助运维人员判断AI算力引擎状态排查故障</w:t>
            </w:r>
            <w:r>
              <w:rPr>
                <w:rFonts w:hint="eastAsia" w:ascii="宋体" w:hAnsi="宋体" w:cs="宋体"/>
                <w:b w:val="0"/>
                <w:bCs w:val="0"/>
                <w:color w:val="auto"/>
                <w:szCs w:val="21"/>
                <w:highlight w:val="none"/>
                <w:lang w:eastAsia="zh-CN" w:bidi="ar"/>
              </w:rPr>
              <w:t>；</w:t>
            </w:r>
            <w:r>
              <w:rPr>
                <w:rFonts w:hint="eastAsia" w:ascii="宋体" w:hAnsi="宋体" w:cs="宋体"/>
                <w:b w:val="0"/>
                <w:bCs w:val="0"/>
                <w:color w:val="auto"/>
                <w:szCs w:val="21"/>
                <w:highlight w:val="none"/>
                <w:lang w:bidi="ar"/>
              </w:rPr>
              <w:t>前端AI摄像机上报报警事件后，平台系统可联动后端大模型算力设备开展二次深度分析（以实际使用所搭载算力内容，如人脸结构化数据，异常行为等），并将最终研判结果回传业务平台用于报警、记录。（提供功能演示视频）</w:t>
            </w:r>
            <w:r>
              <w:rPr>
                <w:rFonts w:hint="eastAsia" w:ascii="宋体" w:hAnsi="宋体" w:cs="宋体"/>
                <w:color w:val="auto"/>
                <w:szCs w:val="21"/>
                <w:highlight w:val="none"/>
                <w:lang w:bidi="ar"/>
              </w:rPr>
              <w:br w:type="textWrapping"/>
            </w:r>
            <w:r>
              <w:rPr>
                <w:rFonts w:hint="eastAsia" w:ascii="宋体" w:hAnsi="宋体" w:cs="宋体"/>
                <w:color w:val="auto"/>
                <w:szCs w:val="21"/>
                <w:highlight w:val="none"/>
                <w:lang w:bidi="ar"/>
              </w:rPr>
              <w:t>▲4.支持全场景视频智能分析能力：实时视频流智能分析、多路视频轮巡智能检测、视频定时抓图智能研判、本地/下发离线图片智能解析、图片URL链接智能分析、前端IPC抓拍报警图片二次复核、业务平台中心流式取流任务可视化管控与智能处理；（提供第三方检验机构出具的检测报告原件扫描件）</w:t>
            </w:r>
            <w:r>
              <w:rPr>
                <w:rFonts w:hint="eastAsia" w:ascii="宋体" w:hAnsi="宋体" w:cs="宋体"/>
                <w:color w:val="auto"/>
                <w:szCs w:val="21"/>
                <w:highlight w:val="none"/>
                <w:lang w:bidi="ar"/>
              </w:rPr>
              <w:br w:type="textWrapping"/>
            </w:r>
            <w:r>
              <w:rPr>
                <w:rFonts w:hint="eastAsia" w:ascii="宋体" w:hAnsi="宋体" w:cs="宋体"/>
                <w:b/>
                <w:bCs/>
                <w:color w:val="auto"/>
                <w:szCs w:val="21"/>
                <w:highlight w:val="none"/>
                <w:lang w:bidi="ar"/>
              </w:rPr>
              <w:t>☆☆5.</w:t>
            </w:r>
            <w:r>
              <w:rPr>
                <w:rFonts w:hint="eastAsia" w:ascii="宋体" w:hAnsi="宋体" w:cs="宋体"/>
                <w:b/>
                <w:bCs/>
                <w:color w:val="auto"/>
                <w:szCs w:val="21"/>
                <w:highlight w:val="none"/>
                <w:lang w:val="en-US" w:eastAsia="zh-CN" w:bidi="ar"/>
              </w:rPr>
              <w:t>算法要求</w:t>
            </w:r>
            <w:r>
              <w:rPr>
                <w:rFonts w:hint="eastAsia" w:ascii="宋体" w:hAnsi="宋体" w:cs="宋体"/>
                <w:b w:val="0"/>
                <w:bCs w:val="0"/>
                <w:color w:val="auto"/>
                <w:szCs w:val="21"/>
                <w:highlight w:val="none"/>
                <w:lang w:val="en-US" w:eastAsia="zh-CN" w:bidi="ar"/>
              </w:rPr>
              <w:t>：</w:t>
            </w:r>
            <w:r>
              <w:rPr>
                <w:rFonts w:hint="eastAsia" w:ascii="宋体" w:hAnsi="宋体" w:cs="宋体"/>
                <w:b w:val="0"/>
                <w:bCs w:val="0"/>
                <w:color w:val="auto"/>
                <w:szCs w:val="21"/>
                <w:highlight w:val="none"/>
                <w:lang w:bidi="ar"/>
              </w:rPr>
              <w:t>支持同类型算法大模型（多维度解析行为）、小模型（精准解析某一项行为）一体化打包封装，引擎绑定配置单界面模式选择即可自动匹配对应模型，部署完成模型之后进行行为解析，输出匹配结果，用于业务研判及联动报警，无需重复规则配置，一次配置即可实现大小模型协同联动分析便于技术人员节省前期部署同类算法时间；兼容双部署运行模式：大小模型协同高性能并发模式、轻量化小模型高精度专项研判模式，便于技术人员结合实际应用场景合理选择匹配模型</w:t>
            </w:r>
            <w:r>
              <w:rPr>
                <w:rFonts w:hint="eastAsia" w:ascii="宋体" w:hAnsi="宋体" w:cs="宋体"/>
                <w:b w:val="0"/>
                <w:bCs w:val="0"/>
                <w:color w:val="auto"/>
                <w:szCs w:val="21"/>
                <w:highlight w:val="none"/>
                <w:lang w:eastAsia="zh-CN" w:bidi="ar"/>
              </w:rPr>
              <w:t>。</w:t>
            </w:r>
            <w:r>
              <w:rPr>
                <w:rFonts w:hint="eastAsia" w:ascii="宋体" w:hAnsi="宋体" w:cs="宋体"/>
                <w:b w:val="0"/>
                <w:bCs w:val="0"/>
                <w:color w:val="auto"/>
                <w:szCs w:val="21"/>
                <w:highlight w:val="none"/>
                <w:lang w:bidi="ar"/>
              </w:rPr>
              <w:t>（提供功能演示视频）</w:t>
            </w:r>
          </w:p>
          <w:p w14:paraId="1C0B4637">
            <w:pPr>
              <w:widowControl/>
              <w:spacing w:line="360" w:lineRule="exact"/>
              <w:jc w:val="left"/>
              <w:rPr>
                <w:rFonts w:hint="eastAsia" w:ascii="宋体" w:hAnsi="宋体" w:eastAsia="宋体" w:cs="宋体"/>
                <w:b w:val="0"/>
                <w:bCs w:val="0"/>
                <w:color w:val="auto"/>
                <w:szCs w:val="21"/>
                <w:highlight w:val="none"/>
                <w:lang w:val="en-US" w:eastAsia="zh-CN" w:bidi="ar"/>
              </w:rPr>
            </w:pPr>
            <w:r>
              <w:rPr>
                <w:rFonts w:hint="eastAsia" w:ascii="宋体" w:hAnsi="宋体" w:cs="宋体"/>
                <w:color w:val="auto"/>
                <w:szCs w:val="21"/>
                <w:highlight w:val="none"/>
                <w:lang w:bidi="ar"/>
              </w:rPr>
              <w:t>#</w:t>
            </w:r>
            <w:r>
              <w:rPr>
                <w:rFonts w:hint="eastAsia" w:ascii="宋体" w:hAnsi="宋体" w:cs="宋体"/>
                <w:b/>
                <w:bCs/>
                <w:color w:val="auto"/>
                <w:szCs w:val="21"/>
                <w:highlight w:val="none"/>
                <w:lang w:val="en-US" w:eastAsia="zh-CN" w:bidi="ar"/>
              </w:rPr>
              <w:t>6.</w:t>
            </w:r>
            <w:r>
              <w:rPr>
                <w:rFonts w:hint="eastAsia" w:ascii="宋体" w:hAnsi="宋体" w:eastAsia="宋体" w:cs="宋体"/>
                <w:b/>
                <w:bCs/>
                <w:color w:val="auto"/>
                <w:szCs w:val="21"/>
                <w:highlight w:val="none"/>
                <w:lang w:val="en-US" w:eastAsia="zh-CN" w:bidi="ar"/>
              </w:rPr>
              <w:t>功能实现：</w:t>
            </w:r>
            <w:r>
              <w:rPr>
                <w:rFonts w:hint="default" w:ascii="宋体" w:hAnsi="宋体" w:eastAsia="宋体" w:cs="宋体"/>
                <w:b w:val="0"/>
                <w:bCs w:val="0"/>
                <w:color w:val="auto"/>
                <w:szCs w:val="21"/>
                <w:highlight w:val="none"/>
                <w:lang w:val="en-US" w:eastAsia="zh-CN" w:bidi="ar"/>
              </w:rPr>
              <w:t>①</w:t>
            </w:r>
            <w:r>
              <w:rPr>
                <w:rFonts w:hint="eastAsia" w:ascii="宋体" w:hAnsi="宋体" w:eastAsia="宋体" w:cs="宋体"/>
                <w:b w:val="0"/>
                <w:bCs w:val="0"/>
                <w:color w:val="auto"/>
                <w:szCs w:val="21"/>
                <w:highlight w:val="none"/>
                <w:lang w:val="en-US" w:eastAsia="zh-CN" w:bidi="ar"/>
              </w:rPr>
              <w:t>基于算法能力对视频流进行实时智能分析，完成护学岗执勤情况进行监管通报，可对执勤区域内的人员聚集、流动态势进行实时监测与分析。</w:t>
            </w:r>
          </w:p>
          <w:p w14:paraId="38F22284">
            <w:pPr>
              <w:widowControl/>
              <w:spacing w:line="360" w:lineRule="exact"/>
              <w:jc w:val="left"/>
              <w:rPr>
                <w:rFonts w:hint="eastAsia" w:ascii="宋体" w:hAnsi="宋体" w:eastAsia="宋体" w:cs="宋体"/>
                <w:b w:val="0"/>
                <w:bCs w:val="0"/>
                <w:color w:val="auto"/>
                <w:szCs w:val="21"/>
                <w:highlight w:val="none"/>
                <w:lang w:val="en-US" w:eastAsia="zh-CN" w:bidi="ar"/>
              </w:rPr>
            </w:pPr>
            <w:r>
              <w:rPr>
                <w:rFonts w:hint="default" w:ascii="宋体" w:hAnsi="宋体" w:eastAsia="宋体" w:cs="宋体"/>
                <w:b w:val="0"/>
                <w:bCs w:val="0"/>
                <w:color w:val="auto"/>
                <w:szCs w:val="21"/>
                <w:highlight w:val="none"/>
                <w:lang w:val="en-US" w:eastAsia="zh-CN" w:bidi="ar"/>
              </w:rPr>
              <w:t>②</w:t>
            </w:r>
            <w:r>
              <w:rPr>
                <w:rFonts w:hint="eastAsia" w:ascii="宋体" w:hAnsi="宋体" w:eastAsia="宋体" w:cs="宋体"/>
                <w:b w:val="0"/>
                <w:bCs w:val="0"/>
                <w:color w:val="auto"/>
                <w:szCs w:val="21"/>
                <w:highlight w:val="none"/>
                <w:lang w:val="en-US" w:eastAsia="zh-CN" w:bidi="ar"/>
              </w:rPr>
              <w:t>通过对学生个体的行为进行精准的AI数据解析，系统能够有效识别如奔跑推搡、异常滞留、区域入侵等多种行为状态，护学管理等风险行为的自动识别与即时预警。</w:t>
            </w:r>
          </w:p>
          <w:p w14:paraId="741710AE">
            <w:pPr>
              <w:widowControl/>
              <w:spacing w:line="360" w:lineRule="exact"/>
              <w:jc w:val="left"/>
              <w:rPr>
                <w:rFonts w:hint="eastAsia" w:ascii="宋体" w:hAnsi="宋体" w:cs="宋体"/>
                <w:color w:val="auto"/>
                <w:szCs w:val="21"/>
                <w:highlight w:val="none"/>
                <w:lang w:bidi="ar"/>
              </w:rPr>
            </w:pPr>
            <w:r>
              <w:rPr>
                <w:rFonts w:hint="eastAsia" w:ascii="宋体" w:hAnsi="宋体" w:cs="宋体"/>
                <w:color w:val="auto"/>
                <w:szCs w:val="21"/>
                <w:highlight w:val="none"/>
                <w:lang w:bidi="ar"/>
              </w:rPr>
              <w:t>#</w:t>
            </w:r>
            <w:r>
              <w:rPr>
                <w:rFonts w:hint="eastAsia" w:ascii="宋体" w:hAnsi="宋体" w:cs="宋体"/>
                <w:color w:val="auto"/>
                <w:szCs w:val="21"/>
                <w:highlight w:val="none"/>
                <w:lang w:val="en-US" w:eastAsia="zh-CN" w:bidi="ar"/>
              </w:rPr>
              <w:t>7</w:t>
            </w:r>
            <w:r>
              <w:rPr>
                <w:rFonts w:hint="eastAsia" w:ascii="宋体" w:hAnsi="宋体" w:cs="宋体"/>
                <w:color w:val="auto"/>
                <w:szCs w:val="21"/>
                <w:highlight w:val="none"/>
                <w:lang w:bidi="ar"/>
              </w:rPr>
              <w:t>.支持离线模型和在线模型两种模型导入方式，支持第三方算法插件的导入和管理；可显示模型名称、有效期、模型标签及模型版本。</w:t>
            </w:r>
            <w:r>
              <w:rPr>
                <w:rFonts w:hint="eastAsia" w:ascii="宋体" w:hAnsi="宋体" w:cs="宋体"/>
                <w:color w:val="auto"/>
                <w:szCs w:val="21"/>
                <w:highlight w:val="none"/>
                <w:lang w:bidi="ar"/>
              </w:rPr>
              <w:br w:type="textWrapping"/>
            </w:r>
            <w:r>
              <w:rPr>
                <w:rFonts w:hint="eastAsia" w:ascii="宋体" w:hAnsi="宋体" w:cs="宋体"/>
                <w:color w:val="auto"/>
                <w:szCs w:val="21"/>
                <w:highlight w:val="none"/>
                <w:lang w:bidi="ar"/>
              </w:rPr>
              <w:t>#</w:t>
            </w:r>
            <w:r>
              <w:rPr>
                <w:rFonts w:hint="eastAsia" w:ascii="宋体" w:hAnsi="宋体" w:cs="宋体"/>
                <w:color w:val="auto"/>
                <w:szCs w:val="21"/>
                <w:highlight w:val="none"/>
                <w:lang w:val="en-US" w:eastAsia="zh-CN" w:bidi="ar"/>
              </w:rPr>
              <w:t>8</w:t>
            </w:r>
            <w:r>
              <w:rPr>
                <w:rFonts w:hint="eastAsia" w:ascii="宋体" w:hAnsi="宋体" w:cs="宋体"/>
                <w:color w:val="auto"/>
                <w:szCs w:val="21"/>
                <w:highlight w:val="none"/>
                <w:lang w:bidi="ar"/>
              </w:rPr>
              <w:t>.支持不小于256路H.264、H.265格式高清码流接入；</w:t>
            </w:r>
          </w:p>
          <w:p w14:paraId="6AAD4BDF">
            <w:pPr>
              <w:widowControl/>
              <w:spacing w:line="360" w:lineRule="exact"/>
              <w:jc w:val="left"/>
              <w:rPr>
                <w:rFonts w:hint="eastAsia" w:ascii="宋体" w:hAnsi="宋体" w:cs="宋体"/>
                <w:color w:val="auto"/>
                <w:szCs w:val="21"/>
                <w:highlight w:val="none"/>
                <w:lang w:bidi="ar"/>
              </w:rPr>
            </w:pPr>
            <w:r>
              <w:rPr>
                <w:rFonts w:hint="eastAsia" w:ascii="宋体" w:hAnsi="宋体" w:cs="宋体"/>
                <w:color w:val="auto"/>
                <w:szCs w:val="21"/>
                <w:highlight w:val="none"/>
                <w:lang w:bidi="ar"/>
              </w:rPr>
              <w:t>支持不少于2个HDMI、1个VGA、4口千兆以太网口、2个USB2.0接口、4个USB3.0接口；</w:t>
            </w:r>
          </w:p>
          <w:p w14:paraId="1B8CB8F5">
            <w:pPr>
              <w:widowControl/>
              <w:spacing w:line="360" w:lineRule="exact"/>
              <w:jc w:val="left"/>
              <w:rPr>
                <w:rFonts w:hint="eastAsia" w:ascii="宋体" w:hAnsi="宋体" w:cs="宋体"/>
                <w:color w:val="auto"/>
                <w:szCs w:val="21"/>
                <w:highlight w:val="none"/>
                <w:lang w:bidi="ar"/>
              </w:rPr>
            </w:pPr>
            <w:r>
              <w:rPr>
                <w:rFonts w:hint="eastAsia" w:ascii="宋体" w:hAnsi="宋体" w:cs="宋体"/>
                <w:color w:val="auto"/>
                <w:szCs w:val="21"/>
                <w:highlight w:val="none"/>
                <w:lang w:bidi="ar"/>
              </w:rPr>
              <w:t>#</w:t>
            </w:r>
            <w:r>
              <w:rPr>
                <w:rFonts w:hint="eastAsia" w:ascii="宋体" w:hAnsi="宋体" w:cs="宋体"/>
                <w:color w:val="auto"/>
                <w:szCs w:val="21"/>
                <w:highlight w:val="none"/>
                <w:lang w:val="en-US" w:eastAsia="zh-CN" w:bidi="ar"/>
              </w:rPr>
              <w:t>9</w:t>
            </w:r>
            <w:r>
              <w:rPr>
                <w:rFonts w:hint="eastAsia" w:ascii="宋体" w:hAnsi="宋体" w:cs="宋体"/>
                <w:color w:val="auto"/>
                <w:szCs w:val="21"/>
                <w:highlight w:val="none"/>
                <w:lang w:bidi="ar"/>
              </w:rPr>
              <w:t>.配置12块不小于6TB硬盘；</w:t>
            </w:r>
          </w:p>
          <w:p w14:paraId="0B9536C6">
            <w:pPr>
              <w:widowControl/>
              <w:spacing w:line="360" w:lineRule="exact"/>
              <w:jc w:val="left"/>
              <w:rPr>
                <w:rFonts w:hint="eastAsia" w:ascii="宋体" w:hAnsi="宋体" w:cs="宋体"/>
                <w:color w:val="auto"/>
                <w:szCs w:val="21"/>
                <w:highlight w:val="none"/>
                <w:lang w:bidi="ar"/>
              </w:rPr>
            </w:pPr>
            <w:r>
              <w:rPr>
                <w:rFonts w:hint="eastAsia" w:ascii="宋体" w:hAnsi="宋体" w:cs="宋体"/>
                <w:color w:val="auto"/>
                <w:szCs w:val="21"/>
                <w:highlight w:val="none"/>
                <w:lang w:bidi="ar"/>
              </w:rPr>
              <w:t>接口类型：SATA</w:t>
            </w:r>
          </w:p>
          <w:p w14:paraId="471FC87C">
            <w:pPr>
              <w:widowControl/>
              <w:spacing w:line="360" w:lineRule="exact"/>
              <w:jc w:val="left"/>
              <w:rPr>
                <w:rFonts w:hint="eastAsia" w:ascii="宋体" w:hAnsi="宋体" w:cs="宋体"/>
                <w:color w:val="auto"/>
                <w:szCs w:val="21"/>
                <w:highlight w:val="none"/>
                <w:lang w:bidi="ar"/>
              </w:rPr>
            </w:pPr>
            <w:r>
              <w:rPr>
                <w:rFonts w:hint="eastAsia" w:ascii="宋体" w:hAnsi="宋体" w:cs="宋体"/>
                <w:color w:val="auto"/>
                <w:szCs w:val="21"/>
                <w:highlight w:val="none"/>
                <w:lang w:bidi="ar"/>
              </w:rPr>
              <w:t>转速：≥5400RPM</w:t>
            </w:r>
          </w:p>
          <w:p w14:paraId="2B3BD8ED">
            <w:pPr>
              <w:widowControl/>
              <w:spacing w:line="360" w:lineRule="exact"/>
              <w:jc w:val="left"/>
              <w:rPr>
                <w:rFonts w:hint="eastAsia" w:ascii="宋体" w:hAnsi="宋体" w:cs="宋体"/>
                <w:color w:val="auto"/>
                <w:szCs w:val="21"/>
                <w:highlight w:val="none"/>
                <w:lang w:bidi="ar"/>
              </w:rPr>
            </w:pPr>
            <w:r>
              <w:rPr>
                <w:rFonts w:hint="eastAsia" w:ascii="宋体" w:hAnsi="宋体" w:cs="宋体"/>
                <w:color w:val="auto"/>
                <w:szCs w:val="21"/>
                <w:highlight w:val="none"/>
                <w:lang w:bidi="ar"/>
              </w:rPr>
              <w:t>缓存：不低于256MB</w:t>
            </w:r>
          </w:p>
          <w:p w14:paraId="7D92D4A5">
            <w:pPr>
              <w:widowControl/>
              <w:spacing w:line="360" w:lineRule="exact"/>
              <w:jc w:val="left"/>
              <w:rPr>
                <w:rFonts w:hint="eastAsia" w:ascii="宋体" w:hAnsi="宋体" w:cs="宋体"/>
                <w:color w:val="auto"/>
                <w:szCs w:val="21"/>
                <w:highlight w:val="none"/>
                <w:lang w:bidi="ar"/>
              </w:rPr>
            </w:pPr>
            <w:r>
              <w:rPr>
                <w:rFonts w:hint="eastAsia" w:ascii="宋体" w:hAnsi="宋体" w:cs="宋体"/>
                <w:color w:val="auto"/>
                <w:szCs w:val="21"/>
                <w:highlight w:val="none"/>
                <w:lang w:bidi="ar"/>
              </w:rPr>
              <w:t>最大读取速度：180MB/s</w:t>
            </w:r>
          </w:p>
          <w:p w14:paraId="428CC2A6">
            <w:pPr>
              <w:widowControl/>
              <w:spacing w:line="360" w:lineRule="exact"/>
              <w:jc w:val="left"/>
              <w:rPr>
                <w:rFonts w:hint="eastAsia" w:ascii="宋体" w:hAnsi="宋体" w:cs="宋体"/>
                <w:color w:val="auto"/>
                <w:szCs w:val="21"/>
                <w:highlight w:val="none"/>
                <w:lang w:bidi="ar"/>
              </w:rPr>
            </w:pPr>
            <w:r>
              <w:rPr>
                <w:rFonts w:hint="eastAsia" w:ascii="宋体" w:hAnsi="宋体" w:cs="宋体"/>
                <w:color w:val="auto"/>
                <w:szCs w:val="21"/>
                <w:highlight w:val="none"/>
                <w:lang w:bidi="ar"/>
              </w:rPr>
              <w:t>接口传输速率（最大值）：6.0Gb/s</w:t>
            </w:r>
          </w:p>
          <w:p w14:paraId="593741BC">
            <w:pPr>
              <w:widowControl/>
              <w:spacing w:line="360" w:lineRule="exact"/>
              <w:jc w:val="left"/>
              <w:rPr>
                <w:rFonts w:hint="eastAsia" w:ascii="宋体" w:hAnsi="宋体" w:cs="宋体"/>
                <w:color w:val="auto"/>
                <w:szCs w:val="21"/>
                <w:highlight w:val="none"/>
                <w:lang w:bidi="ar"/>
              </w:rPr>
            </w:pPr>
            <w:r>
              <w:rPr>
                <w:rFonts w:hint="eastAsia" w:ascii="宋体" w:hAnsi="宋体" w:cs="宋体"/>
                <w:color w:val="auto"/>
                <w:szCs w:val="21"/>
                <w:highlight w:val="none"/>
                <w:lang w:bidi="ar"/>
              </w:rPr>
              <w:t>平均读写功率（W）：不低于4.5W</w:t>
            </w:r>
          </w:p>
          <w:p w14:paraId="35DB596C">
            <w:pPr>
              <w:widowControl/>
              <w:spacing w:line="360" w:lineRule="exact"/>
              <w:jc w:val="left"/>
              <w:rPr>
                <w:rFonts w:hint="eastAsia" w:ascii="宋体" w:hAnsi="宋体" w:cs="宋体"/>
                <w:color w:val="auto"/>
                <w:szCs w:val="21"/>
                <w:highlight w:val="none"/>
                <w:lang w:bidi="ar"/>
              </w:rPr>
            </w:pPr>
            <w:r>
              <w:rPr>
                <w:rFonts w:hint="eastAsia" w:ascii="宋体" w:hAnsi="宋体" w:cs="宋体"/>
                <w:color w:val="auto"/>
                <w:szCs w:val="21"/>
                <w:highlight w:val="none"/>
                <w:lang w:bidi="ar"/>
              </w:rPr>
              <w:t>加载/卸载周期：不少于300,000</w:t>
            </w:r>
          </w:p>
          <w:p w14:paraId="68EACA80">
            <w:pPr>
              <w:widowControl/>
              <w:spacing w:line="360" w:lineRule="exact"/>
              <w:jc w:val="left"/>
              <w:rPr>
                <w:rFonts w:hint="eastAsia" w:ascii="宋体" w:hAnsi="宋体" w:cs="宋体"/>
                <w:color w:val="auto"/>
                <w:szCs w:val="21"/>
                <w:highlight w:val="none"/>
                <w:lang w:bidi="ar"/>
              </w:rPr>
            </w:pPr>
            <w:r>
              <w:rPr>
                <w:rFonts w:hint="eastAsia" w:ascii="宋体" w:hAnsi="宋体" w:cs="宋体"/>
                <w:color w:val="auto"/>
                <w:szCs w:val="21"/>
                <w:highlight w:val="none"/>
                <w:lang w:bidi="ar"/>
              </w:rPr>
              <w:t>MTBF：不少于1,000,000</w:t>
            </w:r>
          </w:p>
          <w:p w14:paraId="2DD3E9FA">
            <w:pPr>
              <w:widowControl/>
              <w:spacing w:line="360" w:lineRule="exact"/>
              <w:jc w:val="left"/>
              <w:rPr>
                <w:rFonts w:hint="eastAsia" w:ascii="宋体" w:hAnsi="宋体" w:cs="宋体"/>
                <w:color w:val="auto"/>
                <w:szCs w:val="21"/>
                <w:highlight w:val="none"/>
                <w:lang w:bidi="ar"/>
              </w:rPr>
            </w:pPr>
            <w:r>
              <w:rPr>
                <w:rFonts w:hint="eastAsia" w:ascii="宋体" w:hAnsi="宋体" w:cs="宋体"/>
                <w:color w:val="auto"/>
                <w:szCs w:val="21"/>
                <w:highlight w:val="none"/>
                <w:lang w:bidi="ar"/>
              </w:rPr>
              <w:t>年负荷（TB/年）：≥180TB</w:t>
            </w:r>
          </w:p>
          <w:p w14:paraId="0F22F164">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lang w:bidi="ar"/>
              </w:rPr>
              <w:t>工作状态温度(°C)：0-65℃</w:t>
            </w:r>
          </w:p>
        </w:tc>
        <w:tc>
          <w:tcPr>
            <w:tcW w:w="522" w:type="pct"/>
            <w:tcBorders>
              <w:top w:val="single" w:color="000000" w:sz="4" w:space="0"/>
              <w:left w:val="single" w:color="000000" w:sz="4" w:space="0"/>
              <w:bottom w:val="single" w:color="000000" w:sz="4" w:space="0"/>
              <w:right w:val="single" w:color="000000" w:sz="4" w:space="0"/>
            </w:tcBorders>
            <w:noWrap w:val="0"/>
            <w:vAlign w:val="center"/>
          </w:tcPr>
          <w:p w14:paraId="7F5E6E27">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1</w:t>
            </w:r>
          </w:p>
        </w:tc>
        <w:tc>
          <w:tcPr>
            <w:tcW w:w="294" w:type="pct"/>
            <w:tcBorders>
              <w:top w:val="single" w:color="000000" w:sz="4" w:space="0"/>
              <w:left w:val="single" w:color="000000" w:sz="4" w:space="0"/>
              <w:bottom w:val="single" w:color="000000" w:sz="4" w:space="0"/>
              <w:right w:val="single" w:color="000000" w:sz="4" w:space="0"/>
            </w:tcBorders>
            <w:noWrap w:val="0"/>
            <w:vAlign w:val="center"/>
          </w:tcPr>
          <w:p w14:paraId="25D512C0">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台</w:t>
            </w:r>
          </w:p>
        </w:tc>
        <w:tc>
          <w:tcPr>
            <w:tcW w:w="500" w:type="pct"/>
            <w:tcBorders>
              <w:top w:val="single" w:color="000000" w:sz="4" w:space="0"/>
              <w:left w:val="single" w:color="000000" w:sz="4" w:space="0"/>
              <w:bottom w:val="single" w:color="000000" w:sz="4" w:space="0"/>
              <w:right w:val="single" w:color="000000" w:sz="4" w:space="0"/>
            </w:tcBorders>
            <w:noWrap w:val="0"/>
            <w:vAlign w:val="center"/>
          </w:tcPr>
          <w:p w14:paraId="178F4152">
            <w:pPr>
              <w:widowControl/>
              <w:spacing w:line="360" w:lineRule="exact"/>
              <w:jc w:val="center"/>
              <w:rPr>
                <w:rFonts w:hint="eastAsia" w:ascii="宋体" w:hAnsi="宋体" w:cs="宋体"/>
                <w:color w:val="auto"/>
                <w:szCs w:val="21"/>
                <w:highlight w:val="none"/>
                <w:lang w:bidi="ar"/>
              </w:rPr>
            </w:pPr>
          </w:p>
        </w:tc>
      </w:tr>
      <w:tr w14:paraId="17DF6008">
        <w:tblPrEx>
          <w:tblCellMar>
            <w:top w:w="0" w:type="dxa"/>
            <w:left w:w="108" w:type="dxa"/>
            <w:bottom w:w="0" w:type="dxa"/>
            <w:right w:w="108" w:type="dxa"/>
          </w:tblCellMar>
        </w:tblPrEx>
        <w:trPr>
          <w:trHeight w:val="360" w:hRule="atLeast"/>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6320CC21">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29</w:t>
            </w:r>
          </w:p>
        </w:tc>
        <w:tc>
          <w:tcPr>
            <w:tcW w:w="608" w:type="pct"/>
            <w:tcBorders>
              <w:top w:val="single" w:color="000000" w:sz="4" w:space="0"/>
              <w:left w:val="single" w:color="000000" w:sz="4" w:space="0"/>
              <w:bottom w:val="single" w:color="000000" w:sz="4" w:space="0"/>
              <w:right w:val="single" w:color="000000" w:sz="4" w:space="0"/>
            </w:tcBorders>
            <w:noWrap w:val="0"/>
            <w:vAlign w:val="center"/>
          </w:tcPr>
          <w:p w14:paraId="60D21CED">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安全网关</w:t>
            </w:r>
          </w:p>
        </w:tc>
        <w:tc>
          <w:tcPr>
            <w:tcW w:w="2765" w:type="pct"/>
            <w:tcBorders>
              <w:top w:val="single" w:color="000000" w:sz="4" w:space="0"/>
              <w:left w:val="single" w:color="000000" w:sz="4" w:space="0"/>
              <w:bottom w:val="single" w:color="000000" w:sz="4" w:space="0"/>
              <w:right w:val="single" w:color="000000" w:sz="4" w:space="0"/>
            </w:tcBorders>
            <w:noWrap w:val="0"/>
            <w:vAlign w:val="center"/>
          </w:tcPr>
          <w:p w14:paraId="377D561E">
            <w:pPr>
              <w:widowControl/>
              <w:spacing w:line="360" w:lineRule="exact"/>
              <w:jc w:val="left"/>
              <w:rPr>
                <w:rFonts w:hint="eastAsia" w:ascii="宋体" w:hAnsi="宋体" w:cs="宋体"/>
                <w:color w:val="auto"/>
                <w:szCs w:val="21"/>
                <w:highlight w:val="none"/>
                <w:lang w:bidi="ar"/>
              </w:rPr>
            </w:pPr>
            <w:r>
              <w:rPr>
                <w:rFonts w:hint="eastAsia" w:ascii="宋体" w:hAnsi="宋体" w:cs="宋体"/>
                <w:color w:val="auto"/>
                <w:szCs w:val="21"/>
                <w:highlight w:val="none"/>
                <w:lang w:bidi="ar"/>
              </w:rPr>
              <w:t>▲1.2.5G千兆电接口≥6个，SFP+万兆光口≥2个；（提供官网链接和设备外观截图证明）</w:t>
            </w:r>
          </w:p>
          <w:p w14:paraId="663F98B7">
            <w:pPr>
              <w:widowControl/>
              <w:spacing w:line="360" w:lineRule="exact"/>
              <w:jc w:val="left"/>
              <w:rPr>
                <w:rFonts w:hint="eastAsia" w:ascii="宋体" w:hAnsi="宋体" w:cs="宋体"/>
                <w:color w:val="auto"/>
                <w:szCs w:val="21"/>
                <w:highlight w:val="none"/>
                <w:lang w:bidi="ar"/>
              </w:rPr>
            </w:pPr>
            <w:r>
              <w:rPr>
                <w:rFonts w:hint="eastAsia" w:ascii="宋体" w:hAnsi="宋体" w:cs="宋体"/>
                <w:color w:val="auto"/>
                <w:szCs w:val="21"/>
                <w:highlight w:val="none"/>
                <w:lang w:bidi="ar"/>
              </w:rPr>
              <w:t>#2.整机最大吞吐量≥10Gbps，配置3年防病毒、防攻击、上网行为管理、Web安全防护等增强特性授权；</w:t>
            </w:r>
          </w:p>
          <w:p w14:paraId="1035ABC2">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lang w:bidi="ar"/>
              </w:rPr>
              <w:t>#3.支持状态检测防火墙、NAT、访问控制、链路负载、ARP防护、DDoS 攻击防御（SYN Flood、UDP Flood 等）；支持IPSec/SSL VPN，满足远程办公、跨地域组网安全需求；VPN用户登录支持双因子认证，包括动态口令、硬件特征码认证手段；支持IPS入侵防御、病毒查杀、恶意 URL 过滤、Web 应用防护、威胁情报；支持基于IPv4/IPv6的一体化安全策略：在一条策略中可基于设备接口/安全域、源/目的IP地址、服务、应用、用户、时间等属性；</w:t>
            </w:r>
          </w:p>
        </w:tc>
        <w:tc>
          <w:tcPr>
            <w:tcW w:w="522" w:type="pct"/>
            <w:tcBorders>
              <w:top w:val="single" w:color="000000" w:sz="4" w:space="0"/>
              <w:left w:val="single" w:color="000000" w:sz="4" w:space="0"/>
              <w:bottom w:val="single" w:color="000000" w:sz="4" w:space="0"/>
              <w:right w:val="single" w:color="000000" w:sz="4" w:space="0"/>
            </w:tcBorders>
            <w:noWrap w:val="0"/>
            <w:vAlign w:val="center"/>
          </w:tcPr>
          <w:p w14:paraId="0FC43107">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1</w:t>
            </w:r>
          </w:p>
        </w:tc>
        <w:tc>
          <w:tcPr>
            <w:tcW w:w="294" w:type="pct"/>
            <w:tcBorders>
              <w:top w:val="single" w:color="000000" w:sz="4" w:space="0"/>
              <w:left w:val="single" w:color="000000" w:sz="4" w:space="0"/>
              <w:bottom w:val="single" w:color="000000" w:sz="4" w:space="0"/>
              <w:right w:val="single" w:color="000000" w:sz="4" w:space="0"/>
            </w:tcBorders>
            <w:noWrap w:val="0"/>
            <w:vAlign w:val="center"/>
          </w:tcPr>
          <w:p w14:paraId="283723B9">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台</w:t>
            </w:r>
          </w:p>
        </w:tc>
        <w:tc>
          <w:tcPr>
            <w:tcW w:w="500" w:type="pct"/>
            <w:tcBorders>
              <w:top w:val="single" w:color="000000" w:sz="4" w:space="0"/>
              <w:left w:val="single" w:color="000000" w:sz="4" w:space="0"/>
              <w:bottom w:val="single" w:color="000000" w:sz="4" w:space="0"/>
              <w:right w:val="single" w:color="000000" w:sz="4" w:space="0"/>
            </w:tcBorders>
            <w:noWrap w:val="0"/>
            <w:vAlign w:val="center"/>
          </w:tcPr>
          <w:p w14:paraId="5CDF324D">
            <w:pPr>
              <w:widowControl/>
              <w:spacing w:line="360" w:lineRule="exact"/>
              <w:jc w:val="center"/>
              <w:rPr>
                <w:rFonts w:hint="eastAsia" w:ascii="宋体" w:hAnsi="宋体" w:cs="宋体"/>
                <w:color w:val="auto"/>
                <w:szCs w:val="21"/>
                <w:highlight w:val="none"/>
                <w:lang w:bidi="ar"/>
              </w:rPr>
            </w:pPr>
          </w:p>
        </w:tc>
      </w:tr>
      <w:tr w14:paraId="78AEB8EE">
        <w:tblPrEx>
          <w:tblCellMar>
            <w:top w:w="0" w:type="dxa"/>
            <w:left w:w="108" w:type="dxa"/>
            <w:bottom w:w="0" w:type="dxa"/>
            <w:right w:w="108" w:type="dxa"/>
          </w:tblCellMar>
        </w:tblPrEx>
        <w:trPr>
          <w:trHeight w:val="360" w:hRule="atLeast"/>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22A48420">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30</w:t>
            </w:r>
          </w:p>
        </w:tc>
        <w:tc>
          <w:tcPr>
            <w:tcW w:w="608" w:type="pct"/>
            <w:tcBorders>
              <w:top w:val="single" w:color="000000" w:sz="4" w:space="0"/>
              <w:left w:val="single" w:color="000000" w:sz="4" w:space="0"/>
              <w:bottom w:val="single" w:color="000000" w:sz="4" w:space="0"/>
              <w:right w:val="single" w:color="000000" w:sz="4" w:space="0"/>
            </w:tcBorders>
            <w:noWrap w:val="0"/>
            <w:vAlign w:val="center"/>
          </w:tcPr>
          <w:p w14:paraId="35067D9D">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交换机</w:t>
            </w:r>
          </w:p>
        </w:tc>
        <w:tc>
          <w:tcPr>
            <w:tcW w:w="2765" w:type="pct"/>
            <w:tcBorders>
              <w:top w:val="single" w:color="000000" w:sz="4" w:space="0"/>
              <w:left w:val="single" w:color="000000" w:sz="4" w:space="0"/>
              <w:bottom w:val="single" w:color="000000" w:sz="4" w:space="0"/>
              <w:right w:val="single" w:color="000000" w:sz="4" w:space="0"/>
            </w:tcBorders>
            <w:noWrap w:val="0"/>
            <w:vAlign w:val="center"/>
          </w:tcPr>
          <w:p w14:paraId="7490DA3F">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lang w:bidi="ar"/>
              </w:rPr>
              <w:t>▲</w:t>
            </w:r>
            <w:r>
              <w:rPr>
                <w:rFonts w:hint="eastAsia" w:ascii="宋体" w:hAnsi="宋体" w:cs="宋体"/>
                <w:color w:val="auto"/>
                <w:szCs w:val="21"/>
                <w:highlight w:val="none"/>
                <w:lang w:val="en-US" w:eastAsia="zh-CN" w:bidi="ar"/>
              </w:rPr>
              <w:t>1、</w:t>
            </w:r>
            <w:r>
              <w:rPr>
                <w:rFonts w:hint="eastAsia" w:ascii="宋体" w:hAnsi="宋体" w:cs="宋体"/>
                <w:color w:val="auto"/>
                <w:szCs w:val="21"/>
                <w:highlight w:val="none"/>
                <w:lang w:bidi="ar"/>
              </w:rPr>
              <w:t>业务插槽≥4个；本次每台机器实配置双主控引擎和千兆电口≥16个，SFP千兆光口≥24个，SFP+万兆光口≥24个，40G QSFP光接口≥4个、双交流电源；（提供官网链接和设备外观截图证明）</w:t>
            </w:r>
            <w:r>
              <w:rPr>
                <w:rFonts w:hint="eastAsia" w:ascii="宋体" w:hAnsi="宋体" w:cs="宋体"/>
                <w:color w:val="auto"/>
                <w:szCs w:val="21"/>
                <w:highlight w:val="none"/>
                <w:lang w:bidi="ar"/>
              </w:rPr>
              <w:br w:type="textWrapping"/>
            </w:r>
            <w:r>
              <w:rPr>
                <w:rFonts w:hint="eastAsia" w:ascii="宋体" w:hAnsi="宋体" w:cs="宋体"/>
                <w:color w:val="auto"/>
                <w:szCs w:val="21"/>
                <w:highlight w:val="none"/>
                <w:lang w:bidi="ar"/>
              </w:rPr>
              <w:t>#2.交换容量≥100Tbps，包转发率≥48000Mpps；</w:t>
            </w:r>
            <w:r>
              <w:rPr>
                <w:rFonts w:hint="eastAsia" w:ascii="宋体" w:hAnsi="宋体" w:cs="宋体"/>
                <w:color w:val="auto"/>
                <w:szCs w:val="21"/>
                <w:highlight w:val="none"/>
                <w:lang w:bidi="ar"/>
              </w:rPr>
              <w:br w:type="textWrapping"/>
            </w:r>
            <w:r>
              <w:rPr>
                <w:rFonts w:hint="eastAsia" w:ascii="宋体" w:hAnsi="宋体" w:cs="宋体"/>
                <w:color w:val="auto"/>
                <w:szCs w:val="21"/>
                <w:highlight w:val="none"/>
                <w:lang w:bidi="ar"/>
              </w:rPr>
              <w:t>#3.支持静态路由、RIP v1/v2、OSPF、BGP、支持策略路由；支持DHCP Snooping、DHCP Option 82、支持IEEE 802.1x认证；支持RSPAN（远程交换端口分析）功能，即远程端口镜像，突破了镜像源和目的端口必须处于同一交换机的限制，使镜像源端口和镜像目的端口可以在不同的网络设备上，从而方便网管人员对远程交换机设备进行管理。在远程镜像的vlan上不能</w:t>
            </w:r>
            <w:r>
              <w:rPr>
                <w:rFonts w:hint="eastAsia" w:ascii="宋体" w:hAnsi="宋体" w:cs="宋体"/>
                <w:color w:val="auto"/>
                <w:szCs w:val="21"/>
                <w:highlight w:val="none"/>
                <w:lang w:eastAsia="zh-CN" w:bidi="ar"/>
              </w:rPr>
              <w:t>进行</w:t>
            </w:r>
            <w:r>
              <w:rPr>
                <w:rFonts w:hint="eastAsia" w:ascii="宋体" w:hAnsi="宋体" w:cs="宋体"/>
                <w:color w:val="auto"/>
                <w:szCs w:val="21"/>
                <w:highlight w:val="none"/>
                <w:lang w:bidi="ar"/>
              </w:rPr>
              <w:t>业务流的传输。</w:t>
            </w:r>
          </w:p>
        </w:tc>
        <w:tc>
          <w:tcPr>
            <w:tcW w:w="522" w:type="pct"/>
            <w:tcBorders>
              <w:top w:val="single" w:color="000000" w:sz="4" w:space="0"/>
              <w:left w:val="single" w:color="000000" w:sz="4" w:space="0"/>
              <w:bottom w:val="single" w:color="000000" w:sz="4" w:space="0"/>
              <w:right w:val="single" w:color="000000" w:sz="4" w:space="0"/>
            </w:tcBorders>
            <w:noWrap w:val="0"/>
            <w:vAlign w:val="center"/>
          </w:tcPr>
          <w:p w14:paraId="0207206A">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1</w:t>
            </w:r>
          </w:p>
        </w:tc>
        <w:tc>
          <w:tcPr>
            <w:tcW w:w="294" w:type="pct"/>
            <w:tcBorders>
              <w:top w:val="single" w:color="000000" w:sz="4" w:space="0"/>
              <w:left w:val="single" w:color="000000" w:sz="4" w:space="0"/>
              <w:bottom w:val="single" w:color="000000" w:sz="4" w:space="0"/>
              <w:right w:val="single" w:color="000000" w:sz="4" w:space="0"/>
            </w:tcBorders>
            <w:noWrap w:val="0"/>
            <w:vAlign w:val="center"/>
          </w:tcPr>
          <w:p w14:paraId="1B7642BD">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台</w:t>
            </w:r>
          </w:p>
        </w:tc>
        <w:tc>
          <w:tcPr>
            <w:tcW w:w="500" w:type="pct"/>
            <w:tcBorders>
              <w:top w:val="single" w:color="000000" w:sz="4" w:space="0"/>
              <w:left w:val="single" w:color="000000" w:sz="4" w:space="0"/>
              <w:bottom w:val="single" w:color="000000" w:sz="4" w:space="0"/>
              <w:right w:val="single" w:color="000000" w:sz="4" w:space="0"/>
            </w:tcBorders>
            <w:noWrap w:val="0"/>
            <w:vAlign w:val="center"/>
          </w:tcPr>
          <w:p w14:paraId="61806BA6">
            <w:pPr>
              <w:widowControl/>
              <w:spacing w:line="360" w:lineRule="exact"/>
              <w:jc w:val="left"/>
              <w:rPr>
                <w:rFonts w:hint="eastAsia" w:ascii="宋体" w:hAnsi="宋体" w:cs="宋体"/>
                <w:color w:val="auto"/>
                <w:szCs w:val="21"/>
                <w:highlight w:val="none"/>
                <w:lang w:bidi="ar"/>
              </w:rPr>
            </w:pPr>
            <w:r>
              <w:rPr>
                <w:rFonts w:hint="eastAsia" w:ascii="宋体" w:hAnsi="宋体" w:cs="宋体"/>
                <w:color w:val="auto"/>
                <w:szCs w:val="21"/>
                <w:highlight w:val="none"/>
                <w:lang w:bidi="ar"/>
              </w:rPr>
              <w:t>（含配套提供SFP+万兆光模块4个、SFP千兆光模块14个）</w:t>
            </w:r>
          </w:p>
        </w:tc>
      </w:tr>
      <w:tr w14:paraId="347760D1">
        <w:tblPrEx>
          <w:tblCellMar>
            <w:top w:w="0" w:type="dxa"/>
            <w:left w:w="108" w:type="dxa"/>
            <w:bottom w:w="0" w:type="dxa"/>
            <w:right w:w="108" w:type="dxa"/>
          </w:tblCellMar>
        </w:tblPrEx>
        <w:trPr>
          <w:trHeight w:val="360" w:hRule="atLeast"/>
        </w:trPr>
        <w:tc>
          <w:tcPr>
            <w:tcW w:w="4499" w:type="pct"/>
            <w:gridSpan w:val="5"/>
            <w:tcBorders>
              <w:top w:val="single" w:color="000000" w:sz="4" w:space="0"/>
              <w:left w:val="single" w:color="000000" w:sz="4" w:space="0"/>
              <w:bottom w:val="single" w:color="000000" w:sz="4" w:space="0"/>
              <w:right w:val="single" w:color="000000" w:sz="4" w:space="0"/>
            </w:tcBorders>
            <w:noWrap w:val="0"/>
            <w:vAlign w:val="center"/>
          </w:tcPr>
          <w:p w14:paraId="37D18426">
            <w:pPr>
              <w:widowControl/>
              <w:spacing w:line="360" w:lineRule="exact"/>
              <w:jc w:val="center"/>
              <w:rPr>
                <w:rFonts w:ascii="宋体" w:hAnsi="宋体" w:cs="宋体"/>
                <w:b/>
                <w:bCs/>
                <w:color w:val="auto"/>
                <w:szCs w:val="21"/>
                <w:highlight w:val="none"/>
              </w:rPr>
            </w:pPr>
            <w:r>
              <w:rPr>
                <w:rFonts w:hint="eastAsia" w:ascii="宋体" w:hAnsi="宋体" w:cs="宋体"/>
                <w:b/>
                <w:bCs/>
                <w:color w:val="auto"/>
                <w:szCs w:val="21"/>
                <w:highlight w:val="none"/>
                <w:lang w:bidi="ar"/>
              </w:rPr>
              <w:t>六、施工集成</w:t>
            </w:r>
          </w:p>
        </w:tc>
        <w:tc>
          <w:tcPr>
            <w:tcW w:w="500" w:type="pct"/>
            <w:tcBorders>
              <w:top w:val="single" w:color="000000" w:sz="4" w:space="0"/>
              <w:left w:val="single" w:color="000000" w:sz="4" w:space="0"/>
              <w:bottom w:val="single" w:color="000000" w:sz="4" w:space="0"/>
              <w:right w:val="single" w:color="000000" w:sz="4" w:space="0"/>
            </w:tcBorders>
            <w:noWrap w:val="0"/>
            <w:vAlign w:val="center"/>
          </w:tcPr>
          <w:p w14:paraId="2433C6AF">
            <w:pPr>
              <w:widowControl/>
              <w:spacing w:line="360" w:lineRule="exact"/>
              <w:jc w:val="center"/>
              <w:rPr>
                <w:rFonts w:hint="eastAsia" w:ascii="宋体" w:hAnsi="宋体" w:cs="宋体"/>
                <w:b/>
                <w:bCs/>
                <w:color w:val="auto"/>
                <w:szCs w:val="21"/>
                <w:highlight w:val="none"/>
                <w:lang w:bidi="ar"/>
              </w:rPr>
            </w:pPr>
          </w:p>
        </w:tc>
      </w:tr>
      <w:tr w14:paraId="683A991C">
        <w:tblPrEx>
          <w:tblCellMar>
            <w:top w:w="0" w:type="dxa"/>
            <w:left w:w="108" w:type="dxa"/>
            <w:bottom w:w="0" w:type="dxa"/>
            <w:right w:w="108" w:type="dxa"/>
          </w:tblCellMar>
        </w:tblPrEx>
        <w:trPr>
          <w:trHeight w:val="960" w:hRule="atLeast"/>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485F4F42">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31</w:t>
            </w:r>
          </w:p>
        </w:tc>
        <w:tc>
          <w:tcPr>
            <w:tcW w:w="608" w:type="pct"/>
            <w:tcBorders>
              <w:top w:val="single" w:color="000000" w:sz="4" w:space="0"/>
              <w:left w:val="single" w:color="000000" w:sz="4" w:space="0"/>
              <w:bottom w:val="single" w:color="000000" w:sz="4" w:space="0"/>
              <w:right w:val="single" w:color="000000" w:sz="4" w:space="0"/>
            </w:tcBorders>
            <w:noWrap w:val="0"/>
            <w:vAlign w:val="center"/>
          </w:tcPr>
          <w:p w14:paraId="2CAD2862">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施工集成</w:t>
            </w:r>
          </w:p>
        </w:tc>
        <w:tc>
          <w:tcPr>
            <w:tcW w:w="2765" w:type="pct"/>
            <w:tcBorders>
              <w:top w:val="single" w:color="000000" w:sz="4" w:space="0"/>
              <w:left w:val="single" w:color="000000" w:sz="4" w:space="0"/>
              <w:bottom w:val="single" w:color="000000" w:sz="4" w:space="0"/>
              <w:right w:val="single" w:color="000000" w:sz="4" w:space="0"/>
            </w:tcBorders>
            <w:noWrap w:val="0"/>
            <w:vAlign w:val="center"/>
          </w:tcPr>
          <w:p w14:paraId="52C5EA6E">
            <w:pPr>
              <w:widowControl/>
              <w:spacing w:line="360" w:lineRule="exact"/>
              <w:jc w:val="left"/>
              <w:rPr>
                <w:rFonts w:ascii="宋体" w:hAnsi="宋体" w:cs="宋体"/>
                <w:color w:val="auto"/>
                <w:szCs w:val="21"/>
                <w:highlight w:val="none"/>
                <w:lang w:bidi="ar"/>
              </w:rPr>
            </w:pPr>
            <w:r>
              <w:rPr>
                <w:rFonts w:hint="eastAsia" w:ascii="宋体" w:hAnsi="宋体" w:cs="宋体"/>
                <w:color w:val="auto"/>
                <w:szCs w:val="21"/>
                <w:highlight w:val="none"/>
                <w:lang w:bidi="ar"/>
              </w:rPr>
              <w:t>#1</w:t>
            </w:r>
            <w:r>
              <w:rPr>
                <w:rFonts w:hint="eastAsia" w:ascii="宋体" w:hAnsi="宋体" w:cs="宋体"/>
                <w:color w:val="auto"/>
                <w:szCs w:val="21"/>
                <w:highlight w:val="none"/>
                <w:lang w:val="en-US" w:eastAsia="zh-CN" w:bidi="ar"/>
              </w:rPr>
              <w:t>.</w:t>
            </w:r>
            <w:r>
              <w:rPr>
                <w:rFonts w:hint="eastAsia" w:ascii="宋体" w:hAnsi="宋体" w:cs="宋体"/>
                <w:color w:val="auto"/>
                <w:szCs w:val="21"/>
                <w:highlight w:val="none"/>
                <w:lang w:bidi="ar"/>
              </w:rPr>
              <w:t>含破除恢复、施工器械、路段标识标牌标线、隔离减速装置、智能前端配套设备相关施工、安装、调试、综合布线等。</w:t>
            </w:r>
          </w:p>
        </w:tc>
        <w:tc>
          <w:tcPr>
            <w:tcW w:w="522" w:type="pct"/>
            <w:tcBorders>
              <w:top w:val="single" w:color="000000" w:sz="4" w:space="0"/>
              <w:left w:val="single" w:color="000000" w:sz="4" w:space="0"/>
              <w:bottom w:val="single" w:color="000000" w:sz="4" w:space="0"/>
              <w:right w:val="single" w:color="000000" w:sz="4" w:space="0"/>
            </w:tcBorders>
            <w:noWrap w:val="0"/>
            <w:vAlign w:val="center"/>
          </w:tcPr>
          <w:p w14:paraId="5EDD9D1B">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1</w:t>
            </w:r>
          </w:p>
        </w:tc>
        <w:tc>
          <w:tcPr>
            <w:tcW w:w="294" w:type="pct"/>
            <w:tcBorders>
              <w:top w:val="single" w:color="000000" w:sz="4" w:space="0"/>
              <w:left w:val="single" w:color="000000" w:sz="4" w:space="0"/>
              <w:bottom w:val="single" w:color="000000" w:sz="4" w:space="0"/>
              <w:right w:val="single" w:color="000000" w:sz="4" w:space="0"/>
            </w:tcBorders>
            <w:noWrap w:val="0"/>
            <w:vAlign w:val="center"/>
          </w:tcPr>
          <w:p w14:paraId="1A279CD8">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lang w:bidi="ar"/>
              </w:rPr>
              <w:t>项</w:t>
            </w:r>
          </w:p>
        </w:tc>
        <w:tc>
          <w:tcPr>
            <w:tcW w:w="500" w:type="pct"/>
            <w:tcBorders>
              <w:top w:val="single" w:color="000000" w:sz="4" w:space="0"/>
              <w:left w:val="single" w:color="000000" w:sz="4" w:space="0"/>
              <w:bottom w:val="single" w:color="000000" w:sz="4" w:space="0"/>
              <w:right w:val="single" w:color="000000" w:sz="4" w:space="0"/>
            </w:tcBorders>
            <w:noWrap w:val="0"/>
            <w:vAlign w:val="center"/>
          </w:tcPr>
          <w:p w14:paraId="33E765C4">
            <w:pPr>
              <w:widowControl/>
              <w:spacing w:line="360" w:lineRule="exact"/>
              <w:jc w:val="center"/>
              <w:rPr>
                <w:rFonts w:hint="eastAsia" w:ascii="宋体" w:hAnsi="宋体" w:cs="宋体"/>
                <w:color w:val="auto"/>
                <w:szCs w:val="21"/>
                <w:highlight w:val="none"/>
                <w:lang w:bidi="ar"/>
              </w:rPr>
            </w:pPr>
          </w:p>
        </w:tc>
      </w:tr>
    </w:tbl>
    <w:p w14:paraId="2AC5B5B0">
      <w:pPr>
        <w:spacing w:line="44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（二）《采购清单及技术参数要求》技术参数说明如下：</w:t>
      </w:r>
    </w:p>
    <w:p w14:paraId="2D29496A">
      <w:pPr>
        <w:spacing w:line="44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1.标注“★”的为</w:t>
      </w:r>
      <w:r>
        <w:rPr>
          <w:rFonts w:hint="eastAsia" w:ascii="宋体" w:hAnsi="宋体" w:cs="宋体"/>
          <w:bCs/>
          <w:color w:val="auto"/>
          <w:sz w:val="24"/>
          <w:szCs w:val="24"/>
          <w:highlight w:val="none"/>
          <w:lang w:val="en-US" w:eastAsia="zh-CN"/>
        </w:rPr>
        <w:t>实质性响应要求</w:t>
      </w:r>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val="en-US" w:eastAsia="zh-CN"/>
        </w:rPr>
        <w:t>不响应按无效标处理</w:t>
      </w:r>
      <w:r>
        <w:rPr>
          <w:rFonts w:hint="eastAsia" w:ascii="宋体" w:hAnsi="宋体" w:cs="宋体"/>
          <w:bCs/>
          <w:color w:val="auto"/>
          <w:sz w:val="24"/>
          <w:szCs w:val="24"/>
          <w:highlight w:val="none"/>
        </w:rPr>
        <w:t>。</w:t>
      </w:r>
    </w:p>
    <w:p w14:paraId="09AD412A">
      <w:pPr>
        <w:spacing w:line="440" w:lineRule="exact"/>
        <w:ind w:firstLine="480"/>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2</w:t>
      </w:r>
      <w:r>
        <w:rPr>
          <w:rFonts w:hint="eastAsia" w:ascii="宋体" w:hAnsi="宋体" w:cs="宋体"/>
          <w:bCs/>
          <w:color w:val="auto"/>
          <w:sz w:val="24"/>
          <w:szCs w:val="24"/>
          <w:highlight w:val="none"/>
        </w:rPr>
        <w:t>.标注“●”的为核心产品，不同投标人核心产品标的品牌相同按同品牌投标人处理。</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详见投标人须知18.5条）</w:t>
      </w:r>
    </w:p>
    <w:p w14:paraId="4FCDFC14">
      <w:pPr>
        <w:spacing w:line="44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3</w:t>
      </w:r>
      <w:r>
        <w:rPr>
          <w:rFonts w:hint="eastAsia" w:ascii="宋体" w:hAnsi="宋体" w:cs="宋体"/>
          <w:bCs/>
          <w:color w:val="auto"/>
          <w:sz w:val="24"/>
          <w:szCs w:val="24"/>
          <w:highlight w:val="none"/>
        </w:rPr>
        <w:t>.标注“▲”的技术参数为重要技术参数，投标人须详尽真实的提供投标产品的《技术要求响应及偏离表》，且均需在技术要求响应及偏离表内详尽真实的逐条提供偏差情况，否则将视为负偏离。有指定证明材料要求的未按指定要求提供相关证明材料的将视为负偏离。无指定证明材料要求的以加盖投标人公章的《技术要求响应及偏离表》为准。</w:t>
      </w:r>
    </w:p>
    <w:p w14:paraId="6C9DC9D1">
      <w:pPr>
        <w:spacing w:line="44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4</w:t>
      </w:r>
      <w:r>
        <w:rPr>
          <w:rFonts w:hint="eastAsia" w:ascii="宋体" w:hAnsi="宋体" w:cs="宋体"/>
          <w:bCs/>
          <w:color w:val="auto"/>
          <w:sz w:val="24"/>
          <w:szCs w:val="24"/>
          <w:highlight w:val="none"/>
        </w:rPr>
        <w:t>.标注“</w:t>
      </w:r>
      <w:r>
        <w:rPr>
          <w:rFonts w:hint="eastAsia" w:ascii="宋体" w:hAnsi="宋体" w:cs="宋体"/>
          <w:b/>
          <w:color w:val="auto"/>
          <w:sz w:val="24"/>
          <w:szCs w:val="24"/>
          <w:highlight w:val="none"/>
        </w:rPr>
        <w:t>☆☆</w:t>
      </w:r>
      <w:r>
        <w:rPr>
          <w:rFonts w:hint="eastAsia" w:ascii="宋体" w:hAnsi="宋体" w:cs="宋体"/>
          <w:bCs/>
          <w:color w:val="auto"/>
          <w:sz w:val="24"/>
          <w:szCs w:val="24"/>
          <w:highlight w:val="none"/>
        </w:rPr>
        <w:t>”的技术参数，投标人需提供产品功能演示视频，投标人提交的产品演示视频（含功能演示、参数实测、操作展示等），需与实际所投产品技术参数、功能一致。</w:t>
      </w:r>
    </w:p>
    <w:p w14:paraId="5EA02102">
      <w:pPr>
        <w:spacing w:line="44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5</w:t>
      </w:r>
      <w:r>
        <w:rPr>
          <w:rFonts w:hint="eastAsia" w:ascii="宋体" w:hAnsi="宋体" w:cs="宋体"/>
          <w:bCs/>
          <w:color w:val="auto"/>
          <w:sz w:val="24"/>
          <w:szCs w:val="24"/>
          <w:highlight w:val="none"/>
        </w:rPr>
        <w:t>.标注“＃”号标记的技术参数为一般技术参数，投标人须详尽真实的提供投标产品的《技术要求响应及偏离表》，且均需在技术要求响应及偏离表内详尽真实的逐条提供偏差情况，否则将视为负偏离。有指定证明材料要求的未按指定要求提供相关证明材料的将视为负偏离。无指定证明材料要求的以加盖投标人公章的《技术要求响应及偏离表》为准。</w:t>
      </w:r>
    </w:p>
    <w:p w14:paraId="3E3018E7">
      <w:pPr>
        <w:spacing w:line="44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6</w:t>
      </w:r>
      <w:r>
        <w:rPr>
          <w:rFonts w:hint="eastAsia" w:ascii="宋体" w:hAnsi="宋体" w:cs="宋体"/>
          <w:bCs/>
          <w:color w:val="auto"/>
          <w:sz w:val="24"/>
          <w:szCs w:val="24"/>
          <w:highlight w:val="none"/>
        </w:rPr>
        <w:t>.除辅材（含以施工为主的条目）和技术参数标明为定制的货物之外（具体如下序号7、序号8、序号11、序号22、序号26、序号27、序号31）其它应该标明品牌和型号的产品，投标人在投标文件中必须标明品牌、型号，否则作无效投标处理。</w:t>
      </w:r>
    </w:p>
    <w:p w14:paraId="09B34991">
      <w:pPr>
        <w:spacing w:line="44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7</w:t>
      </w:r>
      <w:r>
        <w:rPr>
          <w:rFonts w:hint="eastAsia" w:ascii="宋体" w:hAnsi="宋体" w:cs="宋体"/>
          <w:bCs/>
          <w:color w:val="auto"/>
          <w:sz w:val="24"/>
          <w:szCs w:val="24"/>
          <w:highlight w:val="none"/>
        </w:rPr>
        <w:t>.投标人应当对《中小企业声明函》真实性负责，投标人出具的《中小企业声明函》应当对本次采购标的逐一列明制造商且应当与明细报价表内容相对应。</w:t>
      </w:r>
    </w:p>
    <w:p w14:paraId="27CBBBCC">
      <w:pPr>
        <w:spacing w:line="44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8</w:t>
      </w:r>
      <w:r>
        <w:rPr>
          <w:rFonts w:hint="eastAsia" w:ascii="宋体" w:hAnsi="宋体" w:cs="宋体"/>
          <w:bCs/>
          <w:color w:val="auto"/>
          <w:sz w:val="24"/>
          <w:szCs w:val="24"/>
          <w:highlight w:val="none"/>
        </w:rPr>
        <w:t>.除特别标注尺寸偏差、大于、大于等于、小于及小于等于之外，其他固定尺寸允许偏差±2%。</w:t>
      </w:r>
    </w:p>
    <w:p w14:paraId="0F1F5764">
      <w:pPr>
        <w:spacing w:line="44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9.</w:t>
      </w:r>
      <w:r>
        <w:rPr>
          <w:rFonts w:hint="eastAsia" w:ascii="宋体" w:hAnsi="宋体" w:cs="宋体"/>
          <w:bCs/>
          <w:color w:val="auto"/>
          <w:sz w:val="24"/>
          <w:szCs w:val="24"/>
          <w:highlight w:val="none"/>
        </w:rPr>
        <w:t>中标人应在合同签订后规定时间内按要求将货物运输至业主指定的交货地点。零散及易损件须用木箱包装，确保防盗、防震、防潮、防破损、运输方式确定，并且由于运输造成的设备损坏，丢失均由中标人负责处理，未按进度供货的，责任中标人自负。</w:t>
      </w:r>
    </w:p>
    <w:p w14:paraId="301356F0">
      <w:pPr>
        <w:spacing w:line="440" w:lineRule="exact"/>
        <w:ind w:firstLine="480"/>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10.本次采购不包含后端大模型算力设备。投标人应确保系统具备与第三方算力设备对接的标准接口能力。</w:t>
      </w:r>
    </w:p>
    <w:p w14:paraId="617AE64E">
      <w:pPr>
        <w:spacing w:line="480" w:lineRule="exact"/>
        <w:ind w:firstLine="482"/>
        <w:rPr>
          <w:rFonts w:ascii="宋体" w:hAnsi="宋体" w:cs="宋体"/>
          <w:color w:val="auto"/>
          <w:sz w:val="24"/>
          <w:szCs w:val="24"/>
          <w:highlight w:val="none"/>
        </w:rPr>
      </w:pPr>
      <w:r>
        <w:rPr>
          <w:rFonts w:hint="eastAsia" w:ascii="宋体" w:hAnsi="宋体" w:cs="宋体"/>
          <w:b/>
          <w:color w:val="auto"/>
          <w:sz w:val="24"/>
          <w:szCs w:val="24"/>
          <w:highlight w:val="none"/>
        </w:rPr>
        <w:t>五、项目要求</w:t>
      </w:r>
    </w:p>
    <w:p w14:paraId="2D0E8C4B">
      <w:pPr>
        <w:spacing w:line="480" w:lineRule="exact"/>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（一）供货要求</w:t>
      </w:r>
    </w:p>
    <w:p w14:paraId="1A1AB59E">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投标人必须提供符合国家质量检测标准的全新、未使用过的货物（包括所有设备的元器件、零配件、专用工具等），表面无划伤，无碰撞，无任何缺陷隐患，在中国境内可依常规安全合法使用，并附有原始厂商的装箱单、完整的技术资料及相应的中文说明等相关资料，必须提供设备的供货配置清单。若中标货物质量不符合招标文件要求，采购人有权拒收货物。投标人在交货时必须提供主要产品生产厂家供货证明书。投标人所供货物若与标书上列明的设备的型号、技术指标等不相符，有造假现象的，采购人有权拒收货物，投标人应承担由此给采购人带来的损失。</w:t>
      </w:r>
    </w:p>
    <w:p w14:paraId="165AF7BA">
      <w:pPr>
        <w:spacing w:line="480" w:lineRule="exact"/>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（二）质量保证</w:t>
      </w:r>
    </w:p>
    <w:p w14:paraId="60DE49B0">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中标人应保证提供的货物经过正确安装、正常使用和保养条件下，在其使用寿命内应具有满意的性能。货物最终验收后，在售后服务期内，中标人应对由于设计、工艺或材料的缺陷以及其他由于生产厂家或中标人的原因而发生的任何不足或故障负责，费用由中标人负担。</w:t>
      </w:r>
    </w:p>
    <w:p w14:paraId="4DFBF01C">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（2）根据当地法定检验机构的检验结果或者在售后服务期内，如果货物的质量或规格型号与合同不符，或证明货物是有缺陷的，包括潜在的缺陷或使用不符合要求的材料等，采购人有权向中标人发出索赔通知。</w:t>
      </w:r>
    </w:p>
    <w:p w14:paraId="455D6306">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（3）中标人在收到通知后，应在合同所附服务承诺约定的时间内维修、更换有缺陷的货物或部件。</w:t>
      </w:r>
    </w:p>
    <w:p w14:paraId="0481705F">
      <w:pPr>
        <w:spacing w:line="480" w:lineRule="exact"/>
        <w:ind w:firstLine="480"/>
        <w:rPr>
          <w:rFonts w:ascii="宋体" w:hAnsi="宋体" w:cs="宋体"/>
          <w:b/>
          <w:bCs/>
          <w:iCs/>
          <w:color w:val="auto"/>
          <w:sz w:val="24"/>
          <w:szCs w:val="24"/>
          <w:highlight w:val="none"/>
        </w:rPr>
      </w:pPr>
      <w:r>
        <w:rPr>
          <w:rFonts w:hint="eastAsia" w:ascii="宋体" w:hAnsi="宋体" w:cs="宋体"/>
          <w:color w:val="auto"/>
          <w:sz w:val="24"/>
          <w:szCs w:val="24"/>
          <w:highlight w:val="none"/>
        </w:rPr>
        <w:t>（4）如果中标人在收到通知后，在合同所附服务承诺约定的时间内没有弥补缺陷，采购人可采取必要的补救措施，但风险和费用将由中标人承担。</w:t>
      </w:r>
    </w:p>
    <w:p w14:paraId="6E560685">
      <w:pPr>
        <w:spacing w:line="480" w:lineRule="exact"/>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（三）货物的包装、发运及运输</w:t>
      </w:r>
    </w:p>
    <w:p w14:paraId="19E14343">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中标人应在货物发运前对其进行满足运输距离、防潮、防震、防锈和防破损装卸等要求包装，以保证货物安全运达采购人指定地点。中标人对货物的包装应符合《商品包装政府采购需求标准（试行）》《快递包装政府采购需求标准（试行）》的规定。</w:t>
      </w:r>
    </w:p>
    <w:p w14:paraId="20BF1B4A">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（2）使用说明书、质量检验证明书、随配附件和工具以及清单一并附于货物内。</w:t>
      </w:r>
    </w:p>
    <w:p w14:paraId="556FB5A6">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（3）中标人在货物发运手续办理完毕后24小时内或货到采购人48小时前通知采购人，以准备接货。</w:t>
      </w:r>
    </w:p>
    <w:p w14:paraId="3A60AD5F">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（4）货物在交付采购人前发生的风险均由中标人负责。</w:t>
      </w:r>
    </w:p>
    <w:p w14:paraId="10740789">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（5）货物在规定的交付期限内由中标人送达采购人指定的地点视为交付，中标人同时需通知采购人货物已送达。</w:t>
      </w:r>
    </w:p>
    <w:p w14:paraId="5DB85AEF">
      <w:pPr>
        <w:spacing w:line="480" w:lineRule="exact"/>
        <w:ind w:firstLine="482"/>
        <w:rPr>
          <w:rFonts w:ascii="宋体" w:hAnsi="宋体" w:cs="宋体"/>
          <w:b/>
          <w:bCs/>
          <w:iCs/>
          <w:color w:val="auto"/>
          <w:sz w:val="24"/>
          <w:szCs w:val="24"/>
          <w:highlight w:val="none"/>
        </w:rPr>
      </w:pPr>
      <w:r>
        <w:rPr>
          <w:rFonts w:hint="eastAsia" w:ascii="宋体" w:hAnsi="宋体" w:cs="宋体"/>
          <w:b/>
          <w:bCs/>
          <w:iCs/>
          <w:color w:val="auto"/>
          <w:sz w:val="24"/>
          <w:szCs w:val="24"/>
          <w:highlight w:val="none"/>
        </w:rPr>
        <w:t>（四）安装要求</w:t>
      </w:r>
    </w:p>
    <w:p w14:paraId="3C4CAC7A">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投标人可提前自行踏勘现场，结合项目现场和采购人要求，充分考虑施工、安装涉及的全部事务及费用、相关辅材等。以上相关配件辅材，因考虑不全造成遗漏，均由中标人负责，视同中标人主动让利，不再另计。</w:t>
      </w:r>
    </w:p>
    <w:p w14:paraId="46884B63">
      <w:pPr>
        <w:pStyle w:val="518"/>
        <w:tabs>
          <w:tab w:val="left" w:pos="753"/>
        </w:tabs>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施工注意事项：中标人必须注意施工、安装调试现场安全，做好安全文明施工工作，一切责任由中标人负责，与采购人无关。施工过程中中标人应做好原有建筑及设施防护工作，如因中标人原因造成原有建筑及设施损坏，由中标人负责维修恢复原样。</w:t>
      </w:r>
    </w:p>
    <w:p w14:paraId="76389530">
      <w:pPr>
        <w:spacing w:line="480" w:lineRule="exact"/>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（五）验收</w:t>
      </w:r>
    </w:p>
    <w:p w14:paraId="2C2D83FE">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（1）验收标准</w:t>
      </w:r>
    </w:p>
    <w:p w14:paraId="1B38BFE9">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按照招标文件、投标文件及相关标准实施。有国家标准的应符合国家标准，无国家标准的应符合行业标准、地方标准或者其他标准、规范，并满足招标文件要求。验收情况作为支付货款的依据。如有质疑，以相关质量技术检验检测机构的检验结果为准，如产生检验费用，则该费用由过失方承担。</w:t>
      </w:r>
    </w:p>
    <w:p w14:paraId="6B63770F">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2.采购人对中标人提供的货物在使用前，中标人需负责培训采购人的使用操作人员，直到符合技术要求；</w:t>
      </w:r>
    </w:p>
    <w:p w14:paraId="474065D3">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3.验收前中标人必须确保项目设备、功能完全满足国家行业有关质量标准。</w:t>
      </w:r>
    </w:p>
    <w:p w14:paraId="4F11DCD8">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（2）验收要求</w:t>
      </w:r>
    </w:p>
    <w:p w14:paraId="5997BD4A">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中标人按约定将货物送至采购人指定地点并安装调试完毕，中标人向采购人提交项目初验技术资料以及初验申请单，采购人收到申请后3个工作日内组织初验并按照合同约定以及投标文件中的产品技术标准进行验收无问题后签署初验单。</w:t>
      </w:r>
    </w:p>
    <w:p w14:paraId="360D71F3">
      <w:pPr>
        <w:spacing w:line="480" w:lineRule="exact"/>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（六）节能、环保产品政策</w:t>
      </w:r>
    </w:p>
    <w:p w14:paraId="03D4E874">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对照财库〔2019〕9号、财库〔2019〕19号文件规定，投标人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p>
    <w:p w14:paraId="71D6826C">
      <w:pPr>
        <w:spacing w:line="480" w:lineRule="exact"/>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（七）商品包装、快递包装政府采购需求标准</w:t>
      </w:r>
    </w:p>
    <w:p w14:paraId="105682A0">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p>
    <w:p w14:paraId="59801BDF">
      <w:pPr>
        <w:spacing w:line="480" w:lineRule="exact"/>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（八）采购本国货物、工程和服务</w:t>
      </w:r>
    </w:p>
    <w:p w14:paraId="59CE0E27">
      <w:pPr>
        <w:spacing w:line="48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政府采购应当采购本国货物、工程和服务，但有《中华人民共和国政府采购法》第十条规定情形的除外。</w:t>
      </w:r>
    </w:p>
    <w:p w14:paraId="1FDAE582">
      <w:pPr>
        <w:numPr>
          <w:ilvl w:val="0"/>
          <w:numId w:val="0"/>
        </w:numPr>
        <w:spacing w:line="480" w:lineRule="exact"/>
        <w:ind w:firstLine="482"/>
        <w:rPr>
          <w:rFonts w:hint="eastAsia" w:ascii="宋体" w:hAnsi="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（九）</w:t>
      </w:r>
      <w:r>
        <w:rPr>
          <w:rFonts w:hint="eastAsia" w:ascii="宋体" w:hAnsi="宋体" w:cs="宋体"/>
          <w:b/>
          <w:bCs/>
          <w:color w:val="auto"/>
          <w:sz w:val="24"/>
          <w:szCs w:val="24"/>
          <w:highlight w:val="none"/>
          <w:lang w:val="en-US" w:eastAsia="zh-CN"/>
        </w:rPr>
        <w:t>人员要求</w:t>
      </w:r>
    </w:p>
    <w:p w14:paraId="412731E4">
      <w:pPr>
        <w:spacing w:line="480" w:lineRule="exact"/>
        <w:ind w:firstLine="48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供应商需成立项目管理小组，并组建不少于3人的项目团队，供应商委派项目负责人及成员具备相关安防设备组网，AI系统调试，网络搭建，平台对接等技术能力，配备如下：</w:t>
      </w:r>
    </w:p>
    <w:p w14:paraId="32198827">
      <w:pPr>
        <w:spacing w:line="480" w:lineRule="exact"/>
        <w:ind w:firstLine="480"/>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①</w:t>
      </w:r>
      <w:r>
        <w:rPr>
          <w:rFonts w:hint="eastAsia" w:ascii="宋体" w:hAnsi="宋体" w:cs="宋体"/>
          <w:color w:val="auto"/>
          <w:sz w:val="24"/>
          <w:szCs w:val="24"/>
          <w:highlight w:val="none"/>
          <w:lang w:val="en-US" w:eastAsia="zh-CN"/>
        </w:rPr>
        <w:t>项目负责人1名，具备丰富的项目管理经验，负责项目的总体实施工作，建立沟通联系，把控项目总体进度，计划制定等。</w:t>
      </w:r>
    </w:p>
    <w:p w14:paraId="1F20E488">
      <w:pPr>
        <w:spacing w:line="480" w:lineRule="exact"/>
        <w:ind w:firstLine="480"/>
        <w:rPr>
          <w:rFonts w:hint="eastAsia" w:ascii="宋体" w:hAnsi="宋体" w:cs="宋体"/>
          <w:b/>
          <w:color w:val="auto"/>
          <w:sz w:val="24"/>
          <w:szCs w:val="24"/>
          <w:highlight w:val="none"/>
        </w:rPr>
      </w:pPr>
      <w:r>
        <w:rPr>
          <w:rFonts w:hint="default" w:ascii="宋体" w:hAnsi="宋体" w:cs="宋体"/>
          <w:color w:val="auto"/>
          <w:sz w:val="24"/>
          <w:szCs w:val="24"/>
          <w:highlight w:val="none"/>
          <w:lang w:val="en-US" w:eastAsia="zh-CN"/>
        </w:rPr>
        <w:t>②</w:t>
      </w:r>
      <w:r>
        <w:rPr>
          <w:rFonts w:hint="eastAsia" w:ascii="宋体" w:hAnsi="宋体" w:cs="宋体"/>
          <w:color w:val="auto"/>
          <w:sz w:val="24"/>
          <w:szCs w:val="24"/>
          <w:highlight w:val="none"/>
          <w:lang w:val="en-US" w:eastAsia="zh-CN"/>
        </w:rPr>
        <w:t>项目组其他成员2名，负责安防设备的安装调试，平台对接等技术工作。</w:t>
      </w:r>
    </w:p>
    <w:p w14:paraId="48A50E43">
      <w:pPr>
        <w:spacing w:line="480" w:lineRule="exact"/>
        <w:ind w:firstLine="482"/>
        <w:rPr>
          <w:rFonts w:ascii="宋体" w:hAnsi="宋体" w:cs="宋体"/>
          <w:b/>
          <w:color w:val="auto"/>
          <w:sz w:val="24"/>
          <w:szCs w:val="24"/>
          <w:highlight w:val="none"/>
        </w:rPr>
      </w:pPr>
      <w:r>
        <w:rPr>
          <w:rFonts w:hint="eastAsia" w:ascii="宋体" w:hAnsi="宋体" w:cs="宋体"/>
          <w:b/>
          <w:color w:val="auto"/>
          <w:sz w:val="24"/>
          <w:szCs w:val="24"/>
          <w:highlight w:val="none"/>
        </w:rPr>
        <w:t>六、项目实施要求</w:t>
      </w:r>
    </w:p>
    <w:p w14:paraId="048078E4">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投标人针对本项目提供详细的项目实施方案，内容包括但不限于：质量保证方案、培训及技术支持方案等。</w:t>
      </w:r>
    </w:p>
    <w:p w14:paraId="02CACAE1">
      <w:pPr>
        <w:spacing w:line="480" w:lineRule="exact"/>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（一）质量保障要求</w:t>
      </w:r>
    </w:p>
    <w:p w14:paraId="3285E010">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投标人针对本项目提供详细的质量保证方案，内容包括但不限于：</w:t>
      </w:r>
    </w:p>
    <w:p w14:paraId="043F1EB1">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（1）详细的质量保障方案，包括但不限于质量保证体系、质量方针和目标、质量管理措施、质量控制措施等方面的内容。</w:t>
      </w:r>
    </w:p>
    <w:p w14:paraId="7771473E">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（2）详细的施工进度保障方案，包括但不限于一份详尽的项目进度计划，有明确的时间节点和进度安排，展示项目各阶段的起止时间、关键过程等，且要充分考虑天气影响，避免影响工期。</w:t>
      </w:r>
    </w:p>
    <w:p w14:paraId="28C89852">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（3）详细的现场管理要求，包括但不限于现场管理策略、安全生产措施、环境保护措施以及日常现场管理流程等。</w:t>
      </w:r>
    </w:p>
    <w:p w14:paraId="4B54E4D1">
      <w:pPr>
        <w:spacing w:line="480" w:lineRule="exact"/>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（二）培训及技术支持要求</w:t>
      </w:r>
    </w:p>
    <w:p w14:paraId="5B145348">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根据日常运行和维护工作情况，投标人结合用户实际情况，在安装过程中或安装结束后，对采购人工程师和操作人员进行现场维修、保养、操作培训并提供快捷操作指南（塑胶封好，挂在设备上）。</w:t>
      </w:r>
    </w:p>
    <w:p w14:paraId="49C7EA55">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同时投标人需制定适合用户详细、操作性强的培训方案，内容包含但不限于培训目的、培训时间、培训内容、培训对象、培训地点、培训方式及课时安排、培训教材、培训师资等。</w:t>
      </w:r>
    </w:p>
    <w:p w14:paraId="442C6561">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（1）培训目的：通过对用户的培训，使其对设备的使用、操作、维护进行培训，并提供安装使用维护说明书，以确保使用单位能够对设备有足够的了解，能够独立进行日常操作、管理和维护。</w:t>
      </w:r>
    </w:p>
    <w:p w14:paraId="28E9E60F">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（2）培训时间：投标人完成供货并交付用户使用之日起两周内对用户完成培训。交付使用1个月后投标人须派遣专业技术人员到工作现场，对用户各种技术问题和使用进行现场指导和培训。</w:t>
      </w:r>
    </w:p>
    <w:p w14:paraId="540FCC87">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（3）培训内容：包括但不限于安全知识学习、产品具有的功能学习、产品体系架构学习、安装、调试、操作的培训、产品的日常维护学习、产品的故障紧急处理。</w:t>
      </w:r>
    </w:p>
    <w:p w14:paraId="075DD1E6">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（4）培训对象：本次采购的产品使用者。</w:t>
      </w:r>
    </w:p>
    <w:p w14:paraId="056A5CE6">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（5）培训地点：同交货地点。</w:t>
      </w:r>
    </w:p>
    <w:p w14:paraId="22BBF119">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（6）培训方式及课时安排：现场培训或线上培训、至少2课时，每课时至少30分钟。</w:t>
      </w:r>
    </w:p>
    <w:p w14:paraId="055EE13A">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（7）培训教材：免费提供培训教材纸质版或电子版（含使用手册）等。</w:t>
      </w:r>
    </w:p>
    <w:p w14:paraId="139890C2">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（8）培训师资：投标人须委派专业技术人员对用户进行培训。</w:t>
      </w:r>
    </w:p>
    <w:p w14:paraId="68F373A3">
      <w:pPr>
        <w:spacing w:line="480" w:lineRule="exact"/>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七、设备安装要求</w:t>
      </w:r>
    </w:p>
    <w:p w14:paraId="05704CCD">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投标人针对本项目提供详细的设备安装方案，包括但不限于：</w:t>
      </w:r>
    </w:p>
    <w:p w14:paraId="24DD9B56">
      <w:pPr>
        <w:numPr>
          <w:ilvl w:val="0"/>
          <w:numId w:val="5"/>
        </w:num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交通安全设施安装规划方案</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结合城区学校出入口道路及护学岗现状，提供标志标牌、标线、护栏、防撞柱、减速设施、护学岗监控点位等设施的安装规划方案。方案需包含采购清单内标识标牌标线和隔离减速装置的平面规划设计图；护学岗监控点位规划设计图；满足现场布设、安全防护及智能覆盖要求。安装要做到垂直、水平</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牢固、金属切割部位要进行防锈处理</w:t>
      </w:r>
      <w:r>
        <w:rPr>
          <w:rFonts w:hint="eastAsia" w:ascii="宋体" w:hAnsi="宋体" w:cs="宋体"/>
          <w:color w:val="auto"/>
          <w:sz w:val="24"/>
          <w:szCs w:val="24"/>
          <w:highlight w:val="none"/>
          <w:lang w:val="en-US" w:eastAsia="zh-CN"/>
        </w:rPr>
        <w:t>等</w:t>
      </w:r>
      <w:r>
        <w:rPr>
          <w:rFonts w:hint="eastAsia" w:ascii="宋体" w:hAnsi="宋体" w:cs="宋体"/>
          <w:color w:val="auto"/>
          <w:sz w:val="24"/>
          <w:szCs w:val="24"/>
          <w:highlight w:val="none"/>
        </w:rPr>
        <w:t>。</w:t>
      </w:r>
    </w:p>
    <w:p w14:paraId="5362CE3D">
      <w:pPr>
        <w:numPr>
          <w:ilvl w:val="0"/>
          <w:numId w:val="5"/>
        </w:numPr>
        <w:spacing w:line="480" w:lineRule="exact"/>
        <w:ind w:left="0" w:leftChars="0" w:firstLine="480" w:firstLineChars="0"/>
        <w:rPr>
          <w:rFonts w:hint="eastAsia" w:ascii="宋体" w:hAnsi="宋体" w:cs="宋体"/>
          <w:color w:val="auto"/>
          <w:sz w:val="24"/>
          <w:szCs w:val="24"/>
          <w:highlight w:val="none"/>
        </w:rPr>
      </w:pPr>
      <w:r>
        <w:rPr>
          <w:rFonts w:hint="eastAsia" w:ascii="宋体" w:hAnsi="宋体" w:cs="宋体"/>
          <w:color w:val="auto"/>
          <w:sz w:val="24"/>
          <w:szCs w:val="24"/>
          <w:highlight w:val="none"/>
        </w:rPr>
        <w:t>AI系统</w:t>
      </w:r>
      <w:r>
        <w:rPr>
          <w:rFonts w:hint="eastAsia" w:ascii="宋体" w:hAnsi="宋体" w:cs="宋体"/>
          <w:color w:val="auto"/>
          <w:sz w:val="24"/>
          <w:szCs w:val="24"/>
          <w:highlight w:val="none"/>
          <w:lang w:val="en-US" w:eastAsia="zh-CN"/>
        </w:rPr>
        <w:t>接入</w:t>
      </w:r>
      <w:r>
        <w:rPr>
          <w:rFonts w:hint="eastAsia" w:ascii="宋体" w:hAnsi="宋体" w:cs="宋体"/>
          <w:color w:val="auto"/>
          <w:sz w:val="24"/>
          <w:szCs w:val="24"/>
          <w:highlight w:val="none"/>
        </w:rPr>
        <w:t>方案，内容包含但不限于：①对使用场景及AI巡检内容项的理解</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②</w:t>
      </w:r>
      <w:r>
        <w:rPr>
          <w:rFonts w:hint="eastAsia" w:ascii="宋体" w:hAnsi="宋体" w:cs="宋体"/>
          <w:color w:val="auto"/>
          <w:sz w:val="24"/>
          <w:szCs w:val="24"/>
          <w:highlight w:val="none"/>
        </w:rPr>
        <w:t>对AI巡检项与现有校园安全平台实现巡检报警功能流程的具体描述，确保实际落地后可以形成有效的业务闭环</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③</w:t>
      </w:r>
      <w:r>
        <w:rPr>
          <w:rFonts w:hint="eastAsia" w:ascii="宋体" w:hAnsi="宋体" w:cs="宋体"/>
          <w:color w:val="auto"/>
          <w:sz w:val="24"/>
          <w:szCs w:val="24"/>
          <w:highlight w:val="none"/>
        </w:rPr>
        <w:t>基于对AI巡检的理解与对安防行业的理解，提供具体的平台对接方案，方案内容包含AI巡检系统的接口项及功能描述，AI巡检系统对接平台的接口数据，报警交互内容描述等。</w:t>
      </w:r>
    </w:p>
    <w:p w14:paraId="004BDF8E">
      <w:pPr>
        <w:numPr>
          <w:ilvl w:val="0"/>
          <w:numId w:val="0"/>
        </w:numPr>
        <w:spacing w:line="48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现有的泗洪县数字化校园管理中心平台</w:t>
      </w:r>
      <w:r>
        <w:rPr>
          <w:rFonts w:hint="eastAsia" w:ascii="宋体" w:hAnsi="宋体" w:cs="宋体"/>
          <w:color w:val="auto"/>
          <w:sz w:val="24"/>
          <w:szCs w:val="24"/>
          <w:highlight w:val="none"/>
        </w:rPr>
        <w:t>，采用B/S及C/S架构，具备视频预览，录像回放，报警事件接入，智能AI算法接入等功能，支撑教育局日常基于视频监控层面，AI预警层面等业务应用。</w:t>
      </w:r>
    </w:p>
    <w:p w14:paraId="52969411">
      <w:pPr>
        <w:spacing w:line="48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网络接入</w:t>
      </w:r>
      <w:r>
        <w:rPr>
          <w:rFonts w:hint="eastAsia" w:ascii="宋体" w:hAnsi="宋体" w:cs="宋体"/>
          <w:color w:val="auto"/>
          <w:sz w:val="24"/>
          <w:szCs w:val="24"/>
          <w:highlight w:val="none"/>
        </w:rPr>
        <w:t>方案:</w:t>
      </w:r>
    </w:p>
    <w:p w14:paraId="67B3AF6A">
      <w:pPr>
        <w:spacing w:line="48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①网络设备平台接入方案</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供应商</w:t>
      </w:r>
      <w:r>
        <w:rPr>
          <w:rFonts w:hint="eastAsia" w:ascii="宋体" w:hAnsi="宋体" w:cs="宋体"/>
          <w:color w:val="auto"/>
          <w:sz w:val="24"/>
          <w:szCs w:val="24"/>
          <w:highlight w:val="none"/>
        </w:rPr>
        <w:t>提供的网络设备能够接入现有的网络资源管理平台并提供切实可行的网络设备平台接入方案。方案内容</w:t>
      </w:r>
      <w:r>
        <w:rPr>
          <w:rFonts w:hint="eastAsia" w:ascii="宋体" w:hAnsi="宋体" w:cs="宋体"/>
          <w:color w:val="auto"/>
          <w:sz w:val="24"/>
          <w:szCs w:val="24"/>
          <w:highlight w:val="none"/>
          <w:lang w:val="en-US" w:eastAsia="zh-CN"/>
        </w:rPr>
        <w:t>包括但不限于</w:t>
      </w:r>
      <w:r>
        <w:rPr>
          <w:rFonts w:hint="eastAsia" w:ascii="宋体" w:hAnsi="宋体" w:cs="宋体"/>
          <w:color w:val="auto"/>
          <w:sz w:val="24"/>
          <w:szCs w:val="24"/>
          <w:highlight w:val="none"/>
        </w:rPr>
        <w:t>网管平台兼容</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云管平台兼容</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接入配置步骤、设备信息同步规则、权限划分设置、日常运维对接流程等内容</w:t>
      </w:r>
      <w:r>
        <w:rPr>
          <w:rFonts w:hint="eastAsia" w:ascii="宋体" w:hAnsi="宋体" w:cs="宋体"/>
          <w:color w:val="auto"/>
          <w:sz w:val="24"/>
          <w:szCs w:val="24"/>
          <w:highlight w:val="none"/>
        </w:rPr>
        <w:t>。(现有网管平台1套</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云管平台1套)</w:t>
      </w:r>
    </w:p>
    <w:p w14:paraId="2F1F9E30">
      <w:pPr>
        <w:spacing w:line="480" w:lineRule="exact"/>
        <w:ind w:firstLine="480"/>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现有的网管</w:t>
      </w:r>
      <w:r>
        <w:rPr>
          <w:rFonts w:hint="default" w:ascii="宋体" w:hAnsi="宋体" w:cs="宋体"/>
          <w:color w:val="auto"/>
          <w:sz w:val="24"/>
          <w:szCs w:val="24"/>
          <w:highlight w:val="none"/>
          <w:lang w:val="en-US" w:eastAsia="zh-CN"/>
        </w:rPr>
        <w:t>平台为教育城域网本地核心网管平台，支持SNMP V1/V2C/V3、SSH、SFTP等主流管理协议，实现对城域网内的网络设备进行统一管理，对网络设备的基础信息、关键指标、接口流量进行监控采集</w:t>
      </w:r>
      <w:r>
        <w:rPr>
          <w:rFonts w:hint="eastAsia" w:ascii="宋体" w:hAnsi="宋体" w:cs="宋体"/>
          <w:color w:val="auto"/>
          <w:sz w:val="24"/>
          <w:szCs w:val="24"/>
          <w:highlight w:val="none"/>
          <w:lang w:val="en-US" w:eastAsia="zh-CN"/>
        </w:rPr>
        <w:t>。</w:t>
      </w:r>
    </w:p>
    <w:p w14:paraId="11C675FC">
      <w:pPr>
        <w:spacing w:line="480" w:lineRule="exact"/>
        <w:ind w:firstLine="480"/>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现有</w:t>
      </w:r>
      <w:r>
        <w:rPr>
          <w:rFonts w:hint="default" w:ascii="宋体" w:hAnsi="宋体" w:cs="宋体"/>
          <w:color w:val="auto"/>
          <w:sz w:val="24"/>
          <w:szCs w:val="24"/>
          <w:highlight w:val="none"/>
          <w:lang w:val="en-US" w:eastAsia="zh-CN"/>
        </w:rPr>
        <w:t>云管平台承担全网设备云端远程运维、批量管理、智能调度、异地运维等核心功能，支持DCN全系列设备自动上线、云端纳管、策略下发等。统一配置全局无线网络，对全局设备进行统一升级，用户身份统一认证，统一下发认证页面。可以根据组织结构不同建立不同管理级别，由总部管理员进行级别的划分。</w:t>
      </w:r>
    </w:p>
    <w:p w14:paraId="2309C492">
      <w:pPr>
        <w:spacing w:line="480" w:lineRule="exact"/>
        <w:ind w:firstLine="48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②汇聚交换机虚拟化集群方案</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为确保采购设备的兼容性，要求</w:t>
      </w:r>
      <w:r>
        <w:rPr>
          <w:rFonts w:hint="eastAsia" w:ascii="宋体" w:hAnsi="宋体" w:cs="宋体"/>
          <w:color w:val="auto"/>
          <w:sz w:val="24"/>
          <w:szCs w:val="24"/>
          <w:highlight w:val="none"/>
          <w:lang w:val="en-US" w:eastAsia="zh-CN"/>
        </w:rPr>
        <w:t>供应商</w:t>
      </w:r>
      <w:r>
        <w:rPr>
          <w:rFonts w:hint="eastAsia" w:ascii="宋体" w:hAnsi="宋体" w:cs="宋体"/>
          <w:color w:val="auto"/>
          <w:sz w:val="24"/>
          <w:szCs w:val="24"/>
          <w:highlight w:val="none"/>
        </w:rPr>
        <w:t>所投交换机必须能够与采购人现有的教育城域网汇聚交换机组建虚拟化集群并提供切实可行的汇聚交换机虚拟化集群方案。方案内容</w:t>
      </w:r>
      <w:r>
        <w:rPr>
          <w:rFonts w:hint="eastAsia" w:ascii="宋体" w:hAnsi="宋体" w:cs="宋体"/>
          <w:color w:val="auto"/>
          <w:sz w:val="24"/>
          <w:szCs w:val="24"/>
          <w:highlight w:val="none"/>
          <w:lang w:val="en-US" w:eastAsia="zh-CN"/>
        </w:rPr>
        <w:t>包括但不限于网络拓扑、IP地址规划、虚拟化集群配置步骤等。</w:t>
      </w:r>
    </w:p>
    <w:p w14:paraId="00959610">
      <w:pPr>
        <w:spacing w:line="480" w:lineRule="exact"/>
        <w:ind w:firstLine="480"/>
        <w:rPr>
          <w:rFonts w:hint="eastAsia" w:ascii="宋体" w:hAnsi="宋体" w:cs="宋体"/>
          <w:color w:val="auto"/>
          <w:sz w:val="24"/>
          <w:szCs w:val="24"/>
          <w:highlight w:val="none"/>
        </w:rPr>
      </w:pPr>
      <w:r>
        <w:rPr>
          <w:rFonts w:hint="default" w:ascii="宋体" w:hAnsi="宋体" w:cs="宋体"/>
          <w:color w:val="auto"/>
          <w:sz w:val="24"/>
          <w:szCs w:val="24"/>
          <w:highlight w:val="none"/>
          <w:lang w:val="en-US" w:eastAsia="zh-CN"/>
        </w:rPr>
        <w:t>当前教育城域网汇聚层部署神州数码DCRS-7604E模块化核心路由交换机，承担城域网数据转发、路由调度、区域网络汇聚核心</w:t>
      </w:r>
      <w:r>
        <w:rPr>
          <w:rFonts w:hint="eastAsia" w:ascii="宋体" w:hAnsi="宋体" w:cs="宋体"/>
          <w:color w:val="auto"/>
          <w:sz w:val="24"/>
          <w:szCs w:val="24"/>
          <w:highlight w:val="none"/>
          <w:lang w:val="en-US" w:eastAsia="zh-CN"/>
        </w:rPr>
        <w:t>功能。</w:t>
      </w:r>
    </w:p>
    <w:p w14:paraId="5B33A4E3">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采购方现有设备详细情况见附件1</w:t>
      </w:r>
      <w:r>
        <w:rPr>
          <w:rFonts w:hint="eastAsia" w:ascii="宋体" w:hAnsi="宋体" w:cs="宋体"/>
          <w:color w:val="auto"/>
          <w:sz w:val="24"/>
          <w:szCs w:val="24"/>
          <w:highlight w:val="none"/>
        </w:rPr>
        <w:t>)</w:t>
      </w:r>
    </w:p>
    <w:p w14:paraId="19763119">
      <w:pPr>
        <w:spacing w:line="480" w:lineRule="exact"/>
        <w:ind w:firstLine="482"/>
        <w:rPr>
          <w:rFonts w:ascii="宋体" w:hAnsi="宋体" w:cs="宋体"/>
          <w:b/>
          <w:color w:val="auto"/>
          <w:sz w:val="24"/>
          <w:szCs w:val="24"/>
          <w:highlight w:val="none"/>
        </w:rPr>
      </w:pPr>
      <w:r>
        <w:rPr>
          <w:rFonts w:hint="eastAsia" w:ascii="宋体" w:hAnsi="宋体" w:cs="宋体"/>
          <w:b/>
          <w:color w:val="auto"/>
          <w:sz w:val="24"/>
          <w:szCs w:val="24"/>
          <w:highlight w:val="none"/>
        </w:rPr>
        <w:t>八、售后服务要求</w:t>
      </w:r>
    </w:p>
    <w:p w14:paraId="10EFFE9A">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本项目运行维护期为三年（自验收合格之日起计算），运行维护期内所有设施设备的更换、维修均为免费（包括非故意人为损坏），监测设备费用、网络使用费用以及相关配件的维修、保养费用由中标人免费提供，所有服务产生的费用均不再收取；服务期满后，中标人保证零配件的供给，按投标文件承诺的折扣予以保障。</w:t>
      </w:r>
    </w:p>
    <w:p w14:paraId="3EBAEBF1">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2.售后服务保障不力的，采购人有权终止合同，停止支付项目相关费用。</w:t>
      </w:r>
    </w:p>
    <w:p w14:paraId="22149C55">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3.提供定期现场巡检和回访。</w:t>
      </w:r>
    </w:p>
    <w:p w14:paraId="499BE876">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4.故障及时响应。成立专门的维护服务和技术支持小组，设备运行异常时，在接到采购人通知后，须全力协助采购人，使系统尽快恢复正常。具体为：中标人必须提供7×24小时的响应服务，保证技术人员及时到场，及时解决故障或启用应急措施保证设备正常运行。</w:t>
      </w:r>
    </w:p>
    <w:p w14:paraId="10B8385C">
      <w:pPr>
        <w:spacing w:line="480" w:lineRule="exact"/>
        <w:ind w:firstLine="482"/>
        <w:rPr>
          <w:rFonts w:ascii="宋体" w:hAnsi="宋体" w:cs="宋体"/>
          <w:b/>
          <w:color w:val="auto"/>
          <w:sz w:val="24"/>
          <w:szCs w:val="24"/>
          <w:highlight w:val="none"/>
        </w:rPr>
      </w:pPr>
      <w:r>
        <w:rPr>
          <w:rFonts w:hint="eastAsia" w:ascii="宋体" w:hAnsi="宋体" w:cs="宋体"/>
          <w:b/>
          <w:color w:val="auto"/>
          <w:sz w:val="24"/>
          <w:szCs w:val="24"/>
          <w:highlight w:val="none"/>
        </w:rPr>
        <w:t>九、演示要求</w:t>
      </w:r>
    </w:p>
    <w:p w14:paraId="4630EBD1">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1.采购清单中技术要求前标有“</w:t>
      </w:r>
      <w:r>
        <w:rPr>
          <w:rFonts w:hint="eastAsia" w:ascii="宋体" w:hAnsi="宋体" w:cs="宋体"/>
          <w:b/>
          <w:bCs/>
          <w:color w:val="auto"/>
          <w:sz w:val="24"/>
          <w:szCs w:val="24"/>
          <w:highlight w:val="none"/>
        </w:rPr>
        <w:t>☆☆</w:t>
      </w:r>
      <w:r>
        <w:rPr>
          <w:rFonts w:hint="eastAsia" w:ascii="宋体" w:hAnsi="宋体" w:cs="宋体"/>
          <w:color w:val="auto"/>
          <w:sz w:val="24"/>
          <w:szCs w:val="24"/>
          <w:highlight w:val="none"/>
        </w:rPr>
        <w:t>”的技术参数（共2条），投标人需提供产品功能演示视频，投标人提交的产品演示视频（含功能演示、参数实测、操作展示等），需与实际所投产品技术参数、功能一致。</w:t>
      </w:r>
    </w:p>
    <w:p w14:paraId="7A9C7345">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2.为确保系统功能的真实可靠性，满足采购人实际业务管理要求，投标人须进行流畅预录视频演示（PPT等静态图片方式演示不得分），演示时间原则上不得超过15分钟，视频未上传或无法播放的均不得分。</w:t>
      </w:r>
    </w:p>
    <w:p w14:paraId="1F57559C">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3.采用类似于真实系统录屏演示的，视频文件的格式为*.mp4或*.avi，投标人将视频文件分段压缩为*.zip文件上传在苏采云投标文件组成—“视频演示”中，单个视频不超过50M，所有视频总共不超过300M。</w:t>
      </w:r>
    </w:p>
    <w:p w14:paraId="4ADA0F65">
      <w:pPr>
        <w:spacing w:line="480" w:lineRule="exact"/>
        <w:ind w:firstLine="482"/>
        <w:rPr>
          <w:rFonts w:ascii="宋体" w:hAnsi="宋体" w:cs="宋体"/>
          <w:b/>
          <w:color w:val="auto"/>
          <w:sz w:val="24"/>
          <w:szCs w:val="24"/>
          <w:highlight w:val="none"/>
        </w:rPr>
      </w:pPr>
      <w:r>
        <w:rPr>
          <w:rFonts w:hint="eastAsia" w:ascii="宋体" w:hAnsi="宋体" w:cs="宋体"/>
          <w:b/>
          <w:color w:val="auto"/>
          <w:sz w:val="24"/>
          <w:szCs w:val="24"/>
          <w:highlight w:val="none"/>
        </w:rPr>
        <w:t>十、报价要求</w:t>
      </w:r>
    </w:p>
    <w:p w14:paraId="483576E4">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报价内容包括：货物本身、所需设备、材料、安装、调试、维护、培训、运输、设备搬迁、施工、垃圾清扫和搬运、成品保护、检测、检验、利润、税金、政策性文件规定及本项目包含的所有风险、责任等各项应有费用。</w:t>
      </w:r>
    </w:p>
    <w:p w14:paraId="10D1C3D4">
      <w:pPr>
        <w:pStyle w:val="327"/>
        <w:spacing w:line="480" w:lineRule="exact"/>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2.供应商报价时应充分考虑所有可能影响到报价的因素，一旦招标结束最终成交，总价将包定，不予调整。如发生漏、缺、少项，都将被认为是成交供应商的报价让利行为，损失</w:t>
      </w:r>
      <w:r>
        <w:rPr>
          <w:rFonts w:hint="eastAsia" w:ascii="宋体" w:hAnsi="宋体" w:cs="宋体"/>
          <w:color w:val="auto"/>
          <w:sz w:val="24"/>
          <w:szCs w:val="24"/>
          <w:highlight w:val="none"/>
          <w:lang w:eastAsia="zh-CN"/>
        </w:rPr>
        <w:t>自负</w:t>
      </w:r>
      <w:r>
        <w:rPr>
          <w:rFonts w:hint="eastAsia" w:ascii="宋体" w:hAnsi="宋体" w:cs="宋体"/>
          <w:color w:val="auto"/>
          <w:sz w:val="24"/>
          <w:szCs w:val="24"/>
          <w:highlight w:val="none"/>
        </w:rPr>
        <w:t>。</w:t>
      </w:r>
    </w:p>
    <w:p w14:paraId="4C059B4C">
      <w:pPr>
        <w:pStyle w:val="328"/>
        <w:rPr>
          <w:rFonts w:ascii="宋体" w:hAnsi="宋体" w:cs="宋体"/>
          <w:color w:val="auto"/>
          <w:sz w:val="24"/>
          <w:szCs w:val="24"/>
          <w:highlight w:val="none"/>
        </w:rPr>
      </w:pPr>
    </w:p>
    <w:p w14:paraId="533451C3">
      <w:pPr>
        <w:pStyle w:val="327"/>
        <w:rPr>
          <w:rFonts w:ascii="宋体" w:hAnsi="宋体" w:cs="宋体"/>
          <w:color w:val="auto"/>
          <w:sz w:val="24"/>
          <w:szCs w:val="24"/>
          <w:highlight w:val="none"/>
        </w:rPr>
      </w:pPr>
    </w:p>
    <w:p w14:paraId="2E95AF26">
      <w:pPr>
        <w:pStyle w:val="328"/>
        <w:rPr>
          <w:rFonts w:ascii="宋体" w:hAnsi="宋体" w:cs="宋体"/>
          <w:color w:val="auto"/>
          <w:sz w:val="24"/>
          <w:szCs w:val="24"/>
          <w:highlight w:val="none"/>
        </w:rPr>
      </w:pPr>
    </w:p>
    <w:p w14:paraId="67A22FF0">
      <w:pPr>
        <w:pStyle w:val="327"/>
        <w:rPr>
          <w:color w:val="auto"/>
          <w:highlight w:val="none"/>
        </w:rPr>
      </w:pPr>
    </w:p>
    <w:p w14:paraId="3217FE9B">
      <w:pPr>
        <w:spacing w:line="360" w:lineRule="auto"/>
        <w:ind w:firstLine="480"/>
        <w:rPr>
          <w:rFonts w:ascii="Times New Roman" w:hAnsi="Times New Roman"/>
          <w:color w:val="auto"/>
          <w:sz w:val="24"/>
          <w:highlight w:val="none"/>
        </w:rPr>
      </w:pPr>
    </w:p>
    <w:p w14:paraId="61300FD7">
      <w:pPr>
        <w:pStyle w:val="66"/>
        <w:spacing w:before="200"/>
        <w:jc w:val="center"/>
        <w:rPr>
          <w:rFonts w:ascii="Calibri" w:hAnsi="Calibri" w:eastAsia="宋体" w:cs="Times New Roman"/>
          <w:b/>
          <w:color w:val="auto"/>
          <w:sz w:val="44"/>
          <w:szCs w:val="44"/>
          <w:highlight w:val="none"/>
        </w:rPr>
      </w:pPr>
      <w:bookmarkStart w:id="121" w:name="_Toc22098"/>
      <w:bookmarkStart w:id="122" w:name="_Toc81575206"/>
      <w:bookmarkStart w:id="123" w:name="_Toc2513"/>
      <w:bookmarkStart w:id="124" w:name="_Toc31499"/>
      <w:bookmarkStart w:id="125" w:name="_Toc81575169"/>
      <w:r>
        <w:rPr>
          <w:rFonts w:hint="eastAsia" w:ascii="Calibri" w:hAnsi="Calibri" w:eastAsia="宋体" w:cs="Times New Roman"/>
          <w:b/>
          <w:color w:val="auto"/>
          <w:sz w:val="44"/>
          <w:szCs w:val="44"/>
          <w:highlight w:val="none"/>
        </w:rPr>
        <w:t>第五章</w:t>
      </w:r>
      <w:r>
        <w:rPr>
          <w:rFonts w:ascii="Calibri" w:hAnsi="Calibri" w:eastAsia="宋体" w:cs="Times New Roman"/>
          <w:b/>
          <w:color w:val="auto"/>
          <w:sz w:val="44"/>
          <w:szCs w:val="44"/>
          <w:highlight w:val="none"/>
        </w:rPr>
        <w:t xml:space="preserve">  </w:t>
      </w:r>
      <w:r>
        <w:rPr>
          <w:rFonts w:hint="eastAsia" w:ascii="Calibri" w:hAnsi="Calibri" w:eastAsia="宋体" w:cs="Times New Roman"/>
          <w:b/>
          <w:color w:val="auto"/>
          <w:sz w:val="44"/>
          <w:szCs w:val="44"/>
          <w:highlight w:val="none"/>
        </w:rPr>
        <w:t>合同文本</w:t>
      </w:r>
      <w:bookmarkEnd w:id="121"/>
      <w:bookmarkEnd w:id="122"/>
      <w:bookmarkEnd w:id="123"/>
      <w:bookmarkEnd w:id="124"/>
      <w:bookmarkEnd w:id="125"/>
      <w:bookmarkStart w:id="126" w:name="_Toc16938559"/>
      <w:bookmarkStart w:id="127" w:name="_Toc20823315"/>
      <w:bookmarkStart w:id="128" w:name="_Toc513029243"/>
    </w:p>
    <w:p w14:paraId="0E547D3F">
      <w:pPr>
        <w:spacing w:line="400" w:lineRule="exact"/>
        <w:rPr>
          <w:rFonts w:ascii="宋体" w:hAnsi="宋体"/>
          <w:bCs/>
          <w:color w:val="auto"/>
          <w:sz w:val="24"/>
          <w:szCs w:val="24"/>
          <w:highlight w:val="none"/>
        </w:rPr>
      </w:pPr>
    </w:p>
    <w:p w14:paraId="76E2BD72">
      <w:pPr>
        <w:spacing w:line="500" w:lineRule="exact"/>
        <w:rPr>
          <w:rFonts w:ascii="宋体" w:hAnsi="宋体"/>
          <w:bCs/>
          <w:color w:val="auto"/>
          <w:sz w:val="24"/>
          <w:szCs w:val="24"/>
          <w:highlight w:val="none"/>
        </w:rPr>
      </w:pPr>
    </w:p>
    <w:p w14:paraId="2DD75F04">
      <w:pPr>
        <w:pStyle w:val="104"/>
        <w:jc w:val="center"/>
        <w:rPr>
          <w:rFonts w:ascii="宋体" w:hAnsi="宋体" w:eastAsia="宋体" w:cs="宋体"/>
          <w:b/>
          <w:bCs/>
          <w:color w:val="auto"/>
          <w:spacing w:val="-20"/>
          <w:highlight w:val="none"/>
          <w:lang w:eastAsia="zh-CN"/>
        </w:rPr>
      </w:pPr>
    </w:p>
    <w:p w14:paraId="5AA2149F">
      <w:pPr>
        <w:pStyle w:val="104"/>
        <w:jc w:val="center"/>
        <w:rPr>
          <w:rFonts w:ascii="宋体" w:hAnsi="宋体" w:eastAsia="宋体" w:cs="宋体"/>
          <w:b/>
          <w:bCs/>
          <w:color w:val="auto"/>
          <w:spacing w:val="-20"/>
          <w:highlight w:val="none"/>
          <w:lang w:eastAsia="zh-CN"/>
        </w:rPr>
      </w:pPr>
      <w:bookmarkStart w:id="129" w:name="_Hlk187856708"/>
    </w:p>
    <w:p w14:paraId="37F6E282">
      <w:pPr>
        <w:pStyle w:val="104"/>
        <w:jc w:val="center"/>
        <w:rPr>
          <w:rFonts w:ascii="宋体" w:hAnsi="宋体" w:eastAsia="宋体" w:cs="宋体"/>
          <w:b/>
          <w:bCs/>
          <w:color w:val="auto"/>
          <w:spacing w:val="-20"/>
          <w:highlight w:val="none"/>
          <w:lang w:eastAsia="zh-CN"/>
        </w:rPr>
      </w:pPr>
      <w:r>
        <w:rPr>
          <w:rFonts w:hint="eastAsia" w:ascii="宋体" w:hAnsi="宋体" w:eastAsia="宋体" w:cs="宋体"/>
          <w:b/>
          <w:bCs/>
          <w:color w:val="auto"/>
          <w:spacing w:val="-20"/>
          <w:highlight w:val="none"/>
          <w:lang w:eastAsia="zh-CN"/>
        </w:rPr>
        <w:t>财政部 政府采购货物买卖合同（试行）</w:t>
      </w:r>
    </w:p>
    <w:p w14:paraId="7F561EF5">
      <w:pPr>
        <w:pStyle w:val="104"/>
        <w:jc w:val="center"/>
        <w:rPr>
          <w:rFonts w:ascii="宋体" w:hAnsi="宋体" w:eastAsia="宋体" w:cs="宋体"/>
          <w:b/>
          <w:bCs/>
          <w:color w:val="auto"/>
          <w:spacing w:val="-20"/>
          <w:highlight w:val="none"/>
          <w:lang w:eastAsia="zh-CN"/>
        </w:rPr>
      </w:pPr>
      <w:r>
        <w:rPr>
          <w:rFonts w:hint="eastAsia" w:ascii="宋体" w:hAnsi="宋体" w:eastAsia="宋体" w:cs="宋体"/>
          <w:b/>
          <w:bCs/>
          <w:color w:val="auto"/>
          <w:spacing w:val="-20"/>
          <w:highlight w:val="none"/>
          <w:lang w:eastAsia="zh-CN"/>
        </w:rPr>
        <w:t>范    本</w:t>
      </w:r>
    </w:p>
    <w:p w14:paraId="57CBD681">
      <w:pPr>
        <w:rPr>
          <w:rFonts w:ascii="宋体" w:hAnsi="宋体" w:cs="宋体"/>
          <w:b/>
          <w:bCs/>
          <w:color w:val="auto"/>
          <w:spacing w:val="-20"/>
          <w:sz w:val="40"/>
          <w:szCs w:val="40"/>
          <w:highlight w:val="none"/>
        </w:rPr>
      </w:pPr>
    </w:p>
    <w:p w14:paraId="58374F7B">
      <w:pPr>
        <w:rPr>
          <w:rFonts w:ascii="宋体" w:hAnsi="宋体" w:cs="宋体"/>
          <w:b/>
          <w:bCs/>
          <w:color w:val="auto"/>
          <w:spacing w:val="-20"/>
          <w:sz w:val="40"/>
          <w:szCs w:val="40"/>
          <w:highlight w:val="none"/>
        </w:rPr>
      </w:pPr>
    </w:p>
    <w:p w14:paraId="2EA2AA46">
      <w:pPr>
        <w:rPr>
          <w:rFonts w:ascii="宋体" w:hAnsi="宋体" w:cs="宋体"/>
          <w:b/>
          <w:bCs/>
          <w:color w:val="auto"/>
          <w:spacing w:val="-20"/>
          <w:sz w:val="40"/>
          <w:szCs w:val="40"/>
          <w:highlight w:val="none"/>
        </w:rPr>
      </w:pPr>
    </w:p>
    <w:p w14:paraId="33A2008C">
      <w:pPr>
        <w:spacing w:line="360" w:lineRule="auto"/>
        <w:ind w:left="420"/>
        <w:rPr>
          <w:color w:val="auto"/>
          <w:sz w:val="28"/>
          <w:szCs w:val="28"/>
          <w:highlight w:val="none"/>
        </w:rPr>
      </w:pPr>
      <w:r>
        <w:rPr>
          <w:rFonts w:hint="eastAsia" w:ascii="宋体" w:hAnsi="宋体" w:cs="宋体"/>
          <w:color w:val="auto"/>
          <w:sz w:val="28"/>
          <w:szCs w:val="28"/>
          <w:highlight w:val="none"/>
        </w:rPr>
        <w:t>项目名称：</w:t>
      </w:r>
      <w:r>
        <w:rPr>
          <w:rFonts w:hint="eastAsia"/>
          <w:color w:val="auto"/>
          <w:sz w:val="28"/>
          <w:szCs w:val="28"/>
          <w:highlight w:val="none"/>
          <w:u w:val="single"/>
        </w:rPr>
        <w:t xml:space="preserve">                             </w:t>
      </w:r>
    </w:p>
    <w:p w14:paraId="3136D7E5">
      <w:pPr>
        <w:spacing w:line="360" w:lineRule="auto"/>
        <w:ind w:left="420"/>
        <w:rPr>
          <w:color w:val="auto"/>
          <w:sz w:val="28"/>
          <w:szCs w:val="28"/>
          <w:highlight w:val="none"/>
          <w:u w:val="single"/>
        </w:rPr>
      </w:pPr>
      <w:r>
        <w:rPr>
          <w:rFonts w:hint="eastAsia"/>
          <w:color w:val="auto"/>
          <w:sz w:val="28"/>
          <w:szCs w:val="28"/>
          <w:highlight w:val="none"/>
        </w:rPr>
        <w:t>合同编号：</w:t>
      </w:r>
      <w:r>
        <w:rPr>
          <w:rFonts w:hint="eastAsia"/>
          <w:color w:val="auto"/>
          <w:sz w:val="28"/>
          <w:szCs w:val="28"/>
          <w:highlight w:val="none"/>
          <w:u w:val="single"/>
        </w:rPr>
        <w:t xml:space="preserve">                             </w:t>
      </w:r>
    </w:p>
    <w:p w14:paraId="1F3562F4">
      <w:pPr>
        <w:spacing w:line="360" w:lineRule="auto"/>
        <w:ind w:left="420"/>
        <w:rPr>
          <w:color w:val="auto"/>
          <w:sz w:val="28"/>
          <w:szCs w:val="28"/>
          <w:highlight w:val="none"/>
        </w:rPr>
      </w:pPr>
      <w:r>
        <w:rPr>
          <w:rFonts w:hint="eastAsia"/>
          <w:color w:val="auto"/>
          <w:sz w:val="28"/>
          <w:szCs w:val="28"/>
          <w:highlight w:val="none"/>
        </w:rPr>
        <w:t>甲    方：</w:t>
      </w:r>
      <w:r>
        <w:rPr>
          <w:rFonts w:hint="eastAsia"/>
          <w:color w:val="auto"/>
          <w:sz w:val="28"/>
          <w:szCs w:val="28"/>
          <w:highlight w:val="none"/>
          <w:u w:val="single"/>
        </w:rPr>
        <w:t xml:space="preserve">                             </w:t>
      </w:r>
    </w:p>
    <w:p w14:paraId="6C1D0C99">
      <w:pPr>
        <w:spacing w:line="360" w:lineRule="auto"/>
        <w:ind w:left="420"/>
        <w:rPr>
          <w:color w:val="auto"/>
          <w:sz w:val="28"/>
          <w:szCs w:val="28"/>
          <w:highlight w:val="none"/>
          <w:u w:val="single"/>
        </w:rPr>
      </w:pPr>
      <w:r>
        <w:rPr>
          <w:rFonts w:hint="eastAsia"/>
          <w:color w:val="auto"/>
          <w:sz w:val="28"/>
          <w:szCs w:val="28"/>
          <w:highlight w:val="none"/>
        </w:rPr>
        <w:t>乙    方：</w:t>
      </w:r>
      <w:r>
        <w:rPr>
          <w:rFonts w:hint="eastAsia"/>
          <w:color w:val="auto"/>
          <w:sz w:val="28"/>
          <w:szCs w:val="28"/>
          <w:highlight w:val="none"/>
          <w:u w:val="single"/>
        </w:rPr>
        <w:t xml:space="preserve">                             </w:t>
      </w:r>
    </w:p>
    <w:p w14:paraId="74FD7DD1">
      <w:pPr>
        <w:spacing w:line="360" w:lineRule="auto"/>
        <w:ind w:left="420"/>
        <w:rPr>
          <w:color w:val="auto"/>
          <w:sz w:val="28"/>
          <w:szCs w:val="28"/>
          <w:highlight w:val="none"/>
        </w:rPr>
      </w:pPr>
      <w:r>
        <w:rPr>
          <w:rFonts w:hint="eastAsia"/>
          <w:color w:val="auto"/>
          <w:sz w:val="28"/>
          <w:szCs w:val="28"/>
          <w:highlight w:val="none"/>
        </w:rPr>
        <w:t>签订时间：</w:t>
      </w:r>
      <w:r>
        <w:rPr>
          <w:rFonts w:hint="eastAsia"/>
          <w:color w:val="auto"/>
          <w:sz w:val="28"/>
          <w:szCs w:val="28"/>
          <w:highlight w:val="none"/>
          <w:u w:val="single"/>
        </w:rPr>
        <w:t xml:space="preserve">      </w:t>
      </w:r>
      <w:r>
        <w:rPr>
          <w:color w:val="auto"/>
          <w:sz w:val="28"/>
          <w:szCs w:val="28"/>
          <w:highlight w:val="none"/>
          <w:u w:val="single"/>
        </w:rPr>
        <w:t xml:space="preserve">           </w:t>
      </w:r>
      <w:r>
        <w:rPr>
          <w:rFonts w:hint="eastAsia"/>
          <w:color w:val="auto"/>
          <w:sz w:val="28"/>
          <w:szCs w:val="28"/>
          <w:highlight w:val="none"/>
          <w:u w:val="single"/>
        </w:rPr>
        <w:t xml:space="preserve">            </w:t>
      </w:r>
      <w:bookmarkEnd w:id="129"/>
    </w:p>
    <w:p w14:paraId="1EC5B53B">
      <w:pPr>
        <w:rPr>
          <w:color w:val="auto"/>
          <w:highlight w:val="none"/>
        </w:rPr>
      </w:pPr>
    </w:p>
    <w:p w14:paraId="087BC5FD">
      <w:pPr>
        <w:rPr>
          <w:rFonts w:eastAsia="黑体"/>
          <w:color w:val="auto"/>
          <w:sz w:val="44"/>
          <w:szCs w:val="44"/>
          <w:highlight w:val="none"/>
        </w:rPr>
      </w:pPr>
    </w:p>
    <w:p w14:paraId="1AF3B06D">
      <w:pPr>
        <w:rPr>
          <w:rFonts w:eastAsia="黑体"/>
          <w:color w:val="auto"/>
          <w:sz w:val="44"/>
          <w:szCs w:val="44"/>
          <w:highlight w:val="none"/>
        </w:rPr>
      </w:pPr>
    </w:p>
    <w:p w14:paraId="015727F2">
      <w:pPr>
        <w:rPr>
          <w:rFonts w:eastAsia="黑体"/>
          <w:color w:val="auto"/>
          <w:sz w:val="44"/>
          <w:szCs w:val="44"/>
          <w:highlight w:val="none"/>
        </w:rPr>
      </w:pPr>
    </w:p>
    <w:p w14:paraId="6A22AD89">
      <w:pPr>
        <w:rPr>
          <w:rFonts w:eastAsia="黑体"/>
          <w:color w:val="auto"/>
          <w:sz w:val="44"/>
          <w:szCs w:val="44"/>
          <w:highlight w:val="none"/>
        </w:rPr>
      </w:pPr>
    </w:p>
    <w:p w14:paraId="14DBDB02">
      <w:pPr>
        <w:rPr>
          <w:rFonts w:eastAsia="黑体"/>
          <w:color w:val="auto"/>
          <w:sz w:val="44"/>
          <w:szCs w:val="44"/>
          <w:highlight w:val="none"/>
        </w:rPr>
      </w:pPr>
    </w:p>
    <w:p w14:paraId="245E53C9">
      <w:pPr>
        <w:jc w:val="center"/>
        <w:rPr>
          <w:rFonts w:ascii="宋体" w:hAnsi="宋体"/>
          <w:color w:val="auto"/>
          <w:sz w:val="32"/>
          <w:szCs w:val="32"/>
          <w:highlight w:val="none"/>
        </w:rPr>
      </w:pPr>
    </w:p>
    <w:p w14:paraId="518A546B">
      <w:pPr>
        <w:jc w:val="center"/>
        <w:rPr>
          <w:rFonts w:ascii="宋体" w:hAnsi="宋体"/>
          <w:color w:val="auto"/>
          <w:sz w:val="32"/>
          <w:szCs w:val="32"/>
          <w:highlight w:val="none"/>
        </w:rPr>
      </w:pPr>
      <w:r>
        <w:rPr>
          <w:rFonts w:hint="eastAsia" w:ascii="宋体" w:hAnsi="宋体"/>
          <w:color w:val="auto"/>
          <w:sz w:val="32"/>
          <w:szCs w:val="32"/>
          <w:highlight w:val="none"/>
        </w:rPr>
        <w:t>使 用 说 明</w:t>
      </w:r>
    </w:p>
    <w:p w14:paraId="648EFAA7">
      <w:pPr>
        <w:ind w:firstLine="640"/>
        <w:rPr>
          <w:rFonts w:ascii="仿宋_GB2312" w:hAnsi="仿宋_GB2312" w:eastAsia="仿宋_GB2312" w:cs="仿宋_GB2312"/>
          <w:color w:val="auto"/>
          <w:sz w:val="32"/>
          <w:szCs w:val="32"/>
          <w:highlight w:val="none"/>
        </w:rPr>
      </w:pPr>
    </w:p>
    <w:p w14:paraId="04F6CDBC">
      <w:pPr>
        <w:spacing w:line="480" w:lineRule="exact"/>
        <w:ind w:firstLine="560"/>
        <w:rPr>
          <w:rFonts w:ascii="Times New Roman" w:hAnsi="Times New Roman"/>
          <w:color w:val="auto"/>
          <w:sz w:val="28"/>
          <w:szCs w:val="28"/>
          <w:highlight w:val="none"/>
        </w:rPr>
      </w:pPr>
      <w:r>
        <w:rPr>
          <w:rFonts w:ascii="Times New Roman" w:hAnsi="Times New Roman"/>
          <w:color w:val="auto"/>
          <w:sz w:val="28"/>
          <w:szCs w:val="28"/>
          <w:highlight w:val="none"/>
        </w:rPr>
        <w:t>1.本合同标准文本适用于购买现成货物的采购项目，不包括需要供应商定制开发、创新研发的货物采购项目。</w:t>
      </w:r>
    </w:p>
    <w:p w14:paraId="659FE2E2">
      <w:pPr>
        <w:spacing w:line="480" w:lineRule="exact"/>
        <w:rPr>
          <w:rFonts w:ascii="Times New Roman" w:hAnsi="Times New Roman"/>
          <w:color w:val="auto"/>
          <w:sz w:val="28"/>
          <w:szCs w:val="28"/>
          <w:highlight w:val="none"/>
        </w:rPr>
      </w:pPr>
      <w:r>
        <w:rPr>
          <w:rFonts w:ascii="Times New Roman" w:hAnsi="Times New Roman"/>
          <w:color w:val="auto"/>
          <w:sz w:val="28"/>
          <w:szCs w:val="28"/>
          <w:highlight w:val="none"/>
        </w:rPr>
        <w:t xml:space="preserve">    2.本合同标准文本为政府采购货物买卖合同编制提供参考，可以结合采购项目具体情况，对文本作必要的调整修订后使用。</w:t>
      </w:r>
    </w:p>
    <w:p w14:paraId="49A48278">
      <w:pPr>
        <w:spacing w:line="480" w:lineRule="exact"/>
        <w:ind w:firstLine="560"/>
        <w:rPr>
          <w:rFonts w:ascii="Times New Roman" w:hAnsi="Times New Roman"/>
          <w:color w:val="auto"/>
          <w:sz w:val="28"/>
          <w:szCs w:val="28"/>
          <w:highlight w:val="none"/>
        </w:rPr>
      </w:pPr>
      <w:r>
        <w:rPr>
          <w:rFonts w:ascii="Times New Roman" w:hAnsi="Times New Roman"/>
          <w:color w:val="auto"/>
          <w:sz w:val="28"/>
          <w:szCs w:val="28"/>
          <w:highlight w:val="none"/>
        </w:rPr>
        <w:t>3.本合同标准文本各条款中，如涉及填写多家供应商、制造商，多种采购标的、分包主要内容等信息的，可根据采购项目具体情况添加信息项。</w:t>
      </w:r>
    </w:p>
    <w:p w14:paraId="30AECD88">
      <w:pPr>
        <w:ind w:firstLine="560"/>
        <w:rPr>
          <w:rFonts w:ascii="Times New Roman" w:hAnsi="Times New Roman"/>
          <w:color w:val="auto"/>
          <w:sz w:val="28"/>
          <w:szCs w:val="28"/>
          <w:highlight w:val="none"/>
        </w:rPr>
      </w:pPr>
    </w:p>
    <w:p w14:paraId="0D72ADF4">
      <w:pPr>
        <w:ind w:firstLine="560"/>
        <w:rPr>
          <w:rFonts w:ascii="宋体" w:hAnsi="宋体" w:cs="仿宋_GB2312"/>
          <w:color w:val="auto"/>
          <w:sz w:val="28"/>
          <w:szCs w:val="28"/>
          <w:highlight w:val="none"/>
        </w:rPr>
      </w:pPr>
    </w:p>
    <w:p w14:paraId="7E9F8B8C">
      <w:pPr>
        <w:ind w:firstLine="560"/>
        <w:rPr>
          <w:rFonts w:ascii="宋体" w:hAnsi="宋体" w:cs="仿宋_GB2312"/>
          <w:color w:val="auto"/>
          <w:sz w:val="28"/>
          <w:szCs w:val="28"/>
          <w:highlight w:val="none"/>
        </w:rPr>
      </w:pPr>
    </w:p>
    <w:p w14:paraId="77B9A54B">
      <w:pPr>
        <w:ind w:firstLine="560"/>
        <w:rPr>
          <w:rFonts w:ascii="宋体" w:hAnsi="宋体" w:cs="仿宋_GB2312"/>
          <w:color w:val="auto"/>
          <w:sz w:val="28"/>
          <w:szCs w:val="28"/>
          <w:highlight w:val="none"/>
        </w:rPr>
      </w:pPr>
    </w:p>
    <w:p w14:paraId="7E9D9CD4">
      <w:pPr>
        <w:ind w:firstLine="560"/>
        <w:rPr>
          <w:rFonts w:ascii="宋体" w:hAnsi="宋体" w:cs="仿宋_GB2312"/>
          <w:color w:val="auto"/>
          <w:sz w:val="28"/>
          <w:szCs w:val="28"/>
          <w:highlight w:val="none"/>
        </w:rPr>
      </w:pPr>
    </w:p>
    <w:p w14:paraId="048DF80A">
      <w:pPr>
        <w:ind w:firstLine="560"/>
        <w:rPr>
          <w:rFonts w:ascii="宋体" w:hAnsi="宋体" w:cs="仿宋_GB2312"/>
          <w:color w:val="auto"/>
          <w:sz w:val="28"/>
          <w:szCs w:val="28"/>
          <w:highlight w:val="none"/>
        </w:rPr>
      </w:pPr>
    </w:p>
    <w:p w14:paraId="054ACC9E">
      <w:pPr>
        <w:ind w:firstLine="560"/>
        <w:rPr>
          <w:rFonts w:ascii="宋体" w:hAnsi="宋体" w:cs="仿宋_GB2312"/>
          <w:color w:val="auto"/>
          <w:sz w:val="28"/>
          <w:szCs w:val="28"/>
          <w:highlight w:val="none"/>
        </w:rPr>
      </w:pPr>
    </w:p>
    <w:p w14:paraId="7E22D348">
      <w:pPr>
        <w:ind w:firstLine="560"/>
        <w:rPr>
          <w:rFonts w:ascii="宋体" w:hAnsi="宋体" w:cs="仿宋_GB2312"/>
          <w:color w:val="auto"/>
          <w:sz w:val="28"/>
          <w:szCs w:val="28"/>
          <w:highlight w:val="none"/>
        </w:rPr>
      </w:pPr>
    </w:p>
    <w:p w14:paraId="4C85C666">
      <w:pPr>
        <w:ind w:firstLine="560"/>
        <w:rPr>
          <w:rFonts w:ascii="宋体" w:hAnsi="宋体" w:cs="仿宋_GB2312"/>
          <w:color w:val="auto"/>
          <w:sz w:val="28"/>
          <w:szCs w:val="28"/>
          <w:highlight w:val="none"/>
        </w:rPr>
      </w:pPr>
    </w:p>
    <w:p w14:paraId="113F5F1B">
      <w:pPr>
        <w:ind w:firstLine="560"/>
        <w:rPr>
          <w:rFonts w:ascii="宋体" w:hAnsi="宋体" w:cs="仿宋_GB2312"/>
          <w:color w:val="auto"/>
          <w:sz w:val="28"/>
          <w:szCs w:val="28"/>
          <w:highlight w:val="none"/>
        </w:rPr>
      </w:pPr>
    </w:p>
    <w:p w14:paraId="3D79BB3E">
      <w:pPr>
        <w:ind w:firstLine="560"/>
        <w:rPr>
          <w:rFonts w:ascii="宋体" w:hAnsi="宋体" w:cs="仿宋_GB2312"/>
          <w:color w:val="auto"/>
          <w:sz w:val="28"/>
          <w:szCs w:val="28"/>
          <w:highlight w:val="none"/>
        </w:rPr>
      </w:pPr>
    </w:p>
    <w:p w14:paraId="35A78B3A">
      <w:pPr>
        <w:ind w:firstLine="560"/>
        <w:rPr>
          <w:rFonts w:ascii="宋体" w:hAnsi="宋体" w:cs="仿宋_GB2312"/>
          <w:color w:val="auto"/>
          <w:sz w:val="28"/>
          <w:szCs w:val="28"/>
          <w:highlight w:val="none"/>
        </w:rPr>
      </w:pPr>
    </w:p>
    <w:p w14:paraId="3D2240ED">
      <w:pPr>
        <w:ind w:firstLine="560"/>
        <w:rPr>
          <w:rFonts w:ascii="宋体" w:hAnsi="宋体" w:cs="仿宋_GB2312"/>
          <w:color w:val="auto"/>
          <w:sz w:val="28"/>
          <w:szCs w:val="28"/>
          <w:highlight w:val="none"/>
        </w:rPr>
      </w:pPr>
    </w:p>
    <w:p w14:paraId="4B238023">
      <w:pPr>
        <w:ind w:firstLine="560"/>
        <w:rPr>
          <w:rFonts w:ascii="宋体" w:hAnsi="宋体" w:cs="仿宋_GB2312"/>
          <w:color w:val="auto"/>
          <w:sz w:val="28"/>
          <w:szCs w:val="28"/>
          <w:highlight w:val="none"/>
        </w:rPr>
      </w:pPr>
    </w:p>
    <w:p w14:paraId="6323173B">
      <w:pPr>
        <w:ind w:firstLine="560"/>
        <w:rPr>
          <w:rFonts w:ascii="宋体" w:hAnsi="宋体" w:cs="仿宋_GB2312"/>
          <w:color w:val="auto"/>
          <w:sz w:val="28"/>
          <w:szCs w:val="28"/>
          <w:highlight w:val="none"/>
        </w:rPr>
      </w:pPr>
    </w:p>
    <w:p w14:paraId="6A0F2DC4">
      <w:pPr>
        <w:ind w:firstLine="560"/>
        <w:rPr>
          <w:rFonts w:ascii="宋体" w:hAnsi="宋体" w:cs="仿宋_GB2312"/>
          <w:color w:val="auto"/>
          <w:sz w:val="28"/>
          <w:szCs w:val="28"/>
          <w:highlight w:val="none"/>
        </w:rPr>
      </w:pPr>
    </w:p>
    <w:p w14:paraId="04DEB93B">
      <w:pPr>
        <w:rPr>
          <w:rFonts w:ascii="黑体" w:hAnsi="黑体"/>
          <w:b/>
          <w:color w:val="auto"/>
          <w:sz w:val="28"/>
          <w:szCs w:val="28"/>
          <w:highlight w:val="none"/>
        </w:rPr>
      </w:pPr>
    </w:p>
    <w:p w14:paraId="4755691B">
      <w:pPr>
        <w:pStyle w:val="67"/>
        <w:spacing w:line="400" w:lineRule="exact"/>
        <w:jc w:val="center"/>
        <w:rPr>
          <w:rFonts w:ascii="黑体" w:hAnsi="华文中宋"/>
          <w:b w:val="0"/>
          <w:color w:val="auto"/>
          <w:szCs w:val="32"/>
          <w:highlight w:val="none"/>
        </w:rPr>
      </w:pPr>
      <w:r>
        <w:rPr>
          <w:rFonts w:hint="eastAsia" w:ascii="黑体" w:hAnsi="黑体"/>
          <w:b w:val="0"/>
          <w:color w:val="auto"/>
          <w:szCs w:val="32"/>
          <w:highlight w:val="none"/>
        </w:rPr>
        <w:t xml:space="preserve">第一节 </w:t>
      </w:r>
      <w:r>
        <w:rPr>
          <w:rFonts w:hint="eastAsia" w:ascii="黑体" w:hAnsi="华文中宋"/>
          <w:b w:val="0"/>
          <w:color w:val="auto"/>
          <w:szCs w:val="32"/>
          <w:highlight w:val="none"/>
        </w:rPr>
        <w:t>政府采购合同协议书</w:t>
      </w:r>
    </w:p>
    <w:p w14:paraId="21BF1CC5">
      <w:pPr>
        <w:spacing w:line="400" w:lineRule="exact"/>
        <w:ind w:firstLine="480"/>
        <w:rPr>
          <w:rFonts w:ascii="宋体" w:hAnsi="宋体"/>
          <w:color w:val="auto"/>
          <w:sz w:val="24"/>
          <w:szCs w:val="24"/>
          <w:highlight w:val="none"/>
        </w:rPr>
      </w:pPr>
      <w:r>
        <w:rPr>
          <w:rFonts w:hint="eastAsia" w:ascii="宋体" w:hAnsi="宋体"/>
          <w:color w:val="auto"/>
          <w:sz w:val="24"/>
          <w:szCs w:val="24"/>
          <w:highlight w:val="none"/>
        </w:rPr>
        <w:t>甲方（全称）：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（采购人、受采购人委托签订合同的单位或采购文件约定的合同甲方）</w:t>
      </w:r>
    </w:p>
    <w:p w14:paraId="68E7711F">
      <w:pPr>
        <w:spacing w:line="400" w:lineRule="exact"/>
        <w:ind w:firstLine="480"/>
        <w:rPr>
          <w:rFonts w:ascii="宋体" w:hAnsi="宋体"/>
          <w:color w:val="auto"/>
          <w:sz w:val="24"/>
          <w:szCs w:val="24"/>
          <w:highlight w:val="none"/>
        </w:rPr>
      </w:pPr>
      <w:r>
        <w:rPr>
          <w:rFonts w:hint="eastAsia" w:ascii="宋体" w:hAnsi="宋体"/>
          <w:color w:val="auto"/>
          <w:sz w:val="24"/>
          <w:szCs w:val="24"/>
          <w:highlight w:val="none"/>
        </w:rPr>
        <w:t>乙方（全称）：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（供应商）</w:t>
      </w:r>
    </w:p>
    <w:p w14:paraId="5A91A8A1">
      <w:pPr>
        <w:spacing w:line="400" w:lineRule="exact"/>
        <w:ind w:firstLine="480"/>
        <w:rPr>
          <w:rFonts w:ascii="宋体" w:hAnsi="宋体"/>
          <w:color w:val="auto"/>
          <w:sz w:val="24"/>
          <w:szCs w:val="24"/>
          <w:highlight w:val="none"/>
        </w:rPr>
      </w:pPr>
    </w:p>
    <w:p w14:paraId="7C80A490">
      <w:pPr>
        <w:spacing w:line="400" w:lineRule="exact"/>
        <w:ind w:firstLine="480"/>
        <w:rPr>
          <w:rFonts w:ascii="宋体" w:hAnsi="宋体"/>
          <w:color w:val="auto"/>
          <w:sz w:val="24"/>
          <w:szCs w:val="24"/>
          <w:highlight w:val="none"/>
        </w:rPr>
      </w:pPr>
      <w:bookmarkStart w:id="130" w:name="_Hlk187832913"/>
      <w:r>
        <w:rPr>
          <w:rFonts w:hint="eastAsia" w:ascii="宋体" w:hAnsi="宋体"/>
          <w:color w:val="auto"/>
          <w:sz w:val="24"/>
          <w:szCs w:val="24"/>
          <w:highlight w:val="none"/>
        </w:rPr>
        <w:t xml:space="preserve">依据《中华人民共和国民法典》、《中华人民共和国政府采购法》等有关的法律法规，以及本采购项目采购文件、乙方的《投标文件》及《中标通知书》，甲乙双方同意签订本合同。具体情况及要求如下： </w:t>
      </w:r>
      <w:bookmarkEnd w:id="130"/>
    </w:p>
    <w:p w14:paraId="73E6BD84">
      <w:pPr>
        <w:spacing w:line="400" w:lineRule="exact"/>
        <w:ind w:firstLine="482"/>
        <w:rPr>
          <w:rFonts w:ascii="宋体" w:hAnsi="宋体"/>
          <w:b/>
          <w:bCs/>
          <w:color w:val="auto"/>
          <w:sz w:val="24"/>
          <w:szCs w:val="24"/>
          <w:highlight w:val="none"/>
        </w:rPr>
      </w:pPr>
      <w:r>
        <w:rPr>
          <w:rFonts w:hint="eastAsia" w:ascii="宋体" w:hAnsi="宋体"/>
          <w:b/>
          <w:bCs/>
          <w:color w:val="auto"/>
          <w:sz w:val="24"/>
          <w:szCs w:val="24"/>
          <w:highlight w:val="none"/>
        </w:rPr>
        <w:t>1.项目信息</w:t>
      </w:r>
    </w:p>
    <w:p w14:paraId="06E0C8E2">
      <w:pPr>
        <w:spacing w:line="400" w:lineRule="exact"/>
        <w:ind w:firstLine="480"/>
        <w:rPr>
          <w:rFonts w:ascii="Times New Roman" w:hAnsi="Times New Roman"/>
          <w:color w:val="auto"/>
          <w:sz w:val="24"/>
          <w:szCs w:val="24"/>
          <w:highlight w:val="none"/>
          <w:u w:val="single"/>
        </w:rPr>
      </w:pPr>
      <w:bookmarkStart w:id="131" w:name="_Hlk187833240"/>
      <w:r>
        <w:rPr>
          <w:rFonts w:ascii="Times New Roman" w:hAnsi="Times New Roman"/>
          <w:color w:val="auto"/>
          <w:sz w:val="24"/>
          <w:szCs w:val="24"/>
          <w:highlight w:val="none"/>
        </w:rPr>
        <w:t>（1）采购项目名称：</w:t>
      </w:r>
      <w:r>
        <w:rPr>
          <w:rFonts w:ascii="Times New Roman" w:hAnsi="Times New Roman"/>
          <w:color w:val="auto"/>
          <w:sz w:val="24"/>
          <w:szCs w:val="24"/>
          <w:highlight w:val="none"/>
          <w:u w:val="single"/>
        </w:rPr>
        <w:t xml:space="preserve">                                          </w:t>
      </w:r>
    </w:p>
    <w:p w14:paraId="03328678">
      <w:pPr>
        <w:spacing w:line="400" w:lineRule="exact"/>
        <w:ind w:firstLine="1185"/>
        <w:rPr>
          <w:rFonts w:ascii="Times New Roman" w:hAnsi="Times New Roman"/>
          <w:color w:val="auto"/>
          <w:sz w:val="24"/>
          <w:szCs w:val="24"/>
          <w:highlight w:val="none"/>
          <w:u w:val="single"/>
        </w:rPr>
      </w:pPr>
      <w:r>
        <w:rPr>
          <w:rFonts w:ascii="Times New Roman" w:hAnsi="Times New Roman"/>
          <w:color w:val="auto"/>
          <w:sz w:val="24"/>
          <w:szCs w:val="24"/>
          <w:highlight w:val="none"/>
        </w:rPr>
        <w:t>采购项目编号：</w:t>
      </w:r>
      <w:r>
        <w:rPr>
          <w:rFonts w:ascii="Times New Roman" w:hAnsi="Times New Roman"/>
          <w:color w:val="auto"/>
          <w:sz w:val="24"/>
          <w:szCs w:val="24"/>
          <w:highlight w:val="none"/>
          <w:u w:val="single"/>
        </w:rPr>
        <w:t xml:space="preserve">                                          </w:t>
      </w:r>
    </w:p>
    <w:p w14:paraId="094E56AE">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 xml:space="preserve">（2）采购计划编号：                                           </w:t>
      </w:r>
    </w:p>
    <w:p w14:paraId="6EB97FAB">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（3）项目内容：</w:t>
      </w:r>
    </w:p>
    <w:p w14:paraId="5329F7B4">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 xml:space="preserve">采购标的及数量（台/套/个/架/组等）：                      </w:t>
      </w:r>
    </w:p>
    <w:p w14:paraId="28ED5323">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 xml:space="preserve">品牌：                    规格型号：               </w:t>
      </w:r>
    </w:p>
    <w:p w14:paraId="15A59369">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采购标的的技术要求、商务要求具体见附件。</w:t>
      </w:r>
    </w:p>
    <w:p w14:paraId="0DD67251">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涉及信息类产品，请填写该产品关键部件的品牌、型号：</w:t>
      </w:r>
    </w:p>
    <w:p w14:paraId="4457EEC9">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 xml:space="preserve">标的名称：                         </w:t>
      </w:r>
    </w:p>
    <w:p w14:paraId="3FDB609B">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 xml:space="preserve">关键部件：           品牌：         型号：        </w:t>
      </w:r>
    </w:p>
    <w:p w14:paraId="532D2AEC">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 xml:space="preserve">关键部件：           品牌：         型号：        </w:t>
      </w:r>
    </w:p>
    <w:p w14:paraId="37A0024D">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 xml:space="preserve">关键部件：           品牌：         型号：       </w:t>
      </w:r>
    </w:p>
    <w:p w14:paraId="63957527">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注：关键部件是指财政部会同有关部门发布的政府采购需求标准规定的需要通过国家有关部门指定的测评机构开展的安全可靠测评的软硬件，如CPU芯片、操作系统、数据库等。）</w:t>
      </w:r>
    </w:p>
    <w:p w14:paraId="5F0AA2C1">
      <w:pPr>
        <w:spacing w:line="400" w:lineRule="exact"/>
        <w:ind w:firstLine="480"/>
        <w:rPr>
          <w:rFonts w:ascii="Times New Roman" w:hAnsi="Times New Roman"/>
          <w:color w:val="auto"/>
          <w:sz w:val="24"/>
          <w:szCs w:val="24"/>
          <w:highlight w:val="none"/>
        </w:rPr>
      </w:pPr>
      <w:r>
        <w:rPr>
          <w:rFonts w:ascii="Segoe UI Symbol" w:hAnsi="Segoe UI Symbol" w:cs="Segoe UI Symbol"/>
          <w:color w:val="auto"/>
          <w:sz w:val="24"/>
          <w:szCs w:val="24"/>
          <w:highlight w:val="none"/>
        </w:rPr>
        <w:t>②</w:t>
      </w:r>
      <w:r>
        <w:rPr>
          <w:rFonts w:ascii="Times New Roman" w:hAnsi="Times New Roman"/>
          <w:color w:val="auto"/>
          <w:sz w:val="24"/>
          <w:szCs w:val="24"/>
          <w:highlight w:val="none"/>
        </w:rPr>
        <w:t>涉及车辆采购，请填写是否属于新能源汽车：</w:t>
      </w:r>
    </w:p>
    <w:p w14:paraId="795358FD">
      <w:pPr>
        <w:spacing w:line="400" w:lineRule="exact"/>
        <w:ind w:firstLine="480"/>
        <w:rPr>
          <w:rFonts w:ascii="Times New Roman" w:hAnsi="Times New Roman"/>
          <w:color w:val="auto"/>
          <w:sz w:val="24"/>
          <w:szCs w:val="24"/>
          <w:highlight w:val="none"/>
        </w:rPr>
      </w:pPr>
      <w:r>
        <w:rPr>
          <w:rFonts w:ascii="Wingdings" w:hAnsi="Wingdings" w:eastAsia="Wingdings" w:cs="Wingdings"/>
          <w:color w:val="auto"/>
          <w:sz w:val="24"/>
          <w:szCs w:val="24"/>
          <w:highlight w:val="none"/>
        </w:rPr>
        <w:t></w:t>
      </w:r>
      <w:r>
        <w:rPr>
          <w:rFonts w:ascii="Times New Roman" w:hAnsi="Times New Roman"/>
          <w:color w:val="auto"/>
          <w:sz w:val="24"/>
          <w:szCs w:val="24"/>
          <w:highlight w:val="none"/>
        </w:rPr>
        <w:t xml:space="preserve">是，《政府采购品目分类目录》底级品目名称：      数量：     金额：      </w:t>
      </w:r>
    </w:p>
    <w:p w14:paraId="61E3B2BC">
      <w:pPr>
        <w:spacing w:line="400" w:lineRule="exact"/>
        <w:ind w:firstLine="480"/>
        <w:rPr>
          <w:rFonts w:ascii="Times New Roman" w:hAnsi="Times New Roman"/>
          <w:color w:val="auto"/>
          <w:sz w:val="24"/>
          <w:szCs w:val="24"/>
          <w:highlight w:val="none"/>
        </w:rPr>
      </w:pPr>
      <w:r>
        <w:rPr>
          <w:rFonts w:ascii="Wingdings" w:hAnsi="Wingdings" w:eastAsia="Wingdings" w:cs="Wingdings"/>
          <w:color w:val="auto"/>
          <w:sz w:val="24"/>
          <w:szCs w:val="24"/>
          <w:highlight w:val="none"/>
        </w:rPr>
        <w:t></w:t>
      </w:r>
      <w:r>
        <w:rPr>
          <w:rFonts w:ascii="Times New Roman" w:hAnsi="Times New Roman"/>
          <w:color w:val="auto"/>
          <w:sz w:val="24"/>
          <w:szCs w:val="24"/>
          <w:highlight w:val="none"/>
        </w:rPr>
        <w:t>否</w:t>
      </w:r>
    </w:p>
    <w:p w14:paraId="1894DF66">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（4）政府采购组织形式：</w:t>
      </w:r>
      <w:r>
        <w:rPr>
          <w:rFonts w:ascii="Wingdings" w:hAnsi="Wingdings" w:eastAsia="Wingdings" w:cs="Wingdings"/>
          <w:color w:val="auto"/>
          <w:sz w:val="24"/>
          <w:szCs w:val="24"/>
          <w:highlight w:val="none"/>
        </w:rPr>
        <w:t></w:t>
      </w:r>
      <w:r>
        <w:rPr>
          <w:rFonts w:ascii="Times New Roman" w:hAnsi="Times New Roman"/>
          <w:color w:val="auto"/>
          <w:sz w:val="24"/>
          <w:szCs w:val="24"/>
          <w:highlight w:val="none"/>
        </w:rPr>
        <w:t xml:space="preserve">政府集中采购  </w:t>
      </w:r>
      <w:r>
        <w:rPr>
          <w:rFonts w:ascii="Wingdings" w:hAnsi="Wingdings" w:eastAsia="Wingdings" w:cs="Wingdings"/>
          <w:color w:val="auto"/>
          <w:sz w:val="24"/>
          <w:szCs w:val="24"/>
          <w:highlight w:val="none"/>
        </w:rPr>
        <w:t></w:t>
      </w:r>
      <w:r>
        <w:rPr>
          <w:rFonts w:ascii="Times New Roman" w:hAnsi="Times New Roman"/>
          <w:color w:val="auto"/>
          <w:sz w:val="24"/>
          <w:szCs w:val="24"/>
          <w:highlight w:val="none"/>
        </w:rPr>
        <w:t xml:space="preserve">部门集中采购  </w:t>
      </w:r>
      <w:r>
        <w:rPr>
          <w:rFonts w:ascii="Wingdings" w:hAnsi="Wingdings" w:eastAsia="Wingdings" w:cs="Wingdings"/>
          <w:color w:val="auto"/>
          <w:sz w:val="24"/>
          <w:szCs w:val="24"/>
          <w:highlight w:val="none"/>
        </w:rPr>
        <w:t></w:t>
      </w:r>
      <w:r>
        <w:rPr>
          <w:rFonts w:ascii="Times New Roman" w:hAnsi="Times New Roman"/>
          <w:color w:val="auto"/>
          <w:sz w:val="24"/>
          <w:szCs w:val="24"/>
          <w:highlight w:val="none"/>
        </w:rPr>
        <w:t>分散采购</w:t>
      </w:r>
    </w:p>
    <w:p w14:paraId="0A72615D">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（5）政府采购方式：</w:t>
      </w:r>
      <w:r>
        <w:rPr>
          <w:rFonts w:ascii="Wingdings" w:hAnsi="Wingdings" w:eastAsia="Wingdings" w:cs="Wingdings"/>
          <w:color w:val="auto"/>
          <w:sz w:val="24"/>
          <w:szCs w:val="24"/>
          <w:highlight w:val="none"/>
        </w:rPr>
        <w:t></w:t>
      </w:r>
      <w:r>
        <w:rPr>
          <w:rFonts w:ascii="Times New Roman" w:hAnsi="Times New Roman"/>
          <w:color w:val="auto"/>
          <w:sz w:val="24"/>
          <w:szCs w:val="24"/>
          <w:highlight w:val="none"/>
        </w:rPr>
        <w:t xml:space="preserve">公开招标 </w:t>
      </w:r>
      <w:r>
        <w:rPr>
          <w:rFonts w:ascii="Wingdings" w:hAnsi="Wingdings" w:eastAsia="Wingdings" w:cs="Wingdings"/>
          <w:color w:val="auto"/>
          <w:sz w:val="24"/>
          <w:szCs w:val="24"/>
          <w:highlight w:val="none"/>
        </w:rPr>
        <w:t></w:t>
      </w:r>
      <w:r>
        <w:rPr>
          <w:rFonts w:ascii="Times New Roman" w:hAnsi="Times New Roman"/>
          <w:color w:val="auto"/>
          <w:sz w:val="24"/>
          <w:szCs w:val="24"/>
          <w:highlight w:val="none"/>
        </w:rPr>
        <w:t xml:space="preserve">邀请招标 </w:t>
      </w:r>
      <w:r>
        <w:rPr>
          <w:rFonts w:ascii="Wingdings" w:hAnsi="Wingdings" w:eastAsia="Wingdings" w:cs="Wingdings"/>
          <w:color w:val="auto"/>
          <w:sz w:val="24"/>
          <w:szCs w:val="24"/>
          <w:highlight w:val="none"/>
        </w:rPr>
        <w:t></w:t>
      </w:r>
      <w:r>
        <w:rPr>
          <w:rFonts w:ascii="Times New Roman" w:hAnsi="Times New Roman"/>
          <w:color w:val="auto"/>
          <w:sz w:val="24"/>
          <w:szCs w:val="24"/>
          <w:highlight w:val="none"/>
        </w:rPr>
        <w:t xml:space="preserve">竞争性谈判 </w:t>
      </w:r>
      <w:r>
        <w:rPr>
          <w:rFonts w:ascii="Wingdings" w:hAnsi="Wingdings" w:eastAsia="Wingdings" w:cs="Wingdings"/>
          <w:color w:val="auto"/>
          <w:sz w:val="24"/>
          <w:szCs w:val="24"/>
          <w:highlight w:val="none"/>
        </w:rPr>
        <w:t></w:t>
      </w:r>
      <w:r>
        <w:rPr>
          <w:rFonts w:ascii="Times New Roman" w:hAnsi="Times New Roman"/>
          <w:color w:val="auto"/>
          <w:sz w:val="24"/>
          <w:szCs w:val="24"/>
          <w:highlight w:val="none"/>
        </w:rPr>
        <w:t>竞争性磋商</w:t>
      </w:r>
    </w:p>
    <w:p w14:paraId="33C07656">
      <w:pPr>
        <w:spacing w:line="400" w:lineRule="exact"/>
        <w:ind w:firstLine="480"/>
        <w:rPr>
          <w:rFonts w:ascii="Times New Roman" w:hAnsi="Times New Roman"/>
          <w:color w:val="auto"/>
          <w:sz w:val="24"/>
          <w:szCs w:val="24"/>
          <w:highlight w:val="none"/>
        </w:rPr>
      </w:pPr>
      <w:r>
        <w:rPr>
          <w:rFonts w:ascii="Wingdings" w:hAnsi="Wingdings" w:eastAsia="Wingdings" w:cs="Wingdings"/>
          <w:color w:val="auto"/>
          <w:sz w:val="24"/>
          <w:szCs w:val="24"/>
          <w:highlight w:val="none"/>
        </w:rPr>
        <w:t></w:t>
      </w:r>
      <w:r>
        <w:rPr>
          <w:rFonts w:ascii="Times New Roman" w:hAnsi="Times New Roman"/>
          <w:color w:val="auto"/>
          <w:sz w:val="24"/>
          <w:szCs w:val="24"/>
          <w:highlight w:val="none"/>
        </w:rPr>
        <w:t xml:space="preserve">询价 </w:t>
      </w:r>
      <w:r>
        <w:rPr>
          <w:rFonts w:ascii="Wingdings" w:hAnsi="Wingdings" w:eastAsia="Wingdings" w:cs="Wingdings"/>
          <w:color w:val="auto"/>
          <w:sz w:val="24"/>
          <w:szCs w:val="24"/>
          <w:highlight w:val="none"/>
        </w:rPr>
        <w:t></w:t>
      </w:r>
      <w:r>
        <w:rPr>
          <w:rFonts w:ascii="Times New Roman" w:hAnsi="Times New Roman"/>
          <w:color w:val="auto"/>
          <w:sz w:val="24"/>
          <w:szCs w:val="24"/>
          <w:highlight w:val="none"/>
        </w:rPr>
        <w:t>单一来源</w:t>
      </w:r>
      <w:r>
        <w:rPr>
          <w:rFonts w:hint="eastAsia" w:ascii="Times New Roman" w:hAnsi="Times New Roman"/>
          <w:color w:val="auto"/>
          <w:sz w:val="24"/>
          <w:szCs w:val="24"/>
          <w:highlight w:val="none"/>
        </w:rPr>
        <w:t xml:space="preserve"> </w:t>
      </w:r>
      <w:r>
        <w:rPr>
          <w:rFonts w:ascii="Wingdings" w:hAnsi="Wingdings" w:eastAsia="Wingdings" w:cs="Wingdings"/>
          <w:color w:val="auto"/>
          <w:sz w:val="24"/>
          <w:szCs w:val="24"/>
          <w:highlight w:val="none"/>
        </w:rPr>
        <w:t></w:t>
      </w:r>
      <w:r>
        <w:rPr>
          <w:rFonts w:ascii="Times New Roman" w:hAnsi="Times New Roman"/>
          <w:color w:val="auto"/>
          <w:sz w:val="24"/>
          <w:szCs w:val="24"/>
          <w:highlight w:val="none"/>
        </w:rPr>
        <w:t>框架协议</w:t>
      </w:r>
      <w:r>
        <w:rPr>
          <w:rFonts w:hint="eastAsia" w:ascii="Times New Roman" w:hAnsi="Times New Roman"/>
          <w:color w:val="auto"/>
          <w:sz w:val="24"/>
          <w:szCs w:val="24"/>
          <w:highlight w:val="none"/>
        </w:rPr>
        <w:t xml:space="preserve"> </w:t>
      </w:r>
      <w:r>
        <w:rPr>
          <w:rFonts w:ascii="Wingdings" w:hAnsi="Wingdings" w:eastAsia="Wingdings" w:cs="Wingdings"/>
          <w:color w:val="auto"/>
          <w:sz w:val="24"/>
          <w:szCs w:val="24"/>
          <w:highlight w:val="none"/>
        </w:rPr>
        <w:t></w:t>
      </w:r>
      <w:r>
        <w:rPr>
          <w:rFonts w:ascii="Times New Roman" w:hAnsi="Times New Roman"/>
          <w:color w:val="auto"/>
          <w:sz w:val="24"/>
          <w:szCs w:val="24"/>
          <w:highlight w:val="none"/>
        </w:rPr>
        <w:t xml:space="preserve">其他：          </w:t>
      </w:r>
    </w:p>
    <w:p w14:paraId="18321CCB">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（注：在框架协议采购的第二阶段，可选择使用该合同文本）</w:t>
      </w:r>
    </w:p>
    <w:p w14:paraId="472B2F52">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（6）中标采购标的制造商是否为中小企业：</w:t>
      </w:r>
      <w:r>
        <w:rPr>
          <w:rFonts w:ascii="Wingdings" w:hAnsi="Wingdings" w:eastAsia="Wingdings" w:cs="Wingdings"/>
          <w:color w:val="auto"/>
          <w:sz w:val="24"/>
          <w:szCs w:val="24"/>
          <w:highlight w:val="none"/>
        </w:rPr>
        <w:t></w:t>
      </w:r>
      <w:r>
        <w:rPr>
          <w:rFonts w:ascii="Times New Roman" w:hAnsi="Times New Roman"/>
          <w:color w:val="auto"/>
          <w:sz w:val="24"/>
          <w:szCs w:val="24"/>
          <w:highlight w:val="none"/>
        </w:rPr>
        <w:t xml:space="preserve">是      </w:t>
      </w:r>
      <w:r>
        <w:rPr>
          <w:rFonts w:ascii="Wingdings" w:hAnsi="Wingdings" w:eastAsia="Wingdings" w:cs="Wingdings"/>
          <w:color w:val="auto"/>
          <w:sz w:val="24"/>
          <w:szCs w:val="24"/>
          <w:highlight w:val="none"/>
        </w:rPr>
        <w:t></w:t>
      </w:r>
      <w:r>
        <w:rPr>
          <w:rFonts w:ascii="Times New Roman" w:hAnsi="Times New Roman"/>
          <w:color w:val="auto"/>
          <w:sz w:val="24"/>
          <w:szCs w:val="24"/>
          <w:highlight w:val="none"/>
        </w:rPr>
        <w:t>否</w:t>
      </w:r>
    </w:p>
    <w:p w14:paraId="3BB0A05C">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本合同是否为专门面向中小企业的采购合同（中小企业预留合同）：</w:t>
      </w:r>
      <w:r>
        <w:rPr>
          <w:rFonts w:ascii="Wingdings" w:hAnsi="Wingdings" w:eastAsia="Wingdings" w:cs="Wingdings"/>
          <w:color w:val="auto"/>
          <w:sz w:val="24"/>
          <w:szCs w:val="24"/>
          <w:highlight w:val="none"/>
        </w:rPr>
        <w:t></w:t>
      </w:r>
      <w:r>
        <w:rPr>
          <w:rFonts w:ascii="Times New Roman" w:hAnsi="Times New Roman"/>
          <w:color w:val="auto"/>
          <w:sz w:val="24"/>
          <w:szCs w:val="24"/>
          <w:highlight w:val="none"/>
        </w:rPr>
        <w:t xml:space="preserve">是    </w:t>
      </w:r>
      <w:r>
        <w:rPr>
          <w:rFonts w:ascii="Wingdings" w:hAnsi="Wingdings" w:eastAsia="Wingdings" w:cs="Wingdings"/>
          <w:color w:val="auto"/>
          <w:sz w:val="24"/>
          <w:szCs w:val="24"/>
          <w:highlight w:val="none"/>
        </w:rPr>
        <w:t></w:t>
      </w:r>
      <w:r>
        <w:rPr>
          <w:rFonts w:ascii="Times New Roman" w:hAnsi="Times New Roman"/>
          <w:color w:val="auto"/>
          <w:sz w:val="24"/>
          <w:szCs w:val="24"/>
          <w:highlight w:val="none"/>
        </w:rPr>
        <w:t>否</w:t>
      </w:r>
    </w:p>
    <w:p w14:paraId="2A29E0E9">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若本项目不专门面向中小企业采购，是否给予小微企业评审优惠：</w:t>
      </w:r>
      <w:r>
        <w:rPr>
          <w:rFonts w:ascii="Wingdings" w:hAnsi="Wingdings" w:eastAsia="Wingdings" w:cs="Wingdings"/>
          <w:color w:val="auto"/>
          <w:sz w:val="24"/>
          <w:szCs w:val="24"/>
          <w:highlight w:val="none"/>
        </w:rPr>
        <w:t></w:t>
      </w:r>
      <w:r>
        <w:rPr>
          <w:rFonts w:ascii="Times New Roman" w:hAnsi="Times New Roman"/>
          <w:color w:val="auto"/>
          <w:sz w:val="24"/>
          <w:szCs w:val="24"/>
          <w:highlight w:val="none"/>
        </w:rPr>
        <w:t xml:space="preserve">是   </w:t>
      </w:r>
      <w:r>
        <w:rPr>
          <w:rFonts w:ascii="Wingdings" w:hAnsi="Wingdings" w:eastAsia="Wingdings" w:cs="Wingdings"/>
          <w:color w:val="auto"/>
          <w:sz w:val="24"/>
          <w:szCs w:val="24"/>
          <w:highlight w:val="none"/>
        </w:rPr>
        <w:t></w:t>
      </w:r>
      <w:r>
        <w:rPr>
          <w:rFonts w:ascii="Times New Roman" w:hAnsi="Times New Roman"/>
          <w:color w:val="auto"/>
          <w:sz w:val="24"/>
          <w:szCs w:val="24"/>
          <w:highlight w:val="none"/>
        </w:rPr>
        <w:t>否</w:t>
      </w:r>
    </w:p>
    <w:p w14:paraId="56E7E5E0">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中标采购标的制造商是否为残疾人福利性单位：</w:t>
      </w:r>
      <w:r>
        <w:rPr>
          <w:rFonts w:ascii="Wingdings" w:hAnsi="Wingdings" w:eastAsia="Wingdings" w:cs="Wingdings"/>
          <w:color w:val="auto"/>
          <w:sz w:val="24"/>
          <w:szCs w:val="24"/>
          <w:highlight w:val="none"/>
        </w:rPr>
        <w:t></w:t>
      </w:r>
      <w:r>
        <w:rPr>
          <w:rFonts w:ascii="Times New Roman" w:hAnsi="Times New Roman"/>
          <w:color w:val="auto"/>
          <w:sz w:val="24"/>
          <w:szCs w:val="24"/>
          <w:highlight w:val="none"/>
        </w:rPr>
        <w:t xml:space="preserve">是   </w:t>
      </w:r>
      <w:r>
        <w:rPr>
          <w:rFonts w:ascii="Wingdings" w:hAnsi="Wingdings" w:eastAsia="Wingdings" w:cs="Wingdings"/>
          <w:color w:val="auto"/>
          <w:sz w:val="24"/>
          <w:szCs w:val="24"/>
          <w:highlight w:val="none"/>
        </w:rPr>
        <w:t></w:t>
      </w:r>
      <w:r>
        <w:rPr>
          <w:rFonts w:ascii="Times New Roman" w:hAnsi="Times New Roman"/>
          <w:color w:val="auto"/>
          <w:sz w:val="24"/>
          <w:szCs w:val="24"/>
          <w:highlight w:val="none"/>
        </w:rPr>
        <w:t>否</w:t>
      </w:r>
    </w:p>
    <w:p w14:paraId="4E8C6633">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中标采购标的制造商是否为监狱企业：</w:t>
      </w:r>
      <w:r>
        <w:rPr>
          <w:rFonts w:ascii="Wingdings" w:hAnsi="Wingdings" w:eastAsia="Wingdings" w:cs="Wingdings"/>
          <w:color w:val="auto"/>
          <w:sz w:val="24"/>
          <w:szCs w:val="24"/>
          <w:highlight w:val="none"/>
        </w:rPr>
        <w:t></w:t>
      </w:r>
      <w:r>
        <w:rPr>
          <w:rFonts w:ascii="Times New Roman" w:hAnsi="Times New Roman"/>
          <w:color w:val="auto"/>
          <w:sz w:val="24"/>
          <w:szCs w:val="24"/>
          <w:highlight w:val="none"/>
        </w:rPr>
        <w:t xml:space="preserve">是       </w:t>
      </w:r>
      <w:r>
        <w:rPr>
          <w:rFonts w:ascii="Wingdings" w:hAnsi="Wingdings" w:eastAsia="Wingdings" w:cs="Wingdings"/>
          <w:color w:val="auto"/>
          <w:sz w:val="24"/>
          <w:szCs w:val="24"/>
          <w:highlight w:val="none"/>
        </w:rPr>
        <w:t></w:t>
      </w:r>
      <w:r>
        <w:rPr>
          <w:rFonts w:ascii="Times New Roman" w:hAnsi="Times New Roman"/>
          <w:color w:val="auto"/>
          <w:sz w:val="24"/>
          <w:szCs w:val="24"/>
          <w:highlight w:val="none"/>
        </w:rPr>
        <w:t>否</w:t>
      </w:r>
    </w:p>
    <w:p w14:paraId="2FE1ABB2">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（7）合同是否分包：</w:t>
      </w:r>
      <w:r>
        <w:rPr>
          <w:rFonts w:ascii="Wingdings" w:hAnsi="Wingdings" w:eastAsia="Wingdings" w:cs="Wingdings"/>
          <w:color w:val="auto"/>
          <w:sz w:val="24"/>
          <w:szCs w:val="24"/>
          <w:highlight w:val="none"/>
        </w:rPr>
        <w:t></w:t>
      </w:r>
      <w:r>
        <w:rPr>
          <w:rFonts w:ascii="Times New Roman" w:hAnsi="Times New Roman"/>
          <w:color w:val="auto"/>
          <w:sz w:val="24"/>
          <w:szCs w:val="24"/>
          <w:highlight w:val="none"/>
        </w:rPr>
        <w:t xml:space="preserve">是       </w:t>
      </w:r>
      <w:r>
        <w:rPr>
          <w:rFonts w:ascii="Wingdings" w:hAnsi="Wingdings" w:eastAsia="Wingdings" w:cs="Wingdings"/>
          <w:color w:val="auto"/>
          <w:sz w:val="24"/>
          <w:szCs w:val="24"/>
          <w:highlight w:val="none"/>
        </w:rPr>
        <w:t></w:t>
      </w:r>
      <w:r>
        <w:rPr>
          <w:rFonts w:ascii="Times New Roman" w:hAnsi="Times New Roman"/>
          <w:color w:val="auto"/>
          <w:sz w:val="24"/>
          <w:szCs w:val="24"/>
          <w:highlight w:val="none"/>
        </w:rPr>
        <w:t>否</w:t>
      </w:r>
    </w:p>
    <w:p w14:paraId="700C38C2">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 xml:space="preserve">分包主要内容：                                            </w:t>
      </w:r>
    </w:p>
    <w:p w14:paraId="67197D4E">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分包供应商/制造商名称（如供应商和制造商不同，请分别填写）：</w:t>
      </w:r>
    </w:p>
    <w:p w14:paraId="6800A24C">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 xml:space="preserve">                                                           </w:t>
      </w:r>
    </w:p>
    <w:p w14:paraId="62A0EB7E">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分包供应商/制造商类型（如果供应商和制造商不同，只填写制造商类型）：</w:t>
      </w:r>
    </w:p>
    <w:p w14:paraId="7105470B">
      <w:pPr>
        <w:spacing w:line="400" w:lineRule="exact"/>
        <w:ind w:firstLine="480"/>
        <w:rPr>
          <w:rFonts w:ascii="Times New Roman" w:hAnsi="Times New Roman"/>
          <w:color w:val="auto"/>
          <w:sz w:val="24"/>
          <w:szCs w:val="24"/>
          <w:highlight w:val="none"/>
        </w:rPr>
      </w:pPr>
      <w:r>
        <w:rPr>
          <w:rFonts w:ascii="Wingdings" w:hAnsi="Wingdings" w:eastAsia="Wingdings" w:cs="Wingdings"/>
          <w:color w:val="auto"/>
          <w:sz w:val="24"/>
          <w:szCs w:val="24"/>
          <w:highlight w:val="none"/>
        </w:rPr>
        <w:t></w:t>
      </w:r>
      <w:r>
        <w:rPr>
          <w:rFonts w:ascii="Times New Roman" w:hAnsi="Times New Roman"/>
          <w:color w:val="auto"/>
          <w:sz w:val="24"/>
          <w:szCs w:val="24"/>
          <w:highlight w:val="none"/>
        </w:rPr>
        <w:t xml:space="preserve">大型企业  </w:t>
      </w:r>
      <w:r>
        <w:rPr>
          <w:rFonts w:ascii="Wingdings" w:hAnsi="Wingdings" w:eastAsia="Wingdings" w:cs="Wingdings"/>
          <w:color w:val="auto"/>
          <w:sz w:val="24"/>
          <w:szCs w:val="24"/>
          <w:highlight w:val="none"/>
        </w:rPr>
        <w:t></w:t>
      </w:r>
      <w:r>
        <w:rPr>
          <w:rFonts w:ascii="Times New Roman" w:hAnsi="Times New Roman"/>
          <w:color w:val="auto"/>
          <w:sz w:val="24"/>
          <w:szCs w:val="24"/>
          <w:highlight w:val="none"/>
        </w:rPr>
        <w:t xml:space="preserve">中型企业  </w:t>
      </w:r>
      <w:r>
        <w:rPr>
          <w:rFonts w:ascii="Wingdings" w:hAnsi="Wingdings" w:eastAsia="Wingdings" w:cs="Wingdings"/>
          <w:color w:val="auto"/>
          <w:sz w:val="24"/>
          <w:szCs w:val="24"/>
          <w:highlight w:val="none"/>
        </w:rPr>
        <w:t></w:t>
      </w:r>
      <w:r>
        <w:rPr>
          <w:rFonts w:ascii="Times New Roman" w:hAnsi="Times New Roman"/>
          <w:color w:val="auto"/>
          <w:sz w:val="24"/>
          <w:szCs w:val="24"/>
          <w:highlight w:val="none"/>
        </w:rPr>
        <w:t xml:space="preserve">小微型企业  </w:t>
      </w:r>
    </w:p>
    <w:p w14:paraId="46C574EB">
      <w:pPr>
        <w:spacing w:line="400" w:lineRule="exact"/>
        <w:ind w:firstLine="480"/>
        <w:rPr>
          <w:rFonts w:ascii="Times New Roman" w:hAnsi="Times New Roman"/>
          <w:color w:val="auto"/>
          <w:sz w:val="24"/>
          <w:szCs w:val="24"/>
          <w:highlight w:val="none"/>
        </w:rPr>
      </w:pPr>
      <w:r>
        <w:rPr>
          <w:rFonts w:ascii="Wingdings" w:hAnsi="Wingdings" w:eastAsia="Wingdings" w:cs="Wingdings"/>
          <w:color w:val="auto"/>
          <w:sz w:val="24"/>
          <w:szCs w:val="24"/>
          <w:highlight w:val="none"/>
        </w:rPr>
        <w:t></w:t>
      </w:r>
      <w:r>
        <w:rPr>
          <w:rFonts w:ascii="Times New Roman" w:hAnsi="Times New Roman"/>
          <w:color w:val="auto"/>
          <w:sz w:val="24"/>
          <w:szCs w:val="24"/>
          <w:highlight w:val="none"/>
        </w:rPr>
        <w:t xml:space="preserve">残疾人福利性单位 </w:t>
      </w:r>
      <w:r>
        <w:rPr>
          <w:rFonts w:ascii="Wingdings" w:hAnsi="Wingdings" w:eastAsia="Wingdings" w:cs="Wingdings"/>
          <w:color w:val="auto"/>
          <w:sz w:val="24"/>
          <w:szCs w:val="24"/>
          <w:highlight w:val="none"/>
        </w:rPr>
        <w:t></w:t>
      </w:r>
      <w:r>
        <w:rPr>
          <w:rFonts w:ascii="Times New Roman" w:hAnsi="Times New Roman"/>
          <w:color w:val="auto"/>
          <w:sz w:val="24"/>
          <w:szCs w:val="24"/>
          <w:highlight w:val="none"/>
        </w:rPr>
        <w:t xml:space="preserve">监狱企业 </w:t>
      </w:r>
      <w:r>
        <w:rPr>
          <w:rFonts w:ascii="Wingdings" w:hAnsi="Wingdings" w:eastAsia="Wingdings" w:cs="Wingdings"/>
          <w:color w:val="auto"/>
          <w:sz w:val="24"/>
          <w:szCs w:val="24"/>
          <w:highlight w:val="none"/>
        </w:rPr>
        <w:t></w:t>
      </w:r>
      <w:r>
        <w:rPr>
          <w:rFonts w:ascii="Times New Roman" w:hAnsi="Times New Roman"/>
          <w:color w:val="auto"/>
          <w:sz w:val="24"/>
          <w:szCs w:val="24"/>
          <w:highlight w:val="none"/>
        </w:rPr>
        <w:t>其他</w:t>
      </w:r>
    </w:p>
    <w:p w14:paraId="3786C38A">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（8）中标（成交）供应商是否为外商投资企业：</w:t>
      </w:r>
      <w:r>
        <w:rPr>
          <w:rFonts w:ascii="Wingdings" w:hAnsi="Wingdings" w:eastAsia="Wingdings" w:cs="Wingdings"/>
          <w:color w:val="auto"/>
          <w:sz w:val="24"/>
          <w:szCs w:val="24"/>
          <w:highlight w:val="none"/>
        </w:rPr>
        <w:t></w:t>
      </w:r>
      <w:r>
        <w:rPr>
          <w:rFonts w:ascii="Times New Roman" w:hAnsi="Times New Roman"/>
          <w:color w:val="auto"/>
          <w:sz w:val="24"/>
          <w:szCs w:val="24"/>
          <w:highlight w:val="none"/>
        </w:rPr>
        <w:t xml:space="preserve">是       </w:t>
      </w:r>
      <w:r>
        <w:rPr>
          <w:rFonts w:ascii="Wingdings" w:hAnsi="Wingdings" w:eastAsia="Wingdings" w:cs="Wingdings"/>
          <w:color w:val="auto"/>
          <w:sz w:val="24"/>
          <w:szCs w:val="24"/>
          <w:highlight w:val="none"/>
        </w:rPr>
        <w:t></w:t>
      </w:r>
      <w:r>
        <w:rPr>
          <w:rFonts w:ascii="Times New Roman" w:hAnsi="Times New Roman"/>
          <w:color w:val="auto"/>
          <w:sz w:val="24"/>
          <w:szCs w:val="24"/>
          <w:highlight w:val="none"/>
        </w:rPr>
        <w:t>否</w:t>
      </w:r>
    </w:p>
    <w:p w14:paraId="295BD73C">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外商投资企业类型：</w:t>
      </w:r>
      <w:r>
        <w:rPr>
          <w:rFonts w:ascii="Wingdings" w:hAnsi="Wingdings" w:eastAsia="Wingdings" w:cs="Wingdings"/>
          <w:color w:val="auto"/>
          <w:sz w:val="24"/>
          <w:szCs w:val="24"/>
          <w:highlight w:val="none"/>
        </w:rPr>
        <w:t></w:t>
      </w:r>
      <w:r>
        <w:rPr>
          <w:rFonts w:ascii="Times New Roman" w:hAnsi="Times New Roman"/>
          <w:color w:val="auto"/>
          <w:sz w:val="24"/>
          <w:szCs w:val="24"/>
          <w:highlight w:val="none"/>
        </w:rPr>
        <w:t xml:space="preserve">全部由外国投资者投资  </w:t>
      </w:r>
      <w:r>
        <w:rPr>
          <w:rFonts w:ascii="Wingdings" w:hAnsi="Wingdings" w:eastAsia="Wingdings" w:cs="Wingdings"/>
          <w:color w:val="auto"/>
          <w:sz w:val="24"/>
          <w:szCs w:val="24"/>
          <w:highlight w:val="none"/>
        </w:rPr>
        <w:t></w:t>
      </w:r>
      <w:r>
        <w:rPr>
          <w:rFonts w:ascii="Times New Roman" w:hAnsi="Times New Roman"/>
          <w:color w:val="auto"/>
          <w:sz w:val="24"/>
          <w:szCs w:val="24"/>
          <w:highlight w:val="none"/>
        </w:rPr>
        <w:t>部分由外国投资者投资</w:t>
      </w:r>
    </w:p>
    <w:p w14:paraId="66074FC5">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（9）是否涉及进口产品：</w:t>
      </w:r>
    </w:p>
    <w:p w14:paraId="49314A27">
      <w:pPr>
        <w:spacing w:line="400" w:lineRule="exact"/>
        <w:ind w:firstLine="480"/>
        <w:rPr>
          <w:rFonts w:ascii="Times New Roman" w:hAnsi="Times New Roman"/>
          <w:color w:val="auto"/>
          <w:sz w:val="24"/>
          <w:szCs w:val="24"/>
          <w:highlight w:val="none"/>
        </w:rPr>
      </w:pPr>
      <w:r>
        <w:rPr>
          <w:rFonts w:ascii="Wingdings" w:hAnsi="Wingdings" w:eastAsia="Wingdings" w:cs="Wingdings"/>
          <w:color w:val="auto"/>
          <w:sz w:val="24"/>
          <w:szCs w:val="24"/>
          <w:highlight w:val="none"/>
        </w:rPr>
        <w:t></w:t>
      </w:r>
      <w:r>
        <w:rPr>
          <w:rFonts w:ascii="Times New Roman" w:hAnsi="Times New Roman"/>
          <w:color w:val="auto"/>
          <w:sz w:val="24"/>
          <w:szCs w:val="24"/>
          <w:highlight w:val="none"/>
        </w:rPr>
        <w:t xml:space="preserve">是，《政府采购品目分类目录》底级品目名称：          金额：        </w:t>
      </w:r>
    </w:p>
    <w:p w14:paraId="57B827AB">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 xml:space="preserve">国别：         品牌：         规格型号：              </w:t>
      </w:r>
    </w:p>
    <w:p w14:paraId="21022AC2">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 xml:space="preserve"> </w:t>
      </w:r>
      <w:r>
        <w:rPr>
          <w:rFonts w:ascii="Wingdings" w:hAnsi="Wingdings" w:eastAsia="Wingdings" w:cs="Wingdings"/>
          <w:color w:val="auto"/>
          <w:sz w:val="24"/>
          <w:szCs w:val="24"/>
          <w:highlight w:val="none"/>
        </w:rPr>
        <w:t></w:t>
      </w:r>
      <w:r>
        <w:rPr>
          <w:rFonts w:ascii="Times New Roman" w:hAnsi="Times New Roman"/>
          <w:color w:val="auto"/>
          <w:sz w:val="24"/>
          <w:szCs w:val="24"/>
          <w:highlight w:val="none"/>
        </w:rPr>
        <w:t>否</w:t>
      </w:r>
    </w:p>
    <w:p w14:paraId="752434E0">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（10）是否涉及节能产品：</w:t>
      </w:r>
    </w:p>
    <w:p w14:paraId="7E3912DF">
      <w:pPr>
        <w:spacing w:line="400" w:lineRule="exact"/>
        <w:ind w:firstLine="480"/>
        <w:rPr>
          <w:rFonts w:ascii="Times New Roman" w:hAnsi="Times New Roman"/>
          <w:color w:val="auto"/>
          <w:sz w:val="24"/>
          <w:szCs w:val="24"/>
          <w:highlight w:val="none"/>
        </w:rPr>
      </w:pPr>
      <w:r>
        <w:rPr>
          <w:rFonts w:ascii="Wingdings" w:hAnsi="Wingdings" w:eastAsia="Wingdings" w:cs="Wingdings"/>
          <w:color w:val="auto"/>
          <w:sz w:val="24"/>
          <w:szCs w:val="24"/>
          <w:highlight w:val="none"/>
        </w:rPr>
        <w:t></w:t>
      </w:r>
      <w:r>
        <w:rPr>
          <w:rFonts w:ascii="Times New Roman" w:hAnsi="Times New Roman"/>
          <w:color w:val="auto"/>
          <w:sz w:val="24"/>
          <w:szCs w:val="24"/>
          <w:highlight w:val="none"/>
        </w:rPr>
        <w:t xml:space="preserve">是，《节能产品政府采购品目清单》的底级品目名称：              </w:t>
      </w:r>
    </w:p>
    <w:p w14:paraId="20668770">
      <w:pPr>
        <w:spacing w:line="400" w:lineRule="exact"/>
        <w:ind w:firstLine="480"/>
        <w:rPr>
          <w:rFonts w:ascii="Times New Roman" w:hAnsi="Times New Roman"/>
          <w:color w:val="auto"/>
          <w:sz w:val="24"/>
          <w:szCs w:val="24"/>
          <w:highlight w:val="none"/>
        </w:rPr>
      </w:pPr>
      <w:r>
        <w:rPr>
          <w:rFonts w:ascii="Wingdings" w:hAnsi="Wingdings" w:eastAsia="Wingdings" w:cs="Wingdings"/>
          <w:color w:val="auto"/>
          <w:sz w:val="24"/>
          <w:szCs w:val="24"/>
          <w:highlight w:val="none"/>
        </w:rPr>
        <w:t></w:t>
      </w:r>
      <w:r>
        <w:rPr>
          <w:rFonts w:ascii="Times New Roman" w:hAnsi="Times New Roman"/>
          <w:color w:val="auto"/>
          <w:sz w:val="24"/>
          <w:szCs w:val="24"/>
          <w:highlight w:val="none"/>
        </w:rPr>
        <w:t xml:space="preserve">强制采购       </w:t>
      </w:r>
      <w:r>
        <w:rPr>
          <w:rFonts w:ascii="Wingdings" w:hAnsi="Wingdings" w:eastAsia="Wingdings" w:cs="Wingdings"/>
          <w:color w:val="auto"/>
          <w:sz w:val="24"/>
          <w:szCs w:val="24"/>
          <w:highlight w:val="none"/>
        </w:rPr>
        <w:t></w:t>
      </w:r>
      <w:r>
        <w:rPr>
          <w:rFonts w:ascii="Times New Roman" w:hAnsi="Times New Roman"/>
          <w:color w:val="auto"/>
          <w:sz w:val="24"/>
          <w:szCs w:val="24"/>
          <w:highlight w:val="none"/>
        </w:rPr>
        <w:t xml:space="preserve">优先采购    </w:t>
      </w:r>
    </w:p>
    <w:p w14:paraId="5D017061">
      <w:pPr>
        <w:spacing w:line="400" w:lineRule="exact"/>
        <w:ind w:firstLine="480"/>
        <w:rPr>
          <w:rFonts w:ascii="Times New Roman" w:hAnsi="Times New Roman"/>
          <w:color w:val="auto"/>
          <w:sz w:val="24"/>
          <w:szCs w:val="24"/>
          <w:highlight w:val="none"/>
        </w:rPr>
      </w:pPr>
      <w:r>
        <w:rPr>
          <w:rFonts w:ascii="Wingdings" w:hAnsi="Wingdings" w:eastAsia="Wingdings" w:cs="Wingdings"/>
          <w:color w:val="auto"/>
          <w:sz w:val="24"/>
          <w:szCs w:val="24"/>
          <w:highlight w:val="none"/>
        </w:rPr>
        <w:t></w:t>
      </w:r>
      <w:r>
        <w:rPr>
          <w:rFonts w:ascii="Times New Roman" w:hAnsi="Times New Roman"/>
          <w:color w:val="auto"/>
          <w:sz w:val="24"/>
          <w:szCs w:val="24"/>
          <w:highlight w:val="none"/>
        </w:rPr>
        <w:t>否</w:t>
      </w:r>
    </w:p>
    <w:p w14:paraId="44C57472">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是否涉及环境标志产品：</w:t>
      </w:r>
    </w:p>
    <w:p w14:paraId="7B495FC1">
      <w:pPr>
        <w:spacing w:line="400" w:lineRule="exact"/>
        <w:ind w:firstLine="480"/>
        <w:rPr>
          <w:rFonts w:ascii="Times New Roman" w:hAnsi="Times New Roman"/>
          <w:color w:val="auto"/>
          <w:sz w:val="24"/>
          <w:szCs w:val="24"/>
          <w:highlight w:val="none"/>
        </w:rPr>
      </w:pPr>
      <w:r>
        <w:rPr>
          <w:rFonts w:ascii="Wingdings" w:hAnsi="Wingdings" w:eastAsia="Wingdings" w:cs="Wingdings"/>
          <w:color w:val="auto"/>
          <w:sz w:val="24"/>
          <w:szCs w:val="24"/>
          <w:highlight w:val="none"/>
        </w:rPr>
        <w:t></w:t>
      </w:r>
      <w:r>
        <w:rPr>
          <w:rFonts w:ascii="Times New Roman" w:hAnsi="Times New Roman"/>
          <w:color w:val="auto"/>
          <w:sz w:val="24"/>
          <w:szCs w:val="24"/>
          <w:highlight w:val="none"/>
        </w:rPr>
        <w:t xml:space="preserve">是，《环境标志产品政府采购品目清单》的底级品目名称：          </w:t>
      </w:r>
    </w:p>
    <w:p w14:paraId="5DFE9680">
      <w:pPr>
        <w:spacing w:line="400" w:lineRule="exact"/>
        <w:ind w:firstLine="480"/>
        <w:rPr>
          <w:rFonts w:ascii="Times New Roman" w:hAnsi="Times New Roman"/>
          <w:color w:val="auto"/>
          <w:sz w:val="24"/>
          <w:szCs w:val="24"/>
          <w:highlight w:val="none"/>
        </w:rPr>
      </w:pPr>
      <w:r>
        <w:rPr>
          <w:rFonts w:ascii="Wingdings" w:hAnsi="Wingdings" w:eastAsia="Wingdings" w:cs="Wingdings"/>
          <w:color w:val="auto"/>
          <w:sz w:val="24"/>
          <w:szCs w:val="24"/>
          <w:highlight w:val="none"/>
        </w:rPr>
        <w:t></w:t>
      </w:r>
      <w:r>
        <w:rPr>
          <w:rFonts w:ascii="Times New Roman" w:hAnsi="Times New Roman"/>
          <w:color w:val="auto"/>
          <w:sz w:val="24"/>
          <w:szCs w:val="24"/>
          <w:highlight w:val="none"/>
        </w:rPr>
        <w:t xml:space="preserve">强制采购       </w:t>
      </w:r>
      <w:r>
        <w:rPr>
          <w:rFonts w:ascii="Wingdings" w:hAnsi="Wingdings" w:eastAsia="Wingdings" w:cs="Wingdings"/>
          <w:color w:val="auto"/>
          <w:sz w:val="24"/>
          <w:szCs w:val="24"/>
          <w:highlight w:val="none"/>
        </w:rPr>
        <w:t></w:t>
      </w:r>
      <w:r>
        <w:rPr>
          <w:rFonts w:ascii="Times New Roman" w:hAnsi="Times New Roman"/>
          <w:color w:val="auto"/>
          <w:sz w:val="24"/>
          <w:szCs w:val="24"/>
          <w:highlight w:val="none"/>
        </w:rPr>
        <w:t xml:space="preserve">优先采购    </w:t>
      </w:r>
    </w:p>
    <w:p w14:paraId="601A3DFC">
      <w:pPr>
        <w:spacing w:line="400" w:lineRule="exact"/>
        <w:ind w:firstLine="480"/>
        <w:rPr>
          <w:rFonts w:ascii="Times New Roman" w:hAnsi="Times New Roman"/>
          <w:color w:val="auto"/>
          <w:sz w:val="24"/>
          <w:szCs w:val="24"/>
          <w:highlight w:val="none"/>
        </w:rPr>
      </w:pPr>
      <w:r>
        <w:rPr>
          <w:rFonts w:ascii="Wingdings" w:hAnsi="Wingdings" w:eastAsia="Wingdings" w:cs="Wingdings"/>
          <w:color w:val="auto"/>
          <w:sz w:val="24"/>
          <w:szCs w:val="24"/>
          <w:highlight w:val="none"/>
        </w:rPr>
        <w:t></w:t>
      </w:r>
      <w:r>
        <w:rPr>
          <w:rFonts w:ascii="Times New Roman" w:hAnsi="Times New Roman"/>
          <w:color w:val="auto"/>
          <w:sz w:val="24"/>
          <w:szCs w:val="24"/>
          <w:highlight w:val="none"/>
        </w:rPr>
        <w:t>否</w:t>
      </w:r>
    </w:p>
    <w:p w14:paraId="434C6013">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是否涉及绿色产品：</w:t>
      </w:r>
    </w:p>
    <w:p w14:paraId="513A3BBB">
      <w:pPr>
        <w:spacing w:line="400" w:lineRule="exact"/>
        <w:ind w:firstLine="480"/>
        <w:rPr>
          <w:rFonts w:ascii="Times New Roman" w:hAnsi="Times New Roman"/>
          <w:color w:val="auto"/>
          <w:sz w:val="24"/>
          <w:szCs w:val="24"/>
          <w:highlight w:val="none"/>
        </w:rPr>
      </w:pPr>
      <w:r>
        <w:rPr>
          <w:rFonts w:ascii="Wingdings" w:hAnsi="Wingdings" w:eastAsia="Wingdings" w:cs="Wingdings"/>
          <w:color w:val="auto"/>
          <w:sz w:val="24"/>
          <w:szCs w:val="24"/>
          <w:highlight w:val="none"/>
        </w:rPr>
        <w:t></w:t>
      </w:r>
      <w:r>
        <w:rPr>
          <w:rFonts w:ascii="Times New Roman" w:hAnsi="Times New Roman"/>
          <w:color w:val="auto"/>
          <w:sz w:val="24"/>
          <w:szCs w:val="24"/>
          <w:highlight w:val="none"/>
        </w:rPr>
        <w:t xml:space="preserve">是，绿色产品政府采购相关政策确定的底级品目名称：         </w:t>
      </w:r>
    </w:p>
    <w:p w14:paraId="15DE525F">
      <w:pPr>
        <w:spacing w:line="400" w:lineRule="exact"/>
        <w:ind w:firstLine="480"/>
        <w:rPr>
          <w:rFonts w:ascii="Times New Roman" w:hAnsi="Times New Roman"/>
          <w:color w:val="auto"/>
          <w:sz w:val="24"/>
          <w:szCs w:val="24"/>
          <w:highlight w:val="none"/>
        </w:rPr>
      </w:pPr>
      <w:r>
        <w:rPr>
          <w:rFonts w:ascii="Wingdings" w:hAnsi="Wingdings" w:eastAsia="Wingdings" w:cs="Wingdings"/>
          <w:color w:val="auto"/>
          <w:sz w:val="24"/>
          <w:szCs w:val="24"/>
          <w:highlight w:val="none"/>
        </w:rPr>
        <w:t></w:t>
      </w:r>
      <w:r>
        <w:rPr>
          <w:rFonts w:ascii="Times New Roman" w:hAnsi="Times New Roman"/>
          <w:color w:val="auto"/>
          <w:sz w:val="24"/>
          <w:szCs w:val="24"/>
          <w:highlight w:val="none"/>
        </w:rPr>
        <w:t xml:space="preserve">强制采购       </w:t>
      </w:r>
      <w:r>
        <w:rPr>
          <w:rFonts w:ascii="Wingdings" w:hAnsi="Wingdings" w:eastAsia="Wingdings" w:cs="Wingdings"/>
          <w:color w:val="auto"/>
          <w:sz w:val="24"/>
          <w:szCs w:val="24"/>
          <w:highlight w:val="none"/>
        </w:rPr>
        <w:t></w:t>
      </w:r>
      <w:r>
        <w:rPr>
          <w:rFonts w:ascii="Times New Roman" w:hAnsi="Times New Roman"/>
          <w:color w:val="auto"/>
          <w:sz w:val="24"/>
          <w:szCs w:val="24"/>
          <w:highlight w:val="none"/>
        </w:rPr>
        <w:t xml:space="preserve">优先采购    </w:t>
      </w:r>
    </w:p>
    <w:p w14:paraId="22695EFF">
      <w:pPr>
        <w:spacing w:line="400" w:lineRule="exact"/>
        <w:ind w:firstLine="480"/>
        <w:rPr>
          <w:rFonts w:ascii="Times New Roman" w:hAnsi="Times New Roman"/>
          <w:color w:val="auto"/>
          <w:sz w:val="24"/>
          <w:szCs w:val="24"/>
          <w:highlight w:val="none"/>
        </w:rPr>
      </w:pPr>
      <w:r>
        <w:rPr>
          <w:rFonts w:ascii="Wingdings" w:hAnsi="Wingdings" w:eastAsia="Wingdings" w:cs="Wingdings"/>
          <w:color w:val="auto"/>
          <w:sz w:val="24"/>
          <w:szCs w:val="24"/>
          <w:highlight w:val="none"/>
        </w:rPr>
        <w:t></w:t>
      </w:r>
      <w:r>
        <w:rPr>
          <w:rFonts w:ascii="Times New Roman" w:hAnsi="Times New Roman"/>
          <w:color w:val="auto"/>
          <w:sz w:val="24"/>
          <w:szCs w:val="24"/>
          <w:highlight w:val="none"/>
        </w:rPr>
        <w:t>否</w:t>
      </w:r>
    </w:p>
    <w:p w14:paraId="59A38AC9">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（11）涉及商品包装和快递包装的，是否参考《商品包装政府采购需求标准（试行）》、《快递包装政府采购需求标准（试行）》明确产品及相关快递服务的具体包装要求：</w:t>
      </w:r>
    </w:p>
    <w:p w14:paraId="27998BE7">
      <w:pPr>
        <w:spacing w:line="400" w:lineRule="exact"/>
        <w:ind w:firstLine="480"/>
        <w:rPr>
          <w:rFonts w:ascii="Times New Roman" w:hAnsi="Times New Roman"/>
          <w:color w:val="auto"/>
          <w:sz w:val="24"/>
          <w:szCs w:val="24"/>
          <w:highlight w:val="none"/>
        </w:rPr>
      </w:pPr>
      <w:r>
        <w:rPr>
          <w:rFonts w:ascii="Wingdings" w:hAnsi="Wingdings" w:eastAsia="Wingdings" w:cs="Wingdings"/>
          <w:color w:val="auto"/>
          <w:sz w:val="24"/>
          <w:szCs w:val="24"/>
          <w:highlight w:val="none"/>
        </w:rPr>
        <w:t></w:t>
      </w:r>
      <w:r>
        <w:rPr>
          <w:rFonts w:ascii="Times New Roman" w:hAnsi="Times New Roman"/>
          <w:color w:val="auto"/>
          <w:sz w:val="24"/>
          <w:szCs w:val="24"/>
          <w:highlight w:val="none"/>
        </w:rPr>
        <w:t xml:space="preserve">是       </w:t>
      </w:r>
      <w:r>
        <w:rPr>
          <w:rFonts w:ascii="Wingdings" w:hAnsi="Wingdings" w:eastAsia="Wingdings" w:cs="Wingdings"/>
          <w:color w:val="auto"/>
          <w:sz w:val="24"/>
          <w:szCs w:val="24"/>
          <w:highlight w:val="none"/>
        </w:rPr>
        <w:t></w:t>
      </w:r>
      <w:r>
        <w:rPr>
          <w:rFonts w:ascii="Times New Roman" w:hAnsi="Times New Roman"/>
          <w:color w:val="auto"/>
          <w:sz w:val="24"/>
          <w:szCs w:val="24"/>
          <w:highlight w:val="none"/>
        </w:rPr>
        <w:t xml:space="preserve">否      </w:t>
      </w:r>
      <w:r>
        <w:rPr>
          <w:rFonts w:ascii="Wingdings" w:hAnsi="Wingdings" w:eastAsia="Wingdings" w:cs="Wingdings"/>
          <w:color w:val="auto"/>
          <w:sz w:val="24"/>
          <w:szCs w:val="24"/>
          <w:highlight w:val="none"/>
        </w:rPr>
        <w:t></w:t>
      </w:r>
      <w:r>
        <w:rPr>
          <w:rFonts w:ascii="Times New Roman" w:hAnsi="Times New Roman"/>
          <w:color w:val="auto"/>
          <w:sz w:val="24"/>
          <w:szCs w:val="24"/>
          <w:highlight w:val="none"/>
        </w:rPr>
        <w:t>不涉及</w:t>
      </w:r>
      <w:bookmarkEnd w:id="131"/>
    </w:p>
    <w:p w14:paraId="73C5B17B">
      <w:pPr>
        <w:spacing w:line="400" w:lineRule="exact"/>
        <w:ind w:left="482" w:firstLine="0"/>
        <w:rPr>
          <w:rFonts w:ascii="宋体" w:hAnsi="宋体"/>
          <w:b/>
          <w:color w:val="auto"/>
          <w:sz w:val="24"/>
          <w:szCs w:val="24"/>
          <w:highlight w:val="none"/>
        </w:rPr>
      </w:pPr>
      <w:r>
        <w:rPr>
          <w:rFonts w:hint="eastAsia" w:ascii="宋体" w:hAnsi="宋体"/>
          <w:b/>
          <w:color w:val="auto"/>
          <w:sz w:val="24"/>
          <w:szCs w:val="24"/>
          <w:highlight w:val="none"/>
        </w:rPr>
        <w:t>2.合同金额</w:t>
      </w:r>
    </w:p>
    <w:p w14:paraId="1B47CC61">
      <w:pPr>
        <w:spacing w:line="400" w:lineRule="exact"/>
        <w:ind w:firstLine="480"/>
        <w:rPr>
          <w:rFonts w:ascii="宋体" w:hAnsi="宋体"/>
          <w:color w:val="auto"/>
          <w:sz w:val="24"/>
          <w:szCs w:val="24"/>
          <w:highlight w:val="none"/>
        </w:rPr>
      </w:pPr>
      <w:bookmarkStart w:id="132" w:name="_Hlk187833021"/>
      <w:r>
        <w:rPr>
          <w:rFonts w:hint="eastAsia" w:ascii="宋体" w:hAnsi="宋体"/>
          <w:color w:val="auto"/>
          <w:sz w:val="24"/>
          <w:szCs w:val="24"/>
          <w:highlight w:val="none"/>
        </w:rPr>
        <w:t>（1）合同金额小写：</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大写：</w:t>
      </w:r>
      <w:r>
        <w:rPr>
          <w:rFonts w:hint="eastAsia" w:ascii="宋体" w:hAnsi="宋体"/>
          <w:color w:val="auto"/>
          <w:sz w:val="24"/>
          <w:szCs w:val="24"/>
          <w:highlight w:val="none"/>
          <w:u w:val="single"/>
        </w:rPr>
        <w:t xml:space="preserve">                     </w:t>
      </w:r>
      <w:bookmarkEnd w:id="132"/>
    </w:p>
    <w:p w14:paraId="2AD218A1">
      <w:pPr>
        <w:spacing w:line="400" w:lineRule="exact"/>
        <w:ind w:firstLine="480"/>
        <w:rPr>
          <w:rFonts w:ascii="宋体" w:hAnsi="宋体"/>
          <w:color w:val="auto"/>
          <w:sz w:val="24"/>
          <w:szCs w:val="24"/>
          <w:highlight w:val="none"/>
        </w:rPr>
      </w:pPr>
      <w:r>
        <w:rPr>
          <w:rFonts w:hint="eastAsia" w:ascii="宋体" w:hAnsi="宋体"/>
          <w:color w:val="auto"/>
          <w:sz w:val="24"/>
          <w:szCs w:val="24"/>
          <w:highlight w:val="none"/>
        </w:rPr>
        <w:t>（注：固定单价合同应填写单价和最高限价）</w:t>
      </w:r>
    </w:p>
    <w:p w14:paraId="1BC963A4">
      <w:pPr>
        <w:spacing w:line="4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注：1.本合同价格包括但不限于全部软硬件设备费、人工费、材料、机械、安装、管理、维护、工具、保险、利润、售后服务、税金、安全、政策性文件规定及合同包含的所有风险、责任等各项应有费用，甲方不再支付其他任何费用；</w:t>
      </w:r>
    </w:p>
    <w:p w14:paraId="75D65A80">
      <w:pPr>
        <w:spacing w:line="400" w:lineRule="exact"/>
        <w:ind w:firstLine="480"/>
        <w:rPr>
          <w:rFonts w:ascii="宋体" w:hAnsi="宋体"/>
          <w:color w:val="auto"/>
          <w:sz w:val="24"/>
          <w:szCs w:val="24"/>
          <w:highlight w:val="none"/>
        </w:rPr>
      </w:pPr>
      <w:r>
        <w:rPr>
          <w:rFonts w:hint="eastAsia" w:ascii="宋体" w:hAnsi="宋体" w:cs="宋体"/>
          <w:color w:val="auto"/>
          <w:sz w:val="24"/>
          <w:szCs w:val="24"/>
          <w:highlight w:val="none"/>
        </w:rPr>
        <w:t>2.根据现行税法对乙方征收的与本合同有关的一切税费均由乙方承担</w:t>
      </w:r>
      <w:r>
        <w:rPr>
          <w:rFonts w:hint="eastAsia" w:ascii="宋体" w:hAnsi="宋体" w:cs="宋体"/>
          <w:bCs/>
          <w:color w:val="auto"/>
          <w:sz w:val="24"/>
          <w:szCs w:val="24"/>
          <w:highlight w:val="none"/>
        </w:rPr>
        <w:t>。</w:t>
      </w:r>
    </w:p>
    <w:p w14:paraId="032DEEB8">
      <w:pPr>
        <w:spacing w:line="400" w:lineRule="exact"/>
        <w:ind w:firstLine="480"/>
        <w:rPr>
          <w:rFonts w:ascii="宋体" w:hAnsi="宋体"/>
          <w:color w:val="auto"/>
          <w:sz w:val="24"/>
          <w:szCs w:val="24"/>
          <w:highlight w:val="none"/>
        </w:rPr>
      </w:pPr>
      <w:r>
        <w:rPr>
          <w:rFonts w:hint="eastAsia" w:ascii="宋体" w:hAnsi="宋体"/>
          <w:color w:val="auto"/>
          <w:sz w:val="24"/>
          <w:szCs w:val="24"/>
          <w:highlight w:val="none"/>
        </w:rPr>
        <w:t>（2）合同定价方式（采用组合定价方式的，可以勾选多项）：</w:t>
      </w:r>
    </w:p>
    <w:p w14:paraId="312DDDEE">
      <w:pPr>
        <w:spacing w:line="400" w:lineRule="exact"/>
        <w:ind w:firstLine="480"/>
        <w:rPr>
          <w:rFonts w:ascii="宋体" w:hAnsi="宋体"/>
          <w:color w:val="auto"/>
          <w:sz w:val="24"/>
          <w:szCs w:val="24"/>
          <w:highlight w:val="none"/>
        </w:rPr>
      </w:pPr>
      <w:r>
        <w:rPr>
          <w:rFonts w:hint="eastAsia" w:ascii="宋体" w:hAnsi="宋体"/>
          <w:iCs/>
          <w:color w:val="auto"/>
          <w:sz w:val="24"/>
          <w:szCs w:val="24"/>
          <w:highlight w:val="none"/>
        </w:rPr>
        <w:t xml:space="preserve">  </w:t>
      </w:r>
      <w:r>
        <w:rPr>
          <w:rFonts w:ascii="Wingdings" w:hAnsi="Wingdings" w:eastAsia="Wingdings" w:cs="Wingdings"/>
          <w:iCs/>
          <w:color w:val="auto"/>
          <w:sz w:val="24"/>
          <w:szCs w:val="24"/>
          <w:highlight w:val="none"/>
        </w:rPr>
        <w:t></w:t>
      </w:r>
      <w:r>
        <w:rPr>
          <w:rFonts w:hint="eastAsia" w:ascii="宋体" w:hAnsi="宋体"/>
          <w:iCs/>
          <w:color w:val="auto"/>
          <w:sz w:val="24"/>
          <w:szCs w:val="24"/>
          <w:highlight w:val="none"/>
        </w:rPr>
        <w:t xml:space="preserve">固定总价 </w:t>
      </w:r>
      <w:r>
        <w:rPr>
          <w:rFonts w:ascii="Wingdings" w:hAnsi="Wingdings" w:eastAsia="Wingdings" w:cs="Wingdings"/>
          <w:iCs/>
          <w:color w:val="auto"/>
          <w:sz w:val="24"/>
          <w:szCs w:val="24"/>
          <w:highlight w:val="none"/>
        </w:rPr>
        <w:t></w:t>
      </w:r>
      <w:r>
        <w:rPr>
          <w:rFonts w:hint="eastAsia" w:ascii="宋体" w:hAnsi="宋体"/>
          <w:iCs/>
          <w:color w:val="auto"/>
          <w:sz w:val="24"/>
          <w:szCs w:val="24"/>
          <w:highlight w:val="none"/>
        </w:rPr>
        <w:t xml:space="preserve">固定单价 </w:t>
      </w:r>
      <w:r>
        <w:rPr>
          <w:rFonts w:ascii="Wingdings" w:hAnsi="Wingdings" w:eastAsia="Wingdings" w:cs="Wingdings"/>
          <w:iCs/>
          <w:color w:val="auto"/>
          <w:sz w:val="24"/>
          <w:szCs w:val="24"/>
          <w:highlight w:val="none"/>
        </w:rPr>
        <w:t></w:t>
      </w:r>
      <w:r>
        <w:rPr>
          <w:rFonts w:hint="eastAsia" w:ascii="宋体" w:hAnsi="宋体"/>
          <w:iCs/>
          <w:color w:val="auto"/>
          <w:sz w:val="24"/>
          <w:szCs w:val="24"/>
          <w:highlight w:val="none"/>
        </w:rPr>
        <w:t xml:space="preserve">固定费率 </w:t>
      </w:r>
      <w:r>
        <w:rPr>
          <w:rFonts w:ascii="Wingdings" w:hAnsi="Wingdings" w:eastAsia="Wingdings" w:cs="Wingdings"/>
          <w:iCs/>
          <w:color w:val="auto"/>
          <w:sz w:val="24"/>
          <w:szCs w:val="24"/>
          <w:highlight w:val="none"/>
        </w:rPr>
        <w:t></w:t>
      </w:r>
      <w:r>
        <w:rPr>
          <w:rFonts w:hint="eastAsia" w:ascii="宋体" w:hAnsi="宋体"/>
          <w:iCs/>
          <w:color w:val="auto"/>
          <w:sz w:val="24"/>
          <w:szCs w:val="24"/>
          <w:highlight w:val="none"/>
        </w:rPr>
        <w:t xml:space="preserve">成本补偿 </w:t>
      </w:r>
      <w:r>
        <w:rPr>
          <w:rFonts w:ascii="Wingdings" w:hAnsi="Wingdings" w:eastAsia="Wingdings" w:cs="Wingdings"/>
          <w:iCs/>
          <w:color w:val="auto"/>
          <w:sz w:val="24"/>
          <w:szCs w:val="24"/>
          <w:highlight w:val="none"/>
        </w:rPr>
        <w:t></w:t>
      </w:r>
      <w:r>
        <w:rPr>
          <w:rFonts w:hint="eastAsia" w:ascii="宋体" w:hAnsi="宋体"/>
          <w:iCs/>
          <w:color w:val="auto"/>
          <w:sz w:val="24"/>
          <w:szCs w:val="24"/>
          <w:highlight w:val="none"/>
        </w:rPr>
        <w:t xml:space="preserve">绩效激励 </w:t>
      </w:r>
      <w:r>
        <w:rPr>
          <w:rFonts w:ascii="Wingdings" w:hAnsi="Wingdings" w:eastAsia="Wingdings" w:cs="Wingdings"/>
          <w:iCs/>
          <w:color w:val="auto"/>
          <w:sz w:val="24"/>
          <w:szCs w:val="24"/>
          <w:highlight w:val="none"/>
        </w:rPr>
        <w:t></w:t>
      </w:r>
      <w:r>
        <w:rPr>
          <w:rFonts w:hint="eastAsia" w:ascii="宋体" w:hAnsi="宋体"/>
          <w:iCs/>
          <w:color w:val="auto"/>
          <w:sz w:val="24"/>
          <w:szCs w:val="24"/>
          <w:highlight w:val="none"/>
        </w:rPr>
        <w:t>其他</w:t>
      </w:r>
      <w:r>
        <w:rPr>
          <w:rFonts w:hint="eastAsia" w:ascii="宋体" w:hAnsi="宋体"/>
          <w:color w:val="auto"/>
          <w:sz w:val="24"/>
          <w:szCs w:val="24"/>
          <w:highlight w:val="none"/>
          <w:u w:val="single"/>
        </w:rPr>
        <w:t xml:space="preserve">       </w:t>
      </w:r>
    </w:p>
    <w:p w14:paraId="33EBF0CD">
      <w:pPr>
        <w:pStyle w:val="456"/>
        <w:spacing w:line="400" w:lineRule="exact"/>
        <w:ind w:left="0" w:firstLine="480"/>
        <w:rPr>
          <w:color w:val="auto"/>
          <w:highlight w:val="none"/>
          <w:lang w:eastAsia="zh-CN"/>
        </w:rPr>
      </w:pPr>
      <w:r>
        <w:rPr>
          <w:rFonts w:hint="eastAsia" w:ascii="宋体" w:hAnsi="宋体"/>
          <w:color w:val="auto"/>
          <w:highlight w:val="none"/>
          <w:lang w:eastAsia="zh-CN"/>
        </w:rPr>
        <w:t>（3）付款方式（按项目实际勾选填写）：</w:t>
      </w:r>
    </w:p>
    <w:p w14:paraId="4F215289">
      <w:pPr>
        <w:spacing w:line="400" w:lineRule="exact"/>
        <w:ind w:firstLine="480"/>
        <w:rPr>
          <w:rFonts w:ascii="宋体" w:hAnsi="宋体"/>
          <w:color w:val="auto"/>
          <w:sz w:val="24"/>
          <w:szCs w:val="24"/>
          <w:highlight w:val="none"/>
          <w:u w:val="single"/>
        </w:rPr>
      </w:pPr>
      <w:r>
        <w:rPr>
          <w:rFonts w:ascii="Wingdings" w:hAnsi="Wingdings" w:eastAsia="Wingdings" w:cs="Wingdings"/>
          <w:color w:val="auto"/>
          <w:sz w:val="24"/>
          <w:szCs w:val="24"/>
          <w:highlight w:val="none"/>
        </w:rPr>
        <w:t></w:t>
      </w:r>
      <w:r>
        <w:rPr>
          <w:rFonts w:hint="eastAsia" w:ascii="宋体" w:hAnsi="宋体"/>
          <w:color w:val="auto"/>
          <w:sz w:val="24"/>
          <w:szCs w:val="24"/>
          <w:highlight w:val="none"/>
        </w:rPr>
        <w:t>全额付款：</w:t>
      </w:r>
      <w:r>
        <w:rPr>
          <w:rFonts w:hint="eastAsia" w:ascii="宋体" w:hAnsi="宋体"/>
          <w:color w:val="auto"/>
          <w:sz w:val="24"/>
          <w:szCs w:val="24"/>
          <w:highlight w:val="none"/>
          <w:u w:val="single"/>
        </w:rPr>
        <w:t xml:space="preserve">（应明确一次性支付合同款项的条件）                    </w:t>
      </w:r>
    </w:p>
    <w:p w14:paraId="43FDA8FB">
      <w:pPr>
        <w:spacing w:line="400" w:lineRule="exact"/>
        <w:ind w:firstLine="480"/>
        <w:rPr>
          <w:rFonts w:ascii="宋体" w:hAnsi="宋体"/>
          <w:color w:val="auto"/>
          <w:sz w:val="24"/>
          <w:szCs w:val="24"/>
          <w:highlight w:val="none"/>
        </w:rPr>
      </w:pPr>
      <w:r>
        <w:rPr>
          <w:rFonts w:ascii="Wingdings" w:hAnsi="Wingdings" w:eastAsia="Wingdings" w:cs="Wingdings"/>
          <w:color w:val="auto"/>
          <w:sz w:val="24"/>
          <w:szCs w:val="24"/>
          <w:highlight w:val="none"/>
        </w:rPr>
        <w:t></w:t>
      </w:r>
      <w:r>
        <w:rPr>
          <w:rFonts w:hint="eastAsia" w:ascii="宋体" w:hAnsi="宋体"/>
          <w:color w:val="auto"/>
          <w:sz w:val="24"/>
          <w:szCs w:val="24"/>
          <w:highlight w:val="none"/>
        </w:rPr>
        <w:t>分期付款：</w:t>
      </w:r>
      <w:bookmarkStart w:id="133" w:name="_Hlk187834001"/>
      <w:r>
        <w:rPr>
          <w:rFonts w:hint="eastAsia" w:ascii="宋体" w:hAnsi="宋体" w:cs="Courier New"/>
          <w:color w:val="auto"/>
          <w:sz w:val="24"/>
          <w:szCs w:val="24"/>
          <w:highlight w:val="none"/>
        </w:rPr>
        <w:t>（应明确分期支付合同款项的各期比例和支付条件，各期支付条件应与分期履约验收情况挂钩）</w:t>
      </w:r>
      <w:bookmarkEnd w:id="133"/>
    </w:p>
    <w:p w14:paraId="162A6096">
      <w:pPr>
        <w:pStyle w:val="188"/>
        <w:spacing w:line="480" w:lineRule="exact"/>
        <w:ind w:firstLine="482"/>
        <w:jc w:val="left"/>
        <w:rPr>
          <w:rFonts w:ascii="宋体" w:hAnsi="宋体" w:cs="宋体"/>
          <w:color w:val="auto"/>
          <w:sz w:val="24"/>
          <w:highlight w:val="none"/>
        </w:rPr>
      </w:pPr>
      <w:r>
        <w:rPr>
          <w:rFonts w:hint="eastAsia" w:ascii="宋体" w:hAnsi="宋体" w:cs="宋体"/>
          <w:color w:val="auto"/>
          <w:sz w:val="24"/>
          <w:highlight w:val="none"/>
        </w:rPr>
        <w:t xml:space="preserve">预付款：签订合同后，自收到供应商发票后10个工作日内采购人支付合同总价款的30%； </w:t>
      </w:r>
    </w:p>
    <w:p w14:paraId="2DC3F5F9">
      <w:pPr>
        <w:pStyle w:val="188"/>
        <w:spacing w:line="480" w:lineRule="exact"/>
        <w:ind w:firstLine="482"/>
        <w:jc w:val="left"/>
        <w:rPr>
          <w:rFonts w:ascii="宋体" w:hAnsi="宋体" w:cs="宋体"/>
          <w:color w:val="auto"/>
          <w:sz w:val="24"/>
          <w:highlight w:val="none"/>
        </w:rPr>
      </w:pPr>
      <w:r>
        <w:rPr>
          <w:rFonts w:hint="eastAsia" w:ascii="宋体" w:hAnsi="宋体" w:cs="宋体"/>
          <w:color w:val="auto"/>
          <w:sz w:val="24"/>
          <w:highlight w:val="none"/>
        </w:rPr>
        <w:t>进度款：全部设备安装调试完毕经验收合格且收到供应商发票后10个工作日内付至合同价款的100%。</w:t>
      </w:r>
    </w:p>
    <w:p w14:paraId="30681032">
      <w:pPr>
        <w:pStyle w:val="188"/>
        <w:spacing w:line="480" w:lineRule="exact"/>
        <w:ind w:firstLine="482"/>
        <w:jc w:val="left"/>
        <w:rPr>
          <w:rFonts w:ascii="宋体" w:hAnsi="宋体" w:cs="宋体"/>
          <w:color w:val="auto"/>
          <w:sz w:val="24"/>
          <w:highlight w:val="none"/>
        </w:rPr>
      </w:pPr>
      <w:r>
        <w:rPr>
          <w:rFonts w:hint="eastAsia" w:ascii="宋体" w:hAnsi="宋体" w:cs="宋体"/>
          <w:color w:val="auto"/>
          <w:sz w:val="24"/>
          <w:highlight w:val="none"/>
        </w:rPr>
        <w:t>备注:</w:t>
      </w:r>
    </w:p>
    <w:p w14:paraId="7134CD7F">
      <w:pPr>
        <w:pStyle w:val="188"/>
        <w:spacing w:line="480" w:lineRule="exact"/>
        <w:ind w:firstLine="482"/>
        <w:jc w:val="left"/>
        <w:rPr>
          <w:rFonts w:ascii="宋体" w:hAnsi="宋体" w:cs="宋体"/>
          <w:color w:val="auto"/>
          <w:sz w:val="24"/>
          <w:highlight w:val="none"/>
        </w:rPr>
      </w:pPr>
      <w:r>
        <w:rPr>
          <w:rFonts w:hint="eastAsia" w:ascii="宋体" w:hAnsi="宋体" w:cs="宋体"/>
          <w:color w:val="auto"/>
          <w:sz w:val="24"/>
          <w:highlight w:val="none"/>
        </w:rPr>
        <w:t>(1)可以采用数字人民币支付。</w:t>
      </w:r>
    </w:p>
    <w:p w14:paraId="5D7057B1">
      <w:pPr>
        <w:pStyle w:val="188"/>
        <w:spacing w:line="480" w:lineRule="exact"/>
        <w:ind w:firstLine="482"/>
        <w:jc w:val="left"/>
        <w:rPr>
          <w:rFonts w:ascii="宋体" w:hAnsi="宋体" w:cs="宋体"/>
          <w:color w:val="auto"/>
          <w:sz w:val="24"/>
          <w:highlight w:val="none"/>
        </w:rPr>
      </w:pPr>
      <w:r>
        <w:rPr>
          <w:rFonts w:hint="eastAsia" w:ascii="宋体" w:hAnsi="宋体" w:cs="宋体"/>
          <w:color w:val="auto"/>
          <w:sz w:val="24"/>
          <w:highlight w:val="none"/>
        </w:rPr>
        <w:t>(2)资金支付的时间:收到乙方发票后10个工作日内。</w:t>
      </w:r>
    </w:p>
    <w:p w14:paraId="2824FF61">
      <w:pPr>
        <w:pStyle w:val="188"/>
        <w:spacing w:line="480" w:lineRule="exact"/>
        <w:ind w:firstLine="482"/>
        <w:jc w:val="left"/>
        <w:rPr>
          <w:rFonts w:ascii="宋体" w:hAnsi="宋体" w:cs="宋体"/>
          <w:color w:val="auto"/>
          <w:sz w:val="24"/>
          <w:highlight w:val="none"/>
        </w:rPr>
      </w:pPr>
      <w:r>
        <w:rPr>
          <w:rFonts w:hint="eastAsia" w:ascii="宋体" w:hAnsi="宋体" w:cs="宋体"/>
          <w:color w:val="auto"/>
          <w:sz w:val="24"/>
          <w:highlight w:val="none"/>
        </w:rPr>
        <w:t>(3)资金支付的条件:满足相应阶段的要求且收到乙方发票。</w:t>
      </w:r>
    </w:p>
    <w:p w14:paraId="7CD3BB1B">
      <w:pPr>
        <w:spacing w:line="400" w:lineRule="exact"/>
        <w:ind w:firstLine="480"/>
        <w:rPr>
          <w:rFonts w:ascii="宋体" w:hAnsi="宋体" w:cs="Courier New"/>
          <w:color w:val="auto"/>
          <w:sz w:val="24"/>
          <w:szCs w:val="24"/>
          <w:highlight w:val="none"/>
        </w:rPr>
      </w:pPr>
      <w:r>
        <w:rPr>
          <w:rFonts w:hint="eastAsia" w:ascii="宋体" w:hAnsi="宋体" w:cs="宋体"/>
          <w:color w:val="auto"/>
          <w:sz w:val="24"/>
          <w:highlight w:val="none"/>
        </w:rPr>
        <w:t>(4)在签订合同时，乙方明确表示无需预付款或者主动要求降低预付款比例的，甲方可不适用前述规定。</w:t>
      </w:r>
    </w:p>
    <w:p w14:paraId="7F857B74">
      <w:pPr>
        <w:spacing w:line="400" w:lineRule="exact"/>
        <w:ind w:firstLine="480"/>
        <w:rPr>
          <w:rFonts w:ascii="宋体" w:hAnsi="宋体"/>
          <w:color w:val="auto"/>
          <w:sz w:val="24"/>
          <w:szCs w:val="24"/>
          <w:highlight w:val="none"/>
          <w:u w:val="single"/>
        </w:rPr>
      </w:pPr>
      <w:r>
        <w:rPr>
          <w:rFonts w:ascii="Wingdings" w:hAnsi="Wingdings" w:eastAsia="Wingdings" w:cs="Wingdings"/>
          <w:color w:val="auto"/>
          <w:sz w:val="24"/>
          <w:szCs w:val="24"/>
          <w:highlight w:val="none"/>
        </w:rPr>
        <w:t></w:t>
      </w:r>
      <w:r>
        <w:rPr>
          <w:rFonts w:hint="eastAsia" w:ascii="宋体" w:hAnsi="宋体"/>
          <w:color w:val="auto"/>
          <w:sz w:val="24"/>
          <w:szCs w:val="24"/>
          <w:highlight w:val="none"/>
        </w:rPr>
        <w:t>成本补偿：</w:t>
      </w:r>
      <w:r>
        <w:rPr>
          <w:rFonts w:hint="eastAsia" w:ascii="宋体" w:hAnsi="宋体"/>
          <w:color w:val="auto"/>
          <w:sz w:val="24"/>
          <w:szCs w:val="24"/>
          <w:highlight w:val="none"/>
          <w:u w:val="single"/>
        </w:rPr>
        <w:t xml:space="preserve">      （应明确按照成本补偿方式的支付方式和支付条件）</w:t>
      </w:r>
    </w:p>
    <w:p w14:paraId="0481FD30">
      <w:pPr>
        <w:spacing w:line="400" w:lineRule="exact"/>
        <w:ind w:firstLine="480"/>
        <w:rPr>
          <w:color w:val="auto"/>
          <w:sz w:val="24"/>
          <w:szCs w:val="24"/>
          <w:highlight w:val="none"/>
        </w:rPr>
      </w:pPr>
      <w:r>
        <w:rPr>
          <w:rFonts w:ascii="Wingdings" w:hAnsi="Wingdings" w:eastAsia="Wingdings" w:cs="Wingdings"/>
          <w:color w:val="auto"/>
          <w:sz w:val="24"/>
          <w:szCs w:val="24"/>
          <w:highlight w:val="none"/>
        </w:rPr>
        <w:t></w:t>
      </w:r>
      <w:r>
        <w:rPr>
          <w:rFonts w:hint="eastAsia" w:ascii="宋体" w:hAnsi="宋体"/>
          <w:color w:val="auto"/>
          <w:sz w:val="24"/>
          <w:szCs w:val="24"/>
          <w:highlight w:val="none"/>
        </w:rPr>
        <w:t>绩效激励：</w:t>
      </w:r>
      <w:r>
        <w:rPr>
          <w:rFonts w:hint="eastAsia" w:ascii="宋体" w:hAnsi="宋体"/>
          <w:color w:val="auto"/>
          <w:sz w:val="24"/>
          <w:szCs w:val="24"/>
          <w:highlight w:val="none"/>
          <w:u w:val="single"/>
        </w:rPr>
        <w:t xml:space="preserve">      （应明确按照绩效激励方式的支付方式和支付条件）   </w:t>
      </w:r>
    </w:p>
    <w:p w14:paraId="3D5D88A3">
      <w:pPr>
        <w:spacing w:line="400" w:lineRule="exact"/>
        <w:ind w:left="482"/>
        <w:rPr>
          <w:rFonts w:ascii="Times New Roman" w:hAnsi="Times New Roman"/>
          <w:b/>
          <w:color w:val="auto"/>
          <w:sz w:val="24"/>
          <w:szCs w:val="24"/>
          <w:highlight w:val="none"/>
          <w:u w:val="single"/>
        </w:rPr>
      </w:pPr>
      <w:bookmarkStart w:id="134" w:name="_Hlk187834132"/>
      <w:r>
        <w:rPr>
          <w:rFonts w:ascii="Times New Roman" w:hAnsi="Times New Roman"/>
          <w:b/>
          <w:color w:val="auto"/>
          <w:sz w:val="24"/>
          <w:szCs w:val="24"/>
          <w:highlight w:val="none"/>
        </w:rPr>
        <w:t>3.合同履行</w:t>
      </w:r>
    </w:p>
    <w:p w14:paraId="157CD760">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（1）起始日期：</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年</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月</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日，完成日期：</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年</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月</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日。</w:t>
      </w:r>
    </w:p>
    <w:p w14:paraId="08D8537A">
      <w:pPr>
        <w:spacing w:line="400" w:lineRule="exact"/>
        <w:ind w:firstLine="480"/>
        <w:rPr>
          <w:rFonts w:ascii="Times New Roman" w:hAnsi="Times New Roman"/>
          <w:color w:val="auto"/>
          <w:sz w:val="24"/>
          <w:szCs w:val="24"/>
          <w:highlight w:val="none"/>
          <w:u w:val="single"/>
        </w:rPr>
      </w:pPr>
      <w:r>
        <w:rPr>
          <w:rFonts w:ascii="Times New Roman" w:hAnsi="Times New Roman"/>
          <w:color w:val="auto"/>
          <w:sz w:val="24"/>
          <w:szCs w:val="24"/>
          <w:highlight w:val="none"/>
        </w:rPr>
        <w:t>（2）履约地点</w:t>
      </w:r>
      <w:r>
        <w:rPr>
          <w:rFonts w:ascii="Times New Roman" w:hAnsi="Times New Roman"/>
          <w:bCs/>
          <w:color w:val="auto"/>
          <w:sz w:val="24"/>
          <w:szCs w:val="24"/>
          <w:highlight w:val="none"/>
        </w:rPr>
        <w:t>：</w:t>
      </w:r>
      <w:r>
        <w:rPr>
          <w:rFonts w:ascii="Times New Roman" w:hAnsi="Times New Roman"/>
          <w:color w:val="auto"/>
          <w:sz w:val="24"/>
          <w:szCs w:val="24"/>
          <w:highlight w:val="none"/>
          <w:u w:val="single"/>
        </w:rPr>
        <w:t xml:space="preserve">                             </w:t>
      </w:r>
    </w:p>
    <w:p w14:paraId="65DD7415">
      <w:pPr>
        <w:spacing w:line="400" w:lineRule="exact"/>
        <w:ind w:firstLine="480"/>
        <w:rPr>
          <w:rFonts w:ascii="Times New Roman" w:hAnsi="Times New Roman"/>
          <w:color w:val="auto"/>
          <w:sz w:val="24"/>
          <w:szCs w:val="24"/>
          <w:highlight w:val="none"/>
        </w:rPr>
      </w:pPr>
      <w:r>
        <w:rPr>
          <w:rFonts w:ascii="Times New Roman" w:hAnsi="Times New Roman"/>
          <w:bCs/>
          <w:color w:val="auto"/>
          <w:sz w:val="24"/>
          <w:szCs w:val="24"/>
          <w:highlight w:val="none"/>
        </w:rPr>
        <w:t>（3）履约担保：</w:t>
      </w:r>
      <w:bookmarkStart w:id="135" w:name="_Hlk187834600"/>
      <w:r>
        <w:rPr>
          <w:rFonts w:ascii="Times New Roman" w:hAnsi="Times New Roman"/>
          <w:color w:val="auto"/>
          <w:sz w:val="24"/>
          <w:szCs w:val="24"/>
          <w:highlight w:val="none"/>
        </w:rPr>
        <w:t>是否收取履约保证金：</w:t>
      </w:r>
      <w:r>
        <w:rPr>
          <w:rFonts w:ascii="Wingdings" w:hAnsi="Wingdings" w:eastAsia="Wingdings" w:cs="Wingdings"/>
          <w:color w:val="auto"/>
          <w:sz w:val="24"/>
          <w:szCs w:val="24"/>
          <w:highlight w:val="none"/>
        </w:rPr>
        <w:t></w:t>
      </w:r>
      <w:r>
        <w:rPr>
          <w:rFonts w:ascii="Times New Roman" w:hAnsi="Times New Roman"/>
          <w:color w:val="auto"/>
          <w:sz w:val="24"/>
          <w:szCs w:val="24"/>
          <w:highlight w:val="none"/>
        </w:rPr>
        <w:t xml:space="preserve">是    </w:t>
      </w:r>
      <w:r>
        <w:rPr>
          <w:rFonts w:ascii="Wingdings" w:hAnsi="Wingdings" w:eastAsia="Wingdings" w:cs="Wingdings"/>
          <w:color w:val="auto"/>
          <w:sz w:val="24"/>
          <w:szCs w:val="24"/>
          <w:highlight w:val="none"/>
        </w:rPr>
        <w:t>¨</w:t>
      </w:r>
      <w:r>
        <w:rPr>
          <w:rFonts w:ascii="Times New Roman" w:hAnsi="Times New Roman"/>
          <w:color w:val="auto"/>
          <w:sz w:val="24"/>
          <w:szCs w:val="24"/>
          <w:highlight w:val="none"/>
        </w:rPr>
        <w:t>否(备注：选择否删除以下履约保证金相关条款，招标文件定稿后该备注删除。）</w:t>
      </w:r>
      <w:bookmarkEnd w:id="135"/>
    </w:p>
    <w:p w14:paraId="754336D1">
      <w:pPr>
        <w:spacing w:line="400" w:lineRule="exact"/>
        <w:ind w:firstLine="480"/>
        <w:rPr>
          <w:rFonts w:ascii="Times New Roman" w:hAnsi="Times New Roman"/>
          <w:bCs/>
          <w:color w:val="auto"/>
          <w:sz w:val="24"/>
          <w:szCs w:val="24"/>
          <w:highlight w:val="none"/>
        </w:rPr>
      </w:pPr>
      <w:r>
        <w:rPr>
          <w:rFonts w:hint="eastAsia" w:ascii="Times New Roman" w:hAnsi="Times New Roman"/>
          <w:bCs/>
          <w:color w:val="auto"/>
          <w:sz w:val="24"/>
          <w:szCs w:val="24"/>
          <w:highlight w:val="none"/>
        </w:rPr>
        <w:t>3.1履约保证金提交形式</w:t>
      </w:r>
    </w:p>
    <w:p w14:paraId="0666F15C">
      <w:pPr>
        <w:spacing w:line="400" w:lineRule="exact"/>
        <w:ind w:firstLine="480"/>
        <w:rPr>
          <w:rFonts w:ascii="Times New Roman" w:hAnsi="Times New Roman"/>
          <w:bCs/>
          <w:color w:val="auto"/>
          <w:sz w:val="24"/>
          <w:szCs w:val="24"/>
          <w:highlight w:val="none"/>
        </w:rPr>
      </w:pPr>
      <w:r>
        <w:rPr>
          <w:rFonts w:hint="eastAsia" w:ascii="Times New Roman" w:hAnsi="Times New Roman"/>
          <w:bCs/>
          <w:color w:val="auto"/>
          <w:sz w:val="24"/>
          <w:szCs w:val="24"/>
          <w:highlight w:val="none"/>
        </w:rPr>
        <w:t>履约保证金应在中标公告发布之日起7日历天内提交。除银行电汇、网上银行、数字人民币外，乙方还可选用银行保函、担保公司的保证担保或保险公司的保证保险等多种形式向甲方缴纳。</w:t>
      </w:r>
    </w:p>
    <w:p w14:paraId="7B4688C2">
      <w:pPr>
        <w:spacing w:line="400" w:lineRule="exact"/>
        <w:ind w:firstLine="480"/>
        <w:rPr>
          <w:rFonts w:ascii="Times New Roman" w:hAnsi="Times New Roman"/>
          <w:bCs/>
          <w:color w:val="auto"/>
          <w:sz w:val="24"/>
          <w:szCs w:val="24"/>
          <w:highlight w:val="none"/>
        </w:rPr>
      </w:pPr>
      <w:r>
        <w:rPr>
          <w:rFonts w:hint="eastAsia" w:ascii="Times New Roman" w:hAnsi="Times New Roman"/>
          <w:bCs/>
          <w:color w:val="auto"/>
          <w:sz w:val="24"/>
          <w:szCs w:val="24"/>
          <w:highlight w:val="none"/>
        </w:rPr>
        <w:t>3.2履约保证金提交金额</w:t>
      </w:r>
    </w:p>
    <w:p w14:paraId="3681E505">
      <w:pPr>
        <w:spacing w:line="400" w:lineRule="exact"/>
        <w:ind w:firstLine="480"/>
        <w:rPr>
          <w:rFonts w:ascii="Times New Roman" w:hAnsi="Times New Roman"/>
          <w:bCs/>
          <w:color w:val="auto"/>
          <w:sz w:val="24"/>
          <w:szCs w:val="24"/>
          <w:highlight w:val="none"/>
        </w:rPr>
      </w:pPr>
      <w:r>
        <w:rPr>
          <w:rFonts w:hint="eastAsia" w:ascii="Times New Roman" w:hAnsi="Times New Roman"/>
          <w:bCs/>
          <w:color w:val="auto"/>
          <w:sz w:val="24"/>
          <w:szCs w:val="24"/>
          <w:highlight w:val="none"/>
        </w:rPr>
        <w:t>按采购合同总价的2%提交。</w:t>
      </w:r>
    </w:p>
    <w:p w14:paraId="686B3366">
      <w:pPr>
        <w:spacing w:line="400" w:lineRule="exact"/>
        <w:ind w:firstLine="480"/>
        <w:rPr>
          <w:rFonts w:ascii="Times New Roman" w:hAnsi="Times New Roman"/>
          <w:bCs/>
          <w:color w:val="auto"/>
          <w:sz w:val="24"/>
          <w:szCs w:val="24"/>
          <w:highlight w:val="none"/>
        </w:rPr>
      </w:pPr>
      <w:r>
        <w:rPr>
          <w:rFonts w:hint="eastAsia" w:ascii="Times New Roman" w:hAnsi="Times New Roman"/>
          <w:bCs/>
          <w:color w:val="auto"/>
          <w:sz w:val="24"/>
          <w:szCs w:val="24"/>
          <w:highlight w:val="none"/>
        </w:rPr>
        <w:t>支持和鼓励乙方使用江苏政府采购电子履约保函（保险）代替缴纳履约保证金，乙方如使用江苏政府采购电子履约保函（保险）的，可按采购合同总价的 1.2 %（履约保证金原提交金额的6折）提交。办理流程、偿付等内容见江苏政府采购网“保险保函”模块。</w:t>
      </w:r>
    </w:p>
    <w:p w14:paraId="634FEE30">
      <w:pPr>
        <w:spacing w:line="400" w:lineRule="exact"/>
        <w:ind w:firstLine="480"/>
        <w:rPr>
          <w:rFonts w:ascii="Times New Roman" w:hAnsi="Times New Roman"/>
          <w:bCs/>
          <w:color w:val="auto"/>
          <w:sz w:val="24"/>
          <w:szCs w:val="24"/>
          <w:highlight w:val="none"/>
        </w:rPr>
      </w:pPr>
      <w:r>
        <w:rPr>
          <w:rFonts w:hint="eastAsia" w:ascii="Times New Roman" w:hAnsi="Times New Roman"/>
          <w:bCs/>
          <w:color w:val="auto"/>
          <w:sz w:val="24"/>
          <w:szCs w:val="24"/>
          <w:highlight w:val="none"/>
        </w:rPr>
        <w:t>3.3履约保证金退还方式</w:t>
      </w:r>
    </w:p>
    <w:p w14:paraId="6A6CEC53">
      <w:pPr>
        <w:spacing w:line="400" w:lineRule="exact"/>
        <w:ind w:firstLine="480"/>
        <w:rPr>
          <w:rFonts w:ascii="Times New Roman" w:hAnsi="Times New Roman"/>
          <w:bCs/>
          <w:color w:val="auto"/>
          <w:sz w:val="24"/>
          <w:szCs w:val="24"/>
          <w:highlight w:val="none"/>
        </w:rPr>
      </w:pPr>
      <w:r>
        <w:rPr>
          <w:rFonts w:hint="eastAsia" w:ascii="Times New Roman" w:hAnsi="Times New Roman"/>
          <w:bCs/>
          <w:color w:val="auto"/>
          <w:sz w:val="24"/>
          <w:szCs w:val="24"/>
          <w:highlight w:val="none"/>
        </w:rPr>
        <w:t>以银行电汇、网上银行、数字人民币形式缴纳履约保证金的，退回至乙方存款账户或数字人民币账户；以保函、担保、保险等形式缴纳履约保证金的，在保函、担保、保险约定的保证期限届满之日起自行失效。</w:t>
      </w:r>
    </w:p>
    <w:p w14:paraId="431CA28F">
      <w:pPr>
        <w:spacing w:line="400" w:lineRule="exact"/>
        <w:ind w:firstLine="480"/>
        <w:rPr>
          <w:rFonts w:ascii="Times New Roman" w:hAnsi="Times New Roman"/>
          <w:bCs/>
          <w:color w:val="auto"/>
          <w:sz w:val="24"/>
          <w:szCs w:val="24"/>
          <w:highlight w:val="none"/>
        </w:rPr>
      </w:pPr>
      <w:r>
        <w:rPr>
          <w:rFonts w:hint="eastAsia" w:ascii="Times New Roman" w:hAnsi="Times New Roman"/>
          <w:bCs/>
          <w:color w:val="auto"/>
          <w:sz w:val="24"/>
          <w:szCs w:val="24"/>
          <w:highlight w:val="none"/>
        </w:rPr>
        <w:t>3.4履约保证金退还条件，按以下第 a 方式执行：</w:t>
      </w:r>
    </w:p>
    <w:p w14:paraId="717B94AD">
      <w:pPr>
        <w:spacing w:line="400" w:lineRule="exact"/>
        <w:ind w:firstLine="480"/>
        <w:rPr>
          <w:rFonts w:ascii="Times New Roman" w:hAnsi="Times New Roman"/>
          <w:bCs/>
          <w:color w:val="auto"/>
          <w:sz w:val="24"/>
          <w:szCs w:val="24"/>
          <w:highlight w:val="none"/>
        </w:rPr>
      </w:pPr>
      <w:r>
        <w:rPr>
          <w:rFonts w:hint="eastAsia" w:ascii="Times New Roman" w:hAnsi="Times New Roman"/>
          <w:bCs/>
          <w:color w:val="auto"/>
          <w:sz w:val="24"/>
          <w:szCs w:val="24"/>
          <w:highlight w:val="none"/>
        </w:rPr>
        <w:t>a、货物类项目，项目验收合格，出具验收报告及履约保证金收据申请退付；</w:t>
      </w:r>
    </w:p>
    <w:p w14:paraId="5CD281DE">
      <w:pPr>
        <w:spacing w:line="400" w:lineRule="exact"/>
        <w:ind w:firstLine="480"/>
        <w:rPr>
          <w:rFonts w:ascii="Times New Roman" w:hAnsi="Times New Roman"/>
          <w:bCs/>
          <w:color w:val="auto"/>
          <w:sz w:val="24"/>
          <w:szCs w:val="24"/>
          <w:highlight w:val="none"/>
        </w:rPr>
      </w:pPr>
      <w:r>
        <w:rPr>
          <w:rFonts w:hint="eastAsia" w:ascii="Times New Roman" w:hAnsi="Times New Roman"/>
          <w:bCs/>
          <w:color w:val="auto"/>
          <w:sz w:val="24"/>
          <w:szCs w:val="24"/>
          <w:highlight w:val="none"/>
        </w:rPr>
        <w:t>b、服务类项目，项目履约期满评价合格，出具履约评价报告及履约保证金收据申请退付；</w:t>
      </w:r>
    </w:p>
    <w:p w14:paraId="72BA23FB">
      <w:pPr>
        <w:spacing w:line="400" w:lineRule="exact"/>
        <w:ind w:firstLine="480"/>
        <w:rPr>
          <w:rFonts w:ascii="Times New Roman" w:hAnsi="Times New Roman"/>
          <w:bCs/>
          <w:color w:val="auto"/>
          <w:sz w:val="24"/>
          <w:szCs w:val="24"/>
          <w:highlight w:val="none"/>
        </w:rPr>
      </w:pPr>
      <w:r>
        <w:rPr>
          <w:rFonts w:hint="eastAsia" w:ascii="Times New Roman" w:hAnsi="Times New Roman"/>
          <w:bCs/>
          <w:color w:val="auto"/>
          <w:sz w:val="24"/>
          <w:szCs w:val="24"/>
          <w:highlight w:val="none"/>
        </w:rPr>
        <w:t>c、工程类项目，项目完工验收合格，出具完工证明及履约保证金收据申请退付；</w:t>
      </w:r>
    </w:p>
    <w:p w14:paraId="2AC041F2">
      <w:pPr>
        <w:spacing w:line="400" w:lineRule="exact"/>
        <w:ind w:firstLine="480"/>
        <w:rPr>
          <w:rFonts w:ascii="Times New Roman" w:hAnsi="Times New Roman"/>
          <w:bCs/>
          <w:color w:val="auto"/>
          <w:sz w:val="24"/>
          <w:szCs w:val="24"/>
          <w:highlight w:val="none"/>
        </w:rPr>
      </w:pPr>
      <w:r>
        <w:rPr>
          <w:rFonts w:hint="eastAsia" w:ascii="Times New Roman" w:hAnsi="Times New Roman"/>
          <w:bCs/>
          <w:color w:val="auto"/>
          <w:sz w:val="24"/>
          <w:szCs w:val="24"/>
          <w:highlight w:val="none"/>
        </w:rPr>
        <w:t>3.5履约保证金退还时间</w:t>
      </w:r>
    </w:p>
    <w:p w14:paraId="6AB7F2A6">
      <w:pPr>
        <w:spacing w:line="400" w:lineRule="exact"/>
        <w:ind w:firstLine="480"/>
        <w:rPr>
          <w:rFonts w:ascii="Times New Roman" w:hAnsi="Times New Roman"/>
          <w:bCs/>
          <w:color w:val="auto"/>
          <w:sz w:val="24"/>
          <w:szCs w:val="24"/>
          <w:highlight w:val="none"/>
        </w:rPr>
      </w:pPr>
      <w:r>
        <w:rPr>
          <w:rFonts w:hint="eastAsia" w:ascii="Times New Roman" w:hAnsi="Times New Roman"/>
          <w:bCs/>
          <w:color w:val="auto"/>
          <w:sz w:val="24"/>
          <w:szCs w:val="24"/>
          <w:highlight w:val="none"/>
        </w:rPr>
        <w:t>甲方收到乙方退付申请后5个工作日内退还。</w:t>
      </w:r>
    </w:p>
    <w:p w14:paraId="697964DE">
      <w:pPr>
        <w:spacing w:line="400" w:lineRule="exact"/>
        <w:ind w:firstLine="480"/>
        <w:rPr>
          <w:rFonts w:ascii="Times New Roman" w:hAnsi="Times New Roman"/>
          <w:bCs/>
          <w:color w:val="auto"/>
          <w:sz w:val="24"/>
          <w:szCs w:val="24"/>
          <w:highlight w:val="none"/>
        </w:rPr>
      </w:pPr>
      <w:r>
        <w:rPr>
          <w:rFonts w:hint="eastAsia" w:ascii="Times New Roman" w:hAnsi="Times New Roman"/>
          <w:bCs/>
          <w:color w:val="auto"/>
          <w:sz w:val="24"/>
          <w:szCs w:val="24"/>
          <w:highlight w:val="none"/>
        </w:rPr>
        <w:t>3.6履约保证金不予退还情形</w:t>
      </w:r>
    </w:p>
    <w:p w14:paraId="02142B2F">
      <w:pPr>
        <w:spacing w:line="400" w:lineRule="exact"/>
        <w:ind w:firstLine="480"/>
        <w:rPr>
          <w:rFonts w:ascii="Times New Roman" w:hAnsi="Times New Roman"/>
          <w:bCs/>
          <w:color w:val="auto"/>
          <w:sz w:val="24"/>
          <w:szCs w:val="24"/>
          <w:highlight w:val="none"/>
        </w:rPr>
      </w:pPr>
      <w:r>
        <w:rPr>
          <w:rFonts w:hint="eastAsia" w:ascii="Times New Roman" w:hAnsi="Times New Roman"/>
          <w:bCs/>
          <w:color w:val="auto"/>
          <w:sz w:val="24"/>
          <w:szCs w:val="24"/>
          <w:highlight w:val="none"/>
        </w:rPr>
        <w:t>除不可抗力外，乙方不履行与甲方订立的采购合同的，履约保证金不予退还，给甲方造成的损失超过履约保证金数额的，还应对超过部分予以赔偿。</w:t>
      </w:r>
    </w:p>
    <w:p w14:paraId="76282460">
      <w:pPr>
        <w:spacing w:line="400" w:lineRule="exact"/>
        <w:ind w:firstLine="480"/>
        <w:rPr>
          <w:rFonts w:ascii="Times New Roman" w:hAnsi="Times New Roman"/>
          <w:bCs/>
          <w:color w:val="auto"/>
          <w:sz w:val="24"/>
          <w:szCs w:val="24"/>
          <w:highlight w:val="none"/>
        </w:rPr>
      </w:pPr>
      <w:r>
        <w:rPr>
          <w:rFonts w:hint="eastAsia" w:ascii="Times New Roman" w:hAnsi="Times New Roman"/>
          <w:bCs/>
          <w:color w:val="auto"/>
          <w:sz w:val="24"/>
          <w:szCs w:val="24"/>
          <w:highlight w:val="none"/>
        </w:rPr>
        <w:t>3.7逾期退还履约保证金违约责任</w:t>
      </w:r>
    </w:p>
    <w:p w14:paraId="4460C448">
      <w:pPr>
        <w:spacing w:line="400" w:lineRule="exact"/>
        <w:ind w:firstLine="480"/>
        <w:rPr>
          <w:rFonts w:ascii="Times New Roman" w:hAnsi="Times New Roman"/>
          <w:bCs/>
          <w:color w:val="auto"/>
          <w:sz w:val="24"/>
          <w:szCs w:val="24"/>
          <w:highlight w:val="none"/>
        </w:rPr>
      </w:pPr>
      <w:r>
        <w:rPr>
          <w:rFonts w:hint="eastAsia" w:ascii="Times New Roman" w:hAnsi="Times New Roman"/>
          <w:bCs/>
          <w:color w:val="auto"/>
          <w:sz w:val="24"/>
          <w:szCs w:val="24"/>
          <w:highlight w:val="none"/>
        </w:rPr>
        <w:t>甲方逾期退还履约保证金的，除应退还履约保证金外，还应按中国人民银行同期贷款基准利率上浮20％后的利率支付超期资金占用费，但因乙方自身原因导致无法及时退还的除外。</w:t>
      </w:r>
    </w:p>
    <w:p w14:paraId="7E01B6EE">
      <w:pPr>
        <w:spacing w:line="400" w:lineRule="exact"/>
        <w:ind w:firstLine="480"/>
        <w:rPr>
          <w:rFonts w:ascii="Times New Roman" w:hAnsi="Times New Roman"/>
          <w:bCs/>
          <w:color w:val="auto"/>
          <w:sz w:val="24"/>
          <w:szCs w:val="24"/>
          <w:highlight w:val="none"/>
        </w:rPr>
      </w:pPr>
      <w:r>
        <w:rPr>
          <w:rFonts w:hint="eastAsia" w:ascii="Times New Roman" w:hAnsi="Times New Roman"/>
          <w:bCs/>
          <w:color w:val="auto"/>
          <w:sz w:val="24"/>
          <w:szCs w:val="24"/>
          <w:highlight w:val="none"/>
        </w:rPr>
        <w:t>3.8如乙方未在规定时间内缴纳履约保证金，视为虚假承诺，甲方有权报请财政部门进行处理。</w:t>
      </w:r>
    </w:p>
    <w:p w14:paraId="040CC013">
      <w:pPr>
        <w:spacing w:line="400" w:lineRule="exact"/>
        <w:ind w:firstLine="480"/>
        <w:rPr>
          <w:rFonts w:ascii="Times New Roman" w:hAnsi="Times New Roman"/>
          <w:bCs/>
          <w:color w:val="auto"/>
          <w:sz w:val="24"/>
          <w:szCs w:val="24"/>
          <w:highlight w:val="none"/>
        </w:rPr>
      </w:pPr>
      <w:r>
        <w:rPr>
          <w:rFonts w:ascii="Times New Roman" w:hAnsi="Times New Roman"/>
          <w:bCs/>
          <w:color w:val="auto"/>
          <w:sz w:val="24"/>
          <w:szCs w:val="24"/>
          <w:highlight w:val="none"/>
        </w:rPr>
        <w:t>（4）分期履行要求：</w:t>
      </w:r>
      <w:r>
        <w:rPr>
          <w:rFonts w:ascii="Times New Roman" w:hAnsi="Times New Roman"/>
          <w:bCs/>
          <w:color w:val="auto"/>
          <w:sz w:val="24"/>
          <w:szCs w:val="24"/>
          <w:highlight w:val="none"/>
          <w:u w:val="single"/>
        </w:rPr>
        <w:t xml:space="preserve">                                                     </w:t>
      </w:r>
    </w:p>
    <w:p w14:paraId="6417C833">
      <w:pPr>
        <w:spacing w:line="400" w:lineRule="exact"/>
        <w:ind w:firstLine="480"/>
        <w:rPr>
          <w:rFonts w:ascii="Times New Roman" w:hAnsi="Times New Roman"/>
          <w:color w:val="auto"/>
          <w:sz w:val="24"/>
          <w:szCs w:val="24"/>
          <w:highlight w:val="none"/>
          <w:u w:val="single"/>
        </w:rPr>
      </w:pPr>
      <w:r>
        <w:rPr>
          <w:rFonts w:ascii="Times New Roman" w:hAnsi="Times New Roman"/>
          <w:bCs/>
          <w:color w:val="auto"/>
          <w:sz w:val="24"/>
          <w:szCs w:val="24"/>
          <w:highlight w:val="none"/>
        </w:rPr>
        <w:t>（5）风险处置措施和替代方案：</w:t>
      </w:r>
      <w:r>
        <w:rPr>
          <w:rFonts w:ascii="Times New Roman" w:hAnsi="Times New Roman"/>
          <w:color w:val="auto"/>
          <w:sz w:val="24"/>
          <w:szCs w:val="24"/>
          <w:highlight w:val="none"/>
          <w:u w:val="single"/>
        </w:rPr>
        <w:t xml:space="preserve">                                           </w:t>
      </w:r>
      <w:bookmarkEnd w:id="134"/>
    </w:p>
    <w:p w14:paraId="02832F21">
      <w:pPr>
        <w:spacing w:line="400" w:lineRule="exact"/>
        <w:ind w:left="482"/>
        <w:rPr>
          <w:rFonts w:ascii="宋体" w:hAnsi="宋体"/>
          <w:b/>
          <w:color w:val="auto"/>
          <w:sz w:val="24"/>
          <w:szCs w:val="24"/>
          <w:highlight w:val="none"/>
        </w:rPr>
      </w:pPr>
      <w:bookmarkStart w:id="136" w:name="_Hlk187834828"/>
      <w:r>
        <w:rPr>
          <w:rFonts w:hint="eastAsia" w:ascii="宋体" w:hAnsi="宋体"/>
          <w:b/>
          <w:color w:val="auto"/>
          <w:sz w:val="24"/>
          <w:szCs w:val="24"/>
          <w:highlight w:val="none"/>
        </w:rPr>
        <w:t>4.合同验收</w:t>
      </w:r>
    </w:p>
    <w:p w14:paraId="52351CDB">
      <w:pPr>
        <w:numPr>
          <w:ilvl w:val="0"/>
          <w:numId w:val="6"/>
        </w:numPr>
        <w:spacing w:line="400" w:lineRule="exact"/>
        <w:ind w:firstLine="480"/>
        <w:rPr>
          <w:rFonts w:ascii="Times New Roman" w:hAnsi="Times New Roman"/>
          <w:bCs/>
          <w:color w:val="auto"/>
          <w:sz w:val="24"/>
          <w:szCs w:val="24"/>
          <w:highlight w:val="none"/>
        </w:rPr>
      </w:pPr>
      <w:r>
        <w:rPr>
          <w:rFonts w:ascii="Times New Roman" w:hAnsi="Times New Roman"/>
          <w:bCs/>
          <w:color w:val="auto"/>
          <w:sz w:val="24"/>
          <w:szCs w:val="24"/>
          <w:highlight w:val="none"/>
        </w:rPr>
        <w:t>验收组织方式：</w:t>
      </w:r>
      <w:r>
        <w:rPr>
          <w:rFonts w:ascii="Wingdings" w:hAnsi="Wingdings" w:eastAsia="Wingdings" w:cs="Wingdings"/>
          <w:color w:val="auto"/>
          <w:sz w:val="24"/>
          <w:szCs w:val="24"/>
          <w:highlight w:val="none"/>
        </w:rPr>
        <w:t></w:t>
      </w:r>
      <w:r>
        <w:rPr>
          <w:rFonts w:ascii="Times New Roman" w:hAnsi="Times New Roman"/>
          <w:bCs/>
          <w:color w:val="auto"/>
          <w:sz w:val="24"/>
          <w:szCs w:val="24"/>
          <w:highlight w:val="none"/>
        </w:rPr>
        <w:t xml:space="preserve">自行组织 </w:t>
      </w:r>
      <w:r>
        <w:rPr>
          <w:rFonts w:ascii="Wingdings" w:hAnsi="Wingdings" w:eastAsia="Wingdings" w:cs="Wingdings"/>
          <w:color w:val="auto"/>
          <w:sz w:val="24"/>
          <w:szCs w:val="24"/>
          <w:highlight w:val="none"/>
        </w:rPr>
        <w:t></w:t>
      </w:r>
      <w:r>
        <w:rPr>
          <w:rFonts w:ascii="Times New Roman" w:hAnsi="Times New Roman"/>
          <w:bCs/>
          <w:color w:val="auto"/>
          <w:sz w:val="24"/>
          <w:szCs w:val="24"/>
          <w:highlight w:val="none"/>
        </w:rPr>
        <w:t>委托第三方组织</w:t>
      </w:r>
    </w:p>
    <w:p w14:paraId="76951962">
      <w:pPr>
        <w:spacing w:line="400" w:lineRule="exact"/>
        <w:ind w:left="480"/>
        <w:rPr>
          <w:rFonts w:ascii="Times New Roman" w:hAnsi="Times New Roman"/>
          <w:bCs/>
          <w:color w:val="auto"/>
          <w:sz w:val="24"/>
          <w:szCs w:val="24"/>
          <w:highlight w:val="none"/>
        </w:rPr>
      </w:pPr>
      <w:r>
        <w:rPr>
          <w:rFonts w:ascii="Times New Roman" w:hAnsi="Times New Roman"/>
          <w:bCs/>
          <w:color w:val="auto"/>
          <w:sz w:val="24"/>
          <w:szCs w:val="24"/>
          <w:highlight w:val="none"/>
        </w:rPr>
        <w:t>主体：</w:t>
      </w:r>
      <w:r>
        <w:rPr>
          <w:rFonts w:ascii="Times New Roman" w:hAnsi="Times New Roman"/>
          <w:bCs/>
          <w:color w:val="auto"/>
          <w:sz w:val="24"/>
          <w:szCs w:val="24"/>
          <w:highlight w:val="none"/>
          <w:u w:val="single"/>
        </w:rPr>
        <w:t xml:space="preserve">                  </w:t>
      </w:r>
    </w:p>
    <w:p w14:paraId="3D1434EC">
      <w:pPr>
        <w:spacing w:line="400" w:lineRule="exact"/>
        <w:ind w:left="480"/>
        <w:rPr>
          <w:rFonts w:ascii="Times New Roman" w:hAnsi="Times New Roman"/>
          <w:bCs/>
          <w:color w:val="auto"/>
          <w:sz w:val="24"/>
          <w:szCs w:val="24"/>
          <w:highlight w:val="none"/>
        </w:rPr>
      </w:pPr>
      <w:r>
        <w:rPr>
          <w:rFonts w:ascii="Times New Roman" w:hAnsi="Times New Roman"/>
          <w:bCs/>
          <w:color w:val="auto"/>
          <w:sz w:val="24"/>
          <w:szCs w:val="24"/>
          <w:highlight w:val="none"/>
        </w:rPr>
        <w:t>是否邀请本项目的其他供应商参加验收：</w:t>
      </w:r>
      <w:r>
        <w:rPr>
          <w:rFonts w:ascii="Wingdings" w:hAnsi="Wingdings" w:eastAsia="Wingdings" w:cs="Wingdings"/>
          <w:color w:val="auto"/>
          <w:sz w:val="24"/>
          <w:szCs w:val="24"/>
          <w:highlight w:val="none"/>
        </w:rPr>
        <w:t></w:t>
      </w:r>
      <w:r>
        <w:rPr>
          <w:rFonts w:ascii="Times New Roman" w:hAnsi="Times New Roman"/>
          <w:bCs/>
          <w:color w:val="auto"/>
          <w:sz w:val="24"/>
          <w:szCs w:val="24"/>
          <w:highlight w:val="none"/>
        </w:rPr>
        <w:t xml:space="preserve">是  </w:t>
      </w:r>
      <w:r>
        <w:rPr>
          <w:rFonts w:ascii="Wingdings" w:hAnsi="Wingdings" w:eastAsia="Wingdings" w:cs="Wingdings"/>
          <w:color w:val="auto"/>
          <w:sz w:val="24"/>
          <w:szCs w:val="24"/>
          <w:highlight w:val="none"/>
        </w:rPr>
        <w:t></w:t>
      </w:r>
      <w:r>
        <w:rPr>
          <w:rFonts w:ascii="Times New Roman" w:hAnsi="Times New Roman"/>
          <w:bCs/>
          <w:color w:val="auto"/>
          <w:sz w:val="24"/>
          <w:szCs w:val="24"/>
          <w:highlight w:val="none"/>
        </w:rPr>
        <w:t>否</w:t>
      </w:r>
    </w:p>
    <w:p w14:paraId="701EFD75">
      <w:pPr>
        <w:spacing w:line="400" w:lineRule="exact"/>
        <w:ind w:firstLine="480"/>
        <w:rPr>
          <w:rFonts w:ascii="Times New Roman" w:hAnsi="Times New Roman"/>
          <w:bCs/>
          <w:color w:val="auto"/>
          <w:sz w:val="24"/>
          <w:szCs w:val="24"/>
          <w:highlight w:val="none"/>
        </w:rPr>
      </w:pPr>
      <w:r>
        <w:rPr>
          <w:rFonts w:ascii="Times New Roman" w:hAnsi="Times New Roman"/>
          <w:bCs/>
          <w:color w:val="auto"/>
          <w:sz w:val="24"/>
          <w:szCs w:val="24"/>
          <w:highlight w:val="none"/>
        </w:rPr>
        <w:t>是否邀请专家参加验收：</w:t>
      </w:r>
      <w:r>
        <w:rPr>
          <w:rFonts w:ascii="Wingdings" w:hAnsi="Wingdings" w:eastAsia="Wingdings" w:cs="Wingdings"/>
          <w:color w:val="auto"/>
          <w:sz w:val="24"/>
          <w:szCs w:val="24"/>
          <w:highlight w:val="none"/>
        </w:rPr>
        <w:t></w:t>
      </w:r>
      <w:r>
        <w:rPr>
          <w:rFonts w:ascii="Times New Roman" w:hAnsi="Times New Roman"/>
          <w:bCs/>
          <w:color w:val="auto"/>
          <w:sz w:val="24"/>
          <w:szCs w:val="24"/>
          <w:highlight w:val="none"/>
        </w:rPr>
        <w:t xml:space="preserve">是  </w:t>
      </w:r>
      <w:r>
        <w:rPr>
          <w:rFonts w:ascii="Wingdings" w:hAnsi="Wingdings" w:eastAsia="Wingdings" w:cs="Wingdings"/>
          <w:color w:val="auto"/>
          <w:sz w:val="24"/>
          <w:szCs w:val="24"/>
          <w:highlight w:val="none"/>
        </w:rPr>
        <w:t></w:t>
      </w:r>
      <w:r>
        <w:rPr>
          <w:rFonts w:ascii="Times New Roman" w:hAnsi="Times New Roman"/>
          <w:bCs/>
          <w:color w:val="auto"/>
          <w:sz w:val="24"/>
          <w:szCs w:val="24"/>
          <w:highlight w:val="none"/>
        </w:rPr>
        <w:t>否</w:t>
      </w:r>
    </w:p>
    <w:p w14:paraId="572AEC66">
      <w:pPr>
        <w:spacing w:line="400" w:lineRule="exact"/>
        <w:ind w:firstLine="480"/>
        <w:rPr>
          <w:rFonts w:ascii="Times New Roman" w:hAnsi="Times New Roman"/>
          <w:bCs/>
          <w:color w:val="auto"/>
          <w:sz w:val="24"/>
          <w:szCs w:val="24"/>
          <w:highlight w:val="none"/>
        </w:rPr>
      </w:pPr>
      <w:r>
        <w:rPr>
          <w:rFonts w:ascii="Times New Roman" w:hAnsi="Times New Roman"/>
          <w:bCs/>
          <w:color w:val="auto"/>
          <w:sz w:val="24"/>
          <w:szCs w:val="24"/>
          <w:highlight w:val="none"/>
        </w:rPr>
        <w:t>是否邀请服务对象参加验收：</w:t>
      </w:r>
      <w:r>
        <w:rPr>
          <w:rFonts w:ascii="Wingdings" w:hAnsi="Wingdings" w:eastAsia="Wingdings" w:cs="Wingdings"/>
          <w:color w:val="auto"/>
          <w:sz w:val="24"/>
          <w:szCs w:val="24"/>
          <w:highlight w:val="none"/>
        </w:rPr>
        <w:t></w:t>
      </w:r>
      <w:r>
        <w:rPr>
          <w:rFonts w:ascii="Times New Roman" w:hAnsi="Times New Roman"/>
          <w:bCs/>
          <w:color w:val="auto"/>
          <w:sz w:val="24"/>
          <w:szCs w:val="24"/>
          <w:highlight w:val="none"/>
        </w:rPr>
        <w:t xml:space="preserve">是  </w:t>
      </w:r>
      <w:r>
        <w:rPr>
          <w:rFonts w:ascii="Wingdings" w:hAnsi="Wingdings" w:eastAsia="Wingdings" w:cs="Wingdings"/>
          <w:color w:val="auto"/>
          <w:sz w:val="24"/>
          <w:szCs w:val="24"/>
          <w:highlight w:val="none"/>
        </w:rPr>
        <w:t></w:t>
      </w:r>
      <w:r>
        <w:rPr>
          <w:rFonts w:ascii="Times New Roman" w:hAnsi="Times New Roman"/>
          <w:bCs/>
          <w:color w:val="auto"/>
          <w:sz w:val="24"/>
          <w:szCs w:val="24"/>
          <w:highlight w:val="none"/>
        </w:rPr>
        <w:t>否</w:t>
      </w:r>
    </w:p>
    <w:p w14:paraId="0229C871">
      <w:pPr>
        <w:spacing w:line="400" w:lineRule="exact"/>
        <w:ind w:firstLine="480"/>
        <w:rPr>
          <w:rFonts w:ascii="Times New Roman" w:hAnsi="Times New Roman"/>
          <w:bCs/>
          <w:color w:val="auto"/>
          <w:sz w:val="24"/>
          <w:szCs w:val="24"/>
          <w:highlight w:val="none"/>
        </w:rPr>
      </w:pPr>
      <w:r>
        <w:rPr>
          <w:rFonts w:ascii="Times New Roman" w:hAnsi="Times New Roman"/>
          <w:bCs/>
          <w:color w:val="auto"/>
          <w:sz w:val="24"/>
          <w:szCs w:val="24"/>
          <w:highlight w:val="none"/>
        </w:rPr>
        <w:t>是否邀请第三方检测机构参加验收：</w:t>
      </w:r>
      <w:r>
        <w:rPr>
          <w:rFonts w:ascii="Wingdings" w:hAnsi="Wingdings" w:eastAsia="Wingdings" w:cs="Wingdings"/>
          <w:color w:val="auto"/>
          <w:sz w:val="24"/>
          <w:szCs w:val="24"/>
          <w:highlight w:val="none"/>
        </w:rPr>
        <w:t></w:t>
      </w:r>
      <w:r>
        <w:rPr>
          <w:rFonts w:ascii="Times New Roman" w:hAnsi="Times New Roman"/>
          <w:bCs/>
          <w:color w:val="auto"/>
          <w:sz w:val="24"/>
          <w:szCs w:val="24"/>
          <w:highlight w:val="none"/>
        </w:rPr>
        <w:t xml:space="preserve">是  </w:t>
      </w:r>
      <w:r>
        <w:rPr>
          <w:rFonts w:ascii="Wingdings" w:hAnsi="Wingdings" w:eastAsia="Wingdings" w:cs="Wingdings"/>
          <w:color w:val="auto"/>
          <w:sz w:val="24"/>
          <w:szCs w:val="24"/>
          <w:highlight w:val="none"/>
        </w:rPr>
        <w:t></w:t>
      </w:r>
      <w:r>
        <w:rPr>
          <w:rFonts w:ascii="Times New Roman" w:hAnsi="Times New Roman"/>
          <w:bCs/>
          <w:color w:val="auto"/>
          <w:sz w:val="24"/>
          <w:szCs w:val="24"/>
          <w:highlight w:val="none"/>
        </w:rPr>
        <w:t>否</w:t>
      </w:r>
    </w:p>
    <w:p w14:paraId="1C248E29">
      <w:pPr>
        <w:spacing w:line="400" w:lineRule="exact"/>
        <w:ind w:firstLine="480"/>
        <w:rPr>
          <w:rFonts w:ascii="Times New Roman" w:hAnsi="Times New Roman"/>
          <w:bCs/>
          <w:color w:val="auto"/>
          <w:sz w:val="24"/>
          <w:szCs w:val="24"/>
          <w:highlight w:val="none"/>
        </w:rPr>
      </w:pPr>
      <w:r>
        <w:rPr>
          <w:rFonts w:ascii="Times New Roman" w:hAnsi="Times New Roman"/>
          <w:bCs/>
          <w:color w:val="auto"/>
          <w:sz w:val="24"/>
          <w:szCs w:val="24"/>
          <w:highlight w:val="none"/>
        </w:rPr>
        <w:t>是否进行抽查检测：</w:t>
      </w:r>
      <w:r>
        <w:rPr>
          <w:rFonts w:ascii="Wingdings" w:hAnsi="Wingdings" w:eastAsia="Wingdings" w:cs="Wingdings"/>
          <w:color w:val="auto"/>
          <w:sz w:val="24"/>
          <w:szCs w:val="24"/>
          <w:highlight w:val="none"/>
        </w:rPr>
        <w:t></w:t>
      </w:r>
      <w:r>
        <w:rPr>
          <w:rFonts w:ascii="Times New Roman" w:hAnsi="Times New Roman"/>
          <w:bCs/>
          <w:color w:val="auto"/>
          <w:sz w:val="24"/>
          <w:szCs w:val="24"/>
          <w:highlight w:val="none"/>
        </w:rPr>
        <w:t>是，抽查比例：</w:t>
      </w:r>
      <w:r>
        <w:rPr>
          <w:rFonts w:ascii="Times New Roman" w:hAnsi="Times New Roman"/>
          <w:bCs/>
          <w:color w:val="auto"/>
          <w:sz w:val="24"/>
          <w:szCs w:val="24"/>
          <w:highlight w:val="none"/>
          <w:u w:val="single"/>
        </w:rPr>
        <w:t xml:space="preserve">        </w:t>
      </w:r>
      <w:r>
        <w:rPr>
          <w:rFonts w:ascii="Times New Roman" w:hAnsi="Times New Roman"/>
          <w:bCs/>
          <w:color w:val="auto"/>
          <w:sz w:val="24"/>
          <w:szCs w:val="24"/>
          <w:highlight w:val="none"/>
        </w:rPr>
        <w:t xml:space="preserve"> </w:t>
      </w:r>
      <w:r>
        <w:rPr>
          <w:rFonts w:ascii="Wingdings" w:hAnsi="Wingdings" w:eastAsia="Wingdings" w:cs="Wingdings"/>
          <w:color w:val="auto"/>
          <w:sz w:val="24"/>
          <w:szCs w:val="24"/>
          <w:highlight w:val="none"/>
        </w:rPr>
        <w:t></w:t>
      </w:r>
      <w:r>
        <w:rPr>
          <w:rFonts w:ascii="Times New Roman" w:hAnsi="Times New Roman"/>
          <w:bCs/>
          <w:color w:val="auto"/>
          <w:sz w:val="24"/>
          <w:szCs w:val="24"/>
          <w:highlight w:val="none"/>
        </w:rPr>
        <w:t>否</w:t>
      </w:r>
    </w:p>
    <w:p w14:paraId="4FA99078">
      <w:pPr>
        <w:spacing w:line="400" w:lineRule="exact"/>
        <w:ind w:firstLine="480"/>
        <w:rPr>
          <w:rFonts w:ascii="Times New Roman" w:hAnsi="Times New Roman"/>
          <w:bCs/>
          <w:color w:val="auto"/>
          <w:sz w:val="24"/>
          <w:szCs w:val="24"/>
          <w:highlight w:val="none"/>
          <w:u w:val="single"/>
        </w:rPr>
      </w:pPr>
      <w:r>
        <w:rPr>
          <w:rFonts w:ascii="Times New Roman" w:hAnsi="Times New Roman"/>
          <w:bCs/>
          <w:color w:val="auto"/>
          <w:sz w:val="24"/>
          <w:szCs w:val="24"/>
          <w:highlight w:val="none"/>
        </w:rPr>
        <w:t>是否存在破坏性检测：</w:t>
      </w:r>
      <w:r>
        <w:rPr>
          <w:rFonts w:ascii="Wingdings" w:hAnsi="Wingdings" w:eastAsia="Wingdings" w:cs="Wingdings"/>
          <w:color w:val="auto"/>
          <w:sz w:val="24"/>
          <w:szCs w:val="24"/>
          <w:highlight w:val="none"/>
        </w:rPr>
        <w:t></w:t>
      </w:r>
      <w:r>
        <w:rPr>
          <w:rFonts w:ascii="Times New Roman" w:hAnsi="Times New Roman"/>
          <w:bCs/>
          <w:color w:val="auto"/>
          <w:sz w:val="24"/>
          <w:szCs w:val="24"/>
          <w:highlight w:val="none"/>
        </w:rPr>
        <w:t>是，</w:t>
      </w:r>
      <w:r>
        <w:rPr>
          <w:rFonts w:ascii="Times New Roman" w:hAnsi="Times New Roman"/>
          <w:bCs/>
          <w:color w:val="auto"/>
          <w:sz w:val="24"/>
          <w:szCs w:val="24"/>
          <w:highlight w:val="none"/>
          <w:u w:val="single"/>
        </w:rPr>
        <w:t>（应明确对被破坏的检测产品的处理方式）</w:t>
      </w:r>
    </w:p>
    <w:p w14:paraId="2DA5A079">
      <w:pPr>
        <w:spacing w:line="400" w:lineRule="exact"/>
        <w:ind w:firstLine="480"/>
        <w:rPr>
          <w:rFonts w:ascii="Times New Roman" w:hAnsi="Times New Roman"/>
          <w:bCs/>
          <w:color w:val="auto"/>
          <w:sz w:val="24"/>
          <w:szCs w:val="24"/>
          <w:highlight w:val="none"/>
        </w:rPr>
      </w:pPr>
      <w:r>
        <w:rPr>
          <w:rFonts w:ascii="Wingdings" w:hAnsi="Wingdings" w:eastAsia="Wingdings" w:cs="Wingdings"/>
          <w:color w:val="auto"/>
          <w:sz w:val="24"/>
          <w:szCs w:val="24"/>
          <w:highlight w:val="none"/>
        </w:rPr>
        <w:t></w:t>
      </w:r>
      <w:r>
        <w:rPr>
          <w:rFonts w:ascii="Times New Roman" w:hAnsi="Times New Roman"/>
          <w:bCs/>
          <w:color w:val="auto"/>
          <w:sz w:val="24"/>
          <w:szCs w:val="24"/>
          <w:highlight w:val="none"/>
        </w:rPr>
        <w:t>否</w:t>
      </w:r>
    </w:p>
    <w:p w14:paraId="324F7464">
      <w:pPr>
        <w:spacing w:line="400" w:lineRule="exact"/>
        <w:ind w:firstLine="480"/>
        <w:rPr>
          <w:rFonts w:ascii="Times New Roman" w:hAnsi="Times New Roman"/>
          <w:bCs/>
          <w:color w:val="auto"/>
          <w:sz w:val="24"/>
          <w:szCs w:val="24"/>
          <w:highlight w:val="none"/>
          <w:u w:val="single"/>
        </w:rPr>
      </w:pPr>
      <w:r>
        <w:rPr>
          <w:rFonts w:ascii="Times New Roman" w:hAnsi="Times New Roman"/>
          <w:bCs/>
          <w:color w:val="auto"/>
          <w:sz w:val="24"/>
          <w:szCs w:val="24"/>
          <w:highlight w:val="none"/>
        </w:rPr>
        <w:t>验收组织的其他事项：</w:t>
      </w:r>
      <w:r>
        <w:rPr>
          <w:rFonts w:ascii="Times New Roman" w:hAnsi="Times New Roman"/>
          <w:bCs/>
          <w:color w:val="auto"/>
          <w:sz w:val="24"/>
          <w:szCs w:val="24"/>
          <w:highlight w:val="none"/>
          <w:u w:val="single"/>
        </w:rPr>
        <w:t xml:space="preserve">                </w:t>
      </w:r>
    </w:p>
    <w:p w14:paraId="28E7584D">
      <w:pPr>
        <w:spacing w:line="400" w:lineRule="exact"/>
        <w:ind w:firstLine="480"/>
        <w:rPr>
          <w:rFonts w:ascii="Times New Roman" w:hAnsi="Times New Roman"/>
          <w:bCs/>
          <w:color w:val="auto"/>
          <w:sz w:val="24"/>
          <w:szCs w:val="24"/>
          <w:highlight w:val="none"/>
          <w:u w:val="single"/>
        </w:rPr>
      </w:pPr>
      <w:r>
        <w:rPr>
          <w:rFonts w:ascii="Times New Roman" w:hAnsi="Times New Roman"/>
          <w:bCs/>
          <w:color w:val="auto"/>
          <w:sz w:val="24"/>
          <w:szCs w:val="24"/>
          <w:highlight w:val="none"/>
        </w:rPr>
        <w:t>（2）履约验收时间：</w:t>
      </w:r>
      <w:r>
        <w:rPr>
          <w:rFonts w:ascii="Times New Roman" w:hAnsi="Times New Roman"/>
          <w:bCs/>
          <w:color w:val="auto"/>
          <w:sz w:val="24"/>
          <w:szCs w:val="24"/>
          <w:highlight w:val="none"/>
          <w:u w:val="single"/>
        </w:rPr>
        <w:t>（计划于何时验收/供应商提出验收申请之日起   日内组织验收）</w:t>
      </w:r>
    </w:p>
    <w:p w14:paraId="31DE87A0">
      <w:pPr>
        <w:spacing w:line="400" w:lineRule="exact"/>
        <w:ind w:firstLine="480"/>
        <w:rPr>
          <w:rFonts w:ascii="Times New Roman" w:hAnsi="Times New Roman"/>
          <w:bCs/>
          <w:color w:val="auto"/>
          <w:sz w:val="24"/>
          <w:szCs w:val="24"/>
          <w:highlight w:val="none"/>
          <w:u w:val="single"/>
        </w:rPr>
      </w:pPr>
      <w:r>
        <w:rPr>
          <w:rFonts w:ascii="Times New Roman" w:hAnsi="Times New Roman"/>
          <w:bCs/>
          <w:color w:val="auto"/>
          <w:sz w:val="24"/>
          <w:szCs w:val="24"/>
          <w:highlight w:val="none"/>
        </w:rPr>
        <w:t>（3）履约验收方式：</w:t>
      </w:r>
    </w:p>
    <w:p w14:paraId="7C81D8FD">
      <w:pPr>
        <w:spacing w:line="400" w:lineRule="exact"/>
        <w:ind w:firstLine="480"/>
        <w:rPr>
          <w:rFonts w:ascii="Times New Roman" w:hAnsi="Times New Roman"/>
          <w:bCs/>
          <w:color w:val="auto"/>
          <w:sz w:val="24"/>
          <w:szCs w:val="24"/>
          <w:highlight w:val="none"/>
        </w:rPr>
      </w:pPr>
      <w:r>
        <w:rPr>
          <w:rFonts w:ascii="Wingdings" w:hAnsi="Wingdings" w:eastAsia="Wingdings" w:cs="Wingdings"/>
          <w:color w:val="auto"/>
          <w:sz w:val="24"/>
          <w:szCs w:val="24"/>
          <w:highlight w:val="none"/>
        </w:rPr>
        <w:t></w:t>
      </w:r>
      <w:r>
        <w:rPr>
          <w:rFonts w:ascii="Times New Roman" w:hAnsi="Times New Roman"/>
          <w:bCs/>
          <w:color w:val="auto"/>
          <w:sz w:val="24"/>
          <w:szCs w:val="24"/>
          <w:highlight w:val="none"/>
        </w:rPr>
        <w:t xml:space="preserve">一次性验收 </w:t>
      </w:r>
    </w:p>
    <w:p w14:paraId="43B4EA76">
      <w:pPr>
        <w:spacing w:line="400" w:lineRule="exact"/>
        <w:ind w:firstLine="480"/>
        <w:rPr>
          <w:rFonts w:ascii="Times New Roman" w:hAnsi="Times New Roman"/>
          <w:bCs/>
          <w:color w:val="auto"/>
          <w:sz w:val="24"/>
          <w:szCs w:val="24"/>
          <w:highlight w:val="none"/>
        </w:rPr>
      </w:pPr>
      <w:r>
        <w:rPr>
          <w:rFonts w:ascii="Wingdings" w:hAnsi="Wingdings" w:eastAsia="Wingdings" w:cs="Wingdings"/>
          <w:color w:val="auto"/>
          <w:sz w:val="24"/>
          <w:szCs w:val="24"/>
          <w:highlight w:val="none"/>
        </w:rPr>
        <w:t></w:t>
      </w:r>
      <w:r>
        <w:rPr>
          <w:rFonts w:ascii="Times New Roman" w:hAnsi="Times New Roman"/>
          <w:bCs/>
          <w:color w:val="auto"/>
          <w:sz w:val="24"/>
          <w:szCs w:val="24"/>
          <w:highlight w:val="none"/>
        </w:rPr>
        <w:t>分期/分项验收：</w:t>
      </w:r>
      <w:r>
        <w:rPr>
          <w:rFonts w:ascii="Times New Roman" w:hAnsi="Times New Roman"/>
          <w:bCs/>
          <w:color w:val="auto"/>
          <w:sz w:val="24"/>
          <w:szCs w:val="24"/>
          <w:highlight w:val="none"/>
          <w:u w:val="single"/>
        </w:rPr>
        <w:t>（应明确分期</w:t>
      </w:r>
      <w:r>
        <w:rPr>
          <w:rFonts w:ascii="Times New Roman" w:hAnsi="Times New Roman"/>
          <w:bCs/>
          <w:color w:val="auto"/>
          <w:sz w:val="24"/>
          <w:szCs w:val="24"/>
          <w:highlight w:val="none"/>
          <w:u w:val="single"/>
          <w:lang w:val="en"/>
        </w:rPr>
        <w:t>/分项验收的工作安排</w:t>
      </w:r>
      <w:r>
        <w:rPr>
          <w:rFonts w:ascii="Times New Roman" w:hAnsi="Times New Roman"/>
          <w:bCs/>
          <w:color w:val="auto"/>
          <w:sz w:val="24"/>
          <w:szCs w:val="24"/>
          <w:highlight w:val="none"/>
          <w:u w:val="single"/>
        </w:rPr>
        <w:t xml:space="preserve">）  </w:t>
      </w:r>
    </w:p>
    <w:p w14:paraId="06C701B3">
      <w:pPr>
        <w:spacing w:line="400" w:lineRule="exact"/>
        <w:ind w:firstLine="480"/>
        <w:rPr>
          <w:rFonts w:ascii="Times New Roman" w:hAnsi="Times New Roman"/>
          <w:bCs/>
          <w:color w:val="auto"/>
          <w:sz w:val="24"/>
          <w:szCs w:val="24"/>
          <w:highlight w:val="none"/>
        </w:rPr>
      </w:pPr>
      <w:r>
        <w:rPr>
          <w:rFonts w:ascii="Times New Roman" w:hAnsi="Times New Roman"/>
          <w:bCs/>
          <w:color w:val="auto"/>
          <w:sz w:val="24"/>
          <w:szCs w:val="24"/>
          <w:highlight w:val="none"/>
        </w:rPr>
        <w:t>（4）履约验收程序：</w:t>
      </w:r>
    </w:p>
    <w:p w14:paraId="5053BF70">
      <w:pPr>
        <w:spacing w:line="400" w:lineRule="exact"/>
        <w:ind w:firstLine="480"/>
        <w:rPr>
          <w:rFonts w:ascii="Times New Roman" w:hAnsi="Times New Roman"/>
          <w:bCs/>
          <w:color w:val="auto"/>
          <w:sz w:val="24"/>
          <w:szCs w:val="24"/>
          <w:highlight w:val="none"/>
          <w:u w:val="single"/>
        </w:rPr>
      </w:pPr>
      <w:r>
        <w:rPr>
          <w:rFonts w:hint="eastAsia" w:ascii="Times New Roman" w:hAnsi="Times New Roman"/>
          <w:bCs/>
          <w:color w:val="auto"/>
          <w:sz w:val="24"/>
          <w:szCs w:val="24"/>
          <w:highlight w:val="none"/>
        </w:rPr>
        <w:t>履约验收条件达到时，采购人在5个工作日内启动履约验收工作，并向供应商发出《政府采购履约验收通知单》。</w:t>
      </w:r>
    </w:p>
    <w:p w14:paraId="3674B033">
      <w:pPr>
        <w:spacing w:line="400" w:lineRule="exact"/>
        <w:ind w:firstLine="480"/>
        <w:rPr>
          <w:rFonts w:ascii="Times New Roman" w:hAnsi="Times New Roman"/>
          <w:bCs/>
          <w:color w:val="auto"/>
          <w:sz w:val="24"/>
          <w:szCs w:val="24"/>
          <w:highlight w:val="none"/>
        </w:rPr>
      </w:pPr>
      <w:r>
        <w:rPr>
          <w:rFonts w:hint="eastAsia" w:ascii="Times New Roman" w:hAnsi="Times New Roman"/>
          <w:bCs/>
          <w:color w:val="auto"/>
          <w:sz w:val="24"/>
          <w:szCs w:val="24"/>
          <w:highlight w:val="none"/>
        </w:rPr>
        <w:t>验收小组制定验收工作实施方案，按照方案开展验收；履约验收工作结束后，验收小组应形成书面验收意见。</w:t>
      </w:r>
    </w:p>
    <w:p w14:paraId="5B43F1E8">
      <w:pPr>
        <w:spacing w:line="400" w:lineRule="exact"/>
        <w:ind w:firstLine="480"/>
        <w:rPr>
          <w:rFonts w:ascii="Times New Roman" w:hAnsi="Times New Roman"/>
          <w:bCs/>
          <w:color w:val="auto"/>
          <w:sz w:val="24"/>
          <w:szCs w:val="24"/>
          <w:highlight w:val="none"/>
        </w:rPr>
      </w:pPr>
      <w:r>
        <w:rPr>
          <w:rFonts w:hint="eastAsia" w:ascii="Times New Roman" w:hAnsi="Times New Roman"/>
          <w:bCs/>
          <w:color w:val="auto"/>
          <w:sz w:val="24"/>
          <w:szCs w:val="24"/>
          <w:highlight w:val="none"/>
        </w:rPr>
        <w:t>采购人、供应商对验收小组出具的验收意见进行确认，并形成政府采购履约验收书，验收书格式见江苏省财政厅印发的《政府采购履约验收书参考样本》。</w:t>
      </w:r>
    </w:p>
    <w:p w14:paraId="02E69A95">
      <w:pPr>
        <w:spacing w:line="400" w:lineRule="exact"/>
        <w:ind w:firstLine="480"/>
        <w:rPr>
          <w:rFonts w:ascii="Times New Roman" w:hAnsi="Times New Roman"/>
          <w:bCs/>
          <w:color w:val="auto"/>
          <w:sz w:val="24"/>
          <w:szCs w:val="24"/>
          <w:highlight w:val="none"/>
        </w:rPr>
      </w:pPr>
      <w:r>
        <w:rPr>
          <w:rFonts w:ascii="Times New Roman" w:hAnsi="Times New Roman"/>
          <w:bCs/>
          <w:color w:val="auto"/>
          <w:sz w:val="24"/>
          <w:szCs w:val="24"/>
          <w:highlight w:val="none"/>
        </w:rPr>
        <w:t>（5）履约验收的内容：</w:t>
      </w:r>
      <w:r>
        <w:rPr>
          <w:rFonts w:ascii="Times New Roman" w:hAnsi="Times New Roman"/>
          <w:bCs/>
          <w:color w:val="auto"/>
          <w:sz w:val="24"/>
          <w:szCs w:val="24"/>
          <w:highlight w:val="none"/>
          <w:u w:val="single"/>
        </w:rPr>
        <w:t xml:space="preserve"> （应当包括每一项技术和商务要求的履约情况，特别是落实政府采购扶持中小企业，支持绿色发展和乡村振兴等政策情况） </w:t>
      </w:r>
    </w:p>
    <w:p w14:paraId="17F154A5">
      <w:pPr>
        <w:spacing w:line="400" w:lineRule="exact"/>
        <w:ind w:firstLine="480"/>
        <w:rPr>
          <w:rFonts w:ascii="Times New Roman" w:hAnsi="Times New Roman"/>
          <w:bCs/>
          <w:color w:val="auto"/>
          <w:sz w:val="24"/>
          <w:szCs w:val="24"/>
          <w:highlight w:val="none"/>
          <w:u w:val="single"/>
        </w:rPr>
      </w:pPr>
      <w:r>
        <w:rPr>
          <w:rFonts w:ascii="Times New Roman" w:hAnsi="Times New Roman"/>
          <w:bCs/>
          <w:color w:val="auto"/>
          <w:sz w:val="24"/>
          <w:szCs w:val="24"/>
          <w:highlight w:val="none"/>
        </w:rPr>
        <w:t>（6）履约验收标准：</w:t>
      </w:r>
      <w:r>
        <w:rPr>
          <w:rFonts w:ascii="Times New Roman" w:hAnsi="Times New Roman"/>
          <w:bCs/>
          <w:color w:val="auto"/>
          <w:sz w:val="24"/>
          <w:szCs w:val="24"/>
          <w:highlight w:val="none"/>
          <w:u w:val="single"/>
        </w:rPr>
        <w:t xml:space="preserve">                                         </w:t>
      </w:r>
    </w:p>
    <w:p w14:paraId="2D1CA36C">
      <w:pPr>
        <w:spacing w:line="400" w:lineRule="exact"/>
        <w:ind w:firstLine="480"/>
        <w:rPr>
          <w:rFonts w:ascii="Times New Roman" w:hAnsi="Times New Roman"/>
          <w:bCs/>
          <w:color w:val="auto"/>
          <w:sz w:val="24"/>
          <w:szCs w:val="24"/>
          <w:highlight w:val="none"/>
          <w:u w:val="single"/>
        </w:rPr>
      </w:pPr>
      <w:r>
        <w:rPr>
          <w:rFonts w:ascii="Times New Roman" w:hAnsi="Times New Roman"/>
          <w:bCs/>
          <w:color w:val="auto"/>
          <w:sz w:val="24"/>
          <w:szCs w:val="24"/>
          <w:highlight w:val="none"/>
        </w:rPr>
        <w:t>（7）是否以采购活动中供应商提供的样品作为参考：</w:t>
      </w:r>
      <w:r>
        <w:rPr>
          <w:rFonts w:ascii="Wingdings" w:hAnsi="Wingdings" w:eastAsia="Wingdings" w:cs="Wingdings"/>
          <w:color w:val="auto"/>
          <w:sz w:val="24"/>
          <w:szCs w:val="24"/>
          <w:highlight w:val="none"/>
        </w:rPr>
        <w:t></w:t>
      </w:r>
      <w:r>
        <w:rPr>
          <w:rFonts w:ascii="Times New Roman" w:hAnsi="Times New Roman"/>
          <w:bCs/>
          <w:color w:val="auto"/>
          <w:sz w:val="24"/>
          <w:szCs w:val="24"/>
          <w:highlight w:val="none"/>
        </w:rPr>
        <w:t xml:space="preserve">是  </w:t>
      </w:r>
      <w:r>
        <w:rPr>
          <w:rFonts w:ascii="Wingdings" w:hAnsi="Wingdings" w:eastAsia="Wingdings" w:cs="Wingdings"/>
          <w:color w:val="auto"/>
          <w:sz w:val="24"/>
          <w:szCs w:val="24"/>
          <w:highlight w:val="none"/>
        </w:rPr>
        <w:t></w:t>
      </w:r>
      <w:r>
        <w:rPr>
          <w:rFonts w:ascii="Times New Roman" w:hAnsi="Times New Roman"/>
          <w:bCs/>
          <w:color w:val="auto"/>
          <w:sz w:val="24"/>
          <w:szCs w:val="24"/>
          <w:highlight w:val="none"/>
        </w:rPr>
        <w:t>否</w:t>
      </w:r>
    </w:p>
    <w:p w14:paraId="2559AB39">
      <w:pPr>
        <w:spacing w:line="400" w:lineRule="exact"/>
        <w:ind w:firstLine="480"/>
        <w:rPr>
          <w:rFonts w:ascii="Times New Roman" w:hAnsi="Times New Roman"/>
          <w:bCs/>
          <w:color w:val="auto"/>
          <w:sz w:val="24"/>
          <w:szCs w:val="24"/>
          <w:highlight w:val="none"/>
          <w:u w:val="single"/>
        </w:rPr>
      </w:pPr>
      <w:r>
        <w:rPr>
          <w:rFonts w:ascii="Times New Roman" w:hAnsi="Times New Roman"/>
          <w:bCs/>
          <w:color w:val="auto"/>
          <w:sz w:val="24"/>
          <w:szCs w:val="24"/>
          <w:highlight w:val="none"/>
        </w:rPr>
        <w:t>（8）履约验收其他事项：</w:t>
      </w:r>
      <w:r>
        <w:rPr>
          <w:rFonts w:ascii="Times New Roman" w:hAnsi="Times New Roman"/>
          <w:bCs/>
          <w:color w:val="auto"/>
          <w:sz w:val="24"/>
          <w:szCs w:val="24"/>
          <w:highlight w:val="none"/>
          <w:u w:val="single"/>
        </w:rPr>
        <w:t xml:space="preserve">      （产权过户登记等）          </w:t>
      </w:r>
    </w:p>
    <w:p w14:paraId="786DAE42">
      <w:pPr>
        <w:spacing w:line="400" w:lineRule="exact"/>
        <w:ind w:left="482"/>
        <w:rPr>
          <w:rFonts w:ascii="宋体" w:hAnsi="宋体"/>
          <w:b/>
          <w:color w:val="auto"/>
          <w:sz w:val="24"/>
          <w:szCs w:val="24"/>
          <w:highlight w:val="none"/>
        </w:rPr>
      </w:pPr>
      <w:r>
        <w:rPr>
          <w:rFonts w:hint="eastAsia" w:ascii="宋体" w:hAnsi="宋体"/>
          <w:b/>
          <w:color w:val="auto"/>
          <w:sz w:val="24"/>
          <w:szCs w:val="24"/>
          <w:highlight w:val="none"/>
        </w:rPr>
        <w:t>5.组成合同的文件</w:t>
      </w:r>
    </w:p>
    <w:p w14:paraId="2DB9C38E">
      <w:pPr>
        <w:spacing w:line="400" w:lineRule="exact"/>
        <w:ind w:firstLine="480"/>
        <w:rPr>
          <w:rFonts w:ascii="宋体" w:hAnsi="宋体"/>
          <w:color w:val="auto"/>
          <w:sz w:val="24"/>
          <w:szCs w:val="24"/>
          <w:highlight w:val="none"/>
        </w:rPr>
      </w:pPr>
      <w:r>
        <w:rPr>
          <w:rFonts w:hint="eastAsia" w:ascii="宋体" w:hAnsi="宋体"/>
          <w:color w:val="auto"/>
          <w:sz w:val="24"/>
          <w:szCs w:val="24"/>
          <w:highlight w:val="none"/>
        </w:rPr>
        <w:t>如下述文件之间有任何抵触、矛盾或歧义，应按以下顺序解释：</w:t>
      </w:r>
    </w:p>
    <w:p w14:paraId="3AA68920">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（1）政府采购合同协议书及其变更、补充协议</w:t>
      </w:r>
    </w:p>
    <w:p w14:paraId="6525F9F5">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（2）政府采购合同专用条款</w:t>
      </w:r>
    </w:p>
    <w:p w14:paraId="7603E408">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（3）政府采购合同通用条款</w:t>
      </w:r>
    </w:p>
    <w:p w14:paraId="6A1C3BB9">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（4）中标通知书</w:t>
      </w:r>
    </w:p>
    <w:p w14:paraId="7DDE27D5">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（5）投标文件</w:t>
      </w:r>
    </w:p>
    <w:p w14:paraId="19BD00EA">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（6）采购文件</w:t>
      </w:r>
    </w:p>
    <w:p w14:paraId="7E192BE5">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（7）有关技术文件，图纸</w:t>
      </w:r>
    </w:p>
    <w:p w14:paraId="28C56E52">
      <w:pPr>
        <w:pStyle w:val="506"/>
        <w:ind w:firstLine="48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（8）国家法律、行政法规和规章制度规定或合同约定的作为合同组成部分的其他文件</w:t>
      </w:r>
    </w:p>
    <w:p w14:paraId="2E8AA04E">
      <w:pPr>
        <w:spacing w:line="400" w:lineRule="exact"/>
        <w:ind w:left="482"/>
        <w:rPr>
          <w:rFonts w:ascii="宋体" w:hAnsi="宋体"/>
          <w:b/>
          <w:color w:val="auto"/>
          <w:sz w:val="24"/>
          <w:szCs w:val="24"/>
          <w:highlight w:val="none"/>
        </w:rPr>
      </w:pPr>
      <w:r>
        <w:rPr>
          <w:rFonts w:hint="eastAsia" w:ascii="宋体" w:hAnsi="宋体"/>
          <w:b/>
          <w:color w:val="auto"/>
          <w:sz w:val="24"/>
          <w:szCs w:val="24"/>
          <w:highlight w:val="none"/>
        </w:rPr>
        <w:t>6.合同生效</w:t>
      </w:r>
    </w:p>
    <w:p w14:paraId="6E44CDD8">
      <w:pPr>
        <w:spacing w:line="400" w:lineRule="exact"/>
        <w:ind w:firstLine="480"/>
        <w:rPr>
          <w:rFonts w:ascii="宋体" w:hAnsi="宋体"/>
          <w:color w:val="auto"/>
          <w:sz w:val="24"/>
          <w:szCs w:val="24"/>
          <w:highlight w:val="none"/>
        </w:rPr>
      </w:pPr>
      <w:r>
        <w:rPr>
          <w:rFonts w:hint="eastAsia" w:ascii="宋体" w:hAnsi="宋体"/>
          <w:color w:val="auto"/>
          <w:sz w:val="24"/>
          <w:szCs w:val="24"/>
          <w:highlight w:val="none"/>
        </w:rPr>
        <w:t>本合同自</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生效。</w:t>
      </w:r>
    </w:p>
    <w:p w14:paraId="32CF5E6B">
      <w:pPr>
        <w:spacing w:line="400" w:lineRule="exact"/>
        <w:ind w:left="482"/>
        <w:rPr>
          <w:rFonts w:ascii="宋体" w:hAnsi="宋体"/>
          <w:b/>
          <w:color w:val="auto"/>
          <w:sz w:val="24"/>
          <w:szCs w:val="24"/>
          <w:highlight w:val="none"/>
        </w:rPr>
      </w:pPr>
      <w:r>
        <w:rPr>
          <w:rFonts w:hint="eastAsia" w:ascii="宋体" w:hAnsi="宋体"/>
          <w:b/>
          <w:color w:val="auto"/>
          <w:sz w:val="24"/>
          <w:szCs w:val="24"/>
          <w:highlight w:val="none"/>
        </w:rPr>
        <w:t>7.合同份数</w:t>
      </w:r>
    </w:p>
    <w:p w14:paraId="7C9E3D93">
      <w:pPr>
        <w:spacing w:line="400" w:lineRule="exact"/>
        <w:ind w:firstLine="480"/>
        <w:rPr>
          <w:rFonts w:ascii="宋体" w:hAnsi="宋体"/>
          <w:color w:val="auto"/>
          <w:sz w:val="24"/>
          <w:szCs w:val="24"/>
          <w:highlight w:val="none"/>
        </w:rPr>
      </w:pPr>
      <w:r>
        <w:rPr>
          <w:rFonts w:hint="eastAsia" w:ascii="宋体" w:hAnsi="宋体"/>
          <w:color w:val="auto"/>
          <w:sz w:val="24"/>
          <w:szCs w:val="24"/>
          <w:highlight w:val="none"/>
        </w:rPr>
        <w:t>本合同一式</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份，甲方执</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份，乙方执</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份，</w:t>
      </w:r>
      <w:r>
        <w:rPr>
          <w:rFonts w:hint="eastAsia" w:ascii="宋体" w:hAnsi="宋体"/>
          <w:b/>
          <w:bCs/>
          <w:color w:val="auto"/>
          <w:sz w:val="24"/>
          <w:szCs w:val="24"/>
          <w:highlight w:val="none"/>
        </w:rPr>
        <w:t>纸质合同和双方在“苏采云”系统签订的电子合同</w:t>
      </w:r>
      <w:r>
        <w:rPr>
          <w:rFonts w:hint="eastAsia" w:ascii="宋体" w:hAnsi="宋体"/>
          <w:color w:val="auto"/>
          <w:sz w:val="24"/>
          <w:szCs w:val="24"/>
          <w:highlight w:val="none"/>
        </w:rPr>
        <w:t>均具有同等法律效力。</w:t>
      </w:r>
    </w:p>
    <w:p w14:paraId="0497F64D">
      <w:pPr>
        <w:spacing w:line="400" w:lineRule="exact"/>
        <w:ind w:firstLine="480"/>
        <w:rPr>
          <w:rFonts w:ascii="宋体" w:hAnsi="宋体"/>
          <w:color w:val="auto"/>
          <w:sz w:val="24"/>
          <w:szCs w:val="24"/>
          <w:highlight w:val="none"/>
        </w:rPr>
      </w:pPr>
      <w:r>
        <w:rPr>
          <w:rFonts w:hint="eastAsia" w:ascii="宋体" w:hAnsi="宋体"/>
          <w:color w:val="auto"/>
          <w:sz w:val="24"/>
          <w:szCs w:val="24"/>
          <w:highlight w:val="none"/>
        </w:rPr>
        <w:t>合同订立时间：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w:t>
      </w:r>
    </w:p>
    <w:p w14:paraId="3972A6D2">
      <w:pPr>
        <w:spacing w:line="400" w:lineRule="exact"/>
        <w:ind w:firstLine="480"/>
        <w:rPr>
          <w:rFonts w:ascii="宋体" w:hAnsi="宋体"/>
          <w:color w:val="auto"/>
          <w:sz w:val="24"/>
          <w:szCs w:val="24"/>
          <w:highlight w:val="none"/>
        </w:rPr>
      </w:pPr>
      <w:r>
        <w:rPr>
          <w:rFonts w:hint="eastAsia" w:ascii="宋体" w:hAnsi="宋体"/>
          <w:color w:val="auto"/>
          <w:sz w:val="24"/>
          <w:szCs w:val="24"/>
          <w:highlight w:val="none"/>
        </w:rPr>
        <w:t>合同订立地点：</w:t>
      </w:r>
      <w:r>
        <w:rPr>
          <w:rFonts w:hint="eastAsia" w:ascii="宋体" w:hAnsi="宋体"/>
          <w:color w:val="auto"/>
          <w:sz w:val="24"/>
          <w:szCs w:val="24"/>
          <w:highlight w:val="none"/>
          <w:u w:val="single"/>
        </w:rPr>
        <w:t xml:space="preserve">                           </w:t>
      </w:r>
      <w:bookmarkEnd w:id="136"/>
    </w:p>
    <w:p w14:paraId="314D1322">
      <w:pPr>
        <w:spacing w:line="400" w:lineRule="exact"/>
        <w:ind w:firstLine="480"/>
        <w:rPr>
          <w:color w:val="auto"/>
          <w:sz w:val="24"/>
          <w:szCs w:val="24"/>
          <w:highlight w:val="none"/>
        </w:rPr>
      </w:pPr>
      <w:bookmarkStart w:id="137" w:name="_Hlk187835227"/>
      <w:r>
        <w:rPr>
          <w:rFonts w:hint="eastAsia" w:ascii="宋体" w:hAnsi="宋体"/>
          <w:color w:val="auto"/>
          <w:sz w:val="24"/>
          <w:szCs w:val="24"/>
          <w:highlight w:val="none"/>
        </w:rPr>
        <w:t>附件：具体标的及其技术要求和商务要求、联合协议、分包意向协议等</w:t>
      </w:r>
    </w:p>
    <w:p w14:paraId="0FD693D2">
      <w:pPr>
        <w:spacing w:line="400" w:lineRule="exact"/>
        <w:rPr>
          <w:color w:val="auto"/>
          <w:sz w:val="24"/>
          <w:szCs w:val="24"/>
          <w:highlight w:val="none"/>
        </w:rPr>
      </w:pPr>
    </w:p>
    <w:tbl>
      <w:tblPr>
        <w:tblStyle w:val="32"/>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top w:w="0" w:type="dxa"/>
          <w:left w:w="108" w:type="dxa"/>
          <w:bottom w:w="0" w:type="dxa"/>
          <w:right w:w="108" w:type="dxa"/>
        </w:tblCellMar>
      </w:tblPr>
      <w:tblGrid>
        <w:gridCol w:w="1076"/>
        <w:gridCol w:w="3224"/>
        <w:gridCol w:w="1122"/>
        <w:gridCol w:w="2976"/>
      </w:tblGrid>
      <w:tr w14:paraId="14106BF1">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90" w:hRule="atLeast"/>
        </w:trPr>
        <w:tc>
          <w:tcPr>
            <w:tcW w:w="4746" w:type="dxa"/>
            <w:gridSpan w:val="2"/>
            <w:noWrap w:val="0"/>
            <w:vAlign w:val="center"/>
          </w:tcPr>
          <w:p w14:paraId="02B4EA27">
            <w:pPr>
              <w:spacing w:line="300" w:lineRule="exact"/>
              <w:jc w:val="center"/>
              <w:rPr>
                <w:rFonts w:ascii="宋体" w:hAnsi="宋体"/>
                <w:color w:val="auto"/>
                <w:sz w:val="24"/>
                <w:szCs w:val="24"/>
                <w:highlight w:val="none"/>
              </w:rPr>
            </w:pPr>
            <w:r>
              <w:rPr>
                <w:rFonts w:ascii="宋体" w:hAnsi="宋体"/>
                <w:color w:val="auto"/>
                <w:sz w:val="24"/>
                <w:szCs w:val="24"/>
                <w:highlight w:val="none"/>
              </w:rPr>
              <w:t>甲方</w:t>
            </w:r>
            <w:r>
              <w:rPr>
                <w:rFonts w:hint="eastAsia" w:ascii="宋体" w:hAnsi="宋体"/>
                <w:color w:val="auto"/>
                <w:sz w:val="24"/>
                <w:szCs w:val="24"/>
                <w:highlight w:val="none"/>
              </w:rPr>
              <w:t>（采购人、受采购人委托签订合同的单位或采购文件约定的合同甲方）</w:t>
            </w:r>
          </w:p>
        </w:tc>
        <w:tc>
          <w:tcPr>
            <w:tcW w:w="4517" w:type="dxa"/>
            <w:gridSpan w:val="2"/>
            <w:noWrap w:val="0"/>
            <w:vAlign w:val="center"/>
          </w:tcPr>
          <w:p w14:paraId="3D6941EC">
            <w:pPr>
              <w:spacing w:line="300" w:lineRule="exact"/>
              <w:jc w:val="center"/>
              <w:rPr>
                <w:rFonts w:ascii="宋体" w:hAnsi="宋体"/>
                <w:color w:val="auto"/>
                <w:sz w:val="24"/>
                <w:szCs w:val="24"/>
                <w:highlight w:val="none"/>
              </w:rPr>
            </w:pPr>
            <w:r>
              <w:rPr>
                <w:rFonts w:ascii="宋体" w:hAnsi="宋体"/>
                <w:color w:val="auto"/>
                <w:sz w:val="24"/>
                <w:szCs w:val="24"/>
                <w:highlight w:val="none"/>
              </w:rPr>
              <w:t>乙方</w:t>
            </w:r>
            <w:r>
              <w:rPr>
                <w:rFonts w:hint="eastAsia" w:ascii="宋体" w:hAnsi="宋体"/>
                <w:color w:val="auto"/>
                <w:sz w:val="24"/>
                <w:szCs w:val="24"/>
                <w:highlight w:val="none"/>
              </w:rPr>
              <w:t>（供应商）</w:t>
            </w:r>
          </w:p>
        </w:tc>
      </w:tr>
      <w:tr w14:paraId="2F57F823">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917" w:hRule="atLeast"/>
        </w:trPr>
        <w:tc>
          <w:tcPr>
            <w:tcW w:w="1126" w:type="dxa"/>
            <w:noWrap w:val="0"/>
            <w:vAlign w:val="center"/>
          </w:tcPr>
          <w:p w14:paraId="2B44C692">
            <w:pPr>
              <w:spacing w:line="300" w:lineRule="exact"/>
              <w:jc w:val="center"/>
              <w:rPr>
                <w:rFonts w:ascii="宋体" w:hAnsi="宋体"/>
                <w:color w:val="auto"/>
                <w:sz w:val="24"/>
                <w:szCs w:val="24"/>
                <w:highlight w:val="none"/>
              </w:rPr>
            </w:pPr>
            <w:r>
              <w:rPr>
                <w:rFonts w:ascii="宋体" w:hAnsi="宋体"/>
                <w:color w:val="auto"/>
                <w:sz w:val="24"/>
                <w:szCs w:val="24"/>
                <w:highlight w:val="none"/>
              </w:rPr>
              <w:t>单位名称</w:t>
            </w:r>
            <w:r>
              <w:rPr>
                <w:rFonts w:hint="eastAsia" w:ascii="宋体" w:hAnsi="宋体"/>
                <w:color w:val="auto"/>
                <w:sz w:val="24"/>
                <w:szCs w:val="24"/>
                <w:highlight w:val="none"/>
              </w:rPr>
              <w:t>（公章或合同章）</w:t>
            </w:r>
          </w:p>
        </w:tc>
        <w:tc>
          <w:tcPr>
            <w:tcW w:w="1436" w:type="dxa"/>
            <w:noWrap w:val="0"/>
            <w:vAlign w:val="center"/>
          </w:tcPr>
          <w:p w14:paraId="0ECE5EA2">
            <w:pPr>
              <w:spacing w:line="300" w:lineRule="exact"/>
              <w:jc w:val="center"/>
              <w:rPr>
                <w:rFonts w:ascii="宋体" w:hAnsi="宋体"/>
                <w:color w:val="auto"/>
                <w:sz w:val="24"/>
                <w:szCs w:val="24"/>
                <w:highlight w:val="none"/>
              </w:rPr>
            </w:pPr>
          </w:p>
        </w:tc>
        <w:tc>
          <w:tcPr>
            <w:tcW w:w="1178" w:type="dxa"/>
            <w:noWrap w:val="0"/>
            <w:vAlign w:val="center"/>
          </w:tcPr>
          <w:p w14:paraId="2BEB6F4B">
            <w:pPr>
              <w:spacing w:line="300" w:lineRule="exact"/>
              <w:jc w:val="center"/>
              <w:rPr>
                <w:rFonts w:ascii="宋体" w:hAnsi="宋体"/>
                <w:color w:val="auto"/>
                <w:sz w:val="24"/>
                <w:szCs w:val="24"/>
                <w:highlight w:val="none"/>
              </w:rPr>
            </w:pPr>
            <w:r>
              <w:rPr>
                <w:rFonts w:ascii="宋体" w:hAnsi="宋体"/>
                <w:color w:val="auto"/>
                <w:sz w:val="24"/>
                <w:szCs w:val="24"/>
                <w:highlight w:val="none"/>
              </w:rPr>
              <w:t>单位名称</w:t>
            </w:r>
            <w:r>
              <w:rPr>
                <w:rFonts w:hint="eastAsia" w:ascii="宋体" w:hAnsi="宋体"/>
                <w:color w:val="auto"/>
                <w:sz w:val="24"/>
                <w:szCs w:val="24"/>
                <w:highlight w:val="none"/>
              </w:rPr>
              <w:t>（公章或合同章）</w:t>
            </w:r>
          </w:p>
        </w:tc>
        <w:tc>
          <w:tcPr>
            <w:tcW w:w="1259" w:type="dxa"/>
            <w:noWrap w:val="0"/>
            <w:vAlign w:val="center"/>
          </w:tcPr>
          <w:p w14:paraId="75651FAA">
            <w:pPr>
              <w:spacing w:line="300" w:lineRule="exact"/>
              <w:jc w:val="center"/>
              <w:rPr>
                <w:rFonts w:ascii="宋体" w:hAnsi="宋体"/>
                <w:color w:val="auto"/>
                <w:spacing w:val="20"/>
                <w:sz w:val="24"/>
                <w:szCs w:val="24"/>
                <w:highlight w:val="none"/>
              </w:rPr>
            </w:pPr>
          </w:p>
        </w:tc>
      </w:tr>
      <w:tr w14:paraId="1B5D7312">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1171" w:hRule="atLeast"/>
        </w:trPr>
        <w:tc>
          <w:tcPr>
            <w:tcW w:w="1126" w:type="dxa"/>
            <w:vMerge w:val="restart"/>
            <w:noWrap w:val="0"/>
            <w:vAlign w:val="center"/>
          </w:tcPr>
          <w:p w14:paraId="7D0EFD46">
            <w:pPr>
              <w:spacing w:line="300" w:lineRule="exact"/>
              <w:jc w:val="center"/>
              <w:rPr>
                <w:rFonts w:ascii="宋体" w:hAnsi="宋体"/>
                <w:color w:val="auto"/>
                <w:sz w:val="24"/>
                <w:szCs w:val="24"/>
                <w:highlight w:val="none"/>
              </w:rPr>
            </w:pPr>
            <w:r>
              <w:rPr>
                <w:rFonts w:ascii="宋体" w:hAnsi="宋体"/>
                <w:color w:val="auto"/>
                <w:sz w:val="24"/>
                <w:szCs w:val="24"/>
                <w:highlight w:val="none"/>
              </w:rPr>
              <w:t>法定代表人</w:t>
            </w:r>
          </w:p>
          <w:p w14:paraId="3176778B">
            <w:pPr>
              <w:spacing w:line="300" w:lineRule="exact"/>
              <w:ind w:firstLine="115"/>
              <w:jc w:val="center"/>
              <w:rPr>
                <w:rFonts w:ascii="宋体" w:hAnsi="宋体"/>
                <w:color w:val="auto"/>
                <w:sz w:val="24"/>
                <w:szCs w:val="24"/>
                <w:highlight w:val="none"/>
              </w:rPr>
            </w:pPr>
            <w:r>
              <w:rPr>
                <w:rFonts w:hint="eastAsia" w:ascii="宋体" w:hAnsi="宋体"/>
                <w:color w:val="auto"/>
                <w:sz w:val="24"/>
                <w:szCs w:val="24"/>
                <w:highlight w:val="none"/>
              </w:rPr>
              <w:t>或其</w:t>
            </w:r>
            <w:r>
              <w:rPr>
                <w:rFonts w:ascii="宋体" w:hAnsi="宋体"/>
                <w:color w:val="auto"/>
                <w:sz w:val="24"/>
                <w:szCs w:val="24"/>
                <w:highlight w:val="none"/>
              </w:rPr>
              <w:t>委托代理人</w:t>
            </w:r>
            <w:r>
              <w:rPr>
                <w:rFonts w:hint="eastAsia" w:ascii="宋体" w:hAnsi="宋体"/>
                <w:color w:val="auto"/>
                <w:sz w:val="24"/>
                <w:szCs w:val="24"/>
                <w:highlight w:val="none"/>
              </w:rPr>
              <w:t>（签章）</w:t>
            </w:r>
          </w:p>
        </w:tc>
        <w:tc>
          <w:tcPr>
            <w:tcW w:w="1436" w:type="dxa"/>
            <w:vMerge w:val="restart"/>
            <w:noWrap w:val="0"/>
            <w:vAlign w:val="center"/>
          </w:tcPr>
          <w:p w14:paraId="73F952A1">
            <w:pPr>
              <w:spacing w:line="300" w:lineRule="exact"/>
              <w:jc w:val="center"/>
              <w:rPr>
                <w:rFonts w:ascii="宋体" w:hAnsi="宋体"/>
                <w:color w:val="auto"/>
                <w:sz w:val="24"/>
                <w:szCs w:val="24"/>
                <w:highlight w:val="none"/>
              </w:rPr>
            </w:pPr>
          </w:p>
        </w:tc>
        <w:tc>
          <w:tcPr>
            <w:tcW w:w="1178" w:type="dxa"/>
            <w:noWrap w:val="0"/>
            <w:vAlign w:val="center"/>
          </w:tcPr>
          <w:p w14:paraId="5357E224">
            <w:pPr>
              <w:spacing w:line="300" w:lineRule="exact"/>
              <w:jc w:val="center"/>
              <w:rPr>
                <w:rFonts w:ascii="宋体" w:hAnsi="宋体"/>
                <w:color w:val="auto"/>
                <w:sz w:val="24"/>
                <w:szCs w:val="24"/>
                <w:highlight w:val="none"/>
              </w:rPr>
            </w:pPr>
            <w:r>
              <w:rPr>
                <w:rFonts w:ascii="宋体" w:hAnsi="宋体"/>
                <w:color w:val="auto"/>
                <w:sz w:val="24"/>
                <w:szCs w:val="24"/>
                <w:highlight w:val="none"/>
              </w:rPr>
              <w:t>法定代表人</w:t>
            </w:r>
          </w:p>
          <w:p w14:paraId="42286143">
            <w:pPr>
              <w:spacing w:line="300" w:lineRule="exact"/>
              <w:jc w:val="center"/>
              <w:rPr>
                <w:rFonts w:ascii="宋体" w:hAnsi="宋体"/>
                <w:color w:val="auto"/>
                <w:sz w:val="24"/>
                <w:szCs w:val="24"/>
                <w:highlight w:val="none"/>
              </w:rPr>
            </w:pPr>
            <w:r>
              <w:rPr>
                <w:rFonts w:hint="eastAsia" w:ascii="宋体" w:hAnsi="宋体"/>
                <w:color w:val="auto"/>
                <w:sz w:val="24"/>
                <w:szCs w:val="24"/>
                <w:highlight w:val="none"/>
              </w:rPr>
              <w:t>或其</w:t>
            </w:r>
            <w:r>
              <w:rPr>
                <w:rFonts w:ascii="宋体" w:hAnsi="宋体"/>
                <w:color w:val="auto"/>
                <w:sz w:val="24"/>
                <w:szCs w:val="24"/>
                <w:highlight w:val="none"/>
              </w:rPr>
              <w:t>委托代理人</w:t>
            </w:r>
            <w:r>
              <w:rPr>
                <w:rFonts w:hint="eastAsia" w:ascii="宋体" w:hAnsi="宋体"/>
                <w:color w:val="auto"/>
                <w:sz w:val="24"/>
                <w:szCs w:val="24"/>
                <w:highlight w:val="none"/>
              </w:rPr>
              <w:t>（签章）</w:t>
            </w:r>
          </w:p>
        </w:tc>
        <w:tc>
          <w:tcPr>
            <w:tcW w:w="1259" w:type="dxa"/>
            <w:noWrap w:val="0"/>
            <w:vAlign w:val="center"/>
          </w:tcPr>
          <w:p w14:paraId="0F358A05">
            <w:pPr>
              <w:spacing w:line="300" w:lineRule="exact"/>
              <w:jc w:val="center"/>
              <w:rPr>
                <w:rFonts w:ascii="宋体" w:hAnsi="宋体"/>
                <w:color w:val="auto"/>
                <w:sz w:val="24"/>
                <w:szCs w:val="24"/>
                <w:highlight w:val="none"/>
              </w:rPr>
            </w:pPr>
          </w:p>
        </w:tc>
      </w:tr>
      <w:tr w14:paraId="34EAB16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vMerge w:val="continue"/>
            <w:noWrap w:val="0"/>
            <w:vAlign w:val="center"/>
          </w:tcPr>
          <w:p w14:paraId="6C2277FD">
            <w:pPr>
              <w:spacing w:line="300" w:lineRule="exact"/>
              <w:jc w:val="center"/>
              <w:rPr>
                <w:rFonts w:ascii="宋体" w:hAnsi="宋体"/>
                <w:color w:val="auto"/>
                <w:sz w:val="24"/>
                <w:szCs w:val="24"/>
                <w:highlight w:val="none"/>
              </w:rPr>
            </w:pPr>
          </w:p>
        </w:tc>
        <w:tc>
          <w:tcPr>
            <w:tcW w:w="1436" w:type="dxa"/>
            <w:vMerge w:val="continue"/>
            <w:noWrap w:val="0"/>
            <w:vAlign w:val="center"/>
          </w:tcPr>
          <w:p w14:paraId="0312393D">
            <w:pPr>
              <w:spacing w:line="300" w:lineRule="exact"/>
              <w:jc w:val="center"/>
              <w:rPr>
                <w:rFonts w:ascii="宋体" w:hAnsi="宋体"/>
                <w:color w:val="auto"/>
                <w:sz w:val="24"/>
                <w:szCs w:val="24"/>
                <w:highlight w:val="none"/>
              </w:rPr>
            </w:pPr>
          </w:p>
        </w:tc>
        <w:tc>
          <w:tcPr>
            <w:tcW w:w="1178" w:type="dxa"/>
            <w:noWrap w:val="0"/>
            <w:vAlign w:val="center"/>
          </w:tcPr>
          <w:p w14:paraId="06B15127">
            <w:pPr>
              <w:spacing w:line="300" w:lineRule="exact"/>
              <w:jc w:val="center"/>
              <w:rPr>
                <w:rFonts w:ascii="宋体" w:hAnsi="宋体"/>
                <w:color w:val="auto"/>
                <w:sz w:val="24"/>
                <w:szCs w:val="24"/>
                <w:highlight w:val="none"/>
              </w:rPr>
            </w:pPr>
            <w:r>
              <w:rPr>
                <w:rFonts w:hint="eastAsia" w:ascii="宋体" w:hAnsi="宋体"/>
                <w:color w:val="auto"/>
                <w:sz w:val="24"/>
                <w:szCs w:val="24"/>
                <w:highlight w:val="none"/>
              </w:rPr>
              <w:t>拥有者性别</w:t>
            </w:r>
          </w:p>
        </w:tc>
        <w:tc>
          <w:tcPr>
            <w:tcW w:w="1259" w:type="dxa"/>
            <w:noWrap w:val="0"/>
            <w:vAlign w:val="center"/>
          </w:tcPr>
          <w:p w14:paraId="4D84C144">
            <w:pPr>
              <w:spacing w:line="300" w:lineRule="exact"/>
              <w:jc w:val="center"/>
              <w:rPr>
                <w:rFonts w:ascii="宋体" w:hAnsi="宋体"/>
                <w:color w:val="auto"/>
                <w:spacing w:val="20"/>
                <w:sz w:val="24"/>
                <w:szCs w:val="24"/>
                <w:highlight w:val="none"/>
              </w:rPr>
            </w:pPr>
          </w:p>
        </w:tc>
      </w:tr>
      <w:tr w14:paraId="1E10F2B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noWrap w:val="0"/>
            <w:vAlign w:val="center"/>
          </w:tcPr>
          <w:p w14:paraId="495F6C90">
            <w:pPr>
              <w:spacing w:line="300" w:lineRule="exact"/>
              <w:jc w:val="center"/>
              <w:rPr>
                <w:rFonts w:ascii="宋体" w:hAnsi="宋体"/>
                <w:color w:val="auto"/>
                <w:sz w:val="24"/>
                <w:szCs w:val="24"/>
                <w:highlight w:val="none"/>
              </w:rPr>
            </w:pPr>
            <w:r>
              <w:rPr>
                <w:rFonts w:hint="eastAsia" w:ascii="宋体" w:hAnsi="宋体"/>
                <w:color w:val="auto"/>
                <w:sz w:val="24"/>
                <w:szCs w:val="24"/>
                <w:highlight w:val="none"/>
              </w:rPr>
              <w:t>住  所</w:t>
            </w:r>
          </w:p>
        </w:tc>
        <w:tc>
          <w:tcPr>
            <w:tcW w:w="1436" w:type="dxa"/>
            <w:noWrap w:val="0"/>
            <w:vAlign w:val="center"/>
          </w:tcPr>
          <w:p w14:paraId="1DFD43E3">
            <w:pPr>
              <w:spacing w:line="300" w:lineRule="exact"/>
              <w:jc w:val="center"/>
              <w:rPr>
                <w:rFonts w:ascii="宋体" w:hAnsi="宋体"/>
                <w:color w:val="auto"/>
                <w:sz w:val="24"/>
                <w:szCs w:val="24"/>
                <w:highlight w:val="none"/>
              </w:rPr>
            </w:pPr>
          </w:p>
        </w:tc>
        <w:tc>
          <w:tcPr>
            <w:tcW w:w="1178" w:type="dxa"/>
            <w:noWrap w:val="0"/>
            <w:vAlign w:val="center"/>
          </w:tcPr>
          <w:p w14:paraId="2D84D466">
            <w:pPr>
              <w:spacing w:line="300" w:lineRule="exact"/>
              <w:jc w:val="center"/>
              <w:rPr>
                <w:rFonts w:ascii="宋体" w:hAnsi="宋体"/>
                <w:color w:val="auto"/>
                <w:sz w:val="24"/>
                <w:szCs w:val="24"/>
                <w:highlight w:val="none"/>
              </w:rPr>
            </w:pPr>
            <w:r>
              <w:rPr>
                <w:rFonts w:hint="eastAsia" w:ascii="宋体" w:hAnsi="宋体"/>
                <w:color w:val="auto"/>
                <w:sz w:val="24"/>
                <w:szCs w:val="24"/>
                <w:highlight w:val="none"/>
              </w:rPr>
              <w:t>住  所</w:t>
            </w:r>
          </w:p>
        </w:tc>
        <w:tc>
          <w:tcPr>
            <w:tcW w:w="1259" w:type="dxa"/>
            <w:noWrap w:val="0"/>
            <w:vAlign w:val="center"/>
          </w:tcPr>
          <w:p w14:paraId="7DD1A0BD">
            <w:pPr>
              <w:spacing w:line="300" w:lineRule="exact"/>
              <w:jc w:val="center"/>
              <w:rPr>
                <w:rFonts w:ascii="宋体" w:hAnsi="宋体"/>
                <w:color w:val="auto"/>
                <w:spacing w:val="20"/>
                <w:sz w:val="24"/>
                <w:szCs w:val="24"/>
                <w:highlight w:val="none"/>
              </w:rPr>
            </w:pPr>
          </w:p>
        </w:tc>
      </w:tr>
      <w:tr w14:paraId="2E848C3A">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noWrap w:val="0"/>
            <w:vAlign w:val="center"/>
          </w:tcPr>
          <w:p w14:paraId="568076EB">
            <w:pPr>
              <w:spacing w:line="300" w:lineRule="exact"/>
              <w:jc w:val="center"/>
              <w:rPr>
                <w:rFonts w:ascii="宋体" w:hAnsi="宋体"/>
                <w:color w:val="auto"/>
                <w:sz w:val="24"/>
                <w:szCs w:val="24"/>
                <w:highlight w:val="none"/>
              </w:rPr>
            </w:pPr>
            <w:r>
              <w:rPr>
                <w:rFonts w:ascii="宋体" w:hAnsi="宋体"/>
                <w:color w:val="auto"/>
                <w:sz w:val="24"/>
                <w:szCs w:val="24"/>
                <w:highlight w:val="none"/>
              </w:rPr>
              <w:t>联 系 人</w:t>
            </w:r>
          </w:p>
        </w:tc>
        <w:tc>
          <w:tcPr>
            <w:tcW w:w="1436" w:type="dxa"/>
            <w:noWrap w:val="0"/>
            <w:vAlign w:val="center"/>
          </w:tcPr>
          <w:p w14:paraId="01227B19">
            <w:pPr>
              <w:spacing w:line="300" w:lineRule="exact"/>
              <w:jc w:val="center"/>
              <w:rPr>
                <w:rFonts w:ascii="宋体" w:hAnsi="宋体"/>
                <w:color w:val="auto"/>
                <w:sz w:val="24"/>
                <w:szCs w:val="24"/>
                <w:highlight w:val="none"/>
              </w:rPr>
            </w:pPr>
          </w:p>
        </w:tc>
        <w:tc>
          <w:tcPr>
            <w:tcW w:w="1178" w:type="dxa"/>
            <w:noWrap w:val="0"/>
            <w:vAlign w:val="center"/>
          </w:tcPr>
          <w:p w14:paraId="6854CA8F">
            <w:pPr>
              <w:spacing w:line="300" w:lineRule="exact"/>
              <w:jc w:val="center"/>
              <w:rPr>
                <w:rFonts w:ascii="宋体" w:hAnsi="宋体"/>
                <w:color w:val="auto"/>
                <w:sz w:val="24"/>
                <w:szCs w:val="24"/>
                <w:highlight w:val="none"/>
              </w:rPr>
            </w:pPr>
            <w:r>
              <w:rPr>
                <w:rFonts w:ascii="宋体" w:hAnsi="宋体"/>
                <w:color w:val="auto"/>
                <w:sz w:val="24"/>
                <w:szCs w:val="24"/>
                <w:highlight w:val="none"/>
              </w:rPr>
              <w:t>联 系 人</w:t>
            </w:r>
          </w:p>
        </w:tc>
        <w:tc>
          <w:tcPr>
            <w:tcW w:w="1259" w:type="dxa"/>
            <w:noWrap w:val="0"/>
            <w:vAlign w:val="center"/>
          </w:tcPr>
          <w:p w14:paraId="320CD638">
            <w:pPr>
              <w:spacing w:line="300" w:lineRule="exact"/>
              <w:jc w:val="center"/>
              <w:rPr>
                <w:rFonts w:ascii="宋体" w:hAnsi="宋体"/>
                <w:color w:val="auto"/>
                <w:spacing w:val="20"/>
                <w:sz w:val="24"/>
                <w:szCs w:val="24"/>
                <w:highlight w:val="none"/>
              </w:rPr>
            </w:pPr>
          </w:p>
        </w:tc>
      </w:tr>
      <w:tr w14:paraId="14DB453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noWrap w:val="0"/>
            <w:vAlign w:val="center"/>
          </w:tcPr>
          <w:p w14:paraId="26BFD3EF">
            <w:pPr>
              <w:spacing w:line="300" w:lineRule="exact"/>
              <w:jc w:val="center"/>
              <w:rPr>
                <w:rFonts w:ascii="宋体" w:hAnsi="宋体"/>
                <w:color w:val="auto"/>
                <w:sz w:val="24"/>
                <w:szCs w:val="24"/>
                <w:highlight w:val="none"/>
              </w:rPr>
            </w:pPr>
            <w:r>
              <w:rPr>
                <w:rFonts w:ascii="宋体" w:hAnsi="宋体"/>
                <w:color w:val="auto"/>
                <w:sz w:val="24"/>
                <w:szCs w:val="24"/>
                <w:highlight w:val="none"/>
              </w:rPr>
              <w:t>联系电话</w:t>
            </w:r>
          </w:p>
        </w:tc>
        <w:tc>
          <w:tcPr>
            <w:tcW w:w="1436" w:type="dxa"/>
            <w:noWrap w:val="0"/>
            <w:vAlign w:val="center"/>
          </w:tcPr>
          <w:p w14:paraId="61A3D94A">
            <w:pPr>
              <w:spacing w:line="300" w:lineRule="exact"/>
              <w:jc w:val="center"/>
              <w:rPr>
                <w:rFonts w:ascii="宋体" w:hAnsi="宋体"/>
                <w:color w:val="auto"/>
                <w:sz w:val="24"/>
                <w:szCs w:val="24"/>
                <w:highlight w:val="none"/>
              </w:rPr>
            </w:pPr>
          </w:p>
        </w:tc>
        <w:tc>
          <w:tcPr>
            <w:tcW w:w="1178" w:type="dxa"/>
            <w:noWrap w:val="0"/>
            <w:vAlign w:val="center"/>
          </w:tcPr>
          <w:p w14:paraId="4DDF9D8B">
            <w:pPr>
              <w:spacing w:line="300" w:lineRule="exact"/>
              <w:jc w:val="center"/>
              <w:rPr>
                <w:rFonts w:ascii="宋体" w:hAnsi="宋体"/>
                <w:color w:val="auto"/>
                <w:sz w:val="24"/>
                <w:szCs w:val="24"/>
                <w:highlight w:val="none"/>
              </w:rPr>
            </w:pPr>
            <w:r>
              <w:rPr>
                <w:rFonts w:ascii="宋体" w:hAnsi="宋体"/>
                <w:color w:val="auto"/>
                <w:sz w:val="24"/>
                <w:szCs w:val="24"/>
                <w:highlight w:val="none"/>
              </w:rPr>
              <w:t>联系电话</w:t>
            </w:r>
          </w:p>
        </w:tc>
        <w:tc>
          <w:tcPr>
            <w:tcW w:w="1259" w:type="dxa"/>
            <w:noWrap w:val="0"/>
            <w:vAlign w:val="center"/>
          </w:tcPr>
          <w:p w14:paraId="0ED4618C">
            <w:pPr>
              <w:spacing w:line="300" w:lineRule="exact"/>
              <w:jc w:val="center"/>
              <w:rPr>
                <w:rFonts w:ascii="宋体" w:hAnsi="宋体"/>
                <w:color w:val="auto"/>
                <w:spacing w:val="20"/>
                <w:sz w:val="24"/>
                <w:szCs w:val="24"/>
                <w:highlight w:val="none"/>
              </w:rPr>
            </w:pPr>
          </w:p>
        </w:tc>
      </w:tr>
      <w:tr w14:paraId="0A900E2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noWrap w:val="0"/>
            <w:vAlign w:val="center"/>
          </w:tcPr>
          <w:p w14:paraId="6C54EDB1">
            <w:pPr>
              <w:spacing w:line="300" w:lineRule="exact"/>
              <w:jc w:val="center"/>
              <w:rPr>
                <w:rFonts w:ascii="宋体" w:hAnsi="宋体"/>
                <w:color w:val="auto"/>
                <w:sz w:val="24"/>
                <w:szCs w:val="24"/>
                <w:highlight w:val="none"/>
              </w:rPr>
            </w:pPr>
            <w:r>
              <w:rPr>
                <w:rFonts w:hint="eastAsia" w:ascii="宋体" w:hAnsi="宋体"/>
                <w:color w:val="auto"/>
                <w:sz w:val="24"/>
                <w:szCs w:val="24"/>
                <w:highlight w:val="none"/>
              </w:rPr>
              <w:t>通信地址</w:t>
            </w:r>
          </w:p>
        </w:tc>
        <w:tc>
          <w:tcPr>
            <w:tcW w:w="1436" w:type="dxa"/>
            <w:noWrap w:val="0"/>
            <w:vAlign w:val="center"/>
          </w:tcPr>
          <w:p w14:paraId="234EB6C5">
            <w:pPr>
              <w:spacing w:line="300" w:lineRule="exact"/>
              <w:jc w:val="center"/>
              <w:rPr>
                <w:rFonts w:ascii="宋体" w:hAnsi="宋体"/>
                <w:color w:val="auto"/>
                <w:sz w:val="24"/>
                <w:szCs w:val="24"/>
                <w:highlight w:val="none"/>
              </w:rPr>
            </w:pPr>
          </w:p>
        </w:tc>
        <w:tc>
          <w:tcPr>
            <w:tcW w:w="1178" w:type="dxa"/>
            <w:noWrap w:val="0"/>
            <w:vAlign w:val="center"/>
          </w:tcPr>
          <w:p w14:paraId="64E638B4">
            <w:pPr>
              <w:spacing w:line="300" w:lineRule="exact"/>
              <w:jc w:val="center"/>
              <w:rPr>
                <w:rFonts w:ascii="宋体" w:hAnsi="宋体"/>
                <w:color w:val="auto"/>
                <w:sz w:val="24"/>
                <w:szCs w:val="24"/>
                <w:highlight w:val="none"/>
              </w:rPr>
            </w:pPr>
            <w:r>
              <w:rPr>
                <w:rFonts w:hint="eastAsia" w:ascii="宋体" w:hAnsi="宋体"/>
                <w:color w:val="auto"/>
                <w:sz w:val="24"/>
                <w:szCs w:val="24"/>
                <w:highlight w:val="none"/>
              </w:rPr>
              <w:t>通信地址</w:t>
            </w:r>
          </w:p>
        </w:tc>
        <w:tc>
          <w:tcPr>
            <w:tcW w:w="1259" w:type="dxa"/>
            <w:noWrap w:val="0"/>
            <w:vAlign w:val="center"/>
          </w:tcPr>
          <w:p w14:paraId="0E643322">
            <w:pPr>
              <w:spacing w:line="300" w:lineRule="exact"/>
              <w:jc w:val="center"/>
              <w:rPr>
                <w:rFonts w:ascii="宋体" w:hAnsi="宋体"/>
                <w:color w:val="auto"/>
                <w:spacing w:val="20"/>
                <w:sz w:val="24"/>
                <w:szCs w:val="24"/>
                <w:highlight w:val="none"/>
              </w:rPr>
            </w:pPr>
          </w:p>
        </w:tc>
      </w:tr>
      <w:tr w14:paraId="412D7E24">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noWrap w:val="0"/>
            <w:vAlign w:val="center"/>
          </w:tcPr>
          <w:p w14:paraId="0C25B3F8">
            <w:pPr>
              <w:spacing w:line="300" w:lineRule="exact"/>
              <w:jc w:val="center"/>
              <w:rPr>
                <w:rFonts w:ascii="宋体" w:hAnsi="宋体"/>
                <w:color w:val="auto"/>
                <w:sz w:val="24"/>
                <w:szCs w:val="24"/>
                <w:highlight w:val="none"/>
              </w:rPr>
            </w:pPr>
            <w:r>
              <w:rPr>
                <w:rFonts w:ascii="宋体" w:hAnsi="宋体"/>
                <w:color w:val="auto"/>
                <w:sz w:val="24"/>
                <w:szCs w:val="24"/>
                <w:highlight w:val="none"/>
              </w:rPr>
              <w:t>邮政编码</w:t>
            </w:r>
          </w:p>
        </w:tc>
        <w:tc>
          <w:tcPr>
            <w:tcW w:w="1436" w:type="dxa"/>
            <w:noWrap w:val="0"/>
            <w:vAlign w:val="center"/>
          </w:tcPr>
          <w:p w14:paraId="0FBDA7E0">
            <w:pPr>
              <w:spacing w:line="300" w:lineRule="exact"/>
              <w:jc w:val="center"/>
              <w:rPr>
                <w:rFonts w:ascii="宋体" w:hAnsi="宋体"/>
                <w:color w:val="auto"/>
                <w:sz w:val="24"/>
                <w:szCs w:val="24"/>
                <w:highlight w:val="none"/>
              </w:rPr>
            </w:pPr>
          </w:p>
        </w:tc>
        <w:tc>
          <w:tcPr>
            <w:tcW w:w="1178" w:type="dxa"/>
            <w:noWrap w:val="0"/>
            <w:vAlign w:val="center"/>
          </w:tcPr>
          <w:p w14:paraId="21D60AC0">
            <w:pPr>
              <w:spacing w:line="300" w:lineRule="exact"/>
              <w:jc w:val="center"/>
              <w:rPr>
                <w:rFonts w:ascii="宋体" w:hAnsi="宋体"/>
                <w:color w:val="auto"/>
                <w:sz w:val="24"/>
                <w:szCs w:val="24"/>
                <w:highlight w:val="none"/>
              </w:rPr>
            </w:pPr>
            <w:r>
              <w:rPr>
                <w:rFonts w:ascii="宋体" w:hAnsi="宋体"/>
                <w:color w:val="auto"/>
                <w:sz w:val="24"/>
                <w:szCs w:val="24"/>
                <w:highlight w:val="none"/>
              </w:rPr>
              <w:t>邮政编码</w:t>
            </w:r>
          </w:p>
        </w:tc>
        <w:tc>
          <w:tcPr>
            <w:tcW w:w="1259" w:type="dxa"/>
            <w:noWrap w:val="0"/>
            <w:vAlign w:val="center"/>
          </w:tcPr>
          <w:p w14:paraId="35152C61">
            <w:pPr>
              <w:spacing w:line="300" w:lineRule="exact"/>
              <w:jc w:val="center"/>
              <w:rPr>
                <w:rFonts w:ascii="宋体" w:hAnsi="宋体"/>
                <w:color w:val="auto"/>
                <w:spacing w:val="20"/>
                <w:sz w:val="24"/>
                <w:szCs w:val="24"/>
                <w:highlight w:val="none"/>
              </w:rPr>
            </w:pPr>
          </w:p>
        </w:tc>
      </w:tr>
      <w:tr w14:paraId="2304D54A">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noWrap w:val="0"/>
            <w:vAlign w:val="center"/>
          </w:tcPr>
          <w:p w14:paraId="5CA39A02">
            <w:pPr>
              <w:spacing w:line="300" w:lineRule="exact"/>
              <w:jc w:val="center"/>
              <w:rPr>
                <w:rFonts w:ascii="宋体" w:hAnsi="宋体"/>
                <w:color w:val="auto"/>
                <w:sz w:val="24"/>
                <w:szCs w:val="24"/>
                <w:highlight w:val="none"/>
              </w:rPr>
            </w:pPr>
            <w:r>
              <w:rPr>
                <w:rFonts w:hint="eastAsia" w:ascii="宋体" w:hAnsi="宋体"/>
                <w:color w:val="auto"/>
                <w:sz w:val="24"/>
                <w:szCs w:val="24"/>
                <w:highlight w:val="none"/>
              </w:rPr>
              <w:t>电子邮箱</w:t>
            </w:r>
          </w:p>
        </w:tc>
        <w:tc>
          <w:tcPr>
            <w:tcW w:w="1436" w:type="dxa"/>
            <w:noWrap w:val="0"/>
            <w:vAlign w:val="center"/>
          </w:tcPr>
          <w:p w14:paraId="7B03A57B">
            <w:pPr>
              <w:spacing w:line="300" w:lineRule="exact"/>
              <w:jc w:val="center"/>
              <w:rPr>
                <w:rFonts w:ascii="宋体" w:hAnsi="宋体"/>
                <w:color w:val="auto"/>
                <w:sz w:val="24"/>
                <w:szCs w:val="24"/>
                <w:highlight w:val="none"/>
              </w:rPr>
            </w:pPr>
          </w:p>
        </w:tc>
        <w:tc>
          <w:tcPr>
            <w:tcW w:w="1178" w:type="dxa"/>
            <w:noWrap w:val="0"/>
            <w:vAlign w:val="center"/>
          </w:tcPr>
          <w:p w14:paraId="71485DC6">
            <w:pPr>
              <w:spacing w:line="300" w:lineRule="exact"/>
              <w:jc w:val="center"/>
              <w:rPr>
                <w:rFonts w:ascii="宋体" w:hAnsi="宋体"/>
                <w:color w:val="auto"/>
                <w:sz w:val="24"/>
                <w:szCs w:val="24"/>
                <w:highlight w:val="none"/>
              </w:rPr>
            </w:pPr>
            <w:r>
              <w:rPr>
                <w:rFonts w:hint="eastAsia" w:ascii="宋体" w:hAnsi="宋体"/>
                <w:color w:val="auto"/>
                <w:sz w:val="24"/>
                <w:szCs w:val="24"/>
                <w:highlight w:val="none"/>
              </w:rPr>
              <w:t>电子邮箱</w:t>
            </w:r>
          </w:p>
        </w:tc>
        <w:tc>
          <w:tcPr>
            <w:tcW w:w="1259" w:type="dxa"/>
            <w:noWrap w:val="0"/>
            <w:vAlign w:val="center"/>
          </w:tcPr>
          <w:p w14:paraId="73CA2CD3">
            <w:pPr>
              <w:spacing w:line="300" w:lineRule="exact"/>
              <w:jc w:val="center"/>
              <w:rPr>
                <w:rFonts w:ascii="宋体" w:hAnsi="宋体"/>
                <w:color w:val="auto"/>
                <w:spacing w:val="20"/>
                <w:sz w:val="24"/>
                <w:szCs w:val="24"/>
                <w:highlight w:val="none"/>
              </w:rPr>
            </w:pPr>
          </w:p>
        </w:tc>
      </w:tr>
      <w:tr w14:paraId="47FE78CA">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noWrap w:val="0"/>
            <w:vAlign w:val="center"/>
          </w:tcPr>
          <w:p w14:paraId="4CA07CA2">
            <w:pPr>
              <w:spacing w:line="300" w:lineRule="exact"/>
              <w:jc w:val="center"/>
              <w:rPr>
                <w:rFonts w:ascii="宋体" w:hAnsi="宋体"/>
                <w:color w:val="auto"/>
                <w:sz w:val="24"/>
                <w:szCs w:val="24"/>
                <w:highlight w:val="none"/>
              </w:rPr>
            </w:pPr>
            <w:r>
              <w:rPr>
                <w:rFonts w:hint="eastAsia" w:ascii="宋体" w:hAnsi="宋体"/>
                <w:color w:val="auto"/>
                <w:sz w:val="24"/>
                <w:szCs w:val="24"/>
                <w:highlight w:val="none"/>
              </w:rPr>
              <w:t>统一社会信用代码</w:t>
            </w:r>
          </w:p>
        </w:tc>
        <w:tc>
          <w:tcPr>
            <w:tcW w:w="1436" w:type="dxa"/>
            <w:noWrap w:val="0"/>
            <w:vAlign w:val="center"/>
          </w:tcPr>
          <w:p w14:paraId="63E8ADDD">
            <w:pPr>
              <w:spacing w:line="300" w:lineRule="exact"/>
              <w:jc w:val="center"/>
              <w:rPr>
                <w:rFonts w:ascii="宋体" w:hAnsi="宋体"/>
                <w:color w:val="auto"/>
                <w:sz w:val="24"/>
                <w:szCs w:val="24"/>
                <w:highlight w:val="none"/>
              </w:rPr>
            </w:pPr>
          </w:p>
        </w:tc>
        <w:tc>
          <w:tcPr>
            <w:tcW w:w="1178" w:type="dxa"/>
            <w:noWrap w:val="0"/>
            <w:vAlign w:val="center"/>
          </w:tcPr>
          <w:p w14:paraId="48961281">
            <w:pPr>
              <w:spacing w:line="300" w:lineRule="exact"/>
              <w:jc w:val="center"/>
              <w:rPr>
                <w:rFonts w:ascii="宋体" w:hAnsi="宋体"/>
                <w:color w:val="auto"/>
                <w:sz w:val="24"/>
                <w:szCs w:val="24"/>
                <w:highlight w:val="none"/>
              </w:rPr>
            </w:pPr>
            <w:r>
              <w:rPr>
                <w:rFonts w:hint="eastAsia" w:ascii="宋体" w:hAnsi="宋体"/>
                <w:color w:val="auto"/>
                <w:sz w:val="24"/>
                <w:szCs w:val="24"/>
                <w:highlight w:val="none"/>
              </w:rPr>
              <w:t>统一社会信用代码</w:t>
            </w:r>
          </w:p>
        </w:tc>
        <w:tc>
          <w:tcPr>
            <w:tcW w:w="1259" w:type="dxa"/>
            <w:noWrap w:val="0"/>
            <w:vAlign w:val="center"/>
          </w:tcPr>
          <w:p w14:paraId="4C030D77">
            <w:pPr>
              <w:spacing w:line="300" w:lineRule="exact"/>
              <w:jc w:val="center"/>
              <w:rPr>
                <w:rFonts w:ascii="宋体" w:hAnsi="宋体"/>
                <w:color w:val="auto"/>
                <w:spacing w:val="20"/>
                <w:sz w:val="24"/>
                <w:szCs w:val="24"/>
                <w:highlight w:val="none"/>
              </w:rPr>
            </w:pPr>
          </w:p>
        </w:tc>
      </w:tr>
      <w:tr w14:paraId="1EF16AB4">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noWrap w:val="0"/>
            <w:vAlign w:val="center"/>
          </w:tcPr>
          <w:p w14:paraId="460DE18C">
            <w:pPr>
              <w:spacing w:line="300" w:lineRule="exact"/>
              <w:jc w:val="center"/>
              <w:rPr>
                <w:rFonts w:ascii="宋体" w:hAnsi="宋体"/>
                <w:color w:val="auto"/>
                <w:sz w:val="24"/>
                <w:szCs w:val="24"/>
                <w:highlight w:val="none"/>
              </w:rPr>
            </w:pPr>
          </w:p>
        </w:tc>
        <w:tc>
          <w:tcPr>
            <w:tcW w:w="1436" w:type="dxa"/>
            <w:noWrap w:val="0"/>
            <w:vAlign w:val="center"/>
          </w:tcPr>
          <w:p w14:paraId="5A8996EE">
            <w:pPr>
              <w:spacing w:line="300" w:lineRule="exact"/>
              <w:jc w:val="center"/>
              <w:rPr>
                <w:rFonts w:ascii="宋体" w:hAnsi="宋体"/>
                <w:color w:val="auto"/>
                <w:sz w:val="24"/>
                <w:szCs w:val="24"/>
                <w:highlight w:val="none"/>
              </w:rPr>
            </w:pPr>
          </w:p>
        </w:tc>
        <w:tc>
          <w:tcPr>
            <w:tcW w:w="1178" w:type="dxa"/>
            <w:noWrap w:val="0"/>
            <w:vAlign w:val="center"/>
          </w:tcPr>
          <w:p w14:paraId="30FCF0AA">
            <w:pPr>
              <w:spacing w:line="300" w:lineRule="exact"/>
              <w:jc w:val="center"/>
              <w:rPr>
                <w:rFonts w:ascii="宋体" w:hAnsi="宋体"/>
                <w:color w:val="auto"/>
                <w:sz w:val="24"/>
                <w:szCs w:val="24"/>
                <w:highlight w:val="none"/>
              </w:rPr>
            </w:pPr>
            <w:r>
              <w:rPr>
                <w:rFonts w:ascii="宋体" w:hAnsi="宋体"/>
                <w:color w:val="auto"/>
                <w:sz w:val="24"/>
                <w:szCs w:val="24"/>
                <w:highlight w:val="none"/>
              </w:rPr>
              <w:t>开户名称</w:t>
            </w:r>
          </w:p>
        </w:tc>
        <w:tc>
          <w:tcPr>
            <w:tcW w:w="1259" w:type="dxa"/>
            <w:noWrap w:val="0"/>
            <w:vAlign w:val="center"/>
          </w:tcPr>
          <w:p w14:paraId="2B38A5EB">
            <w:pPr>
              <w:spacing w:line="300" w:lineRule="exact"/>
              <w:jc w:val="center"/>
              <w:rPr>
                <w:rFonts w:ascii="宋体" w:hAnsi="宋体"/>
                <w:color w:val="auto"/>
                <w:spacing w:val="20"/>
                <w:sz w:val="24"/>
                <w:szCs w:val="24"/>
                <w:highlight w:val="none"/>
              </w:rPr>
            </w:pPr>
          </w:p>
        </w:tc>
      </w:tr>
      <w:tr w14:paraId="325CACCB">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noWrap w:val="0"/>
            <w:vAlign w:val="center"/>
          </w:tcPr>
          <w:p w14:paraId="4D9B6814">
            <w:pPr>
              <w:spacing w:line="300" w:lineRule="exact"/>
              <w:jc w:val="center"/>
              <w:rPr>
                <w:rFonts w:ascii="宋体" w:hAnsi="宋体"/>
                <w:color w:val="auto"/>
                <w:sz w:val="24"/>
                <w:szCs w:val="24"/>
                <w:highlight w:val="none"/>
              </w:rPr>
            </w:pPr>
          </w:p>
        </w:tc>
        <w:tc>
          <w:tcPr>
            <w:tcW w:w="1436" w:type="dxa"/>
            <w:noWrap w:val="0"/>
            <w:vAlign w:val="center"/>
          </w:tcPr>
          <w:p w14:paraId="4AAADEB2">
            <w:pPr>
              <w:spacing w:line="300" w:lineRule="exact"/>
              <w:jc w:val="center"/>
              <w:rPr>
                <w:rFonts w:ascii="宋体" w:hAnsi="宋体"/>
                <w:color w:val="auto"/>
                <w:sz w:val="24"/>
                <w:szCs w:val="24"/>
                <w:highlight w:val="none"/>
              </w:rPr>
            </w:pPr>
          </w:p>
        </w:tc>
        <w:tc>
          <w:tcPr>
            <w:tcW w:w="1178" w:type="dxa"/>
            <w:noWrap w:val="0"/>
            <w:vAlign w:val="center"/>
          </w:tcPr>
          <w:p w14:paraId="08CE9DDE">
            <w:pPr>
              <w:spacing w:line="300" w:lineRule="exact"/>
              <w:jc w:val="center"/>
              <w:rPr>
                <w:rFonts w:ascii="宋体" w:hAnsi="宋体"/>
                <w:color w:val="auto"/>
                <w:sz w:val="24"/>
                <w:szCs w:val="24"/>
                <w:highlight w:val="none"/>
              </w:rPr>
            </w:pPr>
            <w:r>
              <w:rPr>
                <w:rFonts w:ascii="宋体" w:hAnsi="宋体"/>
                <w:color w:val="auto"/>
                <w:sz w:val="24"/>
                <w:szCs w:val="24"/>
                <w:highlight w:val="none"/>
              </w:rPr>
              <w:t>开户银行</w:t>
            </w:r>
          </w:p>
        </w:tc>
        <w:tc>
          <w:tcPr>
            <w:tcW w:w="1259" w:type="dxa"/>
            <w:noWrap w:val="0"/>
            <w:vAlign w:val="center"/>
          </w:tcPr>
          <w:p w14:paraId="5D62F390">
            <w:pPr>
              <w:spacing w:line="300" w:lineRule="exact"/>
              <w:jc w:val="center"/>
              <w:rPr>
                <w:rFonts w:ascii="宋体" w:hAnsi="宋体"/>
                <w:color w:val="auto"/>
                <w:spacing w:val="20"/>
                <w:sz w:val="24"/>
                <w:szCs w:val="24"/>
                <w:highlight w:val="none"/>
              </w:rPr>
            </w:pPr>
          </w:p>
        </w:tc>
      </w:tr>
      <w:tr w14:paraId="0B8955AC">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noWrap w:val="0"/>
            <w:vAlign w:val="center"/>
          </w:tcPr>
          <w:p w14:paraId="5D0F26F3">
            <w:pPr>
              <w:spacing w:line="300" w:lineRule="exact"/>
              <w:jc w:val="center"/>
              <w:rPr>
                <w:rFonts w:ascii="宋体" w:hAnsi="宋体"/>
                <w:color w:val="auto"/>
                <w:sz w:val="24"/>
                <w:szCs w:val="24"/>
                <w:highlight w:val="none"/>
              </w:rPr>
            </w:pPr>
          </w:p>
        </w:tc>
        <w:tc>
          <w:tcPr>
            <w:tcW w:w="1436" w:type="dxa"/>
            <w:noWrap w:val="0"/>
            <w:vAlign w:val="center"/>
          </w:tcPr>
          <w:p w14:paraId="1EE5A03B">
            <w:pPr>
              <w:spacing w:line="300" w:lineRule="exact"/>
              <w:jc w:val="center"/>
              <w:rPr>
                <w:rFonts w:ascii="宋体" w:hAnsi="宋体"/>
                <w:color w:val="auto"/>
                <w:sz w:val="24"/>
                <w:szCs w:val="24"/>
                <w:highlight w:val="none"/>
              </w:rPr>
            </w:pPr>
          </w:p>
        </w:tc>
        <w:tc>
          <w:tcPr>
            <w:tcW w:w="1178" w:type="dxa"/>
            <w:noWrap w:val="0"/>
            <w:vAlign w:val="center"/>
          </w:tcPr>
          <w:p w14:paraId="7AF12D1C">
            <w:pPr>
              <w:spacing w:line="300" w:lineRule="exact"/>
              <w:jc w:val="center"/>
              <w:rPr>
                <w:rFonts w:ascii="宋体" w:hAnsi="宋体"/>
                <w:color w:val="auto"/>
                <w:sz w:val="24"/>
                <w:szCs w:val="24"/>
                <w:highlight w:val="none"/>
              </w:rPr>
            </w:pPr>
            <w:r>
              <w:rPr>
                <w:rFonts w:ascii="宋体" w:hAnsi="宋体"/>
                <w:color w:val="auto"/>
                <w:sz w:val="24"/>
                <w:szCs w:val="24"/>
                <w:highlight w:val="none"/>
              </w:rPr>
              <w:t>银行账号</w:t>
            </w:r>
          </w:p>
        </w:tc>
        <w:tc>
          <w:tcPr>
            <w:tcW w:w="1259" w:type="dxa"/>
            <w:noWrap w:val="0"/>
            <w:vAlign w:val="center"/>
          </w:tcPr>
          <w:p w14:paraId="4FED8A00">
            <w:pPr>
              <w:spacing w:line="300" w:lineRule="exact"/>
              <w:jc w:val="center"/>
              <w:rPr>
                <w:rFonts w:ascii="宋体" w:hAnsi="宋体"/>
                <w:color w:val="auto"/>
                <w:spacing w:val="20"/>
                <w:sz w:val="24"/>
                <w:szCs w:val="24"/>
                <w:highlight w:val="none"/>
              </w:rPr>
            </w:pPr>
          </w:p>
        </w:tc>
      </w:tr>
      <w:tr w14:paraId="039C8728">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586" w:hRule="atLeast"/>
        </w:trPr>
        <w:tc>
          <w:tcPr>
            <w:tcW w:w="9263" w:type="dxa"/>
            <w:gridSpan w:val="4"/>
            <w:noWrap w:val="0"/>
            <w:vAlign w:val="center"/>
          </w:tcPr>
          <w:p w14:paraId="39659C4D">
            <w:pPr>
              <w:pStyle w:val="105"/>
              <w:spacing w:before="120" w:line="360" w:lineRule="auto"/>
              <w:rPr>
                <w:rFonts w:ascii="宋体" w:hAnsi="宋体" w:eastAsia="宋体"/>
                <w:color w:val="auto"/>
                <w:spacing w:val="20"/>
                <w:sz w:val="24"/>
                <w:szCs w:val="24"/>
                <w:highlight w:val="none"/>
              </w:rPr>
            </w:pPr>
            <w:r>
              <w:rPr>
                <w:rFonts w:hint="eastAsia" w:ascii="宋体" w:hAnsi="宋体" w:eastAsia="宋体"/>
                <w:color w:val="auto"/>
                <w:sz w:val="24"/>
                <w:szCs w:val="24"/>
                <w:highlight w:val="none"/>
              </w:rPr>
              <w:t>注：涉及联合体或其他合同主体的信息应按上表格式加列。</w:t>
            </w:r>
            <w:bookmarkEnd w:id="137"/>
          </w:p>
        </w:tc>
      </w:tr>
    </w:tbl>
    <w:p w14:paraId="1325EFB3">
      <w:pPr>
        <w:rPr>
          <w:color w:val="auto"/>
          <w:highlight w:val="none"/>
        </w:rPr>
      </w:pPr>
    </w:p>
    <w:p w14:paraId="35A34696">
      <w:pPr>
        <w:rPr>
          <w:color w:val="auto"/>
          <w:highlight w:val="none"/>
        </w:rPr>
      </w:pPr>
    </w:p>
    <w:p w14:paraId="0EC2DD8E">
      <w:pPr>
        <w:pStyle w:val="67"/>
        <w:spacing w:line="400" w:lineRule="exact"/>
        <w:jc w:val="center"/>
        <w:rPr>
          <w:rFonts w:ascii="黑体" w:hAnsi="黑体"/>
          <w:b w:val="0"/>
          <w:color w:val="auto"/>
          <w:szCs w:val="32"/>
          <w:highlight w:val="none"/>
        </w:rPr>
      </w:pPr>
      <w:r>
        <w:rPr>
          <w:rFonts w:hint="eastAsia" w:ascii="黑体" w:hAnsi="黑体"/>
          <w:b w:val="0"/>
          <w:color w:val="auto"/>
          <w:szCs w:val="32"/>
          <w:highlight w:val="none"/>
        </w:rPr>
        <w:t>第二节 政府采购合同通用条款</w:t>
      </w:r>
    </w:p>
    <w:p w14:paraId="581C91D8">
      <w:pPr>
        <w:tabs>
          <w:tab w:val="left" w:pos="8820"/>
          <w:tab w:val="left" w:pos="9345"/>
          <w:tab w:val="left" w:pos="9765"/>
        </w:tabs>
        <w:spacing w:line="400" w:lineRule="exact"/>
        <w:ind w:firstLine="482"/>
        <w:rPr>
          <w:rFonts w:ascii="Times New Roman" w:hAnsi="Times New Roman"/>
          <w:b/>
          <w:bCs/>
          <w:color w:val="auto"/>
          <w:sz w:val="24"/>
          <w:szCs w:val="24"/>
          <w:highlight w:val="none"/>
        </w:rPr>
      </w:pPr>
      <w:r>
        <w:rPr>
          <w:rFonts w:ascii="Times New Roman" w:hAnsi="Times New Roman"/>
          <w:b/>
          <w:color w:val="auto"/>
          <w:sz w:val="24"/>
          <w:szCs w:val="24"/>
          <w:highlight w:val="none"/>
        </w:rPr>
        <w:t xml:space="preserve">1. </w:t>
      </w:r>
      <w:r>
        <w:rPr>
          <w:rFonts w:ascii="Times New Roman" w:hAnsi="Times New Roman"/>
          <w:b/>
          <w:bCs/>
          <w:color w:val="auto"/>
          <w:sz w:val="24"/>
          <w:szCs w:val="24"/>
          <w:highlight w:val="none"/>
        </w:rPr>
        <w:t>定义</w:t>
      </w:r>
    </w:p>
    <w:p w14:paraId="0D56A81C">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1.1合同当事人</w:t>
      </w:r>
    </w:p>
    <w:p w14:paraId="03C52C10">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（1）采购人（以下称甲方）是指使用财政性资金，通过政府采购方式向供应商购买货物及其相关服务的国家机关、事业单位、团体组织。</w:t>
      </w:r>
    </w:p>
    <w:p w14:paraId="527986BF">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（2）供应商（以下称乙方）是指参加政府采购活动并且中标，向采购人提供合同约定的货物及其相关服务的法人、非法人组织或者自然人。</w:t>
      </w:r>
    </w:p>
    <w:p w14:paraId="16BD3EAA">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（3）其他合同主体是指除采购人和供应商以外，</w:t>
      </w:r>
      <w:r>
        <w:rPr>
          <w:rFonts w:ascii="Times New Roman" w:hAnsi="Times New Roman"/>
          <w:bCs/>
          <w:color w:val="auto"/>
          <w:sz w:val="24"/>
          <w:szCs w:val="24"/>
          <w:highlight w:val="none"/>
        </w:rPr>
        <w:t>依法参与合同缔结或履行，享有权利、承担义务的合同当事人</w:t>
      </w:r>
      <w:r>
        <w:rPr>
          <w:rFonts w:ascii="Times New Roman" w:hAnsi="Times New Roman"/>
          <w:color w:val="auto"/>
          <w:sz w:val="24"/>
          <w:szCs w:val="24"/>
          <w:highlight w:val="none"/>
        </w:rPr>
        <w:t>。</w:t>
      </w:r>
    </w:p>
    <w:p w14:paraId="0EF1630E">
      <w:pPr>
        <w:tabs>
          <w:tab w:val="left" w:pos="570"/>
          <w:tab w:val="left" w:pos="9240"/>
          <w:tab w:val="left" w:pos="9555"/>
        </w:tabs>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1.2本合同下列术语应解释为：</w:t>
      </w:r>
    </w:p>
    <w:p w14:paraId="3A1DFACB">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（1）“合同”系指</w:t>
      </w:r>
      <w:r>
        <w:rPr>
          <w:rFonts w:ascii="Times New Roman" w:hAnsi="Times New Roman"/>
          <w:bCs/>
          <w:color w:val="auto"/>
          <w:sz w:val="24"/>
          <w:szCs w:val="24"/>
          <w:highlight w:val="none"/>
        </w:rPr>
        <w:t>合同当事人意思表示达成一致的任何协议，包括签署的</w:t>
      </w:r>
      <w:r>
        <w:rPr>
          <w:rFonts w:ascii="Times New Roman" w:hAnsi="Times New Roman"/>
          <w:color w:val="auto"/>
          <w:sz w:val="24"/>
          <w:szCs w:val="24"/>
          <w:highlight w:val="none"/>
        </w:rPr>
        <w:t>政府采购合同协议书及其变更、补充协议，政府采购合同专用条款，政府采购合同通用条款，中标通知书，投标文件，采购文件，有关技术文件和图纸，以及国家法律、行政法规和规章制度规定或合同约定的作为合同组成部分的其他文件。</w:t>
      </w:r>
    </w:p>
    <w:p w14:paraId="75E003E4">
      <w:pPr>
        <w:tabs>
          <w:tab w:val="left" w:pos="570"/>
          <w:tab w:val="left" w:pos="9240"/>
          <w:tab w:val="left" w:pos="9555"/>
        </w:tabs>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（2）“合同价款”系指根据本合同规定乙方在全面履行合同义务后甲方应支付给乙方的价款。</w:t>
      </w:r>
    </w:p>
    <w:p w14:paraId="059C70BB">
      <w:pPr>
        <w:tabs>
          <w:tab w:val="left" w:pos="570"/>
          <w:tab w:val="left" w:pos="9240"/>
          <w:tab w:val="left" w:pos="9555"/>
        </w:tabs>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（3）</w:t>
      </w:r>
      <w:r>
        <w:rPr>
          <w:rFonts w:ascii="宋体" w:hAnsi="宋体"/>
          <w:color w:val="auto"/>
          <w:sz w:val="24"/>
          <w:szCs w:val="24"/>
          <w:highlight w:val="none"/>
        </w:rPr>
        <w:t>“货物”系指乙方根据本合同规定须向甲方提供的各种形态和种类的物品，包括原材料、设备、产品（包括软件）及相关</w:t>
      </w:r>
      <w:r>
        <w:rPr>
          <w:rFonts w:hint="eastAsia" w:ascii="宋体" w:hAnsi="宋体"/>
          <w:color w:val="auto"/>
          <w:sz w:val="24"/>
          <w:szCs w:val="24"/>
          <w:highlight w:val="none"/>
        </w:rPr>
        <w:t>的</w:t>
      </w:r>
      <w:r>
        <w:rPr>
          <w:rFonts w:ascii="宋体" w:hAnsi="宋体"/>
          <w:color w:val="auto"/>
          <w:sz w:val="24"/>
          <w:szCs w:val="24"/>
          <w:highlight w:val="none"/>
        </w:rPr>
        <w:t>备品备件、工具、手册及</w:t>
      </w:r>
      <w:r>
        <w:rPr>
          <w:rFonts w:ascii="宋体" w:hAnsi="宋体"/>
          <w:color w:val="auto"/>
          <w:sz w:val="24"/>
          <w:szCs w:val="24"/>
          <w:highlight w:val="none"/>
          <w:lang w:val="en"/>
        </w:rPr>
        <w:t>其他</w:t>
      </w:r>
      <w:r>
        <w:rPr>
          <w:rFonts w:ascii="宋体" w:hAnsi="宋体"/>
          <w:color w:val="auto"/>
          <w:sz w:val="24"/>
          <w:szCs w:val="24"/>
          <w:highlight w:val="none"/>
        </w:rPr>
        <w:t>技术资料</w:t>
      </w:r>
      <w:r>
        <w:rPr>
          <w:rFonts w:ascii="Times New Roman" w:hAnsi="Times New Roman"/>
          <w:color w:val="auto"/>
          <w:sz w:val="24"/>
          <w:szCs w:val="24"/>
          <w:highlight w:val="none"/>
        </w:rPr>
        <w:t>和材料等。</w:t>
      </w:r>
    </w:p>
    <w:p w14:paraId="774E8A42">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（4）“相关服务”系指根据合同规定，乙方应提供的与货物有关的技术、管理和</w:t>
      </w:r>
      <w:r>
        <w:rPr>
          <w:rFonts w:ascii="Times New Roman" w:hAnsi="Times New Roman"/>
          <w:color w:val="auto"/>
          <w:sz w:val="24"/>
          <w:szCs w:val="24"/>
          <w:highlight w:val="none"/>
          <w:lang w:val="en"/>
        </w:rPr>
        <w:t>其他</w:t>
      </w:r>
      <w:r>
        <w:rPr>
          <w:rFonts w:ascii="Times New Roman" w:hAnsi="Times New Roman"/>
          <w:color w:val="auto"/>
          <w:sz w:val="24"/>
          <w:szCs w:val="24"/>
          <w:highlight w:val="none"/>
        </w:rPr>
        <w:t>服务，包括但不限于：管理和质量保证、运输、保险、检验、现场准备、安装、集成、调试、培训、维修、废弃处置、技术支持等以及合同中规定乙方应承担的</w:t>
      </w:r>
      <w:r>
        <w:rPr>
          <w:rFonts w:ascii="Times New Roman" w:hAnsi="Times New Roman"/>
          <w:color w:val="auto"/>
          <w:sz w:val="24"/>
          <w:szCs w:val="24"/>
          <w:highlight w:val="none"/>
          <w:lang w:val="en"/>
        </w:rPr>
        <w:t>其他</w:t>
      </w:r>
      <w:r>
        <w:rPr>
          <w:rFonts w:ascii="Times New Roman" w:hAnsi="Times New Roman"/>
          <w:color w:val="auto"/>
          <w:sz w:val="24"/>
          <w:szCs w:val="24"/>
          <w:highlight w:val="none"/>
        </w:rPr>
        <w:t>义务。</w:t>
      </w:r>
    </w:p>
    <w:p w14:paraId="0D3246DC">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（5）“分包”系指中标供应商按采购文件、投标文件的规定，根据分包意向协议，将中标项目中的部分履约内容，分给具有相应资质条件的供应商履行合同的行为。</w:t>
      </w:r>
    </w:p>
    <w:p w14:paraId="39B99CDF">
      <w:pPr>
        <w:tabs>
          <w:tab w:val="left" w:pos="570"/>
          <w:tab w:val="left" w:pos="9240"/>
          <w:tab w:val="left" w:pos="9555"/>
        </w:tabs>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Times New Roman" w:hAnsi="Times New Roman"/>
          <w:b/>
          <w:bCs/>
          <w:color w:val="auto"/>
          <w:sz w:val="24"/>
          <w:szCs w:val="24"/>
          <w:highlight w:val="none"/>
        </w:rPr>
        <w:t>政府采购合同专用条款</w:t>
      </w:r>
      <w:r>
        <w:rPr>
          <w:rFonts w:ascii="Times New Roman" w:hAnsi="Times New Roman"/>
          <w:color w:val="auto"/>
          <w:sz w:val="24"/>
          <w:szCs w:val="24"/>
          <w:highlight w:val="none"/>
        </w:rPr>
        <w:t>】。</w:t>
      </w:r>
    </w:p>
    <w:p w14:paraId="3553B5FE">
      <w:pPr>
        <w:tabs>
          <w:tab w:val="left" w:pos="570"/>
          <w:tab w:val="left" w:pos="9240"/>
          <w:tab w:val="left" w:pos="9555"/>
        </w:tabs>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（7）其他术语解释，见【</w:t>
      </w:r>
      <w:r>
        <w:rPr>
          <w:rFonts w:ascii="Times New Roman" w:hAnsi="Times New Roman"/>
          <w:b/>
          <w:bCs/>
          <w:color w:val="auto"/>
          <w:sz w:val="24"/>
          <w:szCs w:val="24"/>
          <w:highlight w:val="none"/>
        </w:rPr>
        <w:t>政府采购合同专用条款</w:t>
      </w:r>
      <w:r>
        <w:rPr>
          <w:rFonts w:ascii="Times New Roman" w:hAnsi="Times New Roman"/>
          <w:color w:val="auto"/>
          <w:sz w:val="24"/>
          <w:szCs w:val="24"/>
          <w:highlight w:val="none"/>
        </w:rPr>
        <w:t>】。</w:t>
      </w:r>
    </w:p>
    <w:p w14:paraId="25596E72">
      <w:pPr>
        <w:numPr>
          <w:ilvl w:val="0"/>
          <w:numId w:val="7"/>
        </w:numPr>
        <w:spacing w:line="400" w:lineRule="exact"/>
        <w:ind w:firstLine="482"/>
        <w:rPr>
          <w:rFonts w:ascii="Times New Roman" w:hAnsi="Times New Roman"/>
          <w:b/>
          <w:bCs/>
          <w:color w:val="auto"/>
          <w:sz w:val="24"/>
          <w:szCs w:val="24"/>
          <w:highlight w:val="none"/>
        </w:rPr>
      </w:pPr>
      <w:r>
        <w:rPr>
          <w:rFonts w:ascii="Times New Roman" w:hAnsi="Times New Roman"/>
          <w:b/>
          <w:color w:val="auto"/>
          <w:sz w:val="24"/>
          <w:szCs w:val="24"/>
          <w:highlight w:val="none"/>
        </w:rPr>
        <w:t>合同标的及金额</w:t>
      </w:r>
    </w:p>
    <w:p w14:paraId="030FF3B2">
      <w:pPr>
        <w:spacing w:line="400" w:lineRule="exact"/>
        <w:ind w:firstLine="480"/>
        <w:rPr>
          <w:rFonts w:ascii="Times New Roman" w:hAnsi="Times New Roman"/>
          <w:b/>
          <w:bCs/>
          <w:i/>
          <w:iCs/>
          <w:color w:val="auto"/>
          <w:sz w:val="24"/>
          <w:szCs w:val="24"/>
          <w:highlight w:val="none"/>
        </w:rPr>
      </w:pPr>
      <w:r>
        <w:rPr>
          <w:rFonts w:ascii="Times New Roman" w:hAnsi="Times New Roman"/>
          <w:color w:val="auto"/>
          <w:sz w:val="24"/>
          <w:szCs w:val="24"/>
          <w:highlight w:val="none"/>
        </w:rPr>
        <w:t>2.1 合同标的及金额应与中标（成交）结果一致。乙方为履行本合同而发生的所有费用均应包含在合同价款中，甲方不再另行支付</w:t>
      </w:r>
      <w:r>
        <w:rPr>
          <w:rFonts w:ascii="Times New Roman" w:hAnsi="Times New Roman"/>
          <w:color w:val="auto"/>
          <w:sz w:val="24"/>
          <w:szCs w:val="24"/>
          <w:highlight w:val="none"/>
          <w:lang w:val="en"/>
        </w:rPr>
        <w:t>其他</w:t>
      </w:r>
      <w:r>
        <w:rPr>
          <w:rFonts w:ascii="Times New Roman" w:hAnsi="Times New Roman"/>
          <w:color w:val="auto"/>
          <w:sz w:val="24"/>
          <w:szCs w:val="24"/>
          <w:highlight w:val="none"/>
        </w:rPr>
        <w:t>任何费用。</w:t>
      </w:r>
    </w:p>
    <w:p w14:paraId="036326B2">
      <w:pPr>
        <w:spacing w:line="400" w:lineRule="exact"/>
        <w:ind w:firstLine="482"/>
        <w:rPr>
          <w:rFonts w:ascii="Times New Roman" w:hAnsi="Times New Roman"/>
          <w:b/>
          <w:color w:val="auto"/>
          <w:sz w:val="24"/>
          <w:szCs w:val="24"/>
          <w:highlight w:val="none"/>
        </w:rPr>
      </w:pPr>
      <w:r>
        <w:rPr>
          <w:rFonts w:ascii="Times New Roman" w:hAnsi="Times New Roman"/>
          <w:b/>
          <w:color w:val="auto"/>
          <w:sz w:val="24"/>
          <w:szCs w:val="24"/>
          <w:highlight w:val="none"/>
        </w:rPr>
        <w:t>3. 履行合同的时间、地点和方式</w:t>
      </w:r>
    </w:p>
    <w:p w14:paraId="4A753891">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3.1 乙方应当在约定的时间、地点，按照约定方式履行合同。</w:t>
      </w:r>
    </w:p>
    <w:p w14:paraId="0161E998">
      <w:pPr>
        <w:spacing w:line="400" w:lineRule="exact"/>
        <w:ind w:firstLine="482"/>
        <w:rPr>
          <w:rFonts w:ascii="Times New Roman" w:hAnsi="Times New Roman"/>
          <w:b/>
          <w:bCs/>
          <w:color w:val="auto"/>
          <w:sz w:val="24"/>
          <w:szCs w:val="24"/>
          <w:highlight w:val="none"/>
        </w:rPr>
      </w:pPr>
      <w:r>
        <w:rPr>
          <w:rFonts w:ascii="Times New Roman" w:hAnsi="Times New Roman"/>
          <w:b/>
          <w:bCs/>
          <w:color w:val="auto"/>
          <w:sz w:val="24"/>
          <w:szCs w:val="24"/>
          <w:highlight w:val="none"/>
        </w:rPr>
        <w:t>4. 甲方的权利和义务</w:t>
      </w:r>
    </w:p>
    <w:p w14:paraId="29E0C17A">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4.1 签署合同后，甲方应确定项目负责人（或项目联系人），负责与本合同有关的事务。甲方有权对乙方的履约行为进行检查，并及时确认乙方提交的事项。甲方应当配合乙方完成相关项目实施工作。</w:t>
      </w:r>
    </w:p>
    <w:p w14:paraId="7B3D8377">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4.2 甲方有权要求乙方按时提交各阶段有关安排计划，并有权定期核对乙方提供货物数量、规格、质量等内容。甲方有权督促乙方工作并要求乙方更换不符合要求的货物。</w:t>
      </w:r>
    </w:p>
    <w:p w14:paraId="6C9A2070">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4.3 甲方有权要求乙方对缺陷部分予以修复，并按合同约定享有货物保修及其他合同约定的权利。</w:t>
      </w:r>
    </w:p>
    <w:p w14:paraId="55DDFC86">
      <w:pPr>
        <w:spacing w:line="400" w:lineRule="exact"/>
        <w:ind w:firstLine="480"/>
        <w:rPr>
          <w:rFonts w:ascii="Times New Roman" w:hAnsi="Times New Roman" w:eastAsia="华文楷体"/>
          <w:color w:val="auto"/>
          <w:sz w:val="24"/>
          <w:szCs w:val="24"/>
          <w:highlight w:val="none"/>
        </w:rPr>
      </w:pPr>
      <w:r>
        <w:rPr>
          <w:rFonts w:ascii="Times New Roman" w:hAnsi="Times New Roman"/>
          <w:color w:val="auto"/>
          <w:sz w:val="24"/>
          <w:szCs w:val="24"/>
          <w:highlight w:val="none"/>
        </w:rPr>
        <w:t>4.4 甲方应当按照合同约定及时对交付的货物进行验收，未在</w:t>
      </w:r>
      <w:r>
        <w:rPr>
          <w:rFonts w:ascii="Times New Roman" w:hAnsi="Times New Roman"/>
          <w:b/>
          <w:bCs/>
          <w:color w:val="auto"/>
          <w:sz w:val="24"/>
          <w:szCs w:val="24"/>
          <w:highlight w:val="none"/>
        </w:rPr>
        <w:t>【政府采购合同专用条款】</w:t>
      </w:r>
      <w:r>
        <w:rPr>
          <w:rFonts w:ascii="Times New Roman" w:hAnsi="Times New Roman"/>
          <w:color w:val="auto"/>
          <w:sz w:val="24"/>
          <w:szCs w:val="24"/>
          <w:highlight w:val="none"/>
        </w:rPr>
        <w:t>约定的期限内对乙方履约提出任何异议或者向乙方作出任何说明的，视为验收通过。</w:t>
      </w:r>
    </w:p>
    <w:p w14:paraId="65C47640">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4.5 甲方应当根据合同约定及时向乙方支付合同价款，不得以内部人员变更、履行内部付款流程等为由，拒绝或迟延支付。</w:t>
      </w:r>
    </w:p>
    <w:p w14:paraId="25970FF1">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4.6 国家法律法规规定及</w:t>
      </w:r>
      <w:r>
        <w:rPr>
          <w:rFonts w:ascii="Times New Roman" w:hAnsi="Times New Roman"/>
          <w:b/>
          <w:bCs/>
          <w:color w:val="auto"/>
          <w:sz w:val="24"/>
          <w:szCs w:val="24"/>
          <w:highlight w:val="none"/>
        </w:rPr>
        <w:t>【政府采购合同专用条款】</w:t>
      </w:r>
      <w:r>
        <w:rPr>
          <w:rFonts w:ascii="Times New Roman" w:hAnsi="Times New Roman"/>
          <w:color w:val="auto"/>
          <w:sz w:val="24"/>
          <w:szCs w:val="24"/>
          <w:highlight w:val="none"/>
        </w:rPr>
        <w:t>约定应由甲方承担的其他义务和责任。</w:t>
      </w:r>
    </w:p>
    <w:p w14:paraId="0BCD25EB">
      <w:pPr>
        <w:spacing w:line="400" w:lineRule="exact"/>
        <w:ind w:firstLine="482"/>
        <w:rPr>
          <w:rFonts w:ascii="Times New Roman" w:hAnsi="Times New Roman"/>
          <w:b/>
          <w:bCs/>
          <w:color w:val="auto"/>
          <w:sz w:val="24"/>
          <w:szCs w:val="24"/>
          <w:highlight w:val="none"/>
        </w:rPr>
      </w:pPr>
      <w:r>
        <w:rPr>
          <w:rFonts w:ascii="Times New Roman" w:hAnsi="Times New Roman"/>
          <w:b/>
          <w:bCs/>
          <w:color w:val="auto"/>
          <w:sz w:val="24"/>
          <w:szCs w:val="24"/>
          <w:highlight w:val="none"/>
        </w:rPr>
        <w:t>5. 乙方的权利和义务</w:t>
      </w:r>
    </w:p>
    <w:p w14:paraId="7CC4ADB3">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5.1 签署合同后，乙方应确定项目负责人（或项目联系人），负责与本合同有关的事务。</w:t>
      </w:r>
    </w:p>
    <w:p w14:paraId="56EAE380">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7C31BCE4">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5.3乙方有权根据合同约定向甲方收取合同价款。</w:t>
      </w:r>
    </w:p>
    <w:p w14:paraId="09188CD4">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5.4国家法律法规规定及</w:t>
      </w:r>
      <w:r>
        <w:rPr>
          <w:rFonts w:ascii="Times New Roman" w:hAnsi="Times New Roman"/>
          <w:b/>
          <w:color w:val="auto"/>
          <w:sz w:val="24"/>
          <w:szCs w:val="24"/>
          <w:highlight w:val="none"/>
        </w:rPr>
        <w:t>【政府采购合同专用条款】</w:t>
      </w:r>
      <w:r>
        <w:rPr>
          <w:rFonts w:ascii="Times New Roman" w:hAnsi="Times New Roman"/>
          <w:color w:val="auto"/>
          <w:sz w:val="24"/>
          <w:szCs w:val="24"/>
          <w:highlight w:val="none"/>
        </w:rPr>
        <w:t>约定应由乙方承担的其他义务和责任。</w:t>
      </w:r>
    </w:p>
    <w:p w14:paraId="58C50798">
      <w:pPr>
        <w:numPr>
          <w:ilvl w:val="0"/>
          <w:numId w:val="8"/>
        </w:numPr>
        <w:spacing w:line="400" w:lineRule="exact"/>
        <w:ind w:firstLine="482"/>
        <w:rPr>
          <w:rFonts w:ascii="Times New Roman" w:hAnsi="Times New Roman"/>
          <w:b/>
          <w:bCs/>
          <w:color w:val="auto"/>
          <w:sz w:val="24"/>
          <w:szCs w:val="24"/>
          <w:highlight w:val="none"/>
        </w:rPr>
      </w:pPr>
      <w:r>
        <w:rPr>
          <w:rFonts w:ascii="Times New Roman" w:hAnsi="Times New Roman"/>
          <w:b/>
          <w:bCs/>
          <w:color w:val="auto"/>
          <w:sz w:val="24"/>
          <w:szCs w:val="24"/>
          <w:highlight w:val="none"/>
        </w:rPr>
        <w:t>合同履行</w:t>
      </w:r>
    </w:p>
    <w:p w14:paraId="5BC93C10">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6.1 甲乙双方应当按照</w:t>
      </w:r>
      <w:r>
        <w:rPr>
          <w:rFonts w:ascii="Times New Roman" w:hAnsi="Times New Roman"/>
          <w:b/>
          <w:bCs/>
          <w:color w:val="auto"/>
          <w:sz w:val="24"/>
          <w:szCs w:val="24"/>
          <w:highlight w:val="none"/>
        </w:rPr>
        <w:t>【政府采购合同专用条款】</w:t>
      </w:r>
      <w:r>
        <w:rPr>
          <w:rFonts w:ascii="Times New Roman" w:hAnsi="Times New Roman"/>
          <w:color w:val="auto"/>
          <w:sz w:val="24"/>
          <w:szCs w:val="24"/>
          <w:highlight w:val="none"/>
        </w:rPr>
        <w:t>约定顺序履行合同义务；如果没有先后顺序的，应当同时履行。</w:t>
      </w:r>
    </w:p>
    <w:p w14:paraId="30809500">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6.2 甲乙双方按照合同约定顺序履行合同义务时，应当先履行一方未履行的，后履行一方有权拒绝其履行请求。先履行一方履行不符合约定的，后履行一方有权拒绝其相应的履行请求。</w:t>
      </w:r>
    </w:p>
    <w:p w14:paraId="370C333C">
      <w:pPr>
        <w:spacing w:line="400" w:lineRule="exact"/>
        <w:ind w:firstLine="482"/>
        <w:rPr>
          <w:rFonts w:ascii="Times New Roman" w:hAnsi="Times New Roman"/>
          <w:b/>
          <w:bCs/>
          <w:color w:val="auto"/>
          <w:sz w:val="24"/>
          <w:szCs w:val="24"/>
          <w:highlight w:val="none"/>
        </w:rPr>
      </w:pPr>
      <w:r>
        <w:rPr>
          <w:rFonts w:ascii="Times New Roman" w:hAnsi="Times New Roman"/>
          <w:b/>
          <w:bCs/>
          <w:color w:val="auto"/>
          <w:sz w:val="24"/>
          <w:szCs w:val="24"/>
          <w:highlight w:val="none"/>
        </w:rPr>
        <w:t>7. 货物包装、运输、保险和交付要求</w:t>
      </w:r>
    </w:p>
    <w:p w14:paraId="196062A4">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7.1 本合同</w:t>
      </w:r>
      <w:r>
        <w:rPr>
          <w:rFonts w:ascii="Times New Roman" w:hAnsi="Times New Roman"/>
          <w:bCs/>
          <w:color w:val="auto"/>
          <w:sz w:val="24"/>
          <w:szCs w:val="24"/>
          <w:highlight w:val="none"/>
        </w:rPr>
        <w:t>涉及商品包装、快递包装的，</w:t>
      </w:r>
      <w:r>
        <w:rPr>
          <w:rFonts w:ascii="Times New Roman" w:hAnsi="Times New Roman"/>
          <w:color w:val="auto"/>
          <w:sz w:val="24"/>
          <w:szCs w:val="24"/>
          <w:highlight w:val="none"/>
        </w:rPr>
        <w:t>除</w:t>
      </w:r>
      <w:r>
        <w:rPr>
          <w:rFonts w:ascii="Times New Roman" w:hAnsi="Times New Roman"/>
          <w:b/>
          <w:color w:val="auto"/>
          <w:sz w:val="24"/>
          <w:szCs w:val="24"/>
          <w:highlight w:val="none"/>
        </w:rPr>
        <w:t>【政府采购合同专用条款】</w:t>
      </w:r>
      <w:r>
        <w:rPr>
          <w:rFonts w:ascii="Times New Roman" w:hAnsi="Times New Roman"/>
          <w:bCs/>
          <w:color w:val="auto"/>
          <w:sz w:val="24"/>
          <w:szCs w:val="24"/>
          <w:highlight w:val="none"/>
        </w:rPr>
        <w:t>另有约定外，</w:t>
      </w:r>
      <w:r>
        <w:rPr>
          <w:rFonts w:ascii="Times New Roman" w:hAnsi="Times New Roman"/>
          <w:color w:val="auto"/>
          <w:sz w:val="24"/>
          <w:szCs w:val="24"/>
          <w:highlight w:val="none"/>
        </w:rPr>
        <w:t>包装应适应远距离运输、防潮、防震、防锈和防野蛮装卸等要求，确保货物安全无损地运抵</w:t>
      </w:r>
      <w:r>
        <w:rPr>
          <w:rFonts w:ascii="Times New Roman" w:hAnsi="Times New Roman"/>
          <w:b/>
          <w:color w:val="auto"/>
          <w:sz w:val="24"/>
          <w:szCs w:val="24"/>
          <w:highlight w:val="none"/>
        </w:rPr>
        <w:t>【政府采购合同专用条款】</w:t>
      </w:r>
      <w:r>
        <w:rPr>
          <w:rFonts w:ascii="Times New Roman" w:hAnsi="Times New Roman"/>
          <w:bCs/>
          <w:color w:val="auto"/>
          <w:sz w:val="24"/>
          <w:szCs w:val="24"/>
          <w:highlight w:val="none"/>
        </w:rPr>
        <w:t>约定的</w:t>
      </w:r>
      <w:r>
        <w:rPr>
          <w:rFonts w:ascii="Times New Roman" w:hAnsi="Times New Roman"/>
          <w:color w:val="auto"/>
          <w:sz w:val="24"/>
          <w:szCs w:val="24"/>
          <w:highlight w:val="none"/>
        </w:rPr>
        <w:t>指定现场。</w:t>
      </w:r>
    </w:p>
    <w:p w14:paraId="6D2CCABC">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7.2 除</w:t>
      </w:r>
      <w:r>
        <w:rPr>
          <w:rFonts w:ascii="Times New Roman" w:hAnsi="Times New Roman"/>
          <w:b/>
          <w:color w:val="auto"/>
          <w:sz w:val="24"/>
          <w:szCs w:val="24"/>
          <w:highlight w:val="none"/>
        </w:rPr>
        <w:t>【政府采购合同专用条款】</w:t>
      </w:r>
      <w:r>
        <w:rPr>
          <w:rFonts w:ascii="Times New Roman" w:hAnsi="Times New Roman"/>
          <w:bCs/>
          <w:color w:val="auto"/>
          <w:sz w:val="24"/>
          <w:szCs w:val="24"/>
          <w:highlight w:val="none"/>
        </w:rPr>
        <w:t>另有约定外，</w:t>
      </w:r>
      <w:r>
        <w:rPr>
          <w:rFonts w:ascii="Times New Roman" w:hAnsi="Times New Roman"/>
          <w:color w:val="auto"/>
          <w:sz w:val="24"/>
          <w:szCs w:val="24"/>
          <w:highlight w:val="none"/>
        </w:rPr>
        <w:t>乙方负责办理将货物运抵本合同规定的交货地点，并装卸、交付至甲方的一切运输事项，相关费用应包含在合同价款中。</w:t>
      </w:r>
    </w:p>
    <w:p w14:paraId="62FEC917">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7.3 货物保险要求按</w:t>
      </w:r>
      <w:r>
        <w:rPr>
          <w:rFonts w:ascii="Times New Roman" w:hAnsi="Times New Roman"/>
          <w:b/>
          <w:color w:val="auto"/>
          <w:sz w:val="24"/>
          <w:szCs w:val="24"/>
          <w:highlight w:val="none"/>
        </w:rPr>
        <w:t>【政府采购合同专用条款】</w:t>
      </w:r>
      <w:r>
        <w:rPr>
          <w:rFonts w:ascii="Times New Roman" w:hAnsi="Times New Roman"/>
          <w:bCs/>
          <w:color w:val="auto"/>
          <w:sz w:val="24"/>
          <w:szCs w:val="24"/>
          <w:highlight w:val="none"/>
        </w:rPr>
        <w:t>规定执行</w:t>
      </w:r>
      <w:r>
        <w:rPr>
          <w:rFonts w:ascii="Times New Roman" w:hAnsi="Times New Roman"/>
          <w:color w:val="auto"/>
          <w:sz w:val="24"/>
          <w:szCs w:val="24"/>
          <w:highlight w:val="none"/>
        </w:rPr>
        <w:t>。</w:t>
      </w:r>
    </w:p>
    <w:p w14:paraId="26D92ACC">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179C7A0C">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7.5 乙方在运输到达之前应提前通知甲方，并提示货物运输装卸的注意事项，甲方配合乙方做好货物的接收工作。</w:t>
      </w:r>
    </w:p>
    <w:p w14:paraId="0E655DE3">
      <w:pPr>
        <w:pStyle w:val="506"/>
        <w:ind w:firstLine="480"/>
        <w:jc w:val="both"/>
        <w:rPr>
          <w:rFonts w:ascii="Times New Roman" w:hAnsi="Times New Roman" w:cs="Times New Roman"/>
          <w:color w:val="auto"/>
          <w:sz w:val="24"/>
          <w:szCs w:val="24"/>
          <w:highlight w:val="none"/>
        </w:rPr>
      </w:pPr>
      <w:r>
        <w:rPr>
          <w:rFonts w:ascii="Times New Roman" w:hAnsi="Times New Roman" w:eastAsia="宋体" w:cs="Times New Roman"/>
          <w:color w:val="auto"/>
          <w:sz w:val="24"/>
          <w:szCs w:val="24"/>
          <w:highlight w:val="none"/>
        </w:rPr>
        <w:t>7.6 如因包装、运输问题导致货物损毁、丢失或者品质下降，甲方有权要求降价、换货、拒收部分或整批货物，由此产生的费用和损失，均由乙方承担。</w:t>
      </w:r>
    </w:p>
    <w:p w14:paraId="14BE5222">
      <w:pPr>
        <w:spacing w:line="400" w:lineRule="exact"/>
        <w:ind w:firstLine="482"/>
        <w:rPr>
          <w:rFonts w:ascii="Times New Roman" w:hAnsi="Times New Roman"/>
          <w:b/>
          <w:color w:val="auto"/>
          <w:sz w:val="24"/>
          <w:szCs w:val="24"/>
          <w:highlight w:val="none"/>
        </w:rPr>
      </w:pPr>
      <w:r>
        <w:rPr>
          <w:rFonts w:ascii="Times New Roman" w:hAnsi="Times New Roman"/>
          <w:b/>
          <w:color w:val="auto"/>
          <w:sz w:val="24"/>
          <w:szCs w:val="24"/>
          <w:highlight w:val="none"/>
        </w:rPr>
        <w:t>8. 质量标准和保证</w:t>
      </w:r>
    </w:p>
    <w:p w14:paraId="578B2F9F">
      <w:pPr>
        <w:pStyle w:val="110"/>
        <w:spacing w:line="400" w:lineRule="exact"/>
        <w:ind w:firstLine="480"/>
        <w:rPr>
          <w:rFonts w:ascii="Times New Roman" w:hAnsi="Times New Roman" w:cs="Times New Roman"/>
          <w:b/>
          <w:color w:val="auto"/>
          <w:sz w:val="24"/>
          <w:szCs w:val="24"/>
          <w:highlight w:val="none"/>
        </w:rPr>
      </w:pPr>
      <w:r>
        <w:rPr>
          <w:rFonts w:ascii="Times New Roman" w:hAnsi="Times New Roman" w:cs="Times New Roman"/>
          <w:color w:val="auto"/>
          <w:sz w:val="24"/>
          <w:szCs w:val="24"/>
          <w:highlight w:val="none"/>
        </w:rPr>
        <w:t>8.1 质量标准</w:t>
      </w:r>
    </w:p>
    <w:p w14:paraId="42CF5512">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38317D0F">
      <w:pPr>
        <w:pStyle w:val="110"/>
        <w:spacing w:line="400" w:lineRule="exact"/>
        <w:ind w:firstLine="480"/>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（2）采用中华人民共和国法定计量单位。</w:t>
      </w:r>
    </w:p>
    <w:p w14:paraId="07966E9A">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（3）乙方所提供的货物应符合国家有关安全、环保、卫生的规定。</w:t>
      </w:r>
    </w:p>
    <w:p w14:paraId="1119AEB0">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（4）乙方应向甲方提交所提供货物的技术文件，包括相应的中文技术文件，如：产品目录、图纸、操作手册、使用说明、维护手册或服务指南等。上述文件应包装好随货物一同发运。</w:t>
      </w:r>
    </w:p>
    <w:p w14:paraId="2D3F258B">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8.2 保证</w:t>
      </w:r>
    </w:p>
    <w:p w14:paraId="63B22F08">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Times New Roman" w:hAnsi="Times New Roman"/>
          <w:b/>
          <w:color w:val="auto"/>
          <w:sz w:val="24"/>
          <w:szCs w:val="24"/>
          <w:highlight w:val="none"/>
        </w:rPr>
        <w:t>【政府采购合同专用条款】</w:t>
      </w:r>
      <w:r>
        <w:rPr>
          <w:rFonts w:ascii="Times New Roman" w:hAnsi="Times New Roman"/>
          <w:color w:val="auto"/>
          <w:sz w:val="24"/>
          <w:szCs w:val="24"/>
          <w:highlight w:val="none"/>
        </w:rPr>
        <w:t>规定或乙方书面承诺（两者以较长的为准）的质量保证期内，本保证保持有效。</w:t>
      </w:r>
    </w:p>
    <w:p w14:paraId="1A44A673">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（2）在质量保证期内所发现的缺陷，甲方应尽快以书面形式通知乙方。</w:t>
      </w:r>
    </w:p>
    <w:p w14:paraId="564D40A7">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（3）乙方收到通知后，应在</w:t>
      </w:r>
      <w:r>
        <w:rPr>
          <w:rFonts w:ascii="Times New Roman" w:hAnsi="Times New Roman"/>
          <w:b/>
          <w:color w:val="auto"/>
          <w:sz w:val="24"/>
          <w:szCs w:val="24"/>
          <w:highlight w:val="none"/>
        </w:rPr>
        <w:t>【政府采购合同专用条款】</w:t>
      </w:r>
      <w:r>
        <w:rPr>
          <w:rFonts w:ascii="Times New Roman" w:hAnsi="Times New Roman"/>
          <w:color w:val="auto"/>
          <w:sz w:val="24"/>
          <w:szCs w:val="24"/>
          <w:highlight w:val="none"/>
        </w:rPr>
        <w:t>规定的响应时间内以合理的速度免费维修或更换有缺陷的货物或部件。</w:t>
      </w:r>
    </w:p>
    <w:p w14:paraId="016EF9FB">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（4）在质量保证期内，如果货物的质量或规格与合同不符，或证实货物是有缺陷的，包括潜在的缺陷或使用不符合要求的材料等，甲方可以根据本合同第15.1条规定以书面形式追究乙方的违约责任。</w:t>
      </w:r>
    </w:p>
    <w:p w14:paraId="162F88F9">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（5）乙方在约定的时间内未能弥补缺陷，甲方可采取必要的补救措施，但其风险和费用将由乙方承担，甲方根据合同约定对乙方行使的其他权利不受影响。</w:t>
      </w:r>
    </w:p>
    <w:p w14:paraId="1FC00B6F">
      <w:pPr>
        <w:spacing w:line="400" w:lineRule="exact"/>
        <w:ind w:firstLine="482"/>
        <w:rPr>
          <w:rFonts w:ascii="Times New Roman" w:hAnsi="Times New Roman"/>
          <w:b/>
          <w:bCs/>
          <w:color w:val="auto"/>
          <w:sz w:val="24"/>
          <w:szCs w:val="24"/>
          <w:highlight w:val="none"/>
        </w:rPr>
      </w:pPr>
      <w:r>
        <w:rPr>
          <w:rFonts w:ascii="Times New Roman" w:hAnsi="Times New Roman"/>
          <w:b/>
          <w:bCs/>
          <w:color w:val="auto"/>
          <w:sz w:val="24"/>
          <w:szCs w:val="24"/>
          <w:highlight w:val="none"/>
        </w:rPr>
        <w:t>9. 权利瑕疵担保</w:t>
      </w:r>
    </w:p>
    <w:p w14:paraId="04F748E8">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9.1 乙方保证对其出售的货物享有合法的权利。</w:t>
      </w:r>
    </w:p>
    <w:p w14:paraId="42B3D40E">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9.2 乙方保证在交付的货物上不存在抵押权等担保物权。</w:t>
      </w:r>
    </w:p>
    <w:p w14:paraId="05EF7EE2">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9.3 如甲方使用上述货物构成对第三人侵权的，则由乙方承担全部责任。</w:t>
      </w:r>
    </w:p>
    <w:p w14:paraId="754A30B3">
      <w:pPr>
        <w:spacing w:line="400" w:lineRule="exact"/>
        <w:ind w:firstLine="482"/>
        <w:rPr>
          <w:rFonts w:ascii="Times New Roman" w:hAnsi="Times New Roman"/>
          <w:b/>
          <w:bCs/>
          <w:color w:val="auto"/>
          <w:sz w:val="24"/>
          <w:szCs w:val="24"/>
          <w:highlight w:val="none"/>
        </w:rPr>
      </w:pPr>
      <w:r>
        <w:rPr>
          <w:rFonts w:ascii="Times New Roman" w:hAnsi="Times New Roman"/>
          <w:b/>
          <w:bCs/>
          <w:color w:val="auto"/>
          <w:sz w:val="24"/>
          <w:szCs w:val="24"/>
          <w:highlight w:val="none"/>
        </w:rPr>
        <w:t>10. 知识产权保护</w:t>
      </w:r>
    </w:p>
    <w:p w14:paraId="77BF30CA">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p>
    <w:p w14:paraId="0C4A855B">
      <w:pPr>
        <w:spacing w:line="400" w:lineRule="exact"/>
        <w:ind w:firstLine="482"/>
        <w:rPr>
          <w:rFonts w:ascii="Times New Roman" w:hAnsi="Times New Roman"/>
          <w:b/>
          <w:bCs/>
          <w:color w:val="auto"/>
          <w:sz w:val="24"/>
          <w:szCs w:val="24"/>
          <w:highlight w:val="none"/>
        </w:rPr>
      </w:pPr>
      <w:r>
        <w:rPr>
          <w:rFonts w:ascii="Times New Roman" w:hAnsi="Times New Roman"/>
          <w:b/>
          <w:bCs/>
          <w:color w:val="auto"/>
          <w:sz w:val="24"/>
          <w:szCs w:val="24"/>
          <w:highlight w:val="none"/>
        </w:rPr>
        <w:t>11. 保密义务</w:t>
      </w:r>
    </w:p>
    <w:p w14:paraId="1CDB49B2">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Times New Roman" w:hAnsi="Times New Roman"/>
          <w:b/>
          <w:bCs/>
          <w:color w:val="auto"/>
          <w:sz w:val="24"/>
          <w:szCs w:val="24"/>
          <w:highlight w:val="none"/>
        </w:rPr>
        <w:t>【政府采购合同专用条款】</w:t>
      </w:r>
      <w:r>
        <w:rPr>
          <w:rFonts w:ascii="Times New Roman" w:hAnsi="Times New Roman"/>
          <w:color w:val="auto"/>
          <w:sz w:val="24"/>
          <w:szCs w:val="24"/>
          <w:highlight w:val="none"/>
        </w:rPr>
        <w:t>中约定。</w:t>
      </w:r>
    </w:p>
    <w:p w14:paraId="6C1768E3">
      <w:pPr>
        <w:spacing w:line="400" w:lineRule="exact"/>
        <w:ind w:firstLine="482"/>
        <w:rPr>
          <w:rFonts w:ascii="Times New Roman" w:hAnsi="Times New Roman"/>
          <w:b/>
          <w:bCs/>
          <w:color w:val="auto"/>
          <w:sz w:val="24"/>
          <w:szCs w:val="24"/>
          <w:highlight w:val="none"/>
        </w:rPr>
      </w:pPr>
      <w:r>
        <w:rPr>
          <w:rFonts w:ascii="Times New Roman" w:hAnsi="Times New Roman"/>
          <w:b/>
          <w:bCs/>
          <w:color w:val="auto"/>
          <w:sz w:val="24"/>
          <w:szCs w:val="24"/>
          <w:highlight w:val="none"/>
        </w:rPr>
        <w:t>12. 合同价款支付</w:t>
      </w:r>
    </w:p>
    <w:p w14:paraId="63DE1410">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12.1 合同价款支付按照国库集中支付制度及财政管理相关规定执行。</w:t>
      </w:r>
    </w:p>
    <w:p w14:paraId="2C883B69">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12.2 对于满足合同约定支付条件的，甲方原则上应当自收到发票后10个工作日内将资金支付到合同约定的乙方账户，不得以机构变动、人员更替、政策调整等为由</w:t>
      </w:r>
      <w:r>
        <w:rPr>
          <w:rFonts w:hint="eastAsia" w:ascii="Times New Roman" w:hAnsi="Times New Roman"/>
          <w:color w:val="auto"/>
          <w:sz w:val="24"/>
          <w:szCs w:val="24"/>
          <w:highlight w:val="none"/>
        </w:rPr>
        <w:t>延迟</w:t>
      </w:r>
      <w:r>
        <w:rPr>
          <w:rFonts w:ascii="Times New Roman" w:hAnsi="Times New Roman"/>
          <w:color w:val="auto"/>
          <w:sz w:val="24"/>
          <w:szCs w:val="24"/>
          <w:highlight w:val="none"/>
        </w:rPr>
        <w:t>付款，不得将采购文件和合同中未规定的义务作为向乙方付款的条件。具体合同价款支付时间在【</w:t>
      </w:r>
      <w:r>
        <w:rPr>
          <w:rFonts w:ascii="Times New Roman" w:hAnsi="Times New Roman"/>
          <w:b/>
          <w:bCs/>
          <w:color w:val="auto"/>
          <w:sz w:val="24"/>
          <w:szCs w:val="24"/>
          <w:highlight w:val="none"/>
        </w:rPr>
        <w:t>政府采购合同专用条款</w:t>
      </w:r>
      <w:r>
        <w:rPr>
          <w:rFonts w:ascii="Times New Roman" w:hAnsi="Times New Roman"/>
          <w:color w:val="auto"/>
          <w:sz w:val="24"/>
          <w:szCs w:val="24"/>
          <w:highlight w:val="none"/>
        </w:rPr>
        <w:t>】中约定。</w:t>
      </w:r>
    </w:p>
    <w:p w14:paraId="28D59147">
      <w:pPr>
        <w:spacing w:line="400" w:lineRule="exact"/>
        <w:ind w:firstLine="482"/>
        <w:rPr>
          <w:rFonts w:ascii="Times New Roman" w:hAnsi="Times New Roman"/>
          <w:b/>
          <w:bCs/>
          <w:color w:val="auto"/>
          <w:sz w:val="24"/>
          <w:szCs w:val="24"/>
          <w:highlight w:val="none"/>
        </w:rPr>
      </w:pPr>
      <w:r>
        <w:rPr>
          <w:rFonts w:ascii="Times New Roman" w:hAnsi="Times New Roman"/>
          <w:b/>
          <w:bCs/>
          <w:color w:val="auto"/>
          <w:sz w:val="24"/>
          <w:szCs w:val="24"/>
          <w:highlight w:val="none"/>
        </w:rPr>
        <w:t>13. 履约保证金</w:t>
      </w:r>
    </w:p>
    <w:p w14:paraId="52EE2A01">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13.1 乙方应当以支票、汇票、本票或者金融机构、担保机构出具的保函等非现金形式提交。</w:t>
      </w:r>
    </w:p>
    <w:p w14:paraId="1D9E04EF">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13.2 如果乙方出现</w:t>
      </w:r>
      <w:r>
        <w:rPr>
          <w:rFonts w:ascii="Times New Roman" w:hAnsi="Times New Roman"/>
          <w:b/>
          <w:bCs/>
          <w:color w:val="auto"/>
          <w:sz w:val="24"/>
          <w:szCs w:val="24"/>
          <w:highlight w:val="none"/>
        </w:rPr>
        <w:t>【政府采购合同专用条款】</w:t>
      </w:r>
      <w:r>
        <w:rPr>
          <w:rFonts w:ascii="Times New Roman" w:hAnsi="Times New Roman"/>
          <w:color w:val="auto"/>
          <w:sz w:val="24"/>
          <w:szCs w:val="24"/>
          <w:highlight w:val="none"/>
        </w:rPr>
        <w:t>约定情形的，履约保证金不予退还；如果乙方未能按合同约定全面履行义务，甲方有权从履约保证金中取得补偿或赔偿，且不影响甲方要求乙方承担合同约定的超过履约保证金的违约责任的权利。</w:t>
      </w:r>
    </w:p>
    <w:p w14:paraId="6D6109CC">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13.3 甲方在项目通过验收后按照</w:t>
      </w:r>
      <w:r>
        <w:rPr>
          <w:rFonts w:ascii="Times New Roman" w:hAnsi="Times New Roman"/>
          <w:b/>
          <w:color w:val="auto"/>
          <w:sz w:val="24"/>
          <w:szCs w:val="24"/>
          <w:highlight w:val="none"/>
        </w:rPr>
        <w:t>【政府采购合同专用条款】</w:t>
      </w:r>
      <w:r>
        <w:rPr>
          <w:rFonts w:ascii="Times New Roman" w:hAnsi="Times New Roman"/>
          <w:color w:val="auto"/>
          <w:sz w:val="24"/>
          <w:szCs w:val="24"/>
          <w:highlight w:val="none"/>
        </w:rPr>
        <w:t>规定的时间内将履约保证金退还乙方；逾期退还的，乙方</w:t>
      </w:r>
      <w:r>
        <w:rPr>
          <w:rFonts w:hint="eastAsia" w:ascii="Times New Roman" w:hAnsi="Times New Roman"/>
          <w:color w:val="auto"/>
          <w:sz w:val="24"/>
          <w:szCs w:val="24"/>
          <w:highlight w:val="none"/>
        </w:rPr>
        <w:t>可以</w:t>
      </w:r>
      <w:r>
        <w:rPr>
          <w:rFonts w:ascii="Times New Roman" w:hAnsi="Times New Roman"/>
          <w:color w:val="auto"/>
          <w:sz w:val="24"/>
          <w:szCs w:val="24"/>
          <w:highlight w:val="none"/>
        </w:rPr>
        <w:t>要求甲方支付违约金，违约金按照</w:t>
      </w:r>
      <w:r>
        <w:rPr>
          <w:rFonts w:ascii="Times New Roman" w:hAnsi="Times New Roman"/>
          <w:b/>
          <w:color w:val="auto"/>
          <w:sz w:val="24"/>
          <w:szCs w:val="24"/>
          <w:highlight w:val="none"/>
        </w:rPr>
        <w:t>【政府采购合同专用条款】</w:t>
      </w:r>
      <w:r>
        <w:rPr>
          <w:rFonts w:ascii="Times New Roman" w:hAnsi="Times New Roman"/>
          <w:color w:val="auto"/>
          <w:sz w:val="24"/>
          <w:szCs w:val="24"/>
          <w:highlight w:val="none"/>
        </w:rPr>
        <w:t>规定支付。</w:t>
      </w:r>
    </w:p>
    <w:p w14:paraId="6D40A054">
      <w:pPr>
        <w:spacing w:line="400" w:lineRule="exact"/>
        <w:ind w:firstLine="482"/>
        <w:rPr>
          <w:rFonts w:ascii="Times New Roman" w:hAnsi="Times New Roman"/>
          <w:b/>
          <w:color w:val="auto"/>
          <w:sz w:val="24"/>
          <w:szCs w:val="24"/>
          <w:highlight w:val="none"/>
        </w:rPr>
      </w:pPr>
      <w:r>
        <w:rPr>
          <w:rFonts w:ascii="Times New Roman" w:hAnsi="Times New Roman"/>
          <w:b/>
          <w:bCs/>
          <w:color w:val="auto"/>
          <w:sz w:val="24"/>
          <w:szCs w:val="24"/>
          <w:highlight w:val="none"/>
        </w:rPr>
        <w:t xml:space="preserve">14. </w:t>
      </w:r>
      <w:r>
        <w:rPr>
          <w:rFonts w:ascii="Times New Roman" w:hAnsi="Times New Roman"/>
          <w:b/>
          <w:color w:val="auto"/>
          <w:sz w:val="24"/>
          <w:szCs w:val="24"/>
          <w:highlight w:val="none"/>
        </w:rPr>
        <w:t>售后服务</w:t>
      </w:r>
    </w:p>
    <w:p w14:paraId="6C33BDD5">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14.1 除项目不涉及或采购活动中明确约定无须承担外，乙方还应提供下列服务：</w:t>
      </w:r>
    </w:p>
    <w:p w14:paraId="52083788">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（1）货物的现场移动、安装、调试、启动监督及技术支持；</w:t>
      </w:r>
    </w:p>
    <w:p w14:paraId="4688B2E8">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（2）提供货物组装和维修所需的专用工具和辅助材料；</w:t>
      </w:r>
    </w:p>
    <w:p w14:paraId="642E28F4">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（3）在</w:t>
      </w:r>
      <w:r>
        <w:rPr>
          <w:rFonts w:ascii="Times New Roman" w:hAnsi="Times New Roman"/>
          <w:b/>
          <w:bCs/>
          <w:color w:val="auto"/>
          <w:sz w:val="24"/>
          <w:szCs w:val="24"/>
          <w:highlight w:val="none"/>
        </w:rPr>
        <w:t>【政府采购合同专用条款】</w:t>
      </w:r>
      <w:r>
        <w:rPr>
          <w:rFonts w:ascii="Times New Roman" w:hAnsi="Times New Roman"/>
          <w:color w:val="auto"/>
          <w:sz w:val="24"/>
          <w:szCs w:val="24"/>
          <w:highlight w:val="none"/>
        </w:rPr>
        <w:t>约定的期限内对所有的货物实施运行监督、维修，但前提条件是该服务并不能免除乙方在质量保证期内所承担的义务；</w:t>
      </w:r>
    </w:p>
    <w:p w14:paraId="5E8B67AD">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（4）在制造商所在地或指定现场就货物的安装、启动、运营、维护、废弃处置等对甲方操作人员进行培训；</w:t>
      </w:r>
    </w:p>
    <w:p w14:paraId="2CB71B5E">
      <w:pPr>
        <w:pStyle w:val="506"/>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（5）依照法律、行政法规的规定或者按照</w:t>
      </w:r>
      <w:r>
        <w:rPr>
          <w:rFonts w:ascii="Times New Roman" w:hAnsi="Times New Roman" w:eastAsia="宋体" w:cs="Times New Roman"/>
          <w:b/>
          <w:bCs/>
          <w:color w:val="auto"/>
          <w:sz w:val="24"/>
          <w:szCs w:val="24"/>
          <w:highlight w:val="none"/>
        </w:rPr>
        <w:t>【政府采购合同专用条款】</w:t>
      </w:r>
      <w:r>
        <w:rPr>
          <w:rFonts w:ascii="Times New Roman" w:hAnsi="Times New Roman" w:eastAsia="宋体" w:cs="Times New Roman"/>
          <w:color w:val="auto"/>
          <w:sz w:val="24"/>
          <w:szCs w:val="24"/>
          <w:highlight w:val="none"/>
        </w:rPr>
        <w:t>约定，货物在有效使用年限届满后应予回收的，乙方有自行或委托第三人对货物予以回收的义务；</w:t>
      </w:r>
    </w:p>
    <w:p w14:paraId="58380206">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（6）</w:t>
      </w:r>
      <w:r>
        <w:rPr>
          <w:rFonts w:ascii="Times New Roman" w:hAnsi="Times New Roman"/>
          <w:b/>
          <w:color w:val="auto"/>
          <w:sz w:val="24"/>
          <w:szCs w:val="24"/>
          <w:highlight w:val="none"/>
        </w:rPr>
        <w:t>【政府采购合同专用条款】</w:t>
      </w:r>
      <w:r>
        <w:rPr>
          <w:rFonts w:ascii="Times New Roman" w:hAnsi="Times New Roman"/>
          <w:color w:val="auto"/>
          <w:sz w:val="24"/>
          <w:szCs w:val="24"/>
          <w:highlight w:val="none"/>
        </w:rPr>
        <w:t>规定由乙方提供的其他服务。</w:t>
      </w:r>
    </w:p>
    <w:p w14:paraId="453B2041">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14.2 乙方提供的售后服务的费用已包含在合同价款中，甲方不再另行支付。</w:t>
      </w:r>
    </w:p>
    <w:p w14:paraId="7C23A141">
      <w:pPr>
        <w:spacing w:line="400" w:lineRule="exact"/>
        <w:ind w:firstLine="482"/>
        <w:rPr>
          <w:rFonts w:ascii="Times New Roman" w:hAnsi="Times New Roman"/>
          <w:b/>
          <w:bCs/>
          <w:color w:val="auto"/>
          <w:sz w:val="24"/>
          <w:szCs w:val="24"/>
          <w:highlight w:val="none"/>
        </w:rPr>
      </w:pPr>
      <w:r>
        <w:rPr>
          <w:rFonts w:ascii="Times New Roman" w:hAnsi="Times New Roman"/>
          <w:b/>
          <w:bCs/>
          <w:color w:val="auto"/>
          <w:sz w:val="24"/>
          <w:szCs w:val="24"/>
          <w:highlight w:val="none"/>
        </w:rPr>
        <w:t>15. 违约责任</w:t>
      </w:r>
    </w:p>
    <w:p w14:paraId="14B83DD6">
      <w:pPr>
        <w:spacing w:line="400" w:lineRule="exact"/>
        <w:ind w:firstLine="480"/>
        <w:rPr>
          <w:rFonts w:ascii="Times New Roman" w:hAnsi="Times New Roman"/>
          <w:bCs/>
          <w:color w:val="auto"/>
          <w:sz w:val="24"/>
          <w:szCs w:val="24"/>
          <w:highlight w:val="none"/>
        </w:rPr>
      </w:pPr>
      <w:r>
        <w:rPr>
          <w:rFonts w:ascii="Times New Roman" w:hAnsi="Times New Roman"/>
          <w:bCs/>
          <w:color w:val="auto"/>
          <w:sz w:val="24"/>
          <w:szCs w:val="24"/>
          <w:highlight w:val="none"/>
        </w:rPr>
        <w:t>15.1质量瑕疵的违约责任</w:t>
      </w:r>
    </w:p>
    <w:p w14:paraId="0E2FA3B1">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乙方提供的产品不符合合同约定的质量标准或存在产品质量缺陷，甲方有权要求乙方根据</w:t>
      </w:r>
      <w:r>
        <w:rPr>
          <w:rFonts w:ascii="Times New Roman" w:hAnsi="Times New Roman"/>
          <w:b/>
          <w:color w:val="auto"/>
          <w:sz w:val="24"/>
          <w:szCs w:val="24"/>
          <w:highlight w:val="none"/>
        </w:rPr>
        <w:t>【政府采购合同专用条款】</w:t>
      </w:r>
      <w:r>
        <w:rPr>
          <w:rFonts w:ascii="Times New Roman" w:hAnsi="Times New Roman"/>
          <w:bCs/>
          <w:color w:val="auto"/>
          <w:sz w:val="24"/>
          <w:szCs w:val="24"/>
          <w:highlight w:val="none"/>
        </w:rPr>
        <w:t>要求</w:t>
      </w:r>
      <w:r>
        <w:rPr>
          <w:rFonts w:ascii="Times New Roman" w:hAnsi="Times New Roman"/>
          <w:color w:val="auto"/>
          <w:sz w:val="24"/>
          <w:szCs w:val="24"/>
          <w:highlight w:val="none"/>
        </w:rPr>
        <w:t>及时修理、重作、更换，并承担由此给甲方造成的损失。</w:t>
      </w:r>
    </w:p>
    <w:p w14:paraId="6C9349FF">
      <w:pPr>
        <w:spacing w:line="400" w:lineRule="exact"/>
        <w:ind w:firstLine="480"/>
        <w:rPr>
          <w:rFonts w:ascii="Times New Roman" w:hAnsi="Times New Roman"/>
          <w:bCs/>
          <w:color w:val="auto"/>
          <w:sz w:val="24"/>
          <w:szCs w:val="24"/>
          <w:highlight w:val="none"/>
        </w:rPr>
      </w:pPr>
      <w:r>
        <w:rPr>
          <w:rFonts w:ascii="Times New Roman" w:hAnsi="Times New Roman"/>
          <w:bCs/>
          <w:color w:val="auto"/>
          <w:sz w:val="24"/>
          <w:szCs w:val="24"/>
          <w:highlight w:val="none"/>
        </w:rPr>
        <w:t>15.2 迟延交货的违约责任</w:t>
      </w:r>
    </w:p>
    <w:p w14:paraId="5919F7B2">
      <w:pPr>
        <w:spacing w:line="400" w:lineRule="exact"/>
        <w:ind w:firstLine="480"/>
        <w:rPr>
          <w:rFonts w:ascii="Times New Roman" w:hAnsi="Times New Roman"/>
          <w:bCs/>
          <w:color w:val="auto"/>
          <w:sz w:val="24"/>
          <w:szCs w:val="24"/>
          <w:highlight w:val="none"/>
        </w:rPr>
      </w:pPr>
      <w:r>
        <w:rPr>
          <w:rFonts w:ascii="Times New Roman" w:hAnsi="Times New Roman"/>
          <w:color w:val="auto"/>
          <w:sz w:val="24"/>
          <w:szCs w:val="24"/>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7D4669C4">
      <w:pPr>
        <w:spacing w:line="400" w:lineRule="exact"/>
        <w:ind w:firstLine="480"/>
        <w:rPr>
          <w:rFonts w:ascii="Times New Roman" w:hAnsi="Times New Roman"/>
          <w:bCs/>
          <w:color w:val="auto"/>
          <w:sz w:val="24"/>
          <w:szCs w:val="24"/>
          <w:highlight w:val="none"/>
        </w:rPr>
      </w:pPr>
      <w:r>
        <w:rPr>
          <w:rFonts w:ascii="Times New Roman" w:hAnsi="Times New Roman"/>
          <w:color w:val="auto"/>
          <w:sz w:val="24"/>
          <w:szCs w:val="24"/>
          <w:highlight w:val="none"/>
        </w:rPr>
        <w:t>（2）如果乙方没有按照合同规定的时间交货和提供相关服务，甲方有权从货款中扣除误期赔偿费而不影响合同项下的其他补救方法，赔偿费按</w:t>
      </w:r>
      <w:r>
        <w:rPr>
          <w:rFonts w:ascii="Times New Roman" w:hAnsi="Times New Roman"/>
          <w:b/>
          <w:color w:val="auto"/>
          <w:sz w:val="24"/>
          <w:szCs w:val="24"/>
          <w:highlight w:val="none"/>
        </w:rPr>
        <w:t>【政府采购合同专用条款】</w:t>
      </w:r>
      <w:r>
        <w:rPr>
          <w:rFonts w:ascii="Times New Roman" w:hAnsi="Times New Roman"/>
          <w:color w:val="auto"/>
          <w:sz w:val="24"/>
          <w:szCs w:val="24"/>
          <w:highlight w:val="none"/>
        </w:rPr>
        <w:t>规定执行。如果涉及公共利益，且赔偿金额无法弥补公共利益损失，甲方可要求继续履行或者采取其他补救措施。</w:t>
      </w:r>
    </w:p>
    <w:p w14:paraId="7B34AB5F">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15.3 迟延支付的违约责任</w:t>
      </w:r>
    </w:p>
    <w:p w14:paraId="6095D63C">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甲方存在迟延支付乙方合同款项的，应当承担</w:t>
      </w:r>
      <w:r>
        <w:rPr>
          <w:rFonts w:ascii="Times New Roman" w:hAnsi="Times New Roman"/>
          <w:b/>
          <w:bCs/>
          <w:color w:val="auto"/>
          <w:sz w:val="24"/>
          <w:szCs w:val="24"/>
          <w:highlight w:val="none"/>
        </w:rPr>
        <w:t>【政府采购合同专用条款】</w:t>
      </w:r>
      <w:r>
        <w:rPr>
          <w:rFonts w:ascii="Times New Roman" w:hAnsi="Times New Roman"/>
          <w:color w:val="auto"/>
          <w:sz w:val="24"/>
          <w:szCs w:val="24"/>
          <w:highlight w:val="none"/>
        </w:rPr>
        <w:t>规定的逾期付款利息。</w:t>
      </w:r>
    </w:p>
    <w:p w14:paraId="4AC57ECF">
      <w:pPr>
        <w:spacing w:line="400" w:lineRule="exact"/>
        <w:ind w:firstLine="480"/>
        <w:rPr>
          <w:rFonts w:ascii="Times New Roman" w:hAnsi="Times New Roman"/>
          <w:color w:val="auto"/>
          <w:sz w:val="24"/>
          <w:szCs w:val="24"/>
          <w:highlight w:val="none"/>
        </w:rPr>
      </w:pPr>
      <w:r>
        <w:rPr>
          <w:rFonts w:ascii="Times New Roman" w:hAnsi="Times New Roman"/>
          <w:bCs/>
          <w:color w:val="auto"/>
          <w:sz w:val="24"/>
          <w:szCs w:val="24"/>
          <w:highlight w:val="none"/>
        </w:rPr>
        <w:t>15.4其他违约责任根据项目实际需要按</w:t>
      </w:r>
      <w:r>
        <w:rPr>
          <w:rFonts w:ascii="Times New Roman" w:hAnsi="Times New Roman"/>
          <w:b/>
          <w:bCs/>
          <w:color w:val="auto"/>
          <w:sz w:val="24"/>
          <w:szCs w:val="24"/>
          <w:highlight w:val="none"/>
        </w:rPr>
        <w:t>【政府采购合同专用条款】</w:t>
      </w:r>
      <w:r>
        <w:rPr>
          <w:rFonts w:ascii="Times New Roman" w:hAnsi="Times New Roman"/>
          <w:color w:val="auto"/>
          <w:sz w:val="24"/>
          <w:szCs w:val="24"/>
          <w:highlight w:val="none"/>
        </w:rPr>
        <w:t>规定执行。</w:t>
      </w:r>
    </w:p>
    <w:p w14:paraId="38B3A793">
      <w:pPr>
        <w:numPr>
          <w:ilvl w:val="0"/>
          <w:numId w:val="9"/>
        </w:numPr>
        <w:spacing w:line="400" w:lineRule="exact"/>
        <w:ind w:firstLine="482"/>
        <w:rPr>
          <w:rFonts w:ascii="Times New Roman" w:hAnsi="Times New Roman"/>
          <w:b/>
          <w:color w:val="auto"/>
          <w:sz w:val="24"/>
          <w:szCs w:val="24"/>
          <w:highlight w:val="none"/>
        </w:rPr>
      </w:pPr>
      <w:r>
        <w:rPr>
          <w:rFonts w:ascii="Times New Roman" w:hAnsi="Times New Roman"/>
          <w:b/>
          <w:color w:val="auto"/>
          <w:sz w:val="24"/>
          <w:szCs w:val="24"/>
          <w:highlight w:val="none"/>
        </w:rPr>
        <w:t>合同变更、中止与终止</w:t>
      </w:r>
    </w:p>
    <w:p w14:paraId="2DF2B32A">
      <w:pPr>
        <w:spacing w:line="400" w:lineRule="exact"/>
        <w:ind w:left="480"/>
        <w:rPr>
          <w:rFonts w:ascii="Times New Roman" w:hAnsi="Times New Roman"/>
          <w:b/>
          <w:color w:val="auto"/>
          <w:sz w:val="24"/>
          <w:szCs w:val="24"/>
          <w:highlight w:val="none"/>
        </w:rPr>
      </w:pPr>
      <w:r>
        <w:rPr>
          <w:rFonts w:ascii="Times New Roman" w:hAnsi="Times New Roman"/>
          <w:color w:val="auto"/>
          <w:sz w:val="24"/>
          <w:szCs w:val="24"/>
          <w:highlight w:val="none"/>
        </w:rPr>
        <w:t>16.1合同的变更</w:t>
      </w:r>
    </w:p>
    <w:p w14:paraId="3F396079">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政府采购合同履行中，在不改变合同其他条款的前提下，甲方可以在合同价款10%的范围内追加与合同标的相同的货物，并就此与乙方协商一致后签订补充协议。</w:t>
      </w:r>
    </w:p>
    <w:p w14:paraId="0C209CDB">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16.2合同的中止</w:t>
      </w:r>
    </w:p>
    <w:p w14:paraId="7F628196">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（1）合同履行过程中因供应商就采购文件、采购过程或结果提起投诉的，甲方认为有必要的，可以中止合同的履行。</w:t>
      </w:r>
    </w:p>
    <w:p w14:paraId="0827844C">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（2）合同履行过程中，如果乙方出现以下情形之一的：</w:t>
      </w:r>
    </w:p>
    <w:p w14:paraId="347E93F8">
      <w:pPr>
        <w:spacing w:line="400" w:lineRule="exact"/>
        <w:ind w:firstLine="480"/>
        <w:rPr>
          <w:rFonts w:ascii="Times New Roman" w:hAnsi="Times New Roman"/>
          <w:color w:val="auto"/>
          <w:sz w:val="24"/>
          <w:szCs w:val="24"/>
          <w:highlight w:val="none"/>
        </w:rPr>
      </w:pPr>
      <w:r>
        <w:rPr>
          <w:rFonts w:hint="eastAsia" w:ascii="Times New Roman" w:hAnsi="Times New Roman"/>
          <w:color w:val="auto"/>
          <w:sz w:val="24"/>
          <w:szCs w:val="24"/>
          <w:highlight w:val="none"/>
        </w:rPr>
        <w:t>1.</w:t>
      </w:r>
      <w:r>
        <w:rPr>
          <w:rFonts w:ascii="Times New Roman" w:hAnsi="Times New Roman"/>
          <w:color w:val="auto"/>
          <w:sz w:val="24"/>
          <w:szCs w:val="24"/>
          <w:highlight w:val="none"/>
        </w:rPr>
        <w:t>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4924AB90">
      <w:pPr>
        <w:pStyle w:val="506"/>
        <w:ind w:firstLine="480"/>
        <w:jc w:val="both"/>
        <w:rPr>
          <w:rFonts w:ascii="Times New Roman" w:hAnsi="Times New Roman" w:cs="Times New Roman"/>
          <w:color w:val="auto"/>
          <w:sz w:val="24"/>
          <w:szCs w:val="24"/>
          <w:highlight w:val="none"/>
        </w:rPr>
      </w:pPr>
      <w:r>
        <w:rPr>
          <w:rFonts w:ascii="Times New Roman" w:hAnsi="Times New Roman" w:eastAsia="宋体" w:cs="Times New Roman"/>
          <w:color w:val="auto"/>
          <w:sz w:val="24"/>
          <w:szCs w:val="24"/>
          <w:highlight w:val="none"/>
        </w:rPr>
        <w:t>（3）乙方分立、合并或者变更住所的，应当及时以书面形式告知甲方。乙方没有及时告知甲方，致使合同履行发生困难的，甲方可以中止合同履行并要求乙方承担由此给甲方造成的损失。</w:t>
      </w:r>
    </w:p>
    <w:p w14:paraId="2B574D1A">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（4）甲方不得以行政区划调整、政府换届、机构或者职能调整以及相关责任人更替为由中止合同。</w:t>
      </w:r>
    </w:p>
    <w:p w14:paraId="4CCF5EBF">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16.3合同的终止</w:t>
      </w:r>
    </w:p>
    <w:p w14:paraId="02091025">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（1）合同因有效期限届满而终止；</w:t>
      </w:r>
    </w:p>
    <w:p w14:paraId="410FD1CD">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（2）乙方未按合同约定履行，构成根本性违约的，甲方有权终止合同，并追究乙方的违约责任。</w:t>
      </w:r>
    </w:p>
    <w:p w14:paraId="4AADA996">
      <w:pPr>
        <w:pStyle w:val="506"/>
        <w:ind w:firstLine="480"/>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16.4 </w:t>
      </w:r>
      <w:r>
        <w:rPr>
          <w:rFonts w:ascii="Times New Roman" w:hAnsi="Times New Roman" w:eastAsia="宋体" w:cs="Times New Roman"/>
          <w:color w:val="auto"/>
          <w:sz w:val="24"/>
          <w:szCs w:val="24"/>
          <w:highlight w:val="none"/>
        </w:rPr>
        <w:t>涉及国家利益、社会公共利益的情形</w:t>
      </w:r>
    </w:p>
    <w:p w14:paraId="7263E6DB">
      <w:pPr>
        <w:pStyle w:val="506"/>
        <w:ind w:firstLine="480"/>
        <w:jc w:val="both"/>
        <w:rPr>
          <w:rFonts w:ascii="Times New Roman" w:hAnsi="Times New Roman" w:cs="Times New Roman"/>
          <w:color w:val="auto"/>
          <w:sz w:val="24"/>
          <w:szCs w:val="24"/>
          <w:highlight w:val="none"/>
        </w:rPr>
      </w:pPr>
      <w:r>
        <w:rPr>
          <w:rFonts w:ascii="Times New Roman" w:hAnsi="Times New Roman" w:eastAsia="宋体" w:cs="Times New Roman"/>
          <w:color w:val="auto"/>
          <w:sz w:val="24"/>
          <w:szCs w:val="24"/>
          <w:highlight w:val="none"/>
        </w:rPr>
        <w:t>政府采购合同继续履行将损害国家利益和社会公共利益的，双方当事人应当变更、中止或者终止合同。有过错的一方应当承担赔偿责任，双方都有过错的，各自承担相应的责任。</w:t>
      </w:r>
    </w:p>
    <w:p w14:paraId="286FE6AE">
      <w:pPr>
        <w:spacing w:line="400" w:lineRule="exact"/>
        <w:ind w:firstLine="482"/>
        <w:rPr>
          <w:rFonts w:ascii="Times New Roman" w:hAnsi="Times New Roman"/>
          <w:b/>
          <w:bCs/>
          <w:color w:val="auto"/>
          <w:sz w:val="24"/>
          <w:szCs w:val="24"/>
          <w:highlight w:val="none"/>
        </w:rPr>
      </w:pPr>
      <w:r>
        <w:rPr>
          <w:rFonts w:ascii="Times New Roman" w:hAnsi="Times New Roman"/>
          <w:b/>
          <w:bCs/>
          <w:color w:val="auto"/>
          <w:sz w:val="24"/>
          <w:szCs w:val="24"/>
          <w:highlight w:val="none"/>
        </w:rPr>
        <w:t>17. 合同分包</w:t>
      </w:r>
    </w:p>
    <w:p w14:paraId="139AE851">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17.1 乙方不得将合同转包给其他供应商。涉及合同分包的，乙方应根据采购文件和投标（响应）文件规定进行合同分包。</w:t>
      </w:r>
    </w:p>
    <w:p w14:paraId="4181DD25">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17.2 乙方执行政府采购政策向中小企业依法分包的，乙方应当按采购文件和投标（响应）文件签订分包意向协议，分包意向协议属于本合同组成部分。</w:t>
      </w:r>
    </w:p>
    <w:p w14:paraId="1C71D64A">
      <w:pPr>
        <w:spacing w:line="400" w:lineRule="exact"/>
        <w:ind w:firstLine="482"/>
        <w:rPr>
          <w:rFonts w:ascii="Times New Roman" w:hAnsi="Times New Roman"/>
          <w:b/>
          <w:bCs/>
          <w:color w:val="auto"/>
          <w:sz w:val="24"/>
          <w:szCs w:val="24"/>
          <w:highlight w:val="none"/>
        </w:rPr>
      </w:pPr>
      <w:r>
        <w:rPr>
          <w:rFonts w:ascii="Times New Roman" w:hAnsi="Times New Roman"/>
          <w:b/>
          <w:bCs/>
          <w:color w:val="auto"/>
          <w:sz w:val="24"/>
          <w:szCs w:val="24"/>
          <w:highlight w:val="none"/>
        </w:rPr>
        <w:t>18. 不可抗力</w:t>
      </w:r>
    </w:p>
    <w:p w14:paraId="57ACA09F">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18.1 不可抗力是指合同双方不能预见、不能避免且不能克服的客观情况。</w:t>
      </w:r>
    </w:p>
    <w:p w14:paraId="335CAFF8">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18.2 任何一方对由于不可抗力造成的部分或全部不能履行合同不承担违约责任。但迟延履行后发生不可抗力的，不能免除责任。</w:t>
      </w:r>
    </w:p>
    <w:p w14:paraId="3F63A8E0">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2626A2BC">
      <w:pPr>
        <w:spacing w:line="400" w:lineRule="exact"/>
        <w:ind w:firstLine="482"/>
        <w:rPr>
          <w:rFonts w:ascii="Times New Roman" w:hAnsi="Times New Roman"/>
          <w:b/>
          <w:bCs/>
          <w:color w:val="auto"/>
          <w:sz w:val="24"/>
          <w:szCs w:val="24"/>
          <w:highlight w:val="none"/>
        </w:rPr>
      </w:pPr>
      <w:r>
        <w:rPr>
          <w:rFonts w:ascii="Times New Roman" w:hAnsi="Times New Roman"/>
          <w:b/>
          <w:bCs/>
          <w:color w:val="auto"/>
          <w:sz w:val="24"/>
          <w:szCs w:val="24"/>
          <w:highlight w:val="none"/>
        </w:rPr>
        <w:t>19. 解决争议的方法</w:t>
      </w:r>
    </w:p>
    <w:p w14:paraId="73F3AA49">
      <w:pPr>
        <w:pStyle w:val="506"/>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02472BAE">
      <w:pPr>
        <w:pStyle w:val="506"/>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19.2 选择仲裁的，应在</w:t>
      </w:r>
      <w:r>
        <w:rPr>
          <w:rFonts w:ascii="Times New Roman" w:hAnsi="Times New Roman" w:eastAsia="宋体" w:cs="Times New Roman"/>
          <w:b/>
          <w:bCs/>
          <w:color w:val="auto"/>
          <w:sz w:val="24"/>
          <w:szCs w:val="24"/>
          <w:highlight w:val="none"/>
        </w:rPr>
        <w:t>【政府采购合同专用条款】</w:t>
      </w:r>
      <w:r>
        <w:rPr>
          <w:rFonts w:ascii="Times New Roman" w:hAnsi="Times New Roman" w:eastAsia="宋体" w:cs="Times New Roman"/>
          <w:color w:val="auto"/>
          <w:sz w:val="24"/>
          <w:szCs w:val="24"/>
          <w:highlight w:val="none"/>
        </w:rPr>
        <w:t>中明确仲裁机构及仲裁地；通过诉讼方式解决的，可以在</w:t>
      </w:r>
      <w:r>
        <w:rPr>
          <w:rFonts w:ascii="Times New Roman" w:hAnsi="Times New Roman" w:eastAsia="宋体" w:cs="Times New Roman"/>
          <w:b/>
          <w:bCs/>
          <w:color w:val="auto"/>
          <w:sz w:val="24"/>
          <w:szCs w:val="24"/>
          <w:highlight w:val="none"/>
        </w:rPr>
        <w:t>【政府采购合同专用条款】</w:t>
      </w:r>
      <w:r>
        <w:rPr>
          <w:rFonts w:ascii="Times New Roman" w:hAnsi="Times New Roman" w:eastAsia="宋体" w:cs="Times New Roman"/>
          <w:color w:val="auto"/>
          <w:sz w:val="24"/>
          <w:szCs w:val="24"/>
          <w:highlight w:val="none"/>
        </w:rPr>
        <w:t>中进一步约定选择与争议有实际联系的地点的人民法院管辖，但管辖法院的约定不得违反级别管辖和专属管辖的规定。</w:t>
      </w:r>
    </w:p>
    <w:p w14:paraId="0A798FAA">
      <w:pPr>
        <w:pStyle w:val="506"/>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19.3 如甲乙双方有争议的事项不影响合同其他部分的履行，在争议解决期间，合同其他部分应当继续履行。</w:t>
      </w:r>
    </w:p>
    <w:p w14:paraId="3F45A5E0">
      <w:pPr>
        <w:spacing w:line="400" w:lineRule="exact"/>
        <w:ind w:firstLine="482"/>
        <w:rPr>
          <w:rFonts w:ascii="Times New Roman" w:hAnsi="Times New Roman"/>
          <w:color w:val="auto"/>
          <w:sz w:val="24"/>
          <w:szCs w:val="24"/>
          <w:highlight w:val="none"/>
        </w:rPr>
      </w:pPr>
      <w:r>
        <w:rPr>
          <w:rFonts w:ascii="Times New Roman" w:hAnsi="Times New Roman"/>
          <w:b/>
          <w:color w:val="auto"/>
          <w:sz w:val="24"/>
          <w:szCs w:val="24"/>
          <w:highlight w:val="none"/>
        </w:rPr>
        <w:t>20. 政府采购政策</w:t>
      </w:r>
    </w:p>
    <w:p w14:paraId="18D58743">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 xml:space="preserve">20.1 </w:t>
      </w:r>
      <w:r>
        <w:rPr>
          <w:rFonts w:ascii="Times New Roman" w:hAnsi="Times New Roman"/>
          <w:color w:val="auto"/>
          <w:sz w:val="24"/>
          <w:szCs w:val="24"/>
          <w:highlight w:val="none"/>
          <w:lang w:val="en-GB"/>
        </w:rPr>
        <w:t>本合同按照规定执行政府采购政策。</w:t>
      </w:r>
    </w:p>
    <w:p w14:paraId="4493B061">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20.2 本合同依法执行政府采购政策的方式和内容，属于合同履约验收的范围。甲乙双方</w:t>
      </w:r>
      <w:r>
        <w:rPr>
          <w:rFonts w:ascii="Times New Roman" w:hAnsi="Times New Roman"/>
          <w:color w:val="auto"/>
          <w:sz w:val="24"/>
          <w:szCs w:val="24"/>
          <w:highlight w:val="none"/>
          <w:lang w:val="en-GB"/>
        </w:rPr>
        <w:t>未按规定要求执行政府采购政策造成损失的</w:t>
      </w:r>
      <w:r>
        <w:rPr>
          <w:rFonts w:ascii="Times New Roman" w:hAnsi="Times New Roman"/>
          <w:color w:val="auto"/>
          <w:sz w:val="24"/>
          <w:szCs w:val="24"/>
          <w:highlight w:val="none"/>
        </w:rPr>
        <w:t>，有过错的一方应当承担赔偿责任，双方都有过错的，各自承担相应的责任。</w:t>
      </w:r>
    </w:p>
    <w:p w14:paraId="53CA6475">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603F2285">
      <w:pPr>
        <w:spacing w:line="400" w:lineRule="exact"/>
        <w:ind w:firstLine="482"/>
        <w:rPr>
          <w:rFonts w:ascii="Times New Roman" w:hAnsi="Times New Roman"/>
          <w:b/>
          <w:color w:val="auto"/>
          <w:sz w:val="24"/>
          <w:szCs w:val="24"/>
          <w:highlight w:val="none"/>
        </w:rPr>
      </w:pPr>
      <w:r>
        <w:rPr>
          <w:rFonts w:ascii="Times New Roman" w:hAnsi="Times New Roman"/>
          <w:b/>
          <w:color w:val="auto"/>
          <w:sz w:val="24"/>
          <w:szCs w:val="24"/>
          <w:highlight w:val="none"/>
        </w:rPr>
        <w:t>21. 法律适用</w:t>
      </w:r>
    </w:p>
    <w:p w14:paraId="0934F3C9">
      <w:pPr>
        <w:pStyle w:val="506"/>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21.1 本合同的订立、生效、解释、履行及与本合同有关的争议解决，均适用法律、行政法规。</w:t>
      </w:r>
    </w:p>
    <w:p w14:paraId="25BAA521">
      <w:pPr>
        <w:pStyle w:val="506"/>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21.2 本合同条款与法律、行政法规的强制性规定不一致的，双方当事人应按照法律、行政法规的强制性规定修改本合同的相关条款。</w:t>
      </w:r>
    </w:p>
    <w:p w14:paraId="0ED1971A">
      <w:pPr>
        <w:spacing w:line="400" w:lineRule="exact"/>
        <w:ind w:firstLine="482"/>
        <w:rPr>
          <w:rFonts w:ascii="Times New Roman" w:hAnsi="Times New Roman"/>
          <w:b/>
          <w:color w:val="auto"/>
          <w:sz w:val="24"/>
          <w:szCs w:val="24"/>
          <w:highlight w:val="none"/>
        </w:rPr>
      </w:pPr>
      <w:r>
        <w:rPr>
          <w:rFonts w:ascii="Times New Roman" w:hAnsi="Times New Roman"/>
          <w:b/>
          <w:color w:val="auto"/>
          <w:sz w:val="24"/>
          <w:szCs w:val="24"/>
          <w:highlight w:val="none"/>
        </w:rPr>
        <w:t>22. 通知</w:t>
      </w:r>
    </w:p>
    <w:p w14:paraId="78647D86">
      <w:pPr>
        <w:pStyle w:val="506"/>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22.1 本合同任何一方向对方发出的通知、信件、数据电文等，应当发送至本合同第一部分《政府采购合同协议书》所约定的通讯地址、联系人、联系电话或电子邮箱。</w:t>
      </w:r>
    </w:p>
    <w:p w14:paraId="06D8EB98">
      <w:pPr>
        <w:pStyle w:val="506"/>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22.2 一方当事人变更名称、住所、联系人、联系电话或电子邮箱等信息的，应当在变更后3日内及时书面通知对方，对方实际收到变更通知前的送达仍为有效送达。</w:t>
      </w:r>
    </w:p>
    <w:p w14:paraId="51BA509C">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22.3本合同一方给另一方的通知均应采用书面形式，传真或快递送到本合同中规定的对方的地址和办理签收手续。</w:t>
      </w:r>
    </w:p>
    <w:p w14:paraId="76C921D4">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22.4通知以送达之日或通知书中规定的生效之日起生效，两者中以较迟之日为准。</w:t>
      </w:r>
    </w:p>
    <w:p w14:paraId="3C40C844">
      <w:pPr>
        <w:numPr>
          <w:ilvl w:val="0"/>
          <w:numId w:val="10"/>
        </w:numPr>
        <w:spacing w:line="400" w:lineRule="exact"/>
        <w:ind w:firstLine="482"/>
        <w:rPr>
          <w:rFonts w:ascii="Times New Roman" w:hAnsi="Times New Roman"/>
          <w:b/>
          <w:bCs/>
          <w:color w:val="auto"/>
          <w:sz w:val="24"/>
          <w:szCs w:val="24"/>
          <w:highlight w:val="none"/>
        </w:rPr>
      </w:pPr>
      <w:r>
        <w:rPr>
          <w:rFonts w:ascii="Times New Roman" w:hAnsi="Times New Roman"/>
          <w:b/>
          <w:bCs/>
          <w:color w:val="auto"/>
          <w:sz w:val="24"/>
          <w:szCs w:val="24"/>
          <w:highlight w:val="none"/>
        </w:rPr>
        <w:t>合同未尽事项</w:t>
      </w:r>
    </w:p>
    <w:p w14:paraId="4A3EF09A">
      <w:pPr>
        <w:spacing w:line="400" w:lineRule="exact"/>
        <w:ind w:firstLine="480"/>
        <w:rPr>
          <w:rFonts w:ascii="Times New Roman" w:hAnsi="Times New Roman"/>
          <w:bCs/>
          <w:color w:val="auto"/>
          <w:sz w:val="24"/>
          <w:szCs w:val="24"/>
          <w:highlight w:val="none"/>
        </w:rPr>
      </w:pPr>
      <w:r>
        <w:rPr>
          <w:rFonts w:ascii="Times New Roman" w:hAnsi="Times New Roman"/>
          <w:bCs/>
          <w:color w:val="auto"/>
          <w:sz w:val="24"/>
          <w:szCs w:val="24"/>
          <w:highlight w:val="none"/>
        </w:rPr>
        <w:t>23.1合同未尽事项见</w:t>
      </w:r>
      <w:r>
        <w:rPr>
          <w:rFonts w:ascii="Times New Roman" w:hAnsi="Times New Roman"/>
          <w:b/>
          <w:color w:val="auto"/>
          <w:sz w:val="24"/>
          <w:szCs w:val="24"/>
          <w:highlight w:val="none"/>
        </w:rPr>
        <w:t>【政府采购合同专用条款】</w:t>
      </w:r>
      <w:r>
        <w:rPr>
          <w:rFonts w:ascii="Times New Roman" w:hAnsi="Times New Roman"/>
          <w:bCs/>
          <w:color w:val="auto"/>
          <w:sz w:val="24"/>
          <w:szCs w:val="24"/>
          <w:highlight w:val="none"/>
        </w:rPr>
        <w:t>。</w:t>
      </w:r>
    </w:p>
    <w:p w14:paraId="40645D7C">
      <w:pPr>
        <w:spacing w:line="400" w:lineRule="exact"/>
        <w:ind w:firstLine="480"/>
        <w:rPr>
          <w:rFonts w:ascii="Times New Roman" w:hAnsi="Times New Roman"/>
          <w:bCs/>
          <w:color w:val="auto"/>
          <w:sz w:val="24"/>
          <w:szCs w:val="24"/>
          <w:highlight w:val="none"/>
        </w:rPr>
      </w:pPr>
      <w:r>
        <w:rPr>
          <w:rFonts w:ascii="Times New Roman" w:hAnsi="Times New Roman"/>
          <w:bCs/>
          <w:color w:val="auto"/>
          <w:sz w:val="24"/>
          <w:szCs w:val="24"/>
          <w:highlight w:val="none"/>
        </w:rPr>
        <w:t>23.2 合同附件与合同正文具有同等的法律效力。</w:t>
      </w:r>
    </w:p>
    <w:p w14:paraId="7A6F6968">
      <w:pPr>
        <w:spacing w:line="400" w:lineRule="exact"/>
        <w:rPr>
          <w:rFonts w:ascii="黑体" w:hAnsi="华文中宋" w:eastAsia="黑体"/>
          <w:color w:val="auto"/>
          <w:sz w:val="24"/>
          <w:szCs w:val="24"/>
          <w:highlight w:val="none"/>
        </w:rPr>
      </w:pPr>
    </w:p>
    <w:p w14:paraId="56D4DCE0">
      <w:pPr>
        <w:pStyle w:val="67"/>
        <w:jc w:val="center"/>
        <w:rPr>
          <w:rFonts w:ascii="黑体" w:hAnsi="华文中宋"/>
          <w:b w:val="0"/>
          <w:color w:val="auto"/>
          <w:szCs w:val="32"/>
          <w:highlight w:val="none"/>
        </w:rPr>
      </w:pPr>
      <w:r>
        <w:rPr>
          <w:rFonts w:hint="eastAsia" w:ascii="黑体" w:hAnsi="华文中宋"/>
          <w:b w:val="0"/>
          <w:color w:val="auto"/>
          <w:szCs w:val="32"/>
          <w:highlight w:val="none"/>
        </w:rPr>
        <w:t>第三节 政府采购合同专用条款</w:t>
      </w:r>
    </w:p>
    <w:tbl>
      <w:tblPr>
        <w:tblStyle w:val="32"/>
        <w:tblW w:w="9361"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1607"/>
        <w:gridCol w:w="1742"/>
        <w:gridCol w:w="6012"/>
      </w:tblGrid>
      <w:tr w14:paraId="30A15EE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42F08769">
            <w:pPr>
              <w:jc w:val="center"/>
              <w:rPr>
                <w:rFonts w:ascii="宋体" w:hAnsi="宋体"/>
                <w:color w:val="auto"/>
                <w:szCs w:val="21"/>
                <w:highlight w:val="none"/>
              </w:rPr>
            </w:pPr>
            <w:r>
              <w:rPr>
                <w:rFonts w:hint="eastAsia" w:ascii="宋体" w:hAnsi="宋体"/>
                <w:color w:val="auto"/>
                <w:szCs w:val="21"/>
                <w:highlight w:val="none"/>
              </w:rPr>
              <w:t>第二节</w:t>
            </w:r>
          </w:p>
          <w:p w14:paraId="2C849782">
            <w:pPr>
              <w:jc w:val="center"/>
              <w:rPr>
                <w:rFonts w:ascii="宋体" w:hAnsi="宋体"/>
                <w:color w:val="auto"/>
                <w:szCs w:val="21"/>
                <w:highlight w:val="none"/>
              </w:rPr>
            </w:pPr>
            <w:r>
              <w:rPr>
                <w:rFonts w:hint="eastAsia" w:ascii="宋体" w:hAnsi="宋体"/>
                <w:color w:val="auto"/>
                <w:szCs w:val="21"/>
                <w:highlight w:val="none"/>
              </w:rPr>
              <w:t>第1.2（6）项</w:t>
            </w:r>
          </w:p>
        </w:tc>
        <w:tc>
          <w:tcPr>
            <w:tcW w:w="1742" w:type="dxa"/>
            <w:noWrap w:val="0"/>
            <w:vAlign w:val="center"/>
          </w:tcPr>
          <w:p w14:paraId="03F9F6C6">
            <w:pPr>
              <w:jc w:val="left"/>
              <w:rPr>
                <w:rFonts w:ascii="宋体" w:hAnsi="宋体"/>
                <w:color w:val="auto"/>
                <w:szCs w:val="21"/>
                <w:highlight w:val="none"/>
              </w:rPr>
            </w:pPr>
            <w:r>
              <w:rPr>
                <w:rFonts w:hint="eastAsia" w:ascii="宋体" w:hAnsi="宋体"/>
                <w:color w:val="auto"/>
                <w:szCs w:val="21"/>
                <w:highlight w:val="none"/>
              </w:rPr>
              <w:t>联合体具体要求</w:t>
            </w:r>
          </w:p>
        </w:tc>
        <w:tc>
          <w:tcPr>
            <w:tcW w:w="6012" w:type="dxa"/>
            <w:noWrap w:val="0"/>
            <w:vAlign w:val="center"/>
          </w:tcPr>
          <w:p w14:paraId="4A3ADC2A">
            <w:pPr>
              <w:jc w:val="left"/>
              <w:rPr>
                <w:rFonts w:ascii="宋体" w:hAnsi="宋体"/>
                <w:color w:val="auto"/>
                <w:szCs w:val="21"/>
                <w:highlight w:val="none"/>
              </w:rPr>
            </w:pPr>
            <w:r>
              <w:rPr>
                <w:rFonts w:hint="eastAsia" w:ascii="宋体" w:hAnsi="宋体"/>
                <w:color w:val="auto"/>
                <w:highlight w:val="none"/>
              </w:rPr>
              <w:t>见招标文件</w:t>
            </w:r>
          </w:p>
        </w:tc>
      </w:tr>
      <w:tr w14:paraId="275465A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04" w:hRule="atLeast"/>
        </w:trPr>
        <w:tc>
          <w:tcPr>
            <w:tcW w:w="1607" w:type="dxa"/>
            <w:noWrap w:val="0"/>
            <w:vAlign w:val="center"/>
          </w:tcPr>
          <w:p w14:paraId="2CB45AFC">
            <w:pPr>
              <w:jc w:val="center"/>
              <w:rPr>
                <w:rFonts w:ascii="宋体" w:hAnsi="宋体"/>
                <w:color w:val="auto"/>
                <w:szCs w:val="21"/>
                <w:highlight w:val="none"/>
              </w:rPr>
            </w:pPr>
            <w:r>
              <w:rPr>
                <w:rFonts w:hint="eastAsia" w:ascii="宋体" w:hAnsi="宋体"/>
                <w:color w:val="auto"/>
                <w:szCs w:val="21"/>
                <w:highlight w:val="none"/>
              </w:rPr>
              <w:t>第二节</w:t>
            </w:r>
          </w:p>
          <w:p w14:paraId="642F0D7A">
            <w:pPr>
              <w:jc w:val="center"/>
              <w:rPr>
                <w:rFonts w:ascii="宋体" w:hAnsi="宋体"/>
                <w:color w:val="auto"/>
                <w:szCs w:val="21"/>
                <w:highlight w:val="none"/>
              </w:rPr>
            </w:pPr>
            <w:r>
              <w:rPr>
                <w:rFonts w:hint="eastAsia" w:ascii="宋体" w:hAnsi="宋体"/>
                <w:color w:val="auto"/>
                <w:szCs w:val="21"/>
                <w:highlight w:val="none"/>
              </w:rPr>
              <w:t>第1.2（7）项</w:t>
            </w:r>
          </w:p>
        </w:tc>
        <w:tc>
          <w:tcPr>
            <w:tcW w:w="1742" w:type="dxa"/>
            <w:noWrap w:val="0"/>
            <w:vAlign w:val="center"/>
          </w:tcPr>
          <w:p w14:paraId="1F4AECE8">
            <w:pPr>
              <w:jc w:val="left"/>
              <w:rPr>
                <w:rFonts w:ascii="宋体" w:hAnsi="宋体"/>
                <w:color w:val="auto"/>
                <w:szCs w:val="21"/>
                <w:highlight w:val="none"/>
              </w:rPr>
            </w:pPr>
            <w:r>
              <w:rPr>
                <w:rFonts w:hint="eastAsia" w:ascii="宋体" w:hAnsi="宋体"/>
                <w:color w:val="auto"/>
                <w:szCs w:val="21"/>
                <w:highlight w:val="none"/>
              </w:rPr>
              <w:t>其他术语解释</w:t>
            </w:r>
          </w:p>
        </w:tc>
        <w:tc>
          <w:tcPr>
            <w:tcW w:w="6012" w:type="dxa"/>
            <w:noWrap w:val="0"/>
            <w:vAlign w:val="center"/>
          </w:tcPr>
          <w:p w14:paraId="50F60606">
            <w:pPr>
              <w:jc w:val="left"/>
              <w:rPr>
                <w:rFonts w:ascii="宋体" w:hAnsi="宋体"/>
                <w:color w:val="auto"/>
                <w:szCs w:val="21"/>
                <w:highlight w:val="none"/>
              </w:rPr>
            </w:pPr>
            <w:r>
              <w:rPr>
                <w:rFonts w:hint="eastAsia" w:ascii="宋体" w:hAnsi="宋体"/>
                <w:color w:val="auto"/>
                <w:highlight w:val="none"/>
              </w:rPr>
              <w:t>无</w:t>
            </w:r>
          </w:p>
        </w:tc>
      </w:tr>
      <w:tr w14:paraId="0EA3F9B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63205CCF">
            <w:pPr>
              <w:jc w:val="center"/>
              <w:rPr>
                <w:rFonts w:ascii="宋体" w:hAnsi="宋体"/>
                <w:color w:val="auto"/>
                <w:szCs w:val="21"/>
                <w:highlight w:val="none"/>
              </w:rPr>
            </w:pPr>
            <w:r>
              <w:rPr>
                <w:rFonts w:hint="eastAsia" w:ascii="宋体" w:hAnsi="宋体"/>
                <w:color w:val="auto"/>
                <w:szCs w:val="21"/>
                <w:highlight w:val="none"/>
              </w:rPr>
              <w:t>第二节</w:t>
            </w:r>
          </w:p>
          <w:p w14:paraId="38E63248">
            <w:pPr>
              <w:jc w:val="center"/>
              <w:rPr>
                <w:rFonts w:ascii="宋体" w:hAnsi="宋体"/>
                <w:color w:val="auto"/>
                <w:szCs w:val="21"/>
                <w:highlight w:val="none"/>
              </w:rPr>
            </w:pPr>
            <w:r>
              <w:rPr>
                <w:rFonts w:hint="eastAsia" w:ascii="宋体" w:hAnsi="宋体"/>
                <w:color w:val="auto"/>
                <w:szCs w:val="21"/>
                <w:highlight w:val="none"/>
              </w:rPr>
              <w:t>第4.4款</w:t>
            </w:r>
          </w:p>
        </w:tc>
        <w:tc>
          <w:tcPr>
            <w:tcW w:w="1742" w:type="dxa"/>
            <w:noWrap w:val="0"/>
            <w:vAlign w:val="center"/>
          </w:tcPr>
          <w:p w14:paraId="403F7D37">
            <w:pPr>
              <w:jc w:val="left"/>
              <w:rPr>
                <w:rFonts w:ascii="宋体" w:hAnsi="宋体"/>
                <w:color w:val="auto"/>
                <w:szCs w:val="21"/>
                <w:highlight w:val="none"/>
              </w:rPr>
            </w:pPr>
            <w:r>
              <w:rPr>
                <w:rFonts w:hint="eastAsia" w:ascii="宋体" w:hAnsi="宋体"/>
                <w:color w:val="auto"/>
                <w:szCs w:val="21"/>
                <w:highlight w:val="none"/>
              </w:rPr>
              <w:t>履约验收中甲方提出异议或作出说明的期限</w:t>
            </w:r>
          </w:p>
        </w:tc>
        <w:tc>
          <w:tcPr>
            <w:tcW w:w="6012" w:type="dxa"/>
            <w:noWrap w:val="0"/>
            <w:vAlign w:val="center"/>
          </w:tcPr>
          <w:p w14:paraId="07646CB1">
            <w:pPr>
              <w:jc w:val="left"/>
              <w:rPr>
                <w:rFonts w:ascii="宋体" w:hAnsi="宋体"/>
                <w:color w:val="auto"/>
                <w:szCs w:val="21"/>
                <w:highlight w:val="none"/>
              </w:rPr>
            </w:pPr>
            <w:r>
              <w:rPr>
                <w:rFonts w:hint="eastAsia" w:ascii="宋体" w:hAnsi="宋体"/>
                <w:color w:val="auto"/>
                <w:highlight w:val="none"/>
              </w:rPr>
              <w:t>收到验收申请后5个工作日</w:t>
            </w:r>
          </w:p>
        </w:tc>
      </w:tr>
      <w:tr w14:paraId="6E2775C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5F9E02AC">
            <w:pPr>
              <w:jc w:val="center"/>
              <w:rPr>
                <w:rFonts w:ascii="宋体" w:hAnsi="宋体"/>
                <w:color w:val="auto"/>
                <w:szCs w:val="21"/>
                <w:highlight w:val="none"/>
              </w:rPr>
            </w:pPr>
            <w:r>
              <w:rPr>
                <w:rFonts w:hint="eastAsia" w:ascii="宋体" w:hAnsi="宋体"/>
                <w:color w:val="auto"/>
                <w:szCs w:val="21"/>
                <w:highlight w:val="none"/>
              </w:rPr>
              <w:t>第二节</w:t>
            </w:r>
          </w:p>
          <w:p w14:paraId="379FE01E">
            <w:pPr>
              <w:jc w:val="center"/>
              <w:rPr>
                <w:rFonts w:ascii="宋体" w:hAnsi="宋体"/>
                <w:color w:val="auto"/>
                <w:szCs w:val="21"/>
                <w:highlight w:val="none"/>
              </w:rPr>
            </w:pPr>
            <w:r>
              <w:rPr>
                <w:rFonts w:hint="eastAsia" w:ascii="宋体" w:hAnsi="宋体"/>
                <w:color w:val="auto"/>
                <w:szCs w:val="21"/>
                <w:highlight w:val="none"/>
              </w:rPr>
              <w:t>第4.6款</w:t>
            </w:r>
          </w:p>
        </w:tc>
        <w:tc>
          <w:tcPr>
            <w:tcW w:w="1742" w:type="dxa"/>
            <w:noWrap w:val="0"/>
            <w:vAlign w:val="center"/>
          </w:tcPr>
          <w:p w14:paraId="41F6A720">
            <w:pPr>
              <w:jc w:val="left"/>
              <w:rPr>
                <w:rFonts w:ascii="宋体" w:hAnsi="宋体"/>
                <w:color w:val="auto"/>
                <w:szCs w:val="21"/>
                <w:highlight w:val="none"/>
              </w:rPr>
            </w:pPr>
            <w:r>
              <w:rPr>
                <w:rFonts w:hint="eastAsia" w:ascii="宋体" w:hAnsi="宋体"/>
                <w:color w:val="auto"/>
                <w:szCs w:val="21"/>
                <w:highlight w:val="none"/>
              </w:rPr>
              <w:t>约定甲方承担的其他义务和责任</w:t>
            </w:r>
          </w:p>
        </w:tc>
        <w:tc>
          <w:tcPr>
            <w:tcW w:w="6012" w:type="dxa"/>
            <w:noWrap w:val="0"/>
            <w:vAlign w:val="center"/>
          </w:tcPr>
          <w:p w14:paraId="70BAE7E0">
            <w:pPr>
              <w:jc w:val="left"/>
              <w:rPr>
                <w:rFonts w:ascii="宋体" w:hAnsi="宋体"/>
                <w:color w:val="auto"/>
                <w:szCs w:val="21"/>
                <w:highlight w:val="none"/>
              </w:rPr>
            </w:pPr>
            <w:r>
              <w:rPr>
                <w:rFonts w:hint="eastAsia" w:ascii="宋体" w:hAnsi="宋体"/>
                <w:color w:val="auto"/>
                <w:highlight w:val="none"/>
              </w:rPr>
              <w:t>甲方无正当理由拒收货物的，甲方向乙方偿付拒收货款总值0.5% 的违约金</w:t>
            </w:r>
          </w:p>
        </w:tc>
      </w:tr>
      <w:tr w14:paraId="68CCB00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5802AFC4">
            <w:pPr>
              <w:jc w:val="center"/>
              <w:rPr>
                <w:rFonts w:ascii="宋体" w:hAnsi="宋体"/>
                <w:color w:val="auto"/>
                <w:szCs w:val="21"/>
                <w:highlight w:val="none"/>
              </w:rPr>
            </w:pPr>
            <w:r>
              <w:rPr>
                <w:rFonts w:hint="eastAsia" w:ascii="宋体" w:hAnsi="宋体"/>
                <w:color w:val="auto"/>
                <w:szCs w:val="21"/>
                <w:highlight w:val="none"/>
              </w:rPr>
              <w:t>第二节</w:t>
            </w:r>
          </w:p>
          <w:p w14:paraId="6D1DC97A">
            <w:pPr>
              <w:jc w:val="center"/>
              <w:rPr>
                <w:color w:val="auto"/>
                <w:highlight w:val="none"/>
              </w:rPr>
            </w:pPr>
            <w:r>
              <w:rPr>
                <w:rFonts w:hint="eastAsia" w:ascii="宋体" w:hAnsi="宋体"/>
                <w:color w:val="auto"/>
                <w:szCs w:val="21"/>
                <w:highlight w:val="none"/>
              </w:rPr>
              <w:t>第5.4款</w:t>
            </w:r>
          </w:p>
        </w:tc>
        <w:tc>
          <w:tcPr>
            <w:tcW w:w="1742" w:type="dxa"/>
            <w:noWrap w:val="0"/>
            <w:vAlign w:val="center"/>
          </w:tcPr>
          <w:p w14:paraId="6598A1C9">
            <w:pPr>
              <w:jc w:val="left"/>
              <w:rPr>
                <w:rFonts w:ascii="宋体" w:hAnsi="宋体"/>
                <w:color w:val="auto"/>
                <w:szCs w:val="21"/>
                <w:highlight w:val="none"/>
              </w:rPr>
            </w:pPr>
            <w:r>
              <w:rPr>
                <w:rFonts w:hint="eastAsia" w:ascii="宋体" w:hAnsi="宋体"/>
                <w:color w:val="auto"/>
                <w:szCs w:val="21"/>
                <w:highlight w:val="none"/>
              </w:rPr>
              <w:t>约定乙方承担的其他义务和责任</w:t>
            </w:r>
          </w:p>
        </w:tc>
        <w:tc>
          <w:tcPr>
            <w:tcW w:w="6012" w:type="dxa"/>
            <w:noWrap w:val="0"/>
            <w:vAlign w:val="center"/>
          </w:tcPr>
          <w:p w14:paraId="113CB4D6">
            <w:pPr>
              <w:jc w:val="left"/>
              <w:rPr>
                <w:rFonts w:ascii="宋体" w:hAnsi="宋体"/>
                <w:color w:val="auto"/>
                <w:highlight w:val="none"/>
              </w:rPr>
            </w:pPr>
            <w:r>
              <w:rPr>
                <w:rFonts w:hint="eastAsia" w:ascii="宋体" w:hAnsi="宋体"/>
                <w:color w:val="auto"/>
                <w:highlight w:val="none"/>
              </w:rPr>
              <w:t>乙方保证所交付的货物（包含与货物相关的服务）的所有权完全属于乙方且无任何抵押、查封等产权瑕疵；</w:t>
            </w:r>
          </w:p>
          <w:p w14:paraId="2F72DB5E">
            <w:pPr>
              <w:jc w:val="left"/>
              <w:rPr>
                <w:rFonts w:ascii="宋体" w:hAnsi="宋体"/>
                <w:color w:val="auto"/>
                <w:highlight w:val="none"/>
              </w:rPr>
            </w:pPr>
            <w:r>
              <w:rPr>
                <w:rFonts w:hint="eastAsia" w:ascii="宋体" w:hAnsi="宋体"/>
                <w:color w:val="auto"/>
                <w:highlight w:val="none"/>
              </w:rPr>
              <w:t>乙方所供货物质量不符合规定的，由其负责包换或包修，并承担修理、调换或退货而支付的实际费用；</w:t>
            </w:r>
          </w:p>
          <w:p w14:paraId="2BE03D26">
            <w:pPr>
              <w:jc w:val="left"/>
              <w:rPr>
                <w:rFonts w:ascii="宋体" w:hAnsi="宋体"/>
                <w:color w:val="auto"/>
                <w:szCs w:val="21"/>
                <w:highlight w:val="none"/>
              </w:rPr>
            </w:pPr>
            <w:r>
              <w:rPr>
                <w:rFonts w:hint="eastAsia" w:ascii="宋体" w:hAnsi="宋体"/>
                <w:color w:val="auto"/>
                <w:highlight w:val="none"/>
              </w:rPr>
              <w:t>非因甲方原因，乙方不履行本合同规定的义务，致使工期延误，甲方有权要求其强制履行或解除合同，并要求乙方等额赔偿由此造成的一切损失。</w:t>
            </w:r>
          </w:p>
        </w:tc>
      </w:tr>
      <w:tr w14:paraId="6E319AC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5D916112">
            <w:pPr>
              <w:jc w:val="center"/>
              <w:rPr>
                <w:rFonts w:ascii="宋体" w:hAnsi="宋体"/>
                <w:color w:val="auto"/>
                <w:szCs w:val="21"/>
                <w:highlight w:val="none"/>
              </w:rPr>
            </w:pPr>
            <w:r>
              <w:rPr>
                <w:rFonts w:hint="eastAsia" w:ascii="宋体" w:hAnsi="宋体"/>
                <w:color w:val="auto"/>
                <w:szCs w:val="21"/>
                <w:highlight w:val="none"/>
              </w:rPr>
              <w:t>第二节</w:t>
            </w:r>
          </w:p>
          <w:p w14:paraId="11274A0C">
            <w:pPr>
              <w:jc w:val="center"/>
              <w:rPr>
                <w:rFonts w:ascii="宋体" w:hAnsi="宋体"/>
                <w:color w:val="auto"/>
                <w:szCs w:val="21"/>
                <w:highlight w:val="none"/>
              </w:rPr>
            </w:pPr>
            <w:r>
              <w:rPr>
                <w:rFonts w:hint="eastAsia" w:ascii="宋体" w:hAnsi="宋体"/>
                <w:color w:val="auto"/>
                <w:szCs w:val="21"/>
                <w:highlight w:val="none"/>
              </w:rPr>
              <w:t>第6.1款</w:t>
            </w:r>
          </w:p>
        </w:tc>
        <w:tc>
          <w:tcPr>
            <w:tcW w:w="1742" w:type="dxa"/>
            <w:noWrap w:val="0"/>
            <w:vAlign w:val="center"/>
          </w:tcPr>
          <w:p w14:paraId="5EABDD9D">
            <w:pPr>
              <w:jc w:val="left"/>
              <w:rPr>
                <w:rFonts w:ascii="宋体" w:hAnsi="宋体"/>
                <w:color w:val="auto"/>
                <w:szCs w:val="21"/>
                <w:highlight w:val="none"/>
              </w:rPr>
            </w:pPr>
            <w:r>
              <w:rPr>
                <w:rFonts w:hint="eastAsia" w:ascii="宋体" w:hAnsi="宋体"/>
                <w:color w:val="auto"/>
                <w:szCs w:val="21"/>
                <w:highlight w:val="none"/>
              </w:rPr>
              <w:t>履行合同义务的顺序</w:t>
            </w:r>
          </w:p>
        </w:tc>
        <w:tc>
          <w:tcPr>
            <w:tcW w:w="6012" w:type="dxa"/>
            <w:noWrap w:val="0"/>
            <w:vAlign w:val="center"/>
          </w:tcPr>
          <w:p w14:paraId="20855755">
            <w:pPr>
              <w:jc w:val="left"/>
              <w:rPr>
                <w:rFonts w:ascii="宋体" w:hAnsi="宋体"/>
                <w:color w:val="auto"/>
                <w:szCs w:val="21"/>
                <w:highlight w:val="none"/>
              </w:rPr>
            </w:pPr>
            <w:r>
              <w:rPr>
                <w:rFonts w:hint="eastAsia" w:ascii="宋体" w:hAnsi="宋体"/>
                <w:color w:val="auto"/>
                <w:highlight w:val="none"/>
              </w:rPr>
              <w:t>合同协议书、招标文件、投标文件、合同专用条款、合同通用条款、补充协议</w:t>
            </w:r>
          </w:p>
        </w:tc>
      </w:tr>
      <w:tr w14:paraId="42028A2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607" w:type="dxa"/>
            <w:vMerge w:val="restart"/>
            <w:noWrap w:val="0"/>
            <w:vAlign w:val="center"/>
          </w:tcPr>
          <w:p w14:paraId="5BF6F07B">
            <w:pPr>
              <w:jc w:val="center"/>
              <w:rPr>
                <w:rFonts w:ascii="宋体" w:hAnsi="宋体"/>
                <w:color w:val="auto"/>
                <w:szCs w:val="21"/>
                <w:highlight w:val="none"/>
              </w:rPr>
            </w:pPr>
            <w:r>
              <w:rPr>
                <w:rFonts w:hint="eastAsia" w:ascii="宋体" w:hAnsi="宋体"/>
                <w:color w:val="auto"/>
                <w:szCs w:val="21"/>
                <w:highlight w:val="none"/>
              </w:rPr>
              <w:t>第二节</w:t>
            </w:r>
          </w:p>
          <w:p w14:paraId="5BC568DD">
            <w:pPr>
              <w:jc w:val="center"/>
              <w:rPr>
                <w:rFonts w:ascii="宋体" w:hAnsi="宋体"/>
                <w:color w:val="auto"/>
                <w:szCs w:val="21"/>
                <w:highlight w:val="none"/>
              </w:rPr>
            </w:pPr>
            <w:r>
              <w:rPr>
                <w:rFonts w:hint="eastAsia" w:ascii="宋体" w:hAnsi="宋体"/>
                <w:color w:val="auto"/>
                <w:szCs w:val="21"/>
                <w:highlight w:val="none"/>
              </w:rPr>
              <w:t>第7.1款</w:t>
            </w:r>
          </w:p>
        </w:tc>
        <w:tc>
          <w:tcPr>
            <w:tcW w:w="1742" w:type="dxa"/>
            <w:noWrap w:val="0"/>
            <w:vAlign w:val="center"/>
          </w:tcPr>
          <w:p w14:paraId="1760B2AC">
            <w:pPr>
              <w:jc w:val="left"/>
              <w:rPr>
                <w:rFonts w:ascii="宋体" w:hAnsi="宋体"/>
                <w:color w:val="auto"/>
                <w:szCs w:val="21"/>
                <w:highlight w:val="none"/>
              </w:rPr>
            </w:pPr>
            <w:r>
              <w:rPr>
                <w:rFonts w:hint="eastAsia" w:ascii="宋体" w:hAnsi="宋体"/>
                <w:color w:val="auto"/>
                <w:szCs w:val="21"/>
                <w:highlight w:val="none"/>
              </w:rPr>
              <w:t>包装特殊要求</w:t>
            </w:r>
          </w:p>
        </w:tc>
        <w:tc>
          <w:tcPr>
            <w:tcW w:w="6012" w:type="dxa"/>
            <w:noWrap w:val="0"/>
            <w:vAlign w:val="center"/>
          </w:tcPr>
          <w:p w14:paraId="72C794CA">
            <w:pPr>
              <w:jc w:val="left"/>
              <w:rPr>
                <w:rFonts w:ascii="宋体" w:hAnsi="宋体"/>
                <w:color w:val="auto"/>
                <w:highlight w:val="none"/>
              </w:rPr>
            </w:pPr>
            <w:r>
              <w:rPr>
                <w:rFonts w:hint="eastAsia" w:ascii="宋体" w:hAnsi="宋体"/>
                <w:color w:val="auto"/>
                <w:highlight w:val="none"/>
              </w:rPr>
              <w:t>1、乙方应在货物发运前对其进行满足运输距离、防潮、防震、防锈和防破损装卸等要求包装，以保证货物安全运达甲方指定地点。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乙方应当提供符合需求标准的产品及相关快递服务的包装。</w:t>
            </w:r>
          </w:p>
          <w:p w14:paraId="590220EE">
            <w:pPr>
              <w:jc w:val="left"/>
              <w:rPr>
                <w:color w:val="auto"/>
                <w:highlight w:val="none"/>
              </w:rPr>
            </w:pPr>
            <w:r>
              <w:rPr>
                <w:rFonts w:hint="eastAsia" w:ascii="宋体" w:hAnsi="宋体"/>
                <w:color w:val="auto"/>
                <w:highlight w:val="none"/>
              </w:rPr>
              <w:t>2、使用说明书、质量检验证明书、随配附件和工具以及清单一并附于货物内。</w:t>
            </w:r>
          </w:p>
        </w:tc>
      </w:tr>
      <w:tr w14:paraId="451624F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607" w:type="dxa"/>
            <w:vMerge w:val="continue"/>
            <w:noWrap w:val="0"/>
            <w:vAlign w:val="center"/>
          </w:tcPr>
          <w:p w14:paraId="7642F209">
            <w:pPr>
              <w:jc w:val="center"/>
              <w:rPr>
                <w:rFonts w:ascii="宋体" w:hAnsi="宋体"/>
                <w:color w:val="auto"/>
                <w:szCs w:val="21"/>
                <w:highlight w:val="none"/>
              </w:rPr>
            </w:pPr>
          </w:p>
        </w:tc>
        <w:tc>
          <w:tcPr>
            <w:tcW w:w="1742" w:type="dxa"/>
            <w:noWrap w:val="0"/>
            <w:vAlign w:val="center"/>
          </w:tcPr>
          <w:p w14:paraId="5F4E5B42">
            <w:pPr>
              <w:jc w:val="left"/>
              <w:rPr>
                <w:rFonts w:ascii="宋体" w:hAnsi="宋体"/>
                <w:color w:val="auto"/>
                <w:szCs w:val="21"/>
                <w:highlight w:val="none"/>
              </w:rPr>
            </w:pPr>
            <w:r>
              <w:rPr>
                <w:rFonts w:hint="eastAsia" w:ascii="宋体" w:hAnsi="宋体"/>
                <w:color w:val="auto"/>
                <w:szCs w:val="21"/>
                <w:highlight w:val="none"/>
              </w:rPr>
              <w:t>指定现场</w:t>
            </w:r>
          </w:p>
        </w:tc>
        <w:tc>
          <w:tcPr>
            <w:tcW w:w="6012" w:type="dxa"/>
            <w:noWrap w:val="0"/>
            <w:vAlign w:val="center"/>
          </w:tcPr>
          <w:p w14:paraId="526A595A">
            <w:pPr>
              <w:jc w:val="left"/>
              <w:rPr>
                <w:color w:val="auto"/>
                <w:highlight w:val="none"/>
              </w:rPr>
            </w:pPr>
            <w:r>
              <w:rPr>
                <w:rFonts w:hint="eastAsia" w:ascii="宋体" w:hAnsi="宋体" w:cs="宋体"/>
                <w:color w:val="auto"/>
                <w:sz w:val="24"/>
                <w:szCs w:val="24"/>
                <w:highlight w:val="none"/>
              </w:rPr>
              <w:t>根据采购人要求。</w:t>
            </w:r>
          </w:p>
        </w:tc>
      </w:tr>
      <w:tr w14:paraId="4BB3587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2" w:hRule="atLeast"/>
        </w:trPr>
        <w:tc>
          <w:tcPr>
            <w:tcW w:w="1607" w:type="dxa"/>
            <w:noWrap w:val="0"/>
            <w:vAlign w:val="center"/>
          </w:tcPr>
          <w:p w14:paraId="3BC3751C">
            <w:pPr>
              <w:jc w:val="center"/>
              <w:rPr>
                <w:rFonts w:ascii="宋体" w:hAnsi="宋体"/>
                <w:color w:val="auto"/>
                <w:szCs w:val="21"/>
                <w:highlight w:val="none"/>
              </w:rPr>
            </w:pPr>
            <w:r>
              <w:rPr>
                <w:rFonts w:hint="eastAsia" w:ascii="宋体" w:hAnsi="宋体"/>
                <w:color w:val="auto"/>
                <w:szCs w:val="21"/>
                <w:highlight w:val="none"/>
              </w:rPr>
              <w:t>第二节</w:t>
            </w:r>
          </w:p>
          <w:p w14:paraId="324D3FA4">
            <w:pPr>
              <w:jc w:val="center"/>
              <w:rPr>
                <w:rFonts w:ascii="宋体" w:hAnsi="宋体"/>
                <w:color w:val="auto"/>
                <w:szCs w:val="21"/>
                <w:highlight w:val="none"/>
              </w:rPr>
            </w:pPr>
            <w:r>
              <w:rPr>
                <w:rFonts w:hint="eastAsia" w:ascii="宋体" w:hAnsi="宋体"/>
                <w:color w:val="auto"/>
                <w:szCs w:val="21"/>
                <w:highlight w:val="none"/>
              </w:rPr>
              <w:t>第7.2款</w:t>
            </w:r>
          </w:p>
        </w:tc>
        <w:tc>
          <w:tcPr>
            <w:tcW w:w="1742" w:type="dxa"/>
            <w:noWrap w:val="0"/>
            <w:vAlign w:val="center"/>
          </w:tcPr>
          <w:p w14:paraId="629EDF65">
            <w:pPr>
              <w:jc w:val="left"/>
              <w:rPr>
                <w:rFonts w:ascii="宋体" w:hAnsi="宋体"/>
                <w:color w:val="auto"/>
                <w:szCs w:val="21"/>
                <w:highlight w:val="none"/>
              </w:rPr>
            </w:pPr>
            <w:r>
              <w:rPr>
                <w:rFonts w:hint="eastAsia" w:ascii="宋体" w:hAnsi="宋体"/>
                <w:color w:val="auto"/>
                <w:szCs w:val="21"/>
                <w:highlight w:val="none"/>
              </w:rPr>
              <w:t>运输特殊要求</w:t>
            </w:r>
          </w:p>
        </w:tc>
        <w:tc>
          <w:tcPr>
            <w:tcW w:w="6012" w:type="dxa"/>
            <w:noWrap w:val="0"/>
            <w:vAlign w:val="center"/>
          </w:tcPr>
          <w:p w14:paraId="71C04609">
            <w:pPr>
              <w:jc w:val="left"/>
              <w:rPr>
                <w:color w:val="auto"/>
                <w:highlight w:val="none"/>
              </w:rPr>
            </w:pPr>
            <w:r>
              <w:rPr>
                <w:rFonts w:hint="eastAsia" w:ascii="宋体" w:hAnsi="宋体"/>
                <w:color w:val="auto"/>
                <w:highlight w:val="none"/>
              </w:rPr>
              <w:t>无</w:t>
            </w:r>
          </w:p>
        </w:tc>
      </w:tr>
      <w:tr w14:paraId="3152CB5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5" w:hRule="atLeast"/>
        </w:trPr>
        <w:tc>
          <w:tcPr>
            <w:tcW w:w="1607" w:type="dxa"/>
            <w:noWrap w:val="0"/>
            <w:vAlign w:val="center"/>
          </w:tcPr>
          <w:p w14:paraId="79061E0A">
            <w:pPr>
              <w:jc w:val="center"/>
              <w:rPr>
                <w:rFonts w:ascii="宋体" w:hAnsi="宋体"/>
                <w:color w:val="auto"/>
                <w:szCs w:val="21"/>
                <w:highlight w:val="none"/>
              </w:rPr>
            </w:pPr>
            <w:r>
              <w:rPr>
                <w:rFonts w:hint="eastAsia" w:ascii="宋体" w:hAnsi="宋体"/>
                <w:color w:val="auto"/>
                <w:szCs w:val="21"/>
                <w:highlight w:val="none"/>
              </w:rPr>
              <w:t>第二节</w:t>
            </w:r>
          </w:p>
          <w:p w14:paraId="6E740D75">
            <w:pPr>
              <w:jc w:val="center"/>
              <w:rPr>
                <w:rFonts w:ascii="宋体" w:hAnsi="宋体"/>
                <w:color w:val="auto"/>
                <w:szCs w:val="21"/>
                <w:highlight w:val="none"/>
              </w:rPr>
            </w:pPr>
            <w:r>
              <w:rPr>
                <w:rFonts w:hint="eastAsia" w:ascii="宋体" w:hAnsi="宋体"/>
                <w:color w:val="auto"/>
                <w:szCs w:val="21"/>
                <w:highlight w:val="none"/>
              </w:rPr>
              <w:t>第7.3款</w:t>
            </w:r>
          </w:p>
        </w:tc>
        <w:tc>
          <w:tcPr>
            <w:tcW w:w="1742" w:type="dxa"/>
            <w:noWrap w:val="0"/>
            <w:vAlign w:val="center"/>
          </w:tcPr>
          <w:p w14:paraId="3C02E474">
            <w:pPr>
              <w:jc w:val="left"/>
              <w:rPr>
                <w:rFonts w:ascii="宋体" w:hAnsi="宋体"/>
                <w:color w:val="auto"/>
                <w:szCs w:val="21"/>
                <w:highlight w:val="none"/>
              </w:rPr>
            </w:pPr>
            <w:r>
              <w:rPr>
                <w:rFonts w:hint="eastAsia" w:ascii="宋体" w:hAnsi="宋体"/>
                <w:color w:val="auto"/>
                <w:szCs w:val="21"/>
                <w:highlight w:val="none"/>
              </w:rPr>
              <w:t>保险要求</w:t>
            </w:r>
          </w:p>
        </w:tc>
        <w:tc>
          <w:tcPr>
            <w:tcW w:w="6012" w:type="dxa"/>
            <w:noWrap w:val="0"/>
            <w:vAlign w:val="center"/>
          </w:tcPr>
          <w:p w14:paraId="7193A98C">
            <w:pPr>
              <w:jc w:val="left"/>
              <w:rPr>
                <w:color w:val="auto"/>
                <w:highlight w:val="none"/>
              </w:rPr>
            </w:pPr>
            <w:r>
              <w:rPr>
                <w:rFonts w:hint="eastAsia" w:ascii="宋体" w:hAnsi="宋体"/>
                <w:color w:val="auto"/>
                <w:highlight w:val="none"/>
              </w:rPr>
              <w:t>货物在交付甲方前发生的风险均由乙方负责</w:t>
            </w:r>
          </w:p>
        </w:tc>
      </w:tr>
      <w:tr w14:paraId="1A5EB3E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258" w:hRule="atLeast"/>
        </w:trPr>
        <w:tc>
          <w:tcPr>
            <w:tcW w:w="1607" w:type="dxa"/>
            <w:noWrap w:val="0"/>
            <w:vAlign w:val="center"/>
          </w:tcPr>
          <w:p w14:paraId="53E4E8EE">
            <w:pPr>
              <w:jc w:val="center"/>
              <w:rPr>
                <w:rFonts w:ascii="宋体" w:hAnsi="宋体"/>
                <w:color w:val="auto"/>
                <w:szCs w:val="21"/>
                <w:highlight w:val="none"/>
              </w:rPr>
            </w:pPr>
            <w:r>
              <w:rPr>
                <w:rFonts w:hint="eastAsia" w:ascii="宋体" w:hAnsi="宋体"/>
                <w:color w:val="auto"/>
                <w:szCs w:val="21"/>
                <w:highlight w:val="none"/>
              </w:rPr>
              <w:t>第二节</w:t>
            </w:r>
          </w:p>
          <w:p w14:paraId="3C8A9EB4">
            <w:pPr>
              <w:jc w:val="center"/>
              <w:rPr>
                <w:rFonts w:ascii="宋体" w:hAnsi="宋体"/>
                <w:color w:val="auto"/>
                <w:szCs w:val="21"/>
                <w:highlight w:val="none"/>
              </w:rPr>
            </w:pPr>
            <w:r>
              <w:rPr>
                <w:rFonts w:hint="eastAsia" w:ascii="宋体" w:hAnsi="宋体"/>
                <w:color w:val="auto"/>
                <w:szCs w:val="21"/>
                <w:highlight w:val="none"/>
              </w:rPr>
              <w:t>第8.2（1）项</w:t>
            </w:r>
          </w:p>
        </w:tc>
        <w:tc>
          <w:tcPr>
            <w:tcW w:w="1742" w:type="dxa"/>
            <w:noWrap w:val="0"/>
            <w:vAlign w:val="center"/>
          </w:tcPr>
          <w:p w14:paraId="3801549C">
            <w:pPr>
              <w:jc w:val="left"/>
              <w:rPr>
                <w:rFonts w:ascii="宋体" w:hAnsi="宋体"/>
                <w:color w:val="auto"/>
                <w:szCs w:val="21"/>
                <w:highlight w:val="none"/>
              </w:rPr>
            </w:pPr>
            <w:r>
              <w:rPr>
                <w:rFonts w:hint="eastAsia" w:ascii="宋体" w:hAnsi="宋体"/>
                <w:color w:val="auto"/>
                <w:szCs w:val="21"/>
                <w:highlight w:val="none"/>
              </w:rPr>
              <w:t>质量保证期</w:t>
            </w:r>
          </w:p>
        </w:tc>
        <w:tc>
          <w:tcPr>
            <w:tcW w:w="6012" w:type="dxa"/>
            <w:noWrap w:val="0"/>
            <w:vAlign w:val="center"/>
          </w:tcPr>
          <w:p w14:paraId="79FD1A9B">
            <w:pPr>
              <w:jc w:val="left"/>
              <w:rPr>
                <w:rFonts w:ascii="宋体" w:hAnsi="宋体"/>
                <w:color w:val="auto"/>
                <w:szCs w:val="21"/>
                <w:highlight w:val="none"/>
              </w:rPr>
            </w:pPr>
            <w:r>
              <w:rPr>
                <w:rFonts w:hint="eastAsia" w:ascii="宋体" w:hAnsi="宋体"/>
                <w:color w:val="auto"/>
                <w:szCs w:val="21"/>
                <w:highlight w:val="none"/>
              </w:rPr>
              <w:t>3年。一年内发现设备缺陷等质量问题，乙方负责无条件维修或调换；乙方货物经过双方检验认可后，签署验收报告，按国家及相关部门的 “三包”要求（特别要求的按特别要求执行），免费维护期自货物最终交付验收合格之日起计算(设备厂家维护期大于一年的，以设备厂家维护期为准，货物清单及技术规范中设备质保期有特殊要求的应不低于特殊要求）。</w:t>
            </w:r>
          </w:p>
        </w:tc>
      </w:tr>
      <w:tr w14:paraId="3BBDDDE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066A8043">
            <w:pPr>
              <w:jc w:val="center"/>
              <w:rPr>
                <w:rFonts w:ascii="宋体" w:hAnsi="宋体"/>
                <w:color w:val="auto"/>
                <w:szCs w:val="21"/>
                <w:highlight w:val="none"/>
              </w:rPr>
            </w:pPr>
            <w:r>
              <w:rPr>
                <w:rFonts w:hint="eastAsia" w:ascii="宋体" w:hAnsi="宋体"/>
                <w:color w:val="auto"/>
                <w:szCs w:val="21"/>
                <w:highlight w:val="none"/>
              </w:rPr>
              <w:t>第二节</w:t>
            </w:r>
          </w:p>
          <w:p w14:paraId="37F4319D">
            <w:pPr>
              <w:jc w:val="center"/>
              <w:rPr>
                <w:rFonts w:ascii="宋体" w:hAnsi="宋体"/>
                <w:color w:val="auto"/>
                <w:szCs w:val="21"/>
                <w:highlight w:val="none"/>
              </w:rPr>
            </w:pPr>
            <w:r>
              <w:rPr>
                <w:rFonts w:hint="eastAsia" w:ascii="宋体" w:hAnsi="宋体"/>
                <w:color w:val="auto"/>
                <w:szCs w:val="21"/>
                <w:highlight w:val="none"/>
              </w:rPr>
              <w:t>第8.2（3）项</w:t>
            </w:r>
          </w:p>
        </w:tc>
        <w:tc>
          <w:tcPr>
            <w:tcW w:w="1742" w:type="dxa"/>
            <w:noWrap w:val="0"/>
            <w:vAlign w:val="center"/>
          </w:tcPr>
          <w:p w14:paraId="5CDD4CF9">
            <w:pPr>
              <w:jc w:val="left"/>
              <w:rPr>
                <w:rFonts w:ascii="宋体" w:hAnsi="宋体"/>
                <w:color w:val="auto"/>
                <w:szCs w:val="21"/>
                <w:highlight w:val="none"/>
              </w:rPr>
            </w:pPr>
            <w:r>
              <w:rPr>
                <w:rFonts w:hint="eastAsia" w:ascii="宋体" w:hAnsi="宋体"/>
                <w:color w:val="auto"/>
                <w:szCs w:val="21"/>
                <w:highlight w:val="none"/>
              </w:rPr>
              <w:t>货物质量缺陷</w:t>
            </w:r>
          </w:p>
          <w:p w14:paraId="274DCFED">
            <w:pPr>
              <w:jc w:val="left"/>
              <w:rPr>
                <w:rFonts w:ascii="宋体" w:hAnsi="宋体"/>
                <w:color w:val="auto"/>
                <w:szCs w:val="21"/>
                <w:highlight w:val="none"/>
              </w:rPr>
            </w:pPr>
            <w:r>
              <w:rPr>
                <w:rFonts w:hint="eastAsia" w:ascii="宋体" w:hAnsi="宋体"/>
                <w:color w:val="auto"/>
                <w:szCs w:val="21"/>
                <w:highlight w:val="none"/>
              </w:rPr>
              <w:t>响应时间</w:t>
            </w:r>
          </w:p>
        </w:tc>
        <w:tc>
          <w:tcPr>
            <w:tcW w:w="6012" w:type="dxa"/>
            <w:noWrap w:val="0"/>
            <w:vAlign w:val="center"/>
          </w:tcPr>
          <w:p w14:paraId="57E0AC7D">
            <w:pPr>
              <w:ind w:firstLine="420"/>
              <w:jc w:val="left"/>
              <w:rPr>
                <w:rFonts w:ascii="宋体" w:hAnsi="宋体"/>
                <w:color w:val="auto"/>
                <w:highlight w:val="none"/>
              </w:rPr>
            </w:pPr>
            <w:r>
              <w:rPr>
                <w:rFonts w:ascii="宋体" w:hAnsi="宋体"/>
                <w:color w:val="auto"/>
                <w:highlight w:val="none"/>
              </w:rPr>
              <w:t>售后服务期内</w:t>
            </w:r>
            <w:r>
              <w:rPr>
                <w:rFonts w:hint="eastAsia" w:ascii="宋体" w:hAnsi="宋体"/>
                <w:color w:val="auto"/>
                <w:highlight w:val="none"/>
              </w:rPr>
              <w:t>，应在接到故障通知2小时内作出有效响应，如需现场解决，到达现场时间不超过8小时，特殊情况下不超过24小时内到达现场免费予以排除故障、修复或更换零部件。确保甲方能正常开展工作，设备在设计</w:t>
            </w:r>
            <w:r>
              <w:rPr>
                <w:rFonts w:hint="eastAsia" w:ascii="宋体" w:hAnsi="宋体"/>
                <w:color w:val="auto"/>
                <w:highlight w:val="none"/>
                <w:lang w:eastAsia="zh-CN"/>
              </w:rPr>
              <w:t>使用</w:t>
            </w:r>
            <w:r>
              <w:rPr>
                <w:rFonts w:hint="eastAsia" w:ascii="宋体" w:hAnsi="宋体"/>
                <w:color w:val="auto"/>
                <w:highlight w:val="none"/>
              </w:rPr>
              <w:t>周期内，保证更换到原厂配件。如3个工作日内不能修复必须提供备用机使用，确保甲方能正常开展工作。</w:t>
            </w:r>
          </w:p>
          <w:p w14:paraId="60AC93F3">
            <w:pPr>
              <w:ind w:firstLine="420"/>
              <w:jc w:val="left"/>
              <w:rPr>
                <w:rFonts w:ascii="宋体" w:hAnsi="宋体"/>
                <w:color w:val="auto"/>
                <w:highlight w:val="none"/>
              </w:rPr>
            </w:pPr>
            <w:r>
              <w:rPr>
                <w:rFonts w:ascii="宋体" w:hAnsi="宋体"/>
                <w:color w:val="auto"/>
                <w:highlight w:val="none"/>
              </w:rPr>
              <w:t>在售后服务期内，乙方应对货物出现的质量及安全问题负责处理解决并承担一切费用。</w:t>
            </w:r>
          </w:p>
          <w:p w14:paraId="3E857B35">
            <w:pPr>
              <w:jc w:val="left"/>
              <w:rPr>
                <w:rFonts w:ascii="宋体" w:hAnsi="宋体"/>
                <w:color w:val="auto"/>
                <w:szCs w:val="21"/>
                <w:highlight w:val="none"/>
              </w:rPr>
            </w:pPr>
            <w:r>
              <w:rPr>
                <w:rFonts w:hint="eastAsia" w:ascii="宋体" w:hAnsi="宋体"/>
                <w:b/>
                <w:bCs/>
                <w:color w:val="auto"/>
                <w:highlight w:val="none"/>
              </w:rPr>
              <w:t>备注：签订合同时根据乙方投标文件响应内容调整。</w:t>
            </w:r>
          </w:p>
        </w:tc>
      </w:tr>
      <w:tr w14:paraId="140F0BE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50934718">
            <w:pPr>
              <w:jc w:val="center"/>
              <w:rPr>
                <w:rFonts w:ascii="宋体" w:hAnsi="宋体" w:cs="宋体"/>
                <w:color w:val="auto"/>
                <w:szCs w:val="21"/>
                <w:highlight w:val="none"/>
              </w:rPr>
            </w:pPr>
            <w:r>
              <w:rPr>
                <w:rFonts w:hint="eastAsia" w:ascii="宋体" w:hAnsi="宋体" w:cs="宋体"/>
                <w:color w:val="auto"/>
                <w:szCs w:val="21"/>
                <w:highlight w:val="none"/>
              </w:rPr>
              <w:t>第二节</w:t>
            </w:r>
          </w:p>
          <w:p w14:paraId="3AAFB870">
            <w:pPr>
              <w:pStyle w:val="506"/>
              <w:ind w:firstLine="0"/>
              <w:jc w:val="center"/>
              <w:rPr>
                <w:color w:val="auto"/>
                <w:highlight w:val="none"/>
              </w:rPr>
            </w:pPr>
            <w:r>
              <w:rPr>
                <w:rFonts w:hint="eastAsia" w:ascii="宋体" w:hAnsi="宋体" w:eastAsia="宋体" w:cs="宋体"/>
                <w:color w:val="auto"/>
                <w:highlight w:val="none"/>
              </w:rPr>
              <w:t>第11.1款</w:t>
            </w:r>
          </w:p>
        </w:tc>
        <w:tc>
          <w:tcPr>
            <w:tcW w:w="1742" w:type="dxa"/>
            <w:noWrap w:val="0"/>
            <w:vAlign w:val="center"/>
          </w:tcPr>
          <w:p w14:paraId="7CCBB007">
            <w:pPr>
              <w:rPr>
                <w:rFonts w:ascii="宋体" w:hAnsi="宋体"/>
                <w:color w:val="auto"/>
                <w:szCs w:val="21"/>
                <w:highlight w:val="none"/>
              </w:rPr>
            </w:pPr>
            <w:r>
              <w:rPr>
                <w:rFonts w:hint="eastAsia" w:ascii="宋体" w:hAnsi="宋体"/>
                <w:color w:val="auto"/>
                <w:szCs w:val="21"/>
                <w:highlight w:val="none"/>
              </w:rPr>
              <w:t>其他应当保密的信息</w:t>
            </w:r>
          </w:p>
        </w:tc>
        <w:tc>
          <w:tcPr>
            <w:tcW w:w="6012" w:type="dxa"/>
            <w:noWrap w:val="0"/>
            <w:vAlign w:val="center"/>
          </w:tcPr>
          <w:p w14:paraId="1C637464">
            <w:pPr>
              <w:jc w:val="left"/>
              <w:rPr>
                <w:rFonts w:ascii="宋体" w:hAnsi="宋体"/>
                <w:color w:val="auto"/>
                <w:szCs w:val="21"/>
                <w:highlight w:val="none"/>
              </w:rPr>
            </w:pPr>
            <w:r>
              <w:rPr>
                <w:rFonts w:hint="eastAsia" w:ascii="宋体" w:hAnsi="宋体"/>
                <w:color w:val="auto"/>
                <w:highlight w:val="none"/>
              </w:rPr>
              <w:t>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tc>
      </w:tr>
      <w:tr w14:paraId="76A0FB8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607" w:type="dxa"/>
            <w:noWrap w:val="0"/>
            <w:vAlign w:val="center"/>
          </w:tcPr>
          <w:p w14:paraId="104D633F">
            <w:pPr>
              <w:jc w:val="center"/>
              <w:rPr>
                <w:rFonts w:ascii="宋体" w:hAnsi="宋体"/>
                <w:color w:val="auto"/>
                <w:szCs w:val="21"/>
                <w:highlight w:val="none"/>
              </w:rPr>
            </w:pPr>
            <w:r>
              <w:rPr>
                <w:rFonts w:hint="eastAsia" w:ascii="宋体" w:hAnsi="宋体"/>
                <w:color w:val="auto"/>
                <w:szCs w:val="21"/>
                <w:highlight w:val="none"/>
              </w:rPr>
              <w:t>第二节</w:t>
            </w:r>
          </w:p>
          <w:p w14:paraId="0B06E695">
            <w:pPr>
              <w:jc w:val="center"/>
              <w:rPr>
                <w:rFonts w:ascii="宋体" w:hAnsi="宋体"/>
                <w:color w:val="auto"/>
                <w:szCs w:val="21"/>
                <w:highlight w:val="none"/>
              </w:rPr>
            </w:pPr>
            <w:r>
              <w:rPr>
                <w:rFonts w:hint="eastAsia" w:ascii="宋体" w:hAnsi="宋体"/>
                <w:color w:val="auto"/>
                <w:szCs w:val="21"/>
                <w:highlight w:val="none"/>
              </w:rPr>
              <w:t>第12.2款</w:t>
            </w:r>
          </w:p>
        </w:tc>
        <w:tc>
          <w:tcPr>
            <w:tcW w:w="1742" w:type="dxa"/>
            <w:noWrap w:val="0"/>
            <w:vAlign w:val="center"/>
          </w:tcPr>
          <w:p w14:paraId="10AF5E71">
            <w:pPr>
              <w:jc w:val="left"/>
              <w:rPr>
                <w:rFonts w:ascii="宋体" w:hAnsi="宋体"/>
                <w:color w:val="auto"/>
                <w:szCs w:val="21"/>
                <w:highlight w:val="none"/>
              </w:rPr>
            </w:pPr>
            <w:r>
              <w:rPr>
                <w:rFonts w:hint="eastAsia" w:ascii="宋体" w:hAnsi="宋体"/>
                <w:color w:val="auto"/>
                <w:szCs w:val="21"/>
                <w:highlight w:val="none"/>
              </w:rPr>
              <w:t>合同价款支付时间</w:t>
            </w:r>
          </w:p>
        </w:tc>
        <w:tc>
          <w:tcPr>
            <w:tcW w:w="6012" w:type="dxa"/>
            <w:noWrap w:val="0"/>
            <w:vAlign w:val="center"/>
          </w:tcPr>
          <w:p w14:paraId="4394DF59">
            <w:pPr>
              <w:jc w:val="left"/>
              <w:rPr>
                <w:rFonts w:ascii="宋体" w:hAnsi="宋体"/>
                <w:color w:val="auto"/>
                <w:szCs w:val="21"/>
                <w:highlight w:val="none"/>
              </w:rPr>
            </w:pPr>
            <w:r>
              <w:rPr>
                <w:rFonts w:hint="eastAsia" w:ascii="宋体" w:hAnsi="宋体"/>
                <w:color w:val="auto"/>
                <w:szCs w:val="21"/>
                <w:highlight w:val="none"/>
              </w:rPr>
              <w:t xml:space="preserve">预付款：签订合同后，自收到供应商发票后10个工作日内采购人支付合同总价款的30%； </w:t>
            </w:r>
          </w:p>
          <w:p w14:paraId="2E43045B">
            <w:pPr>
              <w:jc w:val="left"/>
              <w:rPr>
                <w:rFonts w:ascii="宋体" w:hAnsi="宋体"/>
                <w:color w:val="auto"/>
                <w:szCs w:val="21"/>
                <w:highlight w:val="none"/>
              </w:rPr>
            </w:pPr>
            <w:r>
              <w:rPr>
                <w:rFonts w:hint="eastAsia" w:ascii="宋体" w:hAnsi="宋体"/>
                <w:color w:val="auto"/>
                <w:szCs w:val="21"/>
                <w:highlight w:val="none"/>
              </w:rPr>
              <w:t>进度款：全部设备安装调试完毕经验收合格且收到供应商发票后10个工作日内付至合同价款的100%。</w:t>
            </w:r>
          </w:p>
          <w:p w14:paraId="28848209">
            <w:pPr>
              <w:jc w:val="left"/>
              <w:rPr>
                <w:rFonts w:ascii="宋体" w:hAnsi="宋体"/>
                <w:color w:val="auto"/>
                <w:szCs w:val="21"/>
                <w:highlight w:val="none"/>
              </w:rPr>
            </w:pPr>
            <w:r>
              <w:rPr>
                <w:rFonts w:hint="eastAsia" w:ascii="宋体" w:hAnsi="宋体"/>
                <w:color w:val="auto"/>
                <w:szCs w:val="21"/>
                <w:highlight w:val="none"/>
              </w:rPr>
              <w:t>备注:</w:t>
            </w:r>
          </w:p>
          <w:p w14:paraId="53D48AA3">
            <w:pPr>
              <w:jc w:val="left"/>
              <w:rPr>
                <w:rFonts w:ascii="宋体" w:hAnsi="宋体"/>
                <w:color w:val="auto"/>
                <w:szCs w:val="21"/>
                <w:highlight w:val="none"/>
              </w:rPr>
            </w:pPr>
            <w:r>
              <w:rPr>
                <w:rFonts w:hint="eastAsia" w:ascii="宋体" w:hAnsi="宋体"/>
                <w:color w:val="auto"/>
                <w:szCs w:val="21"/>
                <w:highlight w:val="none"/>
              </w:rPr>
              <w:t>(1)可以采用数字人民币支付。</w:t>
            </w:r>
          </w:p>
          <w:p w14:paraId="4834843D">
            <w:pPr>
              <w:jc w:val="left"/>
              <w:rPr>
                <w:rFonts w:ascii="宋体" w:hAnsi="宋体"/>
                <w:color w:val="auto"/>
                <w:szCs w:val="21"/>
                <w:highlight w:val="none"/>
              </w:rPr>
            </w:pPr>
            <w:r>
              <w:rPr>
                <w:rFonts w:hint="eastAsia" w:ascii="宋体" w:hAnsi="宋体"/>
                <w:color w:val="auto"/>
                <w:szCs w:val="21"/>
                <w:highlight w:val="none"/>
              </w:rPr>
              <w:t>(2)资金支付的时间:收到</w:t>
            </w:r>
            <w:r>
              <w:rPr>
                <w:rFonts w:hint="eastAsia" w:ascii="宋体" w:hAnsi="宋体"/>
                <w:color w:val="auto"/>
                <w:highlight w:val="none"/>
              </w:rPr>
              <w:t>乙方</w:t>
            </w:r>
            <w:r>
              <w:rPr>
                <w:rFonts w:hint="eastAsia" w:ascii="宋体" w:hAnsi="宋体"/>
                <w:color w:val="auto"/>
                <w:szCs w:val="21"/>
                <w:highlight w:val="none"/>
              </w:rPr>
              <w:t>发票后10个工作日内。</w:t>
            </w:r>
          </w:p>
          <w:p w14:paraId="7F27D177">
            <w:pPr>
              <w:jc w:val="left"/>
              <w:rPr>
                <w:rFonts w:ascii="宋体" w:hAnsi="宋体"/>
                <w:color w:val="auto"/>
                <w:szCs w:val="21"/>
                <w:highlight w:val="none"/>
              </w:rPr>
            </w:pPr>
            <w:r>
              <w:rPr>
                <w:rFonts w:hint="eastAsia" w:ascii="宋体" w:hAnsi="宋体"/>
                <w:color w:val="auto"/>
                <w:szCs w:val="21"/>
                <w:highlight w:val="none"/>
              </w:rPr>
              <w:t>(3)资金支付的条件:满足相应阶段的要求且收到</w:t>
            </w:r>
            <w:r>
              <w:rPr>
                <w:rFonts w:hint="eastAsia" w:ascii="宋体" w:hAnsi="宋体"/>
                <w:color w:val="auto"/>
                <w:highlight w:val="none"/>
              </w:rPr>
              <w:t>乙方</w:t>
            </w:r>
            <w:r>
              <w:rPr>
                <w:rFonts w:hint="eastAsia" w:ascii="宋体" w:hAnsi="宋体"/>
                <w:color w:val="auto"/>
                <w:szCs w:val="21"/>
                <w:highlight w:val="none"/>
              </w:rPr>
              <w:t>发票。</w:t>
            </w:r>
          </w:p>
          <w:p w14:paraId="39BC8EEE">
            <w:pPr>
              <w:jc w:val="left"/>
              <w:rPr>
                <w:rFonts w:ascii="宋体" w:hAnsi="宋体"/>
                <w:color w:val="auto"/>
                <w:szCs w:val="21"/>
                <w:highlight w:val="none"/>
              </w:rPr>
            </w:pPr>
            <w:r>
              <w:rPr>
                <w:rFonts w:hint="eastAsia" w:ascii="宋体" w:hAnsi="宋体"/>
                <w:color w:val="auto"/>
                <w:szCs w:val="21"/>
                <w:highlight w:val="none"/>
              </w:rPr>
              <w:t>(4)在签订合同时，</w:t>
            </w:r>
            <w:r>
              <w:rPr>
                <w:rFonts w:hint="eastAsia" w:ascii="宋体" w:hAnsi="宋体"/>
                <w:color w:val="auto"/>
                <w:highlight w:val="none"/>
              </w:rPr>
              <w:t>乙方</w:t>
            </w:r>
            <w:r>
              <w:rPr>
                <w:rFonts w:hint="eastAsia" w:ascii="宋体" w:hAnsi="宋体"/>
                <w:color w:val="auto"/>
                <w:szCs w:val="21"/>
                <w:highlight w:val="none"/>
              </w:rPr>
              <w:t>明确表示无需预付款或者主动要求降低预付款比例的，甲方可不适用前述规定。</w:t>
            </w:r>
          </w:p>
        </w:tc>
      </w:tr>
      <w:tr w14:paraId="349761B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607" w:type="dxa"/>
            <w:noWrap w:val="0"/>
            <w:vAlign w:val="center"/>
          </w:tcPr>
          <w:p w14:paraId="62791AAF">
            <w:pPr>
              <w:jc w:val="center"/>
              <w:rPr>
                <w:rFonts w:ascii="宋体" w:hAnsi="宋体"/>
                <w:color w:val="auto"/>
                <w:szCs w:val="21"/>
                <w:highlight w:val="none"/>
              </w:rPr>
            </w:pPr>
            <w:r>
              <w:rPr>
                <w:rFonts w:hint="eastAsia" w:ascii="宋体" w:hAnsi="宋体"/>
                <w:color w:val="auto"/>
                <w:szCs w:val="21"/>
                <w:highlight w:val="none"/>
              </w:rPr>
              <w:t>第二节</w:t>
            </w:r>
          </w:p>
          <w:p w14:paraId="4BCDC6C3">
            <w:pPr>
              <w:jc w:val="center"/>
              <w:rPr>
                <w:rFonts w:ascii="宋体" w:hAnsi="宋体"/>
                <w:color w:val="auto"/>
                <w:szCs w:val="21"/>
                <w:highlight w:val="none"/>
              </w:rPr>
            </w:pPr>
            <w:r>
              <w:rPr>
                <w:rFonts w:hint="eastAsia" w:ascii="宋体" w:hAnsi="宋体"/>
                <w:color w:val="auto"/>
                <w:szCs w:val="21"/>
                <w:highlight w:val="none"/>
              </w:rPr>
              <w:t>第13.2款</w:t>
            </w:r>
          </w:p>
        </w:tc>
        <w:tc>
          <w:tcPr>
            <w:tcW w:w="1742" w:type="dxa"/>
            <w:noWrap w:val="0"/>
            <w:vAlign w:val="center"/>
          </w:tcPr>
          <w:p w14:paraId="423AFEBC">
            <w:pPr>
              <w:jc w:val="left"/>
              <w:rPr>
                <w:rFonts w:ascii="宋体" w:hAnsi="宋体"/>
                <w:color w:val="auto"/>
                <w:szCs w:val="21"/>
                <w:highlight w:val="none"/>
              </w:rPr>
            </w:pPr>
            <w:r>
              <w:rPr>
                <w:rFonts w:hint="eastAsia" w:ascii="宋体" w:hAnsi="宋体"/>
                <w:color w:val="auto"/>
                <w:szCs w:val="21"/>
                <w:highlight w:val="none"/>
              </w:rPr>
              <w:t>履约保证金不予退还的情形</w:t>
            </w:r>
          </w:p>
        </w:tc>
        <w:tc>
          <w:tcPr>
            <w:tcW w:w="6012" w:type="dxa"/>
            <w:noWrap w:val="0"/>
            <w:vAlign w:val="center"/>
          </w:tcPr>
          <w:p w14:paraId="78CF5781">
            <w:pPr>
              <w:jc w:val="left"/>
              <w:rPr>
                <w:rFonts w:ascii="宋体" w:hAnsi="宋体"/>
                <w:color w:val="auto"/>
                <w:szCs w:val="21"/>
                <w:highlight w:val="none"/>
              </w:rPr>
            </w:pPr>
            <w:r>
              <w:rPr>
                <w:rFonts w:hint="eastAsia" w:ascii="宋体" w:hAnsi="宋体"/>
                <w:color w:val="auto"/>
                <w:highlight w:val="none"/>
                <w:lang w:val="zh-CN"/>
              </w:rPr>
              <w:t>履约保证金不予退还情形：除不可抗力外，投标人不履行与甲方订立的采购合同的，履约保证金不予退还，给甲方造成的损失超过履约保证金数额的，还应当对超过部分予以赔偿。</w:t>
            </w:r>
          </w:p>
        </w:tc>
      </w:tr>
      <w:tr w14:paraId="4907222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755FF1CE">
            <w:pPr>
              <w:jc w:val="center"/>
              <w:rPr>
                <w:rFonts w:ascii="宋体" w:hAnsi="宋体"/>
                <w:color w:val="auto"/>
                <w:szCs w:val="21"/>
                <w:highlight w:val="none"/>
              </w:rPr>
            </w:pPr>
            <w:r>
              <w:rPr>
                <w:rFonts w:hint="eastAsia" w:ascii="宋体" w:hAnsi="宋体"/>
                <w:color w:val="auto"/>
                <w:szCs w:val="21"/>
                <w:highlight w:val="none"/>
              </w:rPr>
              <w:t>第二节</w:t>
            </w:r>
          </w:p>
          <w:p w14:paraId="0CD626CD">
            <w:pPr>
              <w:jc w:val="center"/>
              <w:rPr>
                <w:rFonts w:ascii="宋体" w:hAnsi="宋体"/>
                <w:color w:val="auto"/>
                <w:szCs w:val="21"/>
                <w:highlight w:val="none"/>
              </w:rPr>
            </w:pPr>
            <w:r>
              <w:rPr>
                <w:rFonts w:hint="eastAsia" w:ascii="宋体" w:hAnsi="宋体"/>
                <w:color w:val="auto"/>
                <w:szCs w:val="21"/>
                <w:highlight w:val="none"/>
              </w:rPr>
              <w:t>第13.3款</w:t>
            </w:r>
          </w:p>
        </w:tc>
        <w:tc>
          <w:tcPr>
            <w:tcW w:w="1742" w:type="dxa"/>
            <w:noWrap w:val="0"/>
            <w:vAlign w:val="center"/>
          </w:tcPr>
          <w:p w14:paraId="32F182BF">
            <w:pPr>
              <w:jc w:val="left"/>
              <w:rPr>
                <w:rFonts w:ascii="宋体" w:hAnsi="宋体"/>
                <w:color w:val="auto"/>
                <w:szCs w:val="21"/>
                <w:highlight w:val="none"/>
              </w:rPr>
            </w:pPr>
            <w:r>
              <w:rPr>
                <w:rFonts w:hint="eastAsia" w:ascii="宋体" w:hAnsi="宋体"/>
                <w:color w:val="auto"/>
                <w:szCs w:val="21"/>
                <w:highlight w:val="none"/>
              </w:rPr>
              <w:t>履约保证金退还时间及逾期退还的违约金</w:t>
            </w:r>
          </w:p>
        </w:tc>
        <w:tc>
          <w:tcPr>
            <w:tcW w:w="6012" w:type="dxa"/>
            <w:noWrap w:val="0"/>
            <w:vAlign w:val="center"/>
          </w:tcPr>
          <w:p w14:paraId="589F25DA">
            <w:pPr>
              <w:jc w:val="left"/>
              <w:rPr>
                <w:rFonts w:ascii="宋体" w:hAnsi="宋体"/>
                <w:color w:val="auto"/>
                <w:highlight w:val="none"/>
                <w:lang w:val="zh-CN"/>
              </w:rPr>
            </w:pPr>
            <w:r>
              <w:rPr>
                <w:rFonts w:hint="eastAsia" w:ascii="宋体" w:hAnsi="宋体"/>
                <w:color w:val="auto"/>
                <w:highlight w:val="none"/>
                <w:lang w:val="zh-CN"/>
              </w:rPr>
              <w:t>货物类项目，项目验收合格，出具验收报告及履约保证金收据申请退付；</w:t>
            </w:r>
          </w:p>
          <w:p w14:paraId="42D73D74">
            <w:pPr>
              <w:jc w:val="left"/>
              <w:rPr>
                <w:rFonts w:ascii="宋体" w:hAnsi="宋体"/>
                <w:color w:val="auto"/>
                <w:highlight w:val="none"/>
                <w:lang w:val="zh-CN"/>
              </w:rPr>
            </w:pPr>
            <w:r>
              <w:rPr>
                <w:rFonts w:hint="eastAsia" w:ascii="宋体" w:hAnsi="宋体"/>
                <w:color w:val="auto"/>
                <w:highlight w:val="none"/>
                <w:lang w:val="zh-CN"/>
              </w:rPr>
              <w:t>履约保证金退还时间：</w:t>
            </w:r>
            <w:r>
              <w:rPr>
                <w:rFonts w:hint="eastAsia" w:ascii="宋体" w:hAnsi="宋体"/>
                <w:color w:val="auto"/>
                <w:highlight w:val="none"/>
              </w:rPr>
              <w:t>甲方</w:t>
            </w:r>
            <w:r>
              <w:rPr>
                <w:rFonts w:hint="eastAsia" w:ascii="宋体" w:hAnsi="宋体"/>
                <w:color w:val="auto"/>
                <w:highlight w:val="none"/>
                <w:lang w:val="zh-CN"/>
              </w:rPr>
              <w:t>收到</w:t>
            </w:r>
            <w:r>
              <w:rPr>
                <w:rFonts w:hint="eastAsia" w:ascii="宋体" w:hAnsi="宋体"/>
                <w:color w:val="auto"/>
                <w:highlight w:val="none"/>
              </w:rPr>
              <w:t>乙方</w:t>
            </w:r>
            <w:r>
              <w:rPr>
                <w:rFonts w:hint="eastAsia" w:ascii="宋体" w:hAnsi="宋体"/>
                <w:color w:val="auto"/>
                <w:highlight w:val="none"/>
                <w:lang w:val="zh-CN"/>
              </w:rPr>
              <w:t>退付申请后5个工作日内退还；</w:t>
            </w:r>
          </w:p>
          <w:p w14:paraId="079C2183">
            <w:pPr>
              <w:jc w:val="left"/>
              <w:rPr>
                <w:rFonts w:ascii="宋体" w:hAnsi="宋体"/>
                <w:color w:val="auto"/>
                <w:szCs w:val="21"/>
                <w:highlight w:val="none"/>
              </w:rPr>
            </w:pPr>
            <w:r>
              <w:rPr>
                <w:rFonts w:hint="eastAsia" w:ascii="宋体" w:hAnsi="宋体"/>
                <w:color w:val="auto"/>
                <w:highlight w:val="none"/>
                <w:lang w:val="zh-CN"/>
              </w:rPr>
              <w:t>逾期退还履约保证金的违约责任：除应当退还履约保证金外，还应当按中国人民银行同期贷款基准利率上浮 20％后的利率支付超期资金占用费，但因</w:t>
            </w:r>
            <w:r>
              <w:rPr>
                <w:rFonts w:hint="eastAsia" w:ascii="宋体" w:hAnsi="宋体"/>
                <w:color w:val="auto"/>
                <w:highlight w:val="none"/>
              </w:rPr>
              <w:t>乙方</w:t>
            </w:r>
            <w:r>
              <w:rPr>
                <w:rFonts w:hint="eastAsia" w:ascii="宋体" w:hAnsi="宋体"/>
                <w:color w:val="auto"/>
                <w:highlight w:val="none"/>
                <w:lang w:val="zh-CN"/>
              </w:rPr>
              <w:t>自身原因导致无法及时退还的除外。</w:t>
            </w:r>
          </w:p>
        </w:tc>
      </w:tr>
      <w:tr w14:paraId="5268AB4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607" w:type="dxa"/>
            <w:noWrap w:val="0"/>
            <w:vAlign w:val="center"/>
          </w:tcPr>
          <w:p w14:paraId="78A73E01">
            <w:pPr>
              <w:jc w:val="center"/>
              <w:rPr>
                <w:rFonts w:ascii="宋体" w:hAnsi="宋体"/>
                <w:color w:val="auto"/>
                <w:szCs w:val="21"/>
                <w:highlight w:val="none"/>
              </w:rPr>
            </w:pPr>
            <w:r>
              <w:rPr>
                <w:rFonts w:hint="eastAsia" w:ascii="宋体" w:hAnsi="宋体"/>
                <w:color w:val="auto"/>
                <w:szCs w:val="21"/>
                <w:highlight w:val="none"/>
              </w:rPr>
              <w:t>第二节</w:t>
            </w:r>
          </w:p>
          <w:p w14:paraId="0657DCF8">
            <w:pPr>
              <w:jc w:val="center"/>
              <w:rPr>
                <w:rFonts w:ascii="宋体" w:hAnsi="宋体"/>
                <w:color w:val="auto"/>
                <w:szCs w:val="21"/>
                <w:highlight w:val="none"/>
              </w:rPr>
            </w:pPr>
            <w:r>
              <w:rPr>
                <w:rFonts w:hint="eastAsia" w:ascii="宋体" w:hAnsi="宋体"/>
                <w:color w:val="auto"/>
                <w:szCs w:val="21"/>
                <w:highlight w:val="none"/>
              </w:rPr>
              <w:t>第14.1（3）项</w:t>
            </w:r>
          </w:p>
        </w:tc>
        <w:tc>
          <w:tcPr>
            <w:tcW w:w="1742" w:type="dxa"/>
            <w:noWrap w:val="0"/>
            <w:vAlign w:val="center"/>
          </w:tcPr>
          <w:p w14:paraId="0BB2A1E0">
            <w:pPr>
              <w:jc w:val="left"/>
              <w:rPr>
                <w:rFonts w:ascii="宋体" w:hAnsi="宋体"/>
                <w:color w:val="auto"/>
                <w:szCs w:val="21"/>
                <w:highlight w:val="none"/>
              </w:rPr>
            </w:pPr>
            <w:r>
              <w:rPr>
                <w:rFonts w:hint="eastAsia" w:ascii="宋体" w:hAnsi="宋体"/>
                <w:color w:val="auto"/>
                <w:szCs w:val="21"/>
                <w:highlight w:val="none"/>
              </w:rPr>
              <w:t>运行监督、维修期限</w:t>
            </w:r>
          </w:p>
        </w:tc>
        <w:tc>
          <w:tcPr>
            <w:tcW w:w="6012" w:type="dxa"/>
            <w:noWrap w:val="0"/>
            <w:vAlign w:val="center"/>
          </w:tcPr>
          <w:p w14:paraId="2CCE0EB7">
            <w:pPr>
              <w:jc w:val="left"/>
              <w:rPr>
                <w:rFonts w:ascii="宋体" w:hAnsi="宋体"/>
                <w:color w:val="auto"/>
                <w:szCs w:val="21"/>
                <w:highlight w:val="none"/>
              </w:rPr>
            </w:pPr>
            <w:r>
              <w:rPr>
                <w:rFonts w:hint="eastAsia" w:ascii="宋体" w:hAnsi="宋体"/>
                <w:color w:val="auto"/>
                <w:highlight w:val="none"/>
              </w:rPr>
              <w:t>货物交付前应试运行，试运行时间包含在项目供货期内，试运行结束后乙方应当提交试运行报告作为验收资料组成，项目运行维护期3年</w:t>
            </w:r>
            <w:r>
              <w:rPr>
                <w:rFonts w:hint="eastAsia"/>
                <w:color w:val="auto"/>
                <w:highlight w:val="none"/>
              </w:rPr>
              <w:t>（自货物最终交付验收合格后起算）</w:t>
            </w:r>
          </w:p>
        </w:tc>
      </w:tr>
      <w:tr w14:paraId="77539EA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607" w:type="dxa"/>
            <w:noWrap w:val="0"/>
            <w:vAlign w:val="center"/>
          </w:tcPr>
          <w:p w14:paraId="7032C9B5">
            <w:pPr>
              <w:jc w:val="center"/>
              <w:rPr>
                <w:rFonts w:ascii="宋体" w:hAnsi="宋体"/>
                <w:color w:val="auto"/>
                <w:szCs w:val="21"/>
                <w:highlight w:val="none"/>
              </w:rPr>
            </w:pPr>
            <w:r>
              <w:rPr>
                <w:rFonts w:hint="eastAsia" w:ascii="宋体" w:hAnsi="宋体"/>
                <w:color w:val="auto"/>
                <w:szCs w:val="21"/>
                <w:highlight w:val="none"/>
              </w:rPr>
              <w:t>第二节</w:t>
            </w:r>
          </w:p>
          <w:p w14:paraId="13E381B5">
            <w:pPr>
              <w:jc w:val="center"/>
              <w:rPr>
                <w:rFonts w:ascii="宋体" w:hAnsi="宋体"/>
                <w:color w:val="auto"/>
                <w:szCs w:val="21"/>
                <w:highlight w:val="none"/>
              </w:rPr>
            </w:pPr>
            <w:r>
              <w:rPr>
                <w:rFonts w:hint="eastAsia" w:ascii="宋体" w:hAnsi="宋体"/>
                <w:color w:val="auto"/>
                <w:szCs w:val="21"/>
                <w:highlight w:val="none"/>
              </w:rPr>
              <w:t>第14.1（5）项</w:t>
            </w:r>
          </w:p>
        </w:tc>
        <w:tc>
          <w:tcPr>
            <w:tcW w:w="1742" w:type="dxa"/>
            <w:noWrap w:val="0"/>
            <w:vAlign w:val="center"/>
          </w:tcPr>
          <w:p w14:paraId="7417D4CB">
            <w:pPr>
              <w:jc w:val="left"/>
              <w:rPr>
                <w:rFonts w:ascii="宋体" w:hAnsi="宋体"/>
                <w:color w:val="auto"/>
                <w:szCs w:val="21"/>
                <w:highlight w:val="none"/>
              </w:rPr>
            </w:pPr>
            <w:r>
              <w:rPr>
                <w:rFonts w:hint="eastAsia" w:ascii="宋体" w:hAnsi="宋体"/>
                <w:color w:val="auto"/>
                <w:szCs w:val="21"/>
                <w:highlight w:val="none"/>
              </w:rPr>
              <w:t>货物回收的约定</w:t>
            </w:r>
          </w:p>
        </w:tc>
        <w:tc>
          <w:tcPr>
            <w:tcW w:w="6012" w:type="dxa"/>
            <w:noWrap w:val="0"/>
            <w:vAlign w:val="center"/>
          </w:tcPr>
          <w:p w14:paraId="2CDDCE79">
            <w:pPr>
              <w:jc w:val="left"/>
              <w:rPr>
                <w:rFonts w:ascii="宋体" w:hAnsi="宋体"/>
                <w:color w:val="auto"/>
                <w:szCs w:val="21"/>
                <w:highlight w:val="none"/>
              </w:rPr>
            </w:pPr>
            <w:r>
              <w:rPr>
                <w:rFonts w:hint="eastAsia" w:ascii="宋体" w:hAnsi="宋体"/>
                <w:color w:val="auto"/>
                <w:highlight w:val="none"/>
              </w:rPr>
              <w:t>无</w:t>
            </w:r>
          </w:p>
        </w:tc>
      </w:tr>
      <w:tr w14:paraId="3C0D327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45030608">
            <w:pPr>
              <w:jc w:val="center"/>
              <w:rPr>
                <w:rFonts w:ascii="宋体" w:hAnsi="宋体"/>
                <w:color w:val="auto"/>
                <w:szCs w:val="21"/>
                <w:highlight w:val="none"/>
              </w:rPr>
            </w:pPr>
            <w:r>
              <w:rPr>
                <w:rFonts w:hint="eastAsia" w:ascii="宋体" w:hAnsi="宋体"/>
                <w:color w:val="auto"/>
                <w:szCs w:val="21"/>
                <w:highlight w:val="none"/>
              </w:rPr>
              <w:t>第二节</w:t>
            </w:r>
          </w:p>
          <w:p w14:paraId="014628AF">
            <w:pPr>
              <w:jc w:val="center"/>
              <w:rPr>
                <w:rFonts w:ascii="宋体" w:hAnsi="宋体"/>
                <w:color w:val="auto"/>
                <w:szCs w:val="21"/>
                <w:highlight w:val="none"/>
              </w:rPr>
            </w:pPr>
            <w:r>
              <w:rPr>
                <w:rFonts w:hint="eastAsia" w:ascii="宋体" w:hAnsi="宋体"/>
                <w:color w:val="auto"/>
                <w:szCs w:val="21"/>
                <w:highlight w:val="none"/>
              </w:rPr>
              <w:t>第14.1（6）项</w:t>
            </w:r>
          </w:p>
        </w:tc>
        <w:tc>
          <w:tcPr>
            <w:tcW w:w="1742" w:type="dxa"/>
            <w:noWrap w:val="0"/>
            <w:vAlign w:val="center"/>
          </w:tcPr>
          <w:p w14:paraId="405FFC25">
            <w:pPr>
              <w:jc w:val="left"/>
              <w:rPr>
                <w:rFonts w:ascii="宋体" w:hAnsi="宋体"/>
                <w:color w:val="auto"/>
                <w:szCs w:val="21"/>
                <w:highlight w:val="none"/>
              </w:rPr>
            </w:pPr>
            <w:r>
              <w:rPr>
                <w:rFonts w:hint="eastAsia" w:ascii="宋体" w:hAnsi="宋体"/>
                <w:color w:val="auto"/>
                <w:szCs w:val="21"/>
                <w:highlight w:val="none"/>
              </w:rPr>
              <w:t>乙方提供的其他服务</w:t>
            </w:r>
          </w:p>
        </w:tc>
        <w:tc>
          <w:tcPr>
            <w:tcW w:w="6012" w:type="dxa"/>
            <w:noWrap w:val="0"/>
            <w:vAlign w:val="center"/>
          </w:tcPr>
          <w:p w14:paraId="7A9517C5">
            <w:pPr>
              <w:jc w:val="left"/>
              <w:rPr>
                <w:rFonts w:ascii="宋体" w:hAnsi="宋体"/>
                <w:color w:val="auto"/>
                <w:szCs w:val="21"/>
                <w:highlight w:val="none"/>
              </w:rPr>
            </w:pPr>
            <w:r>
              <w:rPr>
                <w:rFonts w:hint="eastAsia" w:ascii="宋体" w:hAnsi="宋体"/>
                <w:color w:val="auto"/>
                <w:highlight w:val="none"/>
              </w:rPr>
              <w:t>无</w:t>
            </w:r>
          </w:p>
        </w:tc>
      </w:tr>
      <w:tr w14:paraId="15AC9D6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2AE5AAAB">
            <w:pPr>
              <w:jc w:val="center"/>
              <w:rPr>
                <w:rFonts w:ascii="宋体" w:hAnsi="宋体"/>
                <w:color w:val="auto"/>
                <w:szCs w:val="21"/>
                <w:highlight w:val="none"/>
              </w:rPr>
            </w:pPr>
            <w:r>
              <w:rPr>
                <w:rFonts w:hint="eastAsia" w:ascii="宋体" w:hAnsi="宋体"/>
                <w:color w:val="auto"/>
                <w:szCs w:val="21"/>
                <w:highlight w:val="none"/>
              </w:rPr>
              <w:t>第二节</w:t>
            </w:r>
          </w:p>
          <w:p w14:paraId="7025CEC1">
            <w:pPr>
              <w:jc w:val="center"/>
              <w:rPr>
                <w:rFonts w:ascii="宋体" w:hAnsi="宋体"/>
                <w:color w:val="auto"/>
                <w:szCs w:val="21"/>
                <w:highlight w:val="none"/>
              </w:rPr>
            </w:pPr>
            <w:r>
              <w:rPr>
                <w:rFonts w:hint="eastAsia" w:ascii="宋体" w:hAnsi="宋体"/>
                <w:color w:val="auto"/>
                <w:szCs w:val="21"/>
                <w:highlight w:val="none"/>
              </w:rPr>
              <w:t>第15.1款</w:t>
            </w:r>
          </w:p>
        </w:tc>
        <w:tc>
          <w:tcPr>
            <w:tcW w:w="1742" w:type="dxa"/>
            <w:noWrap w:val="0"/>
            <w:vAlign w:val="center"/>
          </w:tcPr>
          <w:p w14:paraId="4794DFF6">
            <w:pPr>
              <w:jc w:val="left"/>
              <w:rPr>
                <w:rFonts w:ascii="宋体" w:hAnsi="宋体"/>
                <w:color w:val="auto"/>
                <w:szCs w:val="21"/>
                <w:highlight w:val="none"/>
              </w:rPr>
            </w:pPr>
            <w:r>
              <w:rPr>
                <w:rFonts w:hint="eastAsia" w:ascii="宋体" w:hAnsi="宋体"/>
                <w:color w:val="auto"/>
                <w:szCs w:val="21"/>
                <w:highlight w:val="none"/>
              </w:rPr>
              <w:t>修理、重作、更换相关具体规定</w:t>
            </w:r>
          </w:p>
        </w:tc>
        <w:tc>
          <w:tcPr>
            <w:tcW w:w="6012" w:type="dxa"/>
            <w:noWrap w:val="0"/>
            <w:vAlign w:val="center"/>
          </w:tcPr>
          <w:p w14:paraId="0138E438">
            <w:pPr>
              <w:jc w:val="left"/>
              <w:rPr>
                <w:rFonts w:ascii="宋体" w:hAnsi="宋体"/>
                <w:color w:val="auto"/>
                <w:highlight w:val="none"/>
              </w:rPr>
            </w:pPr>
            <w:r>
              <w:rPr>
                <w:rFonts w:hint="eastAsia" w:ascii="宋体" w:hAnsi="宋体"/>
                <w:color w:val="auto"/>
                <w:highlight w:val="none"/>
              </w:rPr>
              <w:t>乙方提供的货物在质量期内因货物本身的质量问题发生故障，乙方应负责免费更换。对达不到技术要求者，根据实际情况，经双方协商，可按以下办法处理：</w:t>
            </w:r>
          </w:p>
          <w:p w14:paraId="0CA20765">
            <w:pPr>
              <w:jc w:val="left"/>
              <w:rPr>
                <w:rFonts w:ascii="宋体" w:hAnsi="宋体"/>
                <w:color w:val="auto"/>
                <w:highlight w:val="none"/>
              </w:rPr>
            </w:pPr>
            <w:r>
              <w:rPr>
                <w:rFonts w:hint="eastAsia" w:ascii="宋体" w:hAnsi="宋体"/>
                <w:color w:val="auto"/>
                <w:highlight w:val="none"/>
              </w:rPr>
              <w:t>⑴更换：由乙方承担所发生的全部费用。</w:t>
            </w:r>
          </w:p>
          <w:p w14:paraId="26772B50">
            <w:pPr>
              <w:jc w:val="left"/>
              <w:rPr>
                <w:rFonts w:ascii="宋体" w:hAnsi="宋体"/>
                <w:color w:val="auto"/>
                <w:highlight w:val="none"/>
              </w:rPr>
            </w:pPr>
            <w:r>
              <w:rPr>
                <w:rFonts w:hint="eastAsia" w:ascii="宋体" w:hAnsi="宋体"/>
                <w:color w:val="auto"/>
                <w:highlight w:val="none"/>
              </w:rPr>
              <w:t>⑵贬值处理：由甲乙双方合议定价。</w:t>
            </w:r>
          </w:p>
          <w:p w14:paraId="000AED00">
            <w:pPr>
              <w:jc w:val="left"/>
              <w:rPr>
                <w:rFonts w:ascii="宋体" w:hAnsi="宋体"/>
                <w:color w:val="auto"/>
                <w:szCs w:val="21"/>
                <w:highlight w:val="none"/>
              </w:rPr>
            </w:pPr>
            <w:r>
              <w:rPr>
                <w:rFonts w:hint="eastAsia" w:ascii="宋体" w:hAnsi="宋体"/>
                <w:color w:val="auto"/>
                <w:highlight w:val="none"/>
              </w:rPr>
              <w:t>⑶退货处理：乙方应退还甲方支付的合同款，同时应承担该货物的直接费用（运输、保险、检验、货款利息及银行手续费等）。</w:t>
            </w:r>
          </w:p>
        </w:tc>
      </w:tr>
      <w:tr w14:paraId="1BE0AF7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0BD2AB7F">
            <w:pPr>
              <w:jc w:val="center"/>
              <w:rPr>
                <w:rFonts w:ascii="宋体" w:hAnsi="宋体"/>
                <w:color w:val="auto"/>
                <w:szCs w:val="21"/>
                <w:highlight w:val="none"/>
              </w:rPr>
            </w:pPr>
            <w:r>
              <w:rPr>
                <w:rFonts w:hint="eastAsia" w:ascii="宋体" w:hAnsi="宋体"/>
                <w:color w:val="auto"/>
                <w:szCs w:val="21"/>
                <w:highlight w:val="none"/>
              </w:rPr>
              <w:t>第二节</w:t>
            </w:r>
          </w:p>
          <w:p w14:paraId="32F41E97">
            <w:pPr>
              <w:jc w:val="center"/>
              <w:rPr>
                <w:rFonts w:ascii="宋体" w:hAnsi="宋体"/>
                <w:color w:val="auto"/>
                <w:szCs w:val="21"/>
                <w:highlight w:val="none"/>
              </w:rPr>
            </w:pPr>
            <w:r>
              <w:rPr>
                <w:rFonts w:hint="eastAsia" w:ascii="宋体" w:hAnsi="宋体"/>
                <w:color w:val="auto"/>
                <w:szCs w:val="21"/>
                <w:highlight w:val="none"/>
              </w:rPr>
              <w:t>第15.2（2）项</w:t>
            </w:r>
          </w:p>
        </w:tc>
        <w:tc>
          <w:tcPr>
            <w:tcW w:w="1742" w:type="dxa"/>
            <w:noWrap w:val="0"/>
            <w:vAlign w:val="center"/>
          </w:tcPr>
          <w:p w14:paraId="6FFB5BAD">
            <w:pPr>
              <w:jc w:val="left"/>
              <w:rPr>
                <w:rFonts w:ascii="宋体" w:hAnsi="宋体"/>
                <w:color w:val="auto"/>
                <w:szCs w:val="21"/>
                <w:highlight w:val="none"/>
              </w:rPr>
            </w:pPr>
            <w:r>
              <w:rPr>
                <w:rFonts w:hint="eastAsia" w:ascii="宋体" w:hAnsi="宋体"/>
                <w:color w:val="auto"/>
                <w:szCs w:val="21"/>
                <w:highlight w:val="none"/>
              </w:rPr>
              <w:t>迟延交货赔偿费</w:t>
            </w:r>
          </w:p>
        </w:tc>
        <w:tc>
          <w:tcPr>
            <w:tcW w:w="6012" w:type="dxa"/>
            <w:noWrap w:val="0"/>
            <w:vAlign w:val="center"/>
          </w:tcPr>
          <w:p w14:paraId="7F3886BA">
            <w:pPr>
              <w:jc w:val="left"/>
              <w:rPr>
                <w:rFonts w:ascii="宋体" w:hAnsi="宋体"/>
                <w:color w:val="auto"/>
                <w:szCs w:val="21"/>
                <w:highlight w:val="none"/>
                <w:u w:val="single"/>
              </w:rPr>
            </w:pPr>
            <w:r>
              <w:rPr>
                <w:rFonts w:hint="eastAsia" w:ascii="宋体" w:hAnsi="宋体"/>
                <w:color w:val="auto"/>
                <w:highlight w:val="none"/>
              </w:rPr>
              <w:t>乙方逾期交付货物的，乙方应按逾期交货总额每日千分之一向甲方支付违约金，由甲方从待付货款中扣除。逾期超过约定日期10个工作日不能交货的，甲方可解除本合同。乙方因逾期交货或因其他违约行为导致甲方解除合同的，乙方应向甲方支付合同总值0.5% 的违约金，如造成甲方损失超过违约金的，超出部分由乙方继续承担赔偿责任。</w:t>
            </w:r>
          </w:p>
        </w:tc>
      </w:tr>
      <w:tr w14:paraId="4E8E6A5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151769A1">
            <w:pPr>
              <w:jc w:val="center"/>
              <w:rPr>
                <w:rFonts w:ascii="宋体" w:hAnsi="宋体"/>
                <w:color w:val="auto"/>
                <w:szCs w:val="21"/>
                <w:highlight w:val="none"/>
              </w:rPr>
            </w:pPr>
            <w:r>
              <w:rPr>
                <w:rFonts w:hint="eastAsia" w:ascii="宋体" w:hAnsi="宋体"/>
                <w:color w:val="auto"/>
                <w:szCs w:val="21"/>
                <w:highlight w:val="none"/>
              </w:rPr>
              <w:t>第二节</w:t>
            </w:r>
          </w:p>
          <w:p w14:paraId="489D7E25">
            <w:pPr>
              <w:jc w:val="center"/>
              <w:rPr>
                <w:rFonts w:ascii="宋体" w:hAnsi="宋体"/>
                <w:color w:val="auto"/>
                <w:szCs w:val="21"/>
                <w:highlight w:val="none"/>
              </w:rPr>
            </w:pPr>
            <w:r>
              <w:rPr>
                <w:rFonts w:hint="eastAsia" w:ascii="宋体" w:hAnsi="宋体"/>
                <w:color w:val="auto"/>
                <w:szCs w:val="21"/>
                <w:highlight w:val="none"/>
              </w:rPr>
              <w:t>第15.3款</w:t>
            </w:r>
          </w:p>
        </w:tc>
        <w:tc>
          <w:tcPr>
            <w:tcW w:w="1742" w:type="dxa"/>
            <w:noWrap w:val="0"/>
            <w:vAlign w:val="center"/>
          </w:tcPr>
          <w:p w14:paraId="18218A7C">
            <w:pPr>
              <w:jc w:val="left"/>
              <w:rPr>
                <w:rFonts w:ascii="宋体" w:hAnsi="宋体"/>
                <w:color w:val="auto"/>
                <w:szCs w:val="21"/>
                <w:highlight w:val="none"/>
              </w:rPr>
            </w:pPr>
            <w:r>
              <w:rPr>
                <w:rFonts w:hint="eastAsia" w:ascii="宋体" w:hAnsi="宋体"/>
                <w:color w:val="auto"/>
                <w:szCs w:val="21"/>
                <w:highlight w:val="none"/>
              </w:rPr>
              <w:t>逾期付款利息</w:t>
            </w:r>
          </w:p>
        </w:tc>
        <w:tc>
          <w:tcPr>
            <w:tcW w:w="6012" w:type="dxa"/>
            <w:noWrap w:val="0"/>
            <w:vAlign w:val="center"/>
          </w:tcPr>
          <w:p w14:paraId="62F53BEF">
            <w:pPr>
              <w:jc w:val="left"/>
              <w:rPr>
                <w:rFonts w:ascii="宋体" w:hAnsi="宋体"/>
                <w:color w:val="auto"/>
                <w:szCs w:val="21"/>
                <w:highlight w:val="none"/>
                <w:u w:val="single"/>
              </w:rPr>
            </w:pPr>
            <w:r>
              <w:rPr>
                <w:rFonts w:hint="eastAsia" w:ascii="宋体" w:hAnsi="宋体"/>
                <w:color w:val="auto"/>
                <w:highlight w:val="none"/>
              </w:rPr>
              <w:t>甲方无故逾期验收和办理货款支付手续的，甲方应按逾期付款总额每日万分之一向乙方支付违约金</w:t>
            </w:r>
          </w:p>
        </w:tc>
      </w:tr>
      <w:tr w14:paraId="57838BC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76" w:hRule="atLeast"/>
        </w:trPr>
        <w:tc>
          <w:tcPr>
            <w:tcW w:w="1607" w:type="dxa"/>
            <w:noWrap w:val="0"/>
            <w:vAlign w:val="center"/>
          </w:tcPr>
          <w:p w14:paraId="7E9C8F85">
            <w:pPr>
              <w:jc w:val="center"/>
              <w:rPr>
                <w:rFonts w:ascii="宋体" w:hAnsi="宋体"/>
                <w:color w:val="auto"/>
                <w:szCs w:val="21"/>
                <w:highlight w:val="none"/>
              </w:rPr>
            </w:pPr>
            <w:r>
              <w:rPr>
                <w:rFonts w:hint="eastAsia" w:ascii="宋体" w:hAnsi="宋体"/>
                <w:color w:val="auto"/>
                <w:szCs w:val="21"/>
                <w:highlight w:val="none"/>
              </w:rPr>
              <w:t>第二节</w:t>
            </w:r>
          </w:p>
          <w:p w14:paraId="0729254C">
            <w:pPr>
              <w:jc w:val="center"/>
              <w:rPr>
                <w:rFonts w:ascii="宋体" w:hAnsi="宋体"/>
                <w:color w:val="auto"/>
                <w:szCs w:val="21"/>
                <w:highlight w:val="none"/>
              </w:rPr>
            </w:pPr>
            <w:r>
              <w:rPr>
                <w:rFonts w:hint="eastAsia" w:ascii="宋体" w:hAnsi="宋体"/>
                <w:color w:val="auto"/>
                <w:szCs w:val="21"/>
                <w:highlight w:val="none"/>
              </w:rPr>
              <w:t>第15.4款</w:t>
            </w:r>
          </w:p>
        </w:tc>
        <w:tc>
          <w:tcPr>
            <w:tcW w:w="1742" w:type="dxa"/>
            <w:noWrap w:val="0"/>
            <w:vAlign w:val="center"/>
          </w:tcPr>
          <w:p w14:paraId="45E22AFB">
            <w:pPr>
              <w:jc w:val="left"/>
              <w:rPr>
                <w:rFonts w:ascii="宋体" w:hAnsi="宋体"/>
                <w:color w:val="auto"/>
                <w:szCs w:val="21"/>
                <w:highlight w:val="none"/>
              </w:rPr>
            </w:pPr>
            <w:r>
              <w:rPr>
                <w:rFonts w:hint="eastAsia" w:ascii="宋体" w:hAnsi="宋体"/>
                <w:color w:val="auto"/>
                <w:szCs w:val="21"/>
                <w:highlight w:val="none"/>
              </w:rPr>
              <w:t>其他违约责任</w:t>
            </w:r>
          </w:p>
        </w:tc>
        <w:tc>
          <w:tcPr>
            <w:tcW w:w="6012" w:type="dxa"/>
            <w:noWrap w:val="0"/>
            <w:vAlign w:val="center"/>
          </w:tcPr>
          <w:p w14:paraId="128EB8EE">
            <w:pPr>
              <w:jc w:val="left"/>
              <w:rPr>
                <w:rFonts w:ascii="宋体" w:hAnsi="宋体"/>
                <w:color w:val="auto"/>
                <w:szCs w:val="21"/>
                <w:highlight w:val="none"/>
                <w:u w:val="single"/>
              </w:rPr>
            </w:pPr>
            <w:r>
              <w:rPr>
                <w:rFonts w:hint="eastAsia" w:ascii="宋体" w:hAnsi="宋体"/>
                <w:color w:val="auto"/>
                <w:highlight w:val="none"/>
              </w:rPr>
              <w:t>乙方所交的货物品种、型号、规格、技术参数、质量不符合合同规定及招标文件规定标准的，甲方有权拒收该货物，乙方愿意更换货物但逾期交货的，按乙方逾期交货处理。乙方拒绝更换货物的，甲方可单方面解除合同。</w:t>
            </w:r>
          </w:p>
        </w:tc>
      </w:tr>
      <w:tr w14:paraId="406B38F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1607" w:type="dxa"/>
            <w:noWrap w:val="0"/>
            <w:vAlign w:val="center"/>
          </w:tcPr>
          <w:p w14:paraId="289AD3E2">
            <w:pPr>
              <w:jc w:val="center"/>
              <w:rPr>
                <w:rFonts w:ascii="宋体" w:hAnsi="宋体"/>
                <w:color w:val="auto"/>
                <w:szCs w:val="21"/>
                <w:highlight w:val="none"/>
              </w:rPr>
            </w:pPr>
            <w:r>
              <w:rPr>
                <w:rFonts w:hint="eastAsia" w:ascii="宋体" w:hAnsi="宋体"/>
                <w:color w:val="auto"/>
                <w:szCs w:val="21"/>
                <w:highlight w:val="none"/>
              </w:rPr>
              <w:t>第二节</w:t>
            </w:r>
          </w:p>
          <w:p w14:paraId="1F9F0101">
            <w:pPr>
              <w:jc w:val="center"/>
              <w:rPr>
                <w:rFonts w:ascii="宋体" w:hAnsi="宋体"/>
                <w:color w:val="auto"/>
                <w:szCs w:val="21"/>
                <w:highlight w:val="none"/>
              </w:rPr>
            </w:pPr>
            <w:r>
              <w:rPr>
                <w:rFonts w:hint="eastAsia" w:ascii="宋体" w:hAnsi="宋体"/>
                <w:color w:val="auto"/>
                <w:szCs w:val="21"/>
                <w:highlight w:val="none"/>
              </w:rPr>
              <w:t>第19.2款</w:t>
            </w:r>
          </w:p>
        </w:tc>
        <w:tc>
          <w:tcPr>
            <w:tcW w:w="1742" w:type="dxa"/>
            <w:noWrap w:val="0"/>
            <w:vAlign w:val="center"/>
          </w:tcPr>
          <w:p w14:paraId="0784CAD1">
            <w:pPr>
              <w:jc w:val="left"/>
              <w:rPr>
                <w:rFonts w:ascii="宋体" w:hAnsi="宋体"/>
                <w:color w:val="auto"/>
                <w:szCs w:val="21"/>
                <w:highlight w:val="none"/>
              </w:rPr>
            </w:pPr>
            <w:r>
              <w:rPr>
                <w:rFonts w:hint="eastAsia" w:ascii="宋体" w:hAnsi="宋体"/>
                <w:color w:val="auto"/>
                <w:szCs w:val="21"/>
                <w:highlight w:val="none"/>
              </w:rPr>
              <w:t>解决争议的方法</w:t>
            </w:r>
          </w:p>
        </w:tc>
        <w:tc>
          <w:tcPr>
            <w:tcW w:w="6012" w:type="dxa"/>
            <w:noWrap w:val="0"/>
            <w:vAlign w:val="center"/>
          </w:tcPr>
          <w:p w14:paraId="4873EF61">
            <w:pPr>
              <w:spacing w:line="400" w:lineRule="exact"/>
              <w:jc w:val="left"/>
              <w:rPr>
                <w:rFonts w:ascii="宋体" w:hAnsi="宋体" w:cs="宋体"/>
                <w:iCs/>
                <w:color w:val="auto"/>
                <w:szCs w:val="21"/>
                <w:highlight w:val="none"/>
              </w:rPr>
            </w:pPr>
            <w:r>
              <w:rPr>
                <w:rFonts w:hint="eastAsia" w:ascii="宋体" w:hAnsi="宋体" w:cs="宋体"/>
                <w:iCs/>
                <w:color w:val="auto"/>
                <w:szCs w:val="21"/>
                <w:highlight w:val="none"/>
              </w:rPr>
              <w:t>因本合同及合同有关事项发生的争议，按下列第</w:t>
            </w:r>
            <w:r>
              <w:rPr>
                <w:rFonts w:hint="eastAsia" w:ascii="宋体" w:hAnsi="宋体" w:cs="宋体"/>
                <w:iCs/>
                <w:color w:val="auto"/>
                <w:szCs w:val="21"/>
                <w:highlight w:val="none"/>
                <w:u w:val="single"/>
              </w:rPr>
              <w:t xml:space="preserve"> （2）  </w:t>
            </w:r>
            <w:r>
              <w:rPr>
                <w:rFonts w:hint="eastAsia" w:ascii="宋体" w:hAnsi="宋体" w:cs="宋体"/>
                <w:iCs/>
                <w:color w:val="auto"/>
                <w:szCs w:val="21"/>
                <w:highlight w:val="none"/>
              </w:rPr>
              <w:t>种方式解决：</w:t>
            </w:r>
          </w:p>
          <w:p w14:paraId="1AB4DD2E">
            <w:pPr>
              <w:spacing w:line="400" w:lineRule="exact"/>
              <w:jc w:val="left"/>
              <w:rPr>
                <w:rFonts w:ascii="宋体" w:hAnsi="宋体" w:cs="宋体"/>
                <w:iCs/>
                <w:color w:val="auto"/>
                <w:szCs w:val="21"/>
                <w:highlight w:val="none"/>
              </w:rPr>
            </w:pPr>
            <w:r>
              <w:rPr>
                <w:rFonts w:hint="eastAsia" w:ascii="宋体" w:hAnsi="宋体" w:cs="宋体"/>
                <w:iCs/>
                <w:color w:val="auto"/>
                <w:szCs w:val="21"/>
                <w:highlight w:val="none"/>
              </w:rPr>
              <w:t>（1）向</w:t>
            </w:r>
            <w:r>
              <w:rPr>
                <w:rFonts w:hint="eastAsia" w:ascii="宋体" w:hAnsi="宋体" w:cs="宋体"/>
                <w:iCs/>
                <w:color w:val="auto"/>
                <w:szCs w:val="21"/>
                <w:highlight w:val="none"/>
                <w:u w:val="single"/>
              </w:rPr>
              <w:t xml:space="preserve">   /  </w:t>
            </w:r>
            <w:r>
              <w:rPr>
                <w:rFonts w:hint="eastAsia" w:ascii="宋体" w:hAnsi="宋体" w:cs="宋体"/>
                <w:iCs/>
                <w:color w:val="auto"/>
                <w:szCs w:val="21"/>
                <w:highlight w:val="none"/>
              </w:rPr>
              <w:t>仲裁委员会申请仲裁，仲裁地点为</w:t>
            </w:r>
            <w:r>
              <w:rPr>
                <w:rFonts w:hint="eastAsia" w:ascii="宋体" w:hAnsi="宋体" w:cs="宋体"/>
                <w:iCs/>
                <w:color w:val="auto"/>
                <w:szCs w:val="21"/>
                <w:highlight w:val="none"/>
                <w:u w:val="single"/>
              </w:rPr>
              <w:t xml:space="preserve">   /  </w:t>
            </w:r>
            <w:r>
              <w:rPr>
                <w:rFonts w:hint="eastAsia" w:ascii="宋体" w:hAnsi="宋体" w:cs="宋体"/>
                <w:iCs/>
                <w:color w:val="auto"/>
                <w:szCs w:val="21"/>
                <w:highlight w:val="none"/>
              </w:rPr>
              <w:t>；</w:t>
            </w:r>
          </w:p>
          <w:p w14:paraId="6E4CCD62">
            <w:pPr>
              <w:jc w:val="left"/>
              <w:rPr>
                <w:rFonts w:ascii="宋体" w:hAnsi="宋体"/>
                <w:color w:val="auto"/>
                <w:szCs w:val="21"/>
                <w:highlight w:val="none"/>
                <w:u w:val="single"/>
              </w:rPr>
            </w:pPr>
            <w:r>
              <w:rPr>
                <w:rFonts w:hint="eastAsia" w:ascii="宋体" w:hAnsi="宋体" w:cs="宋体"/>
                <w:iCs/>
                <w:color w:val="auto"/>
                <w:szCs w:val="21"/>
                <w:highlight w:val="none"/>
              </w:rPr>
              <w:t>（2）向</w:t>
            </w:r>
            <w:r>
              <w:rPr>
                <w:rFonts w:hint="eastAsia" w:ascii="宋体" w:hAnsi="宋体" w:cs="宋体"/>
                <w:iCs/>
                <w:color w:val="auto"/>
                <w:szCs w:val="21"/>
                <w:highlight w:val="none"/>
                <w:u w:val="single"/>
              </w:rPr>
              <w:t xml:space="preserve">  泗洪县   </w:t>
            </w:r>
            <w:r>
              <w:rPr>
                <w:rFonts w:hint="eastAsia" w:ascii="宋体" w:hAnsi="宋体" w:cs="宋体"/>
                <w:iCs/>
                <w:color w:val="auto"/>
                <w:szCs w:val="21"/>
                <w:highlight w:val="none"/>
              </w:rPr>
              <w:t>人民法院起诉。</w:t>
            </w:r>
          </w:p>
        </w:tc>
      </w:tr>
      <w:tr w14:paraId="740400B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607" w:type="dxa"/>
            <w:noWrap w:val="0"/>
            <w:vAlign w:val="center"/>
          </w:tcPr>
          <w:p w14:paraId="637C2A18">
            <w:pPr>
              <w:jc w:val="center"/>
              <w:rPr>
                <w:rFonts w:ascii="宋体" w:hAnsi="宋体"/>
                <w:color w:val="auto"/>
                <w:szCs w:val="21"/>
                <w:highlight w:val="none"/>
              </w:rPr>
            </w:pPr>
            <w:r>
              <w:rPr>
                <w:rFonts w:hint="eastAsia" w:ascii="宋体" w:hAnsi="宋体"/>
                <w:color w:val="auto"/>
                <w:szCs w:val="21"/>
                <w:highlight w:val="none"/>
              </w:rPr>
              <w:t>第二节</w:t>
            </w:r>
          </w:p>
          <w:p w14:paraId="3D755F59">
            <w:pPr>
              <w:jc w:val="center"/>
              <w:rPr>
                <w:rFonts w:ascii="宋体" w:hAnsi="宋体"/>
                <w:color w:val="auto"/>
                <w:szCs w:val="21"/>
                <w:highlight w:val="none"/>
              </w:rPr>
            </w:pPr>
            <w:r>
              <w:rPr>
                <w:rFonts w:hint="eastAsia" w:ascii="宋体" w:hAnsi="宋体"/>
                <w:color w:val="auto"/>
                <w:szCs w:val="21"/>
                <w:highlight w:val="none"/>
              </w:rPr>
              <w:t>第23.1款</w:t>
            </w:r>
          </w:p>
        </w:tc>
        <w:tc>
          <w:tcPr>
            <w:tcW w:w="1742" w:type="dxa"/>
            <w:noWrap w:val="0"/>
            <w:vAlign w:val="center"/>
          </w:tcPr>
          <w:p w14:paraId="64709995">
            <w:pPr>
              <w:jc w:val="left"/>
              <w:rPr>
                <w:rFonts w:ascii="宋体" w:hAnsi="宋体"/>
                <w:color w:val="auto"/>
                <w:szCs w:val="21"/>
                <w:highlight w:val="none"/>
              </w:rPr>
            </w:pPr>
            <w:r>
              <w:rPr>
                <w:rFonts w:hint="eastAsia" w:ascii="宋体" w:hAnsi="宋体"/>
                <w:bCs/>
                <w:color w:val="auto"/>
                <w:szCs w:val="21"/>
                <w:highlight w:val="none"/>
              </w:rPr>
              <w:t>其他专用条款</w:t>
            </w:r>
            <w:bookmarkEnd w:id="126"/>
            <w:bookmarkEnd w:id="127"/>
            <w:bookmarkEnd w:id="128"/>
          </w:p>
        </w:tc>
        <w:tc>
          <w:tcPr>
            <w:tcW w:w="6012" w:type="dxa"/>
            <w:noWrap w:val="0"/>
            <w:vAlign w:val="center"/>
          </w:tcPr>
          <w:p w14:paraId="0371A03A">
            <w:pPr>
              <w:jc w:val="left"/>
              <w:rPr>
                <w:rFonts w:ascii="宋体" w:hAnsi="宋体"/>
                <w:color w:val="auto"/>
                <w:szCs w:val="21"/>
                <w:highlight w:val="none"/>
              </w:rPr>
            </w:pPr>
          </w:p>
        </w:tc>
      </w:tr>
    </w:tbl>
    <w:p w14:paraId="29287687">
      <w:pPr>
        <w:keepNext/>
        <w:keepLines/>
        <w:pageBreakBefore/>
        <w:jc w:val="center"/>
        <w:outlineLvl w:val="0"/>
        <w:rPr>
          <w:b/>
          <w:color w:val="auto"/>
          <w:sz w:val="44"/>
          <w:szCs w:val="44"/>
          <w:highlight w:val="none"/>
        </w:rPr>
      </w:pPr>
      <w:bookmarkStart w:id="138" w:name="_Toc81575170"/>
      <w:bookmarkStart w:id="139" w:name="_Toc9003"/>
      <w:bookmarkStart w:id="140" w:name="_Toc19649"/>
      <w:bookmarkStart w:id="141" w:name="_Toc22853"/>
      <w:bookmarkStart w:id="142" w:name="_Toc12937"/>
      <w:bookmarkStart w:id="143" w:name="_Toc81575207"/>
      <w:r>
        <w:rPr>
          <w:rFonts w:hint="eastAsia"/>
          <w:b/>
          <w:color w:val="auto"/>
          <w:sz w:val="44"/>
          <w:szCs w:val="44"/>
          <w:highlight w:val="none"/>
        </w:rPr>
        <w:t>第六章  投标文件格式</w:t>
      </w:r>
      <w:bookmarkEnd w:id="138"/>
      <w:bookmarkEnd w:id="139"/>
      <w:bookmarkEnd w:id="140"/>
      <w:bookmarkEnd w:id="141"/>
      <w:bookmarkEnd w:id="142"/>
      <w:bookmarkEnd w:id="143"/>
    </w:p>
    <w:p w14:paraId="3123A43B">
      <w:pPr>
        <w:rPr>
          <w:color w:val="auto"/>
          <w:highlight w:val="none"/>
        </w:rPr>
      </w:pPr>
      <w:bookmarkStart w:id="144" w:name="EB819316f773b24a75aef829f9b72900c0"/>
    </w:p>
    <w:p w14:paraId="018345B2">
      <w:pPr>
        <w:rPr>
          <w:rFonts w:ascii="Times New Roman" w:hAnsi="Times New Roman"/>
          <w:b/>
          <w:color w:val="auto"/>
          <w:sz w:val="72"/>
          <w:highlight w:val="none"/>
        </w:rPr>
      </w:pPr>
      <w:bookmarkStart w:id="145" w:name="_Toc15716"/>
    </w:p>
    <w:p w14:paraId="00BD1694">
      <w:pPr>
        <w:rPr>
          <w:rFonts w:ascii="Times New Roman" w:hAnsi="Times New Roman"/>
          <w:b/>
          <w:color w:val="auto"/>
          <w:sz w:val="72"/>
          <w:highlight w:val="none"/>
        </w:rPr>
      </w:pPr>
    </w:p>
    <w:p w14:paraId="24A8091F">
      <w:pPr>
        <w:rPr>
          <w:rFonts w:ascii="Times New Roman" w:hAnsi="Times New Roman"/>
          <w:b/>
          <w:color w:val="auto"/>
          <w:sz w:val="72"/>
          <w:highlight w:val="none"/>
        </w:rPr>
      </w:pPr>
    </w:p>
    <w:p w14:paraId="2866AC78">
      <w:pPr>
        <w:jc w:val="center"/>
        <w:rPr>
          <w:rFonts w:ascii="Times New Roman" w:hAnsi="Times New Roman"/>
          <w:b/>
          <w:color w:val="auto"/>
          <w:sz w:val="72"/>
          <w:highlight w:val="none"/>
        </w:rPr>
      </w:pPr>
      <w:r>
        <w:rPr>
          <w:rFonts w:hint="eastAsia" w:ascii="Times New Roman" w:hAnsi="Times New Roman"/>
          <w:b/>
          <w:color w:val="auto"/>
          <w:sz w:val="72"/>
          <w:highlight w:val="none"/>
        </w:rPr>
        <w:t>投  标  文  件</w:t>
      </w:r>
    </w:p>
    <w:p w14:paraId="07618918">
      <w:pPr>
        <w:jc w:val="center"/>
        <w:rPr>
          <w:rFonts w:ascii="Times New Roman" w:hAnsi="Times New Roman"/>
          <w:b/>
          <w:color w:val="auto"/>
          <w:sz w:val="72"/>
          <w:highlight w:val="none"/>
        </w:rPr>
      </w:pPr>
    </w:p>
    <w:p w14:paraId="39778216">
      <w:pPr>
        <w:jc w:val="center"/>
        <w:rPr>
          <w:rFonts w:ascii="Times New Roman" w:hAnsi="Times New Roman"/>
          <w:b/>
          <w:color w:val="auto"/>
          <w:sz w:val="72"/>
          <w:highlight w:val="none"/>
        </w:rPr>
      </w:pPr>
    </w:p>
    <w:p w14:paraId="6369FE66">
      <w:pPr>
        <w:jc w:val="center"/>
        <w:rPr>
          <w:rFonts w:ascii="Times New Roman" w:hAnsi="Times New Roman"/>
          <w:b/>
          <w:color w:val="auto"/>
          <w:sz w:val="72"/>
          <w:highlight w:val="none"/>
        </w:rPr>
      </w:pPr>
    </w:p>
    <w:p w14:paraId="38D85EC7">
      <w:pPr>
        <w:jc w:val="center"/>
        <w:rPr>
          <w:rFonts w:ascii="Times New Roman" w:hAnsi="Times New Roman"/>
          <w:b/>
          <w:color w:val="auto"/>
          <w:sz w:val="72"/>
          <w:highlight w:val="none"/>
        </w:rPr>
      </w:pPr>
    </w:p>
    <w:p w14:paraId="7B8B0E13">
      <w:pPr>
        <w:jc w:val="center"/>
        <w:rPr>
          <w:rFonts w:ascii="Times New Roman" w:hAnsi="Times New Roman"/>
          <w:b/>
          <w:color w:val="auto"/>
          <w:sz w:val="72"/>
          <w:highlight w:val="none"/>
        </w:rPr>
      </w:pPr>
    </w:p>
    <w:p w14:paraId="3EDF51BF">
      <w:pPr>
        <w:jc w:val="center"/>
        <w:rPr>
          <w:rFonts w:ascii="Times New Roman" w:hAnsi="Times New Roman"/>
          <w:b/>
          <w:color w:val="auto"/>
          <w:sz w:val="36"/>
          <w:highlight w:val="none"/>
        </w:rPr>
      </w:pPr>
    </w:p>
    <w:p w14:paraId="7C199C66">
      <w:pPr>
        <w:jc w:val="center"/>
        <w:rPr>
          <w:rFonts w:ascii="Times New Roman" w:hAnsi="Times New Roman"/>
          <w:b/>
          <w:color w:val="auto"/>
          <w:sz w:val="36"/>
          <w:highlight w:val="none"/>
        </w:rPr>
      </w:pPr>
    </w:p>
    <w:p w14:paraId="0219C629">
      <w:pPr>
        <w:jc w:val="center"/>
        <w:rPr>
          <w:rFonts w:ascii="Times New Roman" w:hAnsi="Times New Roman"/>
          <w:b/>
          <w:color w:val="auto"/>
          <w:sz w:val="36"/>
          <w:highlight w:val="none"/>
        </w:rPr>
      </w:pPr>
    </w:p>
    <w:p w14:paraId="37483749">
      <w:pPr>
        <w:ind w:firstLine="1084"/>
        <w:rPr>
          <w:rFonts w:ascii="Times New Roman" w:hAnsi="Times New Roman"/>
          <w:b/>
          <w:color w:val="auto"/>
          <w:sz w:val="36"/>
          <w:highlight w:val="none"/>
        </w:rPr>
      </w:pPr>
      <w:r>
        <w:rPr>
          <w:rFonts w:hint="eastAsia" w:ascii="Times New Roman" w:hAnsi="Times New Roman"/>
          <w:b/>
          <w:color w:val="auto"/>
          <w:sz w:val="36"/>
          <w:highlight w:val="none"/>
        </w:rPr>
        <w:t>项 目 名 称：</w:t>
      </w:r>
      <w:r>
        <w:rPr>
          <w:rFonts w:hint="eastAsia" w:ascii="Times New Roman" w:hAnsi="Times New Roman"/>
          <w:b/>
          <w:color w:val="auto"/>
          <w:sz w:val="36"/>
          <w:highlight w:val="none"/>
          <w:u w:val="single"/>
        </w:rPr>
        <w:t xml:space="preserve">               </w:t>
      </w:r>
    </w:p>
    <w:p w14:paraId="243694A9">
      <w:pPr>
        <w:ind w:firstLine="1084"/>
        <w:rPr>
          <w:rFonts w:ascii="Times New Roman" w:hAnsi="Times New Roman"/>
          <w:b/>
          <w:color w:val="auto"/>
          <w:sz w:val="36"/>
          <w:highlight w:val="none"/>
          <w:u w:val="single"/>
        </w:rPr>
      </w:pPr>
      <w:r>
        <w:rPr>
          <w:rFonts w:hint="eastAsia" w:ascii="Times New Roman" w:hAnsi="Times New Roman"/>
          <w:b/>
          <w:color w:val="auto"/>
          <w:sz w:val="36"/>
          <w:highlight w:val="none"/>
        </w:rPr>
        <w:t>项 目 编 号：</w:t>
      </w:r>
      <w:r>
        <w:rPr>
          <w:rFonts w:hint="eastAsia" w:ascii="Times New Roman" w:hAnsi="Times New Roman"/>
          <w:b/>
          <w:color w:val="auto"/>
          <w:sz w:val="36"/>
          <w:highlight w:val="none"/>
          <w:u w:val="single"/>
        </w:rPr>
        <w:t xml:space="preserve">               </w:t>
      </w:r>
    </w:p>
    <w:p w14:paraId="26794959">
      <w:pPr>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      投标人名称 ：</w:t>
      </w:r>
      <w:r>
        <w:rPr>
          <w:rFonts w:hint="eastAsia" w:ascii="Times New Roman" w:hAnsi="Times New Roman"/>
          <w:b/>
          <w:color w:val="auto"/>
          <w:sz w:val="36"/>
          <w:highlight w:val="none"/>
          <w:u w:val="single"/>
        </w:rPr>
        <w:t>（盖CA电子公章）</w:t>
      </w:r>
    </w:p>
    <w:p w14:paraId="77D4860A">
      <w:pPr>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      日      期 ：</w:t>
      </w:r>
      <w:r>
        <w:rPr>
          <w:rFonts w:hint="eastAsia" w:ascii="Times New Roman" w:hAnsi="Times New Roman"/>
          <w:b/>
          <w:color w:val="auto"/>
          <w:sz w:val="36"/>
          <w:highlight w:val="none"/>
          <w:u w:val="single"/>
        </w:rPr>
        <w:t xml:space="preserve">               </w:t>
      </w:r>
      <w:bookmarkEnd w:id="145"/>
    </w:p>
    <w:p w14:paraId="7BB810C7">
      <w:pPr>
        <w:pStyle w:val="331"/>
        <w:rPr>
          <w:rFonts w:ascii="宋体" w:hAnsi="宋体" w:eastAsia="宋体" w:cs="宋体"/>
          <w:color w:val="auto"/>
          <w:highlight w:val="none"/>
        </w:rPr>
      </w:pPr>
    </w:p>
    <w:bookmarkEnd w:id="144"/>
    <w:p w14:paraId="53D42C70">
      <w:pPr>
        <w:pStyle w:val="331"/>
        <w:rPr>
          <w:rFonts w:ascii="宋体" w:hAnsi="宋体" w:eastAsia="宋体" w:cs="宋体"/>
          <w:color w:val="auto"/>
          <w:highlight w:val="none"/>
        </w:rPr>
      </w:pPr>
    </w:p>
    <w:p w14:paraId="3896ADE2">
      <w:pPr>
        <w:pStyle w:val="331"/>
        <w:rPr>
          <w:rFonts w:ascii="宋体" w:hAnsi="宋体" w:eastAsia="宋体" w:cs="宋体"/>
          <w:color w:val="auto"/>
          <w:highlight w:val="none"/>
        </w:rPr>
      </w:pPr>
    </w:p>
    <w:p w14:paraId="19C7E64C">
      <w:pPr>
        <w:pStyle w:val="331"/>
        <w:rPr>
          <w:rFonts w:ascii="宋体" w:hAnsi="宋体" w:eastAsia="宋体" w:cs="宋体"/>
          <w:color w:val="auto"/>
          <w:highlight w:val="none"/>
        </w:rPr>
      </w:pPr>
    </w:p>
    <w:p w14:paraId="0F53DDAD">
      <w:pPr>
        <w:pStyle w:val="331"/>
        <w:rPr>
          <w:rFonts w:ascii="宋体" w:hAnsi="宋体" w:eastAsia="宋体" w:cs="宋体"/>
          <w:color w:val="auto"/>
          <w:highlight w:val="none"/>
        </w:rPr>
      </w:pPr>
    </w:p>
    <w:p w14:paraId="3CFC3E90">
      <w:pPr>
        <w:pStyle w:val="331"/>
        <w:rPr>
          <w:rFonts w:ascii="宋体" w:hAnsi="宋体" w:eastAsia="宋体" w:cs="宋体"/>
          <w:color w:val="auto"/>
          <w:highlight w:val="none"/>
        </w:rPr>
      </w:pPr>
    </w:p>
    <w:p w14:paraId="47AA8857">
      <w:pPr>
        <w:pStyle w:val="331"/>
        <w:rPr>
          <w:rFonts w:ascii="宋体" w:hAnsi="宋体" w:eastAsia="宋体" w:cs="宋体"/>
          <w:color w:val="auto"/>
          <w:highlight w:val="none"/>
        </w:rPr>
      </w:pPr>
    </w:p>
    <w:p w14:paraId="321D20A1">
      <w:pPr>
        <w:pStyle w:val="331"/>
        <w:spacing w:line="360" w:lineRule="auto"/>
        <w:jc w:val="center"/>
        <w:rPr>
          <w:rFonts w:ascii="宋体" w:hAnsi="宋体" w:eastAsia="宋体" w:cs="宋体"/>
          <w:b/>
          <w:bCs/>
          <w:color w:val="auto"/>
          <w:sz w:val="32"/>
          <w:szCs w:val="32"/>
          <w:highlight w:val="none"/>
        </w:rPr>
      </w:pPr>
    </w:p>
    <w:p w14:paraId="567EB4DF">
      <w:pPr>
        <w:pStyle w:val="331"/>
        <w:spacing w:line="360" w:lineRule="auto"/>
        <w:jc w:val="center"/>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投标文件目录</w:t>
      </w:r>
    </w:p>
    <w:p w14:paraId="1A112E42">
      <w:pPr>
        <w:pStyle w:val="331"/>
        <w:spacing w:line="360" w:lineRule="auto"/>
        <w:rPr>
          <w:rFonts w:ascii="宋体" w:hAnsi="宋体" w:eastAsia="宋体" w:cs="宋体"/>
          <w:color w:val="auto"/>
          <w:sz w:val="28"/>
          <w:szCs w:val="28"/>
          <w:highlight w:val="none"/>
        </w:rPr>
      </w:pPr>
    </w:p>
    <w:p w14:paraId="19BE3D41">
      <w:pPr>
        <w:spacing w:line="360" w:lineRule="auto"/>
        <w:rPr>
          <w:rFonts w:ascii="Times New Roman" w:hAnsi="Times New Roman"/>
          <w:color w:val="auto"/>
          <w:sz w:val="28"/>
          <w:szCs w:val="28"/>
          <w:highlight w:val="none"/>
        </w:rPr>
      </w:pPr>
      <w:bookmarkStart w:id="146" w:name="_Toc20577"/>
      <w:bookmarkStart w:id="147" w:name="_Toc26005"/>
      <w:r>
        <w:rPr>
          <w:rFonts w:hint="eastAsia" w:ascii="Times New Roman" w:hAnsi="Times New Roman"/>
          <w:color w:val="auto"/>
          <w:sz w:val="28"/>
          <w:szCs w:val="28"/>
          <w:highlight w:val="none"/>
        </w:rPr>
        <w:t>一、投标人响应承诺函</w:t>
      </w:r>
    </w:p>
    <w:p w14:paraId="6A98B887">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二、投标人基本情况</w:t>
      </w:r>
    </w:p>
    <w:p w14:paraId="67A0CF89">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三、满足特定资格要求的证明文件（如果设置特定资格要求，则需要提供）</w:t>
      </w:r>
    </w:p>
    <w:p w14:paraId="55F606A4">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四、法人授权书</w:t>
      </w:r>
    </w:p>
    <w:p w14:paraId="1F033C22">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五、开标一览表</w:t>
      </w:r>
    </w:p>
    <w:p w14:paraId="1116D883">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六、投标分项报价表</w:t>
      </w:r>
    </w:p>
    <w:p w14:paraId="050DD04F">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七、中小微企业声明函</w:t>
      </w:r>
    </w:p>
    <w:p w14:paraId="1C889763">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八、技术要求响应及偏离表</w:t>
      </w:r>
    </w:p>
    <w:p w14:paraId="6AACF0BE">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九、项目组成员</w:t>
      </w:r>
    </w:p>
    <w:p w14:paraId="7EACE3EA">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十、企业业绩</w:t>
      </w:r>
    </w:p>
    <w:p w14:paraId="7C029C96">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十一、项目实施方案</w:t>
      </w:r>
    </w:p>
    <w:p w14:paraId="389BE71A">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十二、设备安装方案</w:t>
      </w:r>
    </w:p>
    <w:p w14:paraId="2427FDFE">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十三、售后服务方案</w:t>
      </w:r>
    </w:p>
    <w:p w14:paraId="79FC8616">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十四、关于符合本国产品标准的声明函</w:t>
      </w:r>
    </w:p>
    <w:p w14:paraId="44497C5D">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十五、演示</w:t>
      </w:r>
    </w:p>
    <w:p w14:paraId="33694C43">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十六、投标所需其他材料</w:t>
      </w:r>
    </w:p>
    <w:p w14:paraId="18718F43">
      <w:pPr>
        <w:rPr>
          <w:color w:val="auto"/>
          <w:highlight w:val="none"/>
        </w:rPr>
      </w:pPr>
    </w:p>
    <w:p w14:paraId="70714001">
      <w:pPr>
        <w:rPr>
          <w:color w:val="auto"/>
          <w:highlight w:val="none"/>
        </w:rPr>
      </w:pPr>
    </w:p>
    <w:p w14:paraId="3547980D">
      <w:pPr>
        <w:rPr>
          <w:color w:val="auto"/>
          <w:highlight w:val="none"/>
        </w:rPr>
      </w:pPr>
    </w:p>
    <w:p w14:paraId="0287E372">
      <w:pPr>
        <w:rPr>
          <w:color w:val="auto"/>
          <w:highlight w:val="none"/>
        </w:rPr>
      </w:pPr>
    </w:p>
    <w:p w14:paraId="5025F06D">
      <w:pPr>
        <w:rPr>
          <w:color w:val="auto"/>
          <w:highlight w:val="none"/>
        </w:rPr>
      </w:pPr>
    </w:p>
    <w:p w14:paraId="65A32572">
      <w:pPr>
        <w:rPr>
          <w:color w:val="auto"/>
          <w:highlight w:val="none"/>
        </w:rPr>
      </w:pPr>
    </w:p>
    <w:p w14:paraId="2602FFC1">
      <w:pPr>
        <w:rPr>
          <w:color w:val="auto"/>
          <w:highlight w:val="none"/>
        </w:rPr>
      </w:pPr>
    </w:p>
    <w:p w14:paraId="0CA1DF06">
      <w:pPr>
        <w:rPr>
          <w:color w:val="auto"/>
          <w:highlight w:val="none"/>
        </w:rPr>
      </w:pPr>
    </w:p>
    <w:p w14:paraId="78A085F7">
      <w:pPr>
        <w:rPr>
          <w:color w:val="auto"/>
          <w:highlight w:val="none"/>
        </w:rPr>
      </w:pPr>
    </w:p>
    <w:p w14:paraId="5D305F60">
      <w:pPr>
        <w:rPr>
          <w:color w:val="auto"/>
          <w:highlight w:val="none"/>
        </w:rPr>
      </w:pPr>
    </w:p>
    <w:p w14:paraId="17B3BF5F">
      <w:pPr>
        <w:rPr>
          <w:color w:val="auto"/>
          <w:highlight w:val="none"/>
        </w:rPr>
      </w:pPr>
    </w:p>
    <w:p w14:paraId="2E873427">
      <w:pPr>
        <w:rPr>
          <w:color w:val="auto"/>
          <w:highlight w:val="none"/>
        </w:rPr>
      </w:pPr>
    </w:p>
    <w:p w14:paraId="442F8384">
      <w:pPr>
        <w:rPr>
          <w:color w:val="auto"/>
          <w:highlight w:val="none"/>
        </w:rPr>
      </w:pPr>
    </w:p>
    <w:p w14:paraId="115DE3D9">
      <w:pPr>
        <w:rPr>
          <w:color w:val="auto"/>
          <w:highlight w:val="none"/>
        </w:rPr>
      </w:pPr>
    </w:p>
    <w:p w14:paraId="5FCD5894">
      <w:pPr>
        <w:pStyle w:val="341"/>
        <w:outlineLvl w:val="1"/>
        <w:rPr>
          <w:b w:val="0"/>
          <w:bCs/>
          <w:color w:val="auto"/>
          <w:highlight w:val="none"/>
        </w:rPr>
      </w:pPr>
      <w:bookmarkStart w:id="148" w:name="_Toc8978"/>
      <w:r>
        <w:rPr>
          <w:rFonts w:hint="eastAsia"/>
          <w:b w:val="0"/>
          <w:bCs/>
          <w:color w:val="auto"/>
          <w:highlight w:val="none"/>
        </w:rPr>
        <w:t>一</w:t>
      </w:r>
      <w:r>
        <w:rPr>
          <w:b w:val="0"/>
          <w:bCs/>
          <w:color w:val="auto"/>
          <w:highlight w:val="none"/>
        </w:rPr>
        <w:t>、投标函</w:t>
      </w:r>
      <w:bookmarkEnd w:id="146"/>
      <w:bookmarkEnd w:id="147"/>
      <w:bookmarkEnd w:id="148"/>
    </w:p>
    <w:p w14:paraId="1FEF04BB">
      <w:pPr>
        <w:pStyle w:val="342"/>
        <w:jc w:val="center"/>
        <w:rPr>
          <w:rFonts w:ascii="方正小标宋_GBK" w:eastAsia="方正小标宋_GBK"/>
          <w:bCs/>
          <w:color w:val="auto"/>
          <w:sz w:val="32"/>
          <w:szCs w:val="32"/>
          <w:highlight w:val="none"/>
        </w:rPr>
      </w:pPr>
    </w:p>
    <w:p w14:paraId="240155B5">
      <w:pPr>
        <w:pStyle w:val="342"/>
        <w:jc w:val="center"/>
        <w:rPr>
          <w:rFonts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投标函</w:t>
      </w:r>
    </w:p>
    <w:p w14:paraId="7BAE54A4">
      <w:pPr>
        <w:pStyle w:val="342"/>
        <w:spacing w:line="500" w:lineRule="exact"/>
        <w:jc w:val="left"/>
        <w:rPr>
          <w:rFonts w:ascii="宋体" w:hAnsi="宋体"/>
          <w:color w:val="auto"/>
          <w:sz w:val="24"/>
          <w:szCs w:val="24"/>
          <w:highlight w:val="none"/>
          <w:u w:val="single"/>
        </w:rPr>
      </w:pPr>
      <w:r>
        <w:rPr>
          <w:rFonts w:hint="eastAsia" w:ascii="宋体" w:hAnsi="宋体"/>
          <w:color w:val="auto"/>
          <w:sz w:val="24"/>
          <w:szCs w:val="24"/>
          <w:highlight w:val="none"/>
          <w:u w:val="single"/>
        </w:rPr>
        <w:t>（采购单位名称）：</w:t>
      </w:r>
    </w:p>
    <w:p w14:paraId="6C4BE871">
      <w:pPr>
        <w:pStyle w:val="342"/>
        <w:spacing w:line="5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根据已收到的项目编号为</w:t>
      </w:r>
      <w:r>
        <w:rPr>
          <w:rFonts w:hint="eastAsia" w:ascii="宋体" w:hAnsi="宋体"/>
          <w:color w:val="auto"/>
          <w:sz w:val="24"/>
          <w:szCs w:val="24"/>
          <w:highlight w:val="none"/>
          <w:u w:val="single"/>
        </w:rPr>
        <w:t>（项目编号）</w:t>
      </w:r>
      <w:r>
        <w:rPr>
          <w:rFonts w:hint="eastAsia" w:ascii="宋体" w:hAnsi="宋体"/>
          <w:color w:val="auto"/>
          <w:sz w:val="24"/>
          <w:szCs w:val="24"/>
          <w:highlight w:val="none"/>
        </w:rPr>
        <w:t>的</w:t>
      </w:r>
      <w:r>
        <w:rPr>
          <w:rFonts w:hint="eastAsia" w:ascii="宋体" w:hAnsi="宋体"/>
          <w:color w:val="auto"/>
          <w:sz w:val="24"/>
          <w:szCs w:val="24"/>
          <w:highlight w:val="none"/>
          <w:u w:val="single"/>
        </w:rPr>
        <w:t>（项目名称）</w:t>
      </w:r>
      <w:r>
        <w:rPr>
          <w:rFonts w:hint="eastAsia" w:ascii="宋体" w:hAnsi="宋体"/>
          <w:color w:val="auto"/>
          <w:sz w:val="24"/>
          <w:szCs w:val="24"/>
          <w:highlight w:val="none"/>
        </w:rPr>
        <w:t>的招标文件，我方在参加本项目招投标活动中，特作出如下承诺：</w:t>
      </w:r>
    </w:p>
    <w:p w14:paraId="1F98D1B3">
      <w:pPr>
        <w:pStyle w:val="342"/>
        <w:spacing w:line="500" w:lineRule="exact"/>
        <w:ind w:firstLine="480"/>
        <w:jc w:val="left"/>
        <w:rPr>
          <w:rFonts w:ascii="宋体" w:hAnsi="宋体"/>
          <w:color w:val="auto"/>
          <w:sz w:val="24"/>
          <w:highlight w:val="none"/>
        </w:rPr>
      </w:pPr>
      <w:r>
        <w:rPr>
          <w:rFonts w:hint="eastAsia" w:ascii="宋体" w:hAnsi="宋体"/>
          <w:color w:val="auto"/>
          <w:sz w:val="24"/>
          <w:szCs w:val="24"/>
          <w:highlight w:val="none"/>
        </w:rPr>
        <w:t>一、我方</w:t>
      </w:r>
      <w:r>
        <w:rPr>
          <w:rFonts w:ascii="宋体" w:hAnsi="宋体"/>
          <w:color w:val="auto"/>
          <w:sz w:val="24"/>
          <w:highlight w:val="none"/>
        </w:rPr>
        <w:t>具备《中华人民共和国政府采购法》第二十二条第一款规定的6项条件；</w:t>
      </w:r>
    </w:p>
    <w:p w14:paraId="19D78B48">
      <w:pPr>
        <w:pStyle w:val="342"/>
        <w:spacing w:line="5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二、我方在参加政府采购活动前三年内（自本项目开标时间之日起计算），在经营活动中没有重大违法记录（指因违法经营受到刑事处罚或者责令停产停业、吊销许可证或者执照、较大数额罚款等行政处罚）。</w:t>
      </w:r>
    </w:p>
    <w:p w14:paraId="033CB384">
      <w:pPr>
        <w:pStyle w:val="342"/>
        <w:spacing w:line="5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三、我方按招标文件要求提交投标文件，响应招标文件规定的投标有效期；</w:t>
      </w:r>
    </w:p>
    <w:p w14:paraId="7CF5779B">
      <w:pPr>
        <w:pStyle w:val="342"/>
        <w:spacing w:line="5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四、如果我方的投标文件被接受，我方将按照《中华人民共和国民法典（第三编合同）》及其他有关法律、法规的规定，按期、按质、按量交付采购单位，全面做到履约守信；</w:t>
      </w:r>
    </w:p>
    <w:p w14:paraId="40645BF0">
      <w:pPr>
        <w:pStyle w:val="342"/>
        <w:spacing w:line="5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五、我方若违背本声明及承诺约定，经查实，自愿接受采购人及相关主管部门相应的规定处理，并依法承担相应的法律责任。</w:t>
      </w:r>
    </w:p>
    <w:p w14:paraId="6BD7019F">
      <w:pPr>
        <w:pStyle w:val="342"/>
        <w:spacing w:line="5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六、我方同意采购人、采购代理机构将本函上网公开。</w:t>
      </w:r>
    </w:p>
    <w:p w14:paraId="74380454">
      <w:pPr>
        <w:pStyle w:val="342"/>
        <w:spacing w:line="500" w:lineRule="exact"/>
        <w:ind w:firstLine="480"/>
        <w:jc w:val="left"/>
        <w:rPr>
          <w:rFonts w:ascii="方正仿宋_GBK" w:eastAsia="方正仿宋_GBK"/>
          <w:color w:val="auto"/>
          <w:sz w:val="24"/>
          <w:szCs w:val="24"/>
          <w:highlight w:val="none"/>
        </w:rPr>
      </w:pPr>
    </w:p>
    <w:p w14:paraId="19230BF1">
      <w:pPr>
        <w:pStyle w:val="342"/>
        <w:spacing w:line="500" w:lineRule="exact"/>
        <w:jc w:val="left"/>
        <w:rPr>
          <w:rFonts w:ascii="宋体" w:hAnsi="宋体"/>
          <w:color w:val="auto"/>
          <w:sz w:val="24"/>
          <w:szCs w:val="24"/>
          <w:highlight w:val="none"/>
        </w:rPr>
      </w:pPr>
    </w:p>
    <w:p w14:paraId="7E6650D0">
      <w:pPr>
        <w:pStyle w:val="342"/>
        <w:spacing w:line="5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 xml:space="preserve">投标人名称：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（盖CA电子公章）</w:t>
      </w:r>
    </w:p>
    <w:p w14:paraId="1F96D2AB">
      <w:pPr>
        <w:pStyle w:val="342"/>
        <w:ind w:firstLine="480"/>
        <w:rPr>
          <w:rFonts w:ascii="宋体" w:hAnsi="宋体"/>
          <w:color w:val="auto"/>
          <w:sz w:val="24"/>
          <w:szCs w:val="24"/>
          <w:highlight w:val="none"/>
        </w:rPr>
      </w:pPr>
    </w:p>
    <w:p w14:paraId="732A43C5">
      <w:pPr>
        <w:pStyle w:val="342"/>
        <w:ind w:firstLine="480"/>
        <w:rPr>
          <w:rFonts w:ascii="宋体" w:hAnsi="宋体"/>
          <w:color w:val="auto"/>
          <w:highlight w:val="none"/>
        </w:rPr>
      </w:pPr>
      <w:r>
        <w:rPr>
          <w:rFonts w:hint="eastAsia" w:ascii="宋体" w:hAnsi="宋体"/>
          <w:color w:val="auto"/>
          <w:sz w:val="24"/>
          <w:szCs w:val="24"/>
          <w:highlight w:val="none"/>
        </w:rPr>
        <w:t>日期：    年    月   日</w:t>
      </w:r>
    </w:p>
    <w:p w14:paraId="50EEA326">
      <w:pPr>
        <w:rPr>
          <w:color w:val="auto"/>
          <w:highlight w:val="none"/>
        </w:rPr>
      </w:pPr>
    </w:p>
    <w:p w14:paraId="25FD7F4D">
      <w:pPr>
        <w:rPr>
          <w:color w:val="auto"/>
          <w:highlight w:val="none"/>
        </w:rPr>
      </w:pPr>
    </w:p>
    <w:p w14:paraId="1A2355C6">
      <w:pPr>
        <w:rPr>
          <w:color w:val="auto"/>
          <w:highlight w:val="none"/>
        </w:rPr>
      </w:pPr>
    </w:p>
    <w:p w14:paraId="35C62CA1">
      <w:pPr>
        <w:rPr>
          <w:color w:val="auto"/>
          <w:highlight w:val="none"/>
        </w:rPr>
      </w:pPr>
    </w:p>
    <w:p w14:paraId="55DE0796">
      <w:pPr>
        <w:rPr>
          <w:color w:val="auto"/>
          <w:highlight w:val="none"/>
        </w:rPr>
      </w:pPr>
    </w:p>
    <w:p w14:paraId="074562DD">
      <w:pPr>
        <w:rPr>
          <w:color w:val="auto"/>
          <w:highlight w:val="none"/>
        </w:rPr>
      </w:pPr>
    </w:p>
    <w:p w14:paraId="75896B90">
      <w:pPr>
        <w:rPr>
          <w:color w:val="auto"/>
          <w:highlight w:val="none"/>
        </w:rPr>
      </w:pPr>
    </w:p>
    <w:p w14:paraId="03E8E404">
      <w:pPr>
        <w:rPr>
          <w:color w:val="auto"/>
          <w:highlight w:val="none"/>
        </w:rPr>
      </w:pPr>
    </w:p>
    <w:p w14:paraId="727F5922">
      <w:pPr>
        <w:rPr>
          <w:color w:val="auto"/>
          <w:highlight w:val="none"/>
        </w:rPr>
      </w:pPr>
    </w:p>
    <w:p w14:paraId="76232D56">
      <w:pPr>
        <w:rPr>
          <w:color w:val="auto"/>
          <w:highlight w:val="none"/>
        </w:rPr>
      </w:pPr>
    </w:p>
    <w:p w14:paraId="237816CE">
      <w:pPr>
        <w:rPr>
          <w:color w:val="auto"/>
          <w:highlight w:val="none"/>
        </w:rPr>
      </w:pPr>
    </w:p>
    <w:p w14:paraId="7CC027AD">
      <w:pPr>
        <w:rPr>
          <w:color w:val="auto"/>
          <w:highlight w:val="none"/>
        </w:rPr>
      </w:pPr>
    </w:p>
    <w:p w14:paraId="3A0B4509">
      <w:pPr>
        <w:pStyle w:val="331"/>
        <w:spacing w:line="440" w:lineRule="exact"/>
        <w:outlineLvl w:val="1"/>
        <w:rPr>
          <w:rFonts w:ascii="宋体" w:eastAsia="宋体" w:cs="宋体"/>
          <w:color w:val="auto"/>
          <w:highlight w:val="none"/>
        </w:rPr>
      </w:pPr>
      <w:r>
        <w:rPr>
          <w:rFonts w:hint="eastAsia" w:ascii="宋体" w:eastAsia="宋体" w:cs="宋体"/>
          <w:b/>
          <w:color w:val="auto"/>
          <w:highlight w:val="none"/>
        </w:rPr>
        <w:t>二、投标人基本情况</w:t>
      </w:r>
    </w:p>
    <w:p w14:paraId="24055D1F">
      <w:pPr>
        <w:pStyle w:val="327"/>
        <w:spacing w:line="440" w:lineRule="exact"/>
        <w:jc w:val="center"/>
        <w:rPr>
          <w:rFonts w:ascii="宋体" w:cs="宋体"/>
          <w:color w:val="auto"/>
          <w:sz w:val="24"/>
          <w:szCs w:val="24"/>
          <w:highlight w:val="none"/>
        </w:rPr>
      </w:pPr>
      <w:r>
        <w:rPr>
          <w:rFonts w:hint="eastAsia" w:ascii="宋体" w:cs="宋体"/>
          <w:color w:val="auto"/>
          <w:sz w:val="24"/>
          <w:szCs w:val="24"/>
          <w:highlight w:val="none"/>
        </w:rPr>
        <w:t>投标人基本情况表</w:t>
      </w: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6"/>
        <w:gridCol w:w="3118"/>
        <w:gridCol w:w="1276"/>
        <w:gridCol w:w="2604"/>
      </w:tblGrid>
      <w:tr w14:paraId="0E4F79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ign w:val="center"/>
          </w:tcPr>
          <w:p w14:paraId="770C6114">
            <w:pPr>
              <w:pStyle w:val="327"/>
              <w:spacing w:line="440" w:lineRule="exact"/>
              <w:jc w:val="center"/>
              <w:rPr>
                <w:rFonts w:ascii="宋体" w:cs="宋体"/>
                <w:color w:val="auto"/>
                <w:sz w:val="24"/>
                <w:szCs w:val="24"/>
                <w:highlight w:val="none"/>
              </w:rPr>
            </w:pPr>
            <w:r>
              <w:rPr>
                <w:rFonts w:hint="eastAsia" w:ascii="宋体" w:cs="宋体"/>
                <w:color w:val="auto"/>
                <w:sz w:val="24"/>
                <w:szCs w:val="24"/>
                <w:highlight w:val="none"/>
              </w:rPr>
              <w:t>投标人名称</w:t>
            </w:r>
          </w:p>
        </w:tc>
        <w:tc>
          <w:tcPr>
            <w:tcW w:w="6998" w:type="dxa"/>
            <w:gridSpan w:val="3"/>
            <w:noWrap/>
            <w:vAlign w:val="center"/>
          </w:tcPr>
          <w:p w14:paraId="200D628C">
            <w:pPr>
              <w:pStyle w:val="327"/>
              <w:spacing w:line="440" w:lineRule="exact"/>
              <w:jc w:val="center"/>
              <w:rPr>
                <w:rFonts w:ascii="宋体" w:cs="宋体"/>
                <w:color w:val="auto"/>
                <w:sz w:val="24"/>
                <w:szCs w:val="24"/>
                <w:highlight w:val="none"/>
              </w:rPr>
            </w:pPr>
          </w:p>
        </w:tc>
      </w:tr>
      <w:tr w14:paraId="4763FF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ign w:val="center"/>
          </w:tcPr>
          <w:p w14:paraId="4A8A7E75">
            <w:pPr>
              <w:pStyle w:val="327"/>
              <w:spacing w:line="440" w:lineRule="exact"/>
              <w:jc w:val="center"/>
              <w:rPr>
                <w:rFonts w:ascii="宋体" w:cs="宋体"/>
                <w:color w:val="auto"/>
                <w:sz w:val="24"/>
                <w:szCs w:val="24"/>
                <w:highlight w:val="none"/>
              </w:rPr>
            </w:pPr>
            <w:r>
              <w:rPr>
                <w:rFonts w:hint="eastAsia" w:ascii="宋体" w:cs="宋体"/>
                <w:color w:val="auto"/>
                <w:sz w:val="24"/>
                <w:szCs w:val="24"/>
                <w:highlight w:val="none"/>
              </w:rPr>
              <w:t>法定代表人</w:t>
            </w:r>
          </w:p>
        </w:tc>
        <w:tc>
          <w:tcPr>
            <w:tcW w:w="3118" w:type="dxa"/>
            <w:noWrap/>
            <w:vAlign w:val="center"/>
          </w:tcPr>
          <w:p w14:paraId="4527F372">
            <w:pPr>
              <w:pStyle w:val="327"/>
              <w:spacing w:line="440" w:lineRule="exact"/>
              <w:jc w:val="center"/>
              <w:rPr>
                <w:rFonts w:ascii="宋体" w:cs="宋体"/>
                <w:color w:val="auto"/>
                <w:sz w:val="24"/>
                <w:szCs w:val="24"/>
                <w:highlight w:val="none"/>
              </w:rPr>
            </w:pPr>
          </w:p>
        </w:tc>
        <w:tc>
          <w:tcPr>
            <w:tcW w:w="1276" w:type="dxa"/>
            <w:noWrap/>
            <w:vAlign w:val="center"/>
          </w:tcPr>
          <w:p w14:paraId="48979C2C">
            <w:pPr>
              <w:pStyle w:val="327"/>
              <w:spacing w:line="440" w:lineRule="exact"/>
              <w:jc w:val="center"/>
              <w:rPr>
                <w:rFonts w:ascii="宋体" w:cs="宋体"/>
                <w:color w:val="auto"/>
                <w:sz w:val="24"/>
                <w:szCs w:val="24"/>
                <w:highlight w:val="none"/>
              </w:rPr>
            </w:pPr>
            <w:r>
              <w:rPr>
                <w:rFonts w:hint="eastAsia" w:ascii="宋体" w:cs="宋体"/>
                <w:color w:val="auto"/>
                <w:sz w:val="24"/>
                <w:szCs w:val="24"/>
                <w:highlight w:val="none"/>
              </w:rPr>
              <w:t>注册地区</w:t>
            </w:r>
          </w:p>
        </w:tc>
        <w:tc>
          <w:tcPr>
            <w:tcW w:w="2604" w:type="dxa"/>
            <w:noWrap/>
            <w:vAlign w:val="center"/>
          </w:tcPr>
          <w:p w14:paraId="3FF601E3">
            <w:pPr>
              <w:pStyle w:val="327"/>
              <w:spacing w:line="440" w:lineRule="exact"/>
              <w:jc w:val="center"/>
              <w:rPr>
                <w:rFonts w:ascii="宋体" w:cs="宋体"/>
                <w:color w:val="auto"/>
                <w:sz w:val="24"/>
                <w:szCs w:val="24"/>
                <w:highlight w:val="none"/>
              </w:rPr>
            </w:pPr>
          </w:p>
        </w:tc>
      </w:tr>
      <w:tr w14:paraId="4A226E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ign w:val="center"/>
          </w:tcPr>
          <w:p w14:paraId="270DD69B">
            <w:pPr>
              <w:pStyle w:val="327"/>
              <w:spacing w:line="440" w:lineRule="exact"/>
              <w:jc w:val="center"/>
              <w:rPr>
                <w:rFonts w:ascii="宋体" w:cs="宋体"/>
                <w:color w:val="auto"/>
                <w:sz w:val="24"/>
                <w:szCs w:val="24"/>
                <w:highlight w:val="none"/>
              </w:rPr>
            </w:pPr>
            <w:r>
              <w:rPr>
                <w:rFonts w:hint="eastAsia" w:ascii="宋体" w:cs="宋体"/>
                <w:color w:val="auto"/>
                <w:sz w:val="24"/>
                <w:szCs w:val="24"/>
                <w:highlight w:val="none"/>
              </w:rPr>
              <w:t>地址</w:t>
            </w:r>
          </w:p>
        </w:tc>
        <w:tc>
          <w:tcPr>
            <w:tcW w:w="3118" w:type="dxa"/>
            <w:noWrap/>
            <w:vAlign w:val="center"/>
          </w:tcPr>
          <w:p w14:paraId="6F7B6030">
            <w:pPr>
              <w:pStyle w:val="327"/>
              <w:spacing w:line="440" w:lineRule="exact"/>
              <w:jc w:val="center"/>
              <w:rPr>
                <w:rFonts w:ascii="宋体" w:cs="宋体"/>
                <w:color w:val="auto"/>
                <w:sz w:val="24"/>
                <w:szCs w:val="24"/>
                <w:highlight w:val="none"/>
              </w:rPr>
            </w:pPr>
          </w:p>
        </w:tc>
        <w:tc>
          <w:tcPr>
            <w:tcW w:w="1276" w:type="dxa"/>
            <w:noWrap/>
            <w:vAlign w:val="center"/>
          </w:tcPr>
          <w:p w14:paraId="37B416AD">
            <w:pPr>
              <w:pStyle w:val="327"/>
              <w:spacing w:line="440" w:lineRule="exact"/>
              <w:jc w:val="center"/>
              <w:rPr>
                <w:rFonts w:ascii="宋体" w:cs="宋体"/>
                <w:color w:val="auto"/>
                <w:sz w:val="24"/>
                <w:szCs w:val="24"/>
                <w:highlight w:val="none"/>
              </w:rPr>
            </w:pPr>
            <w:r>
              <w:rPr>
                <w:rFonts w:hint="eastAsia" w:ascii="宋体" w:cs="宋体"/>
                <w:color w:val="auto"/>
                <w:sz w:val="24"/>
                <w:szCs w:val="24"/>
                <w:highlight w:val="none"/>
              </w:rPr>
              <w:t>邮政编码</w:t>
            </w:r>
          </w:p>
        </w:tc>
        <w:tc>
          <w:tcPr>
            <w:tcW w:w="2604" w:type="dxa"/>
            <w:noWrap/>
            <w:vAlign w:val="center"/>
          </w:tcPr>
          <w:p w14:paraId="042D132F">
            <w:pPr>
              <w:pStyle w:val="327"/>
              <w:spacing w:line="440" w:lineRule="exact"/>
              <w:jc w:val="center"/>
              <w:rPr>
                <w:rFonts w:ascii="宋体" w:cs="宋体"/>
                <w:color w:val="auto"/>
                <w:sz w:val="24"/>
                <w:szCs w:val="24"/>
                <w:highlight w:val="none"/>
              </w:rPr>
            </w:pPr>
          </w:p>
        </w:tc>
      </w:tr>
      <w:tr w14:paraId="40F974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ign w:val="center"/>
          </w:tcPr>
          <w:p w14:paraId="2BC4F0A8">
            <w:pPr>
              <w:pStyle w:val="327"/>
              <w:spacing w:line="440" w:lineRule="exact"/>
              <w:jc w:val="center"/>
              <w:rPr>
                <w:rFonts w:ascii="宋体" w:cs="宋体"/>
                <w:color w:val="auto"/>
                <w:sz w:val="24"/>
                <w:szCs w:val="24"/>
                <w:highlight w:val="none"/>
              </w:rPr>
            </w:pPr>
            <w:r>
              <w:rPr>
                <w:rFonts w:hint="eastAsia" w:ascii="宋体" w:cs="宋体"/>
                <w:color w:val="auto"/>
                <w:sz w:val="24"/>
                <w:szCs w:val="24"/>
                <w:highlight w:val="none"/>
              </w:rPr>
              <w:t>成立时间</w:t>
            </w:r>
          </w:p>
        </w:tc>
        <w:tc>
          <w:tcPr>
            <w:tcW w:w="3118" w:type="dxa"/>
            <w:noWrap/>
            <w:vAlign w:val="center"/>
          </w:tcPr>
          <w:p w14:paraId="262F30E1">
            <w:pPr>
              <w:pStyle w:val="327"/>
              <w:spacing w:line="440" w:lineRule="exact"/>
              <w:jc w:val="center"/>
              <w:rPr>
                <w:rFonts w:ascii="宋体" w:cs="宋体"/>
                <w:color w:val="auto"/>
                <w:sz w:val="24"/>
                <w:szCs w:val="24"/>
                <w:highlight w:val="none"/>
              </w:rPr>
            </w:pPr>
          </w:p>
        </w:tc>
        <w:tc>
          <w:tcPr>
            <w:tcW w:w="1276" w:type="dxa"/>
            <w:noWrap/>
            <w:vAlign w:val="center"/>
          </w:tcPr>
          <w:p w14:paraId="54D26758">
            <w:pPr>
              <w:pStyle w:val="327"/>
              <w:spacing w:line="440" w:lineRule="exact"/>
              <w:jc w:val="center"/>
              <w:rPr>
                <w:rFonts w:ascii="宋体" w:cs="宋体"/>
                <w:color w:val="auto"/>
                <w:sz w:val="24"/>
                <w:szCs w:val="24"/>
                <w:highlight w:val="none"/>
              </w:rPr>
            </w:pPr>
            <w:r>
              <w:rPr>
                <w:rFonts w:hint="eastAsia" w:ascii="宋体" w:cs="宋体"/>
                <w:color w:val="auto"/>
                <w:sz w:val="24"/>
                <w:szCs w:val="24"/>
                <w:highlight w:val="none"/>
              </w:rPr>
              <w:t>单位性质</w:t>
            </w:r>
          </w:p>
        </w:tc>
        <w:tc>
          <w:tcPr>
            <w:tcW w:w="2604" w:type="dxa"/>
            <w:noWrap/>
            <w:vAlign w:val="center"/>
          </w:tcPr>
          <w:p w14:paraId="0CE6EFF5">
            <w:pPr>
              <w:pStyle w:val="327"/>
              <w:spacing w:line="440" w:lineRule="exact"/>
              <w:jc w:val="center"/>
              <w:rPr>
                <w:rFonts w:ascii="宋体" w:cs="宋体"/>
                <w:color w:val="auto"/>
                <w:sz w:val="24"/>
                <w:szCs w:val="24"/>
                <w:highlight w:val="none"/>
              </w:rPr>
            </w:pPr>
          </w:p>
        </w:tc>
      </w:tr>
      <w:tr w14:paraId="3B7F82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ign w:val="center"/>
          </w:tcPr>
          <w:p w14:paraId="1F60975C">
            <w:pPr>
              <w:pStyle w:val="327"/>
              <w:spacing w:line="440" w:lineRule="exact"/>
              <w:jc w:val="center"/>
              <w:rPr>
                <w:rFonts w:ascii="宋体" w:cs="宋体"/>
                <w:color w:val="auto"/>
                <w:sz w:val="24"/>
                <w:szCs w:val="24"/>
                <w:highlight w:val="none"/>
              </w:rPr>
            </w:pPr>
            <w:r>
              <w:rPr>
                <w:rFonts w:hint="eastAsia" w:ascii="宋体" w:cs="宋体"/>
                <w:color w:val="auto"/>
                <w:sz w:val="24"/>
                <w:szCs w:val="24"/>
                <w:highlight w:val="none"/>
              </w:rPr>
              <w:t>注册号或社会信用代码</w:t>
            </w:r>
          </w:p>
        </w:tc>
        <w:tc>
          <w:tcPr>
            <w:tcW w:w="3118" w:type="dxa"/>
            <w:noWrap/>
            <w:vAlign w:val="center"/>
          </w:tcPr>
          <w:p w14:paraId="659FEA9E">
            <w:pPr>
              <w:pStyle w:val="327"/>
              <w:spacing w:line="440" w:lineRule="exact"/>
              <w:jc w:val="center"/>
              <w:rPr>
                <w:rFonts w:ascii="宋体" w:cs="宋体"/>
                <w:color w:val="auto"/>
                <w:sz w:val="24"/>
                <w:szCs w:val="24"/>
                <w:highlight w:val="none"/>
              </w:rPr>
            </w:pPr>
          </w:p>
        </w:tc>
        <w:tc>
          <w:tcPr>
            <w:tcW w:w="1276" w:type="dxa"/>
            <w:noWrap/>
            <w:vAlign w:val="center"/>
          </w:tcPr>
          <w:p w14:paraId="47FE438A">
            <w:pPr>
              <w:pStyle w:val="327"/>
              <w:spacing w:line="440" w:lineRule="exact"/>
              <w:jc w:val="center"/>
              <w:rPr>
                <w:rFonts w:ascii="宋体" w:cs="宋体"/>
                <w:color w:val="auto"/>
                <w:sz w:val="24"/>
                <w:szCs w:val="24"/>
                <w:highlight w:val="none"/>
              </w:rPr>
            </w:pPr>
            <w:r>
              <w:rPr>
                <w:rFonts w:hint="eastAsia" w:ascii="宋体" w:cs="宋体"/>
                <w:color w:val="auto"/>
                <w:sz w:val="24"/>
                <w:szCs w:val="24"/>
                <w:highlight w:val="none"/>
              </w:rPr>
              <w:t>注册资本（万元）</w:t>
            </w:r>
          </w:p>
        </w:tc>
        <w:tc>
          <w:tcPr>
            <w:tcW w:w="2604" w:type="dxa"/>
            <w:noWrap/>
            <w:vAlign w:val="center"/>
          </w:tcPr>
          <w:p w14:paraId="0EC7696C">
            <w:pPr>
              <w:pStyle w:val="327"/>
              <w:spacing w:line="440" w:lineRule="exact"/>
              <w:jc w:val="center"/>
              <w:rPr>
                <w:rFonts w:ascii="宋体" w:cs="宋体"/>
                <w:color w:val="auto"/>
                <w:sz w:val="24"/>
                <w:szCs w:val="24"/>
                <w:highlight w:val="none"/>
              </w:rPr>
            </w:pPr>
          </w:p>
        </w:tc>
      </w:tr>
      <w:tr w14:paraId="5C9364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ign w:val="center"/>
          </w:tcPr>
          <w:p w14:paraId="030C3BB4">
            <w:pPr>
              <w:pStyle w:val="327"/>
              <w:spacing w:line="440" w:lineRule="exact"/>
              <w:jc w:val="center"/>
              <w:rPr>
                <w:rFonts w:ascii="宋体" w:cs="宋体"/>
                <w:color w:val="auto"/>
                <w:sz w:val="24"/>
                <w:szCs w:val="24"/>
                <w:highlight w:val="none"/>
              </w:rPr>
            </w:pPr>
            <w:r>
              <w:rPr>
                <w:rFonts w:hint="eastAsia" w:ascii="宋体" w:cs="宋体"/>
                <w:color w:val="auto"/>
                <w:sz w:val="24"/>
                <w:szCs w:val="24"/>
                <w:highlight w:val="none"/>
              </w:rPr>
              <w:t>投标人类别</w:t>
            </w:r>
          </w:p>
        </w:tc>
        <w:tc>
          <w:tcPr>
            <w:tcW w:w="6998" w:type="dxa"/>
            <w:gridSpan w:val="3"/>
            <w:noWrap/>
            <w:vAlign w:val="center"/>
          </w:tcPr>
          <w:p w14:paraId="132EDE31">
            <w:pPr>
              <w:pStyle w:val="327"/>
              <w:spacing w:line="440" w:lineRule="exact"/>
              <w:jc w:val="center"/>
              <w:rPr>
                <w:rFonts w:ascii="宋体" w:cs="宋体"/>
                <w:color w:val="auto"/>
                <w:sz w:val="24"/>
                <w:szCs w:val="24"/>
                <w:highlight w:val="none"/>
              </w:rPr>
            </w:pPr>
          </w:p>
        </w:tc>
      </w:tr>
      <w:tr w14:paraId="491A5C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ign w:val="center"/>
          </w:tcPr>
          <w:p w14:paraId="063BCE78">
            <w:pPr>
              <w:pStyle w:val="327"/>
              <w:spacing w:line="440" w:lineRule="exact"/>
              <w:jc w:val="center"/>
              <w:rPr>
                <w:rFonts w:ascii="宋体" w:cs="宋体"/>
                <w:color w:val="auto"/>
                <w:sz w:val="24"/>
                <w:szCs w:val="24"/>
                <w:highlight w:val="none"/>
              </w:rPr>
            </w:pPr>
            <w:r>
              <w:rPr>
                <w:rFonts w:hint="eastAsia" w:ascii="宋体" w:cs="宋体"/>
                <w:color w:val="auto"/>
                <w:sz w:val="24"/>
                <w:szCs w:val="24"/>
                <w:highlight w:val="none"/>
              </w:rPr>
              <w:t>开户银行</w:t>
            </w:r>
          </w:p>
        </w:tc>
        <w:tc>
          <w:tcPr>
            <w:tcW w:w="3118" w:type="dxa"/>
            <w:noWrap/>
            <w:vAlign w:val="center"/>
          </w:tcPr>
          <w:p w14:paraId="0DCE6CAE">
            <w:pPr>
              <w:pStyle w:val="327"/>
              <w:spacing w:line="440" w:lineRule="exact"/>
              <w:jc w:val="center"/>
              <w:rPr>
                <w:rFonts w:ascii="宋体" w:cs="宋体"/>
                <w:color w:val="auto"/>
                <w:sz w:val="24"/>
                <w:szCs w:val="24"/>
                <w:highlight w:val="none"/>
              </w:rPr>
            </w:pPr>
          </w:p>
        </w:tc>
        <w:tc>
          <w:tcPr>
            <w:tcW w:w="1276" w:type="dxa"/>
            <w:noWrap/>
            <w:vAlign w:val="center"/>
          </w:tcPr>
          <w:p w14:paraId="63F3A387">
            <w:pPr>
              <w:pStyle w:val="327"/>
              <w:spacing w:line="440" w:lineRule="exact"/>
              <w:jc w:val="center"/>
              <w:rPr>
                <w:rFonts w:ascii="宋体" w:cs="宋体"/>
                <w:color w:val="auto"/>
                <w:sz w:val="24"/>
                <w:szCs w:val="24"/>
                <w:highlight w:val="none"/>
              </w:rPr>
            </w:pPr>
            <w:r>
              <w:rPr>
                <w:rFonts w:hint="eastAsia" w:ascii="宋体" w:cs="宋体"/>
                <w:color w:val="auto"/>
                <w:sz w:val="24"/>
                <w:szCs w:val="24"/>
                <w:highlight w:val="none"/>
              </w:rPr>
              <w:t>账号</w:t>
            </w:r>
          </w:p>
        </w:tc>
        <w:tc>
          <w:tcPr>
            <w:tcW w:w="2604" w:type="dxa"/>
            <w:noWrap/>
            <w:vAlign w:val="center"/>
          </w:tcPr>
          <w:p w14:paraId="2657710A">
            <w:pPr>
              <w:pStyle w:val="327"/>
              <w:spacing w:line="440" w:lineRule="exact"/>
              <w:jc w:val="center"/>
              <w:rPr>
                <w:rFonts w:ascii="宋体" w:cs="宋体"/>
                <w:color w:val="auto"/>
                <w:sz w:val="24"/>
                <w:szCs w:val="24"/>
                <w:highlight w:val="none"/>
              </w:rPr>
            </w:pPr>
          </w:p>
        </w:tc>
      </w:tr>
      <w:tr w14:paraId="09C5D7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ign w:val="center"/>
          </w:tcPr>
          <w:p w14:paraId="2FF5D871">
            <w:pPr>
              <w:pStyle w:val="327"/>
              <w:spacing w:line="440" w:lineRule="exact"/>
              <w:jc w:val="center"/>
              <w:rPr>
                <w:rFonts w:ascii="宋体" w:cs="宋体"/>
                <w:color w:val="auto"/>
                <w:sz w:val="24"/>
                <w:szCs w:val="24"/>
                <w:highlight w:val="none"/>
              </w:rPr>
            </w:pPr>
            <w:r>
              <w:rPr>
                <w:rFonts w:hint="eastAsia" w:ascii="宋体" w:cs="宋体"/>
                <w:color w:val="auto"/>
                <w:sz w:val="24"/>
                <w:szCs w:val="24"/>
                <w:highlight w:val="none"/>
              </w:rPr>
              <w:t>联系人</w:t>
            </w:r>
          </w:p>
        </w:tc>
        <w:tc>
          <w:tcPr>
            <w:tcW w:w="3118" w:type="dxa"/>
            <w:noWrap/>
            <w:vAlign w:val="center"/>
          </w:tcPr>
          <w:p w14:paraId="4ED9DEC6">
            <w:pPr>
              <w:pStyle w:val="327"/>
              <w:spacing w:line="440" w:lineRule="exact"/>
              <w:jc w:val="center"/>
              <w:rPr>
                <w:rFonts w:ascii="宋体" w:cs="宋体"/>
                <w:color w:val="auto"/>
                <w:sz w:val="24"/>
                <w:szCs w:val="24"/>
                <w:highlight w:val="none"/>
              </w:rPr>
            </w:pPr>
          </w:p>
        </w:tc>
        <w:tc>
          <w:tcPr>
            <w:tcW w:w="1276" w:type="dxa"/>
            <w:noWrap/>
            <w:vAlign w:val="center"/>
          </w:tcPr>
          <w:p w14:paraId="0C3026F6">
            <w:pPr>
              <w:pStyle w:val="327"/>
              <w:spacing w:line="440" w:lineRule="exact"/>
              <w:jc w:val="center"/>
              <w:rPr>
                <w:rFonts w:ascii="宋体" w:cs="宋体"/>
                <w:color w:val="auto"/>
                <w:sz w:val="24"/>
                <w:szCs w:val="24"/>
                <w:highlight w:val="none"/>
              </w:rPr>
            </w:pPr>
            <w:r>
              <w:rPr>
                <w:rFonts w:hint="eastAsia" w:ascii="宋体" w:cs="宋体"/>
                <w:color w:val="auto"/>
                <w:sz w:val="24"/>
                <w:szCs w:val="24"/>
                <w:highlight w:val="none"/>
              </w:rPr>
              <w:t>联系电话</w:t>
            </w:r>
          </w:p>
        </w:tc>
        <w:tc>
          <w:tcPr>
            <w:tcW w:w="2604" w:type="dxa"/>
            <w:noWrap/>
            <w:vAlign w:val="center"/>
          </w:tcPr>
          <w:p w14:paraId="6574D29E">
            <w:pPr>
              <w:pStyle w:val="327"/>
              <w:spacing w:line="440" w:lineRule="exact"/>
              <w:jc w:val="center"/>
              <w:rPr>
                <w:rFonts w:ascii="宋体" w:cs="宋体"/>
                <w:color w:val="auto"/>
                <w:sz w:val="24"/>
                <w:szCs w:val="24"/>
                <w:highlight w:val="none"/>
              </w:rPr>
            </w:pPr>
          </w:p>
        </w:tc>
      </w:tr>
      <w:tr w14:paraId="2C552E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6" w:hRule="atLeast"/>
          <w:jc w:val="center"/>
        </w:trPr>
        <w:tc>
          <w:tcPr>
            <w:tcW w:w="1526" w:type="dxa"/>
            <w:noWrap/>
            <w:vAlign w:val="center"/>
          </w:tcPr>
          <w:p w14:paraId="24541495">
            <w:pPr>
              <w:pStyle w:val="327"/>
              <w:spacing w:line="440" w:lineRule="exact"/>
              <w:jc w:val="center"/>
              <w:rPr>
                <w:rFonts w:ascii="宋体" w:cs="宋体"/>
                <w:color w:val="auto"/>
                <w:sz w:val="24"/>
                <w:szCs w:val="24"/>
                <w:highlight w:val="none"/>
              </w:rPr>
            </w:pPr>
            <w:r>
              <w:rPr>
                <w:rFonts w:hint="eastAsia" w:ascii="宋体" w:cs="宋体"/>
                <w:color w:val="auto"/>
                <w:sz w:val="24"/>
                <w:szCs w:val="24"/>
                <w:highlight w:val="none"/>
              </w:rPr>
              <w:t>经营范围</w:t>
            </w:r>
          </w:p>
        </w:tc>
        <w:tc>
          <w:tcPr>
            <w:tcW w:w="6998" w:type="dxa"/>
            <w:gridSpan w:val="3"/>
            <w:noWrap/>
          </w:tcPr>
          <w:p w14:paraId="3145A1AB">
            <w:pPr>
              <w:pStyle w:val="327"/>
              <w:spacing w:line="440" w:lineRule="exact"/>
              <w:ind w:firstLine="1432"/>
              <w:rPr>
                <w:rFonts w:ascii="宋体" w:cs="宋体"/>
                <w:color w:val="auto"/>
                <w:sz w:val="24"/>
                <w:szCs w:val="24"/>
                <w:highlight w:val="none"/>
              </w:rPr>
            </w:pPr>
          </w:p>
        </w:tc>
      </w:tr>
      <w:tr w14:paraId="695B61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jc w:val="center"/>
        </w:trPr>
        <w:tc>
          <w:tcPr>
            <w:tcW w:w="1526" w:type="dxa"/>
            <w:noWrap/>
            <w:vAlign w:val="center"/>
          </w:tcPr>
          <w:p w14:paraId="04EAC205">
            <w:pPr>
              <w:pStyle w:val="327"/>
              <w:spacing w:line="440" w:lineRule="exact"/>
              <w:jc w:val="center"/>
              <w:rPr>
                <w:rFonts w:ascii="宋体" w:cs="宋体"/>
                <w:color w:val="auto"/>
                <w:sz w:val="24"/>
                <w:szCs w:val="24"/>
                <w:highlight w:val="none"/>
              </w:rPr>
            </w:pPr>
            <w:r>
              <w:rPr>
                <w:rFonts w:hint="eastAsia" w:ascii="宋体" w:cs="宋体"/>
                <w:color w:val="auto"/>
                <w:sz w:val="24"/>
                <w:szCs w:val="24"/>
                <w:highlight w:val="none"/>
              </w:rPr>
              <w:t>备注</w:t>
            </w:r>
          </w:p>
        </w:tc>
        <w:tc>
          <w:tcPr>
            <w:tcW w:w="6998" w:type="dxa"/>
            <w:gridSpan w:val="3"/>
            <w:noWrap/>
            <w:vAlign w:val="center"/>
          </w:tcPr>
          <w:p w14:paraId="0730EAB6">
            <w:pPr>
              <w:pStyle w:val="327"/>
              <w:spacing w:line="440" w:lineRule="exact"/>
              <w:rPr>
                <w:rFonts w:ascii="宋体" w:cs="宋体"/>
                <w:color w:val="auto"/>
                <w:sz w:val="24"/>
                <w:szCs w:val="24"/>
                <w:highlight w:val="none"/>
              </w:rPr>
            </w:pPr>
            <w:r>
              <w:rPr>
                <w:rFonts w:hint="eastAsia" w:ascii="宋体" w:cs="宋体"/>
                <w:color w:val="auto"/>
                <w:sz w:val="24"/>
                <w:szCs w:val="24"/>
                <w:highlight w:val="none"/>
              </w:rPr>
              <w:t>附营业执照</w:t>
            </w:r>
          </w:p>
        </w:tc>
      </w:tr>
    </w:tbl>
    <w:p w14:paraId="6D9548C0">
      <w:pPr>
        <w:spacing w:line="440" w:lineRule="exact"/>
        <w:ind w:firstLine="480"/>
        <w:rPr>
          <w:rFonts w:ascii="宋体" w:cs="宋体"/>
          <w:color w:val="auto"/>
          <w:sz w:val="24"/>
          <w:highlight w:val="none"/>
        </w:rPr>
      </w:pPr>
    </w:p>
    <w:p w14:paraId="4BFCDD72">
      <w:pPr>
        <w:spacing w:line="440" w:lineRule="exact"/>
        <w:ind w:firstLine="480"/>
        <w:rPr>
          <w:rFonts w:ascii="宋体" w:cs="宋体"/>
          <w:color w:val="auto"/>
          <w:sz w:val="24"/>
          <w:highlight w:val="none"/>
        </w:rPr>
      </w:pPr>
    </w:p>
    <w:p w14:paraId="2F32CCD4">
      <w:pPr>
        <w:spacing w:line="440" w:lineRule="exact"/>
        <w:outlineLvl w:val="1"/>
        <w:rPr>
          <w:rFonts w:ascii="宋体" w:cs="宋体"/>
          <w:i/>
          <w:color w:val="auto"/>
          <w:sz w:val="24"/>
          <w:highlight w:val="none"/>
          <w:u w:val="single"/>
        </w:rPr>
      </w:pPr>
      <w:r>
        <w:rPr>
          <w:rFonts w:hint="eastAsia" w:ascii="宋体" w:cs="宋体"/>
          <w:b/>
          <w:color w:val="auto"/>
          <w:sz w:val="24"/>
          <w:highlight w:val="none"/>
        </w:rPr>
        <w:t>三、特定资格要求的证明文件</w:t>
      </w:r>
    </w:p>
    <w:p w14:paraId="69B71B88">
      <w:pPr>
        <w:spacing w:line="440" w:lineRule="exact"/>
        <w:rPr>
          <w:rFonts w:ascii="宋体" w:cs="宋体"/>
          <w:bCs/>
          <w:color w:val="auto"/>
          <w:sz w:val="24"/>
          <w:highlight w:val="none"/>
        </w:rPr>
      </w:pPr>
      <w:r>
        <w:rPr>
          <w:rFonts w:hint="eastAsia" w:ascii="宋体" w:cs="宋体"/>
          <w:color w:val="auto"/>
          <w:sz w:val="24"/>
          <w:highlight w:val="none"/>
        </w:rPr>
        <w:t xml:space="preserve">    如果本项目申请人的特定资格要求中要求提供的，必须提供。</w:t>
      </w:r>
    </w:p>
    <w:p w14:paraId="12244221">
      <w:pPr>
        <w:spacing w:line="440" w:lineRule="exact"/>
        <w:ind w:firstLine="420"/>
        <w:rPr>
          <w:rFonts w:ascii="宋体" w:cs="宋体"/>
          <w:bCs/>
          <w:color w:val="auto"/>
          <w:sz w:val="24"/>
          <w:highlight w:val="none"/>
        </w:rPr>
      </w:pPr>
    </w:p>
    <w:p w14:paraId="1F6F7FC8">
      <w:pPr>
        <w:outlineLvl w:val="1"/>
        <w:rPr>
          <w:color w:val="auto"/>
          <w:highlight w:val="none"/>
        </w:rPr>
      </w:pPr>
      <w:r>
        <w:rPr>
          <w:rFonts w:hint="eastAsia"/>
          <w:color w:val="auto"/>
          <w:highlight w:val="none"/>
        </w:rPr>
        <w:br w:type="page" w:clear="all"/>
      </w:r>
      <w:bookmarkStart w:id="149" w:name="_Toc29506"/>
      <w:bookmarkStart w:id="150" w:name="_Toc3680"/>
      <w:bookmarkStart w:id="151" w:name="_Toc27409"/>
      <w:r>
        <w:rPr>
          <w:rFonts w:hint="eastAsia" w:ascii="黑体" w:hAnsi="黑体" w:eastAsia="黑体" w:cs="黑体"/>
          <w:bCs/>
          <w:color w:val="auto"/>
          <w:sz w:val="32"/>
          <w:szCs w:val="24"/>
          <w:highlight w:val="none"/>
        </w:rPr>
        <w:t>四、</w:t>
      </w:r>
      <w:bookmarkEnd w:id="149"/>
      <w:bookmarkEnd w:id="150"/>
      <w:r>
        <w:rPr>
          <w:rFonts w:hint="eastAsia" w:ascii="黑体" w:hAnsi="黑体" w:eastAsia="黑体" w:cs="黑体"/>
          <w:bCs/>
          <w:color w:val="auto"/>
          <w:sz w:val="32"/>
          <w:szCs w:val="24"/>
          <w:highlight w:val="none"/>
        </w:rPr>
        <w:t>法人授权书</w:t>
      </w:r>
      <w:bookmarkEnd w:id="151"/>
    </w:p>
    <w:p w14:paraId="6A67F50E">
      <w:pPr>
        <w:pStyle w:val="342"/>
        <w:jc w:val="center"/>
        <w:rPr>
          <w:rFonts w:ascii="方正小标宋_GBK" w:eastAsia="方正小标宋_GBK"/>
          <w:bCs/>
          <w:color w:val="auto"/>
          <w:sz w:val="32"/>
          <w:szCs w:val="32"/>
          <w:highlight w:val="none"/>
        </w:rPr>
      </w:pPr>
      <w:bookmarkStart w:id="152" w:name="OLE_LINK6"/>
      <w:r>
        <w:rPr>
          <w:rFonts w:hint="eastAsia" w:ascii="方正小标宋_GBK" w:eastAsia="方正小标宋_GBK"/>
          <w:bCs/>
          <w:color w:val="auto"/>
          <w:sz w:val="32"/>
          <w:szCs w:val="32"/>
          <w:highlight w:val="none"/>
        </w:rPr>
        <w:t>法人授权书</w:t>
      </w:r>
      <w:bookmarkEnd w:id="152"/>
    </w:p>
    <w:p w14:paraId="39D55820">
      <w:pPr>
        <w:pBdr>
          <w:top w:val="none" w:color="000000" w:sz="0" w:space="0"/>
          <w:left w:val="none" w:color="000000" w:sz="0" w:space="0"/>
          <w:bottom w:val="none" w:color="000000" w:sz="0" w:space="0"/>
          <w:right w:val="none" w:color="000000" w:sz="0" w:space="0"/>
        </w:pBdr>
        <w:spacing w:line="400" w:lineRule="atLeast"/>
        <w:ind w:firstLine="480"/>
        <w:rPr>
          <w:rFonts w:ascii="宋体" w:hAnsi="宋体" w:cs="宋体"/>
          <w:color w:val="auto"/>
          <w:highlight w:val="none"/>
        </w:rPr>
      </w:pPr>
      <w:r>
        <w:rPr>
          <w:rFonts w:hint="eastAsia" w:ascii="宋体" w:hAnsi="宋体" w:cs="宋体"/>
          <w:color w:val="auto"/>
          <w:sz w:val="24"/>
          <w:highlight w:val="none"/>
        </w:rPr>
        <w:t>本授权书声明：____________（投标人名称）授权________________（被授权人的姓名）为我方就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号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采购活动的合法代理人，以本单位名义全权处理一切与该项目采购有关的事务。</w:t>
      </w:r>
    </w:p>
    <w:p w14:paraId="232BD75E">
      <w:pPr>
        <w:pBdr>
          <w:top w:val="none" w:color="000000" w:sz="0" w:space="0"/>
          <w:left w:val="none" w:color="000000" w:sz="0" w:space="0"/>
          <w:bottom w:val="none" w:color="000000" w:sz="0" w:space="0"/>
          <w:right w:val="none" w:color="000000" w:sz="0" w:space="0"/>
        </w:pBdr>
        <w:spacing w:line="400" w:lineRule="atLeast"/>
        <w:ind w:firstLine="480"/>
        <w:rPr>
          <w:rFonts w:ascii="宋体" w:hAnsi="宋体" w:cs="宋体"/>
          <w:color w:val="auto"/>
          <w:highlight w:val="none"/>
        </w:rPr>
      </w:pPr>
      <w:r>
        <w:rPr>
          <w:rFonts w:hint="eastAsia" w:ascii="宋体" w:hAnsi="宋体" w:cs="宋体"/>
          <w:color w:val="auto"/>
          <w:sz w:val="24"/>
          <w:highlight w:val="none"/>
        </w:rPr>
        <w:t>本授权书于______年____月____日起生效，特此声明。</w:t>
      </w:r>
    </w:p>
    <w:p w14:paraId="4C242857">
      <w:pPr>
        <w:pBdr>
          <w:top w:val="none" w:color="000000" w:sz="0" w:space="0"/>
          <w:left w:val="none" w:color="000000" w:sz="0" w:space="0"/>
          <w:bottom w:val="none" w:color="000000" w:sz="0" w:space="0"/>
          <w:right w:val="none" w:color="000000" w:sz="0" w:space="0"/>
        </w:pBdr>
        <w:spacing w:line="400" w:lineRule="atLeast"/>
        <w:rPr>
          <w:rFonts w:ascii="宋体" w:hAnsi="宋体" w:cs="宋体"/>
          <w:color w:val="auto"/>
          <w:highlight w:val="none"/>
        </w:rPr>
      </w:pPr>
      <w:r>
        <w:rPr>
          <w:rFonts w:hint="eastAsia" w:ascii="宋体" w:hAnsi="宋体" w:cs="宋体"/>
          <w:color w:val="auto"/>
          <w:sz w:val="24"/>
          <w:highlight w:val="none"/>
        </w:rPr>
        <w:t>  被授权人身份证号码：</w:t>
      </w:r>
      <w:r>
        <w:rPr>
          <w:rFonts w:hint="eastAsia" w:ascii="宋体" w:hAnsi="宋体" w:cs="宋体"/>
          <w:color w:val="auto"/>
          <w:sz w:val="24"/>
          <w:highlight w:val="none"/>
          <w:u w:val="single"/>
        </w:rPr>
        <w:t>           </w:t>
      </w:r>
    </w:p>
    <w:p w14:paraId="1B1FA8E1">
      <w:pPr>
        <w:pBdr>
          <w:top w:val="none" w:color="000000" w:sz="0" w:space="0"/>
          <w:left w:val="none" w:color="000000" w:sz="0" w:space="0"/>
          <w:bottom w:val="none" w:color="000000" w:sz="0" w:space="0"/>
          <w:right w:val="none" w:color="000000" w:sz="0" w:space="0"/>
        </w:pBdr>
        <w:spacing w:line="400" w:lineRule="atLeast"/>
        <w:rPr>
          <w:rFonts w:ascii="宋体" w:hAnsi="宋体" w:cs="宋体"/>
          <w:color w:val="auto"/>
          <w:highlight w:val="none"/>
        </w:rPr>
      </w:pPr>
      <w:r>
        <w:rPr>
          <w:rFonts w:hint="eastAsia" w:ascii="宋体" w:hAnsi="宋体" w:cs="宋体"/>
          <w:color w:val="auto"/>
          <w:sz w:val="24"/>
          <w:highlight w:val="none"/>
        </w:rPr>
        <w:t>  被授权人联系电话：（手机）</w:t>
      </w:r>
      <w:r>
        <w:rPr>
          <w:rFonts w:hint="eastAsia" w:ascii="宋体" w:hAnsi="宋体" w:cs="宋体"/>
          <w:color w:val="auto"/>
          <w:sz w:val="24"/>
          <w:highlight w:val="none"/>
          <w:u w:val="single"/>
        </w:rPr>
        <w:t>          </w:t>
      </w:r>
    </w:p>
    <w:p w14:paraId="6259BA4F">
      <w:pPr>
        <w:pBdr>
          <w:top w:val="none" w:color="000000" w:sz="0" w:space="0"/>
          <w:left w:val="none" w:color="000000" w:sz="0" w:space="0"/>
          <w:bottom w:val="none" w:color="000000" w:sz="0" w:space="0"/>
          <w:right w:val="none" w:color="000000" w:sz="0" w:space="0"/>
        </w:pBdr>
        <w:spacing w:line="400" w:lineRule="atLeast"/>
        <w:ind w:firstLine="480"/>
        <w:rPr>
          <w:rFonts w:ascii="宋体" w:hAnsi="宋体" w:cs="宋体"/>
          <w:color w:val="auto"/>
          <w:highlight w:val="none"/>
        </w:rPr>
      </w:pPr>
      <w:r>
        <w:rPr>
          <w:rFonts w:hint="eastAsia" w:ascii="宋体" w:hAnsi="宋体" w:cs="宋体"/>
          <w:color w:val="auto"/>
          <w:sz w:val="24"/>
          <w:highlight w:val="none"/>
        </w:rPr>
        <w:t>授权单位名称：</w:t>
      </w:r>
      <w:r>
        <w:rPr>
          <w:rFonts w:hint="eastAsia" w:ascii="宋体" w:hAnsi="宋体" w:cs="宋体"/>
          <w:color w:val="auto"/>
          <w:sz w:val="24"/>
          <w:highlight w:val="none"/>
          <w:u w:val="single"/>
        </w:rPr>
        <w:t>（加盖CA电子公章）</w:t>
      </w:r>
    </w:p>
    <w:p w14:paraId="02726F0A">
      <w:pPr>
        <w:pBdr>
          <w:top w:val="none" w:color="000000" w:sz="0" w:space="0"/>
          <w:left w:val="none" w:color="000000" w:sz="0" w:space="0"/>
          <w:bottom w:val="none" w:color="000000" w:sz="0" w:space="0"/>
          <w:right w:val="none" w:color="000000" w:sz="0" w:space="0"/>
        </w:pBdr>
        <w:spacing w:line="400" w:lineRule="atLeast"/>
        <w:ind w:firstLine="480"/>
        <w:rPr>
          <w:rFonts w:ascii="宋体" w:hAnsi="宋体" w:cs="宋体"/>
          <w:color w:val="auto"/>
          <w:highlight w:val="none"/>
        </w:rPr>
      </w:pPr>
      <w:r>
        <w:rPr>
          <w:rFonts w:hint="eastAsia" w:ascii="宋体" w:hAnsi="宋体" w:cs="宋体"/>
          <w:color w:val="auto"/>
          <w:sz w:val="24"/>
          <w:highlight w:val="none"/>
        </w:rPr>
        <w:t>单位地址：</w:t>
      </w:r>
      <w:r>
        <w:rPr>
          <w:rFonts w:hint="eastAsia" w:ascii="宋体" w:hAnsi="宋体" w:cs="宋体"/>
          <w:color w:val="auto"/>
          <w:sz w:val="24"/>
          <w:highlight w:val="none"/>
          <w:u w:val="single"/>
        </w:rPr>
        <w:t>                  </w:t>
      </w:r>
    </w:p>
    <w:p w14:paraId="2BC805DE">
      <w:pPr>
        <w:pBdr>
          <w:top w:val="none" w:color="000000" w:sz="0" w:space="0"/>
          <w:left w:val="none" w:color="000000" w:sz="0" w:space="0"/>
          <w:bottom w:val="none" w:color="000000" w:sz="0" w:space="0"/>
          <w:right w:val="none" w:color="000000" w:sz="0" w:space="0"/>
        </w:pBdr>
        <w:spacing w:line="559" w:lineRule="atLeast"/>
        <w:rPr>
          <w:rFonts w:ascii="宋体" w:hAnsi="宋体" w:cs="宋体"/>
          <w:color w:val="auto"/>
          <w:highlight w:val="none"/>
        </w:rPr>
      </w:pPr>
      <w:r>
        <w:rPr>
          <w:rFonts w:hint="eastAsia" w:ascii="宋体" w:hAnsi="宋体" w:cs="宋体"/>
          <w:color w:val="auto"/>
          <w:sz w:val="24"/>
          <w:highlight w:val="none"/>
        </w:rPr>
        <w:t>  日期：</w:t>
      </w:r>
      <w:r>
        <w:rPr>
          <w:rFonts w:hint="eastAsia" w:ascii="宋体" w:hAnsi="宋体" w:cs="宋体"/>
          <w:color w:val="auto"/>
          <w:sz w:val="24"/>
          <w:highlight w:val="none"/>
          <w:u w:val="single"/>
        </w:rPr>
        <w:t>                      </w:t>
      </w:r>
    </w:p>
    <w:p w14:paraId="3E1A494D">
      <w:pPr>
        <w:pStyle w:val="344"/>
        <w:spacing w:line="700" w:lineRule="exact"/>
        <w:ind w:firstLine="629"/>
        <w:rPr>
          <w:rFonts w:ascii="方正仿宋_GBK" w:eastAsia="方正仿宋_GBK"/>
          <w:color w:val="auto"/>
          <w:sz w:val="24"/>
          <w:highlight w:val="none"/>
        </w:rPr>
      </w:pPr>
    </w:p>
    <w:p w14:paraId="6D1E6229">
      <w:pPr>
        <w:pBdr>
          <w:top w:val="none" w:color="000000" w:sz="0" w:space="0"/>
          <w:left w:val="none" w:color="000000" w:sz="0" w:space="0"/>
          <w:bottom w:val="none" w:color="000000" w:sz="0" w:space="0"/>
          <w:right w:val="none" w:color="000000" w:sz="0" w:space="0"/>
        </w:pBdr>
        <w:spacing w:line="499" w:lineRule="atLeast"/>
        <w:ind w:firstLine="480"/>
        <w:rPr>
          <w:rFonts w:ascii="宋体" w:hAnsi="宋体" w:cs="宋体"/>
          <w:b/>
          <w:bCs/>
          <w:color w:val="auto"/>
          <w:sz w:val="24"/>
          <w:highlight w:val="none"/>
        </w:rPr>
      </w:pPr>
      <w:r>
        <w:rPr>
          <w:rFonts w:hint="eastAsia" w:ascii="宋体" w:hAnsi="宋体" w:cs="宋体"/>
          <w:b/>
          <w:bCs/>
          <w:color w:val="auto"/>
          <w:sz w:val="24"/>
          <w:highlight w:val="none"/>
        </w:rPr>
        <w:t>注：投标代理人(授权委托人)必须为本单位正式员工，并在投标文件中提供投标截止日前6个月内由本单位为其缴纳的任意1个月社会养老保险证明。</w:t>
      </w:r>
    </w:p>
    <w:p w14:paraId="507D7F4A">
      <w:pPr>
        <w:pStyle w:val="347"/>
        <w:outlineLvl w:val="1"/>
        <w:rPr>
          <w:color w:val="auto"/>
          <w:highlight w:val="none"/>
        </w:rPr>
      </w:pPr>
      <w:r>
        <w:rPr>
          <w:color w:val="auto"/>
          <w:highlight w:val="none"/>
        </w:rPr>
        <w:br w:type="page" w:clear="all"/>
      </w:r>
      <w:bookmarkStart w:id="153" w:name="_Toc13550"/>
      <w:bookmarkStart w:id="154" w:name="_Toc30543"/>
      <w:bookmarkStart w:id="155" w:name="_Toc27199"/>
      <w:r>
        <w:rPr>
          <w:rFonts w:hint="eastAsia"/>
          <w:b w:val="0"/>
          <w:bCs/>
          <w:color w:val="auto"/>
          <w:highlight w:val="none"/>
        </w:rPr>
        <w:t>五</w:t>
      </w:r>
      <w:r>
        <w:rPr>
          <w:b w:val="0"/>
          <w:bCs/>
          <w:color w:val="auto"/>
          <w:highlight w:val="none"/>
        </w:rPr>
        <w:t>、开标一览表</w:t>
      </w:r>
      <w:bookmarkEnd w:id="153"/>
      <w:bookmarkEnd w:id="154"/>
      <w:bookmarkEnd w:id="155"/>
    </w:p>
    <w:p w14:paraId="1EC5F77B">
      <w:pPr>
        <w:pStyle w:val="348"/>
        <w:rPr>
          <w:rFonts w:ascii="宋体" w:hAnsi="宋体" w:eastAsia="宋体" w:cs="宋体"/>
          <w:color w:val="auto"/>
          <w:highlight w:val="none"/>
        </w:rPr>
      </w:pPr>
    </w:p>
    <w:p w14:paraId="4D502E54">
      <w:pPr>
        <w:pStyle w:val="348"/>
        <w:rPr>
          <w:color w:val="auto"/>
          <w:highlight w:val="none"/>
        </w:rPr>
      </w:pPr>
      <w:r>
        <w:rPr>
          <w:rFonts w:hint="eastAsia" w:ascii="宋体" w:hAnsi="宋体" w:eastAsia="宋体" w:cs="宋体"/>
          <w:color w:val="auto"/>
          <w:highlight w:val="none"/>
        </w:rPr>
        <w:t>投标人全称</w:t>
      </w:r>
      <w:r>
        <w:rPr>
          <w:rFonts w:hint="eastAsia"/>
          <w:color w:val="auto"/>
          <w:highlight w:val="none"/>
        </w:rPr>
        <w:t>(CA</w:t>
      </w:r>
      <w:r>
        <w:rPr>
          <w:rFonts w:hint="eastAsia" w:ascii="宋体" w:hAnsi="宋体" w:eastAsia="宋体" w:cs="宋体"/>
          <w:color w:val="auto"/>
          <w:highlight w:val="none"/>
        </w:rPr>
        <w:t>公章</w:t>
      </w:r>
      <w:r>
        <w:rPr>
          <w:rFonts w:hint="eastAsia"/>
          <w:color w:val="auto"/>
          <w:highlight w:val="none"/>
        </w:rPr>
        <w:t xml:space="preserve">) </w:t>
      </w:r>
      <w:r>
        <w:rPr>
          <w:rFonts w:hint="eastAsia" w:eastAsia="宋体"/>
          <w:color w:val="auto"/>
          <w:highlight w:val="none"/>
        </w:rPr>
        <w:t>：</w:t>
      </w:r>
      <w:r>
        <w:rPr>
          <w:rFonts w:hint="eastAsia" w:ascii="宋体" w:hAnsi="宋体" w:eastAsia="宋体" w:cs="宋体"/>
          <w:color w:val="auto"/>
          <w:highlight w:val="none"/>
        </w:rPr>
        <w:t>供应商名称</w:t>
      </w:r>
    </w:p>
    <w:p w14:paraId="537DFBFE">
      <w:pPr>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采购项目名称：</w:t>
      </w:r>
    </w:p>
    <w:p w14:paraId="2F290846">
      <w:pPr>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采购项目编号： </w:t>
      </w:r>
    </w:p>
    <w:p w14:paraId="20964C87">
      <w:pPr>
        <w:spacing w:line="500" w:lineRule="exact"/>
        <w:rPr>
          <w:rFonts w:ascii="宋体" w:hAnsi="宋体" w:cs="宋体"/>
          <w:color w:val="auto"/>
          <w:sz w:val="24"/>
          <w:szCs w:val="24"/>
          <w:highlight w:val="none"/>
        </w:rPr>
      </w:pPr>
      <w:r>
        <w:rPr>
          <w:rFonts w:ascii="宋体" w:hAnsi="宋体" w:cs="宋体"/>
          <w:color w:val="auto"/>
          <w:sz w:val="24"/>
          <w:szCs w:val="24"/>
          <w:highlight w:val="none"/>
        </w:rPr>
        <w:t> </w:t>
      </w:r>
    </w:p>
    <w:tbl>
      <w:tblPr>
        <w:tblStyle w:val="15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630"/>
      </w:tblGrid>
      <w:tr w14:paraId="3FB61A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00" w:type="dxa"/>
            <w:noWrap w:val="0"/>
          </w:tcPr>
          <w:p w14:paraId="38EECCE6">
            <w:pPr>
              <w:spacing w:line="5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投标总报价</w:t>
            </w:r>
          </w:p>
        </w:tc>
      </w:tr>
      <w:tr w14:paraId="4A6CFA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00" w:type="dxa"/>
            <w:noWrap w:val="0"/>
          </w:tcPr>
          <w:p w14:paraId="5F4FCA6C">
            <w:pPr>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总价（小写）：          </w:t>
            </w:r>
            <w:r>
              <w:rPr>
                <w:rFonts w:ascii="宋体" w:hAnsi="宋体" w:cs="宋体"/>
                <w:color w:val="auto"/>
                <w:sz w:val="24"/>
                <w:szCs w:val="24"/>
                <w:highlight w:val="none"/>
              </w:rPr>
              <w:t>（人民币：元）</w:t>
            </w:r>
          </w:p>
        </w:tc>
      </w:tr>
      <w:tr w14:paraId="5F5EB1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00" w:type="dxa"/>
            <w:noWrap w:val="0"/>
          </w:tcPr>
          <w:p w14:paraId="4E453E2C">
            <w:pPr>
              <w:spacing w:line="500" w:lineRule="exact"/>
              <w:rPr>
                <w:rFonts w:ascii="宋体" w:hAnsi="宋体" w:cs="宋体"/>
                <w:color w:val="auto"/>
                <w:sz w:val="24"/>
                <w:szCs w:val="24"/>
                <w:highlight w:val="none"/>
              </w:rPr>
            </w:pPr>
            <w:r>
              <w:rPr>
                <w:rFonts w:ascii="宋体" w:hAnsi="宋体" w:cs="宋体"/>
                <w:color w:val="auto"/>
                <w:sz w:val="24"/>
                <w:szCs w:val="24"/>
                <w:highlight w:val="none"/>
              </w:rPr>
              <w:t>总价（大写）：</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（人民币：元）</w:t>
            </w:r>
          </w:p>
        </w:tc>
      </w:tr>
      <w:tr w14:paraId="6D7ABD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00" w:type="dxa"/>
            <w:noWrap w:val="0"/>
          </w:tcPr>
          <w:p w14:paraId="7BCAE887">
            <w:pPr>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运行维护期</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 xml:space="preserve">              年</w:t>
            </w:r>
          </w:p>
        </w:tc>
      </w:tr>
    </w:tbl>
    <w:p w14:paraId="7E8C60B1">
      <w:pPr>
        <w:spacing w:line="500" w:lineRule="exact"/>
        <w:rPr>
          <w:rFonts w:ascii="宋体" w:hAnsi="宋体" w:cs="宋体"/>
          <w:color w:val="auto"/>
          <w:sz w:val="24"/>
          <w:szCs w:val="24"/>
          <w:highlight w:val="none"/>
        </w:rPr>
      </w:pPr>
    </w:p>
    <w:p w14:paraId="5FA83CC4">
      <w:pPr>
        <w:rPr>
          <w:color w:val="auto"/>
          <w:highlight w:val="none"/>
        </w:rPr>
      </w:pPr>
    </w:p>
    <w:p w14:paraId="3A138D6F">
      <w:pPr>
        <w:rPr>
          <w:color w:val="auto"/>
          <w:highlight w:val="none"/>
        </w:rPr>
      </w:pPr>
    </w:p>
    <w:p w14:paraId="7D0EB45B">
      <w:pPr>
        <w:rPr>
          <w:color w:val="auto"/>
          <w:highlight w:val="none"/>
        </w:rPr>
      </w:pPr>
    </w:p>
    <w:p w14:paraId="6F447B1A">
      <w:pPr>
        <w:rPr>
          <w:rFonts w:ascii="宋体" w:hAnsi="宋体" w:cs="宋体"/>
          <w:color w:val="auto"/>
          <w:sz w:val="24"/>
          <w:highlight w:val="none"/>
        </w:rPr>
      </w:pP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     </w:t>
      </w:r>
      <w:bookmarkStart w:id="156" w:name="_Toc12113"/>
      <w:r>
        <w:rPr>
          <w:rFonts w:hint="eastAsia" w:ascii="宋体" w:hAnsi="宋体" w:cs="宋体"/>
          <w:color w:val="auto"/>
          <w:sz w:val="24"/>
          <w:highlight w:val="none"/>
        </w:rPr>
        <w:t xml:space="preserve">日期： </w:t>
      </w:r>
      <w:r>
        <w:rPr>
          <w:rFonts w:ascii="宋体" w:hAnsi="宋体" w:cs="宋体"/>
          <w:color w:val="auto"/>
          <w:sz w:val="24"/>
          <w:highlight w:val="none"/>
        </w:rPr>
        <w:t xml:space="preserve">    </w:t>
      </w:r>
      <w:r>
        <w:rPr>
          <w:rFonts w:hint="eastAsia" w:ascii="宋体" w:hAnsi="宋体" w:cs="宋体"/>
          <w:color w:val="auto"/>
          <w:sz w:val="24"/>
          <w:highlight w:val="none"/>
        </w:rPr>
        <w:t xml:space="preserve">年 </w:t>
      </w:r>
      <w:r>
        <w:rPr>
          <w:rFonts w:ascii="宋体" w:hAnsi="宋体" w:cs="宋体"/>
          <w:color w:val="auto"/>
          <w:sz w:val="24"/>
          <w:highlight w:val="none"/>
        </w:rPr>
        <w:t xml:space="preserve">    </w:t>
      </w:r>
      <w:r>
        <w:rPr>
          <w:rFonts w:hint="eastAsia" w:ascii="宋体" w:hAnsi="宋体" w:cs="宋体"/>
          <w:color w:val="auto"/>
          <w:sz w:val="24"/>
          <w:highlight w:val="none"/>
        </w:rPr>
        <w:t xml:space="preserve">月 </w:t>
      </w:r>
      <w:r>
        <w:rPr>
          <w:rFonts w:ascii="宋体" w:hAnsi="宋体" w:cs="宋体"/>
          <w:color w:val="auto"/>
          <w:sz w:val="24"/>
          <w:highlight w:val="none"/>
        </w:rPr>
        <w:t xml:space="preserve">    </w:t>
      </w:r>
      <w:r>
        <w:rPr>
          <w:rFonts w:hint="eastAsia" w:ascii="宋体" w:hAnsi="宋体" w:cs="宋体"/>
          <w:color w:val="auto"/>
          <w:sz w:val="24"/>
          <w:highlight w:val="none"/>
        </w:rPr>
        <w:t>日</w:t>
      </w:r>
      <w:bookmarkEnd w:id="156"/>
    </w:p>
    <w:p w14:paraId="3458C4F2">
      <w:pPr>
        <w:pStyle w:val="350"/>
        <w:outlineLvl w:val="1"/>
        <w:rPr>
          <w:color w:val="auto"/>
          <w:highlight w:val="none"/>
        </w:rPr>
      </w:pPr>
      <w:r>
        <w:rPr>
          <w:color w:val="auto"/>
          <w:highlight w:val="none"/>
        </w:rPr>
        <w:br w:type="page" w:clear="all"/>
      </w:r>
      <w:bookmarkStart w:id="157" w:name="_Toc956"/>
      <w:bookmarkStart w:id="158" w:name="_Toc26543"/>
      <w:bookmarkStart w:id="159" w:name="_Toc12614"/>
      <w:r>
        <w:rPr>
          <w:rFonts w:hint="eastAsia"/>
          <w:color w:val="auto"/>
          <w:highlight w:val="none"/>
        </w:rPr>
        <w:t>六</w:t>
      </w:r>
      <w:r>
        <w:rPr>
          <w:b w:val="0"/>
          <w:bCs/>
          <w:color w:val="auto"/>
          <w:highlight w:val="none"/>
        </w:rPr>
        <w:t>、</w:t>
      </w:r>
      <w:bookmarkEnd w:id="157"/>
      <w:bookmarkEnd w:id="158"/>
      <w:r>
        <w:rPr>
          <w:rFonts w:hint="eastAsia"/>
          <w:b w:val="0"/>
          <w:bCs/>
          <w:color w:val="auto"/>
          <w:highlight w:val="none"/>
        </w:rPr>
        <w:t>分项报价表</w:t>
      </w:r>
      <w:bookmarkEnd w:id="159"/>
    </w:p>
    <w:p w14:paraId="2E673778">
      <w:pPr>
        <w:pStyle w:val="342"/>
        <w:jc w:val="center"/>
        <w:rPr>
          <w:rFonts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分项报价表</w:t>
      </w:r>
    </w:p>
    <w:tbl>
      <w:tblPr>
        <w:tblStyle w:val="32"/>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56"/>
        <w:gridCol w:w="851"/>
        <w:gridCol w:w="660"/>
        <w:gridCol w:w="868"/>
        <w:gridCol w:w="1317"/>
        <w:gridCol w:w="1002"/>
        <w:gridCol w:w="748"/>
        <w:gridCol w:w="755"/>
        <w:gridCol w:w="1100"/>
        <w:gridCol w:w="760"/>
      </w:tblGrid>
      <w:tr w14:paraId="62BE1D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267" w:type="pct"/>
            <w:noWrap w:val="0"/>
          </w:tcPr>
          <w:p w14:paraId="6052CFDB">
            <w:pPr>
              <w:spacing w:line="0" w:lineRule="atLeast"/>
              <w:jc w:val="left"/>
              <w:rPr>
                <w:rFonts w:ascii="宋体" w:hAnsi="宋体"/>
                <w:color w:val="auto"/>
                <w:sz w:val="24"/>
                <w:szCs w:val="24"/>
                <w:highlight w:val="none"/>
              </w:rPr>
            </w:pPr>
            <w:r>
              <w:rPr>
                <w:rFonts w:hint="eastAsia" w:ascii="宋体" w:hAnsi="宋体"/>
                <w:color w:val="auto"/>
                <w:sz w:val="24"/>
                <w:szCs w:val="24"/>
                <w:highlight w:val="none"/>
              </w:rPr>
              <w:t>序号</w:t>
            </w:r>
          </w:p>
        </w:tc>
        <w:tc>
          <w:tcPr>
            <w:tcW w:w="500" w:type="pct"/>
            <w:noWrap w:val="0"/>
            <w:vAlign w:val="center"/>
          </w:tcPr>
          <w:p w14:paraId="4DE52B9F">
            <w:pPr>
              <w:spacing w:line="0" w:lineRule="atLeast"/>
              <w:jc w:val="left"/>
              <w:rPr>
                <w:rFonts w:ascii="宋体" w:hAnsi="宋体"/>
                <w:color w:val="auto"/>
                <w:sz w:val="24"/>
                <w:szCs w:val="24"/>
                <w:highlight w:val="none"/>
              </w:rPr>
            </w:pPr>
            <w:r>
              <w:rPr>
                <w:rFonts w:hint="eastAsia" w:ascii="宋体" w:hAnsi="宋体"/>
                <w:color w:val="auto"/>
                <w:sz w:val="24"/>
                <w:szCs w:val="24"/>
                <w:highlight w:val="none"/>
              </w:rPr>
              <w:t>产品</w:t>
            </w:r>
          </w:p>
          <w:p w14:paraId="4EAE47A1">
            <w:pPr>
              <w:spacing w:line="0" w:lineRule="atLeast"/>
              <w:jc w:val="left"/>
              <w:rPr>
                <w:rFonts w:ascii="宋体" w:hAnsi="宋体"/>
                <w:color w:val="auto"/>
                <w:sz w:val="24"/>
                <w:szCs w:val="24"/>
                <w:highlight w:val="none"/>
              </w:rPr>
            </w:pPr>
            <w:r>
              <w:rPr>
                <w:rFonts w:hint="eastAsia" w:ascii="宋体" w:hAnsi="宋体"/>
                <w:color w:val="auto"/>
                <w:sz w:val="24"/>
                <w:szCs w:val="24"/>
                <w:highlight w:val="none"/>
              </w:rPr>
              <w:t>名称</w:t>
            </w:r>
          </w:p>
        </w:tc>
        <w:tc>
          <w:tcPr>
            <w:tcW w:w="387" w:type="pct"/>
            <w:noWrap w:val="0"/>
            <w:vAlign w:val="center"/>
          </w:tcPr>
          <w:p w14:paraId="27CA46CD">
            <w:pPr>
              <w:spacing w:line="0" w:lineRule="atLeast"/>
              <w:jc w:val="left"/>
              <w:rPr>
                <w:rFonts w:ascii="宋体" w:hAnsi="宋体"/>
                <w:color w:val="auto"/>
                <w:sz w:val="24"/>
                <w:szCs w:val="24"/>
                <w:highlight w:val="none"/>
              </w:rPr>
            </w:pPr>
            <w:r>
              <w:rPr>
                <w:rFonts w:hint="eastAsia" w:ascii="宋体" w:hAnsi="宋体"/>
                <w:color w:val="auto"/>
                <w:sz w:val="24"/>
                <w:szCs w:val="24"/>
                <w:highlight w:val="none"/>
              </w:rPr>
              <w:t>品牌</w:t>
            </w:r>
          </w:p>
        </w:tc>
        <w:tc>
          <w:tcPr>
            <w:tcW w:w="510" w:type="pct"/>
            <w:noWrap w:val="0"/>
            <w:vAlign w:val="center"/>
          </w:tcPr>
          <w:p w14:paraId="13AEA14E">
            <w:pPr>
              <w:spacing w:line="0" w:lineRule="atLeast"/>
              <w:jc w:val="left"/>
              <w:rPr>
                <w:rFonts w:ascii="宋体" w:hAnsi="宋体"/>
                <w:color w:val="auto"/>
                <w:sz w:val="24"/>
                <w:szCs w:val="24"/>
                <w:highlight w:val="none"/>
              </w:rPr>
            </w:pPr>
            <w:r>
              <w:rPr>
                <w:rFonts w:hint="eastAsia" w:ascii="宋体" w:hAnsi="宋体"/>
                <w:color w:val="auto"/>
                <w:sz w:val="24"/>
                <w:szCs w:val="24"/>
                <w:highlight w:val="none"/>
              </w:rPr>
              <w:t>规格</w:t>
            </w:r>
          </w:p>
          <w:p w14:paraId="0B7C9624">
            <w:pPr>
              <w:spacing w:line="0" w:lineRule="atLeast"/>
              <w:jc w:val="left"/>
              <w:rPr>
                <w:rFonts w:ascii="宋体" w:hAnsi="宋体"/>
                <w:color w:val="auto"/>
                <w:sz w:val="24"/>
                <w:szCs w:val="24"/>
                <w:highlight w:val="none"/>
              </w:rPr>
            </w:pPr>
            <w:r>
              <w:rPr>
                <w:rFonts w:hint="eastAsia" w:ascii="宋体" w:hAnsi="宋体"/>
                <w:color w:val="auto"/>
                <w:sz w:val="24"/>
                <w:szCs w:val="24"/>
                <w:highlight w:val="none"/>
              </w:rPr>
              <w:t>型号</w:t>
            </w:r>
          </w:p>
        </w:tc>
        <w:tc>
          <w:tcPr>
            <w:tcW w:w="773" w:type="pct"/>
            <w:noWrap w:val="0"/>
            <w:vAlign w:val="center"/>
          </w:tcPr>
          <w:p w14:paraId="46645635">
            <w:pPr>
              <w:spacing w:line="0" w:lineRule="atLeast"/>
              <w:jc w:val="left"/>
              <w:rPr>
                <w:rFonts w:ascii="宋体" w:hAnsi="宋体"/>
                <w:color w:val="auto"/>
                <w:sz w:val="24"/>
                <w:szCs w:val="24"/>
                <w:highlight w:val="none"/>
              </w:rPr>
            </w:pPr>
            <w:r>
              <w:rPr>
                <w:rFonts w:hint="eastAsia" w:ascii="宋体" w:hAnsi="宋体"/>
                <w:color w:val="auto"/>
                <w:sz w:val="24"/>
                <w:szCs w:val="24"/>
                <w:highlight w:val="none"/>
              </w:rPr>
              <w:t>制造商名称</w:t>
            </w:r>
          </w:p>
        </w:tc>
        <w:tc>
          <w:tcPr>
            <w:tcW w:w="588" w:type="pct"/>
            <w:noWrap w:val="0"/>
            <w:vAlign w:val="center"/>
          </w:tcPr>
          <w:p w14:paraId="062FF4DE">
            <w:pPr>
              <w:spacing w:line="0" w:lineRule="atLeast"/>
              <w:jc w:val="left"/>
              <w:rPr>
                <w:rFonts w:ascii="宋体" w:hAnsi="宋体"/>
                <w:color w:val="auto"/>
                <w:sz w:val="24"/>
                <w:szCs w:val="24"/>
                <w:highlight w:val="none"/>
              </w:rPr>
            </w:pPr>
            <w:r>
              <w:rPr>
                <w:rFonts w:hint="eastAsia" w:ascii="宋体" w:hAnsi="宋体"/>
                <w:color w:val="auto"/>
                <w:sz w:val="24"/>
                <w:szCs w:val="24"/>
                <w:highlight w:val="none"/>
              </w:rPr>
              <w:t>产地</w:t>
            </w:r>
          </w:p>
        </w:tc>
        <w:tc>
          <w:tcPr>
            <w:tcW w:w="439" w:type="pct"/>
            <w:noWrap w:val="0"/>
            <w:vAlign w:val="center"/>
          </w:tcPr>
          <w:p w14:paraId="2F291469">
            <w:pPr>
              <w:spacing w:line="0" w:lineRule="atLeast"/>
              <w:jc w:val="left"/>
              <w:rPr>
                <w:rFonts w:ascii="宋体" w:hAnsi="宋体"/>
                <w:color w:val="auto"/>
                <w:sz w:val="24"/>
                <w:szCs w:val="24"/>
                <w:highlight w:val="none"/>
              </w:rPr>
            </w:pPr>
            <w:r>
              <w:rPr>
                <w:rFonts w:hint="eastAsia" w:ascii="宋体" w:hAnsi="宋体"/>
                <w:color w:val="auto"/>
                <w:sz w:val="24"/>
                <w:szCs w:val="24"/>
                <w:highlight w:val="none"/>
              </w:rPr>
              <w:t>数量</w:t>
            </w:r>
          </w:p>
        </w:tc>
        <w:tc>
          <w:tcPr>
            <w:tcW w:w="443" w:type="pct"/>
            <w:noWrap w:val="0"/>
            <w:vAlign w:val="center"/>
          </w:tcPr>
          <w:p w14:paraId="540523AE">
            <w:pPr>
              <w:spacing w:line="0" w:lineRule="atLeast"/>
              <w:jc w:val="left"/>
              <w:rPr>
                <w:rFonts w:ascii="宋体" w:hAnsi="宋体"/>
                <w:color w:val="auto"/>
                <w:sz w:val="24"/>
                <w:szCs w:val="24"/>
                <w:highlight w:val="none"/>
              </w:rPr>
            </w:pPr>
            <w:r>
              <w:rPr>
                <w:rFonts w:hint="eastAsia" w:ascii="宋体" w:hAnsi="宋体"/>
                <w:color w:val="auto"/>
                <w:sz w:val="24"/>
                <w:szCs w:val="24"/>
                <w:highlight w:val="none"/>
              </w:rPr>
              <w:t>分项</w:t>
            </w:r>
          </w:p>
          <w:p w14:paraId="64FD4E64">
            <w:pPr>
              <w:spacing w:line="0" w:lineRule="atLeast"/>
              <w:jc w:val="left"/>
              <w:rPr>
                <w:rFonts w:ascii="宋体" w:hAnsi="宋体"/>
                <w:color w:val="auto"/>
                <w:sz w:val="24"/>
                <w:szCs w:val="24"/>
                <w:highlight w:val="none"/>
              </w:rPr>
            </w:pPr>
            <w:r>
              <w:rPr>
                <w:rFonts w:hint="eastAsia" w:ascii="宋体" w:hAnsi="宋体"/>
                <w:color w:val="auto"/>
                <w:sz w:val="24"/>
                <w:szCs w:val="24"/>
                <w:highlight w:val="none"/>
              </w:rPr>
              <w:t>单价</w:t>
            </w:r>
          </w:p>
        </w:tc>
        <w:tc>
          <w:tcPr>
            <w:tcW w:w="646" w:type="pct"/>
            <w:noWrap w:val="0"/>
            <w:vAlign w:val="center"/>
          </w:tcPr>
          <w:p w14:paraId="2B7B56B1">
            <w:pPr>
              <w:spacing w:line="0" w:lineRule="atLeast"/>
              <w:jc w:val="left"/>
              <w:rPr>
                <w:rFonts w:ascii="宋体" w:hAnsi="宋体"/>
                <w:color w:val="auto"/>
                <w:sz w:val="24"/>
                <w:szCs w:val="24"/>
                <w:highlight w:val="none"/>
              </w:rPr>
            </w:pPr>
            <w:r>
              <w:rPr>
                <w:rFonts w:hint="eastAsia" w:ascii="宋体" w:hAnsi="宋体"/>
                <w:color w:val="auto"/>
                <w:sz w:val="24"/>
                <w:szCs w:val="24"/>
                <w:highlight w:val="none"/>
              </w:rPr>
              <w:t>分项</w:t>
            </w:r>
          </w:p>
          <w:p w14:paraId="01470A58">
            <w:pPr>
              <w:spacing w:line="0" w:lineRule="atLeast"/>
              <w:jc w:val="left"/>
              <w:rPr>
                <w:rFonts w:ascii="宋体" w:hAnsi="宋体"/>
                <w:color w:val="auto"/>
                <w:sz w:val="24"/>
                <w:szCs w:val="24"/>
                <w:highlight w:val="none"/>
              </w:rPr>
            </w:pPr>
            <w:r>
              <w:rPr>
                <w:rFonts w:hint="eastAsia" w:ascii="宋体" w:hAnsi="宋体"/>
                <w:color w:val="auto"/>
                <w:sz w:val="24"/>
                <w:szCs w:val="24"/>
                <w:highlight w:val="none"/>
              </w:rPr>
              <w:t>总价</w:t>
            </w:r>
          </w:p>
        </w:tc>
        <w:tc>
          <w:tcPr>
            <w:tcW w:w="442" w:type="pct"/>
            <w:noWrap w:val="0"/>
            <w:vAlign w:val="center"/>
          </w:tcPr>
          <w:p w14:paraId="53164FC3">
            <w:pPr>
              <w:spacing w:line="0" w:lineRule="atLeast"/>
              <w:jc w:val="left"/>
              <w:rPr>
                <w:rFonts w:ascii="宋体" w:hAnsi="宋体"/>
                <w:color w:val="auto"/>
                <w:sz w:val="24"/>
                <w:szCs w:val="24"/>
                <w:highlight w:val="none"/>
              </w:rPr>
            </w:pPr>
            <w:r>
              <w:rPr>
                <w:rFonts w:hint="eastAsia" w:ascii="宋体" w:hAnsi="宋体"/>
                <w:color w:val="auto"/>
                <w:sz w:val="24"/>
                <w:szCs w:val="24"/>
                <w:highlight w:val="none"/>
              </w:rPr>
              <w:t>备注</w:t>
            </w:r>
          </w:p>
        </w:tc>
      </w:tr>
      <w:tr w14:paraId="755987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8" w:hRule="atLeast"/>
        </w:trPr>
        <w:tc>
          <w:tcPr>
            <w:tcW w:w="267" w:type="pct"/>
            <w:noWrap w:val="0"/>
            <w:vAlign w:val="center"/>
          </w:tcPr>
          <w:p w14:paraId="5F53B659">
            <w:pPr>
              <w:spacing w:line="0" w:lineRule="atLeast"/>
              <w:jc w:val="left"/>
              <w:rPr>
                <w:rFonts w:ascii="宋体" w:hAnsi="宋体"/>
                <w:color w:val="auto"/>
                <w:sz w:val="24"/>
                <w:szCs w:val="24"/>
                <w:highlight w:val="none"/>
              </w:rPr>
            </w:pPr>
            <w:r>
              <w:rPr>
                <w:rFonts w:hint="eastAsia" w:ascii="宋体" w:hAnsi="宋体"/>
                <w:color w:val="auto"/>
                <w:sz w:val="24"/>
                <w:szCs w:val="24"/>
                <w:highlight w:val="none"/>
              </w:rPr>
              <w:t>1</w:t>
            </w:r>
          </w:p>
        </w:tc>
        <w:tc>
          <w:tcPr>
            <w:tcW w:w="500" w:type="pct"/>
            <w:noWrap w:val="0"/>
            <w:vAlign w:val="center"/>
          </w:tcPr>
          <w:p w14:paraId="52755166">
            <w:pPr>
              <w:spacing w:line="0" w:lineRule="atLeast"/>
              <w:jc w:val="left"/>
              <w:rPr>
                <w:rFonts w:ascii="宋体" w:hAnsi="宋体"/>
                <w:color w:val="auto"/>
                <w:sz w:val="24"/>
                <w:szCs w:val="24"/>
                <w:highlight w:val="none"/>
              </w:rPr>
            </w:pPr>
          </w:p>
        </w:tc>
        <w:tc>
          <w:tcPr>
            <w:tcW w:w="387" w:type="pct"/>
            <w:noWrap w:val="0"/>
            <w:vAlign w:val="center"/>
          </w:tcPr>
          <w:p w14:paraId="2CBAA614">
            <w:pPr>
              <w:spacing w:line="0" w:lineRule="atLeast"/>
              <w:jc w:val="left"/>
              <w:rPr>
                <w:rFonts w:ascii="宋体" w:hAnsi="宋体"/>
                <w:color w:val="auto"/>
                <w:sz w:val="24"/>
                <w:szCs w:val="24"/>
                <w:highlight w:val="none"/>
              </w:rPr>
            </w:pPr>
          </w:p>
        </w:tc>
        <w:tc>
          <w:tcPr>
            <w:tcW w:w="510" w:type="pct"/>
            <w:noWrap w:val="0"/>
            <w:vAlign w:val="center"/>
          </w:tcPr>
          <w:p w14:paraId="09691373">
            <w:pPr>
              <w:spacing w:line="0" w:lineRule="atLeast"/>
              <w:jc w:val="left"/>
              <w:rPr>
                <w:rFonts w:ascii="宋体" w:hAnsi="宋体"/>
                <w:color w:val="auto"/>
                <w:sz w:val="24"/>
                <w:szCs w:val="24"/>
                <w:highlight w:val="none"/>
              </w:rPr>
            </w:pPr>
          </w:p>
        </w:tc>
        <w:tc>
          <w:tcPr>
            <w:tcW w:w="773" w:type="pct"/>
            <w:noWrap w:val="0"/>
            <w:vAlign w:val="center"/>
          </w:tcPr>
          <w:p w14:paraId="50C56816">
            <w:pPr>
              <w:spacing w:line="0" w:lineRule="atLeast"/>
              <w:jc w:val="left"/>
              <w:rPr>
                <w:rFonts w:ascii="宋体" w:hAnsi="宋体"/>
                <w:color w:val="auto"/>
                <w:sz w:val="24"/>
                <w:szCs w:val="24"/>
                <w:highlight w:val="none"/>
              </w:rPr>
            </w:pPr>
          </w:p>
        </w:tc>
        <w:tc>
          <w:tcPr>
            <w:tcW w:w="588" w:type="pct"/>
            <w:noWrap w:val="0"/>
            <w:vAlign w:val="center"/>
          </w:tcPr>
          <w:p w14:paraId="75989F7B">
            <w:pPr>
              <w:spacing w:line="0" w:lineRule="atLeast"/>
              <w:jc w:val="left"/>
              <w:rPr>
                <w:rFonts w:ascii="宋体" w:hAnsi="宋体"/>
                <w:color w:val="auto"/>
                <w:sz w:val="24"/>
                <w:szCs w:val="24"/>
                <w:highlight w:val="none"/>
              </w:rPr>
            </w:pPr>
          </w:p>
        </w:tc>
        <w:tc>
          <w:tcPr>
            <w:tcW w:w="439" w:type="pct"/>
            <w:noWrap w:val="0"/>
            <w:vAlign w:val="center"/>
          </w:tcPr>
          <w:p w14:paraId="7446E39E">
            <w:pPr>
              <w:spacing w:line="0" w:lineRule="atLeast"/>
              <w:jc w:val="left"/>
              <w:rPr>
                <w:rFonts w:ascii="宋体" w:hAnsi="宋体"/>
                <w:color w:val="auto"/>
                <w:sz w:val="24"/>
                <w:szCs w:val="24"/>
                <w:highlight w:val="none"/>
              </w:rPr>
            </w:pPr>
          </w:p>
        </w:tc>
        <w:tc>
          <w:tcPr>
            <w:tcW w:w="443" w:type="pct"/>
            <w:noWrap w:val="0"/>
            <w:vAlign w:val="center"/>
          </w:tcPr>
          <w:p w14:paraId="113BF3F3">
            <w:pPr>
              <w:spacing w:line="0" w:lineRule="atLeast"/>
              <w:jc w:val="left"/>
              <w:rPr>
                <w:rFonts w:ascii="宋体" w:hAnsi="宋体"/>
                <w:color w:val="auto"/>
                <w:sz w:val="24"/>
                <w:szCs w:val="24"/>
                <w:highlight w:val="none"/>
              </w:rPr>
            </w:pPr>
          </w:p>
        </w:tc>
        <w:tc>
          <w:tcPr>
            <w:tcW w:w="646" w:type="pct"/>
            <w:noWrap w:val="0"/>
            <w:vAlign w:val="center"/>
          </w:tcPr>
          <w:p w14:paraId="3B34CA74">
            <w:pPr>
              <w:spacing w:line="0" w:lineRule="atLeast"/>
              <w:jc w:val="left"/>
              <w:rPr>
                <w:rFonts w:ascii="宋体" w:hAnsi="宋体"/>
                <w:color w:val="auto"/>
                <w:sz w:val="24"/>
                <w:szCs w:val="24"/>
                <w:highlight w:val="none"/>
              </w:rPr>
            </w:pPr>
          </w:p>
        </w:tc>
        <w:tc>
          <w:tcPr>
            <w:tcW w:w="442" w:type="pct"/>
            <w:noWrap w:val="0"/>
            <w:vAlign w:val="center"/>
          </w:tcPr>
          <w:p w14:paraId="7A8ABACE">
            <w:pPr>
              <w:spacing w:line="0" w:lineRule="atLeast"/>
              <w:jc w:val="left"/>
              <w:rPr>
                <w:rFonts w:ascii="宋体" w:hAnsi="宋体"/>
                <w:color w:val="auto"/>
                <w:sz w:val="24"/>
                <w:szCs w:val="24"/>
                <w:highlight w:val="none"/>
              </w:rPr>
            </w:pPr>
          </w:p>
        </w:tc>
      </w:tr>
      <w:tr w14:paraId="223EBC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6" w:hRule="atLeast"/>
        </w:trPr>
        <w:tc>
          <w:tcPr>
            <w:tcW w:w="267" w:type="pct"/>
            <w:noWrap w:val="0"/>
            <w:vAlign w:val="center"/>
          </w:tcPr>
          <w:p w14:paraId="68E2D715">
            <w:pPr>
              <w:spacing w:line="0" w:lineRule="atLeast"/>
              <w:jc w:val="left"/>
              <w:rPr>
                <w:rFonts w:ascii="宋体" w:hAnsi="宋体"/>
                <w:color w:val="auto"/>
                <w:sz w:val="24"/>
                <w:szCs w:val="24"/>
                <w:highlight w:val="none"/>
              </w:rPr>
            </w:pPr>
            <w:r>
              <w:rPr>
                <w:rFonts w:hint="eastAsia" w:ascii="宋体" w:hAnsi="宋体"/>
                <w:color w:val="auto"/>
                <w:sz w:val="24"/>
                <w:szCs w:val="24"/>
                <w:highlight w:val="none"/>
              </w:rPr>
              <w:t>2</w:t>
            </w:r>
          </w:p>
        </w:tc>
        <w:tc>
          <w:tcPr>
            <w:tcW w:w="500" w:type="pct"/>
            <w:noWrap w:val="0"/>
            <w:vAlign w:val="center"/>
          </w:tcPr>
          <w:p w14:paraId="2FCAE0B1">
            <w:pPr>
              <w:spacing w:line="0" w:lineRule="atLeast"/>
              <w:jc w:val="left"/>
              <w:rPr>
                <w:rFonts w:ascii="宋体" w:hAnsi="宋体"/>
                <w:color w:val="auto"/>
                <w:sz w:val="24"/>
                <w:szCs w:val="24"/>
                <w:highlight w:val="none"/>
              </w:rPr>
            </w:pPr>
          </w:p>
        </w:tc>
        <w:tc>
          <w:tcPr>
            <w:tcW w:w="387" w:type="pct"/>
            <w:noWrap w:val="0"/>
            <w:vAlign w:val="center"/>
          </w:tcPr>
          <w:p w14:paraId="7F2F9057">
            <w:pPr>
              <w:spacing w:line="0" w:lineRule="atLeast"/>
              <w:jc w:val="left"/>
              <w:rPr>
                <w:rFonts w:ascii="宋体" w:hAnsi="宋体"/>
                <w:color w:val="auto"/>
                <w:sz w:val="24"/>
                <w:szCs w:val="24"/>
                <w:highlight w:val="none"/>
              </w:rPr>
            </w:pPr>
          </w:p>
        </w:tc>
        <w:tc>
          <w:tcPr>
            <w:tcW w:w="510" w:type="pct"/>
            <w:noWrap w:val="0"/>
            <w:vAlign w:val="center"/>
          </w:tcPr>
          <w:p w14:paraId="7BB16BA4">
            <w:pPr>
              <w:spacing w:line="0" w:lineRule="atLeast"/>
              <w:jc w:val="left"/>
              <w:rPr>
                <w:rFonts w:ascii="宋体" w:hAnsi="宋体"/>
                <w:color w:val="auto"/>
                <w:sz w:val="24"/>
                <w:szCs w:val="24"/>
                <w:highlight w:val="none"/>
              </w:rPr>
            </w:pPr>
          </w:p>
        </w:tc>
        <w:tc>
          <w:tcPr>
            <w:tcW w:w="773" w:type="pct"/>
            <w:noWrap w:val="0"/>
            <w:vAlign w:val="center"/>
          </w:tcPr>
          <w:p w14:paraId="30843B85">
            <w:pPr>
              <w:spacing w:line="0" w:lineRule="atLeast"/>
              <w:jc w:val="left"/>
              <w:rPr>
                <w:rFonts w:ascii="宋体" w:hAnsi="宋体"/>
                <w:color w:val="auto"/>
                <w:sz w:val="24"/>
                <w:szCs w:val="24"/>
                <w:highlight w:val="none"/>
              </w:rPr>
            </w:pPr>
          </w:p>
        </w:tc>
        <w:tc>
          <w:tcPr>
            <w:tcW w:w="588" w:type="pct"/>
            <w:noWrap w:val="0"/>
          </w:tcPr>
          <w:p w14:paraId="7857CC35">
            <w:pPr>
              <w:spacing w:line="0" w:lineRule="atLeast"/>
              <w:jc w:val="left"/>
              <w:rPr>
                <w:rFonts w:ascii="宋体" w:hAnsi="宋体"/>
                <w:color w:val="auto"/>
                <w:sz w:val="24"/>
                <w:szCs w:val="24"/>
                <w:highlight w:val="none"/>
              </w:rPr>
            </w:pPr>
          </w:p>
        </w:tc>
        <w:tc>
          <w:tcPr>
            <w:tcW w:w="439" w:type="pct"/>
            <w:noWrap w:val="0"/>
            <w:vAlign w:val="center"/>
          </w:tcPr>
          <w:p w14:paraId="5449794D">
            <w:pPr>
              <w:spacing w:line="0" w:lineRule="atLeast"/>
              <w:jc w:val="left"/>
              <w:rPr>
                <w:rFonts w:ascii="宋体" w:hAnsi="宋体"/>
                <w:color w:val="auto"/>
                <w:sz w:val="24"/>
                <w:szCs w:val="24"/>
                <w:highlight w:val="none"/>
                <w:u w:val="single"/>
              </w:rPr>
            </w:pPr>
          </w:p>
        </w:tc>
        <w:tc>
          <w:tcPr>
            <w:tcW w:w="443" w:type="pct"/>
            <w:noWrap w:val="0"/>
            <w:vAlign w:val="center"/>
          </w:tcPr>
          <w:p w14:paraId="4281AA57">
            <w:pPr>
              <w:spacing w:line="0" w:lineRule="atLeast"/>
              <w:jc w:val="left"/>
              <w:rPr>
                <w:rFonts w:ascii="宋体" w:hAnsi="宋体"/>
                <w:color w:val="auto"/>
                <w:sz w:val="24"/>
                <w:szCs w:val="24"/>
                <w:highlight w:val="none"/>
              </w:rPr>
            </w:pPr>
          </w:p>
        </w:tc>
        <w:tc>
          <w:tcPr>
            <w:tcW w:w="646" w:type="pct"/>
            <w:noWrap w:val="0"/>
            <w:vAlign w:val="center"/>
          </w:tcPr>
          <w:p w14:paraId="17364AE7">
            <w:pPr>
              <w:spacing w:line="0" w:lineRule="atLeast"/>
              <w:jc w:val="left"/>
              <w:rPr>
                <w:rFonts w:ascii="宋体" w:hAnsi="宋体"/>
                <w:color w:val="auto"/>
                <w:sz w:val="24"/>
                <w:szCs w:val="24"/>
                <w:highlight w:val="none"/>
              </w:rPr>
            </w:pPr>
          </w:p>
        </w:tc>
        <w:tc>
          <w:tcPr>
            <w:tcW w:w="442" w:type="pct"/>
            <w:noWrap w:val="0"/>
            <w:vAlign w:val="center"/>
          </w:tcPr>
          <w:p w14:paraId="62CCAF61">
            <w:pPr>
              <w:spacing w:line="0" w:lineRule="atLeast"/>
              <w:jc w:val="left"/>
              <w:rPr>
                <w:rFonts w:ascii="宋体" w:hAnsi="宋体"/>
                <w:color w:val="auto"/>
                <w:sz w:val="24"/>
                <w:szCs w:val="24"/>
                <w:highlight w:val="none"/>
              </w:rPr>
            </w:pPr>
          </w:p>
        </w:tc>
      </w:tr>
      <w:tr w14:paraId="5BD78A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4" w:hRule="atLeast"/>
        </w:trPr>
        <w:tc>
          <w:tcPr>
            <w:tcW w:w="267" w:type="pct"/>
            <w:noWrap w:val="0"/>
            <w:vAlign w:val="center"/>
          </w:tcPr>
          <w:p w14:paraId="7EE665D4">
            <w:pPr>
              <w:spacing w:line="0" w:lineRule="atLeast"/>
              <w:jc w:val="left"/>
              <w:rPr>
                <w:rFonts w:ascii="宋体" w:hAnsi="宋体"/>
                <w:color w:val="auto"/>
                <w:sz w:val="24"/>
                <w:szCs w:val="24"/>
                <w:highlight w:val="none"/>
              </w:rPr>
            </w:pPr>
            <w:r>
              <w:rPr>
                <w:rFonts w:hint="eastAsia" w:ascii="宋体" w:hAnsi="宋体"/>
                <w:color w:val="auto"/>
                <w:sz w:val="24"/>
                <w:szCs w:val="24"/>
                <w:highlight w:val="none"/>
              </w:rPr>
              <w:t>3</w:t>
            </w:r>
          </w:p>
        </w:tc>
        <w:tc>
          <w:tcPr>
            <w:tcW w:w="500" w:type="pct"/>
            <w:noWrap w:val="0"/>
            <w:vAlign w:val="center"/>
          </w:tcPr>
          <w:p w14:paraId="3B2D0A62">
            <w:pPr>
              <w:spacing w:line="0" w:lineRule="atLeast"/>
              <w:jc w:val="left"/>
              <w:rPr>
                <w:rFonts w:ascii="宋体" w:hAnsi="宋体"/>
                <w:color w:val="auto"/>
                <w:sz w:val="24"/>
                <w:szCs w:val="24"/>
                <w:highlight w:val="none"/>
              </w:rPr>
            </w:pPr>
          </w:p>
        </w:tc>
        <w:tc>
          <w:tcPr>
            <w:tcW w:w="387" w:type="pct"/>
            <w:noWrap w:val="0"/>
            <w:vAlign w:val="center"/>
          </w:tcPr>
          <w:p w14:paraId="67C07579">
            <w:pPr>
              <w:spacing w:line="0" w:lineRule="atLeast"/>
              <w:jc w:val="left"/>
              <w:rPr>
                <w:rFonts w:ascii="宋体" w:hAnsi="宋体"/>
                <w:color w:val="auto"/>
                <w:sz w:val="24"/>
                <w:szCs w:val="24"/>
                <w:highlight w:val="none"/>
              </w:rPr>
            </w:pPr>
          </w:p>
        </w:tc>
        <w:tc>
          <w:tcPr>
            <w:tcW w:w="510" w:type="pct"/>
            <w:noWrap w:val="0"/>
            <w:vAlign w:val="center"/>
          </w:tcPr>
          <w:p w14:paraId="1751B6A4">
            <w:pPr>
              <w:spacing w:line="0" w:lineRule="atLeast"/>
              <w:jc w:val="left"/>
              <w:rPr>
                <w:rFonts w:ascii="宋体" w:hAnsi="宋体"/>
                <w:color w:val="auto"/>
                <w:sz w:val="24"/>
                <w:szCs w:val="24"/>
                <w:highlight w:val="none"/>
              </w:rPr>
            </w:pPr>
          </w:p>
        </w:tc>
        <w:tc>
          <w:tcPr>
            <w:tcW w:w="773" w:type="pct"/>
            <w:noWrap w:val="0"/>
            <w:vAlign w:val="center"/>
          </w:tcPr>
          <w:p w14:paraId="2EFABC04">
            <w:pPr>
              <w:spacing w:line="0" w:lineRule="atLeast"/>
              <w:jc w:val="left"/>
              <w:rPr>
                <w:rFonts w:ascii="宋体" w:hAnsi="宋体"/>
                <w:color w:val="auto"/>
                <w:sz w:val="24"/>
                <w:szCs w:val="24"/>
                <w:highlight w:val="none"/>
              </w:rPr>
            </w:pPr>
          </w:p>
        </w:tc>
        <w:tc>
          <w:tcPr>
            <w:tcW w:w="588" w:type="pct"/>
            <w:noWrap w:val="0"/>
          </w:tcPr>
          <w:p w14:paraId="7FE5DB23">
            <w:pPr>
              <w:spacing w:line="0" w:lineRule="atLeast"/>
              <w:jc w:val="left"/>
              <w:rPr>
                <w:rFonts w:ascii="宋体" w:hAnsi="宋体"/>
                <w:color w:val="auto"/>
                <w:sz w:val="24"/>
                <w:szCs w:val="24"/>
                <w:highlight w:val="none"/>
              </w:rPr>
            </w:pPr>
          </w:p>
        </w:tc>
        <w:tc>
          <w:tcPr>
            <w:tcW w:w="439" w:type="pct"/>
            <w:noWrap w:val="0"/>
            <w:vAlign w:val="center"/>
          </w:tcPr>
          <w:p w14:paraId="7CC99F2D">
            <w:pPr>
              <w:spacing w:line="0" w:lineRule="atLeast"/>
              <w:jc w:val="left"/>
              <w:rPr>
                <w:rFonts w:ascii="宋体" w:hAnsi="宋体"/>
                <w:color w:val="auto"/>
                <w:sz w:val="24"/>
                <w:szCs w:val="24"/>
                <w:highlight w:val="none"/>
              </w:rPr>
            </w:pPr>
          </w:p>
        </w:tc>
        <w:tc>
          <w:tcPr>
            <w:tcW w:w="443" w:type="pct"/>
            <w:noWrap w:val="0"/>
            <w:vAlign w:val="center"/>
          </w:tcPr>
          <w:p w14:paraId="59FE4655">
            <w:pPr>
              <w:spacing w:line="0" w:lineRule="atLeast"/>
              <w:jc w:val="left"/>
              <w:rPr>
                <w:rFonts w:ascii="宋体" w:hAnsi="宋体"/>
                <w:color w:val="auto"/>
                <w:sz w:val="24"/>
                <w:szCs w:val="24"/>
                <w:highlight w:val="none"/>
              </w:rPr>
            </w:pPr>
          </w:p>
        </w:tc>
        <w:tc>
          <w:tcPr>
            <w:tcW w:w="646" w:type="pct"/>
            <w:noWrap w:val="0"/>
            <w:vAlign w:val="center"/>
          </w:tcPr>
          <w:p w14:paraId="5CDE9F6A">
            <w:pPr>
              <w:spacing w:line="0" w:lineRule="atLeast"/>
              <w:jc w:val="left"/>
              <w:rPr>
                <w:rFonts w:ascii="宋体" w:hAnsi="宋体"/>
                <w:color w:val="auto"/>
                <w:sz w:val="24"/>
                <w:szCs w:val="24"/>
                <w:highlight w:val="none"/>
              </w:rPr>
            </w:pPr>
          </w:p>
        </w:tc>
        <w:tc>
          <w:tcPr>
            <w:tcW w:w="442" w:type="pct"/>
            <w:noWrap w:val="0"/>
            <w:vAlign w:val="center"/>
          </w:tcPr>
          <w:p w14:paraId="1120537E">
            <w:pPr>
              <w:spacing w:line="0" w:lineRule="atLeast"/>
              <w:jc w:val="left"/>
              <w:rPr>
                <w:rFonts w:ascii="宋体" w:hAnsi="宋体"/>
                <w:color w:val="auto"/>
                <w:sz w:val="24"/>
                <w:szCs w:val="24"/>
                <w:highlight w:val="none"/>
              </w:rPr>
            </w:pPr>
          </w:p>
        </w:tc>
      </w:tr>
      <w:tr w14:paraId="1BFBF6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267" w:type="pct"/>
            <w:noWrap w:val="0"/>
            <w:vAlign w:val="center"/>
          </w:tcPr>
          <w:p w14:paraId="21DF4ADC">
            <w:pPr>
              <w:spacing w:line="0" w:lineRule="atLeast"/>
              <w:jc w:val="left"/>
              <w:rPr>
                <w:rFonts w:ascii="宋体" w:hAnsi="宋体"/>
                <w:color w:val="auto"/>
                <w:sz w:val="24"/>
                <w:szCs w:val="24"/>
                <w:highlight w:val="none"/>
              </w:rPr>
            </w:pPr>
            <w:r>
              <w:rPr>
                <w:rFonts w:hint="eastAsia" w:ascii="宋体" w:hAnsi="宋体"/>
                <w:color w:val="auto"/>
                <w:sz w:val="24"/>
                <w:szCs w:val="24"/>
                <w:highlight w:val="none"/>
              </w:rPr>
              <w:t>4</w:t>
            </w:r>
          </w:p>
        </w:tc>
        <w:tc>
          <w:tcPr>
            <w:tcW w:w="500" w:type="pct"/>
            <w:noWrap w:val="0"/>
            <w:vAlign w:val="center"/>
          </w:tcPr>
          <w:p w14:paraId="187D220F">
            <w:pPr>
              <w:spacing w:line="0" w:lineRule="atLeast"/>
              <w:jc w:val="left"/>
              <w:rPr>
                <w:rFonts w:ascii="宋体" w:hAnsi="宋体"/>
                <w:color w:val="auto"/>
                <w:sz w:val="24"/>
                <w:szCs w:val="24"/>
                <w:highlight w:val="none"/>
              </w:rPr>
            </w:pPr>
          </w:p>
        </w:tc>
        <w:tc>
          <w:tcPr>
            <w:tcW w:w="387" w:type="pct"/>
            <w:noWrap w:val="0"/>
            <w:vAlign w:val="center"/>
          </w:tcPr>
          <w:p w14:paraId="4F04DD67">
            <w:pPr>
              <w:spacing w:line="0" w:lineRule="atLeast"/>
              <w:jc w:val="left"/>
              <w:rPr>
                <w:rFonts w:ascii="宋体" w:hAnsi="宋体"/>
                <w:color w:val="auto"/>
                <w:sz w:val="24"/>
                <w:szCs w:val="24"/>
                <w:highlight w:val="none"/>
              </w:rPr>
            </w:pPr>
          </w:p>
        </w:tc>
        <w:tc>
          <w:tcPr>
            <w:tcW w:w="510" w:type="pct"/>
            <w:noWrap w:val="0"/>
            <w:vAlign w:val="center"/>
          </w:tcPr>
          <w:p w14:paraId="22C3BC49">
            <w:pPr>
              <w:spacing w:line="0" w:lineRule="atLeast"/>
              <w:jc w:val="left"/>
              <w:rPr>
                <w:rFonts w:ascii="宋体" w:hAnsi="宋体"/>
                <w:color w:val="auto"/>
                <w:sz w:val="24"/>
                <w:szCs w:val="24"/>
                <w:highlight w:val="none"/>
              </w:rPr>
            </w:pPr>
          </w:p>
        </w:tc>
        <w:tc>
          <w:tcPr>
            <w:tcW w:w="773" w:type="pct"/>
            <w:noWrap w:val="0"/>
            <w:vAlign w:val="center"/>
          </w:tcPr>
          <w:p w14:paraId="272010BE">
            <w:pPr>
              <w:spacing w:line="0" w:lineRule="atLeast"/>
              <w:jc w:val="left"/>
              <w:rPr>
                <w:rFonts w:ascii="宋体" w:hAnsi="宋体"/>
                <w:color w:val="auto"/>
                <w:sz w:val="24"/>
                <w:szCs w:val="24"/>
                <w:highlight w:val="none"/>
              </w:rPr>
            </w:pPr>
          </w:p>
        </w:tc>
        <w:tc>
          <w:tcPr>
            <w:tcW w:w="588" w:type="pct"/>
            <w:noWrap w:val="0"/>
          </w:tcPr>
          <w:p w14:paraId="4B36A5DF">
            <w:pPr>
              <w:spacing w:line="0" w:lineRule="atLeast"/>
              <w:jc w:val="left"/>
              <w:rPr>
                <w:rFonts w:ascii="宋体" w:hAnsi="宋体"/>
                <w:color w:val="auto"/>
                <w:sz w:val="24"/>
                <w:szCs w:val="24"/>
                <w:highlight w:val="none"/>
              </w:rPr>
            </w:pPr>
          </w:p>
        </w:tc>
        <w:tc>
          <w:tcPr>
            <w:tcW w:w="439" w:type="pct"/>
            <w:noWrap w:val="0"/>
            <w:vAlign w:val="center"/>
          </w:tcPr>
          <w:p w14:paraId="267F54D3">
            <w:pPr>
              <w:spacing w:line="0" w:lineRule="atLeast"/>
              <w:jc w:val="left"/>
              <w:rPr>
                <w:rFonts w:ascii="宋体" w:hAnsi="宋体"/>
                <w:color w:val="auto"/>
                <w:sz w:val="24"/>
                <w:szCs w:val="24"/>
                <w:highlight w:val="none"/>
              </w:rPr>
            </w:pPr>
          </w:p>
        </w:tc>
        <w:tc>
          <w:tcPr>
            <w:tcW w:w="443" w:type="pct"/>
            <w:noWrap w:val="0"/>
            <w:vAlign w:val="center"/>
          </w:tcPr>
          <w:p w14:paraId="2ECDDE2B">
            <w:pPr>
              <w:spacing w:line="0" w:lineRule="atLeast"/>
              <w:jc w:val="left"/>
              <w:rPr>
                <w:rFonts w:ascii="宋体" w:hAnsi="宋体"/>
                <w:color w:val="auto"/>
                <w:sz w:val="24"/>
                <w:szCs w:val="24"/>
                <w:highlight w:val="none"/>
              </w:rPr>
            </w:pPr>
          </w:p>
        </w:tc>
        <w:tc>
          <w:tcPr>
            <w:tcW w:w="646" w:type="pct"/>
            <w:noWrap w:val="0"/>
            <w:vAlign w:val="center"/>
          </w:tcPr>
          <w:p w14:paraId="11CCB94F">
            <w:pPr>
              <w:spacing w:line="0" w:lineRule="atLeast"/>
              <w:jc w:val="left"/>
              <w:rPr>
                <w:rFonts w:ascii="宋体" w:hAnsi="宋体"/>
                <w:color w:val="auto"/>
                <w:sz w:val="24"/>
                <w:szCs w:val="24"/>
                <w:highlight w:val="none"/>
              </w:rPr>
            </w:pPr>
          </w:p>
        </w:tc>
        <w:tc>
          <w:tcPr>
            <w:tcW w:w="442" w:type="pct"/>
            <w:noWrap w:val="0"/>
            <w:vAlign w:val="center"/>
          </w:tcPr>
          <w:p w14:paraId="201E571E">
            <w:pPr>
              <w:spacing w:line="0" w:lineRule="atLeast"/>
              <w:jc w:val="left"/>
              <w:rPr>
                <w:rFonts w:ascii="宋体" w:hAnsi="宋体"/>
                <w:color w:val="auto"/>
                <w:sz w:val="24"/>
                <w:szCs w:val="24"/>
                <w:highlight w:val="none"/>
              </w:rPr>
            </w:pPr>
          </w:p>
        </w:tc>
      </w:tr>
      <w:tr w14:paraId="66D9E3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77" w:hRule="atLeast"/>
        </w:trPr>
        <w:tc>
          <w:tcPr>
            <w:tcW w:w="267" w:type="pct"/>
            <w:noWrap w:val="0"/>
            <w:vAlign w:val="center"/>
          </w:tcPr>
          <w:p w14:paraId="73B4390C">
            <w:pPr>
              <w:spacing w:line="0" w:lineRule="atLeast"/>
              <w:jc w:val="left"/>
              <w:rPr>
                <w:rFonts w:ascii="宋体" w:hAnsi="宋体"/>
                <w:color w:val="auto"/>
                <w:sz w:val="24"/>
                <w:szCs w:val="24"/>
                <w:highlight w:val="none"/>
              </w:rPr>
            </w:pPr>
            <w:r>
              <w:rPr>
                <w:rFonts w:ascii="宋体" w:hAnsi="宋体"/>
                <w:color w:val="auto"/>
                <w:sz w:val="24"/>
                <w:szCs w:val="24"/>
                <w:highlight w:val="none"/>
              </w:rPr>
              <w:t>…</w:t>
            </w:r>
          </w:p>
        </w:tc>
        <w:tc>
          <w:tcPr>
            <w:tcW w:w="500" w:type="pct"/>
            <w:noWrap w:val="0"/>
            <w:vAlign w:val="center"/>
          </w:tcPr>
          <w:p w14:paraId="1651265B">
            <w:pPr>
              <w:spacing w:line="0" w:lineRule="atLeast"/>
              <w:jc w:val="left"/>
              <w:rPr>
                <w:rFonts w:ascii="宋体" w:hAnsi="宋体"/>
                <w:color w:val="auto"/>
                <w:sz w:val="24"/>
                <w:szCs w:val="24"/>
                <w:highlight w:val="none"/>
              </w:rPr>
            </w:pPr>
          </w:p>
        </w:tc>
        <w:tc>
          <w:tcPr>
            <w:tcW w:w="387" w:type="pct"/>
            <w:noWrap w:val="0"/>
            <w:vAlign w:val="center"/>
          </w:tcPr>
          <w:p w14:paraId="7B37631C">
            <w:pPr>
              <w:spacing w:line="0" w:lineRule="atLeast"/>
              <w:jc w:val="left"/>
              <w:rPr>
                <w:rFonts w:ascii="宋体" w:hAnsi="宋体"/>
                <w:color w:val="auto"/>
                <w:sz w:val="24"/>
                <w:szCs w:val="24"/>
                <w:highlight w:val="none"/>
              </w:rPr>
            </w:pPr>
          </w:p>
        </w:tc>
        <w:tc>
          <w:tcPr>
            <w:tcW w:w="510" w:type="pct"/>
            <w:noWrap w:val="0"/>
            <w:vAlign w:val="center"/>
          </w:tcPr>
          <w:p w14:paraId="6D275493">
            <w:pPr>
              <w:spacing w:line="0" w:lineRule="atLeast"/>
              <w:jc w:val="left"/>
              <w:rPr>
                <w:rFonts w:ascii="宋体" w:hAnsi="宋体"/>
                <w:color w:val="auto"/>
                <w:sz w:val="24"/>
                <w:szCs w:val="24"/>
                <w:highlight w:val="none"/>
              </w:rPr>
            </w:pPr>
          </w:p>
        </w:tc>
        <w:tc>
          <w:tcPr>
            <w:tcW w:w="773" w:type="pct"/>
            <w:noWrap w:val="0"/>
            <w:vAlign w:val="center"/>
          </w:tcPr>
          <w:p w14:paraId="6E993CAF">
            <w:pPr>
              <w:spacing w:line="0" w:lineRule="atLeast"/>
              <w:jc w:val="left"/>
              <w:rPr>
                <w:rFonts w:ascii="宋体" w:hAnsi="宋体"/>
                <w:color w:val="auto"/>
                <w:sz w:val="24"/>
                <w:szCs w:val="24"/>
                <w:highlight w:val="none"/>
              </w:rPr>
            </w:pPr>
          </w:p>
        </w:tc>
        <w:tc>
          <w:tcPr>
            <w:tcW w:w="588" w:type="pct"/>
            <w:noWrap w:val="0"/>
          </w:tcPr>
          <w:p w14:paraId="52CB547A">
            <w:pPr>
              <w:spacing w:line="0" w:lineRule="atLeast"/>
              <w:jc w:val="left"/>
              <w:rPr>
                <w:rFonts w:ascii="宋体" w:hAnsi="宋体"/>
                <w:color w:val="auto"/>
                <w:sz w:val="24"/>
                <w:szCs w:val="24"/>
                <w:highlight w:val="none"/>
              </w:rPr>
            </w:pPr>
          </w:p>
        </w:tc>
        <w:tc>
          <w:tcPr>
            <w:tcW w:w="439" w:type="pct"/>
            <w:noWrap w:val="0"/>
            <w:vAlign w:val="center"/>
          </w:tcPr>
          <w:p w14:paraId="0A37B189">
            <w:pPr>
              <w:spacing w:line="0" w:lineRule="atLeast"/>
              <w:jc w:val="left"/>
              <w:rPr>
                <w:rFonts w:ascii="宋体" w:hAnsi="宋体"/>
                <w:color w:val="auto"/>
                <w:sz w:val="24"/>
                <w:szCs w:val="24"/>
                <w:highlight w:val="none"/>
              </w:rPr>
            </w:pPr>
          </w:p>
        </w:tc>
        <w:tc>
          <w:tcPr>
            <w:tcW w:w="443" w:type="pct"/>
            <w:noWrap w:val="0"/>
            <w:vAlign w:val="center"/>
          </w:tcPr>
          <w:p w14:paraId="2BD73A06">
            <w:pPr>
              <w:spacing w:line="0" w:lineRule="atLeast"/>
              <w:jc w:val="left"/>
              <w:rPr>
                <w:rFonts w:ascii="宋体" w:hAnsi="宋体"/>
                <w:color w:val="auto"/>
                <w:sz w:val="24"/>
                <w:szCs w:val="24"/>
                <w:highlight w:val="none"/>
              </w:rPr>
            </w:pPr>
          </w:p>
        </w:tc>
        <w:tc>
          <w:tcPr>
            <w:tcW w:w="646" w:type="pct"/>
            <w:noWrap w:val="0"/>
            <w:vAlign w:val="center"/>
          </w:tcPr>
          <w:p w14:paraId="3F91C0A3">
            <w:pPr>
              <w:spacing w:line="0" w:lineRule="atLeast"/>
              <w:jc w:val="left"/>
              <w:rPr>
                <w:rFonts w:ascii="宋体" w:hAnsi="宋体"/>
                <w:color w:val="auto"/>
                <w:sz w:val="24"/>
                <w:szCs w:val="24"/>
                <w:highlight w:val="none"/>
              </w:rPr>
            </w:pPr>
          </w:p>
        </w:tc>
        <w:tc>
          <w:tcPr>
            <w:tcW w:w="442" w:type="pct"/>
            <w:noWrap w:val="0"/>
            <w:vAlign w:val="center"/>
          </w:tcPr>
          <w:p w14:paraId="1BCEF862">
            <w:pPr>
              <w:spacing w:line="0" w:lineRule="atLeast"/>
              <w:jc w:val="left"/>
              <w:rPr>
                <w:rFonts w:ascii="宋体" w:hAnsi="宋体"/>
                <w:color w:val="auto"/>
                <w:sz w:val="24"/>
                <w:szCs w:val="24"/>
                <w:highlight w:val="none"/>
              </w:rPr>
            </w:pPr>
          </w:p>
        </w:tc>
      </w:tr>
      <w:tr w14:paraId="1D5A8B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77" w:hRule="atLeast"/>
        </w:trPr>
        <w:tc>
          <w:tcPr>
            <w:tcW w:w="1155" w:type="pct"/>
            <w:gridSpan w:val="3"/>
            <w:noWrap w:val="0"/>
            <w:vAlign w:val="center"/>
          </w:tcPr>
          <w:p w14:paraId="6F2F0EDE">
            <w:pPr>
              <w:pStyle w:val="438"/>
              <w:spacing w:line="500" w:lineRule="exact"/>
              <w:jc w:val="left"/>
              <w:rPr>
                <w:rFonts w:ascii="宋体" w:hAnsi="宋体"/>
                <w:b/>
                <w:bCs/>
                <w:color w:val="auto"/>
                <w:sz w:val="24"/>
                <w:highlight w:val="none"/>
              </w:rPr>
            </w:pPr>
            <w:r>
              <w:rPr>
                <w:rFonts w:hint="eastAsia" w:ascii="宋体" w:hAnsi="宋体"/>
                <w:b/>
                <w:bCs/>
                <w:color w:val="auto"/>
                <w:sz w:val="28"/>
                <w:szCs w:val="28"/>
                <w:highlight w:val="none"/>
              </w:rPr>
              <w:t>投标总报价</w:t>
            </w:r>
          </w:p>
        </w:tc>
        <w:tc>
          <w:tcPr>
            <w:tcW w:w="3844" w:type="pct"/>
            <w:gridSpan w:val="7"/>
            <w:noWrap w:val="0"/>
            <w:vAlign w:val="center"/>
          </w:tcPr>
          <w:p w14:paraId="222D4A09">
            <w:pPr>
              <w:pStyle w:val="438"/>
              <w:spacing w:line="500" w:lineRule="exact"/>
              <w:jc w:val="left"/>
              <w:rPr>
                <w:rFonts w:ascii="宋体" w:hAnsi="宋体"/>
                <w:b/>
                <w:bCs/>
                <w:color w:val="auto"/>
                <w:sz w:val="24"/>
                <w:highlight w:val="none"/>
              </w:rPr>
            </w:pPr>
            <w:r>
              <w:rPr>
                <w:rFonts w:hint="eastAsia" w:ascii="宋体" w:hAnsi="宋体"/>
                <w:b/>
                <w:bCs/>
                <w:color w:val="auto"/>
                <w:sz w:val="24"/>
                <w:highlight w:val="none"/>
              </w:rPr>
              <w:t>￥</w:t>
            </w:r>
            <w:r>
              <w:rPr>
                <w:rFonts w:hint="eastAsia" w:ascii="宋体" w:hAnsi="宋体"/>
                <w:color w:val="auto"/>
                <w:sz w:val="24"/>
                <w:highlight w:val="non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p>
          <w:p w14:paraId="66488725">
            <w:pPr>
              <w:pStyle w:val="438"/>
              <w:spacing w:line="500" w:lineRule="exact"/>
              <w:jc w:val="left"/>
              <w:rPr>
                <w:rFonts w:ascii="宋体" w:hAnsi="宋体"/>
                <w:b/>
                <w:bCs/>
                <w:color w:val="auto"/>
                <w:sz w:val="24"/>
                <w:highlight w:val="none"/>
              </w:rPr>
            </w:pPr>
            <w:r>
              <w:rPr>
                <w:rFonts w:hint="eastAsia" w:ascii="宋体" w:hAnsi="宋体"/>
                <w:b/>
                <w:bCs/>
                <w:color w:val="auto"/>
                <w:sz w:val="24"/>
                <w:highlight w:val="none"/>
              </w:rPr>
              <w:t>人民币（大写）：</w:t>
            </w:r>
            <w:r>
              <w:rPr>
                <w:rFonts w:hint="eastAsia" w:ascii="宋体" w:hAnsi="宋体"/>
                <w:b/>
                <w:bCs/>
                <w:color w:val="auto"/>
                <w:sz w:val="24"/>
                <w:highlight w:val="none"/>
                <w:u w:val="single"/>
              </w:rPr>
              <w:t xml:space="preserve"> </w:t>
            </w:r>
            <w:r>
              <w:rPr>
                <w:rFonts w:ascii="宋体" w:hAnsi="宋体"/>
                <w:b/>
                <w:bCs/>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仟     </w:t>
            </w:r>
            <w:r>
              <w:rPr>
                <w:rFonts w:hint="eastAsia" w:ascii="宋体" w:hAnsi="宋体"/>
                <w:bCs/>
                <w:color w:val="auto"/>
                <w:sz w:val="24"/>
                <w:highlight w:val="none"/>
              </w:rPr>
              <w:t>佰</w:t>
            </w:r>
            <w:r>
              <w:rPr>
                <w:rFonts w:hint="eastAsia" w:ascii="宋体" w:hAnsi="宋体"/>
                <w:color w:val="auto"/>
                <w:sz w:val="24"/>
                <w:highlight w:val="none"/>
                <w:u w:val="single"/>
              </w:rPr>
              <w:t xml:space="preserve">    </w:t>
            </w:r>
            <w:r>
              <w:rPr>
                <w:rFonts w:hint="eastAsia" w:ascii="宋体" w:hAnsi="宋体"/>
                <w:bCs/>
                <w:color w:val="auto"/>
                <w:sz w:val="24"/>
                <w:highlight w:val="none"/>
              </w:rPr>
              <w:t>拾</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 万</w:t>
            </w:r>
            <w:r>
              <w:rPr>
                <w:rFonts w:hint="eastAsia" w:ascii="宋体" w:hAnsi="宋体"/>
                <w:bCs/>
                <w:color w:val="auto"/>
                <w:sz w:val="24"/>
                <w:highlight w:val="none"/>
                <w:u w:val="single"/>
              </w:rPr>
              <w:t xml:space="preserve">    </w:t>
            </w:r>
            <w:r>
              <w:rPr>
                <w:rFonts w:hint="eastAsia" w:ascii="宋体" w:hAnsi="宋体"/>
                <w:bCs/>
                <w:color w:val="auto"/>
                <w:sz w:val="24"/>
                <w:highlight w:val="none"/>
              </w:rPr>
              <w:t>仟</w:t>
            </w:r>
            <w:r>
              <w:rPr>
                <w:rFonts w:hint="eastAsia" w:ascii="宋体" w:hAnsi="宋体"/>
                <w:color w:val="auto"/>
                <w:sz w:val="24"/>
                <w:highlight w:val="none"/>
                <w:u w:val="single"/>
              </w:rPr>
              <w:t xml:space="preserve">      </w:t>
            </w:r>
            <w:r>
              <w:rPr>
                <w:rFonts w:hint="eastAsia" w:ascii="宋体" w:hAnsi="宋体"/>
                <w:bCs/>
                <w:color w:val="auto"/>
                <w:sz w:val="24"/>
                <w:highlight w:val="none"/>
              </w:rPr>
              <w:t>佰</w:t>
            </w:r>
            <w:r>
              <w:rPr>
                <w:rFonts w:hint="eastAsia" w:ascii="宋体" w:hAnsi="宋体"/>
                <w:color w:val="auto"/>
                <w:sz w:val="24"/>
                <w:highlight w:val="none"/>
                <w:u w:val="single"/>
              </w:rPr>
              <w:t xml:space="preserve">      </w:t>
            </w:r>
            <w:r>
              <w:rPr>
                <w:rFonts w:hint="eastAsia" w:ascii="宋体" w:hAnsi="宋体"/>
                <w:bCs/>
                <w:color w:val="auto"/>
                <w:sz w:val="24"/>
                <w:highlight w:val="none"/>
              </w:rPr>
              <w:t>拾</w:t>
            </w:r>
            <w:r>
              <w:rPr>
                <w:rFonts w:hint="eastAsia" w:ascii="宋体" w:hAnsi="宋体"/>
                <w:color w:val="auto"/>
                <w:sz w:val="24"/>
                <w:highlight w:val="none"/>
                <w:u w:val="single"/>
              </w:rPr>
              <w:t xml:space="preserve">     </w:t>
            </w:r>
            <w:r>
              <w:rPr>
                <w:rFonts w:hint="eastAsia" w:ascii="宋体" w:hAnsi="宋体"/>
                <w:bCs/>
                <w:color w:val="auto"/>
                <w:sz w:val="24"/>
                <w:highlight w:val="none"/>
              </w:rPr>
              <w:t>元</w:t>
            </w:r>
            <w:r>
              <w:rPr>
                <w:rFonts w:hint="eastAsia" w:ascii="宋体" w:hAnsi="宋体"/>
                <w:color w:val="auto"/>
                <w:sz w:val="24"/>
                <w:highlight w:val="none"/>
                <w:u w:val="single"/>
              </w:rPr>
              <w:t xml:space="preserve">      </w:t>
            </w:r>
            <w:r>
              <w:rPr>
                <w:rFonts w:hint="eastAsia" w:ascii="宋体" w:hAnsi="宋体"/>
                <w:bCs/>
                <w:color w:val="auto"/>
                <w:sz w:val="24"/>
                <w:highlight w:val="none"/>
              </w:rPr>
              <w:t>角</w:t>
            </w:r>
            <w:r>
              <w:rPr>
                <w:rFonts w:hint="eastAsia" w:ascii="宋体" w:hAnsi="宋体"/>
                <w:color w:val="auto"/>
                <w:sz w:val="24"/>
                <w:highlight w:val="none"/>
                <w:u w:val="single"/>
              </w:rPr>
              <w:t xml:space="preserve">      </w:t>
            </w:r>
            <w:r>
              <w:rPr>
                <w:rFonts w:hint="eastAsia" w:ascii="宋体" w:hAnsi="宋体"/>
                <w:bCs/>
                <w:color w:val="auto"/>
                <w:sz w:val="24"/>
                <w:highlight w:val="none"/>
              </w:rPr>
              <w:t>分</w:t>
            </w:r>
          </w:p>
        </w:tc>
      </w:tr>
      <w:tr w14:paraId="1E728B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77" w:hRule="atLeast"/>
        </w:trPr>
        <w:tc>
          <w:tcPr>
            <w:tcW w:w="5000" w:type="pct"/>
            <w:gridSpan w:val="10"/>
            <w:noWrap w:val="0"/>
            <w:vAlign w:val="center"/>
          </w:tcPr>
          <w:p w14:paraId="1AD00B46">
            <w:pPr>
              <w:pStyle w:val="438"/>
              <w:spacing w:line="500" w:lineRule="exact"/>
              <w:jc w:val="left"/>
              <w:rPr>
                <w:rFonts w:ascii="宋体" w:hAnsi="宋体"/>
                <w:b/>
                <w:bCs/>
                <w:color w:val="auto"/>
                <w:sz w:val="24"/>
                <w:highlight w:val="none"/>
              </w:rPr>
            </w:pPr>
            <w:r>
              <w:rPr>
                <w:rFonts w:hint="eastAsia" w:ascii="方正魏碑_GBK" w:hAnsi="方正魏碑_GBK" w:eastAsia="方正魏碑_GBK" w:cs="方正魏碑_GBK"/>
                <w:color w:val="auto"/>
                <w:sz w:val="28"/>
                <w:szCs w:val="28"/>
                <w:highlight w:val="none"/>
              </w:rPr>
              <w:t>本采购包中提供的符合本国产品标准的产品成本之和占该采购包提供的全部产品成本之和的比例为</w:t>
            </w:r>
            <w:r>
              <w:rPr>
                <w:rFonts w:hint="eastAsia" w:ascii="方正魏碑_GBK" w:hAnsi="方正魏碑_GBK" w:eastAsia="方正魏碑_GBK" w:cs="方正魏碑_GBK"/>
                <w:color w:val="auto"/>
                <w:sz w:val="28"/>
                <w:szCs w:val="28"/>
                <w:highlight w:val="none"/>
                <w:u w:val="single"/>
              </w:rPr>
              <w:t xml:space="preserve">      </w:t>
            </w:r>
            <w:r>
              <w:rPr>
                <w:rFonts w:hint="eastAsia" w:ascii="方正魏碑_GBK" w:hAnsi="方正魏碑_GBK" w:eastAsia="方正魏碑_GBK" w:cs="方正魏碑_GBK"/>
                <w:color w:val="auto"/>
                <w:sz w:val="28"/>
                <w:szCs w:val="28"/>
                <w:highlight w:val="none"/>
              </w:rPr>
              <w:t>%。</w:t>
            </w:r>
          </w:p>
        </w:tc>
      </w:tr>
    </w:tbl>
    <w:p w14:paraId="0566A9CC">
      <w:pPr>
        <w:spacing w:line="400" w:lineRule="exact"/>
        <w:rPr>
          <w:rFonts w:ascii="宋体" w:hAnsi="宋体"/>
          <w:color w:val="auto"/>
          <w:sz w:val="24"/>
          <w:szCs w:val="24"/>
          <w:highlight w:val="none"/>
        </w:rPr>
      </w:pPr>
      <w:r>
        <w:rPr>
          <w:rFonts w:hint="eastAsia" w:ascii="宋体" w:hAnsi="宋体"/>
          <w:color w:val="auto"/>
          <w:sz w:val="24"/>
          <w:szCs w:val="24"/>
          <w:highlight w:val="none"/>
        </w:rPr>
        <w:t>备注：1.“投标总报价”数额应当与“开标一览表”中“投标总报价”数额一致。</w:t>
      </w:r>
    </w:p>
    <w:p w14:paraId="1B29163E">
      <w:pPr>
        <w:spacing w:line="400" w:lineRule="exact"/>
        <w:rPr>
          <w:rFonts w:ascii="宋体" w:hAnsi="宋体"/>
          <w:color w:val="auto"/>
          <w:sz w:val="24"/>
          <w:szCs w:val="24"/>
          <w:highlight w:val="none"/>
        </w:rPr>
      </w:pPr>
      <w:r>
        <w:rPr>
          <w:rFonts w:hint="eastAsia" w:ascii="宋体" w:hAnsi="宋体"/>
          <w:color w:val="auto"/>
          <w:sz w:val="24"/>
          <w:szCs w:val="24"/>
          <w:highlight w:val="none"/>
        </w:rPr>
        <w:t>2.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p>
    <w:p w14:paraId="28FA4812">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3.投标人需认真填写本表，尤其注意设备品牌型号的准确填写。投标人须提供所供设备产品品牌、规格型号、</w:t>
      </w:r>
      <w:r>
        <w:rPr>
          <w:rFonts w:hint="eastAsia" w:ascii="宋体" w:hAnsi="宋体" w:cs="宋体"/>
          <w:bCs/>
          <w:color w:val="auto"/>
          <w:sz w:val="24"/>
          <w:szCs w:val="24"/>
          <w:highlight w:val="none"/>
        </w:rPr>
        <w:t>除辅材（含以施工为主的条目）和技术参数标明为定制的货物之外（具体如下序号7、序号8、序号11、序号22、序号26、序号27、序号31）其它应该标明品牌和型号的产品，投标人在投标文件中必须标明品牌、型号，否则作无效投标处理。</w:t>
      </w:r>
    </w:p>
    <w:p w14:paraId="60672B64">
      <w:pPr>
        <w:spacing w:line="400" w:lineRule="exact"/>
        <w:rPr>
          <w:rFonts w:ascii="宋体" w:hAnsi="宋体"/>
          <w:color w:val="auto"/>
          <w:sz w:val="24"/>
          <w:szCs w:val="24"/>
          <w:highlight w:val="none"/>
        </w:rPr>
      </w:pPr>
      <w:r>
        <w:rPr>
          <w:rFonts w:hint="eastAsia" w:ascii="宋体" w:hAnsi="宋体"/>
          <w:color w:val="auto"/>
          <w:sz w:val="24"/>
          <w:szCs w:val="24"/>
          <w:highlight w:val="none"/>
        </w:rPr>
        <w:t>4.符合报价折扣情形的请将此表填报上传至“企业报价折扣证明”一栏中。</w:t>
      </w:r>
    </w:p>
    <w:p w14:paraId="63AAE3E6">
      <w:pPr>
        <w:spacing w:line="400" w:lineRule="exact"/>
        <w:rPr>
          <w:rFonts w:ascii="仿宋" w:hAnsi="仿宋" w:eastAsia="仿宋" w:cs="仿宋"/>
          <w:color w:val="auto"/>
          <w:highlight w:val="none"/>
        </w:rPr>
        <w:sectPr>
          <w:pgSz w:w="11906" w:h="16838"/>
          <w:pgMar w:top="1440" w:right="1800" w:bottom="1440" w:left="1800" w:header="851" w:footer="992" w:gutter="0"/>
          <w:cols w:space="1701" w:num="1"/>
          <w:docGrid w:linePitch="360" w:charSpace="0"/>
        </w:sectPr>
      </w:pPr>
      <w:r>
        <w:rPr>
          <w:rFonts w:hint="eastAsia" w:ascii="宋体" w:hAnsi="宋体"/>
          <w:color w:val="auto"/>
          <w:sz w:val="24"/>
          <w:szCs w:val="24"/>
          <w:highlight w:val="none"/>
        </w:rPr>
        <w:t>5.本采购包中含有多种产品时，供应商未填写本采购包中提供的符合本国产品标准的产品成本之和占该采购包提供的全部产品成本之和的比例数值的，或比例数值未达到80%的，将不享受本国产品价格评审优惠。（政府采购服务类项目中涉及的货物为多种产品时，适用本国产品优惠政策。）</w:t>
      </w:r>
    </w:p>
    <w:p w14:paraId="2605AEAE">
      <w:pPr>
        <w:pStyle w:val="163"/>
        <w:outlineLvl w:val="1"/>
        <w:rPr>
          <w:rFonts w:ascii="仿宋" w:hAnsi="仿宋" w:eastAsia="仿宋" w:cs="仿宋"/>
          <w:color w:val="auto"/>
          <w:szCs w:val="32"/>
          <w:highlight w:val="none"/>
        </w:rPr>
      </w:pPr>
      <w:r>
        <w:rPr>
          <w:rFonts w:hint="eastAsia" w:ascii="仿宋" w:hAnsi="仿宋" w:eastAsia="仿宋" w:cs="仿宋"/>
          <w:color w:val="auto"/>
          <w:highlight w:val="none"/>
        </w:rPr>
        <w:t>七、中小微企业声明函</w:t>
      </w:r>
    </w:p>
    <w:p w14:paraId="505882DD">
      <w:pPr>
        <w:spacing w:line="560" w:lineRule="exact"/>
        <w:ind w:firstLine="360"/>
        <w:jc w:val="center"/>
        <w:rPr>
          <w:rFonts w:ascii="仿宋" w:hAnsi="仿宋" w:eastAsia="仿宋" w:cs="仿宋"/>
          <w:color w:val="auto"/>
          <w:sz w:val="24"/>
          <w:highlight w:val="none"/>
        </w:rPr>
      </w:pPr>
      <w:r>
        <w:rPr>
          <w:rFonts w:hint="eastAsia" w:ascii="仿宋" w:hAnsi="仿宋" w:eastAsia="仿宋" w:cs="仿宋"/>
          <w:b/>
          <w:color w:val="auto"/>
          <w:sz w:val="32"/>
          <w:szCs w:val="24"/>
          <w:highlight w:val="none"/>
        </w:rPr>
        <w:t>中小微企业声明函（货物）</w:t>
      </w:r>
    </w:p>
    <w:p w14:paraId="0D825C31">
      <w:pPr>
        <w:spacing w:line="400" w:lineRule="exact"/>
        <w:ind w:firstLine="36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本公司（联合体）郑重声明，根据《政府采购促进中小企业发展管理办法》(财库〔2020〕46号)的规定，本公司（联合体）参加</w:t>
      </w:r>
      <w:r>
        <w:rPr>
          <w:rFonts w:hint="eastAsia" w:ascii="仿宋" w:hAnsi="仿宋" w:eastAsia="仿宋" w:cs="仿宋"/>
          <w:color w:val="auto"/>
          <w:sz w:val="24"/>
          <w:szCs w:val="24"/>
          <w:highlight w:val="none"/>
          <w:u w:val="single"/>
        </w:rPr>
        <w:t>泗洪县教育局（单位名称）</w:t>
      </w:r>
      <w:r>
        <w:rPr>
          <w:rFonts w:hint="eastAsia" w:ascii="仿宋" w:hAnsi="仿宋" w:eastAsia="仿宋" w:cs="仿宋"/>
          <w:color w:val="auto"/>
          <w:sz w:val="24"/>
          <w:szCs w:val="24"/>
          <w:highlight w:val="none"/>
        </w:rPr>
        <w:t>采购编号为</w:t>
      </w:r>
      <w:r>
        <w:rPr>
          <w:rFonts w:hint="eastAsia" w:ascii="仿宋" w:hAnsi="仿宋" w:eastAsia="仿宋" w:cs="仿宋"/>
          <w:color w:val="auto"/>
          <w:sz w:val="24"/>
          <w:szCs w:val="24"/>
          <w:highlight w:val="none"/>
          <w:u w:val="single"/>
        </w:rPr>
        <w:t xml:space="preserve">  JSZC-321324-JSCW-G2026-00</w:t>
      </w:r>
      <w:r>
        <w:rPr>
          <w:rFonts w:hint="eastAsia" w:ascii="仿宋" w:hAnsi="仿宋" w:eastAsia="仿宋" w:cs="仿宋"/>
          <w:color w:val="auto"/>
          <w:sz w:val="24"/>
          <w:szCs w:val="24"/>
          <w:highlight w:val="none"/>
          <w:u w:val="single"/>
          <w:lang w:val="en-US" w:eastAsia="zh-CN"/>
        </w:rPr>
        <w:t>24</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泗洪县城区学校门口交通安全设施建设项目（采购包号：JSZC-321324-JSCW-G2026-00</w:t>
      </w:r>
      <w:r>
        <w:rPr>
          <w:rFonts w:hint="eastAsia" w:ascii="仿宋" w:hAnsi="仿宋" w:eastAsia="仿宋" w:cs="仿宋"/>
          <w:color w:val="auto"/>
          <w:sz w:val="24"/>
          <w:szCs w:val="24"/>
          <w:highlight w:val="none"/>
          <w:u w:val="single"/>
          <w:lang w:val="en-US" w:eastAsia="zh-CN"/>
        </w:rPr>
        <w:t>24</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采购包意向协议的中小微企业）的具体情况如下：</w:t>
      </w:r>
    </w:p>
    <w:p w14:paraId="10F0CC37">
      <w:pPr>
        <w:spacing w:line="400" w:lineRule="exact"/>
        <w:ind w:firstLine="360"/>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u w:val="single"/>
        </w:rPr>
        <w:t xml:space="preserve">人行横道标志牌 </w:t>
      </w:r>
      <w:r>
        <w:rPr>
          <w:rFonts w:hint="eastAsia" w:ascii="仿宋" w:hAnsi="仿宋" w:eastAsia="仿宋" w:cs="仿宋"/>
          <w:i/>
          <w:color w:val="auto"/>
          <w:sz w:val="24"/>
          <w:szCs w:val="24"/>
          <w:highlight w:val="none"/>
        </w:rPr>
        <w:t>，</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 xml:space="preserve"> 工业 </w:t>
      </w:r>
      <w:r>
        <w:rPr>
          <w:rFonts w:hint="eastAsia" w:ascii="仿宋" w:hAnsi="仿宋" w:eastAsia="仿宋" w:cs="仿宋"/>
          <w:color w:val="auto"/>
          <w:sz w:val="24"/>
          <w:szCs w:val="24"/>
          <w:highlight w:val="none"/>
        </w:rPr>
        <w:t>行业；制造商为</w:t>
      </w:r>
      <w:r>
        <w:rPr>
          <w:rFonts w:hint="eastAsia" w:ascii="仿宋" w:hAnsi="仿宋" w:eastAsia="仿宋" w:cs="仿宋"/>
          <w:color w:val="auto"/>
          <w:sz w:val="24"/>
          <w:szCs w:val="24"/>
          <w:highlight w:val="none"/>
          <w:u w:val="single"/>
        </w:rPr>
        <w:t>（企业名称）</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（□中型企业 □小型企业 □微型企业）；</w:t>
      </w:r>
    </w:p>
    <w:p w14:paraId="67AFA415">
      <w:pPr>
        <w:spacing w:line="400" w:lineRule="exact"/>
        <w:ind w:firstLine="360"/>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u w:val="single"/>
        </w:rPr>
        <w:t>路面凸起标志牌</w:t>
      </w:r>
      <w:r>
        <w:rPr>
          <w:rFonts w:hint="eastAsia" w:ascii="仿宋" w:hAnsi="仿宋" w:eastAsia="仿宋" w:cs="仿宋"/>
          <w:i/>
          <w:color w:val="auto"/>
          <w:sz w:val="24"/>
          <w:szCs w:val="24"/>
          <w:highlight w:val="none"/>
        </w:rPr>
        <w:t>，</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行业；制造商为</w:t>
      </w:r>
      <w:r>
        <w:rPr>
          <w:rFonts w:hint="eastAsia" w:ascii="仿宋" w:hAnsi="仿宋" w:eastAsia="仿宋" w:cs="仿宋"/>
          <w:color w:val="auto"/>
          <w:sz w:val="24"/>
          <w:szCs w:val="24"/>
          <w:highlight w:val="none"/>
          <w:u w:val="single"/>
        </w:rPr>
        <w:t>（企业名称）</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（□中型企业 □小型企业 □微型企业）；</w:t>
      </w:r>
    </w:p>
    <w:p w14:paraId="0B9AEBEB">
      <w:pPr>
        <w:spacing w:line="400" w:lineRule="exact"/>
        <w:ind w:firstLine="360"/>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u w:val="single"/>
        </w:rPr>
        <w:t xml:space="preserve"> 调头标志牌 </w:t>
      </w:r>
      <w:r>
        <w:rPr>
          <w:rFonts w:hint="eastAsia" w:ascii="仿宋" w:hAnsi="仿宋" w:eastAsia="仿宋" w:cs="仿宋"/>
          <w:i/>
          <w:color w:val="auto"/>
          <w:sz w:val="24"/>
          <w:szCs w:val="24"/>
          <w:highlight w:val="none"/>
        </w:rPr>
        <w:t>，</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行业；制造商为</w:t>
      </w:r>
      <w:r>
        <w:rPr>
          <w:rFonts w:hint="eastAsia" w:ascii="仿宋" w:hAnsi="仿宋" w:eastAsia="仿宋" w:cs="仿宋"/>
          <w:color w:val="auto"/>
          <w:sz w:val="24"/>
          <w:szCs w:val="24"/>
          <w:highlight w:val="none"/>
          <w:u w:val="single"/>
        </w:rPr>
        <w:t>（企业名称）</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（□中型企业 □小型企业 □微型企业）；</w:t>
      </w:r>
    </w:p>
    <w:p w14:paraId="0FD57DC1">
      <w:pPr>
        <w:spacing w:line="400" w:lineRule="exact"/>
        <w:ind w:firstLine="360"/>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u w:val="single"/>
        </w:rPr>
        <w:t xml:space="preserve"> 学校区域限速牌</w:t>
      </w:r>
      <w:r>
        <w:rPr>
          <w:rFonts w:hint="eastAsia" w:ascii="仿宋" w:hAnsi="仿宋" w:eastAsia="仿宋" w:cs="仿宋"/>
          <w:i/>
          <w:color w:val="auto"/>
          <w:sz w:val="24"/>
          <w:szCs w:val="24"/>
          <w:highlight w:val="none"/>
        </w:rPr>
        <w:t>，</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行业；制造商为</w:t>
      </w:r>
      <w:r>
        <w:rPr>
          <w:rFonts w:hint="eastAsia" w:ascii="仿宋" w:hAnsi="仿宋" w:eastAsia="仿宋" w:cs="仿宋"/>
          <w:color w:val="auto"/>
          <w:sz w:val="24"/>
          <w:szCs w:val="24"/>
          <w:highlight w:val="none"/>
          <w:u w:val="single"/>
        </w:rPr>
        <w:t>（企业名称）</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（□中型企业 □小型企业 □微型企业）；</w:t>
      </w:r>
    </w:p>
    <w:p w14:paraId="0E264A34">
      <w:pPr>
        <w:spacing w:line="400" w:lineRule="exact"/>
        <w:ind w:firstLine="36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r>
        <w:rPr>
          <w:rFonts w:hint="eastAsia" w:ascii="仿宋" w:hAnsi="仿宋" w:eastAsia="仿宋" w:cs="仿宋"/>
          <w:color w:val="auto"/>
          <w:sz w:val="24"/>
          <w:szCs w:val="24"/>
          <w:highlight w:val="none"/>
          <w:u w:val="single"/>
        </w:rPr>
        <w:t xml:space="preserve"> 机非分离组合标志牌 </w:t>
      </w:r>
      <w:r>
        <w:rPr>
          <w:rFonts w:hint="eastAsia" w:ascii="仿宋" w:hAnsi="仿宋" w:eastAsia="仿宋" w:cs="仿宋"/>
          <w:i/>
          <w:color w:val="auto"/>
          <w:sz w:val="24"/>
          <w:szCs w:val="24"/>
          <w:highlight w:val="none"/>
        </w:rPr>
        <w:t>，</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行业；制造商为</w:t>
      </w:r>
      <w:r>
        <w:rPr>
          <w:rFonts w:hint="eastAsia" w:ascii="仿宋" w:hAnsi="仿宋" w:eastAsia="仿宋" w:cs="仿宋"/>
          <w:color w:val="auto"/>
          <w:sz w:val="24"/>
          <w:szCs w:val="24"/>
          <w:highlight w:val="none"/>
          <w:u w:val="single"/>
        </w:rPr>
        <w:t>（企业名称）</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（□中型企业 □小型企业 □微型企业）；</w:t>
      </w:r>
    </w:p>
    <w:p w14:paraId="2C00B479">
      <w:pPr>
        <w:spacing w:line="400" w:lineRule="exact"/>
        <w:ind w:firstLine="360"/>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6.</w:t>
      </w:r>
      <w:r>
        <w:rPr>
          <w:rFonts w:hint="eastAsia" w:ascii="仿宋" w:hAnsi="仿宋" w:eastAsia="仿宋" w:cs="仿宋"/>
          <w:color w:val="auto"/>
          <w:sz w:val="24"/>
          <w:szCs w:val="24"/>
          <w:highlight w:val="none"/>
          <w:u w:val="single"/>
        </w:rPr>
        <w:t xml:space="preserve"> 靠右行驶标志牌</w:t>
      </w:r>
      <w:r>
        <w:rPr>
          <w:rFonts w:hint="eastAsia" w:ascii="仿宋" w:hAnsi="仿宋" w:eastAsia="仿宋" w:cs="仿宋"/>
          <w:i/>
          <w:color w:val="auto"/>
          <w:sz w:val="24"/>
          <w:szCs w:val="24"/>
          <w:highlight w:val="none"/>
        </w:rPr>
        <w:t>，</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行业；制造商为</w:t>
      </w:r>
      <w:r>
        <w:rPr>
          <w:rFonts w:hint="eastAsia" w:ascii="仿宋" w:hAnsi="仿宋" w:eastAsia="仿宋" w:cs="仿宋"/>
          <w:color w:val="auto"/>
          <w:sz w:val="24"/>
          <w:szCs w:val="24"/>
          <w:highlight w:val="none"/>
          <w:u w:val="single"/>
        </w:rPr>
        <w:t>（企业名称）</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（□中型企业 □小型企业 □微型企业）；</w:t>
      </w:r>
    </w:p>
    <w:p w14:paraId="359C1145">
      <w:pPr>
        <w:spacing w:line="400" w:lineRule="exact"/>
        <w:ind w:firstLine="360"/>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7.</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震荡标线</w:t>
      </w:r>
      <w:r>
        <w:rPr>
          <w:rFonts w:hint="eastAsia" w:ascii="仿宋" w:hAnsi="仿宋" w:eastAsia="仿宋" w:cs="仿宋"/>
          <w:color w:val="auto"/>
          <w:sz w:val="24"/>
          <w:szCs w:val="24"/>
          <w:highlight w:val="none"/>
          <w:u w:val="single"/>
        </w:rPr>
        <w:t xml:space="preserve"> </w:t>
      </w:r>
      <w:r>
        <w:rPr>
          <w:rFonts w:hint="eastAsia" w:ascii="仿宋" w:hAnsi="仿宋" w:eastAsia="仿宋" w:cs="仿宋"/>
          <w:i/>
          <w:color w:val="auto"/>
          <w:sz w:val="24"/>
          <w:szCs w:val="24"/>
          <w:highlight w:val="none"/>
        </w:rPr>
        <w:t>，</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行业；制造商为</w:t>
      </w:r>
      <w:r>
        <w:rPr>
          <w:rFonts w:hint="eastAsia" w:ascii="仿宋" w:hAnsi="仿宋" w:eastAsia="仿宋" w:cs="仿宋"/>
          <w:color w:val="auto"/>
          <w:sz w:val="24"/>
          <w:szCs w:val="24"/>
          <w:highlight w:val="none"/>
          <w:u w:val="single"/>
        </w:rPr>
        <w:t>（企业名称）</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（□中型企业 □小型企业 □微型企业）；</w:t>
      </w:r>
    </w:p>
    <w:p w14:paraId="0E9E5830">
      <w:pPr>
        <w:spacing w:line="400" w:lineRule="exact"/>
        <w:ind w:firstLine="360"/>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8.</w:t>
      </w:r>
      <w:r>
        <w:rPr>
          <w:rFonts w:hint="eastAsia" w:ascii="仿宋" w:hAnsi="仿宋" w:eastAsia="仿宋" w:cs="仿宋"/>
          <w:color w:val="auto"/>
          <w:sz w:val="24"/>
          <w:szCs w:val="24"/>
          <w:highlight w:val="none"/>
          <w:u w:val="single"/>
        </w:rPr>
        <w:t xml:space="preserve"> 隔离护栏 </w:t>
      </w:r>
      <w:r>
        <w:rPr>
          <w:rFonts w:hint="eastAsia" w:ascii="仿宋" w:hAnsi="仿宋" w:eastAsia="仿宋" w:cs="仿宋"/>
          <w:i/>
          <w:color w:val="auto"/>
          <w:sz w:val="24"/>
          <w:szCs w:val="24"/>
          <w:highlight w:val="none"/>
        </w:rPr>
        <w:t>，</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行业；制造商为</w:t>
      </w:r>
      <w:r>
        <w:rPr>
          <w:rFonts w:hint="eastAsia" w:ascii="仿宋" w:hAnsi="仿宋" w:eastAsia="仿宋" w:cs="仿宋"/>
          <w:color w:val="auto"/>
          <w:sz w:val="24"/>
          <w:szCs w:val="24"/>
          <w:highlight w:val="none"/>
          <w:u w:val="single"/>
        </w:rPr>
        <w:t>（企业名称）</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（□中型企业 □小型企业 □微型企业）；</w:t>
      </w:r>
    </w:p>
    <w:p w14:paraId="45808F3C">
      <w:pPr>
        <w:spacing w:line="400" w:lineRule="exact"/>
        <w:ind w:firstLine="360"/>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9.</w:t>
      </w:r>
      <w:r>
        <w:rPr>
          <w:rFonts w:hint="eastAsia" w:ascii="仿宋" w:hAnsi="仿宋" w:eastAsia="仿宋" w:cs="仿宋"/>
          <w:color w:val="auto"/>
          <w:sz w:val="24"/>
          <w:szCs w:val="24"/>
          <w:highlight w:val="none"/>
          <w:u w:val="single"/>
        </w:rPr>
        <w:t xml:space="preserve"> 防撞柱</w:t>
      </w:r>
      <w:r>
        <w:rPr>
          <w:rFonts w:hint="eastAsia" w:ascii="仿宋" w:hAnsi="仿宋" w:eastAsia="仿宋" w:cs="仿宋"/>
          <w:i/>
          <w:color w:val="auto"/>
          <w:sz w:val="24"/>
          <w:szCs w:val="24"/>
          <w:highlight w:val="none"/>
        </w:rPr>
        <w:t>，</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行业；制造商为</w:t>
      </w:r>
      <w:r>
        <w:rPr>
          <w:rFonts w:hint="eastAsia" w:ascii="仿宋" w:hAnsi="仿宋" w:eastAsia="仿宋" w:cs="仿宋"/>
          <w:color w:val="auto"/>
          <w:sz w:val="24"/>
          <w:szCs w:val="24"/>
          <w:highlight w:val="none"/>
          <w:u w:val="single"/>
        </w:rPr>
        <w:t>（企业名称）</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（□中型企业 □小型企业 □微型企业）；</w:t>
      </w:r>
    </w:p>
    <w:p w14:paraId="073F01AD">
      <w:pPr>
        <w:spacing w:line="400" w:lineRule="exact"/>
        <w:ind w:firstLine="360"/>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10.</w:t>
      </w:r>
      <w:r>
        <w:rPr>
          <w:rFonts w:hint="eastAsia" w:ascii="仿宋" w:hAnsi="仿宋" w:eastAsia="仿宋" w:cs="仿宋"/>
          <w:color w:val="auto"/>
          <w:sz w:val="24"/>
          <w:szCs w:val="24"/>
          <w:highlight w:val="none"/>
          <w:u w:val="single"/>
        </w:rPr>
        <w:t xml:space="preserve"> 移动护栏 </w:t>
      </w:r>
      <w:r>
        <w:rPr>
          <w:rFonts w:hint="eastAsia" w:ascii="仿宋" w:hAnsi="仿宋" w:eastAsia="仿宋" w:cs="仿宋"/>
          <w:i/>
          <w:color w:val="auto"/>
          <w:sz w:val="24"/>
          <w:szCs w:val="24"/>
          <w:highlight w:val="none"/>
        </w:rPr>
        <w:t>，</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行业；制造商为</w:t>
      </w:r>
      <w:r>
        <w:rPr>
          <w:rFonts w:hint="eastAsia" w:ascii="仿宋" w:hAnsi="仿宋" w:eastAsia="仿宋" w:cs="仿宋"/>
          <w:color w:val="auto"/>
          <w:sz w:val="24"/>
          <w:szCs w:val="24"/>
          <w:highlight w:val="none"/>
          <w:u w:val="single"/>
        </w:rPr>
        <w:t>（企业名称）</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（□中型企业 □小型企业 □微型企业）；</w:t>
      </w:r>
    </w:p>
    <w:p w14:paraId="5B0C131C">
      <w:pPr>
        <w:spacing w:line="400" w:lineRule="exact"/>
        <w:ind w:firstLine="360"/>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11.</w:t>
      </w:r>
      <w:r>
        <w:rPr>
          <w:rFonts w:hint="eastAsia" w:ascii="仿宋" w:hAnsi="仿宋" w:eastAsia="仿宋" w:cs="仿宋"/>
          <w:color w:val="auto"/>
          <w:sz w:val="24"/>
          <w:szCs w:val="24"/>
          <w:highlight w:val="none"/>
          <w:u w:val="single"/>
        </w:rPr>
        <w:t xml:space="preserve"> 移动信号灯 </w:t>
      </w:r>
      <w:r>
        <w:rPr>
          <w:rFonts w:hint="eastAsia" w:ascii="仿宋" w:hAnsi="仿宋" w:eastAsia="仿宋" w:cs="仿宋"/>
          <w:i/>
          <w:color w:val="auto"/>
          <w:sz w:val="24"/>
          <w:szCs w:val="24"/>
          <w:highlight w:val="none"/>
        </w:rPr>
        <w:t>，</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行业；制造商为</w:t>
      </w:r>
      <w:r>
        <w:rPr>
          <w:rFonts w:hint="eastAsia" w:ascii="仿宋" w:hAnsi="仿宋" w:eastAsia="仿宋" w:cs="仿宋"/>
          <w:color w:val="auto"/>
          <w:sz w:val="24"/>
          <w:szCs w:val="24"/>
          <w:highlight w:val="none"/>
          <w:u w:val="single"/>
        </w:rPr>
        <w:t>（企业名称）</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（□中型企业 □小型企业 □微型企业）；</w:t>
      </w:r>
    </w:p>
    <w:p w14:paraId="18B735A2">
      <w:pPr>
        <w:spacing w:line="400" w:lineRule="exact"/>
        <w:ind w:firstLine="360"/>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12.</w:t>
      </w:r>
      <w:r>
        <w:rPr>
          <w:rFonts w:hint="eastAsia" w:ascii="仿宋" w:hAnsi="仿宋" w:eastAsia="仿宋" w:cs="仿宋"/>
          <w:color w:val="auto"/>
          <w:sz w:val="24"/>
          <w:szCs w:val="24"/>
          <w:highlight w:val="none"/>
          <w:u w:val="single"/>
        </w:rPr>
        <w:t xml:space="preserve"> 反光背心 </w:t>
      </w:r>
      <w:r>
        <w:rPr>
          <w:rFonts w:hint="eastAsia" w:ascii="仿宋" w:hAnsi="仿宋" w:eastAsia="仿宋" w:cs="仿宋"/>
          <w:i/>
          <w:color w:val="auto"/>
          <w:sz w:val="24"/>
          <w:szCs w:val="24"/>
          <w:highlight w:val="none"/>
        </w:rPr>
        <w:t>，</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行业；制造商为</w:t>
      </w:r>
      <w:r>
        <w:rPr>
          <w:rFonts w:hint="eastAsia" w:ascii="仿宋" w:hAnsi="仿宋" w:eastAsia="仿宋" w:cs="仿宋"/>
          <w:color w:val="auto"/>
          <w:sz w:val="24"/>
          <w:szCs w:val="24"/>
          <w:highlight w:val="none"/>
          <w:u w:val="single"/>
        </w:rPr>
        <w:t>（企业名称）</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（□中型企业 □小型企业 □微型企业）；</w:t>
      </w:r>
    </w:p>
    <w:p w14:paraId="4551CDA1">
      <w:pPr>
        <w:spacing w:line="400" w:lineRule="exact"/>
        <w:ind w:firstLine="360"/>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13.</w:t>
      </w:r>
      <w:r>
        <w:rPr>
          <w:rFonts w:hint="eastAsia" w:ascii="仿宋" w:hAnsi="仿宋" w:eastAsia="仿宋" w:cs="仿宋"/>
          <w:color w:val="auto"/>
          <w:sz w:val="24"/>
          <w:szCs w:val="24"/>
          <w:highlight w:val="none"/>
          <w:u w:val="single"/>
        </w:rPr>
        <w:t xml:space="preserve"> 指挥棒 </w:t>
      </w:r>
      <w:r>
        <w:rPr>
          <w:rFonts w:hint="eastAsia" w:ascii="仿宋" w:hAnsi="仿宋" w:eastAsia="仿宋" w:cs="仿宋"/>
          <w:i/>
          <w:color w:val="auto"/>
          <w:sz w:val="24"/>
          <w:szCs w:val="24"/>
          <w:highlight w:val="none"/>
        </w:rPr>
        <w:t>，</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行业；制造商为</w:t>
      </w:r>
      <w:r>
        <w:rPr>
          <w:rFonts w:hint="eastAsia" w:ascii="仿宋" w:hAnsi="仿宋" w:eastAsia="仿宋" w:cs="仿宋"/>
          <w:color w:val="auto"/>
          <w:sz w:val="24"/>
          <w:szCs w:val="24"/>
          <w:highlight w:val="none"/>
          <w:u w:val="single"/>
        </w:rPr>
        <w:t>（企业名称）</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（□中型企业 □小型企业 □微型企业）；</w:t>
      </w:r>
    </w:p>
    <w:p w14:paraId="46DECFF9">
      <w:pPr>
        <w:spacing w:line="400" w:lineRule="exact"/>
        <w:ind w:firstLine="360"/>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14.</w:t>
      </w:r>
      <w:r>
        <w:rPr>
          <w:rFonts w:hint="eastAsia" w:ascii="仿宋" w:hAnsi="仿宋" w:eastAsia="仿宋" w:cs="仿宋"/>
          <w:color w:val="auto"/>
          <w:sz w:val="24"/>
          <w:szCs w:val="24"/>
          <w:highlight w:val="none"/>
          <w:u w:val="single"/>
        </w:rPr>
        <w:t xml:space="preserve"> 宣传喇叭</w:t>
      </w:r>
      <w:r>
        <w:rPr>
          <w:rFonts w:hint="eastAsia" w:ascii="仿宋" w:hAnsi="仿宋" w:eastAsia="仿宋" w:cs="仿宋"/>
          <w:i/>
          <w:color w:val="auto"/>
          <w:sz w:val="24"/>
          <w:szCs w:val="24"/>
          <w:highlight w:val="none"/>
        </w:rPr>
        <w:t>，</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行业；制造商为</w:t>
      </w:r>
      <w:r>
        <w:rPr>
          <w:rFonts w:hint="eastAsia" w:ascii="仿宋" w:hAnsi="仿宋" w:eastAsia="仿宋" w:cs="仿宋"/>
          <w:color w:val="auto"/>
          <w:sz w:val="24"/>
          <w:szCs w:val="24"/>
          <w:highlight w:val="none"/>
          <w:u w:val="single"/>
        </w:rPr>
        <w:t>（企业名称）</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（□中型企业 □小型企业 □微型企业）；</w:t>
      </w:r>
    </w:p>
    <w:p w14:paraId="41A2D2E0">
      <w:pPr>
        <w:spacing w:line="400" w:lineRule="exact"/>
        <w:ind w:firstLine="360"/>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15.</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便携式</w:t>
      </w:r>
      <w:r>
        <w:rPr>
          <w:rFonts w:hint="eastAsia" w:ascii="仿宋" w:hAnsi="仿宋" w:eastAsia="仿宋" w:cs="仿宋"/>
          <w:color w:val="auto"/>
          <w:sz w:val="24"/>
          <w:szCs w:val="24"/>
          <w:highlight w:val="none"/>
          <w:u w:val="single"/>
        </w:rPr>
        <w:t xml:space="preserve">布控球 </w:t>
      </w:r>
      <w:r>
        <w:rPr>
          <w:rFonts w:hint="eastAsia" w:ascii="仿宋" w:hAnsi="仿宋" w:eastAsia="仿宋" w:cs="仿宋"/>
          <w:i/>
          <w:color w:val="auto"/>
          <w:sz w:val="24"/>
          <w:szCs w:val="24"/>
          <w:highlight w:val="none"/>
        </w:rPr>
        <w:t>，</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行业；制造商为</w:t>
      </w:r>
      <w:r>
        <w:rPr>
          <w:rFonts w:hint="eastAsia" w:ascii="仿宋" w:hAnsi="仿宋" w:eastAsia="仿宋" w:cs="仿宋"/>
          <w:color w:val="auto"/>
          <w:sz w:val="24"/>
          <w:szCs w:val="24"/>
          <w:highlight w:val="none"/>
          <w:u w:val="single"/>
        </w:rPr>
        <w:t>（企业名称）</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（□中型企业 □小型企业 □微型企业）；</w:t>
      </w:r>
    </w:p>
    <w:p w14:paraId="0FEEE812">
      <w:pPr>
        <w:spacing w:line="400" w:lineRule="exact"/>
        <w:ind w:firstLine="360"/>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16.</w:t>
      </w:r>
      <w:r>
        <w:rPr>
          <w:rFonts w:hint="eastAsia" w:ascii="仿宋" w:hAnsi="仿宋" w:eastAsia="仿宋" w:cs="仿宋"/>
          <w:color w:val="auto"/>
          <w:sz w:val="24"/>
          <w:szCs w:val="24"/>
          <w:highlight w:val="none"/>
          <w:u w:val="single"/>
        </w:rPr>
        <w:t xml:space="preserve"> 枪球一体机</w:t>
      </w:r>
      <w:r>
        <w:rPr>
          <w:rFonts w:hint="eastAsia" w:ascii="仿宋" w:hAnsi="仿宋" w:eastAsia="仿宋" w:cs="仿宋"/>
          <w:i/>
          <w:color w:val="auto"/>
          <w:sz w:val="24"/>
          <w:szCs w:val="24"/>
          <w:highlight w:val="none"/>
        </w:rPr>
        <w:t>，</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行业；制造商为</w:t>
      </w:r>
      <w:r>
        <w:rPr>
          <w:rFonts w:hint="eastAsia" w:ascii="仿宋" w:hAnsi="仿宋" w:eastAsia="仿宋" w:cs="仿宋"/>
          <w:color w:val="auto"/>
          <w:sz w:val="24"/>
          <w:szCs w:val="24"/>
          <w:highlight w:val="none"/>
          <w:u w:val="single"/>
        </w:rPr>
        <w:t>（企业名称）</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（□中型企业 □小型企业 □微型企业）；</w:t>
      </w:r>
    </w:p>
    <w:p w14:paraId="294FE230">
      <w:pPr>
        <w:spacing w:line="400" w:lineRule="exact"/>
        <w:ind w:firstLine="360"/>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17.</w:t>
      </w:r>
      <w:r>
        <w:rPr>
          <w:rFonts w:hint="eastAsia" w:ascii="仿宋" w:hAnsi="仿宋" w:eastAsia="仿宋" w:cs="仿宋"/>
          <w:color w:val="auto"/>
          <w:sz w:val="24"/>
          <w:szCs w:val="24"/>
          <w:highlight w:val="none"/>
          <w:u w:val="single"/>
        </w:rPr>
        <w:t xml:space="preserve"> 设备箱及配套 </w:t>
      </w:r>
      <w:r>
        <w:rPr>
          <w:rFonts w:hint="eastAsia" w:ascii="仿宋" w:hAnsi="仿宋" w:eastAsia="仿宋" w:cs="仿宋"/>
          <w:i/>
          <w:color w:val="auto"/>
          <w:sz w:val="24"/>
          <w:szCs w:val="24"/>
          <w:highlight w:val="none"/>
        </w:rPr>
        <w:t>，</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行业；制造商为</w:t>
      </w:r>
      <w:r>
        <w:rPr>
          <w:rFonts w:hint="eastAsia" w:ascii="仿宋" w:hAnsi="仿宋" w:eastAsia="仿宋" w:cs="仿宋"/>
          <w:color w:val="auto"/>
          <w:sz w:val="24"/>
          <w:szCs w:val="24"/>
          <w:highlight w:val="none"/>
          <w:u w:val="single"/>
        </w:rPr>
        <w:t>（企业名称）</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（□中型企业 □小型企业 □微型企业）；</w:t>
      </w:r>
    </w:p>
    <w:p w14:paraId="4A507E7C">
      <w:pPr>
        <w:spacing w:line="400" w:lineRule="exact"/>
        <w:ind w:firstLine="360"/>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18.</w:t>
      </w:r>
      <w:r>
        <w:rPr>
          <w:rFonts w:hint="eastAsia" w:ascii="仿宋" w:hAnsi="仿宋" w:eastAsia="仿宋" w:cs="仿宋"/>
          <w:color w:val="auto"/>
          <w:sz w:val="24"/>
          <w:szCs w:val="24"/>
          <w:highlight w:val="none"/>
          <w:u w:val="single"/>
        </w:rPr>
        <w:t xml:space="preserve"> 电源线</w:t>
      </w:r>
      <w:r>
        <w:rPr>
          <w:rFonts w:hint="eastAsia" w:ascii="仿宋" w:hAnsi="仿宋" w:eastAsia="仿宋" w:cs="仿宋"/>
          <w:i/>
          <w:color w:val="auto"/>
          <w:sz w:val="24"/>
          <w:szCs w:val="24"/>
          <w:highlight w:val="none"/>
        </w:rPr>
        <w:t>，</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行业；制造商为</w:t>
      </w:r>
      <w:r>
        <w:rPr>
          <w:rFonts w:hint="eastAsia" w:ascii="仿宋" w:hAnsi="仿宋" w:eastAsia="仿宋" w:cs="仿宋"/>
          <w:color w:val="auto"/>
          <w:sz w:val="24"/>
          <w:szCs w:val="24"/>
          <w:highlight w:val="none"/>
          <w:u w:val="single"/>
        </w:rPr>
        <w:t>（企业名称）</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（□中型企业 □小型企业 □微型企业）；</w:t>
      </w:r>
    </w:p>
    <w:p w14:paraId="5C1B2D50">
      <w:pPr>
        <w:spacing w:line="400" w:lineRule="exact"/>
        <w:ind w:firstLine="360"/>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19.</w:t>
      </w:r>
      <w:r>
        <w:rPr>
          <w:rFonts w:hint="eastAsia" w:ascii="仿宋" w:hAnsi="仿宋" w:eastAsia="仿宋" w:cs="仿宋"/>
          <w:color w:val="auto"/>
          <w:sz w:val="24"/>
          <w:szCs w:val="24"/>
          <w:highlight w:val="none"/>
          <w:u w:val="single"/>
        </w:rPr>
        <w:t xml:space="preserve"> 网线</w:t>
      </w:r>
      <w:r>
        <w:rPr>
          <w:rFonts w:hint="eastAsia" w:ascii="仿宋" w:hAnsi="仿宋" w:eastAsia="仿宋" w:cs="仿宋"/>
          <w:i/>
          <w:color w:val="auto"/>
          <w:sz w:val="24"/>
          <w:szCs w:val="24"/>
          <w:highlight w:val="none"/>
        </w:rPr>
        <w:t>，</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行业；制造商为</w:t>
      </w:r>
      <w:r>
        <w:rPr>
          <w:rFonts w:hint="eastAsia" w:ascii="仿宋" w:hAnsi="仿宋" w:eastAsia="仿宋" w:cs="仿宋"/>
          <w:color w:val="auto"/>
          <w:sz w:val="24"/>
          <w:szCs w:val="24"/>
          <w:highlight w:val="none"/>
          <w:u w:val="single"/>
        </w:rPr>
        <w:t>（企业名称）</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（□中型企业 □小型企业 □微型企业）；</w:t>
      </w:r>
    </w:p>
    <w:p w14:paraId="136D7E76">
      <w:pPr>
        <w:spacing w:line="400" w:lineRule="exact"/>
        <w:ind w:firstLine="360"/>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20.</w:t>
      </w:r>
      <w:r>
        <w:rPr>
          <w:rFonts w:hint="eastAsia" w:ascii="仿宋" w:hAnsi="仿宋" w:eastAsia="仿宋" w:cs="仿宋"/>
          <w:color w:val="auto"/>
          <w:sz w:val="24"/>
          <w:szCs w:val="24"/>
          <w:highlight w:val="none"/>
          <w:u w:val="single"/>
        </w:rPr>
        <w:t xml:space="preserve"> 挑臂 </w:t>
      </w:r>
      <w:r>
        <w:rPr>
          <w:rFonts w:hint="eastAsia" w:ascii="仿宋" w:hAnsi="仿宋" w:eastAsia="仿宋" w:cs="仿宋"/>
          <w:i/>
          <w:color w:val="auto"/>
          <w:sz w:val="24"/>
          <w:szCs w:val="24"/>
          <w:highlight w:val="none"/>
        </w:rPr>
        <w:t>，</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行业；制造商为</w:t>
      </w:r>
      <w:r>
        <w:rPr>
          <w:rFonts w:hint="eastAsia" w:ascii="仿宋" w:hAnsi="仿宋" w:eastAsia="仿宋" w:cs="仿宋"/>
          <w:color w:val="auto"/>
          <w:sz w:val="24"/>
          <w:szCs w:val="24"/>
          <w:highlight w:val="none"/>
          <w:u w:val="single"/>
        </w:rPr>
        <w:t>（企业名称）</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（□中型企业 □小型企业 □微型企业）；</w:t>
      </w:r>
    </w:p>
    <w:p w14:paraId="20FAEB0E">
      <w:pPr>
        <w:spacing w:line="400" w:lineRule="exact"/>
        <w:ind w:firstLine="360"/>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21.</w:t>
      </w:r>
      <w:r>
        <w:rPr>
          <w:rFonts w:hint="eastAsia" w:ascii="仿宋" w:hAnsi="仿宋" w:eastAsia="仿宋" w:cs="仿宋"/>
          <w:color w:val="auto"/>
          <w:sz w:val="24"/>
          <w:szCs w:val="24"/>
          <w:highlight w:val="none"/>
          <w:u w:val="single"/>
        </w:rPr>
        <w:t xml:space="preserve"> 辅材</w:t>
      </w:r>
      <w:r>
        <w:rPr>
          <w:rFonts w:hint="eastAsia" w:ascii="仿宋" w:hAnsi="仿宋" w:eastAsia="仿宋" w:cs="仿宋"/>
          <w:i/>
          <w:color w:val="auto"/>
          <w:sz w:val="24"/>
          <w:szCs w:val="24"/>
          <w:highlight w:val="none"/>
        </w:rPr>
        <w:t>，</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行业；制造商为</w:t>
      </w:r>
      <w:r>
        <w:rPr>
          <w:rFonts w:hint="eastAsia" w:ascii="仿宋" w:hAnsi="仿宋" w:eastAsia="仿宋" w:cs="仿宋"/>
          <w:color w:val="auto"/>
          <w:sz w:val="24"/>
          <w:szCs w:val="24"/>
          <w:highlight w:val="none"/>
          <w:u w:val="single"/>
        </w:rPr>
        <w:t>（企业名称）</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（□中型企业 □小型企业 □微型企业）；</w:t>
      </w:r>
    </w:p>
    <w:p w14:paraId="643E84E2">
      <w:pPr>
        <w:spacing w:line="400" w:lineRule="exact"/>
        <w:ind w:firstLine="360"/>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22.</w:t>
      </w:r>
      <w:r>
        <w:rPr>
          <w:rFonts w:hint="eastAsia" w:ascii="仿宋" w:hAnsi="仿宋" w:eastAsia="仿宋" w:cs="仿宋"/>
          <w:color w:val="auto"/>
          <w:sz w:val="24"/>
          <w:szCs w:val="24"/>
          <w:highlight w:val="none"/>
          <w:u w:val="single"/>
        </w:rPr>
        <w:t xml:space="preserve"> AI融合巡检一体化系统 </w:t>
      </w:r>
      <w:r>
        <w:rPr>
          <w:rFonts w:hint="eastAsia" w:ascii="仿宋" w:hAnsi="仿宋" w:eastAsia="仿宋" w:cs="仿宋"/>
          <w:i/>
          <w:color w:val="auto"/>
          <w:sz w:val="24"/>
          <w:szCs w:val="24"/>
          <w:highlight w:val="none"/>
        </w:rPr>
        <w:t>，</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行业；制造商为</w:t>
      </w:r>
      <w:r>
        <w:rPr>
          <w:rFonts w:hint="eastAsia" w:ascii="仿宋" w:hAnsi="仿宋" w:eastAsia="仿宋" w:cs="仿宋"/>
          <w:color w:val="auto"/>
          <w:sz w:val="24"/>
          <w:szCs w:val="24"/>
          <w:highlight w:val="none"/>
          <w:u w:val="single"/>
        </w:rPr>
        <w:t>（企业名称）</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（□中型企业 □小型企业 □微型企业）；</w:t>
      </w:r>
    </w:p>
    <w:p w14:paraId="1A1F6966">
      <w:pPr>
        <w:spacing w:line="400" w:lineRule="exact"/>
        <w:ind w:firstLine="360"/>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23.</w:t>
      </w:r>
      <w:r>
        <w:rPr>
          <w:rFonts w:hint="eastAsia" w:ascii="仿宋" w:hAnsi="仿宋" w:eastAsia="仿宋" w:cs="仿宋"/>
          <w:color w:val="auto"/>
          <w:sz w:val="24"/>
          <w:szCs w:val="24"/>
          <w:highlight w:val="none"/>
          <w:u w:val="single"/>
        </w:rPr>
        <w:t xml:space="preserve"> 安全网关 </w:t>
      </w:r>
      <w:r>
        <w:rPr>
          <w:rFonts w:hint="eastAsia" w:ascii="仿宋" w:hAnsi="仿宋" w:eastAsia="仿宋" w:cs="仿宋"/>
          <w:i/>
          <w:color w:val="auto"/>
          <w:sz w:val="24"/>
          <w:szCs w:val="24"/>
          <w:highlight w:val="none"/>
        </w:rPr>
        <w:t>，</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行业；制造商为</w:t>
      </w:r>
      <w:r>
        <w:rPr>
          <w:rFonts w:hint="eastAsia" w:ascii="仿宋" w:hAnsi="仿宋" w:eastAsia="仿宋" w:cs="仿宋"/>
          <w:color w:val="auto"/>
          <w:sz w:val="24"/>
          <w:szCs w:val="24"/>
          <w:highlight w:val="none"/>
          <w:u w:val="single"/>
        </w:rPr>
        <w:t>（企业名称）</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（□中型企业 □小型企业 □微型企业）；</w:t>
      </w:r>
    </w:p>
    <w:p w14:paraId="1F4995EE">
      <w:pPr>
        <w:spacing w:line="400" w:lineRule="exact"/>
        <w:ind w:firstLine="36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24.</w:t>
      </w:r>
      <w:r>
        <w:rPr>
          <w:rFonts w:hint="eastAsia" w:ascii="仿宋" w:hAnsi="仿宋" w:eastAsia="仿宋" w:cs="仿宋"/>
          <w:color w:val="auto"/>
          <w:sz w:val="24"/>
          <w:szCs w:val="24"/>
          <w:highlight w:val="none"/>
          <w:u w:val="single"/>
        </w:rPr>
        <w:t xml:space="preserve"> 交换机 </w:t>
      </w:r>
      <w:r>
        <w:rPr>
          <w:rFonts w:hint="eastAsia" w:ascii="仿宋" w:hAnsi="仿宋" w:eastAsia="仿宋" w:cs="仿宋"/>
          <w:i/>
          <w:color w:val="auto"/>
          <w:sz w:val="24"/>
          <w:szCs w:val="24"/>
          <w:highlight w:val="none"/>
        </w:rPr>
        <w:t>，</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行业；制造商为</w:t>
      </w:r>
      <w:r>
        <w:rPr>
          <w:rFonts w:hint="eastAsia" w:ascii="仿宋" w:hAnsi="仿宋" w:eastAsia="仿宋" w:cs="仿宋"/>
          <w:color w:val="auto"/>
          <w:sz w:val="24"/>
          <w:szCs w:val="24"/>
          <w:highlight w:val="none"/>
          <w:u w:val="single"/>
        </w:rPr>
        <w:t>（企业名称）</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（□中型企业 □小型企业 □微型企业）；</w:t>
      </w:r>
    </w:p>
    <w:p w14:paraId="64F56030">
      <w:pPr>
        <w:spacing w:line="400" w:lineRule="exact"/>
        <w:ind w:firstLine="36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p w14:paraId="3F631078">
      <w:pPr>
        <w:spacing w:line="400" w:lineRule="exact"/>
        <w:ind w:firstLine="36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以上企业，不属于大企业的分支机构，不存在控股股东为大企业的情形，也不存在与大企业的负责人为同一人的情形。</w:t>
      </w:r>
    </w:p>
    <w:p w14:paraId="7743D416">
      <w:pPr>
        <w:spacing w:line="360" w:lineRule="auto"/>
        <w:ind w:firstLine="360"/>
        <w:rPr>
          <w:rFonts w:ascii="仿宋" w:hAnsi="仿宋" w:eastAsia="仿宋" w:cs="仿宋"/>
          <w:color w:val="auto"/>
          <w:sz w:val="24"/>
          <w:highlight w:val="none"/>
        </w:rPr>
      </w:pPr>
      <w:r>
        <w:rPr>
          <w:rFonts w:hint="eastAsia" w:ascii="仿宋" w:hAnsi="仿宋" w:eastAsia="仿宋" w:cs="仿宋"/>
          <w:color w:val="auto"/>
          <w:sz w:val="24"/>
          <w:szCs w:val="24"/>
          <w:highlight w:val="none"/>
        </w:rPr>
        <w:t>本企业对上述声明内容的真实性负责。如有虚假，将依法承担相应责任</w:t>
      </w:r>
      <w:r>
        <w:rPr>
          <w:rFonts w:hint="eastAsia" w:ascii="仿宋" w:hAnsi="仿宋" w:eastAsia="仿宋" w:cs="仿宋"/>
          <w:color w:val="auto"/>
          <w:sz w:val="24"/>
          <w:highlight w:val="none"/>
        </w:rPr>
        <w:t>。</w:t>
      </w:r>
    </w:p>
    <w:p w14:paraId="2E278511">
      <w:pPr>
        <w:spacing w:line="360" w:lineRule="auto"/>
        <w:ind w:right="180" w:firstLine="360"/>
        <w:jc w:val="right"/>
        <w:rPr>
          <w:rFonts w:ascii="仿宋" w:hAnsi="仿宋" w:eastAsia="仿宋" w:cs="仿宋"/>
          <w:color w:val="auto"/>
          <w:sz w:val="24"/>
          <w:highlight w:val="none"/>
        </w:rPr>
      </w:pPr>
    </w:p>
    <w:p w14:paraId="3FC36A86">
      <w:pPr>
        <w:spacing w:line="360" w:lineRule="auto"/>
        <w:ind w:right="180" w:firstLine="360"/>
        <w:jc w:val="right"/>
        <w:rPr>
          <w:rFonts w:ascii="仿宋" w:hAnsi="仿宋" w:eastAsia="仿宋" w:cs="仿宋"/>
          <w:color w:val="auto"/>
          <w:sz w:val="24"/>
          <w:highlight w:val="none"/>
        </w:rPr>
      </w:pPr>
      <w:r>
        <w:rPr>
          <w:rFonts w:hint="eastAsia" w:ascii="仿宋" w:hAnsi="仿宋" w:eastAsia="仿宋" w:cs="仿宋"/>
          <w:color w:val="auto"/>
          <w:sz w:val="24"/>
          <w:highlight w:val="none"/>
        </w:rPr>
        <w:t>企业名称：（加盖CA电子公章）</w:t>
      </w:r>
    </w:p>
    <w:p w14:paraId="39629383">
      <w:pPr>
        <w:spacing w:line="360" w:lineRule="auto"/>
        <w:jc w:val="right"/>
        <w:rPr>
          <w:rFonts w:ascii="仿宋" w:hAnsi="仿宋" w:eastAsia="仿宋" w:cs="仿宋"/>
          <w:color w:val="auto"/>
          <w:sz w:val="24"/>
          <w:highlight w:val="none"/>
        </w:rPr>
      </w:pPr>
      <w:r>
        <w:rPr>
          <w:rFonts w:hint="eastAsia" w:ascii="仿宋" w:hAnsi="仿宋" w:eastAsia="仿宋" w:cs="仿宋"/>
          <w:color w:val="auto"/>
          <w:sz w:val="24"/>
          <w:highlight w:val="none"/>
        </w:rPr>
        <w:t>日  期：   年  月  日</w:t>
      </w:r>
    </w:p>
    <w:p w14:paraId="35C8212C">
      <w:pPr>
        <w:spacing w:line="360" w:lineRule="auto"/>
        <w:rPr>
          <w:rFonts w:ascii="仿宋" w:hAnsi="仿宋" w:eastAsia="仿宋" w:cs="仿宋"/>
          <w:color w:val="auto"/>
          <w:sz w:val="24"/>
          <w:highlight w:val="none"/>
        </w:rPr>
      </w:pPr>
    </w:p>
    <w:p w14:paraId="0A0ED200">
      <w:pPr>
        <w:spacing w:line="360" w:lineRule="auto"/>
        <w:ind w:firstLine="360"/>
        <w:rPr>
          <w:rFonts w:ascii="仿宋" w:hAnsi="仿宋" w:eastAsia="仿宋" w:cs="仿宋"/>
          <w:color w:val="auto"/>
          <w:sz w:val="24"/>
          <w:highlight w:val="none"/>
        </w:rPr>
      </w:pPr>
      <w:r>
        <w:rPr>
          <w:rFonts w:hint="eastAsia" w:ascii="仿宋" w:hAnsi="仿宋" w:eastAsia="仿宋" w:cs="仿宋"/>
          <w:color w:val="auto"/>
          <w:sz w:val="24"/>
          <w:highlight w:val="none"/>
        </w:rPr>
        <w:t>备注：</w:t>
      </w:r>
    </w:p>
    <w:p w14:paraId="33F95FA2">
      <w:pPr>
        <w:spacing w:line="360" w:lineRule="auto"/>
        <w:ind w:firstLine="360"/>
        <w:rPr>
          <w:rFonts w:ascii="仿宋" w:hAnsi="仿宋" w:eastAsia="仿宋" w:cs="仿宋"/>
          <w:color w:val="auto"/>
          <w:sz w:val="24"/>
          <w:highlight w:val="none"/>
        </w:rPr>
      </w:pPr>
      <w:r>
        <w:rPr>
          <w:rFonts w:hint="eastAsia" w:ascii="仿宋" w:hAnsi="仿宋" w:eastAsia="仿宋" w:cs="仿宋"/>
          <w:color w:val="auto"/>
          <w:sz w:val="24"/>
          <w:highlight w:val="none"/>
        </w:rPr>
        <w:t>1.专门面向中小微型企业采购的项目，供应商如不提供此声明函，则不能通过资格审查；非专门面向中小微型企业采购的项目，供应商如不提供此声明函，价格将不做相应扣除。</w:t>
      </w:r>
    </w:p>
    <w:p w14:paraId="16A0FAA2">
      <w:pPr>
        <w:spacing w:line="360" w:lineRule="auto"/>
        <w:ind w:firstLine="360"/>
        <w:rPr>
          <w:rFonts w:ascii="仿宋" w:hAnsi="仿宋" w:eastAsia="仿宋" w:cs="仿宋"/>
          <w:color w:val="auto"/>
          <w:sz w:val="24"/>
          <w:highlight w:val="none"/>
        </w:rPr>
      </w:pPr>
      <w:r>
        <w:rPr>
          <w:rFonts w:hint="eastAsia" w:ascii="仿宋" w:hAnsi="仿宋" w:eastAsia="仿宋" w:cs="仿宋"/>
          <w:color w:val="auto"/>
          <w:sz w:val="24"/>
          <w:highlight w:val="none"/>
        </w:rPr>
        <w:t xml:space="preserve">2.供应商自行勾选制造商的企业规模类型。 </w:t>
      </w:r>
    </w:p>
    <w:p w14:paraId="4CC0BBF0">
      <w:pPr>
        <w:spacing w:line="360" w:lineRule="auto"/>
        <w:ind w:firstLine="360"/>
        <w:rPr>
          <w:rFonts w:ascii="仿宋" w:hAnsi="仿宋" w:eastAsia="仿宋" w:cs="仿宋"/>
          <w:color w:val="auto"/>
          <w:sz w:val="24"/>
          <w:highlight w:val="none"/>
        </w:rPr>
      </w:pPr>
      <w:r>
        <w:rPr>
          <w:rFonts w:hint="eastAsia" w:ascii="仿宋" w:hAnsi="仿宋" w:eastAsia="仿宋" w:cs="仿宋"/>
          <w:color w:val="auto"/>
          <w:sz w:val="24"/>
          <w:highlight w:val="none"/>
        </w:rPr>
        <w:t>3.此声明函将随中标结果同时公告，</w:t>
      </w:r>
      <w:r>
        <w:rPr>
          <w:rFonts w:hint="eastAsia" w:ascii="仿宋" w:hAnsi="仿宋" w:eastAsia="仿宋" w:cs="仿宋"/>
          <w:color w:val="auto"/>
          <w:sz w:val="24"/>
          <w:highlight w:val="none"/>
          <w:lang w:eastAsia="zh-CN"/>
        </w:rPr>
        <w:t>接受</w:t>
      </w:r>
      <w:r>
        <w:rPr>
          <w:rFonts w:hint="eastAsia" w:ascii="仿宋" w:hAnsi="仿宋" w:eastAsia="仿宋" w:cs="仿宋"/>
          <w:color w:val="auto"/>
          <w:sz w:val="24"/>
          <w:highlight w:val="none"/>
        </w:rPr>
        <w:t>社会监督。</w:t>
      </w:r>
    </w:p>
    <w:p w14:paraId="2CD14262">
      <w:pPr>
        <w:spacing w:line="360" w:lineRule="auto"/>
        <w:ind w:firstLine="360"/>
        <w:rPr>
          <w:rFonts w:ascii="仿宋" w:hAnsi="仿宋" w:eastAsia="仿宋" w:cs="仿宋"/>
          <w:color w:val="auto"/>
          <w:sz w:val="24"/>
          <w:highlight w:val="none"/>
        </w:rPr>
      </w:pPr>
      <w:r>
        <w:rPr>
          <w:rFonts w:hint="eastAsia" w:ascii="仿宋" w:hAnsi="仿宋" w:eastAsia="仿宋" w:cs="仿宋"/>
          <w:color w:val="auto"/>
          <w:sz w:val="24"/>
          <w:highlight w:val="none"/>
        </w:rPr>
        <w:t>4.此声明函中的“标的名称”详见-招标文件-第四章 采购需求-采购清单-“名称”，请勿填写“项目名称”。</w:t>
      </w:r>
    </w:p>
    <w:p w14:paraId="7E43CA54">
      <w:pPr>
        <w:spacing w:line="360" w:lineRule="auto"/>
        <w:jc w:val="center"/>
        <w:outlineLvl w:val="1"/>
        <w:rPr>
          <w:rFonts w:ascii="仿宋" w:hAnsi="仿宋" w:eastAsia="仿宋" w:cs="仿宋"/>
          <w:color w:val="auto"/>
          <w:sz w:val="32"/>
          <w:szCs w:val="32"/>
          <w:highlight w:val="none"/>
        </w:rPr>
      </w:pPr>
    </w:p>
    <w:p w14:paraId="2D1C42CA">
      <w:pPr>
        <w:spacing w:line="360" w:lineRule="auto"/>
        <w:jc w:val="center"/>
        <w:outlineLvl w:val="1"/>
        <w:rPr>
          <w:rFonts w:ascii="仿宋" w:hAnsi="仿宋" w:eastAsia="仿宋" w:cs="仿宋"/>
          <w:color w:val="auto"/>
          <w:sz w:val="32"/>
          <w:szCs w:val="32"/>
          <w:highlight w:val="none"/>
        </w:rPr>
      </w:pPr>
    </w:p>
    <w:p w14:paraId="77455A7A">
      <w:pPr>
        <w:spacing w:line="360" w:lineRule="auto"/>
        <w:jc w:val="center"/>
        <w:outlineLvl w:val="1"/>
        <w:rPr>
          <w:rFonts w:ascii="仿宋" w:hAnsi="仿宋" w:eastAsia="仿宋" w:cs="仿宋"/>
          <w:color w:val="auto"/>
          <w:sz w:val="32"/>
          <w:szCs w:val="32"/>
          <w:highlight w:val="none"/>
        </w:rPr>
      </w:pPr>
    </w:p>
    <w:p w14:paraId="4E141B4B">
      <w:pPr>
        <w:pBdr>
          <w:top w:val="none" w:color="000000" w:sz="0" w:space="0"/>
          <w:left w:val="none" w:color="000000" w:sz="0" w:space="0"/>
          <w:bottom w:val="none" w:color="000000" w:sz="0" w:space="0"/>
          <w:right w:val="none" w:color="000000" w:sz="0" w:space="0"/>
        </w:pBdr>
        <w:spacing w:line="559" w:lineRule="atLeast"/>
        <w:ind w:firstLine="241"/>
        <w:jc w:val="center"/>
        <w:outlineLvl w:val="0"/>
        <w:rPr>
          <w:rFonts w:ascii="宋体" w:hAnsi="宋体" w:cs="宋体"/>
          <w:b/>
          <w:color w:val="auto"/>
          <w:sz w:val="24"/>
          <w:highlight w:val="none"/>
        </w:rPr>
      </w:pPr>
      <w:r>
        <w:rPr>
          <w:rFonts w:hint="eastAsia" w:ascii="宋体" w:hAnsi="宋体" w:cs="宋体"/>
          <w:b/>
          <w:color w:val="auto"/>
          <w:sz w:val="24"/>
          <w:highlight w:val="none"/>
        </w:rPr>
        <w:t> </w:t>
      </w:r>
      <w:r>
        <w:rPr>
          <w:rFonts w:hint="eastAsia" w:ascii="仿宋" w:hAnsi="仿宋" w:eastAsia="仿宋" w:cs="仿宋"/>
          <w:b/>
          <w:color w:val="auto"/>
          <w:sz w:val="32"/>
          <w:szCs w:val="24"/>
          <w:highlight w:val="none"/>
        </w:rPr>
        <w:t>中小微企业声明函（服务/工程类项目）</w:t>
      </w:r>
    </w:p>
    <w:p w14:paraId="3C15F730">
      <w:pPr>
        <w:pStyle w:val="358"/>
        <w:rPr>
          <w:rFonts w:ascii="宋体" w:hAnsi="宋体" w:cs="宋体"/>
          <w:b/>
          <w:color w:val="auto"/>
          <w:sz w:val="32"/>
          <w:szCs w:val="32"/>
          <w:highlight w:val="none"/>
        </w:rPr>
      </w:pPr>
    </w:p>
    <w:p w14:paraId="1403E448">
      <w:pPr>
        <w:pStyle w:val="358"/>
        <w:spacing w:line="500" w:lineRule="exact"/>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本公司（联合体）郑重声明，根据《政府采购促进中小企业发展管理办法》（财库〔2020〕46号）的规定，本公司（联合体）参加项目编号为</w:t>
      </w:r>
      <w:r>
        <w:rPr>
          <w:rFonts w:hint="eastAsia" w:ascii="仿宋" w:hAnsi="仿宋" w:eastAsia="仿宋" w:cs="仿宋"/>
          <w:color w:val="auto"/>
          <w:sz w:val="24"/>
          <w:highlight w:val="none"/>
          <w:u w:val="single"/>
        </w:rPr>
        <w:t>JSZC-321324-JSCW-G2026-00</w:t>
      </w:r>
      <w:r>
        <w:rPr>
          <w:rFonts w:hint="eastAsia" w:ascii="仿宋" w:hAnsi="仿宋" w:eastAsia="仿宋" w:cs="仿宋"/>
          <w:color w:val="auto"/>
          <w:sz w:val="24"/>
          <w:highlight w:val="none"/>
          <w:u w:val="single"/>
          <w:lang w:val="en-US" w:eastAsia="zh-CN"/>
        </w:rPr>
        <w:t>24</w:t>
      </w:r>
      <w:r>
        <w:rPr>
          <w:rFonts w:hint="eastAsia" w:ascii="仿宋" w:hAnsi="仿宋" w:eastAsia="仿宋" w:cs="仿宋"/>
          <w:color w:val="auto"/>
          <w:sz w:val="24"/>
          <w:szCs w:val="24"/>
          <w:highlight w:val="none"/>
          <w:u w:val="single"/>
        </w:rPr>
        <w:t>号</w:t>
      </w:r>
      <w:r>
        <w:rPr>
          <w:rFonts w:hint="eastAsia" w:ascii="仿宋" w:hAnsi="仿宋" w:eastAsia="仿宋" w:cs="仿宋"/>
          <w:color w:val="auto"/>
          <w:sz w:val="24"/>
          <w:szCs w:val="21"/>
          <w:highlight w:val="none"/>
        </w:rPr>
        <w:t>的</w:t>
      </w:r>
      <w:r>
        <w:rPr>
          <w:rFonts w:hint="eastAsia" w:ascii="仿宋" w:hAnsi="仿宋" w:eastAsia="仿宋" w:cs="仿宋"/>
          <w:color w:val="auto"/>
          <w:sz w:val="24"/>
          <w:szCs w:val="21"/>
          <w:highlight w:val="none"/>
          <w:u w:val="single"/>
        </w:rPr>
        <w:t xml:space="preserve"> </w:t>
      </w:r>
      <w:r>
        <w:rPr>
          <w:rFonts w:hint="eastAsia" w:ascii="仿宋" w:hAnsi="仿宋" w:eastAsia="仿宋" w:cs="仿宋"/>
          <w:bCs/>
          <w:iCs/>
          <w:color w:val="auto"/>
          <w:sz w:val="24"/>
          <w:szCs w:val="24"/>
          <w:highlight w:val="none"/>
          <w:u w:val="single"/>
        </w:rPr>
        <w:t>（</w:t>
      </w:r>
      <w:r>
        <w:rPr>
          <w:rFonts w:hint="eastAsia" w:ascii="仿宋" w:hAnsi="仿宋" w:eastAsia="仿宋" w:cs="仿宋"/>
          <w:color w:val="auto"/>
          <w:sz w:val="24"/>
          <w:szCs w:val="24"/>
          <w:highlight w:val="none"/>
          <w:u w:val="single"/>
        </w:rPr>
        <w:t>采购包号：</w:t>
      </w:r>
      <w:r>
        <w:rPr>
          <w:rFonts w:hint="eastAsia" w:ascii="仿宋" w:hAnsi="仿宋" w:eastAsia="仿宋" w:cs="仿宋"/>
          <w:color w:val="auto"/>
          <w:sz w:val="24"/>
          <w:highlight w:val="none"/>
          <w:u w:val="single"/>
        </w:rPr>
        <w:t>JSZC-321324-JSCW-G2026-00</w:t>
      </w:r>
      <w:r>
        <w:rPr>
          <w:rFonts w:hint="eastAsia" w:ascii="仿宋" w:hAnsi="仿宋" w:eastAsia="仿宋" w:cs="仿宋"/>
          <w:color w:val="auto"/>
          <w:sz w:val="24"/>
          <w:highlight w:val="none"/>
          <w:u w:val="single"/>
          <w:lang w:val="en-US" w:eastAsia="zh-CN"/>
        </w:rPr>
        <w:t>24</w:t>
      </w:r>
      <w:r>
        <w:rPr>
          <w:rFonts w:hint="eastAsia" w:ascii="仿宋" w:hAnsi="仿宋" w:eastAsia="仿宋" w:cs="仿宋"/>
          <w:bCs/>
          <w:iCs/>
          <w:color w:val="auto"/>
          <w:sz w:val="24"/>
          <w:szCs w:val="24"/>
          <w:highlight w:val="none"/>
          <w:u w:val="single"/>
        </w:rPr>
        <w:t>）</w:t>
      </w:r>
      <w:r>
        <w:rPr>
          <w:rFonts w:hint="eastAsia" w:ascii="仿宋" w:hAnsi="仿宋" w:eastAsia="仿宋" w:cs="仿宋"/>
          <w:color w:val="auto"/>
          <w:sz w:val="24"/>
          <w:highlight w:val="none"/>
          <w:u w:val="single"/>
        </w:rPr>
        <w:t>泗洪县城区学校门口交通安全设施建设项目</w:t>
      </w:r>
      <w:r>
        <w:rPr>
          <w:rFonts w:hint="eastAsia" w:ascii="仿宋" w:hAnsi="仿宋" w:eastAsia="仿宋" w:cs="仿宋"/>
          <w:color w:val="auto"/>
          <w:sz w:val="24"/>
          <w:szCs w:val="24"/>
          <w:highlight w:val="none"/>
        </w:rPr>
        <w:t>采购活动，服务全部由符合政策的中小微企业承接。相关企业（含联合体中的中小微企业、签订采购包意向协议的中小微企业）的具体情况如下：</w:t>
      </w:r>
    </w:p>
    <w:p w14:paraId="00B16217">
      <w:pPr>
        <w:pStyle w:val="358"/>
        <w:spacing w:line="500" w:lineRule="exact"/>
        <w:ind w:left="479" w:firstLine="64"/>
        <w:jc w:val="lef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u w:val="single"/>
        </w:rPr>
        <w:t xml:space="preserve"> 杆件、预埋件、基础 </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 xml:space="preserve">  建筑业 </w:t>
      </w:r>
      <w:r>
        <w:rPr>
          <w:rFonts w:hint="eastAsia" w:ascii="仿宋" w:hAnsi="仿宋" w:eastAsia="仿宋" w:cs="仿宋"/>
          <w:color w:val="auto"/>
          <w:sz w:val="24"/>
          <w:szCs w:val="24"/>
          <w:highlight w:val="none"/>
        </w:rPr>
        <w:t>行业；承接企业为</w:t>
      </w:r>
      <w:r>
        <w:rPr>
          <w:rFonts w:hint="eastAsia" w:ascii="仿宋" w:hAnsi="仿宋" w:eastAsia="仿宋" w:cs="仿宋"/>
          <w:color w:val="auto"/>
          <w:sz w:val="24"/>
          <w:szCs w:val="24"/>
          <w:highlight w:val="none"/>
          <w:u w:val="single"/>
        </w:rPr>
        <w:t xml:space="preserve">     （企业名称）</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 xml:space="preserve"> □中型企业 □小型企业 □微型企业；</w:t>
      </w:r>
    </w:p>
    <w:p w14:paraId="666B3685">
      <w:pPr>
        <w:pStyle w:val="358"/>
        <w:spacing w:line="500" w:lineRule="exact"/>
        <w:ind w:left="479" w:firstLine="64"/>
        <w:jc w:val="lef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u w:val="single"/>
        </w:rPr>
        <w:t xml:space="preserve"> 硬化路面取芯  </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 xml:space="preserve">  建筑业 </w:t>
      </w:r>
      <w:r>
        <w:rPr>
          <w:rFonts w:hint="eastAsia" w:ascii="仿宋" w:hAnsi="仿宋" w:eastAsia="仿宋" w:cs="仿宋"/>
          <w:color w:val="auto"/>
          <w:sz w:val="24"/>
          <w:szCs w:val="24"/>
          <w:highlight w:val="none"/>
        </w:rPr>
        <w:t>行业；承接企业为</w:t>
      </w:r>
      <w:r>
        <w:rPr>
          <w:rFonts w:hint="eastAsia" w:ascii="仿宋" w:hAnsi="仿宋" w:eastAsia="仿宋" w:cs="仿宋"/>
          <w:color w:val="auto"/>
          <w:sz w:val="24"/>
          <w:szCs w:val="24"/>
          <w:highlight w:val="none"/>
          <w:u w:val="single"/>
        </w:rPr>
        <w:t xml:space="preserve">     （企业名称）</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 xml:space="preserve"> □中型企业 □小型企业 □微型企业；</w:t>
      </w:r>
    </w:p>
    <w:p w14:paraId="07F03330">
      <w:pPr>
        <w:pStyle w:val="358"/>
        <w:spacing w:line="500" w:lineRule="exact"/>
        <w:ind w:left="479" w:firstLine="64"/>
        <w:jc w:val="lef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u w:val="single"/>
        </w:rPr>
        <w:t xml:space="preserve"> 人行横道线 </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 xml:space="preserve">   建筑业 </w:t>
      </w:r>
      <w:r>
        <w:rPr>
          <w:rFonts w:hint="eastAsia" w:ascii="仿宋" w:hAnsi="仿宋" w:eastAsia="仿宋" w:cs="仿宋"/>
          <w:color w:val="auto"/>
          <w:sz w:val="24"/>
          <w:szCs w:val="24"/>
          <w:highlight w:val="none"/>
        </w:rPr>
        <w:t>行业；承接企业为</w:t>
      </w:r>
      <w:r>
        <w:rPr>
          <w:rFonts w:hint="eastAsia" w:ascii="仿宋" w:hAnsi="仿宋" w:eastAsia="仿宋" w:cs="仿宋"/>
          <w:color w:val="auto"/>
          <w:sz w:val="24"/>
          <w:szCs w:val="24"/>
          <w:highlight w:val="none"/>
          <w:u w:val="single"/>
        </w:rPr>
        <w:t xml:space="preserve">     （企业名称）</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 xml:space="preserve"> □中型企业 □小型企业 □微型企业；</w:t>
      </w:r>
    </w:p>
    <w:p w14:paraId="46279ADB">
      <w:pPr>
        <w:pStyle w:val="358"/>
        <w:spacing w:line="500" w:lineRule="exact"/>
        <w:ind w:left="479" w:firstLine="64"/>
        <w:jc w:val="lef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u w:val="single"/>
        </w:rPr>
        <w:t xml:space="preserve"> 禁停网状线  </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 xml:space="preserve">   建筑业 </w:t>
      </w:r>
      <w:r>
        <w:rPr>
          <w:rFonts w:hint="eastAsia" w:ascii="仿宋" w:hAnsi="仿宋" w:eastAsia="仿宋" w:cs="仿宋"/>
          <w:color w:val="auto"/>
          <w:sz w:val="24"/>
          <w:szCs w:val="24"/>
          <w:highlight w:val="none"/>
        </w:rPr>
        <w:t>行业；承接企业为</w:t>
      </w:r>
      <w:r>
        <w:rPr>
          <w:rFonts w:hint="eastAsia" w:ascii="仿宋" w:hAnsi="仿宋" w:eastAsia="仿宋" w:cs="仿宋"/>
          <w:color w:val="auto"/>
          <w:sz w:val="24"/>
          <w:szCs w:val="24"/>
          <w:highlight w:val="none"/>
          <w:u w:val="single"/>
        </w:rPr>
        <w:t xml:space="preserve">     （企业名称）</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 xml:space="preserve">  □中型企业 □小型企业 □微型企业；</w:t>
      </w:r>
    </w:p>
    <w:p w14:paraId="6179C8FA">
      <w:pPr>
        <w:pStyle w:val="358"/>
        <w:spacing w:line="500" w:lineRule="exact"/>
        <w:ind w:left="479" w:firstLine="64"/>
        <w:jc w:val="lef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5.</w:t>
      </w:r>
      <w:r>
        <w:rPr>
          <w:rFonts w:hint="eastAsia" w:ascii="仿宋" w:hAnsi="仿宋" w:eastAsia="仿宋" w:cs="仿宋"/>
          <w:color w:val="auto"/>
          <w:sz w:val="24"/>
          <w:szCs w:val="24"/>
          <w:highlight w:val="none"/>
          <w:u w:val="single"/>
        </w:rPr>
        <w:t xml:space="preserve"> 清洗旧标线 </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 xml:space="preserve">  建筑业 </w:t>
      </w:r>
      <w:r>
        <w:rPr>
          <w:rFonts w:hint="eastAsia" w:ascii="仿宋" w:hAnsi="仿宋" w:eastAsia="仿宋" w:cs="仿宋"/>
          <w:color w:val="auto"/>
          <w:sz w:val="24"/>
          <w:szCs w:val="24"/>
          <w:highlight w:val="none"/>
        </w:rPr>
        <w:t>行业；承接企业为</w:t>
      </w:r>
      <w:r>
        <w:rPr>
          <w:rFonts w:hint="eastAsia" w:ascii="仿宋" w:hAnsi="仿宋" w:eastAsia="仿宋" w:cs="仿宋"/>
          <w:color w:val="auto"/>
          <w:sz w:val="24"/>
          <w:szCs w:val="24"/>
          <w:highlight w:val="none"/>
          <w:u w:val="single"/>
        </w:rPr>
        <w:t xml:space="preserve">     （企业名称）</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 xml:space="preserve">  □中型企业 □小型企业 □微型企业；</w:t>
      </w:r>
    </w:p>
    <w:p w14:paraId="087B9685">
      <w:pPr>
        <w:pStyle w:val="358"/>
        <w:spacing w:line="500" w:lineRule="exact"/>
        <w:ind w:left="479" w:firstLine="64"/>
        <w:jc w:val="lef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6.</w:t>
      </w:r>
      <w:r>
        <w:rPr>
          <w:rFonts w:hint="eastAsia" w:ascii="仿宋" w:hAnsi="仿宋" w:eastAsia="仿宋" w:cs="仿宋"/>
          <w:color w:val="auto"/>
          <w:sz w:val="24"/>
          <w:szCs w:val="24"/>
          <w:highlight w:val="none"/>
          <w:u w:val="single"/>
        </w:rPr>
        <w:t xml:space="preserve"> 立杆杆件、预埋件、基础  </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 xml:space="preserve">  建筑业 </w:t>
      </w:r>
      <w:r>
        <w:rPr>
          <w:rFonts w:hint="eastAsia" w:ascii="仿宋" w:hAnsi="仿宋" w:eastAsia="仿宋" w:cs="仿宋"/>
          <w:color w:val="auto"/>
          <w:sz w:val="24"/>
          <w:szCs w:val="24"/>
          <w:highlight w:val="none"/>
        </w:rPr>
        <w:t>行业；承接企业为</w:t>
      </w:r>
      <w:r>
        <w:rPr>
          <w:rFonts w:hint="eastAsia" w:ascii="仿宋" w:hAnsi="仿宋" w:eastAsia="仿宋" w:cs="仿宋"/>
          <w:color w:val="auto"/>
          <w:sz w:val="24"/>
          <w:szCs w:val="24"/>
          <w:highlight w:val="none"/>
          <w:u w:val="single"/>
        </w:rPr>
        <w:t xml:space="preserve">     （企业名称）</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 xml:space="preserve">  □中型企业 □小型企业 □微型企业；</w:t>
      </w:r>
    </w:p>
    <w:p w14:paraId="40A953A8">
      <w:pPr>
        <w:pStyle w:val="358"/>
        <w:spacing w:line="500" w:lineRule="exact"/>
        <w:ind w:left="479" w:firstLine="64"/>
        <w:jc w:val="lef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7.</w:t>
      </w:r>
      <w:r>
        <w:rPr>
          <w:rFonts w:hint="eastAsia" w:ascii="仿宋" w:hAnsi="仿宋" w:eastAsia="仿宋" w:cs="仿宋"/>
          <w:color w:val="auto"/>
          <w:sz w:val="24"/>
          <w:szCs w:val="24"/>
          <w:highlight w:val="none"/>
          <w:u w:val="single"/>
        </w:rPr>
        <w:t xml:space="preserve"> 施工集成 </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 xml:space="preserve">  建筑业 </w:t>
      </w:r>
      <w:r>
        <w:rPr>
          <w:rFonts w:hint="eastAsia" w:ascii="仿宋" w:hAnsi="仿宋" w:eastAsia="仿宋" w:cs="仿宋"/>
          <w:color w:val="auto"/>
          <w:sz w:val="24"/>
          <w:szCs w:val="24"/>
          <w:highlight w:val="none"/>
        </w:rPr>
        <w:t>行业；承接企业为</w:t>
      </w:r>
      <w:r>
        <w:rPr>
          <w:rFonts w:hint="eastAsia" w:ascii="仿宋" w:hAnsi="仿宋" w:eastAsia="仿宋" w:cs="仿宋"/>
          <w:color w:val="auto"/>
          <w:sz w:val="24"/>
          <w:szCs w:val="24"/>
          <w:highlight w:val="none"/>
          <w:u w:val="single"/>
        </w:rPr>
        <w:t xml:space="preserve">     （企业名称）</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 xml:space="preserve">  □中型企业 □小型企业 □微型企业；</w:t>
      </w:r>
    </w:p>
    <w:p w14:paraId="765E67C4">
      <w:pPr>
        <w:pStyle w:val="358"/>
        <w:spacing w:line="500" w:lineRule="exact"/>
        <w:ind w:left="543"/>
        <w:jc w:val="left"/>
        <w:rPr>
          <w:rFonts w:ascii="仿宋" w:hAnsi="仿宋" w:eastAsia="仿宋" w:cs="仿宋"/>
          <w:color w:val="auto"/>
          <w:sz w:val="24"/>
          <w:szCs w:val="24"/>
          <w:highlight w:val="none"/>
          <w:u w:val="single"/>
        </w:rPr>
      </w:pPr>
    </w:p>
    <w:p w14:paraId="1355E65A">
      <w:pPr>
        <w:pBdr>
          <w:top w:val="none" w:color="000000" w:sz="0" w:space="0"/>
          <w:left w:val="none" w:color="000000" w:sz="0" w:space="0"/>
          <w:bottom w:val="none" w:color="000000" w:sz="0" w:space="0"/>
          <w:right w:val="none" w:color="000000" w:sz="0" w:space="0"/>
        </w:pBdr>
        <w:spacing w:line="400" w:lineRule="atLeast"/>
        <w:ind w:firstLine="650"/>
        <w:rPr>
          <w:rFonts w:ascii="仿宋" w:hAnsi="仿宋" w:eastAsia="仿宋" w:cs="仿宋"/>
          <w:color w:val="auto"/>
          <w:sz w:val="24"/>
          <w:szCs w:val="24"/>
          <w:highlight w:val="none"/>
          <w:u w:val="single"/>
        </w:rPr>
      </w:pPr>
      <w:r>
        <w:rPr>
          <w:rFonts w:hint="eastAsia" w:ascii="仿宋" w:hAnsi="仿宋" w:eastAsia="仿宋" w:cs="仿宋"/>
          <w:color w:val="auto"/>
          <w:sz w:val="24"/>
          <w:highlight w:val="none"/>
        </w:rPr>
        <w:t>……</w:t>
      </w:r>
    </w:p>
    <w:p w14:paraId="25C1892E">
      <w:pPr>
        <w:pStyle w:val="358"/>
        <w:spacing w:line="500" w:lineRule="exact"/>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以上企业，不属于大企业的分支机构，不存在控股股东为大企业的情形，也不存在与大企业的负责人为同一人的情形。</w:t>
      </w:r>
    </w:p>
    <w:p w14:paraId="127E4F0F">
      <w:pPr>
        <w:pStyle w:val="358"/>
        <w:spacing w:line="500" w:lineRule="exact"/>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本企业对上述声明内容的真实性负责。如有虚假，将依法承担相应责任。</w:t>
      </w:r>
    </w:p>
    <w:p w14:paraId="414269B5">
      <w:pPr>
        <w:spacing w:line="360" w:lineRule="auto"/>
        <w:ind w:right="720"/>
        <w:rPr>
          <w:rFonts w:ascii="仿宋" w:hAnsi="仿宋" w:eastAsia="仿宋" w:cs="仿宋"/>
          <w:color w:val="auto"/>
          <w:sz w:val="24"/>
          <w:szCs w:val="24"/>
          <w:highlight w:val="none"/>
        </w:rPr>
      </w:pPr>
    </w:p>
    <w:p w14:paraId="5127F74C">
      <w:pPr>
        <w:spacing w:line="360" w:lineRule="auto"/>
        <w:ind w:right="1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企业名称：（加盖CA电子公章）</w:t>
      </w:r>
    </w:p>
    <w:p w14:paraId="54F3A8B1">
      <w:pPr>
        <w:spacing w:line="360" w:lineRule="auto"/>
        <w:rPr>
          <w:rFonts w:ascii="仿宋" w:hAnsi="仿宋" w:eastAsia="仿宋" w:cs="仿宋"/>
          <w:color w:val="auto"/>
          <w:highlight w:val="none"/>
        </w:rPr>
      </w:pPr>
      <w:r>
        <w:rPr>
          <w:rFonts w:hint="eastAsia" w:ascii="仿宋" w:hAnsi="仿宋" w:eastAsia="仿宋" w:cs="仿宋"/>
          <w:color w:val="auto"/>
          <w:sz w:val="24"/>
          <w:szCs w:val="24"/>
          <w:highlight w:val="none"/>
        </w:rPr>
        <w:t>日  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___</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___</w:t>
      </w:r>
      <w:r>
        <w:rPr>
          <w:rFonts w:hint="eastAsia" w:ascii="仿宋" w:hAnsi="仿宋" w:eastAsia="仿宋" w:cs="仿宋"/>
          <w:color w:val="auto"/>
          <w:sz w:val="24"/>
          <w:szCs w:val="24"/>
          <w:highlight w:val="none"/>
        </w:rPr>
        <w:t>日</w:t>
      </w:r>
    </w:p>
    <w:p w14:paraId="15526749">
      <w:pPr>
        <w:spacing w:line="360" w:lineRule="auto"/>
        <w:ind w:firstLine="360"/>
        <w:rPr>
          <w:rFonts w:ascii="仿宋" w:hAnsi="仿宋" w:eastAsia="仿宋" w:cs="仿宋"/>
          <w:color w:val="auto"/>
          <w:sz w:val="24"/>
          <w:highlight w:val="none"/>
        </w:rPr>
      </w:pPr>
    </w:p>
    <w:p w14:paraId="32C2DB4B">
      <w:pPr>
        <w:spacing w:line="360" w:lineRule="auto"/>
        <w:ind w:firstLine="360"/>
        <w:rPr>
          <w:rFonts w:ascii="仿宋" w:hAnsi="仿宋" w:eastAsia="仿宋" w:cs="仿宋"/>
          <w:color w:val="auto"/>
          <w:sz w:val="24"/>
          <w:highlight w:val="none"/>
        </w:rPr>
      </w:pPr>
      <w:r>
        <w:rPr>
          <w:rFonts w:hint="eastAsia" w:ascii="仿宋" w:hAnsi="仿宋" w:eastAsia="仿宋" w:cs="仿宋"/>
          <w:color w:val="auto"/>
          <w:sz w:val="24"/>
          <w:highlight w:val="none"/>
        </w:rPr>
        <w:t>备注：</w:t>
      </w:r>
    </w:p>
    <w:p w14:paraId="7AADEA34">
      <w:pPr>
        <w:spacing w:line="360" w:lineRule="auto"/>
        <w:ind w:firstLine="360"/>
        <w:rPr>
          <w:rFonts w:ascii="仿宋" w:hAnsi="仿宋" w:eastAsia="仿宋" w:cs="仿宋"/>
          <w:color w:val="auto"/>
          <w:sz w:val="24"/>
          <w:highlight w:val="none"/>
        </w:rPr>
      </w:pPr>
      <w:r>
        <w:rPr>
          <w:rFonts w:hint="eastAsia" w:ascii="仿宋" w:hAnsi="仿宋" w:eastAsia="仿宋" w:cs="仿宋"/>
          <w:color w:val="auto"/>
          <w:sz w:val="24"/>
          <w:highlight w:val="none"/>
        </w:rPr>
        <w:t>1.专门面向中小微型企业采购的项目，供应商如不提供此声明函，则不能通过资格审查；非专门面向中小微型企业采购的项目，供应商如不提供此声明函，价格将不做相应扣除。</w:t>
      </w:r>
    </w:p>
    <w:p w14:paraId="0E72485F">
      <w:pPr>
        <w:spacing w:line="360" w:lineRule="auto"/>
        <w:ind w:firstLine="360"/>
        <w:rPr>
          <w:rFonts w:ascii="仿宋" w:hAnsi="仿宋" w:eastAsia="仿宋" w:cs="仿宋"/>
          <w:color w:val="auto"/>
          <w:sz w:val="24"/>
          <w:highlight w:val="none"/>
        </w:rPr>
      </w:pPr>
      <w:r>
        <w:rPr>
          <w:rFonts w:hint="eastAsia" w:ascii="仿宋" w:hAnsi="仿宋" w:eastAsia="仿宋" w:cs="仿宋"/>
          <w:color w:val="auto"/>
          <w:sz w:val="24"/>
          <w:highlight w:val="none"/>
        </w:rPr>
        <w:t xml:space="preserve">2.供应商自行勾选制造商的企业规模类型。 </w:t>
      </w:r>
    </w:p>
    <w:p w14:paraId="46FE499C">
      <w:pPr>
        <w:spacing w:line="360" w:lineRule="auto"/>
        <w:ind w:firstLine="360"/>
        <w:rPr>
          <w:rFonts w:ascii="仿宋" w:hAnsi="仿宋" w:eastAsia="仿宋" w:cs="仿宋"/>
          <w:color w:val="auto"/>
          <w:sz w:val="24"/>
          <w:highlight w:val="none"/>
        </w:rPr>
      </w:pPr>
      <w:r>
        <w:rPr>
          <w:rFonts w:hint="eastAsia" w:ascii="仿宋" w:hAnsi="仿宋" w:eastAsia="仿宋" w:cs="仿宋"/>
          <w:color w:val="auto"/>
          <w:sz w:val="24"/>
          <w:highlight w:val="none"/>
        </w:rPr>
        <w:t>3.此声明函将随中标结果同时公告，</w:t>
      </w:r>
      <w:r>
        <w:rPr>
          <w:rFonts w:hint="eastAsia" w:ascii="仿宋" w:hAnsi="仿宋" w:eastAsia="仿宋" w:cs="仿宋"/>
          <w:color w:val="auto"/>
          <w:sz w:val="24"/>
          <w:highlight w:val="none"/>
          <w:lang w:eastAsia="zh-CN"/>
        </w:rPr>
        <w:t>接受</w:t>
      </w:r>
      <w:r>
        <w:rPr>
          <w:rFonts w:hint="eastAsia" w:ascii="仿宋" w:hAnsi="仿宋" w:eastAsia="仿宋" w:cs="仿宋"/>
          <w:color w:val="auto"/>
          <w:sz w:val="24"/>
          <w:highlight w:val="none"/>
        </w:rPr>
        <w:t>社会监督。</w:t>
      </w:r>
    </w:p>
    <w:p w14:paraId="11308AC1">
      <w:pPr>
        <w:spacing w:line="360" w:lineRule="auto"/>
        <w:ind w:firstLine="360"/>
        <w:rPr>
          <w:rFonts w:ascii="仿宋" w:hAnsi="仿宋" w:eastAsia="仿宋" w:cs="仿宋"/>
          <w:color w:val="auto"/>
          <w:sz w:val="24"/>
          <w:highlight w:val="none"/>
        </w:rPr>
      </w:pPr>
      <w:r>
        <w:rPr>
          <w:rFonts w:hint="eastAsia" w:ascii="仿宋" w:hAnsi="仿宋" w:eastAsia="仿宋" w:cs="仿宋"/>
          <w:color w:val="auto"/>
          <w:sz w:val="24"/>
          <w:highlight w:val="none"/>
        </w:rPr>
        <w:t>4.此声明函中的“标的名称”详见-招标文件-第四章 采购需求-采购清单-“名称”，请勿填写“项目名称”。</w:t>
      </w:r>
    </w:p>
    <w:p w14:paraId="09083644">
      <w:pPr>
        <w:spacing w:line="360" w:lineRule="auto"/>
        <w:jc w:val="center"/>
        <w:outlineLvl w:val="1"/>
        <w:rPr>
          <w:rFonts w:ascii="仿宋" w:hAnsi="仿宋" w:eastAsia="仿宋" w:cs="仿宋"/>
          <w:color w:val="auto"/>
          <w:sz w:val="32"/>
          <w:szCs w:val="32"/>
          <w:highlight w:val="none"/>
        </w:rPr>
        <w:sectPr>
          <w:pgSz w:w="11906" w:h="16838"/>
          <w:pgMar w:top="1440" w:right="1800" w:bottom="1440" w:left="1800" w:header="851" w:footer="992" w:gutter="0"/>
          <w:cols w:space="1701" w:num="1"/>
          <w:docGrid w:linePitch="360" w:charSpace="0"/>
        </w:sectPr>
      </w:pPr>
      <w:r>
        <w:rPr>
          <w:rFonts w:hint="eastAsia" w:ascii="仿宋" w:hAnsi="仿宋" w:eastAsia="仿宋" w:cs="仿宋"/>
          <w:color w:val="auto"/>
          <w:sz w:val="32"/>
          <w:szCs w:val="32"/>
          <w:highlight w:val="none"/>
        </w:rPr>
        <w:br w:type="page" w:clear="all"/>
      </w:r>
      <w:bookmarkStart w:id="160" w:name="_Toc158281568"/>
      <w:bookmarkStart w:id="161" w:name="_Toc158125008"/>
      <w:bookmarkStart w:id="162" w:name="_Toc18617"/>
      <w:bookmarkStart w:id="163" w:name="_Toc158133337"/>
    </w:p>
    <w:p w14:paraId="35D54F3C">
      <w:pPr>
        <w:spacing w:line="360" w:lineRule="auto"/>
        <w:jc w:val="center"/>
        <w:outlineLvl w:val="1"/>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残疾人福利性单位声明函</w:t>
      </w:r>
      <w:bookmarkEnd w:id="160"/>
      <w:bookmarkEnd w:id="161"/>
      <w:bookmarkEnd w:id="162"/>
      <w:bookmarkEnd w:id="163"/>
    </w:p>
    <w:p w14:paraId="78787C79">
      <w:pPr>
        <w:spacing w:line="360" w:lineRule="auto"/>
        <w:ind w:firstLine="480"/>
        <w:rPr>
          <w:rFonts w:ascii="仿宋" w:hAnsi="仿宋" w:eastAsia="仿宋" w:cs="仿宋"/>
          <w:color w:val="auto"/>
          <w:sz w:val="24"/>
          <w:highlight w:val="none"/>
        </w:rPr>
      </w:pPr>
      <w:r>
        <w:rPr>
          <w:rFonts w:hint="eastAsia" w:ascii="仿宋" w:hAnsi="仿宋" w:eastAsia="仿宋" w:cs="仿宋"/>
          <w:color w:val="auto"/>
          <w:sz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auto"/>
          <w:sz w:val="24"/>
          <w:szCs w:val="24"/>
          <w:highlight w:val="none"/>
          <w:u w:val="single"/>
        </w:rPr>
        <w:t>（单位名称）</w:t>
      </w:r>
      <w:r>
        <w:rPr>
          <w:rFonts w:hint="eastAsia" w:ascii="仿宋" w:hAnsi="仿宋" w:eastAsia="仿宋" w:cs="仿宋"/>
          <w:color w:val="auto"/>
          <w:sz w:val="24"/>
          <w:highlight w:val="none"/>
          <w:u w:val="single"/>
        </w:rPr>
        <w:t xml:space="preserve">项目编号为：        </w:t>
      </w:r>
      <w:r>
        <w:rPr>
          <w:rFonts w:hint="eastAsia" w:ascii="仿宋" w:hAnsi="仿宋" w:eastAsia="仿宋" w:cs="仿宋"/>
          <w:color w:val="auto"/>
          <w:sz w:val="24"/>
          <w:highlight w:val="none"/>
        </w:rPr>
        <w:t>，</w:t>
      </w:r>
      <w:r>
        <w:rPr>
          <w:rFonts w:hint="eastAsia" w:ascii="仿宋" w:hAnsi="仿宋" w:eastAsia="仿宋" w:cs="仿宋"/>
          <w:color w:val="auto"/>
          <w:sz w:val="24"/>
          <w:szCs w:val="24"/>
          <w:highlight w:val="none"/>
          <w:u w:val="single"/>
        </w:rPr>
        <w:t>（项目名称：    ）</w:t>
      </w:r>
      <w:r>
        <w:rPr>
          <w:rFonts w:hint="eastAsia" w:ascii="仿宋" w:hAnsi="仿宋" w:eastAsia="仿宋" w:cs="仿宋"/>
          <w:color w:val="auto"/>
          <w:sz w:val="24"/>
          <w:highlight w:val="none"/>
          <w:u w:val="single"/>
        </w:rPr>
        <w:t>（采购包号：    ）</w:t>
      </w:r>
      <w:r>
        <w:rPr>
          <w:rFonts w:hint="eastAsia" w:ascii="仿宋" w:hAnsi="仿宋" w:eastAsia="仿宋" w:cs="仿宋"/>
          <w:color w:val="auto"/>
          <w:sz w:val="24"/>
          <w:highlight w:val="none"/>
        </w:rPr>
        <w:t>采购活动提供本单位制造的货物，或者提供其他残疾人福利性单位制造的货物（不包括使用非残疾人福利性单位注册商标的货物）。</w:t>
      </w:r>
    </w:p>
    <w:p w14:paraId="0247A836">
      <w:pPr>
        <w:spacing w:line="360" w:lineRule="auto"/>
        <w:ind w:firstLine="480"/>
        <w:rPr>
          <w:rFonts w:ascii="仿宋" w:hAnsi="仿宋" w:eastAsia="仿宋" w:cs="仿宋"/>
          <w:color w:val="auto"/>
          <w:sz w:val="24"/>
          <w:highlight w:val="none"/>
        </w:rPr>
      </w:pPr>
      <w:r>
        <w:rPr>
          <w:rFonts w:hint="eastAsia" w:ascii="仿宋" w:hAnsi="仿宋" w:eastAsia="仿宋" w:cs="仿宋"/>
          <w:color w:val="auto"/>
          <w:sz w:val="24"/>
          <w:highlight w:val="none"/>
        </w:rPr>
        <w:t>本单位对上述声明的真实性负责。如有虚假，将依法承担相应责任。</w:t>
      </w:r>
    </w:p>
    <w:p w14:paraId="54FC9AD1">
      <w:pPr>
        <w:spacing w:line="360" w:lineRule="auto"/>
        <w:ind w:firstLine="480"/>
        <w:rPr>
          <w:rFonts w:ascii="仿宋" w:hAnsi="仿宋" w:eastAsia="仿宋" w:cs="仿宋"/>
          <w:color w:val="auto"/>
          <w:sz w:val="24"/>
          <w:highlight w:val="none"/>
        </w:rPr>
      </w:pPr>
    </w:p>
    <w:p w14:paraId="3909ADF4">
      <w:pPr>
        <w:spacing w:line="360" w:lineRule="auto"/>
        <w:ind w:firstLine="624"/>
        <w:rPr>
          <w:rFonts w:ascii="仿宋" w:hAnsi="仿宋" w:eastAsia="仿宋" w:cs="仿宋"/>
          <w:color w:val="auto"/>
          <w:sz w:val="24"/>
          <w:highlight w:val="none"/>
        </w:rPr>
      </w:pPr>
      <w:r>
        <w:rPr>
          <w:rFonts w:hint="eastAsia" w:ascii="仿宋" w:hAnsi="仿宋" w:eastAsia="仿宋" w:cs="仿宋"/>
          <w:color w:val="auto"/>
          <w:sz w:val="24"/>
          <w:highlight w:val="none"/>
        </w:rPr>
        <w:t>备注：</w:t>
      </w:r>
    </w:p>
    <w:p w14:paraId="66DAD543">
      <w:pPr>
        <w:spacing w:line="360" w:lineRule="auto"/>
        <w:ind w:firstLine="624"/>
        <w:rPr>
          <w:rFonts w:ascii="仿宋" w:hAnsi="仿宋" w:eastAsia="仿宋" w:cs="仿宋"/>
          <w:color w:val="auto"/>
          <w:sz w:val="24"/>
          <w:highlight w:val="none"/>
        </w:rPr>
      </w:pPr>
      <w:r>
        <w:rPr>
          <w:rFonts w:hint="eastAsia" w:ascii="仿宋" w:hAnsi="仿宋" w:eastAsia="仿宋" w:cs="仿宋"/>
          <w:color w:val="auto"/>
          <w:sz w:val="24"/>
          <w:highlight w:val="none"/>
        </w:rPr>
        <w:t>1.专门面向中小微型企业采购的项目，供应商为残疾人福利性单位并提供本单位制造的货物，或者提供其他残疾人福利性单位制造的货物，必须提供此声明函，否则将不能通过资格审查。</w:t>
      </w:r>
    </w:p>
    <w:p w14:paraId="675EBA05">
      <w:pPr>
        <w:spacing w:line="360" w:lineRule="auto"/>
        <w:ind w:firstLine="624"/>
        <w:rPr>
          <w:rFonts w:ascii="仿宋" w:hAnsi="仿宋" w:eastAsia="仿宋" w:cs="仿宋"/>
          <w:color w:val="auto"/>
          <w:sz w:val="24"/>
          <w:highlight w:val="none"/>
        </w:rPr>
      </w:pPr>
      <w:r>
        <w:rPr>
          <w:rFonts w:hint="eastAsia" w:ascii="仿宋" w:hAnsi="仿宋" w:eastAsia="仿宋" w:cs="仿宋"/>
          <w:color w:val="auto"/>
          <w:sz w:val="24"/>
          <w:highlight w:val="none"/>
        </w:rPr>
        <w:t>2. 非专门面向中小微型企业采购的项目，供应商如不提供此声明函，价格将不做相应扣除。</w:t>
      </w:r>
    </w:p>
    <w:p w14:paraId="66B3C6AE">
      <w:pPr>
        <w:spacing w:line="360" w:lineRule="auto"/>
        <w:ind w:firstLine="624"/>
        <w:rPr>
          <w:rFonts w:ascii="仿宋" w:hAnsi="仿宋" w:eastAsia="仿宋" w:cs="仿宋"/>
          <w:color w:val="auto"/>
          <w:spacing w:val="6"/>
          <w:sz w:val="30"/>
          <w:szCs w:val="30"/>
          <w:highlight w:val="none"/>
        </w:rPr>
      </w:pPr>
      <w:r>
        <w:rPr>
          <w:rFonts w:hint="eastAsia" w:ascii="仿宋" w:hAnsi="仿宋" w:eastAsia="仿宋" w:cs="仿宋"/>
          <w:color w:val="auto"/>
          <w:sz w:val="24"/>
          <w:highlight w:val="none"/>
        </w:rPr>
        <w:t>3.中标/成交供应商为残疾人福利性单位的，此声明函将随中标/成交结果同时公告，接受社会监督。</w:t>
      </w:r>
    </w:p>
    <w:p w14:paraId="7A368CF0">
      <w:pPr>
        <w:pStyle w:val="486"/>
        <w:spacing w:line="360" w:lineRule="auto"/>
        <w:rPr>
          <w:rFonts w:ascii="仿宋" w:hAnsi="仿宋" w:eastAsia="仿宋" w:cs="仿宋"/>
          <w:color w:val="auto"/>
          <w:highlight w:val="none"/>
        </w:rPr>
      </w:pPr>
    </w:p>
    <w:p w14:paraId="1F095033">
      <w:pPr>
        <w:spacing w:line="360" w:lineRule="auto"/>
        <w:ind w:right="180" w:firstLine="360"/>
        <w:jc w:val="right"/>
        <w:rPr>
          <w:rFonts w:ascii="仿宋" w:hAnsi="仿宋" w:eastAsia="仿宋" w:cs="仿宋"/>
          <w:color w:val="auto"/>
          <w:sz w:val="24"/>
          <w:highlight w:val="none"/>
        </w:rPr>
      </w:pPr>
      <w:r>
        <w:rPr>
          <w:rFonts w:hint="eastAsia" w:ascii="仿宋" w:hAnsi="仿宋" w:eastAsia="仿宋" w:cs="仿宋"/>
          <w:color w:val="auto"/>
          <w:sz w:val="24"/>
          <w:highlight w:val="none"/>
        </w:rPr>
        <w:t>企业名称：（加盖CA电子公章）</w:t>
      </w:r>
    </w:p>
    <w:p w14:paraId="777CCDDF">
      <w:pPr>
        <w:spacing w:line="360" w:lineRule="auto"/>
        <w:jc w:val="right"/>
        <w:rPr>
          <w:rFonts w:ascii="仿宋" w:hAnsi="仿宋" w:eastAsia="仿宋" w:cs="仿宋"/>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年___月___日</w:t>
      </w:r>
    </w:p>
    <w:p w14:paraId="605D04E8">
      <w:pPr>
        <w:jc w:val="center"/>
        <w:rPr>
          <w:rFonts w:ascii="方正魏碑_GBK" w:hAnsi="方正魏碑_GBK" w:eastAsia="方正魏碑_GBK" w:cs="方正魏碑_GBK"/>
          <w:b/>
          <w:color w:val="auto"/>
          <w:sz w:val="24"/>
          <w:szCs w:val="24"/>
          <w:highlight w:val="none"/>
        </w:rPr>
      </w:pPr>
    </w:p>
    <w:p w14:paraId="179E67EE">
      <w:pPr>
        <w:jc w:val="center"/>
        <w:rPr>
          <w:rFonts w:ascii="方正魏碑_GBK" w:hAnsi="方正魏碑_GBK" w:eastAsia="方正魏碑_GBK" w:cs="方正魏碑_GBK"/>
          <w:b/>
          <w:color w:val="auto"/>
          <w:sz w:val="24"/>
          <w:szCs w:val="24"/>
          <w:highlight w:val="none"/>
        </w:rPr>
      </w:pPr>
    </w:p>
    <w:p w14:paraId="19910E42">
      <w:pPr>
        <w:jc w:val="center"/>
        <w:rPr>
          <w:rFonts w:ascii="方正魏碑_GBK" w:hAnsi="方正魏碑_GBK" w:eastAsia="方正魏碑_GBK" w:cs="方正魏碑_GBK"/>
          <w:b/>
          <w:color w:val="auto"/>
          <w:sz w:val="24"/>
          <w:szCs w:val="24"/>
          <w:highlight w:val="none"/>
        </w:rPr>
      </w:pPr>
    </w:p>
    <w:p w14:paraId="2727AF13">
      <w:pPr>
        <w:jc w:val="center"/>
        <w:rPr>
          <w:rFonts w:ascii="方正魏碑_GBK" w:hAnsi="方正魏碑_GBK" w:eastAsia="方正魏碑_GBK" w:cs="方正魏碑_GBK"/>
          <w:b/>
          <w:color w:val="auto"/>
          <w:sz w:val="24"/>
          <w:szCs w:val="24"/>
          <w:highlight w:val="none"/>
        </w:rPr>
      </w:pPr>
    </w:p>
    <w:p w14:paraId="34F5BB54">
      <w:pPr>
        <w:jc w:val="center"/>
        <w:rPr>
          <w:rFonts w:ascii="方正魏碑_GBK" w:hAnsi="方正魏碑_GBK" w:eastAsia="方正魏碑_GBK" w:cs="方正魏碑_GBK"/>
          <w:b/>
          <w:color w:val="auto"/>
          <w:sz w:val="24"/>
          <w:szCs w:val="24"/>
          <w:highlight w:val="none"/>
        </w:rPr>
      </w:pPr>
    </w:p>
    <w:p w14:paraId="0E5009C7">
      <w:pPr>
        <w:jc w:val="center"/>
        <w:rPr>
          <w:rFonts w:ascii="方正魏碑_GBK" w:hAnsi="方正魏碑_GBK" w:eastAsia="方正魏碑_GBK" w:cs="方正魏碑_GBK"/>
          <w:b/>
          <w:color w:val="auto"/>
          <w:sz w:val="24"/>
          <w:szCs w:val="24"/>
          <w:highlight w:val="none"/>
        </w:rPr>
      </w:pPr>
    </w:p>
    <w:p w14:paraId="78F1E91D">
      <w:pPr>
        <w:jc w:val="center"/>
        <w:rPr>
          <w:rFonts w:ascii="方正魏碑_GBK" w:hAnsi="方正魏碑_GBK" w:eastAsia="方正魏碑_GBK" w:cs="方正魏碑_GBK"/>
          <w:b/>
          <w:color w:val="auto"/>
          <w:sz w:val="24"/>
          <w:szCs w:val="24"/>
          <w:highlight w:val="none"/>
        </w:rPr>
      </w:pPr>
    </w:p>
    <w:p w14:paraId="504D7879">
      <w:pPr>
        <w:pStyle w:val="359"/>
        <w:spacing w:line="480" w:lineRule="exact"/>
        <w:rPr>
          <w:rFonts w:ascii="Times New Roman" w:hAnsi="Times New Roman"/>
          <w:color w:val="auto"/>
          <w:sz w:val="24"/>
          <w:szCs w:val="24"/>
          <w:highlight w:val="none"/>
        </w:rPr>
      </w:pPr>
    </w:p>
    <w:p w14:paraId="6B547541">
      <w:pPr>
        <w:spacing w:line="440" w:lineRule="exact"/>
        <w:jc w:val="left"/>
        <w:outlineLvl w:val="1"/>
        <w:rPr>
          <w:rFonts w:ascii="宋体" w:cs="宋体"/>
          <w:b/>
          <w:color w:val="auto"/>
          <w:sz w:val="24"/>
          <w:highlight w:val="none"/>
        </w:rPr>
        <w:sectPr>
          <w:pgSz w:w="11906" w:h="16838"/>
          <w:pgMar w:top="1440" w:right="1800" w:bottom="1440" w:left="1800" w:header="851" w:footer="992" w:gutter="0"/>
          <w:cols w:space="1701" w:num="1"/>
          <w:docGrid w:linePitch="360" w:charSpace="0"/>
        </w:sectPr>
      </w:pPr>
    </w:p>
    <w:p w14:paraId="65E967F7">
      <w:pPr>
        <w:spacing w:line="440" w:lineRule="exact"/>
        <w:jc w:val="left"/>
        <w:outlineLvl w:val="1"/>
        <w:rPr>
          <w:rFonts w:ascii="宋体" w:cs="宋体"/>
          <w:b/>
          <w:color w:val="auto"/>
          <w:sz w:val="24"/>
          <w:highlight w:val="none"/>
        </w:rPr>
      </w:pPr>
      <w:r>
        <w:rPr>
          <w:rFonts w:hint="eastAsia" w:ascii="宋体" w:cs="宋体"/>
          <w:b/>
          <w:color w:val="auto"/>
          <w:sz w:val="24"/>
          <w:highlight w:val="none"/>
        </w:rPr>
        <w:t>八、响应及偏离表</w:t>
      </w:r>
    </w:p>
    <w:p w14:paraId="633195CC">
      <w:pPr>
        <w:pBdr>
          <w:top w:val="none" w:color="000000" w:sz="0" w:space="0"/>
          <w:left w:val="none" w:color="000000" w:sz="0" w:space="0"/>
          <w:bottom w:val="none" w:color="000000" w:sz="0" w:space="0"/>
          <w:right w:val="none" w:color="000000" w:sz="0" w:space="0"/>
        </w:pBdr>
        <w:ind w:firstLine="1446"/>
        <w:rPr>
          <w:rFonts w:ascii="宋体" w:cs="宋体"/>
          <w:b/>
          <w:color w:val="auto"/>
          <w:sz w:val="24"/>
          <w:highlight w:val="none"/>
        </w:rPr>
      </w:pPr>
    </w:p>
    <w:p w14:paraId="23BA37E2">
      <w:pPr>
        <w:pBdr>
          <w:top w:val="none" w:color="000000" w:sz="0" w:space="0"/>
          <w:left w:val="none" w:color="000000" w:sz="0" w:space="0"/>
          <w:bottom w:val="none" w:color="000000" w:sz="0" w:space="0"/>
          <w:right w:val="none" w:color="000000" w:sz="0" w:space="0"/>
        </w:pBdr>
        <w:jc w:val="center"/>
        <w:rPr>
          <w:color w:val="auto"/>
          <w:highlight w:val="none"/>
        </w:rPr>
      </w:pPr>
      <w:r>
        <w:rPr>
          <w:rFonts w:hint="eastAsia" w:ascii="宋体" w:cs="宋体"/>
          <w:b/>
          <w:color w:val="auto"/>
          <w:sz w:val="24"/>
          <w:highlight w:val="none"/>
        </w:rPr>
        <w:t>实质性要求响应及偏离表（采购包号：）</w:t>
      </w:r>
    </w:p>
    <w:tbl>
      <w:tblPr>
        <w:tblStyle w:val="32"/>
        <w:tblW w:w="0" w:type="auto"/>
        <w:tblInd w:w="-108" w:type="dxa"/>
        <w:tblLayout w:type="autofit"/>
        <w:tblCellMar>
          <w:top w:w="0" w:type="dxa"/>
          <w:left w:w="108" w:type="dxa"/>
          <w:bottom w:w="0" w:type="dxa"/>
          <w:right w:w="108" w:type="dxa"/>
        </w:tblCellMar>
      </w:tblPr>
      <w:tblGrid>
        <w:gridCol w:w="673"/>
        <w:gridCol w:w="3241"/>
        <w:gridCol w:w="2996"/>
        <w:gridCol w:w="1495"/>
      </w:tblGrid>
      <w:tr w14:paraId="117BEF90">
        <w:tblPrEx>
          <w:tblCellMar>
            <w:top w:w="0" w:type="dxa"/>
            <w:left w:w="108" w:type="dxa"/>
            <w:bottom w:w="0" w:type="dxa"/>
            <w:right w:w="108" w:type="dxa"/>
          </w:tblCellMar>
        </w:tblPrEx>
        <w:tc>
          <w:tcPr>
            <w:tcW w:w="673" w:type="dxa"/>
            <w:tcBorders>
              <w:top w:val="single" w:color="000000" w:sz="8" w:space="0"/>
              <w:left w:val="single" w:color="000000" w:sz="8" w:space="0"/>
              <w:bottom w:val="single" w:color="000000" w:sz="8" w:space="0"/>
              <w:right w:val="single" w:color="000000" w:sz="8" w:space="0"/>
            </w:tcBorders>
            <w:noWrap/>
            <w:vAlign w:val="center"/>
          </w:tcPr>
          <w:p w14:paraId="5B29A2C0">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hint="eastAsia" w:ascii="宋体" w:cs="宋体"/>
                <w:color w:val="auto"/>
                <w:sz w:val="24"/>
                <w:highlight w:val="none"/>
              </w:rPr>
              <w:t>序号</w:t>
            </w:r>
          </w:p>
        </w:tc>
        <w:tc>
          <w:tcPr>
            <w:tcW w:w="3241" w:type="dxa"/>
            <w:tcBorders>
              <w:top w:val="single" w:color="000000" w:sz="8" w:space="0"/>
              <w:left w:val="single" w:color="000000" w:sz="8" w:space="0"/>
              <w:bottom w:val="single" w:color="000000" w:sz="8" w:space="0"/>
              <w:right w:val="single" w:color="000000" w:sz="8" w:space="0"/>
            </w:tcBorders>
            <w:noWrap/>
            <w:vAlign w:val="center"/>
          </w:tcPr>
          <w:p w14:paraId="0393AEFD">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hint="eastAsia" w:ascii="宋体" w:cs="宋体"/>
                <w:color w:val="auto"/>
                <w:sz w:val="24"/>
                <w:highlight w:val="none"/>
              </w:rPr>
              <w:t>技术要求和商务要求中的实质性要求</w:t>
            </w:r>
            <w:r>
              <w:rPr>
                <w:rFonts w:hint="eastAsia" w:ascii="宋体" w:cs="宋体"/>
                <w:i/>
                <w:color w:val="auto"/>
                <w:sz w:val="24"/>
                <w:highlight w:val="none"/>
                <w:u w:val="single"/>
              </w:rPr>
              <w:t>（</w:t>
            </w:r>
            <w:r>
              <w:rPr>
                <w:rFonts w:hint="eastAsia" w:ascii="宋体" w:cs="宋体"/>
                <w:color w:val="auto"/>
                <w:sz w:val="24"/>
                <w:highlight w:val="none"/>
                <w:u w:val="single"/>
              </w:rPr>
              <w:t>打“★”内容）</w:t>
            </w:r>
          </w:p>
        </w:tc>
        <w:tc>
          <w:tcPr>
            <w:tcW w:w="2996" w:type="dxa"/>
            <w:tcBorders>
              <w:top w:val="single" w:color="000000" w:sz="8" w:space="0"/>
              <w:left w:val="single" w:color="000000" w:sz="8" w:space="0"/>
              <w:bottom w:val="single" w:color="000000" w:sz="8" w:space="0"/>
              <w:right w:val="single" w:color="000000" w:sz="8" w:space="0"/>
            </w:tcBorders>
            <w:noWrap/>
            <w:vAlign w:val="center"/>
          </w:tcPr>
          <w:p w14:paraId="0A542B80">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hint="eastAsia" w:ascii="宋体" w:cs="宋体"/>
                <w:color w:val="auto"/>
                <w:sz w:val="24"/>
                <w:highlight w:val="none"/>
              </w:rPr>
              <w:t>投标响应情况</w:t>
            </w:r>
          </w:p>
        </w:tc>
        <w:tc>
          <w:tcPr>
            <w:tcW w:w="1495" w:type="dxa"/>
            <w:tcBorders>
              <w:top w:val="single" w:color="000000" w:sz="8" w:space="0"/>
              <w:left w:val="single" w:color="000000" w:sz="8" w:space="0"/>
              <w:bottom w:val="single" w:color="000000" w:sz="8" w:space="0"/>
              <w:right w:val="single" w:color="000000" w:sz="8" w:space="0"/>
            </w:tcBorders>
            <w:noWrap/>
            <w:vAlign w:val="center"/>
          </w:tcPr>
          <w:p w14:paraId="76E063FA">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hint="eastAsia" w:ascii="宋体" w:cs="宋体"/>
                <w:color w:val="auto"/>
                <w:sz w:val="24"/>
                <w:highlight w:val="none"/>
              </w:rPr>
              <w:t>超出、符合或偏离</w:t>
            </w:r>
          </w:p>
        </w:tc>
      </w:tr>
      <w:tr w14:paraId="255B8D89">
        <w:tblPrEx>
          <w:tblCellMar>
            <w:top w:w="0" w:type="dxa"/>
            <w:left w:w="108" w:type="dxa"/>
            <w:bottom w:w="0" w:type="dxa"/>
            <w:right w:w="108" w:type="dxa"/>
          </w:tblCellMar>
        </w:tblPrEx>
        <w:trPr>
          <w:trHeight w:val="640" w:hRule="atLeast"/>
        </w:trPr>
        <w:tc>
          <w:tcPr>
            <w:tcW w:w="673" w:type="dxa"/>
            <w:tcBorders>
              <w:top w:val="nil"/>
              <w:left w:val="single" w:color="000000" w:sz="8" w:space="0"/>
              <w:bottom w:val="single" w:color="000000" w:sz="8" w:space="0"/>
              <w:right w:val="single" w:color="000000" w:sz="8" w:space="0"/>
            </w:tcBorders>
            <w:noWrap/>
          </w:tcPr>
          <w:p w14:paraId="66E66C3D">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hint="eastAsia" w:ascii="宋体" w:cs="宋体"/>
                <w:color w:val="auto"/>
                <w:sz w:val="24"/>
                <w:highlight w:val="none"/>
              </w:rPr>
              <w:t>1</w:t>
            </w:r>
          </w:p>
        </w:tc>
        <w:tc>
          <w:tcPr>
            <w:tcW w:w="3241" w:type="dxa"/>
            <w:tcBorders>
              <w:top w:val="nil"/>
              <w:left w:val="single" w:color="000000" w:sz="8" w:space="0"/>
              <w:bottom w:val="single" w:color="000000" w:sz="8" w:space="0"/>
              <w:right w:val="single" w:color="000000" w:sz="8" w:space="0"/>
            </w:tcBorders>
            <w:noWrap/>
          </w:tcPr>
          <w:p w14:paraId="351F0B02">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hint="eastAsia" w:ascii="宋体" w:cs="宋体"/>
                <w:color w:val="auto"/>
                <w:sz w:val="24"/>
                <w:highlight w:val="none"/>
              </w:rPr>
              <w:t> </w:t>
            </w:r>
          </w:p>
        </w:tc>
        <w:tc>
          <w:tcPr>
            <w:tcW w:w="2996" w:type="dxa"/>
            <w:tcBorders>
              <w:top w:val="nil"/>
              <w:left w:val="single" w:color="000000" w:sz="8" w:space="0"/>
              <w:bottom w:val="single" w:color="000000" w:sz="8" w:space="0"/>
              <w:right w:val="single" w:color="000000" w:sz="8" w:space="0"/>
            </w:tcBorders>
            <w:noWrap/>
          </w:tcPr>
          <w:p w14:paraId="149EEE4B">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hint="eastAsia" w:ascii="宋体" w:cs="宋体"/>
                <w:color w:val="auto"/>
                <w:sz w:val="24"/>
                <w:highlight w:val="none"/>
              </w:rPr>
              <w:t> </w:t>
            </w:r>
          </w:p>
        </w:tc>
        <w:tc>
          <w:tcPr>
            <w:tcW w:w="1495" w:type="dxa"/>
            <w:tcBorders>
              <w:top w:val="nil"/>
              <w:left w:val="single" w:color="000000" w:sz="8" w:space="0"/>
              <w:bottom w:val="single" w:color="000000" w:sz="8" w:space="0"/>
              <w:right w:val="single" w:color="000000" w:sz="8" w:space="0"/>
            </w:tcBorders>
            <w:noWrap/>
          </w:tcPr>
          <w:p w14:paraId="6A9DC917">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hint="eastAsia" w:ascii="宋体" w:cs="宋体"/>
                <w:color w:val="auto"/>
                <w:sz w:val="24"/>
                <w:highlight w:val="none"/>
              </w:rPr>
              <w:t> </w:t>
            </w:r>
          </w:p>
        </w:tc>
      </w:tr>
      <w:tr w14:paraId="2EBC2AB9">
        <w:tblPrEx>
          <w:tblCellMar>
            <w:top w:w="0" w:type="dxa"/>
            <w:left w:w="108" w:type="dxa"/>
            <w:bottom w:w="0" w:type="dxa"/>
            <w:right w:w="108" w:type="dxa"/>
          </w:tblCellMar>
        </w:tblPrEx>
        <w:trPr>
          <w:trHeight w:val="640" w:hRule="atLeast"/>
        </w:trPr>
        <w:tc>
          <w:tcPr>
            <w:tcW w:w="673" w:type="dxa"/>
            <w:tcBorders>
              <w:top w:val="nil"/>
              <w:left w:val="single" w:color="000000" w:sz="8" w:space="0"/>
              <w:bottom w:val="single" w:color="000000" w:sz="8" w:space="0"/>
              <w:right w:val="single" w:color="000000" w:sz="8" w:space="0"/>
            </w:tcBorders>
            <w:noWrap/>
          </w:tcPr>
          <w:p w14:paraId="124451F9">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hint="eastAsia" w:ascii="宋体" w:cs="宋体"/>
                <w:color w:val="auto"/>
                <w:sz w:val="24"/>
                <w:highlight w:val="none"/>
              </w:rPr>
              <w:t>2</w:t>
            </w:r>
          </w:p>
        </w:tc>
        <w:tc>
          <w:tcPr>
            <w:tcW w:w="3241" w:type="dxa"/>
            <w:tcBorders>
              <w:top w:val="nil"/>
              <w:left w:val="single" w:color="000000" w:sz="8" w:space="0"/>
              <w:bottom w:val="single" w:color="000000" w:sz="8" w:space="0"/>
              <w:right w:val="single" w:color="000000" w:sz="8" w:space="0"/>
            </w:tcBorders>
            <w:noWrap/>
          </w:tcPr>
          <w:p w14:paraId="74124105">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hint="eastAsia" w:ascii="宋体" w:cs="宋体"/>
                <w:color w:val="auto"/>
                <w:sz w:val="24"/>
                <w:highlight w:val="none"/>
              </w:rPr>
              <w:t> </w:t>
            </w:r>
          </w:p>
        </w:tc>
        <w:tc>
          <w:tcPr>
            <w:tcW w:w="2996" w:type="dxa"/>
            <w:tcBorders>
              <w:top w:val="nil"/>
              <w:left w:val="single" w:color="000000" w:sz="8" w:space="0"/>
              <w:bottom w:val="single" w:color="000000" w:sz="8" w:space="0"/>
              <w:right w:val="single" w:color="000000" w:sz="8" w:space="0"/>
            </w:tcBorders>
            <w:noWrap/>
          </w:tcPr>
          <w:p w14:paraId="47A7352B">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hint="eastAsia" w:ascii="宋体" w:cs="宋体"/>
                <w:color w:val="auto"/>
                <w:sz w:val="24"/>
                <w:highlight w:val="none"/>
              </w:rPr>
              <w:t> </w:t>
            </w:r>
          </w:p>
        </w:tc>
        <w:tc>
          <w:tcPr>
            <w:tcW w:w="1495" w:type="dxa"/>
            <w:tcBorders>
              <w:top w:val="nil"/>
              <w:left w:val="single" w:color="000000" w:sz="8" w:space="0"/>
              <w:bottom w:val="single" w:color="000000" w:sz="8" w:space="0"/>
              <w:right w:val="single" w:color="000000" w:sz="8" w:space="0"/>
            </w:tcBorders>
            <w:noWrap/>
          </w:tcPr>
          <w:p w14:paraId="5BECE4E5">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hint="eastAsia" w:ascii="宋体" w:cs="宋体"/>
                <w:color w:val="auto"/>
                <w:sz w:val="24"/>
                <w:highlight w:val="none"/>
              </w:rPr>
              <w:t> </w:t>
            </w:r>
          </w:p>
        </w:tc>
      </w:tr>
      <w:tr w14:paraId="6B860890">
        <w:tblPrEx>
          <w:tblCellMar>
            <w:top w:w="0" w:type="dxa"/>
            <w:left w:w="108" w:type="dxa"/>
            <w:bottom w:w="0" w:type="dxa"/>
            <w:right w:w="108" w:type="dxa"/>
          </w:tblCellMar>
        </w:tblPrEx>
        <w:trPr>
          <w:trHeight w:val="640" w:hRule="atLeast"/>
        </w:trPr>
        <w:tc>
          <w:tcPr>
            <w:tcW w:w="673" w:type="dxa"/>
            <w:tcBorders>
              <w:top w:val="nil"/>
              <w:left w:val="single" w:color="000000" w:sz="8" w:space="0"/>
              <w:bottom w:val="single" w:color="000000" w:sz="8" w:space="0"/>
              <w:right w:val="single" w:color="000000" w:sz="8" w:space="0"/>
            </w:tcBorders>
            <w:noWrap/>
          </w:tcPr>
          <w:p w14:paraId="30B0E316">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hint="eastAsia" w:ascii="宋体" w:cs="宋体"/>
                <w:color w:val="auto"/>
                <w:sz w:val="24"/>
                <w:highlight w:val="none"/>
              </w:rPr>
              <w:t> </w:t>
            </w:r>
          </w:p>
        </w:tc>
        <w:tc>
          <w:tcPr>
            <w:tcW w:w="3241" w:type="dxa"/>
            <w:tcBorders>
              <w:top w:val="nil"/>
              <w:left w:val="single" w:color="000000" w:sz="8" w:space="0"/>
              <w:bottom w:val="single" w:color="000000" w:sz="8" w:space="0"/>
              <w:right w:val="single" w:color="000000" w:sz="8" w:space="0"/>
            </w:tcBorders>
            <w:noWrap/>
          </w:tcPr>
          <w:p w14:paraId="7688C37B">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hint="eastAsia" w:ascii="宋体" w:cs="宋体"/>
                <w:color w:val="auto"/>
                <w:sz w:val="24"/>
                <w:highlight w:val="none"/>
              </w:rPr>
              <w:t>……</w:t>
            </w:r>
          </w:p>
        </w:tc>
        <w:tc>
          <w:tcPr>
            <w:tcW w:w="2996" w:type="dxa"/>
            <w:tcBorders>
              <w:top w:val="nil"/>
              <w:left w:val="single" w:color="000000" w:sz="8" w:space="0"/>
              <w:bottom w:val="single" w:color="000000" w:sz="8" w:space="0"/>
              <w:right w:val="single" w:color="000000" w:sz="8" w:space="0"/>
            </w:tcBorders>
            <w:noWrap/>
          </w:tcPr>
          <w:p w14:paraId="5FB9988E">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hint="eastAsia" w:ascii="宋体" w:cs="宋体"/>
                <w:color w:val="auto"/>
                <w:sz w:val="24"/>
                <w:highlight w:val="none"/>
              </w:rPr>
              <w:t> </w:t>
            </w:r>
          </w:p>
        </w:tc>
        <w:tc>
          <w:tcPr>
            <w:tcW w:w="1495" w:type="dxa"/>
            <w:tcBorders>
              <w:top w:val="nil"/>
              <w:left w:val="single" w:color="000000" w:sz="8" w:space="0"/>
              <w:bottom w:val="single" w:color="000000" w:sz="8" w:space="0"/>
              <w:right w:val="single" w:color="000000" w:sz="8" w:space="0"/>
            </w:tcBorders>
            <w:noWrap/>
          </w:tcPr>
          <w:p w14:paraId="39E7AF9F">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hint="eastAsia" w:ascii="宋体" w:cs="宋体"/>
                <w:color w:val="auto"/>
                <w:sz w:val="24"/>
                <w:highlight w:val="none"/>
              </w:rPr>
              <w:t> </w:t>
            </w:r>
          </w:p>
        </w:tc>
      </w:tr>
    </w:tbl>
    <w:p w14:paraId="61AB364C">
      <w:pPr>
        <w:pBdr>
          <w:top w:val="none" w:color="000000" w:sz="0" w:space="0"/>
          <w:left w:val="none" w:color="000000" w:sz="0" w:space="0"/>
          <w:bottom w:val="none" w:color="000000" w:sz="0" w:space="0"/>
          <w:right w:val="none" w:color="000000" w:sz="0" w:space="0"/>
        </w:pBdr>
        <w:spacing w:line="400" w:lineRule="atLeast"/>
        <w:rPr>
          <w:color w:val="auto"/>
          <w:highlight w:val="none"/>
        </w:rPr>
      </w:pPr>
      <w:r>
        <w:rPr>
          <w:rFonts w:hint="eastAsia" w:ascii="宋体" w:cs="宋体"/>
          <w:color w:val="auto"/>
          <w:sz w:val="24"/>
          <w:highlight w:val="none"/>
        </w:rPr>
        <w:t>附件 证明材料1，证明材料2，……</w:t>
      </w:r>
    </w:p>
    <w:p w14:paraId="371A5E64">
      <w:pPr>
        <w:pBdr>
          <w:top w:val="none" w:color="000000" w:sz="0" w:space="0"/>
          <w:left w:val="none" w:color="000000" w:sz="0" w:space="0"/>
          <w:bottom w:val="none" w:color="000000" w:sz="0" w:space="0"/>
          <w:right w:val="none" w:color="000000" w:sz="0" w:space="0"/>
        </w:pBdr>
        <w:spacing w:line="400" w:lineRule="atLeast"/>
        <w:rPr>
          <w:color w:val="auto"/>
          <w:highlight w:val="none"/>
        </w:rPr>
      </w:pPr>
      <w:r>
        <w:rPr>
          <w:rFonts w:hint="eastAsia" w:ascii="宋体" w:cs="宋体"/>
          <w:color w:val="auto"/>
          <w:sz w:val="24"/>
          <w:highlight w:val="none"/>
        </w:rPr>
        <w:t> </w:t>
      </w:r>
    </w:p>
    <w:p w14:paraId="45F52CE9">
      <w:pPr>
        <w:pBdr>
          <w:top w:val="none" w:color="000000" w:sz="0" w:space="0"/>
          <w:left w:val="none" w:color="000000" w:sz="0" w:space="0"/>
          <w:bottom w:val="none" w:color="000000" w:sz="0" w:space="0"/>
          <w:right w:val="none" w:color="000000" w:sz="0" w:space="0"/>
        </w:pBdr>
        <w:spacing w:line="400" w:lineRule="atLeast"/>
        <w:rPr>
          <w:color w:val="auto"/>
          <w:highlight w:val="none"/>
        </w:rPr>
      </w:pPr>
      <w:r>
        <w:rPr>
          <w:rFonts w:hint="eastAsia" w:ascii="宋体" w:cs="宋体"/>
          <w:color w:val="auto"/>
          <w:sz w:val="24"/>
          <w:highlight w:val="none"/>
        </w:rPr>
        <w:t>备注：</w:t>
      </w:r>
    </w:p>
    <w:p w14:paraId="6620FF97">
      <w:pPr>
        <w:pBdr>
          <w:top w:val="none" w:color="000000" w:sz="0" w:space="0"/>
          <w:left w:val="none" w:color="000000" w:sz="0" w:space="0"/>
          <w:bottom w:val="none" w:color="000000" w:sz="0" w:space="0"/>
          <w:right w:val="none" w:color="000000" w:sz="0" w:space="0"/>
        </w:pBdr>
        <w:spacing w:line="400" w:lineRule="atLeast"/>
        <w:rPr>
          <w:color w:val="auto"/>
          <w:highlight w:val="none"/>
        </w:rPr>
      </w:pPr>
      <w:r>
        <w:rPr>
          <w:rFonts w:hint="eastAsia" w:ascii="宋体" w:cs="宋体"/>
          <w:color w:val="auto"/>
          <w:sz w:val="24"/>
          <w:highlight w:val="none"/>
        </w:rPr>
        <w:t>1.投标人必须对技术要求和商务要求中的实质性要求</w:t>
      </w:r>
      <w:r>
        <w:rPr>
          <w:rFonts w:hint="eastAsia" w:ascii="宋体" w:cs="宋体"/>
          <w:i/>
          <w:color w:val="auto"/>
          <w:sz w:val="24"/>
          <w:highlight w:val="none"/>
          <w:u w:val="single"/>
        </w:rPr>
        <w:t>（</w:t>
      </w:r>
      <w:r>
        <w:rPr>
          <w:rFonts w:hint="eastAsia" w:ascii="宋体" w:cs="宋体"/>
          <w:color w:val="auto"/>
          <w:sz w:val="24"/>
          <w:highlight w:val="none"/>
          <w:u w:val="single"/>
        </w:rPr>
        <w:t>打“★”内容）</w:t>
      </w:r>
      <w:r>
        <w:rPr>
          <w:rFonts w:hint="eastAsia" w:ascii="宋体" w:cs="宋体"/>
          <w:color w:val="auto"/>
          <w:sz w:val="24"/>
          <w:highlight w:val="none"/>
        </w:rPr>
        <w:t>逐条做出明确响应。</w:t>
      </w:r>
    </w:p>
    <w:p w14:paraId="11089744">
      <w:pPr>
        <w:pBdr>
          <w:top w:val="none" w:color="000000" w:sz="0" w:space="0"/>
          <w:left w:val="none" w:color="000000" w:sz="0" w:space="0"/>
          <w:bottom w:val="none" w:color="000000" w:sz="0" w:space="0"/>
          <w:right w:val="none" w:color="000000" w:sz="0" w:space="0"/>
        </w:pBdr>
        <w:spacing w:line="400" w:lineRule="atLeast"/>
        <w:rPr>
          <w:color w:val="auto"/>
          <w:highlight w:val="none"/>
        </w:rPr>
      </w:pPr>
      <w:r>
        <w:rPr>
          <w:rFonts w:hint="eastAsia" w:ascii="宋体" w:cs="宋体"/>
          <w:color w:val="auto"/>
          <w:sz w:val="24"/>
          <w:highlight w:val="none"/>
        </w:rPr>
        <w:t>2.如果招标文件要求提供证明材料，投标人必须将证明材料列于该表之下。</w:t>
      </w:r>
    </w:p>
    <w:p w14:paraId="728CDDD5">
      <w:pPr>
        <w:pBdr>
          <w:top w:val="none" w:color="000000" w:sz="0" w:space="0"/>
          <w:left w:val="none" w:color="000000" w:sz="0" w:space="0"/>
          <w:bottom w:val="none" w:color="000000" w:sz="0" w:space="0"/>
          <w:right w:val="none" w:color="000000" w:sz="0" w:space="0"/>
        </w:pBdr>
        <w:spacing w:line="400" w:lineRule="atLeast"/>
        <w:rPr>
          <w:color w:val="auto"/>
          <w:highlight w:val="none"/>
        </w:rPr>
      </w:pPr>
      <w:r>
        <w:rPr>
          <w:rFonts w:hint="eastAsia" w:ascii="宋体" w:cs="宋体"/>
          <w:color w:val="auto"/>
          <w:sz w:val="24"/>
          <w:highlight w:val="none"/>
        </w:rPr>
        <w:t>3.投标人未对实质性要求逐条作出明确响应的，或未按招标文件要求提供证明材料的，该采购包作无效标处理。</w:t>
      </w:r>
    </w:p>
    <w:p w14:paraId="108A9D7C">
      <w:pPr>
        <w:spacing w:line="560" w:lineRule="exact"/>
        <w:jc w:val="center"/>
        <w:rPr>
          <w:rFonts w:ascii="宋体" w:cs="宋体"/>
          <w:b/>
          <w:color w:val="auto"/>
          <w:sz w:val="32"/>
          <w:szCs w:val="32"/>
          <w:highlight w:val="none"/>
        </w:rPr>
      </w:pPr>
    </w:p>
    <w:p w14:paraId="6839EB60">
      <w:pPr>
        <w:spacing w:line="560" w:lineRule="exact"/>
        <w:jc w:val="center"/>
        <w:rPr>
          <w:rFonts w:ascii="宋体" w:cs="宋体"/>
          <w:b/>
          <w:color w:val="auto"/>
          <w:sz w:val="32"/>
          <w:szCs w:val="32"/>
          <w:highlight w:val="none"/>
        </w:rPr>
      </w:pPr>
    </w:p>
    <w:p w14:paraId="67E3AD05">
      <w:pPr>
        <w:jc w:val="center"/>
        <w:rPr>
          <w:rFonts w:ascii="宋体" w:cs="宋体"/>
          <w:b/>
          <w:color w:val="auto"/>
          <w:sz w:val="24"/>
          <w:highlight w:val="none"/>
        </w:rPr>
      </w:pPr>
      <w:r>
        <w:rPr>
          <w:rFonts w:hint="eastAsia" w:ascii="宋体" w:cs="宋体"/>
          <w:b/>
          <w:color w:val="auto"/>
          <w:sz w:val="24"/>
          <w:highlight w:val="none"/>
        </w:rPr>
        <w:t>技术要求响应及偏离表（采购包号：）</w:t>
      </w:r>
    </w:p>
    <w:tbl>
      <w:tblPr>
        <w:tblStyle w:val="3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063"/>
        <w:gridCol w:w="3191"/>
        <w:gridCol w:w="2128"/>
      </w:tblGrid>
      <w:tr w14:paraId="48665F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ign w:val="center"/>
          </w:tcPr>
          <w:p w14:paraId="4ADC24BA">
            <w:pPr>
              <w:spacing w:line="400" w:lineRule="exact"/>
              <w:jc w:val="center"/>
              <w:rPr>
                <w:rFonts w:ascii="宋体" w:cs="宋体"/>
                <w:color w:val="auto"/>
                <w:sz w:val="24"/>
                <w:highlight w:val="none"/>
              </w:rPr>
            </w:pPr>
            <w:r>
              <w:rPr>
                <w:rFonts w:hint="eastAsia" w:ascii="宋体" w:cs="宋体"/>
                <w:color w:val="auto"/>
                <w:sz w:val="24"/>
                <w:highlight w:val="none"/>
              </w:rPr>
              <w:t>序号</w:t>
            </w:r>
          </w:p>
        </w:tc>
        <w:tc>
          <w:tcPr>
            <w:tcW w:w="3063" w:type="dxa"/>
            <w:noWrap/>
            <w:vAlign w:val="center"/>
          </w:tcPr>
          <w:p w14:paraId="3FB7D15D">
            <w:pPr>
              <w:spacing w:line="400" w:lineRule="exact"/>
              <w:jc w:val="center"/>
              <w:rPr>
                <w:rFonts w:ascii="宋体" w:cs="宋体"/>
                <w:color w:val="auto"/>
                <w:sz w:val="24"/>
                <w:highlight w:val="none"/>
              </w:rPr>
            </w:pPr>
            <w:r>
              <w:rPr>
                <w:rFonts w:hint="eastAsia" w:ascii="宋体" w:cs="宋体"/>
                <w:color w:val="auto"/>
                <w:sz w:val="24"/>
                <w:highlight w:val="none"/>
              </w:rPr>
              <w:t>技术要求</w:t>
            </w:r>
          </w:p>
        </w:tc>
        <w:tc>
          <w:tcPr>
            <w:tcW w:w="3191" w:type="dxa"/>
            <w:noWrap/>
            <w:vAlign w:val="center"/>
          </w:tcPr>
          <w:p w14:paraId="546F7466">
            <w:pPr>
              <w:spacing w:line="400" w:lineRule="exact"/>
              <w:jc w:val="center"/>
              <w:rPr>
                <w:rFonts w:ascii="宋体" w:cs="宋体"/>
                <w:color w:val="auto"/>
                <w:sz w:val="24"/>
                <w:highlight w:val="none"/>
              </w:rPr>
            </w:pPr>
            <w:r>
              <w:rPr>
                <w:rFonts w:hint="eastAsia" w:ascii="宋体" w:cs="宋体"/>
                <w:color w:val="auto"/>
                <w:sz w:val="24"/>
                <w:highlight w:val="none"/>
              </w:rPr>
              <w:t>投标响应情况</w:t>
            </w:r>
          </w:p>
        </w:tc>
        <w:tc>
          <w:tcPr>
            <w:tcW w:w="2128" w:type="dxa"/>
            <w:noWrap/>
            <w:vAlign w:val="center"/>
          </w:tcPr>
          <w:p w14:paraId="563E92A6">
            <w:pPr>
              <w:spacing w:line="400" w:lineRule="exact"/>
              <w:jc w:val="center"/>
              <w:rPr>
                <w:rFonts w:ascii="宋体" w:cs="宋体"/>
                <w:color w:val="auto"/>
                <w:sz w:val="24"/>
                <w:highlight w:val="none"/>
              </w:rPr>
            </w:pPr>
            <w:r>
              <w:rPr>
                <w:rFonts w:hint="eastAsia" w:ascii="宋体" w:cs="宋体"/>
                <w:color w:val="auto"/>
                <w:sz w:val="24"/>
                <w:highlight w:val="none"/>
              </w:rPr>
              <w:t>超出、符合或偏离</w:t>
            </w:r>
          </w:p>
        </w:tc>
      </w:tr>
      <w:tr w14:paraId="5E4CE7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tcPr>
          <w:p w14:paraId="79324384">
            <w:pPr>
              <w:spacing w:line="400" w:lineRule="exact"/>
              <w:jc w:val="center"/>
              <w:rPr>
                <w:rFonts w:ascii="宋体" w:cs="宋体"/>
                <w:color w:val="auto"/>
                <w:sz w:val="24"/>
                <w:highlight w:val="none"/>
              </w:rPr>
            </w:pPr>
            <w:r>
              <w:rPr>
                <w:rFonts w:hint="eastAsia" w:ascii="宋体" w:cs="宋体"/>
                <w:color w:val="auto"/>
                <w:sz w:val="24"/>
                <w:highlight w:val="none"/>
              </w:rPr>
              <w:t>1</w:t>
            </w:r>
          </w:p>
        </w:tc>
        <w:tc>
          <w:tcPr>
            <w:tcW w:w="3063" w:type="dxa"/>
            <w:noWrap/>
          </w:tcPr>
          <w:p w14:paraId="34AED085">
            <w:pPr>
              <w:spacing w:line="400" w:lineRule="exact"/>
              <w:jc w:val="center"/>
              <w:rPr>
                <w:rFonts w:ascii="宋体" w:cs="宋体"/>
                <w:color w:val="auto"/>
                <w:sz w:val="24"/>
                <w:highlight w:val="none"/>
              </w:rPr>
            </w:pPr>
          </w:p>
        </w:tc>
        <w:tc>
          <w:tcPr>
            <w:tcW w:w="3191" w:type="dxa"/>
            <w:noWrap/>
          </w:tcPr>
          <w:p w14:paraId="57A4CFDB">
            <w:pPr>
              <w:spacing w:line="400" w:lineRule="exact"/>
              <w:jc w:val="center"/>
              <w:rPr>
                <w:rFonts w:ascii="宋体" w:cs="宋体"/>
                <w:color w:val="auto"/>
                <w:sz w:val="24"/>
                <w:highlight w:val="none"/>
              </w:rPr>
            </w:pPr>
          </w:p>
        </w:tc>
        <w:tc>
          <w:tcPr>
            <w:tcW w:w="2128" w:type="dxa"/>
            <w:noWrap/>
          </w:tcPr>
          <w:p w14:paraId="1D9B353E">
            <w:pPr>
              <w:spacing w:line="400" w:lineRule="exact"/>
              <w:jc w:val="center"/>
              <w:rPr>
                <w:rFonts w:ascii="宋体" w:cs="宋体"/>
                <w:color w:val="auto"/>
                <w:sz w:val="24"/>
                <w:highlight w:val="none"/>
              </w:rPr>
            </w:pPr>
          </w:p>
        </w:tc>
      </w:tr>
      <w:tr w14:paraId="501DD6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tcPr>
          <w:p w14:paraId="00AB0FD1">
            <w:pPr>
              <w:spacing w:line="400" w:lineRule="exact"/>
              <w:jc w:val="center"/>
              <w:rPr>
                <w:rFonts w:ascii="宋体" w:cs="宋体"/>
                <w:color w:val="auto"/>
                <w:sz w:val="24"/>
                <w:highlight w:val="none"/>
              </w:rPr>
            </w:pPr>
          </w:p>
        </w:tc>
        <w:tc>
          <w:tcPr>
            <w:tcW w:w="3063" w:type="dxa"/>
            <w:noWrap/>
          </w:tcPr>
          <w:p w14:paraId="59AE8493">
            <w:pPr>
              <w:spacing w:line="400" w:lineRule="exact"/>
              <w:jc w:val="center"/>
              <w:rPr>
                <w:rFonts w:ascii="宋体" w:cs="宋体"/>
                <w:color w:val="auto"/>
                <w:sz w:val="24"/>
                <w:highlight w:val="none"/>
              </w:rPr>
            </w:pPr>
            <w:r>
              <w:rPr>
                <w:rFonts w:hint="eastAsia" w:ascii="宋体" w:cs="宋体"/>
                <w:color w:val="auto"/>
                <w:sz w:val="24"/>
                <w:highlight w:val="none"/>
              </w:rPr>
              <w:t>……</w:t>
            </w:r>
          </w:p>
        </w:tc>
        <w:tc>
          <w:tcPr>
            <w:tcW w:w="3191" w:type="dxa"/>
            <w:noWrap/>
          </w:tcPr>
          <w:p w14:paraId="58919DB3">
            <w:pPr>
              <w:spacing w:line="400" w:lineRule="exact"/>
              <w:jc w:val="center"/>
              <w:rPr>
                <w:rFonts w:ascii="宋体" w:cs="宋体"/>
                <w:color w:val="auto"/>
                <w:sz w:val="24"/>
                <w:highlight w:val="none"/>
              </w:rPr>
            </w:pPr>
          </w:p>
        </w:tc>
        <w:tc>
          <w:tcPr>
            <w:tcW w:w="2128" w:type="dxa"/>
            <w:noWrap/>
          </w:tcPr>
          <w:p w14:paraId="77EBF3AF">
            <w:pPr>
              <w:spacing w:line="400" w:lineRule="exact"/>
              <w:jc w:val="center"/>
              <w:rPr>
                <w:rFonts w:ascii="宋体" w:cs="宋体"/>
                <w:color w:val="auto"/>
                <w:sz w:val="24"/>
                <w:highlight w:val="none"/>
              </w:rPr>
            </w:pPr>
          </w:p>
        </w:tc>
      </w:tr>
    </w:tbl>
    <w:p w14:paraId="0AF26207">
      <w:pPr>
        <w:spacing w:line="400" w:lineRule="exact"/>
        <w:rPr>
          <w:rFonts w:ascii="宋体" w:cs="宋体"/>
          <w:color w:val="auto"/>
          <w:sz w:val="24"/>
          <w:highlight w:val="none"/>
        </w:rPr>
      </w:pPr>
      <w:r>
        <w:rPr>
          <w:rFonts w:hint="eastAsia" w:ascii="宋体" w:cs="宋体"/>
          <w:color w:val="auto"/>
          <w:sz w:val="24"/>
          <w:highlight w:val="none"/>
        </w:rPr>
        <w:t>附件  证明材料1，证明材料2，……</w:t>
      </w:r>
    </w:p>
    <w:p w14:paraId="351D03A4">
      <w:pPr>
        <w:spacing w:line="400" w:lineRule="exact"/>
        <w:rPr>
          <w:rFonts w:ascii="宋体" w:cs="宋体"/>
          <w:color w:val="auto"/>
          <w:sz w:val="24"/>
          <w:highlight w:val="none"/>
        </w:rPr>
      </w:pPr>
    </w:p>
    <w:p w14:paraId="189D8158">
      <w:pPr>
        <w:spacing w:line="400" w:lineRule="exact"/>
        <w:rPr>
          <w:rFonts w:ascii="宋体" w:cs="宋体"/>
          <w:color w:val="auto"/>
          <w:sz w:val="24"/>
          <w:highlight w:val="none"/>
        </w:rPr>
      </w:pPr>
      <w:r>
        <w:rPr>
          <w:rFonts w:hint="eastAsia" w:ascii="宋体" w:cs="宋体"/>
          <w:color w:val="auto"/>
          <w:sz w:val="24"/>
          <w:highlight w:val="none"/>
        </w:rPr>
        <w:t>备注：</w:t>
      </w:r>
    </w:p>
    <w:p w14:paraId="67A3BC87">
      <w:pPr>
        <w:spacing w:line="400" w:lineRule="exact"/>
        <w:rPr>
          <w:rFonts w:ascii="宋体" w:cs="宋体"/>
          <w:color w:val="auto"/>
          <w:sz w:val="24"/>
          <w:highlight w:val="none"/>
        </w:rPr>
      </w:pPr>
      <w:r>
        <w:rPr>
          <w:rFonts w:hint="eastAsia" w:ascii="宋体" w:cs="宋体"/>
          <w:color w:val="auto"/>
          <w:sz w:val="24"/>
          <w:highlight w:val="none"/>
        </w:rPr>
        <w:t>1.投标人需对技术要求（</w:t>
      </w:r>
      <w:r>
        <w:rPr>
          <w:rFonts w:hint="eastAsia" w:ascii="宋体" w:cs="宋体"/>
          <w:iCs/>
          <w:color w:val="auto"/>
          <w:sz w:val="24"/>
          <w:highlight w:val="none"/>
          <w:u w:val="single"/>
        </w:rPr>
        <w:t>未打“★”内容</w:t>
      </w:r>
      <w:r>
        <w:rPr>
          <w:rFonts w:hint="eastAsia" w:ascii="宋体" w:cs="宋体"/>
          <w:color w:val="auto"/>
          <w:sz w:val="24"/>
          <w:highlight w:val="none"/>
        </w:rPr>
        <w:t>）逐条做出明确响应。</w:t>
      </w:r>
    </w:p>
    <w:p w14:paraId="3188FD4C">
      <w:pPr>
        <w:spacing w:line="400" w:lineRule="exact"/>
        <w:rPr>
          <w:rFonts w:ascii="宋体" w:cs="宋体"/>
          <w:color w:val="auto"/>
          <w:sz w:val="24"/>
          <w:highlight w:val="none"/>
        </w:rPr>
      </w:pPr>
      <w:r>
        <w:rPr>
          <w:rFonts w:hint="eastAsia" w:ascii="宋体" w:cs="宋体"/>
          <w:color w:val="auto"/>
          <w:sz w:val="24"/>
          <w:highlight w:val="none"/>
        </w:rPr>
        <w:t>2.如果招标文件要求提供证明材料，投标人需将证明材料列于该表之下。</w:t>
      </w:r>
    </w:p>
    <w:p w14:paraId="4B00C161">
      <w:pPr>
        <w:spacing w:line="400" w:lineRule="exact"/>
        <w:rPr>
          <w:rFonts w:ascii="宋体" w:cs="宋体"/>
          <w:color w:val="auto"/>
          <w:sz w:val="24"/>
          <w:highlight w:val="none"/>
        </w:rPr>
      </w:pPr>
    </w:p>
    <w:p w14:paraId="3C9189F3">
      <w:pPr>
        <w:pStyle w:val="376"/>
        <w:rPr>
          <w:rFonts w:ascii="宋体" w:eastAsia="宋体" w:cs="宋体"/>
          <w:color w:val="auto"/>
          <w:highlight w:val="none"/>
        </w:rPr>
      </w:pPr>
    </w:p>
    <w:p w14:paraId="38D92AC5">
      <w:pPr>
        <w:spacing w:line="360" w:lineRule="auto"/>
        <w:jc w:val="left"/>
        <w:rPr>
          <w:rFonts w:ascii="宋体" w:cs="宋体"/>
          <w:b/>
          <w:color w:val="auto"/>
          <w:sz w:val="32"/>
          <w:highlight w:val="none"/>
        </w:rPr>
      </w:pPr>
    </w:p>
    <w:p w14:paraId="461FEDA6">
      <w:pPr>
        <w:jc w:val="center"/>
        <w:rPr>
          <w:rFonts w:ascii="宋体" w:cs="宋体"/>
          <w:b/>
          <w:color w:val="auto"/>
          <w:sz w:val="24"/>
          <w:highlight w:val="none"/>
        </w:rPr>
      </w:pPr>
      <w:r>
        <w:rPr>
          <w:rFonts w:hint="eastAsia" w:ascii="宋体" w:cs="宋体"/>
          <w:b/>
          <w:color w:val="auto"/>
          <w:sz w:val="24"/>
          <w:highlight w:val="none"/>
        </w:rPr>
        <w:t>商务要求响应及偏离表（采购包号：    ）</w:t>
      </w:r>
    </w:p>
    <w:tbl>
      <w:tblPr>
        <w:tblStyle w:val="32"/>
        <w:tblW w:w="84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063"/>
        <w:gridCol w:w="2508"/>
        <w:gridCol w:w="2324"/>
      </w:tblGrid>
      <w:tr w14:paraId="656576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ign w:val="center"/>
          </w:tcPr>
          <w:p w14:paraId="44A95ACF">
            <w:pPr>
              <w:spacing w:line="400" w:lineRule="exact"/>
              <w:jc w:val="center"/>
              <w:rPr>
                <w:rFonts w:ascii="宋体" w:cs="宋体"/>
                <w:color w:val="auto"/>
                <w:sz w:val="24"/>
                <w:highlight w:val="none"/>
              </w:rPr>
            </w:pPr>
            <w:r>
              <w:rPr>
                <w:rFonts w:hint="eastAsia" w:ascii="宋体" w:cs="宋体"/>
                <w:color w:val="auto"/>
                <w:sz w:val="24"/>
                <w:highlight w:val="none"/>
              </w:rPr>
              <w:t>序号</w:t>
            </w:r>
          </w:p>
        </w:tc>
        <w:tc>
          <w:tcPr>
            <w:tcW w:w="3063" w:type="dxa"/>
            <w:noWrap/>
            <w:vAlign w:val="center"/>
          </w:tcPr>
          <w:p w14:paraId="19BF8133">
            <w:pPr>
              <w:spacing w:line="400" w:lineRule="exact"/>
              <w:jc w:val="center"/>
              <w:rPr>
                <w:rFonts w:ascii="宋体" w:cs="宋体"/>
                <w:color w:val="auto"/>
                <w:sz w:val="24"/>
                <w:highlight w:val="none"/>
              </w:rPr>
            </w:pPr>
            <w:r>
              <w:rPr>
                <w:rFonts w:hint="eastAsia" w:ascii="宋体" w:cs="宋体"/>
                <w:color w:val="auto"/>
                <w:sz w:val="24"/>
                <w:highlight w:val="none"/>
              </w:rPr>
              <w:t>商务要求</w:t>
            </w:r>
          </w:p>
        </w:tc>
        <w:tc>
          <w:tcPr>
            <w:tcW w:w="2508" w:type="dxa"/>
            <w:noWrap/>
            <w:vAlign w:val="center"/>
          </w:tcPr>
          <w:p w14:paraId="56AE1175">
            <w:pPr>
              <w:spacing w:line="400" w:lineRule="exact"/>
              <w:jc w:val="center"/>
              <w:rPr>
                <w:rFonts w:ascii="宋体" w:cs="宋体"/>
                <w:color w:val="auto"/>
                <w:sz w:val="24"/>
                <w:highlight w:val="none"/>
              </w:rPr>
            </w:pPr>
            <w:r>
              <w:rPr>
                <w:rFonts w:hint="eastAsia" w:ascii="宋体" w:cs="宋体"/>
                <w:color w:val="auto"/>
                <w:sz w:val="24"/>
                <w:highlight w:val="none"/>
              </w:rPr>
              <w:t>投标响应情况</w:t>
            </w:r>
          </w:p>
        </w:tc>
        <w:tc>
          <w:tcPr>
            <w:tcW w:w="2324" w:type="dxa"/>
            <w:noWrap/>
            <w:vAlign w:val="center"/>
          </w:tcPr>
          <w:p w14:paraId="113CFB24">
            <w:pPr>
              <w:spacing w:line="400" w:lineRule="exact"/>
              <w:jc w:val="center"/>
              <w:rPr>
                <w:rFonts w:ascii="宋体" w:cs="宋体"/>
                <w:color w:val="auto"/>
                <w:sz w:val="24"/>
                <w:highlight w:val="none"/>
              </w:rPr>
            </w:pPr>
            <w:r>
              <w:rPr>
                <w:rFonts w:hint="eastAsia" w:ascii="宋体" w:cs="宋体"/>
                <w:color w:val="auto"/>
                <w:sz w:val="24"/>
                <w:highlight w:val="none"/>
              </w:rPr>
              <w:t>超出、符合或偏离</w:t>
            </w:r>
          </w:p>
        </w:tc>
      </w:tr>
      <w:tr w14:paraId="692147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tcPr>
          <w:p w14:paraId="33C3CF13">
            <w:pPr>
              <w:spacing w:line="400" w:lineRule="exact"/>
              <w:jc w:val="center"/>
              <w:rPr>
                <w:rFonts w:ascii="宋体" w:cs="宋体"/>
                <w:color w:val="auto"/>
                <w:sz w:val="24"/>
                <w:highlight w:val="none"/>
              </w:rPr>
            </w:pPr>
            <w:r>
              <w:rPr>
                <w:rFonts w:hint="eastAsia" w:ascii="宋体" w:cs="宋体"/>
                <w:color w:val="auto"/>
                <w:sz w:val="24"/>
                <w:highlight w:val="none"/>
              </w:rPr>
              <w:t>1</w:t>
            </w:r>
          </w:p>
        </w:tc>
        <w:tc>
          <w:tcPr>
            <w:tcW w:w="3063" w:type="dxa"/>
            <w:noWrap/>
          </w:tcPr>
          <w:p w14:paraId="19C03204">
            <w:pPr>
              <w:spacing w:line="400" w:lineRule="exact"/>
              <w:jc w:val="center"/>
              <w:rPr>
                <w:rFonts w:ascii="宋体" w:cs="宋体"/>
                <w:color w:val="auto"/>
                <w:sz w:val="24"/>
                <w:highlight w:val="none"/>
              </w:rPr>
            </w:pPr>
          </w:p>
        </w:tc>
        <w:tc>
          <w:tcPr>
            <w:tcW w:w="2508" w:type="dxa"/>
            <w:noWrap/>
          </w:tcPr>
          <w:p w14:paraId="30E3E9C2">
            <w:pPr>
              <w:spacing w:line="400" w:lineRule="exact"/>
              <w:jc w:val="center"/>
              <w:rPr>
                <w:rFonts w:ascii="宋体" w:cs="宋体"/>
                <w:color w:val="auto"/>
                <w:sz w:val="24"/>
                <w:highlight w:val="none"/>
              </w:rPr>
            </w:pPr>
          </w:p>
        </w:tc>
        <w:tc>
          <w:tcPr>
            <w:tcW w:w="2324" w:type="dxa"/>
            <w:noWrap/>
          </w:tcPr>
          <w:p w14:paraId="50785B8B">
            <w:pPr>
              <w:spacing w:line="400" w:lineRule="exact"/>
              <w:jc w:val="center"/>
              <w:rPr>
                <w:rFonts w:ascii="宋体" w:cs="宋体"/>
                <w:color w:val="auto"/>
                <w:sz w:val="24"/>
                <w:highlight w:val="none"/>
              </w:rPr>
            </w:pPr>
          </w:p>
        </w:tc>
      </w:tr>
      <w:tr w14:paraId="618C68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tcPr>
          <w:p w14:paraId="12531FF8">
            <w:pPr>
              <w:spacing w:line="400" w:lineRule="exact"/>
              <w:jc w:val="center"/>
              <w:rPr>
                <w:rFonts w:ascii="宋体" w:cs="宋体"/>
                <w:color w:val="auto"/>
                <w:sz w:val="24"/>
                <w:highlight w:val="none"/>
              </w:rPr>
            </w:pPr>
          </w:p>
        </w:tc>
        <w:tc>
          <w:tcPr>
            <w:tcW w:w="3063" w:type="dxa"/>
            <w:noWrap/>
          </w:tcPr>
          <w:p w14:paraId="5AD8E078">
            <w:pPr>
              <w:spacing w:line="400" w:lineRule="exact"/>
              <w:jc w:val="center"/>
              <w:rPr>
                <w:rFonts w:ascii="宋体" w:cs="宋体"/>
                <w:color w:val="auto"/>
                <w:sz w:val="24"/>
                <w:highlight w:val="none"/>
              </w:rPr>
            </w:pPr>
            <w:r>
              <w:rPr>
                <w:rFonts w:hint="eastAsia" w:ascii="宋体" w:cs="宋体"/>
                <w:color w:val="auto"/>
                <w:sz w:val="24"/>
                <w:highlight w:val="none"/>
              </w:rPr>
              <w:t>……</w:t>
            </w:r>
          </w:p>
        </w:tc>
        <w:tc>
          <w:tcPr>
            <w:tcW w:w="2508" w:type="dxa"/>
            <w:noWrap/>
          </w:tcPr>
          <w:p w14:paraId="48E23BD0">
            <w:pPr>
              <w:spacing w:line="400" w:lineRule="exact"/>
              <w:jc w:val="center"/>
              <w:rPr>
                <w:rFonts w:ascii="宋体" w:cs="宋体"/>
                <w:color w:val="auto"/>
                <w:sz w:val="24"/>
                <w:highlight w:val="none"/>
              </w:rPr>
            </w:pPr>
          </w:p>
        </w:tc>
        <w:tc>
          <w:tcPr>
            <w:tcW w:w="2324" w:type="dxa"/>
            <w:noWrap/>
          </w:tcPr>
          <w:p w14:paraId="44AF315E">
            <w:pPr>
              <w:spacing w:line="400" w:lineRule="exact"/>
              <w:jc w:val="center"/>
              <w:rPr>
                <w:rFonts w:ascii="宋体" w:cs="宋体"/>
                <w:color w:val="auto"/>
                <w:sz w:val="24"/>
                <w:highlight w:val="none"/>
              </w:rPr>
            </w:pPr>
          </w:p>
        </w:tc>
      </w:tr>
    </w:tbl>
    <w:p w14:paraId="4D3CD4D9">
      <w:pPr>
        <w:spacing w:line="400" w:lineRule="exact"/>
        <w:rPr>
          <w:rFonts w:ascii="宋体" w:cs="宋体"/>
          <w:color w:val="auto"/>
          <w:sz w:val="24"/>
          <w:highlight w:val="none"/>
        </w:rPr>
      </w:pPr>
      <w:r>
        <w:rPr>
          <w:rFonts w:hint="eastAsia" w:ascii="宋体" w:cs="宋体"/>
          <w:color w:val="auto"/>
          <w:sz w:val="24"/>
          <w:highlight w:val="none"/>
        </w:rPr>
        <w:t>附件  证明材料1，证明材料2，……</w:t>
      </w:r>
    </w:p>
    <w:p w14:paraId="0E7A864B">
      <w:pPr>
        <w:spacing w:line="400" w:lineRule="exact"/>
        <w:rPr>
          <w:rFonts w:ascii="宋体" w:cs="宋体"/>
          <w:color w:val="auto"/>
          <w:sz w:val="24"/>
          <w:highlight w:val="none"/>
        </w:rPr>
      </w:pPr>
    </w:p>
    <w:p w14:paraId="0B8BD505">
      <w:pPr>
        <w:spacing w:line="400" w:lineRule="exact"/>
        <w:rPr>
          <w:rFonts w:ascii="宋体" w:cs="宋体"/>
          <w:color w:val="auto"/>
          <w:sz w:val="24"/>
          <w:highlight w:val="none"/>
        </w:rPr>
      </w:pPr>
      <w:r>
        <w:rPr>
          <w:rFonts w:hint="eastAsia" w:ascii="宋体" w:cs="宋体"/>
          <w:color w:val="auto"/>
          <w:sz w:val="24"/>
          <w:highlight w:val="none"/>
        </w:rPr>
        <w:t>备注：</w:t>
      </w:r>
    </w:p>
    <w:p w14:paraId="483C33E2">
      <w:pPr>
        <w:spacing w:line="400" w:lineRule="exact"/>
        <w:rPr>
          <w:rFonts w:ascii="宋体" w:cs="宋体"/>
          <w:color w:val="auto"/>
          <w:sz w:val="24"/>
          <w:highlight w:val="none"/>
        </w:rPr>
      </w:pPr>
      <w:r>
        <w:rPr>
          <w:rFonts w:hint="eastAsia" w:ascii="宋体" w:cs="宋体"/>
          <w:color w:val="auto"/>
          <w:sz w:val="24"/>
          <w:highlight w:val="none"/>
        </w:rPr>
        <w:t>1.投标人需对商务要求（</w:t>
      </w:r>
      <w:r>
        <w:rPr>
          <w:rFonts w:hint="eastAsia" w:ascii="宋体" w:cs="宋体"/>
          <w:iCs/>
          <w:color w:val="auto"/>
          <w:sz w:val="24"/>
          <w:highlight w:val="none"/>
          <w:u w:val="single"/>
        </w:rPr>
        <w:t>未打“★”内容</w:t>
      </w:r>
      <w:r>
        <w:rPr>
          <w:rFonts w:hint="eastAsia" w:ascii="宋体" w:cs="宋体"/>
          <w:color w:val="auto"/>
          <w:sz w:val="24"/>
          <w:highlight w:val="none"/>
        </w:rPr>
        <w:t>）逐条做出明确响应。</w:t>
      </w:r>
    </w:p>
    <w:p w14:paraId="3F436033">
      <w:pPr>
        <w:spacing w:line="400" w:lineRule="exact"/>
        <w:rPr>
          <w:rFonts w:ascii="Times New Roman" w:hAnsi="Times New Roman"/>
          <w:color w:val="auto"/>
          <w:sz w:val="24"/>
          <w:szCs w:val="21"/>
          <w:highlight w:val="none"/>
        </w:rPr>
      </w:pPr>
      <w:r>
        <w:rPr>
          <w:rFonts w:hint="eastAsia" w:ascii="宋体" w:cs="宋体"/>
          <w:color w:val="auto"/>
          <w:sz w:val="24"/>
          <w:highlight w:val="none"/>
        </w:rPr>
        <w:t>2.如果招标文件要求提供证明材料，投标人需将证明材料列于该表之下。</w:t>
      </w:r>
    </w:p>
    <w:p w14:paraId="4CDC4DF9">
      <w:pPr>
        <w:rPr>
          <w:rFonts w:ascii="宋体" w:hAnsi="宋体" w:cs="宋体"/>
          <w:color w:val="auto"/>
          <w:highlight w:val="none"/>
        </w:rPr>
      </w:pPr>
      <w:r>
        <w:rPr>
          <w:rFonts w:hint="eastAsia" w:ascii="宋体" w:hAnsi="宋体" w:cs="宋体"/>
          <w:bCs/>
          <w:color w:val="auto"/>
          <w:highlight w:val="none"/>
        </w:rPr>
        <w:br w:type="page" w:clear="all"/>
      </w:r>
    </w:p>
    <w:p w14:paraId="7B1F2522">
      <w:pPr>
        <w:pStyle w:val="67"/>
        <w:rPr>
          <w:rFonts w:ascii="宋体" w:hAnsi="宋体" w:eastAsia="宋体" w:cs="宋体"/>
          <w:color w:val="auto"/>
          <w:highlight w:val="none"/>
        </w:rPr>
      </w:pPr>
      <w:bookmarkStart w:id="164" w:name="_Toc15871"/>
      <w:bookmarkStart w:id="165" w:name="_Toc25337"/>
      <w:r>
        <w:rPr>
          <w:rFonts w:hint="eastAsia" w:ascii="宋体" w:hAnsi="宋体" w:eastAsia="宋体" w:cs="宋体"/>
          <w:bCs/>
          <w:color w:val="auto"/>
          <w:highlight w:val="none"/>
        </w:rPr>
        <w:t>九、项目组人员</w:t>
      </w:r>
    </w:p>
    <w:tbl>
      <w:tblPr>
        <w:tblStyle w:val="32"/>
        <w:tblpPr w:leftFromText="180" w:rightFromText="180" w:vertAnchor="text" w:horzAnchor="margin" w:tblpXSpec="center" w:tblpY="7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843"/>
        <w:gridCol w:w="992"/>
        <w:gridCol w:w="1984"/>
        <w:gridCol w:w="1702"/>
        <w:gridCol w:w="962"/>
      </w:tblGrid>
      <w:tr w14:paraId="57FF36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959" w:type="dxa"/>
            <w:noWrap w:val="0"/>
            <w:vAlign w:val="center"/>
          </w:tcPr>
          <w:p w14:paraId="40EE520C">
            <w:pPr>
              <w:pStyle w:val="446"/>
              <w:widowControl/>
              <w:spacing w:beforeAutospacing="1" w:line="560" w:lineRule="exact"/>
              <w:jc w:val="center"/>
              <w:rPr>
                <w:rFonts w:ascii="宋体" w:hAnsi="宋体" w:cs="仿宋"/>
                <w:color w:val="auto"/>
                <w:sz w:val="28"/>
                <w:szCs w:val="28"/>
                <w:highlight w:val="none"/>
              </w:rPr>
            </w:pPr>
            <w:r>
              <w:rPr>
                <w:rFonts w:hint="eastAsia" w:ascii="宋体" w:hAnsi="宋体" w:cs="仿宋"/>
                <w:color w:val="auto"/>
                <w:sz w:val="28"/>
                <w:szCs w:val="28"/>
                <w:highlight w:val="none"/>
              </w:rPr>
              <w:t>姓名</w:t>
            </w:r>
          </w:p>
        </w:tc>
        <w:tc>
          <w:tcPr>
            <w:tcW w:w="1843" w:type="dxa"/>
            <w:noWrap w:val="0"/>
            <w:vAlign w:val="center"/>
          </w:tcPr>
          <w:p w14:paraId="4488079D">
            <w:pPr>
              <w:pStyle w:val="446"/>
              <w:widowControl/>
              <w:spacing w:beforeAutospacing="1" w:line="560" w:lineRule="exact"/>
              <w:jc w:val="center"/>
              <w:rPr>
                <w:rFonts w:ascii="宋体" w:hAnsi="宋体" w:cs="仿宋"/>
                <w:color w:val="auto"/>
                <w:sz w:val="28"/>
                <w:szCs w:val="28"/>
                <w:highlight w:val="none"/>
              </w:rPr>
            </w:pPr>
            <w:r>
              <w:rPr>
                <w:rFonts w:hint="eastAsia" w:ascii="宋体" w:hAnsi="宋体" w:cs="仿宋"/>
                <w:color w:val="auto"/>
                <w:sz w:val="28"/>
                <w:szCs w:val="28"/>
                <w:highlight w:val="none"/>
              </w:rPr>
              <w:t>职务</w:t>
            </w:r>
          </w:p>
        </w:tc>
        <w:tc>
          <w:tcPr>
            <w:tcW w:w="992" w:type="dxa"/>
            <w:noWrap w:val="0"/>
            <w:vAlign w:val="center"/>
          </w:tcPr>
          <w:p w14:paraId="01BD732F">
            <w:pPr>
              <w:pStyle w:val="446"/>
              <w:widowControl/>
              <w:spacing w:beforeAutospacing="1" w:line="560" w:lineRule="exact"/>
              <w:jc w:val="center"/>
              <w:rPr>
                <w:rFonts w:ascii="宋体" w:hAnsi="宋体" w:cs="仿宋"/>
                <w:color w:val="auto"/>
                <w:sz w:val="28"/>
                <w:szCs w:val="28"/>
                <w:highlight w:val="none"/>
              </w:rPr>
            </w:pPr>
            <w:r>
              <w:rPr>
                <w:rFonts w:hint="eastAsia" w:ascii="宋体" w:hAnsi="宋体" w:cs="仿宋"/>
                <w:color w:val="auto"/>
                <w:sz w:val="28"/>
                <w:szCs w:val="28"/>
                <w:highlight w:val="none"/>
              </w:rPr>
              <w:t>学历</w:t>
            </w:r>
          </w:p>
        </w:tc>
        <w:tc>
          <w:tcPr>
            <w:tcW w:w="1984" w:type="dxa"/>
            <w:noWrap w:val="0"/>
            <w:vAlign w:val="center"/>
          </w:tcPr>
          <w:p w14:paraId="0CCDC68C">
            <w:pPr>
              <w:pStyle w:val="446"/>
              <w:widowControl/>
              <w:spacing w:beforeAutospacing="1" w:line="560" w:lineRule="exact"/>
              <w:ind w:firstLine="280"/>
              <w:rPr>
                <w:rFonts w:ascii="宋体" w:hAnsi="宋体" w:cs="仿宋"/>
                <w:color w:val="auto"/>
                <w:sz w:val="28"/>
                <w:szCs w:val="28"/>
                <w:highlight w:val="none"/>
              </w:rPr>
            </w:pPr>
            <w:r>
              <w:rPr>
                <w:rFonts w:hint="eastAsia" w:ascii="宋体" w:hAnsi="宋体" w:cs="仿宋"/>
                <w:color w:val="auto"/>
                <w:sz w:val="28"/>
                <w:szCs w:val="28"/>
                <w:highlight w:val="none"/>
              </w:rPr>
              <w:t>身份证号</w:t>
            </w:r>
          </w:p>
        </w:tc>
        <w:tc>
          <w:tcPr>
            <w:tcW w:w="1702" w:type="dxa"/>
            <w:noWrap w:val="0"/>
            <w:vAlign w:val="center"/>
          </w:tcPr>
          <w:p w14:paraId="5DED83F2">
            <w:pPr>
              <w:pStyle w:val="446"/>
              <w:widowControl/>
              <w:spacing w:beforeAutospacing="1" w:line="560" w:lineRule="exact"/>
              <w:jc w:val="center"/>
              <w:rPr>
                <w:rFonts w:ascii="宋体" w:hAnsi="宋体" w:cs="仿宋"/>
                <w:color w:val="auto"/>
                <w:sz w:val="28"/>
                <w:szCs w:val="28"/>
                <w:highlight w:val="none"/>
              </w:rPr>
            </w:pPr>
            <w:r>
              <w:rPr>
                <w:rFonts w:hint="eastAsia" w:ascii="宋体" w:hAnsi="宋体" w:cs="仿宋"/>
                <w:color w:val="auto"/>
                <w:sz w:val="28"/>
                <w:szCs w:val="28"/>
                <w:highlight w:val="none"/>
              </w:rPr>
              <w:t>相关证书</w:t>
            </w:r>
          </w:p>
        </w:tc>
        <w:tc>
          <w:tcPr>
            <w:tcW w:w="962" w:type="dxa"/>
            <w:noWrap w:val="0"/>
            <w:vAlign w:val="center"/>
          </w:tcPr>
          <w:p w14:paraId="72F7AFCD">
            <w:pPr>
              <w:pStyle w:val="446"/>
              <w:widowControl/>
              <w:spacing w:beforeAutospacing="1" w:line="560" w:lineRule="exact"/>
              <w:rPr>
                <w:rFonts w:ascii="宋体" w:hAnsi="宋体" w:cs="仿宋"/>
                <w:color w:val="auto"/>
                <w:sz w:val="28"/>
                <w:szCs w:val="28"/>
                <w:highlight w:val="none"/>
              </w:rPr>
            </w:pPr>
            <w:r>
              <w:rPr>
                <w:rFonts w:hint="eastAsia" w:ascii="宋体" w:hAnsi="宋体" w:cs="仿宋"/>
                <w:color w:val="auto"/>
                <w:sz w:val="28"/>
                <w:szCs w:val="28"/>
                <w:highlight w:val="none"/>
              </w:rPr>
              <w:t>备注</w:t>
            </w:r>
          </w:p>
        </w:tc>
      </w:tr>
      <w:tr w14:paraId="7AFBFD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5DBE27FA">
            <w:pPr>
              <w:pStyle w:val="446"/>
              <w:widowControl/>
              <w:spacing w:line="560" w:lineRule="exact"/>
              <w:ind w:firstLine="560"/>
              <w:jc w:val="center"/>
              <w:rPr>
                <w:rFonts w:ascii="仿宋" w:hAnsi="仿宋" w:eastAsia="仿宋" w:cs="仿宋"/>
                <w:color w:val="auto"/>
                <w:sz w:val="28"/>
                <w:szCs w:val="28"/>
                <w:highlight w:val="none"/>
              </w:rPr>
            </w:pPr>
          </w:p>
        </w:tc>
        <w:tc>
          <w:tcPr>
            <w:tcW w:w="1843" w:type="dxa"/>
            <w:noWrap w:val="0"/>
            <w:vAlign w:val="center"/>
          </w:tcPr>
          <w:p w14:paraId="4859E9AB">
            <w:pPr>
              <w:pStyle w:val="505"/>
              <w:jc w:val="center"/>
              <w:rPr>
                <w:rFonts w:ascii="仿宋" w:hAnsi="仿宋" w:eastAsia="仿宋" w:cs="仿宋"/>
                <w:color w:val="auto"/>
                <w:sz w:val="20"/>
                <w:szCs w:val="20"/>
                <w:highlight w:val="none"/>
              </w:rPr>
            </w:pPr>
          </w:p>
        </w:tc>
        <w:tc>
          <w:tcPr>
            <w:tcW w:w="992" w:type="dxa"/>
            <w:noWrap w:val="0"/>
            <w:vAlign w:val="center"/>
          </w:tcPr>
          <w:p w14:paraId="15A074B3">
            <w:pPr>
              <w:pStyle w:val="446"/>
              <w:widowControl/>
              <w:spacing w:line="560" w:lineRule="exact"/>
              <w:ind w:firstLine="560"/>
              <w:jc w:val="center"/>
              <w:rPr>
                <w:rFonts w:ascii="仿宋" w:hAnsi="仿宋" w:eastAsia="仿宋" w:cs="仿宋"/>
                <w:color w:val="auto"/>
                <w:sz w:val="28"/>
                <w:szCs w:val="28"/>
                <w:highlight w:val="none"/>
              </w:rPr>
            </w:pPr>
          </w:p>
        </w:tc>
        <w:tc>
          <w:tcPr>
            <w:tcW w:w="1984" w:type="dxa"/>
            <w:noWrap w:val="0"/>
            <w:vAlign w:val="center"/>
          </w:tcPr>
          <w:p w14:paraId="0615C518">
            <w:pPr>
              <w:pStyle w:val="446"/>
              <w:widowControl/>
              <w:spacing w:line="560" w:lineRule="exact"/>
              <w:ind w:firstLine="560"/>
              <w:jc w:val="center"/>
              <w:rPr>
                <w:rFonts w:ascii="仿宋" w:hAnsi="仿宋" w:eastAsia="仿宋" w:cs="仿宋"/>
                <w:color w:val="auto"/>
                <w:sz w:val="28"/>
                <w:szCs w:val="28"/>
                <w:highlight w:val="none"/>
              </w:rPr>
            </w:pPr>
          </w:p>
        </w:tc>
        <w:tc>
          <w:tcPr>
            <w:tcW w:w="1702" w:type="dxa"/>
            <w:noWrap w:val="0"/>
            <w:vAlign w:val="center"/>
          </w:tcPr>
          <w:p w14:paraId="3F3E4905">
            <w:pPr>
              <w:pStyle w:val="446"/>
              <w:widowControl/>
              <w:spacing w:line="560" w:lineRule="exact"/>
              <w:ind w:firstLine="560"/>
              <w:jc w:val="center"/>
              <w:rPr>
                <w:rFonts w:ascii="仿宋" w:hAnsi="仿宋" w:eastAsia="仿宋" w:cs="仿宋"/>
                <w:color w:val="auto"/>
                <w:sz w:val="28"/>
                <w:szCs w:val="28"/>
                <w:highlight w:val="none"/>
              </w:rPr>
            </w:pPr>
          </w:p>
        </w:tc>
        <w:tc>
          <w:tcPr>
            <w:tcW w:w="962" w:type="dxa"/>
            <w:noWrap w:val="0"/>
            <w:vAlign w:val="center"/>
          </w:tcPr>
          <w:p w14:paraId="77675BD2">
            <w:pPr>
              <w:pStyle w:val="446"/>
              <w:widowControl/>
              <w:spacing w:line="560" w:lineRule="exact"/>
              <w:ind w:firstLine="560"/>
              <w:jc w:val="center"/>
              <w:rPr>
                <w:rFonts w:ascii="仿宋" w:hAnsi="仿宋" w:eastAsia="仿宋" w:cs="仿宋"/>
                <w:color w:val="auto"/>
                <w:sz w:val="28"/>
                <w:szCs w:val="28"/>
                <w:highlight w:val="none"/>
              </w:rPr>
            </w:pPr>
          </w:p>
        </w:tc>
      </w:tr>
      <w:tr w14:paraId="779E38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79E2FB69">
            <w:pPr>
              <w:pStyle w:val="446"/>
              <w:widowControl/>
              <w:spacing w:line="560" w:lineRule="exact"/>
              <w:ind w:firstLine="560"/>
              <w:jc w:val="center"/>
              <w:rPr>
                <w:rFonts w:ascii="仿宋" w:hAnsi="仿宋" w:eastAsia="仿宋" w:cs="仿宋"/>
                <w:color w:val="auto"/>
                <w:sz w:val="28"/>
                <w:szCs w:val="28"/>
                <w:highlight w:val="none"/>
              </w:rPr>
            </w:pPr>
          </w:p>
        </w:tc>
        <w:tc>
          <w:tcPr>
            <w:tcW w:w="1843" w:type="dxa"/>
            <w:noWrap w:val="0"/>
            <w:vAlign w:val="center"/>
          </w:tcPr>
          <w:p w14:paraId="727EEBC5">
            <w:pPr>
              <w:pStyle w:val="505"/>
              <w:jc w:val="center"/>
              <w:rPr>
                <w:rFonts w:ascii="仿宋" w:hAnsi="仿宋" w:eastAsia="仿宋" w:cs="仿宋"/>
                <w:color w:val="auto"/>
                <w:sz w:val="20"/>
                <w:szCs w:val="20"/>
                <w:highlight w:val="none"/>
              </w:rPr>
            </w:pPr>
          </w:p>
        </w:tc>
        <w:tc>
          <w:tcPr>
            <w:tcW w:w="992" w:type="dxa"/>
            <w:noWrap w:val="0"/>
            <w:vAlign w:val="center"/>
          </w:tcPr>
          <w:p w14:paraId="3CFC7C4B">
            <w:pPr>
              <w:pStyle w:val="446"/>
              <w:widowControl/>
              <w:spacing w:line="560" w:lineRule="exact"/>
              <w:ind w:firstLine="560"/>
              <w:jc w:val="center"/>
              <w:rPr>
                <w:rFonts w:ascii="仿宋" w:hAnsi="仿宋" w:eastAsia="仿宋" w:cs="仿宋"/>
                <w:color w:val="auto"/>
                <w:sz w:val="28"/>
                <w:szCs w:val="28"/>
                <w:highlight w:val="none"/>
              </w:rPr>
            </w:pPr>
          </w:p>
        </w:tc>
        <w:tc>
          <w:tcPr>
            <w:tcW w:w="1984" w:type="dxa"/>
            <w:noWrap w:val="0"/>
            <w:vAlign w:val="center"/>
          </w:tcPr>
          <w:p w14:paraId="692E6C86">
            <w:pPr>
              <w:pStyle w:val="446"/>
              <w:widowControl/>
              <w:spacing w:line="560" w:lineRule="exact"/>
              <w:ind w:firstLine="560"/>
              <w:jc w:val="center"/>
              <w:rPr>
                <w:rFonts w:ascii="仿宋" w:hAnsi="仿宋" w:eastAsia="仿宋" w:cs="仿宋"/>
                <w:color w:val="auto"/>
                <w:sz w:val="28"/>
                <w:szCs w:val="28"/>
                <w:highlight w:val="none"/>
              </w:rPr>
            </w:pPr>
          </w:p>
        </w:tc>
        <w:tc>
          <w:tcPr>
            <w:tcW w:w="1702" w:type="dxa"/>
            <w:noWrap w:val="0"/>
            <w:vAlign w:val="center"/>
          </w:tcPr>
          <w:p w14:paraId="503ACA53">
            <w:pPr>
              <w:pStyle w:val="446"/>
              <w:widowControl/>
              <w:spacing w:line="560" w:lineRule="exact"/>
              <w:ind w:firstLine="560"/>
              <w:jc w:val="center"/>
              <w:rPr>
                <w:rFonts w:ascii="仿宋" w:hAnsi="仿宋" w:eastAsia="仿宋" w:cs="仿宋"/>
                <w:color w:val="auto"/>
                <w:sz w:val="28"/>
                <w:szCs w:val="28"/>
                <w:highlight w:val="none"/>
              </w:rPr>
            </w:pPr>
          </w:p>
        </w:tc>
        <w:tc>
          <w:tcPr>
            <w:tcW w:w="962" w:type="dxa"/>
            <w:noWrap w:val="0"/>
            <w:vAlign w:val="center"/>
          </w:tcPr>
          <w:p w14:paraId="2C678E5B">
            <w:pPr>
              <w:pStyle w:val="446"/>
              <w:widowControl/>
              <w:spacing w:line="560" w:lineRule="exact"/>
              <w:ind w:firstLine="560"/>
              <w:jc w:val="center"/>
              <w:rPr>
                <w:rFonts w:ascii="仿宋" w:hAnsi="仿宋" w:eastAsia="仿宋" w:cs="仿宋"/>
                <w:color w:val="auto"/>
                <w:sz w:val="28"/>
                <w:szCs w:val="28"/>
                <w:highlight w:val="none"/>
              </w:rPr>
            </w:pPr>
          </w:p>
        </w:tc>
      </w:tr>
      <w:tr w14:paraId="11BB34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3B18A6DB">
            <w:pPr>
              <w:pStyle w:val="446"/>
              <w:widowControl/>
              <w:spacing w:line="560" w:lineRule="exact"/>
              <w:ind w:firstLine="560"/>
              <w:jc w:val="center"/>
              <w:rPr>
                <w:rFonts w:ascii="仿宋" w:hAnsi="仿宋" w:eastAsia="仿宋" w:cs="仿宋"/>
                <w:color w:val="auto"/>
                <w:sz w:val="28"/>
                <w:szCs w:val="28"/>
                <w:highlight w:val="none"/>
              </w:rPr>
            </w:pPr>
          </w:p>
        </w:tc>
        <w:tc>
          <w:tcPr>
            <w:tcW w:w="1843" w:type="dxa"/>
            <w:noWrap w:val="0"/>
            <w:vAlign w:val="center"/>
          </w:tcPr>
          <w:p w14:paraId="35E21282">
            <w:pPr>
              <w:pStyle w:val="505"/>
              <w:jc w:val="center"/>
              <w:rPr>
                <w:rFonts w:ascii="仿宋" w:hAnsi="仿宋" w:eastAsia="仿宋" w:cs="仿宋"/>
                <w:color w:val="auto"/>
                <w:sz w:val="20"/>
                <w:szCs w:val="20"/>
                <w:highlight w:val="none"/>
              </w:rPr>
            </w:pPr>
          </w:p>
        </w:tc>
        <w:tc>
          <w:tcPr>
            <w:tcW w:w="992" w:type="dxa"/>
            <w:noWrap w:val="0"/>
            <w:vAlign w:val="center"/>
          </w:tcPr>
          <w:p w14:paraId="14A331F0">
            <w:pPr>
              <w:pStyle w:val="446"/>
              <w:widowControl/>
              <w:spacing w:line="560" w:lineRule="exact"/>
              <w:ind w:firstLine="560"/>
              <w:jc w:val="center"/>
              <w:rPr>
                <w:rFonts w:ascii="仿宋" w:hAnsi="仿宋" w:eastAsia="仿宋" w:cs="仿宋"/>
                <w:color w:val="auto"/>
                <w:sz w:val="28"/>
                <w:szCs w:val="28"/>
                <w:highlight w:val="none"/>
              </w:rPr>
            </w:pPr>
          </w:p>
        </w:tc>
        <w:tc>
          <w:tcPr>
            <w:tcW w:w="1984" w:type="dxa"/>
            <w:noWrap w:val="0"/>
            <w:vAlign w:val="center"/>
          </w:tcPr>
          <w:p w14:paraId="3357CFDA">
            <w:pPr>
              <w:pStyle w:val="446"/>
              <w:widowControl/>
              <w:spacing w:line="560" w:lineRule="exact"/>
              <w:ind w:firstLine="560"/>
              <w:jc w:val="center"/>
              <w:rPr>
                <w:rFonts w:ascii="仿宋" w:hAnsi="仿宋" w:eastAsia="仿宋" w:cs="仿宋"/>
                <w:color w:val="auto"/>
                <w:sz w:val="28"/>
                <w:szCs w:val="28"/>
                <w:highlight w:val="none"/>
              </w:rPr>
            </w:pPr>
          </w:p>
        </w:tc>
        <w:tc>
          <w:tcPr>
            <w:tcW w:w="1702" w:type="dxa"/>
            <w:noWrap w:val="0"/>
            <w:vAlign w:val="center"/>
          </w:tcPr>
          <w:p w14:paraId="7FA042D1">
            <w:pPr>
              <w:pStyle w:val="446"/>
              <w:widowControl/>
              <w:spacing w:line="560" w:lineRule="exact"/>
              <w:ind w:firstLine="560"/>
              <w:jc w:val="center"/>
              <w:rPr>
                <w:rFonts w:ascii="仿宋" w:hAnsi="仿宋" w:eastAsia="仿宋" w:cs="仿宋"/>
                <w:color w:val="auto"/>
                <w:sz w:val="28"/>
                <w:szCs w:val="28"/>
                <w:highlight w:val="none"/>
              </w:rPr>
            </w:pPr>
          </w:p>
        </w:tc>
        <w:tc>
          <w:tcPr>
            <w:tcW w:w="962" w:type="dxa"/>
            <w:noWrap w:val="0"/>
            <w:vAlign w:val="center"/>
          </w:tcPr>
          <w:p w14:paraId="6F6F07FA">
            <w:pPr>
              <w:pStyle w:val="446"/>
              <w:widowControl/>
              <w:spacing w:line="560" w:lineRule="exact"/>
              <w:ind w:firstLine="560"/>
              <w:jc w:val="center"/>
              <w:rPr>
                <w:rFonts w:ascii="仿宋" w:hAnsi="仿宋" w:eastAsia="仿宋" w:cs="仿宋"/>
                <w:color w:val="auto"/>
                <w:sz w:val="28"/>
                <w:szCs w:val="28"/>
                <w:highlight w:val="none"/>
              </w:rPr>
            </w:pPr>
          </w:p>
        </w:tc>
      </w:tr>
      <w:tr w14:paraId="5932D9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73367F07">
            <w:pPr>
              <w:pStyle w:val="446"/>
              <w:widowControl/>
              <w:spacing w:line="560" w:lineRule="exact"/>
              <w:ind w:firstLine="560"/>
              <w:jc w:val="center"/>
              <w:rPr>
                <w:rFonts w:ascii="仿宋" w:hAnsi="仿宋" w:eastAsia="仿宋" w:cs="仿宋"/>
                <w:color w:val="auto"/>
                <w:sz w:val="28"/>
                <w:szCs w:val="28"/>
                <w:highlight w:val="none"/>
              </w:rPr>
            </w:pPr>
          </w:p>
        </w:tc>
        <w:tc>
          <w:tcPr>
            <w:tcW w:w="1843" w:type="dxa"/>
            <w:noWrap w:val="0"/>
            <w:vAlign w:val="center"/>
          </w:tcPr>
          <w:p w14:paraId="02DF9247">
            <w:pPr>
              <w:pStyle w:val="505"/>
              <w:jc w:val="center"/>
              <w:rPr>
                <w:rFonts w:ascii="仿宋" w:hAnsi="仿宋" w:eastAsia="仿宋" w:cs="仿宋"/>
                <w:color w:val="auto"/>
                <w:sz w:val="20"/>
                <w:szCs w:val="20"/>
                <w:highlight w:val="none"/>
              </w:rPr>
            </w:pPr>
          </w:p>
        </w:tc>
        <w:tc>
          <w:tcPr>
            <w:tcW w:w="992" w:type="dxa"/>
            <w:noWrap w:val="0"/>
            <w:vAlign w:val="center"/>
          </w:tcPr>
          <w:p w14:paraId="1665ABA6">
            <w:pPr>
              <w:pStyle w:val="446"/>
              <w:widowControl/>
              <w:spacing w:line="560" w:lineRule="exact"/>
              <w:ind w:firstLine="560"/>
              <w:jc w:val="center"/>
              <w:rPr>
                <w:rFonts w:ascii="仿宋" w:hAnsi="仿宋" w:eastAsia="仿宋" w:cs="仿宋"/>
                <w:color w:val="auto"/>
                <w:sz w:val="28"/>
                <w:szCs w:val="28"/>
                <w:highlight w:val="none"/>
              </w:rPr>
            </w:pPr>
          </w:p>
        </w:tc>
        <w:tc>
          <w:tcPr>
            <w:tcW w:w="1984" w:type="dxa"/>
            <w:noWrap w:val="0"/>
            <w:vAlign w:val="center"/>
          </w:tcPr>
          <w:p w14:paraId="290D6F78">
            <w:pPr>
              <w:pStyle w:val="446"/>
              <w:widowControl/>
              <w:spacing w:line="560" w:lineRule="exact"/>
              <w:ind w:firstLine="560"/>
              <w:jc w:val="center"/>
              <w:rPr>
                <w:rFonts w:ascii="仿宋" w:hAnsi="仿宋" w:eastAsia="仿宋" w:cs="仿宋"/>
                <w:color w:val="auto"/>
                <w:sz w:val="28"/>
                <w:szCs w:val="28"/>
                <w:highlight w:val="none"/>
              </w:rPr>
            </w:pPr>
          </w:p>
        </w:tc>
        <w:tc>
          <w:tcPr>
            <w:tcW w:w="1702" w:type="dxa"/>
            <w:noWrap w:val="0"/>
            <w:vAlign w:val="center"/>
          </w:tcPr>
          <w:p w14:paraId="1B34BE76">
            <w:pPr>
              <w:pStyle w:val="446"/>
              <w:widowControl/>
              <w:spacing w:line="560" w:lineRule="exact"/>
              <w:ind w:firstLine="560"/>
              <w:jc w:val="center"/>
              <w:rPr>
                <w:rFonts w:ascii="仿宋" w:hAnsi="仿宋" w:eastAsia="仿宋" w:cs="仿宋"/>
                <w:color w:val="auto"/>
                <w:sz w:val="28"/>
                <w:szCs w:val="28"/>
                <w:highlight w:val="none"/>
              </w:rPr>
            </w:pPr>
          </w:p>
        </w:tc>
        <w:tc>
          <w:tcPr>
            <w:tcW w:w="962" w:type="dxa"/>
            <w:noWrap w:val="0"/>
            <w:vAlign w:val="center"/>
          </w:tcPr>
          <w:p w14:paraId="1E8ACCD3">
            <w:pPr>
              <w:pStyle w:val="446"/>
              <w:widowControl/>
              <w:spacing w:line="560" w:lineRule="exact"/>
              <w:ind w:firstLine="560"/>
              <w:jc w:val="center"/>
              <w:rPr>
                <w:rFonts w:ascii="仿宋" w:hAnsi="仿宋" w:eastAsia="仿宋" w:cs="仿宋"/>
                <w:color w:val="auto"/>
                <w:sz w:val="28"/>
                <w:szCs w:val="28"/>
                <w:highlight w:val="none"/>
              </w:rPr>
            </w:pPr>
          </w:p>
        </w:tc>
      </w:tr>
      <w:tr w14:paraId="33E81B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42668935">
            <w:pPr>
              <w:pStyle w:val="446"/>
              <w:widowControl/>
              <w:spacing w:line="560" w:lineRule="exact"/>
              <w:ind w:firstLine="560"/>
              <w:jc w:val="center"/>
              <w:rPr>
                <w:rFonts w:ascii="仿宋" w:hAnsi="仿宋" w:eastAsia="仿宋" w:cs="仿宋"/>
                <w:color w:val="auto"/>
                <w:sz w:val="28"/>
                <w:szCs w:val="28"/>
                <w:highlight w:val="none"/>
              </w:rPr>
            </w:pPr>
          </w:p>
        </w:tc>
        <w:tc>
          <w:tcPr>
            <w:tcW w:w="1843" w:type="dxa"/>
            <w:noWrap w:val="0"/>
            <w:vAlign w:val="center"/>
          </w:tcPr>
          <w:p w14:paraId="25786DDF">
            <w:pPr>
              <w:pStyle w:val="505"/>
              <w:jc w:val="center"/>
              <w:rPr>
                <w:rFonts w:ascii="仿宋" w:hAnsi="仿宋" w:eastAsia="仿宋" w:cs="仿宋"/>
                <w:color w:val="auto"/>
                <w:sz w:val="20"/>
                <w:szCs w:val="20"/>
                <w:highlight w:val="none"/>
              </w:rPr>
            </w:pPr>
          </w:p>
        </w:tc>
        <w:tc>
          <w:tcPr>
            <w:tcW w:w="992" w:type="dxa"/>
            <w:noWrap w:val="0"/>
            <w:vAlign w:val="center"/>
          </w:tcPr>
          <w:p w14:paraId="75C1B183">
            <w:pPr>
              <w:pStyle w:val="446"/>
              <w:widowControl/>
              <w:spacing w:line="560" w:lineRule="exact"/>
              <w:ind w:firstLine="560"/>
              <w:jc w:val="center"/>
              <w:rPr>
                <w:rFonts w:ascii="仿宋" w:hAnsi="仿宋" w:eastAsia="仿宋" w:cs="仿宋"/>
                <w:color w:val="auto"/>
                <w:sz w:val="28"/>
                <w:szCs w:val="28"/>
                <w:highlight w:val="none"/>
              </w:rPr>
            </w:pPr>
          </w:p>
        </w:tc>
        <w:tc>
          <w:tcPr>
            <w:tcW w:w="1984" w:type="dxa"/>
            <w:noWrap w:val="0"/>
            <w:vAlign w:val="center"/>
          </w:tcPr>
          <w:p w14:paraId="1BC48E9E">
            <w:pPr>
              <w:pStyle w:val="446"/>
              <w:widowControl/>
              <w:spacing w:line="560" w:lineRule="exact"/>
              <w:ind w:firstLine="560"/>
              <w:jc w:val="center"/>
              <w:rPr>
                <w:rFonts w:ascii="仿宋" w:hAnsi="仿宋" w:eastAsia="仿宋" w:cs="仿宋"/>
                <w:color w:val="auto"/>
                <w:sz w:val="28"/>
                <w:szCs w:val="28"/>
                <w:highlight w:val="none"/>
              </w:rPr>
            </w:pPr>
          </w:p>
        </w:tc>
        <w:tc>
          <w:tcPr>
            <w:tcW w:w="1702" w:type="dxa"/>
            <w:noWrap w:val="0"/>
            <w:vAlign w:val="center"/>
          </w:tcPr>
          <w:p w14:paraId="6188A82A">
            <w:pPr>
              <w:pStyle w:val="446"/>
              <w:widowControl/>
              <w:spacing w:line="560" w:lineRule="exact"/>
              <w:ind w:firstLine="560"/>
              <w:jc w:val="center"/>
              <w:rPr>
                <w:rFonts w:ascii="仿宋" w:hAnsi="仿宋" w:eastAsia="仿宋" w:cs="仿宋"/>
                <w:color w:val="auto"/>
                <w:sz w:val="28"/>
                <w:szCs w:val="28"/>
                <w:highlight w:val="none"/>
              </w:rPr>
            </w:pPr>
          </w:p>
        </w:tc>
        <w:tc>
          <w:tcPr>
            <w:tcW w:w="962" w:type="dxa"/>
            <w:noWrap w:val="0"/>
            <w:vAlign w:val="center"/>
          </w:tcPr>
          <w:p w14:paraId="367913AD">
            <w:pPr>
              <w:pStyle w:val="446"/>
              <w:widowControl/>
              <w:spacing w:line="560" w:lineRule="exact"/>
              <w:ind w:firstLine="560"/>
              <w:jc w:val="center"/>
              <w:rPr>
                <w:rFonts w:ascii="仿宋" w:hAnsi="仿宋" w:eastAsia="仿宋" w:cs="仿宋"/>
                <w:color w:val="auto"/>
                <w:sz w:val="28"/>
                <w:szCs w:val="28"/>
                <w:highlight w:val="none"/>
              </w:rPr>
            </w:pPr>
          </w:p>
        </w:tc>
      </w:tr>
      <w:tr w14:paraId="138F92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005B98B1">
            <w:pPr>
              <w:pStyle w:val="446"/>
              <w:widowControl/>
              <w:spacing w:line="560" w:lineRule="exact"/>
              <w:ind w:firstLine="560"/>
              <w:jc w:val="center"/>
              <w:rPr>
                <w:rFonts w:ascii="仿宋" w:hAnsi="仿宋" w:eastAsia="仿宋" w:cs="仿宋"/>
                <w:color w:val="auto"/>
                <w:sz w:val="28"/>
                <w:szCs w:val="28"/>
                <w:highlight w:val="none"/>
              </w:rPr>
            </w:pPr>
          </w:p>
        </w:tc>
        <w:tc>
          <w:tcPr>
            <w:tcW w:w="1843" w:type="dxa"/>
            <w:noWrap w:val="0"/>
            <w:vAlign w:val="center"/>
          </w:tcPr>
          <w:p w14:paraId="4BCBB12E">
            <w:pPr>
              <w:pStyle w:val="505"/>
              <w:jc w:val="center"/>
              <w:rPr>
                <w:rFonts w:ascii="仿宋" w:hAnsi="仿宋" w:eastAsia="仿宋" w:cs="仿宋"/>
                <w:color w:val="auto"/>
                <w:sz w:val="20"/>
                <w:szCs w:val="20"/>
                <w:highlight w:val="none"/>
              </w:rPr>
            </w:pPr>
          </w:p>
        </w:tc>
        <w:tc>
          <w:tcPr>
            <w:tcW w:w="992" w:type="dxa"/>
            <w:noWrap w:val="0"/>
            <w:vAlign w:val="center"/>
          </w:tcPr>
          <w:p w14:paraId="4B23F428">
            <w:pPr>
              <w:pStyle w:val="446"/>
              <w:widowControl/>
              <w:spacing w:line="560" w:lineRule="exact"/>
              <w:ind w:firstLine="560"/>
              <w:jc w:val="center"/>
              <w:rPr>
                <w:rFonts w:ascii="仿宋" w:hAnsi="仿宋" w:eastAsia="仿宋" w:cs="仿宋"/>
                <w:color w:val="auto"/>
                <w:sz w:val="28"/>
                <w:szCs w:val="28"/>
                <w:highlight w:val="none"/>
              </w:rPr>
            </w:pPr>
          </w:p>
        </w:tc>
        <w:tc>
          <w:tcPr>
            <w:tcW w:w="1984" w:type="dxa"/>
            <w:noWrap w:val="0"/>
            <w:vAlign w:val="center"/>
          </w:tcPr>
          <w:p w14:paraId="5A318601">
            <w:pPr>
              <w:pStyle w:val="446"/>
              <w:widowControl/>
              <w:spacing w:line="560" w:lineRule="exact"/>
              <w:ind w:firstLine="560"/>
              <w:jc w:val="center"/>
              <w:rPr>
                <w:rFonts w:ascii="仿宋" w:hAnsi="仿宋" w:eastAsia="仿宋" w:cs="仿宋"/>
                <w:color w:val="auto"/>
                <w:sz w:val="28"/>
                <w:szCs w:val="28"/>
                <w:highlight w:val="none"/>
              </w:rPr>
            </w:pPr>
          </w:p>
        </w:tc>
        <w:tc>
          <w:tcPr>
            <w:tcW w:w="1702" w:type="dxa"/>
            <w:noWrap w:val="0"/>
            <w:vAlign w:val="center"/>
          </w:tcPr>
          <w:p w14:paraId="19C34A1F">
            <w:pPr>
              <w:pStyle w:val="446"/>
              <w:widowControl/>
              <w:spacing w:line="560" w:lineRule="exact"/>
              <w:ind w:firstLine="560"/>
              <w:jc w:val="center"/>
              <w:rPr>
                <w:rFonts w:ascii="仿宋" w:hAnsi="仿宋" w:eastAsia="仿宋" w:cs="仿宋"/>
                <w:color w:val="auto"/>
                <w:sz w:val="28"/>
                <w:szCs w:val="28"/>
                <w:highlight w:val="none"/>
              </w:rPr>
            </w:pPr>
          </w:p>
        </w:tc>
        <w:tc>
          <w:tcPr>
            <w:tcW w:w="962" w:type="dxa"/>
            <w:noWrap w:val="0"/>
            <w:vAlign w:val="center"/>
          </w:tcPr>
          <w:p w14:paraId="76DFDF73">
            <w:pPr>
              <w:pStyle w:val="446"/>
              <w:widowControl/>
              <w:spacing w:line="560" w:lineRule="exact"/>
              <w:ind w:firstLine="560"/>
              <w:jc w:val="center"/>
              <w:rPr>
                <w:rFonts w:ascii="仿宋" w:hAnsi="仿宋" w:eastAsia="仿宋" w:cs="仿宋"/>
                <w:color w:val="auto"/>
                <w:sz w:val="28"/>
                <w:szCs w:val="28"/>
                <w:highlight w:val="none"/>
              </w:rPr>
            </w:pPr>
          </w:p>
        </w:tc>
      </w:tr>
      <w:tr w14:paraId="119023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294B60B0">
            <w:pPr>
              <w:pStyle w:val="446"/>
              <w:widowControl/>
              <w:spacing w:line="560" w:lineRule="exact"/>
              <w:ind w:firstLine="560"/>
              <w:jc w:val="center"/>
              <w:rPr>
                <w:rFonts w:ascii="仿宋" w:hAnsi="仿宋" w:eastAsia="仿宋" w:cs="仿宋"/>
                <w:color w:val="auto"/>
                <w:sz w:val="28"/>
                <w:szCs w:val="28"/>
                <w:highlight w:val="none"/>
              </w:rPr>
            </w:pPr>
          </w:p>
        </w:tc>
        <w:tc>
          <w:tcPr>
            <w:tcW w:w="1843" w:type="dxa"/>
            <w:noWrap w:val="0"/>
            <w:vAlign w:val="center"/>
          </w:tcPr>
          <w:p w14:paraId="4A699445">
            <w:pPr>
              <w:pStyle w:val="505"/>
              <w:jc w:val="center"/>
              <w:rPr>
                <w:rFonts w:ascii="仿宋" w:hAnsi="仿宋" w:eastAsia="仿宋" w:cs="仿宋"/>
                <w:color w:val="auto"/>
                <w:sz w:val="20"/>
                <w:szCs w:val="20"/>
                <w:highlight w:val="none"/>
              </w:rPr>
            </w:pPr>
          </w:p>
        </w:tc>
        <w:tc>
          <w:tcPr>
            <w:tcW w:w="992" w:type="dxa"/>
            <w:noWrap w:val="0"/>
            <w:vAlign w:val="center"/>
          </w:tcPr>
          <w:p w14:paraId="2CCF283F">
            <w:pPr>
              <w:pStyle w:val="446"/>
              <w:widowControl/>
              <w:spacing w:line="560" w:lineRule="exact"/>
              <w:ind w:firstLine="560"/>
              <w:jc w:val="center"/>
              <w:rPr>
                <w:rFonts w:ascii="仿宋" w:hAnsi="仿宋" w:eastAsia="仿宋" w:cs="仿宋"/>
                <w:color w:val="auto"/>
                <w:sz w:val="28"/>
                <w:szCs w:val="28"/>
                <w:highlight w:val="none"/>
              </w:rPr>
            </w:pPr>
          </w:p>
        </w:tc>
        <w:tc>
          <w:tcPr>
            <w:tcW w:w="1984" w:type="dxa"/>
            <w:noWrap w:val="0"/>
            <w:vAlign w:val="center"/>
          </w:tcPr>
          <w:p w14:paraId="6A045DE9">
            <w:pPr>
              <w:pStyle w:val="446"/>
              <w:widowControl/>
              <w:spacing w:line="560" w:lineRule="exact"/>
              <w:ind w:firstLine="560"/>
              <w:jc w:val="center"/>
              <w:rPr>
                <w:rFonts w:ascii="仿宋" w:hAnsi="仿宋" w:eastAsia="仿宋" w:cs="仿宋"/>
                <w:color w:val="auto"/>
                <w:sz w:val="28"/>
                <w:szCs w:val="28"/>
                <w:highlight w:val="none"/>
              </w:rPr>
            </w:pPr>
          </w:p>
        </w:tc>
        <w:tc>
          <w:tcPr>
            <w:tcW w:w="1702" w:type="dxa"/>
            <w:noWrap w:val="0"/>
            <w:vAlign w:val="center"/>
          </w:tcPr>
          <w:p w14:paraId="0A6F1341">
            <w:pPr>
              <w:pStyle w:val="446"/>
              <w:widowControl/>
              <w:spacing w:line="560" w:lineRule="exact"/>
              <w:ind w:firstLine="560"/>
              <w:jc w:val="center"/>
              <w:rPr>
                <w:rFonts w:ascii="仿宋" w:hAnsi="仿宋" w:eastAsia="仿宋" w:cs="仿宋"/>
                <w:color w:val="auto"/>
                <w:sz w:val="28"/>
                <w:szCs w:val="28"/>
                <w:highlight w:val="none"/>
              </w:rPr>
            </w:pPr>
          </w:p>
        </w:tc>
        <w:tc>
          <w:tcPr>
            <w:tcW w:w="962" w:type="dxa"/>
            <w:noWrap w:val="0"/>
            <w:vAlign w:val="center"/>
          </w:tcPr>
          <w:p w14:paraId="2E950709">
            <w:pPr>
              <w:pStyle w:val="446"/>
              <w:widowControl/>
              <w:spacing w:line="560" w:lineRule="exact"/>
              <w:ind w:firstLine="560"/>
              <w:jc w:val="center"/>
              <w:rPr>
                <w:rFonts w:ascii="仿宋" w:hAnsi="仿宋" w:eastAsia="仿宋" w:cs="仿宋"/>
                <w:color w:val="auto"/>
                <w:sz w:val="28"/>
                <w:szCs w:val="28"/>
                <w:highlight w:val="none"/>
              </w:rPr>
            </w:pPr>
          </w:p>
        </w:tc>
      </w:tr>
      <w:tr w14:paraId="1F00C5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5D8C8EC8">
            <w:pPr>
              <w:pStyle w:val="446"/>
              <w:widowControl/>
              <w:spacing w:line="560" w:lineRule="exact"/>
              <w:ind w:firstLine="560"/>
              <w:jc w:val="center"/>
              <w:rPr>
                <w:rFonts w:ascii="仿宋" w:hAnsi="仿宋" w:eastAsia="仿宋" w:cs="仿宋"/>
                <w:color w:val="auto"/>
                <w:sz w:val="28"/>
                <w:szCs w:val="28"/>
                <w:highlight w:val="none"/>
              </w:rPr>
            </w:pPr>
          </w:p>
        </w:tc>
        <w:tc>
          <w:tcPr>
            <w:tcW w:w="1843" w:type="dxa"/>
            <w:noWrap w:val="0"/>
            <w:vAlign w:val="center"/>
          </w:tcPr>
          <w:p w14:paraId="2569FCFF">
            <w:pPr>
              <w:pStyle w:val="505"/>
              <w:jc w:val="center"/>
              <w:rPr>
                <w:rFonts w:ascii="仿宋" w:hAnsi="仿宋" w:eastAsia="仿宋" w:cs="仿宋"/>
                <w:color w:val="auto"/>
                <w:sz w:val="20"/>
                <w:szCs w:val="20"/>
                <w:highlight w:val="none"/>
              </w:rPr>
            </w:pPr>
          </w:p>
        </w:tc>
        <w:tc>
          <w:tcPr>
            <w:tcW w:w="992" w:type="dxa"/>
            <w:noWrap w:val="0"/>
            <w:vAlign w:val="center"/>
          </w:tcPr>
          <w:p w14:paraId="06C3ED68">
            <w:pPr>
              <w:pStyle w:val="446"/>
              <w:widowControl/>
              <w:spacing w:line="560" w:lineRule="exact"/>
              <w:ind w:firstLine="560"/>
              <w:jc w:val="center"/>
              <w:rPr>
                <w:rFonts w:ascii="仿宋" w:hAnsi="仿宋" w:eastAsia="仿宋" w:cs="仿宋"/>
                <w:color w:val="auto"/>
                <w:sz w:val="28"/>
                <w:szCs w:val="28"/>
                <w:highlight w:val="none"/>
              </w:rPr>
            </w:pPr>
          </w:p>
        </w:tc>
        <w:tc>
          <w:tcPr>
            <w:tcW w:w="1984" w:type="dxa"/>
            <w:noWrap w:val="0"/>
            <w:vAlign w:val="center"/>
          </w:tcPr>
          <w:p w14:paraId="3BE5649E">
            <w:pPr>
              <w:pStyle w:val="446"/>
              <w:widowControl/>
              <w:spacing w:line="560" w:lineRule="exact"/>
              <w:ind w:firstLine="560"/>
              <w:jc w:val="center"/>
              <w:rPr>
                <w:rFonts w:ascii="仿宋" w:hAnsi="仿宋" w:eastAsia="仿宋" w:cs="仿宋"/>
                <w:color w:val="auto"/>
                <w:sz w:val="28"/>
                <w:szCs w:val="28"/>
                <w:highlight w:val="none"/>
              </w:rPr>
            </w:pPr>
          </w:p>
        </w:tc>
        <w:tc>
          <w:tcPr>
            <w:tcW w:w="1702" w:type="dxa"/>
            <w:noWrap w:val="0"/>
            <w:vAlign w:val="center"/>
          </w:tcPr>
          <w:p w14:paraId="6E1CC411">
            <w:pPr>
              <w:pStyle w:val="446"/>
              <w:widowControl/>
              <w:spacing w:line="560" w:lineRule="exact"/>
              <w:ind w:firstLine="560"/>
              <w:jc w:val="center"/>
              <w:rPr>
                <w:rFonts w:ascii="仿宋" w:hAnsi="仿宋" w:eastAsia="仿宋" w:cs="仿宋"/>
                <w:color w:val="auto"/>
                <w:sz w:val="28"/>
                <w:szCs w:val="28"/>
                <w:highlight w:val="none"/>
              </w:rPr>
            </w:pPr>
          </w:p>
        </w:tc>
        <w:tc>
          <w:tcPr>
            <w:tcW w:w="962" w:type="dxa"/>
            <w:noWrap w:val="0"/>
            <w:vAlign w:val="center"/>
          </w:tcPr>
          <w:p w14:paraId="0868B558">
            <w:pPr>
              <w:pStyle w:val="446"/>
              <w:widowControl/>
              <w:spacing w:line="560" w:lineRule="exact"/>
              <w:ind w:firstLine="560"/>
              <w:jc w:val="center"/>
              <w:rPr>
                <w:rFonts w:ascii="仿宋" w:hAnsi="仿宋" w:eastAsia="仿宋" w:cs="仿宋"/>
                <w:color w:val="auto"/>
                <w:sz w:val="28"/>
                <w:szCs w:val="28"/>
                <w:highlight w:val="none"/>
              </w:rPr>
            </w:pPr>
          </w:p>
        </w:tc>
      </w:tr>
    </w:tbl>
    <w:p w14:paraId="6B10F76B">
      <w:pPr>
        <w:spacing w:line="480" w:lineRule="exact"/>
        <w:ind w:firstLine="210"/>
        <w:rPr>
          <w:rFonts w:ascii="Times New Roman" w:hAnsi="Times New Roman" w:cs="宋体"/>
          <w:color w:val="auto"/>
          <w:sz w:val="24"/>
          <w:szCs w:val="20"/>
          <w:highlight w:val="none"/>
        </w:rPr>
      </w:pPr>
      <w:r>
        <w:rPr>
          <w:rFonts w:hint="eastAsia" w:ascii="Times New Roman" w:hAnsi="Times New Roman" w:cs="宋体"/>
          <w:color w:val="auto"/>
          <w:sz w:val="24"/>
          <w:szCs w:val="20"/>
          <w:highlight w:val="none"/>
        </w:rPr>
        <w:t>注：如投标人中标，项目组成员按本表承诺人员操作，不得随意更换。按招标文件要求附相关人员证书。</w:t>
      </w:r>
      <w:bookmarkStart w:id="166" w:name="_格式2__法定代表人授权书"/>
      <w:bookmarkEnd w:id="166"/>
    </w:p>
    <w:p w14:paraId="78E4181F">
      <w:pPr>
        <w:ind w:firstLine="210"/>
        <w:rPr>
          <w:rFonts w:ascii="仿宋" w:hAnsi="仿宋" w:eastAsia="仿宋" w:cs="仿宋"/>
          <w:color w:val="auto"/>
          <w:szCs w:val="21"/>
          <w:highlight w:val="none"/>
        </w:rPr>
      </w:pPr>
    </w:p>
    <w:p w14:paraId="39FF2A24">
      <w:pPr>
        <w:ind w:firstLine="210"/>
        <w:rPr>
          <w:rFonts w:ascii="仿宋" w:hAnsi="仿宋" w:eastAsia="仿宋" w:cs="仿宋"/>
          <w:color w:val="auto"/>
          <w:szCs w:val="21"/>
          <w:highlight w:val="none"/>
        </w:rPr>
      </w:pPr>
    </w:p>
    <w:p w14:paraId="6908729C">
      <w:pPr>
        <w:pStyle w:val="376"/>
        <w:ind w:left="210"/>
        <w:outlineLvl w:val="1"/>
        <w:rPr>
          <w:rFonts w:ascii="宋体"/>
          <w:b w:val="0"/>
          <w:color w:val="auto"/>
          <w:szCs w:val="32"/>
          <w:highlight w:val="none"/>
        </w:rPr>
      </w:pPr>
      <w:r>
        <w:rPr>
          <w:rFonts w:hint="eastAsia" w:ascii="宋体"/>
          <w:b w:val="0"/>
          <w:color w:val="auto"/>
          <w:szCs w:val="32"/>
          <w:highlight w:val="none"/>
        </w:rPr>
        <w:br w:type="page" w:clear="all"/>
      </w:r>
      <w:r>
        <w:rPr>
          <w:rFonts w:hint="eastAsia" w:ascii="宋体"/>
          <w:b w:val="0"/>
          <w:color w:val="auto"/>
          <w:szCs w:val="32"/>
          <w:highlight w:val="none"/>
        </w:rPr>
        <w:t>十、企业业绩</w:t>
      </w:r>
      <w:bookmarkEnd w:id="164"/>
      <w:bookmarkEnd w:id="165"/>
    </w:p>
    <w:p w14:paraId="12AB24BC">
      <w:pPr>
        <w:pStyle w:val="384"/>
        <w:jc w:val="center"/>
        <w:rPr>
          <w:rFonts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投标人</w:t>
      </w:r>
      <w:bookmarkStart w:id="167" w:name="_Hlk187935031"/>
      <w:r>
        <w:rPr>
          <w:rFonts w:hint="eastAsia" w:ascii="方正小标宋_GBK" w:eastAsia="方正小标宋_GBK"/>
          <w:bCs/>
          <w:color w:val="auto"/>
          <w:sz w:val="32"/>
          <w:szCs w:val="32"/>
          <w:highlight w:val="none"/>
        </w:rPr>
        <w:t>自</w:t>
      </w:r>
      <w:r>
        <w:rPr>
          <w:rFonts w:hint="eastAsia" w:ascii="方正小标宋_GBK" w:eastAsia="方正小标宋_GBK"/>
          <w:bCs/>
          <w:color w:val="auto"/>
          <w:sz w:val="32"/>
          <w:szCs w:val="32"/>
          <w:highlight w:val="none"/>
          <w:u w:val="single"/>
        </w:rPr>
        <w:t xml:space="preserve">   </w:t>
      </w:r>
      <w:r>
        <w:rPr>
          <w:rFonts w:hint="eastAsia" w:ascii="方正小标宋_GBK" w:eastAsia="方正小标宋_GBK"/>
          <w:bCs/>
          <w:color w:val="auto"/>
          <w:sz w:val="32"/>
          <w:szCs w:val="32"/>
          <w:highlight w:val="none"/>
        </w:rPr>
        <w:t>年</w:t>
      </w:r>
      <w:r>
        <w:rPr>
          <w:rFonts w:hint="eastAsia" w:ascii="方正小标宋_GBK" w:eastAsia="方正小标宋_GBK"/>
          <w:bCs/>
          <w:color w:val="auto"/>
          <w:sz w:val="32"/>
          <w:szCs w:val="32"/>
          <w:highlight w:val="none"/>
          <w:u w:val="single"/>
        </w:rPr>
        <w:t xml:space="preserve">   </w:t>
      </w:r>
      <w:r>
        <w:rPr>
          <w:rFonts w:hint="eastAsia" w:ascii="方正小标宋_GBK" w:eastAsia="方正小标宋_GBK"/>
          <w:bCs/>
          <w:color w:val="auto"/>
          <w:sz w:val="32"/>
          <w:szCs w:val="32"/>
          <w:highlight w:val="none"/>
        </w:rPr>
        <w:t>月</w:t>
      </w:r>
      <w:r>
        <w:rPr>
          <w:rFonts w:hint="eastAsia" w:ascii="方正小标宋_GBK" w:eastAsia="方正小标宋_GBK"/>
          <w:bCs/>
          <w:color w:val="auto"/>
          <w:sz w:val="32"/>
          <w:szCs w:val="32"/>
          <w:highlight w:val="none"/>
          <w:u w:val="single"/>
        </w:rPr>
        <w:t xml:space="preserve">   </w:t>
      </w:r>
      <w:r>
        <w:rPr>
          <w:rFonts w:hint="eastAsia" w:ascii="方正小标宋_GBK" w:eastAsia="方正小标宋_GBK"/>
          <w:bCs/>
          <w:color w:val="auto"/>
          <w:sz w:val="32"/>
          <w:szCs w:val="32"/>
          <w:highlight w:val="none"/>
        </w:rPr>
        <w:t>日以来承担</w:t>
      </w:r>
    </w:p>
    <w:p w14:paraId="250BBBD5">
      <w:pPr>
        <w:pStyle w:val="384"/>
        <w:jc w:val="center"/>
        <w:rPr>
          <w:rFonts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类似项目业绩一览表</w:t>
      </w:r>
      <w:bookmarkEnd w:id="167"/>
    </w:p>
    <w:tbl>
      <w:tblPr>
        <w:tblStyle w:val="32"/>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3827"/>
        <w:gridCol w:w="2433"/>
        <w:gridCol w:w="1395"/>
      </w:tblGrid>
      <w:tr w14:paraId="584267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229" w:type="dxa"/>
            <w:noWrap w:val="0"/>
          </w:tcPr>
          <w:p w14:paraId="17F51528">
            <w:pPr>
              <w:pStyle w:val="385"/>
              <w:spacing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序号</w:t>
            </w:r>
          </w:p>
        </w:tc>
        <w:tc>
          <w:tcPr>
            <w:tcW w:w="3827" w:type="dxa"/>
            <w:noWrap w:val="0"/>
            <w:vAlign w:val="center"/>
          </w:tcPr>
          <w:p w14:paraId="6948EF41">
            <w:pPr>
              <w:pStyle w:val="385"/>
              <w:spacing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项目名称</w:t>
            </w:r>
          </w:p>
        </w:tc>
        <w:tc>
          <w:tcPr>
            <w:tcW w:w="2433" w:type="dxa"/>
            <w:noWrap w:val="0"/>
            <w:vAlign w:val="center"/>
          </w:tcPr>
          <w:p w14:paraId="4655B38E">
            <w:pPr>
              <w:pStyle w:val="385"/>
              <w:spacing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采购单位</w:t>
            </w:r>
          </w:p>
        </w:tc>
        <w:tc>
          <w:tcPr>
            <w:tcW w:w="1395" w:type="dxa"/>
            <w:noWrap w:val="0"/>
            <w:vAlign w:val="center"/>
          </w:tcPr>
          <w:p w14:paraId="20620F6A">
            <w:pPr>
              <w:pStyle w:val="385"/>
              <w:spacing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服务主要内容</w:t>
            </w:r>
          </w:p>
        </w:tc>
      </w:tr>
      <w:tr w14:paraId="4E4A14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tcPr>
          <w:p w14:paraId="0422DB6F">
            <w:pPr>
              <w:pStyle w:val="385"/>
              <w:spacing w:line="560" w:lineRule="exact"/>
              <w:jc w:val="center"/>
              <w:rPr>
                <w:rFonts w:ascii="仿宋_GB2312" w:eastAsia="仿宋_GB2312"/>
                <w:color w:val="auto"/>
                <w:sz w:val="28"/>
                <w:highlight w:val="none"/>
              </w:rPr>
            </w:pPr>
          </w:p>
        </w:tc>
        <w:tc>
          <w:tcPr>
            <w:tcW w:w="3827" w:type="dxa"/>
            <w:noWrap w:val="0"/>
            <w:vAlign w:val="center"/>
          </w:tcPr>
          <w:p w14:paraId="0BDF1814">
            <w:pPr>
              <w:pStyle w:val="385"/>
              <w:spacing w:line="560" w:lineRule="exact"/>
              <w:jc w:val="center"/>
              <w:rPr>
                <w:rFonts w:ascii="仿宋_GB2312" w:eastAsia="仿宋_GB2312"/>
                <w:color w:val="auto"/>
                <w:sz w:val="28"/>
                <w:highlight w:val="none"/>
              </w:rPr>
            </w:pPr>
          </w:p>
        </w:tc>
        <w:tc>
          <w:tcPr>
            <w:tcW w:w="2433" w:type="dxa"/>
            <w:noWrap w:val="0"/>
            <w:vAlign w:val="center"/>
          </w:tcPr>
          <w:p w14:paraId="704C2B6A">
            <w:pPr>
              <w:pStyle w:val="385"/>
              <w:spacing w:line="560" w:lineRule="exact"/>
              <w:jc w:val="center"/>
              <w:rPr>
                <w:rFonts w:ascii="仿宋_GB2312" w:eastAsia="仿宋_GB2312"/>
                <w:color w:val="auto"/>
                <w:sz w:val="28"/>
                <w:highlight w:val="none"/>
              </w:rPr>
            </w:pPr>
          </w:p>
        </w:tc>
        <w:tc>
          <w:tcPr>
            <w:tcW w:w="1395" w:type="dxa"/>
            <w:noWrap w:val="0"/>
            <w:vAlign w:val="center"/>
          </w:tcPr>
          <w:p w14:paraId="263F9290">
            <w:pPr>
              <w:pStyle w:val="385"/>
              <w:spacing w:line="560" w:lineRule="exact"/>
              <w:jc w:val="center"/>
              <w:rPr>
                <w:rFonts w:ascii="仿宋_GB2312" w:eastAsia="仿宋_GB2312"/>
                <w:color w:val="auto"/>
                <w:sz w:val="28"/>
                <w:highlight w:val="none"/>
              </w:rPr>
            </w:pPr>
          </w:p>
        </w:tc>
      </w:tr>
      <w:tr w14:paraId="5D55F1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tcPr>
          <w:p w14:paraId="2FD40DB4">
            <w:pPr>
              <w:pStyle w:val="385"/>
              <w:spacing w:line="560" w:lineRule="exact"/>
              <w:jc w:val="center"/>
              <w:rPr>
                <w:rFonts w:ascii="仿宋_GB2312" w:eastAsia="仿宋_GB2312"/>
                <w:color w:val="auto"/>
                <w:sz w:val="28"/>
                <w:highlight w:val="none"/>
              </w:rPr>
            </w:pPr>
          </w:p>
        </w:tc>
        <w:tc>
          <w:tcPr>
            <w:tcW w:w="3827" w:type="dxa"/>
            <w:noWrap w:val="0"/>
            <w:vAlign w:val="center"/>
          </w:tcPr>
          <w:p w14:paraId="4078F54A">
            <w:pPr>
              <w:pStyle w:val="385"/>
              <w:spacing w:line="560" w:lineRule="exact"/>
              <w:jc w:val="center"/>
              <w:rPr>
                <w:rFonts w:ascii="仿宋_GB2312" w:eastAsia="仿宋_GB2312"/>
                <w:color w:val="auto"/>
                <w:sz w:val="28"/>
                <w:highlight w:val="none"/>
              </w:rPr>
            </w:pPr>
          </w:p>
        </w:tc>
        <w:tc>
          <w:tcPr>
            <w:tcW w:w="2433" w:type="dxa"/>
            <w:noWrap w:val="0"/>
            <w:vAlign w:val="center"/>
          </w:tcPr>
          <w:p w14:paraId="5D3FB6C0">
            <w:pPr>
              <w:pStyle w:val="385"/>
              <w:spacing w:line="560" w:lineRule="exact"/>
              <w:jc w:val="center"/>
              <w:rPr>
                <w:rFonts w:ascii="仿宋_GB2312" w:eastAsia="仿宋_GB2312"/>
                <w:color w:val="auto"/>
                <w:sz w:val="28"/>
                <w:highlight w:val="none"/>
              </w:rPr>
            </w:pPr>
          </w:p>
        </w:tc>
        <w:tc>
          <w:tcPr>
            <w:tcW w:w="1395" w:type="dxa"/>
            <w:noWrap w:val="0"/>
            <w:vAlign w:val="center"/>
          </w:tcPr>
          <w:p w14:paraId="650152DA">
            <w:pPr>
              <w:pStyle w:val="385"/>
              <w:spacing w:line="560" w:lineRule="exact"/>
              <w:jc w:val="center"/>
              <w:rPr>
                <w:rFonts w:ascii="仿宋_GB2312" w:eastAsia="仿宋_GB2312"/>
                <w:color w:val="auto"/>
                <w:sz w:val="28"/>
                <w:highlight w:val="none"/>
              </w:rPr>
            </w:pPr>
          </w:p>
        </w:tc>
      </w:tr>
      <w:tr w14:paraId="1DEFA7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tcPr>
          <w:p w14:paraId="5492CF05">
            <w:pPr>
              <w:pStyle w:val="385"/>
              <w:spacing w:line="560" w:lineRule="exact"/>
              <w:jc w:val="center"/>
              <w:rPr>
                <w:rFonts w:ascii="仿宋_GB2312" w:eastAsia="仿宋_GB2312"/>
                <w:color w:val="auto"/>
                <w:sz w:val="28"/>
                <w:highlight w:val="none"/>
              </w:rPr>
            </w:pPr>
          </w:p>
        </w:tc>
        <w:tc>
          <w:tcPr>
            <w:tcW w:w="3827" w:type="dxa"/>
            <w:noWrap w:val="0"/>
            <w:vAlign w:val="center"/>
          </w:tcPr>
          <w:p w14:paraId="6F03E4A6">
            <w:pPr>
              <w:pStyle w:val="385"/>
              <w:spacing w:line="560" w:lineRule="exact"/>
              <w:jc w:val="center"/>
              <w:rPr>
                <w:rFonts w:ascii="仿宋_GB2312" w:eastAsia="仿宋_GB2312"/>
                <w:color w:val="auto"/>
                <w:sz w:val="28"/>
                <w:highlight w:val="none"/>
              </w:rPr>
            </w:pPr>
          </w:p>
        </w:tc>
        <w:tc>
          <w:tcPr>
            <w:tcW w:w="2433" w:type="dxa"/>
            <w:noWrap w:val="0"/>
            <w:vAlign w:val="center"/>
          </w:tcPr>
          <w:p w14:paraId="402B4665">
            <w:pPr>
              <w:pStyle w:val="385"/>
              <w:spacing w:line="560" w:lineRule="exact"/>
              <w:jc w:val="center"/>
              <w:rPr>
                <w:rFonts w:ascii="仿宋_GB2312" w:eastAsia="仿宋_GB2312"/>
                <w:color w:val="auto"/>
                <w:sz w:val="28"/>
                <w:highlight w:val="none"/>
              </w:rPr>
            </w:pPr>
          </w:p>
        </w:tc>
        <w:tc>
          <w:tcPr>
            <w:tcW w:w="1395" w:type="dxa"/>
            <w:noWrap w:val="0"/>
            <w:vAlign w:val="center"/>
          </w:tcPr>
          <w:p w14:paraId="6407FA44">
            <w:pPr>
              <w:pStyle w:val="385"/>
              <w:spacing w:line="560" w:lineRule="exact"/>
              <w:jc w:val="center"/>
              <w:rPr>
                <w:rFonts w:ascii="仿宋_GB2312" w:eastAsia="仿宋_GB2312"/>
                <w:color w:val="auto"/>
                <w:sz w:val="28"/>
                <w:highlight w:val="none"/>
              </w:rPr>
            </w:pPr>
          </w:p>
        </w:tc>
      </w:tr>
      <w:tr w14:paraId="78F4E0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229" w:type="dxa"/>
            <w:noWrap w:val="0"/>
          </w:tcPr>
          <w:p w14:paraId="5F27C962">
            <w:pPr>
              <w:pStyle w:val="385"/>
              <w:spacing w:line="560" w:lineRule="exact"/>
              <w:jc w:val="center"/>
              <w:rPr>
                <w:rFonts w:ascii="仿宋_GB2312" w:eastAsia="仿宋_GB2312"/>
                <w:color w:val="auto"/>
                <w:sz w:val="28"/>
                <w:highlight w:val="none"/>
              </w:rPr>
            </w:pPr>
          </w:p>
        </w:tc>
        <w:tc>
          <w:tcPr>
            <w:tcW w:w="3827" w:type="dxa"/>
            <w:noWrap w:val="0"/>
            <w:vAlign w:val="center"/>
          </w:tcPr>
          <w:p w14:paraId="385DBA8C">
            <w:pPr>
              <w:pStyle w:val="385"/>
              <w:spacing w:line="560" w:lineRule="exact"/>
              <w:jc w:val="center"/>
              <w:rPr>
                <w:rFonts w:ascii="仿宋_GB2312" w:eastAsia="仿宋_GB2312"/>
                <w:color w:val="auto"/>
                <w:sz w:val="28"/>
                <w:highlight w:val="none"/>
              </w:rPr>
            </w:pPr>
          </w:p>
        </w:tc>
        <w:tc>
          <w:tcPr>
            <w:tcW w:w="2433" w:type="dxa"/>
            <w:noWrap w:val="0"/>
            <w:vAlign w:val="center"/>
          </w:tcPr>
          <w:p w14:paraId="43B441DC">
            <w:pPr>
              <w:pStyle w:val="385"/>
              <w:spacing w:line="560" w:lineRule="exact"/>
              <w:jc w:val="center"/>
              <w:rPr>
                <w:rFonts w:ascii="仿宋_GB2312" w:eastAsia="仿宋_GB2312"/>
                <w:color w:val="auto"/>
                <w:sz w:val="28"/>
                <w:highlight w:val="none"/>
              </w:rPr>
            </w:pPr>
          </w:p>
        </w:tc>
        <w:tc>
          <w:tcPr>
            <w:tcW w:w="1395" w:type="dxa"/>
            <w:noWrap w:val="0"/>
            <w:vAlign w:val="center"/>
          </w:tcPr>
          <w:p w14:paraId="0E0C9F35">
            <w:pPr>
              <w:pStyle w:val="385"/>
              <w:spacing w:line="560" w:lineRule="exact"/>
              <w:jc w:val="center"/>
              <w:rPr>
                <w:rFonts w:ascii="仿宋_GB2312" w:eastAsia="仿宋_GB2312"/>
                <w:color w:val="auto"/>
                <w:sz w:val="28"/>
                <w:highlight w:val="none"/>
              </w:rPr>
            </w:pPr>
          </w:p>
        </w:tc>
      </w:tr>
    </w:tbl>
    <w:p w14:paraId="707F8963">
      <w:pPr>
        <w:pStyle w:val="384"/>
        <w:rPr>
          <w:rFonts w:ascii="宋体" w:hAnsi="宋体"/>
          <w:bCs/>
          <w:color w:val="auto"/>
          <w:highlight w:val="none"/>
        </w:rPr>
      </w:pPr>
      <w:r>
        <w:rPr>
          <w:rFonts w:hint="eastAsia" w:ascii="宋体" w:hAnsi="宋体"/>
          <w:bCs/>
          <w:color w:val="auto"/>
          <w:sz w:val="24"/>
          <w:highlight w:val="none"/>
        </w:rPr>
        <w:t>注：请填写此表，并按要求上传业绩资料电子件。</w:t>
      </w:r>
    </w:p>
    <w:p w14:paraId="50B95F86">
      <w:pPr>
        <w:spacing w:line="480" w:lineRule="exact"/>
        <w:outlineLvl w:val="1"/>
        <w:rPr>
          <w:rFonts w:ascii="宋体" w:hAnsi="黑体" w:eastAsia="黑体" w:cs="黑体"/>
          <w:color w:val="auto"/>
          <w:sz w:val="32"/>
          <w:szCs w:val="32"/>
          <w:highlight w:val="none"/>
        </w:rPr>
      </w:pPr>
      <w:r>
        <w:rPr>
          <w:rFonts w:hint="eastAsia" w:ascii="宋体" w:hAnsi="黑体" w:eastAsia="黑体" w:cs="黑体"/>
          <w:color w:val="auto"/>
          <w:sz w:val="32"/>
          <w:szCs w:val="32"/>
          <w:highlight w:val="none"/>
        </w:rPr>
        <w:t>十、</w:t>
      </w:r>
      <w:r>
        <w:rPr>
          <w:rFonts w:ascii="宋体" w:hAnsi="宋体"/>
          <w:bCs/>
          <w:color w:val="auto"/>
          <w:highlight w:val="none"/>
        </w:rPr>
        <w:br w:type="page" w:clear="all"/>
      </w:r>
      <w:bookmarkStart w:id="168" w:name="_Toc26048"/>
      <w:bookmarkStart w:id="169" w:name="_Toc9275"/>
      <w:r>
        <w:rPr>
          <w:rFonts w:hint="eastAsia" w:ascii="宋体" w:hAnsi="黑体" w:eastAsia="黑体" w:cs="黑体"/>
          <w:color w:val="auto"/>
          <w:sz w:val="32"/>
          <w:szCs w:val="32"/>
          <w:highlight w:val="none"/>
        </w:rPr>
        <w:t>十一、项目实施方案</w:t>
      </w:r>
    </w:p>
    <w:p w14:paraId="173CA8D2">
      <w:pPr>
        <w:spacing w:line="480" w:lineRule="exact"/>
        <w:outlineLvl w:val="1"/>
        <w:rPr>
          <w:color w:val="auto"/>
          <w:sz w:val="24"/>
          <w:szCs w:val="24"/>
          <w:highlight w:val="none"/>
        </w:rPr>
      </w:pPr>
      <w:r>
        <w:rPr>
          <w:rFonts w:hint="eastAsia"/>
          <w:color w:val="auto"/>
          <w:sz w:val="24"/>
          <w:szCs w:val="24"/>
          <w:highlight w:val="none"/>
        </w:rPr>
        <w:t>根据评分办法自行编制</w:t>
      </w:r>
    </w:p>
    <w:p w14:paraId="3A5B3E72">
      <w:pPr>
        <w:spacing w:line="480" w:lineRule="exact"/>
        <w:outlineLvl w:val="1"/>
        <w:rPr>
          <w:color w:val="auto"/>
          <w:sz w:val="24"/>
          <w:szCs w:val="24"/>
          <w:highlight w:val="none"/>
        </w:rPr>
      </w:pPr>
    </w:p>
    <w:p w14:paraId="23978F3E">
      <w:pPr>
        <w:spacing w:line="480" w:lineRule="exact"/>
        <w:outlineLvl w:val="1"/>
        <w:rPr>
          <w:color w:val="auto"/>
          <w:sz w:val="24"/>
          <w:szCs w:val="24"/>
          <w:highlight w:val="none"/>
        </w:rPr>
      </w:pPr>
    </w:p>
    <w:p w14:paraId="55604A9A">
      <w:pPr>
        <w:spacing w:line="480" w:lineRule="exact"/>
        <w:outlineLvl w:val="1"/>
        <w:rPr>
          <w:rFonts w:ascii="宋体" w:hAnsi="黑体" w:eastAsia="黑体" w:cs="黑体"/>
          <w:color w:val="auto"/>
          <w:sz w:val="32"/>
          <w:szCs w:val="32"/>
          <w:highlight w:val="none"/>
        </w:rPr>
      </w:pPr>
      <w:r>
        <w:rPr>
          <w:rFonts w:hint="eastAsia" w:ascii="宋体" w:hAnsi="黑体" w:eastAsia="黑体" w:cs="黑体"/>
          <w:color w:val="auto"/>
          <w:sz w:val="32"/>
          <w:szCs w:val="32"/>
          <w:highlight w:val="none"/>
        </w:rPr>
        <w:t>十二、设备安装方案</w:t>
      </w:r>
    </w:p>
    <w:p w14:paraId="50E49593">
      <w:pPr>
        <w:spacing w:line="480" w:lineRule="exact"/>
        <w:outlineLvl w:val="1"/>
        <w:rPr>
          <w:rFonts w:ascii="宋体" w:hAnsi="黑体" w:eastAsia="黑体" w:cs="黑体"/>
          <w:color w:val="auto"/>
          <w:sz w:val="32"/>
          <w:szCs w:val="32"/>
          <w:highlight w:val="none"/>
        </w:rPr>
      </w:pPr>
      <w:r>
        <w:rPr>
          <w:rFonts w:hint="eastAsia"/>
          <w:color w:val="auto"/>
          <w:sz w:val="24"/>
          <w:szCs w:val="24"/>
          <w:highlight w:val="none"/>
        </w:rPr>
        <w:t>根据评分办法自行编制</w:t>
      </w:r>
    </w:p>
    <w:p w14:paraId="129C3464">
      <w:pPr>
        <w:spacing w:line="480" w:lineRule="exact"/>
        <w:outlineLvl w:val="1"/>
        <w:rPr>
          <w:rFonts w:ascii="宋体" w:hAnsi="黑体" w:eastAsia="黑体" w:cs="黑体"/>
          <w:color w:val="auto"/>
          <w:sz w:val="32"/>
          <w:szCs w:val="32"/>
          <w:highlight w:val="none"/>
        </w:rPr>
      </w:pPr>
    </w:p>
    <w:p w14:paraId="27F10A63">
      <w:pPr>
        <w:spacing w:line="480" w:lineRule="exact"/>
        <w:outlineLvl w:val="1"/>
        <w:rPr>
          <w:rFonts w:ascii="宋体" w:hAnsi="黑体" w:eastAsia="黑体" w:cs="黑体"/>
          <w:color w:val="auto"/>
          <w:sz w:val="32"/>
          <w:szCs w:val="32"/>
          <w:highlight w:val="none"/>
        </w:rPr>
      </w:pPr>
    </w:p>
    <w:p w14:paraId="09A2134F">
      <w:pPr>
        <w:spacing w:line="480" w:lineRule="exact"/>
        <w:outlineLvl w:val="1"/>
        <w:rPr>
          <w:rFonts w:ascii="宋体" w:hAnsi="黑体" w:eastAsia="黑体" w:cs="黑体"/>
          <w:color w:val="auto"/>
          <w:sz w:val="32"/>
          <w:szCs w:val="32"/>
          <w:highlight w:val="none"/>
        </w:rPr>
      </w:pPr>
      <w:r>
        <w:rPr>
          <w:rFonts w:hint="eastAsia" w:ascii="宋体" w:hAnsi="黑体" w:eastAsia="黑体" w:cs="黑体"/>
          <w:color w:val="auto"/>
          <w:sz w:val="32"/>
          <w:szCs w:val="32"/>
          <w:highlight w:val="none"/>
        </w:rPr>
        <w:t>十三、售后服务方案</w:t>
      </w:r>
    </w:p>
    <w:p w14:paraId="487B7A1F">
      <w:pPr>
        <w:spacing w:line="480" w:lineRule="exact"/>
        <w:outlineLvl w:val="1"/>
        <w:rPr>
          <w:rFonts w:ascii="宋体" w:hAnsi="黑体" w:eastAsia="黑体" w:cs="黑体"/>
          <w:color w:val="auto"/>
          <w:sz w:val="32"/>
          <w:szCs w:val="32"/>
          <w:highlight w:val="none"/>
        </w:rPr>
      </w:pPr>
      <w:r>
        <w:rPr>
          <w:rFonts w:hint="eastAsia"/>
          <w:color w:val="auto"/>
          <w:sz w:val="24"/>
          <w:szCs w:val="24"/>
          <w:highlight w:val="none"/>
        </w:rPr>
        <w:t>根据评分办法自行编制</w:t>
      </w:r>
    </w:p>
    <w:p w14:paraId="442DDE6E">
      <w:pPr>
        <w:spacing w:line="480" w:lineRule="exact"/>
        <w:outlineLvl w:val="1"/>
        <w:rPr>
          <w:rFonts w:ascii="宋体" w:hAnsi="黑体" w:eastAsia="黑体" w:cs="黑体"/>
          <w:color w:val="auto"/>
          <w:sz w:val="32"/>
          <w:szCs w:val="32"/>
          <w:highlight w:val="none"/>
        </w:rPr>
      </w:pPr>
    </w:p>
    <w:p w14:paraId="6843487F">
      <w:pPr>
        <w:spacing w:line="480" w:lineRule="exact"/>
        <w:outlineLvl w:val="1"/>
        <w:rPr>
          <w:rFonts w:ascii="宋体" w:hAnsi="黑体" w:eastAsia="黑体" w:cs="黑体"/>
          <w:color w:val="auto"/>
          <w:sz w:val="32"/>
          <w:szCs w:val="32"/>
          <w:highlight w:val="none"/>
        </w:rPr>
      </w:pPr>
    </w:p>
    <w:p w14:paraId="55AFCDC0">
      <w:pPr>
        <w:spacing w:line="480" w:lineRule="exact"/>
        <w:outlineLvl w:val="1"/>
        <w:rPr>
          <w:rFonts w:ascii="宋体" w:hAnsi="黑体" w:eastAsia="黑体" w:cs="黑体"/>
          <w:color w:val="auto"/>
          <w:sz w:val="32"/>
          <w:szCs w:val="32"/>
          <w:highlight w:val="none"/>
        </w:rPr>
      </w:pPr>
    </w:p>
    <w:p w14:paraId="1FAA9F39">
      <w:pPr>
        <w:spacing w:line="480" w:lineRule="exact"/>
        <w:outlineLvl w:val="1"/>
        <w:rPr>
          <w:rFonts w:ascii="宋体" w:hAnsi="黑体" w:eastAsia="黑体" w:cs="黑体"/>
          <w:color w:val="auto"/>
          <w:sz w:val="32"/>
          <w:szCs w:val="32"/>
          <w:highlight w:val="none"/>
        </w:rPr>
      </w:pPr>
    </w:p>
    <w:p w14:paraId="505444E9">
      <w:pPr>
        <w:spacing w:line="480" w:lineRule="exact"/>
        <w:outlineLvl w:val="1"/>
        <w:rPr>
          <w:rFonts w:ascii="宋体" w:hAnsi="黑体" w:eastAsia="黑体" w:cs="黑体"/>
          <w:color w:val="auto"/>
          <w:sz w:val="32"/>
          <w:szCs w:val="32"/>
          <w:highlight w:val="none"/>
        </w:rPr>
      </w:pPr>
    </w:p>
    <w:p w14:paraId="2D6BEF24">
      <w:pPr>
        <w:spacing w:line="480" w:lineRule="exact"/>
        <w:outlineLvl w:val="1"/>
        <w:rPr>
          <w:rFonts w:ascii="宋体" w:hAnsi="黑体" w:eastAsia="黑体" w:cs="黑体"/>
          <w:color w:val="auto"/>
          <w:sz w:val="32"/>
          <w:szCs w:val="32"/>
          <w:highlight w:val="none"/>
        </w:rPr>
      </w:pPr>
    </w:p>
    <w:p w14:paraId="35AFE771">
      <w:pPr>
        <w:spacing w:line="480" w:lineRule="exact"/>
        <w:outlineLvl w:val="1"/>
        <w:rPr>
          <w:rFonts w:ascii="宋体" w:hAnsi="黑体" w:eastAsia="黑体" w:cs="黑体"/>
          <w:color w:val="auto"/>
          <w:sz w:val="32"/>
          <w:szCs w:val="32"/>
          <w:highlight w:val="none"/>
        </w:rPr>
      </w:pPr>
    </w:p>
    <w:p w14:paraId="57B81B97">
      <w:pPr>
        <w:spacing w:line="480" w:lineRule="exact"/>
        <w:outlineLvl w:val="1"/>
        <w:rPr>
          <w:rFonts w:ascii="宋体" w:hAnsi="黑体" w:eastAsia="黑体" w:cs="黑体"/>
          <w:color w:val="auto"/>
          <w:sz w:val="32"/>
          <w:szCs w:val="32"/>
          <w:highlight w:val="none"/>
        </w:rPr>
      </w:pPr>
    </w:p>
    <w:p w14:paraId="452ED03C">
      <w:pPr>
        <w:spacing w:line="480" w:lineRule="exact"/>
        <w:outlineLvl w:val="1"/>
        <w:rPr>
          <w:rFonts w:ascii="宋体" w:hAnsi="黑体" w:eastAsia="黑体" w:cs="黑体"/>
          <w:color w:val="auto"/>
          <w:sz w:val="32"/>
          <w:szCs w:val="32"/>
          <w:highlight w:val="none"/>
        </w:rPr>
      </w:pPr>
    </w:p>
    <w:p w14:paraId="41FCE8C4">
      <w:pPr>
        <w:spacing w:line="480" w:lineRule="exact"/>
        <w:outlineLvl w:val="1"/>
        <w:rPr>
          <w:rFonts w:ascii="宋体" w:hAnsi="黑体" w:eastAsia="黑体" w:cs="黑体"/>
          <w:color w:val="auto"/>
          <w:sz w:val="32"/>
          <w:szCs w:val="32"/>
          <w:highlight w:val="none"/>
        </w:rPr>
      </w:pPr>
    </w:p>
    <w:p w14:paraId="02A60C04">
      <w:pPr>
        <w:spacing w:line="480" w:lineRule="exact"/>
        <w:outlineLvl w:val="1"/>
        <w:rPr>
          <w:rFonts w:ascii="宋体" w:hAnsi="黑体" w:eastAsia="黑体" w:cs="黑体"/>
          <w:color w:val="auto"/>
          <w:sz w:val="32"/>
          <w:szCs w:val="32"/>
          <w:highlight w:val="none"/>
        </w:rPr>
      </w:pPr>
    </w:p>
    <w:p w14:paraId="3A5F2876">
      <w:pPr>
        <w:spacing w:line="480" w:lineRule="exact"/>
        <w:outlineLvl w:val="1"/>
        <w:rPr>
          <w:rFonts w:ascii="宋体" w:hAnsi="黑体" w:eastAsia="黑体" w:cs="黑体"/>
          <w:color w:val="auto"/>
          <w:sz w:val="32"/>
          <w:szCs w:val="32"/>
          <w:highlight w:val="none"/>
        </w:rPr>
      </w:pPr>
    </w:p>
    <w:p w14:paraId="535C7F1C">
      <w:pPr>
        <w:spacing w:line="480" w:lineRule="exact"/>
        <w:outlineLvl w:val="1"/>
        <w:rPr>
          <w:rFonts w:ascii="宋体" w:hAnsi="黑体" w:eastAsia="黑体" w:cs="黑体"/>
          <w:color w:val="auto"/>
          <w:sz w:val="32"/>
          <w:szCs w:val="32"/>
          <w:highlight w:val="none"/>
        </w:rPr>
      </w:pPr>
    </w:p>
    <w:p w14:paraId="541A7BB2">
      <w:pPr>
        <w:spacing w:line="480" w:lineRule="exact"/>
        <w:outlineLvl w:val="1"/>
        <w:rPr>
          <w:rFonts w:ascii="宋体" w:hAnsi="黑体" w:eastAsia="黑体" w:cs="黑体"/>
          <w:color w:val="auto"/>
          <w:sz w:val="32"/>
          <w:szCs w:val="32"/>
          <w:highlight w:val="none"/>
        </w:rPr>
      </w:pPr>
    </w:p>
    <w:p w14:paraId="67E4F1BE">
      <w:pPr>
        <w:spacing w:line="480" w:lineRule="exact"/>
        <w:outlineLvl w:val="1"/>
        <w:rPr>
          <w:rFonts w:ascii="宋体" w:hAnsi="黑体" w:eastAsia="黑体" w:cs="黑体"/>
          <w:color w:val="auto"/>
          <w:sz w:val="32"/>
          <w:szCs w:val="32"/>
          <w:highlight w:val="none"/>
        </w:rPr>
      </w:pPr>
    </w:p>
    <w:p w14:paraId="0802E1FD">
      <w:pPr>
        <w:spacing w:line="480" w:lineRule="exact"/>
        <w:outlineLvl w:val="1"/>
        <w:rPr>
          <w:rFonts w:ascii="宋体" w:hAnsi="黑体" w:eastAsia="黑体" w:cs="黑体"/>
          <w:color w:val="auto"/>
          <w:sz w:val="32"/>
          <w:szCs w:val="32"/>
          <w:highlight w:val="none"/>
        </w:rPr>
      </w:pPr>
    </w:p>
    <w:p w14:paraId="132CE983">
      <w:pPr>
        <w:spacing w:line="480" w:lineRule="exact"/>
        <w:outlineLvl w:val="1"/>
        <w:rPr>
          <w:rFonts w:ascii="宋体" w:hAnsi="黑体" w:eastAsia="黑体" w:cs="黑体"/>
          <w:color w:val="auto"/>
          <w:sz w:val="32"/>
          <w:szCs w:val="32"/>
          <w:highlight w:val="none"/>
        </w:rPr>
      </w:pPr>
    </w:p>
    <w:p w14:paraId="0A27DB8B">
      <w:pPr>
        <w:spacing w:line="480" w:lineRule="exact"/>
        <w:outlineLvl w:val="1"/>
        <w:rPr>
          <w:rFonts w:ascii="宋体" w:hAnsi="黑体" w:eastAsia="黑体" w:cs="黑体"/>
          <w:color w:val="auto"/>
          <w:sz w:val="32"/>
          <w:szCs w:val="32"/>
          <w:highlight w:val="none"/>
        </w:rPr>
      </w:pPr>
    </w:p>
    <w:p w14:paraId="0AA176DA">
      <w:pPr>
        <w:spacing w:line="480" w:lineRule="exact"/>
        <w:outlineLvl w:val="1"/>
        <w:rPr>
          <w:rFonts w:ascii="宋体" w:hAnsi="黑体" w:eastAsia="黑体" w:cs="黑体"/>
          <w:color w:val="auto"/>
          <w:sz w:val="32"/>
          <w:szCs w:val="32"/>
          <w:highlight w:val="none"/>
        </w:rPr>
      </w:pPr>
    </w:p>
    <w:p w14:paraId="0A8A5C09">
      <w:pPr>
        <w:spacing w:line="480" w:lineRule="exact"/>
        <w:outlineLvl w:val="1"/>
        <w:rPr>
          <w:rFonts w:ascii="宋体" w:cs="宋体"/>
          <w:b/>
          <w:color w:val="auto"/>
          <w:sz w:val="24"/>
          <w:szCs w:val="24"/>
          <w:highlight w:val="none"/>
        </w:rPr>
      </w:pPr>
      <w:r>
        <w:rPr>
          <w:rFonts w:hint="eastAsia" w:ascii="宋体" w:cs="宋体"/>
          <w:b/>
          <w:color w:val="auto"/>
          <w:sz w:val="24"/>
          <w:szCs w:val="24"/>
          <w:highlight w:val="none"/>
        </w:rPr>
        <w:t>十四、关于符合本国产品标准的声明函（采购包号：**）</w:t>
      </w:r>
    </w:p>
    <w:p w14:paraId="17A11830">
      <w:pPr>
        <w:spacing w:line="480" w:lineRule="exact"/>
        <w:rPr>
          <w:rFonts w:ascii="宋体" w:hAnsi="宋体" w:eastAsia="黑体" w:cs="黑体"/>
          <w:color w:val="auto"/>
          <w:sz w:val="32"/>
          <w:szCs w:val="32"/>
          <w:highlight w:val="none"/>
        </w:rPr>
      </w:pPr>
    </w:p>
    <w:p w14:paraId="767D970F">
      <w:pPr>
        <w:widowControl/>
        <w:spacing w:line="480" w:lineRule="exact"/>
        <w:ind w:firstLine="480"/>
        <w:jc w:val="left"/>
        <w:rPr>
          <w:rFonts w:ascii="宋体" w:cs="宋体"/>
          <w:color w:val="auto"/>
          <w:sz w:val="24"/>
          <w:szCs w:val="24"/>
          <w:highlight w:val="none"/>
        </w:rPr>
      </w:pPr>
      <w:r>
        <w:rPr>
          <w:rFonts w:hint="eastAsia" w:ascii="宋体" w:cs="宋体"/>
          <w:color w:val="auto"/>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18941DF4">
      <w:pPr>
        <w:widowControl/>
        <w:numPr>
          <w:ilvl w:val="0"/>
          <w:numId w:val="10"/>
        </w:numPr>
        <w:spacing w:line="480" w:lineRule="exact"/>
        <w:ind w:firstLine="480"/>
        <w:jc w:val="left"/>
        <w:rPr>
          <w:rFonts w:ascii="宋体" w:cs="宋体"/>
          <w:color w:val="auto"/>
          <w:sz w:val="24"/>
          <w:szCs w:val="24"/>
          <w:highlight w:val="none"/>
          <w:shd w:val="clear" w:color="auto" w:fill="FFFFFF"/>
        </w:rPr>
      </w:pPr>
      <w:r>
        <w:rPr>
          <w:rStyle w:val="522"/>
          <w:rFonts w:hint="eastAsia" w:ascii="宋体" w:cs="宋体"/>
          <w:color w:val="auto"/>
          <w:sz w:val="24"/>
          <w:szCs w:val="24"/>
          <w:highlight w:val="none"/>
          <w:u w:val="single"/>
          <w:shd w:val="clear" w:color="auto" w:fill="FFFFFF"/>
        </w:rPr>
        <w:t>（产品名称1）</w:t>
      </w:r>
      <w:r>
        <w:rPr>
          <w:rFonts w:hint="eastAsia" w:ascii="宋体" w:cs="宋体"/>
          <w:color w:val="auto"/>
          <w:sz w:val="24"/>
          <w:szCs w:val="24"/>
          <w:highlight w:val="none"/>
          <w:shd w:val="clear" w:color="auto" w:fill="FFFFFF"/>
        </w:rPr>
        <w:t>，生产厂为</w:t>
      </w:r>
      <w:r>
        <w:rPr>
          <w:rStyle w:val="522"/>
          <w:rFonts w:hint="eastAsia" w:ascii="宋体" w:cs="宋体"/>
          <w:color w:val="auto"/>
          <w:sz w:val="24"/>
          <w:szCs w:val="24"/>
          <w:highlight w:val="none"/>
          <w:u w:val="single"/>
          <w:shd w:val="clear" w:color="auto" w:fill="FFFFFF"/>
        </w:rPr>
        <w:t>（厂名）</w:t>
      </w:r>
      <w:r>
        <w:rPr>
          <w:rFonts w:hint="eastAsia" w:ascii="宋体" w:cs="宋体"/>
          <w:color w:val="auto"/>
          <w:sz w:val="24"/>
          <w:szCs w:val="24"/>
          <w:highlight w:val="none"/>
          <w:shd w:val="clear" w:color="auto" w:fill="FFFFFF"/>
        </w:rPr>
        <w:t>，厂址为</w:t>
      </w:r>
      <w:r>
        <w:rPr>
          <w:rStyle w:val="522"/>
          <w:rFonts w:hint="eastAsia" w:ascii="宋体" w:cs="宋体"/>
          <w:color w:val="auto"/>
          <w:sz w:val="24"/>
          <w:szCs w:val="24"/>
          <w:highlight w:val="none"/>
          <w:u w:val="single"/>
          <w:shd w:val="clear" w:color="auto" w:fill="FFFFFF"/>
        </w:rPr>
        <w:t>（生产厂址）</w:t>
      </w:r>
      <w:r>
        <w:rPr>
          <w:rFonts w:hint="eastAsia" w:ascii="宋体" w:cs="宋体"/>
          <w:color w:val="auto"/>
          <w:sz w:val="24"/>
          <w:szCs w:val="24"/>
          <w:highlight w:val="none"/>
          <w:shd w:val="clear" w:color="auto" w:fill="FFFFFF"/>
        </w:rPr>
        <w:t>。</w:t>
      </w:r>
      <w:r>
        <w:rPr>
          <w:rFonts w:hint="eastAsia" w:ascii="宋体" w:cs="宋体"/>
          <w:color w:val="auto"/>
          <w:sz w:val="24"/>
          <w:szCs w:val="24"/>
          <w:highlight w:val="none"/>
          <w:u w:val="single"/>
          <w:shd w:val="clear" w:color="auto" w:fill="FFFFFF"/>
        </w:rPr>
        <w:t xml:space="preserve"> </w:t>
      </w:r>
      <w:r>
        <w:rPr>
          <w:rStyle w:val="522"/>
          <w:rFonts w:hint="eastAsia" w:ascii="宋体" w:cs="宋体"/>
          <w:strike/>
          <w:color w:val="auto"/>
          <w:sz w:val="24"/>
          <w:szCs w:val="24"/>
          <w:highlight w:val="none"/>
          <w:u w:val="single"/>
          <w:shd w:val="clear" w:color="auto" w:fill="FFFFFF"/>
        </w:rPr>
        <w:t>（产品名称1）</w:t>
      </w:r>
      <w:r>
        <w:rPr>
          <w:rStyle w:val="522"/>
          <w:rFonts w:hint="eastAsia" w:ascii="宋体" w:cs="宋体"/>
          <w:color w:val="auto"/>
          <w:sz w:val="24"/>
          <w:szCs w:val="24"/>
          <w:highlight w:val="none"/>
          <w:u w:val="single"/>
          <w:shd w:val="clear" w:color="auto" w:fill="FFFFFF"/>
        </w:rPr>
        <w:t xml:space="preserve"> </w:t>
      </w:r>
      <w:r>
        <w:rPr>
          <w:rFonts w:hint="eastAsia" w:ascii="宋体" w:cs="宋体"/>
          <w:color w:val="auto"/>
          <w:sz w:val="24"/>
          <w:szCs w:val="24"/>
          <w:highlight w:val="none"/>
          <w:shd w:val="clear" w:color="auto" w:fill="FFFFFF"/>
        </w:rPr>
        <w:t>的中国境内生产的组件成本占比≥</w:t>
      </w:r>
      <w:r>
        <w:rPr>
          <w:rStyle w:val="522"/>
          <w:rFonts w:hint="eastAsia" w:ascii="宋体" w:cs="宋体"/>
          <w:strike/>
          <w:color w:val="auto"/>
          <w:sz w:val="24"/>
          <w:szCs w:val="24"/>
          <w:highlight w:val="none"/>
          <w:u w:val="single"/>
          <w:shd w:val="clear" w:color="auto" w:fill="FFFFFF"/>
        </w:rPr>
        <w:t>（规定比例）</w:t>
      </w:r>
      <w:r>
        <w:rPr>
          <w:rFonts w:hint="eastAsia" w:ascii="宋体" w:cs="宋体"/>
          <w:color w:val="auto"/>
          <w:sz w:val="24"/>
          <w:szCs w:val="24"/>
          <w:highlight w:val="none"/>
          <w:shd w:val="clear" w:color="auto" w:fill="FFFFFF"/>
        </w:rPr>
        <w:t>。</w:t>
      </w:r>
      <w:r>
        <w:rPr>
          <w:rStyle w:val="522"/>
          <w:rFonts w:hint="eastAsia" w:ascii="宋体" w:cs="宋体"/>
          <w:strike/>
          <w:color w:val="auto"/>
          <w:sz w:val="24"/>
          <w:szCs w:val="24"/>
          <w:highlight w:val="none"/>
          <w:u w:val="single"/>
          <w:shd w:val="clear" w:color="auto" w:fill="FFFFFF"/>
        </w:rPr>
        <w:t>（产品名称1）</w:t>
      </w:r>
      <w:r>
        <w:rPr>
          <w:rFonts w:hint="eastAsia" w:ascii="宋体" w:cs="宋体"/>
          <w:color w:val="auto"/>
          <w:sz w:val="24"/>
          <w:szCs w:val="24"/>
          <w:highlight w:val="none"/>
          <w:shd w:val="clear" w:color="auto" w:fill="FFFFFF"/>
        </w:rPr>
        <w:t>的</w:t>
      </w:r>
      <w:r>
        <w:rPr>
          <w:rStyle w:val="522"/>
          <w:rFonts w:hint="eastAsia" w:ascii="宋体" w:cs="宋体"/>
          <w:strike/>
          <w:color w:val="auto"/>
          <w:sz w:val="24"/>
          <w:szCs w:val="24"/>
          <w:highlight w:val="none"/>
          <w:u w:val="single"/>
          <w:shd w:val="clear" w:color="auto" w:fill="FFFFFF"/>
        </w:rPr>
        <w:t>（关键组件）</w:t>
      </w:r>
      <w:r>
        <w:rPr>
          <w:rFonts w:hint="eastAsia" w:ascii="宋体" w:cs="宋体"/>
          <w:color w:val="auto"/>
          <w:sz w:val="24"/>
          <w:szCs w:val="24"/>
          <w:highlight w:val="none"/>
          <w:shd w:val="clear" w:color="auto" w:fill="FFFFFF"/>
        </w:rPr>
        <w:t>在中国境内生产。</w:t>
      </w:r>
      <w:r>
        <w:rPr>
          <w:rStyle w:val="522"/>
          <w:rFonts w:hint="eastAsia" w:ascii="宋体" w:cs="宋体"/>
          <w:strike/>
          <w:color w:val="auto"/>
          <w:sz w:val="24"/>
          <w:szCs w:val="24"/>
          <w:highlight w:val="none"/>
          <w:u w:val="single"/>
          <w:shd w:val="clear" w:color="auto" w:fill="FFFFFF"/>
        </w:rPr>
        <w:t>（产品名称1）</w:t>
      </w:r>
      <w:r>
        <w:rPr>
          <w:rFonts w:hint="eastAsia" w:ascii="宋体" w:cs="宋体"/>
          <w:color w:val="auto"/>
          <w:sz w:val="24"/>
          <w:szCs w:val="24"/>
          <w:highlight w:val="none"/>
          <w:shd w:val="clear" w:color="auto" w:fill="FFFFFF"/>
        </w:rPr>
        <w:t>的</w:t>
      </w:r>
      <w:r>
        <w:rPr>
          <w:rStyle w:val="522"/>
          <w:rFonts w:hint="eastAsia" w:ascii="宋体" w:cs="宋体"/>
          <w:strike/>
          <w:color w:val="auto"/>
          <w:sz w:val="24"/>
          <w:szCs w:val="24"/>
          <w:highlight w:val="none"/>
          <w:u w:val="single"/>
          <w:shd w:val="clear" w:color="auto" w:fill="FFFFFF"/>
        </w:rPr>
        <w:t>（关键工序）</w:t>
      </w:r>
      <w:r>
        <w:rPr>
          <w:rFonts w:hint="eastAsia" w:ascii="宋体" w:cs="宋体"/>
          <w:color w:val="auto"/>
          <w:sz w:val="24"/>
          <w:szCs w:val="24"/>
          <w:highlight w:val="none"/>
          <w:shd w:val="clear" w:color="auto" w:fill="FFFFFF"/>
        </w:rPr>
        <w:t>在中国境内完成。</w:t>
      </w:r>
    </w:p>
    <w:p w14:paraId="591D8A35">
      <w:pPr>
        <w:widowControl/>
        <w:spacing w:line="480" w:lineRule="exact"/>
        <w:ind w:firstLine="480"/>
        <w:jc w:val="left"/>
        <w:rPr>
          <w:rFonts w:ascii="宋体" w:cs="宋体"/>
          <w:color w:val="auto"/>
          <w:sz w:val="24"/>
          <w:szCs w:val="24"/>
          <w:highlight w:val="none"/>
        </w:rPr>
      </w:pPr>
      <w:r>
        <w:rPr>
          <w:rFonts w:hint="eastAsia" w:ascii="宋体" w:cs="宋体"/>
          <w:color w:val="auto"/>
          <w:sz w:val="24"/>
          <w:szCs w:val="24"/>
          <w:highlight w:val="none"/>
          <w:shd w:val="clear" w:color="auto" w:fill="FFFFFF"/>
        </w:rPr>
        <w:t>2.</w:t>
      </w:r>
      <w:r>
        <w:rPr>
          <w:rStyle w:val="522"/>
          <w:rFonts w:hint="eastAsia" w:ascii="宋体" w:cs="宋体"/>
          <w:color w:val="auto"/>
          <w:sz w:val="24"/>
          <w:szCs w:val="24"/>
          <w:highlight w:val="none"/>
          <w:u w:val="single"/>
          <w:shd w:val="clear" w:color="auto" w:fill="FFFFFF"/>
        </w:rPr>
        <w:t>（产品名称2）</w:t>
      </w:r>
      <w:r>
        <w:rPr>
          <w:rFonts w:hint="eastAsia" w:ascii="宋体" w:cs="宋体"/>
          <w:color w:val="auto"/>
          <w:sz w:val="24"/>
          <w:szCs w:val="24"/>
          <w:highlight w:val="none"/>
          <w:shd w:val="clear" w:color="auto" w:fill="FFFFFF"/>
        </w:rPr>
        <w:t>，生产厂为</w:t>
      </w:r>
      <w:r>
        <w:rPr>
          <w:rStyle w:val="522"/>
          <w:rFonts w:hint="eastAsia" w:ascii="宋体" w:cs="宋体"/>
          <w:color w:val="auto"/>
          <w:sz w:val="24"/>
          <w:szCs w:val="24"/>
          <w:highlight w:val="none"/>
          <w:u w:val="single"/>
          <w:shd w:val="clear" w:color="auto" w:fill="FFFFFF"/>
        </w:rPr>
        <w:t>（厂名）</w:t>
      </w:r>
      <w:r>
        <w:rPr>
          <w:rFonts w:hint="eastAsia" w:ascii="宋体" w:cs="宋体"/>
          <w:color w:val="auto"/>
          <w:sz w:val="24"/>
          <w:szCs w:val="24"/>
          <w:highlight w:val="none"/>
          <w:shd w:val="clear" w:color="auto" w:fill="FFFFFF"/>
        </w:rPr>
        <w:t>，厂址为</w:t>
      </w:r>
      <w:r>
        <w:rPr>
          <w:rStyle w:val="522"/>
          <w:rFonts w:hint="eastAsia" w:ascii="宋体" w:cs="宋体"/>
          <w:color w:val="auto"/>
          <w:sz w:val="24"/>
          <w:szCs w:val="24"/>
          <w:highlight w:val="none"/>
          <w:u w:val="single"/>
          <w:shd w:val="clear" w:color="auto" w:fill="FFFFFF"/>
        </w:rPr>
        <w:t>（生产厂址）</w:t>
      </w:r>
      <w:r>
        <w:rPr>
          <w:rFonts w:hint="eastAsia" w:ascii="宋体" w:cs="宋体"/>
          <w:color w:val="auto"/>
          <w:sz w:val="24"/>
          <w:szCs w:val="24"/>
          <w:highlight w:val="none"/>
          <w:shd w:val="clear" w:color="auto" w:fill="FFFFFF"/>
        </w:rPr>
        <w:t>。</w:t>
      </w:r>
      <w:r>
        <w:rPr>
          <w:rStyle w:val="522"/>
          <w:rFonts w:hint="eastAsia" w:ascii="宋体" w:cs="宋体"/>
          <w:strike/>
          <w:color w:val="auto"/>
          <w:sz w:val="24"/>
          <w:szCs w:val="24"/>
          <w:highlight w:val="none"/>
          <w:u w:val="single"/>
          <w:shd w:val="clear" w:color="auto" w:fill="FFFFFF"/>
        </w:rPr>
        <w:t>（产品名称2）</w:t>
      </w:r>
      <w:r>
        <w:rPr>
          <w:rFonts w:hint="eastAsia" w:ascii="宋体" w:cs="宋体"/>
          <w:color w:val="auto"/>
          <w:sz w:val="24"/>
          <w:szCs w:val="24"/>
          <w:highlight w:val="none"/>
          <w:shd w:val="clear" w:color="auto" w:fill="FFFFFF"/>
        </w:rPr>
        <w:t>的中国境内生产的组件成本占比≥</w:t>
      </w:r>
      <w:r>
        <w:rPr>
          <w:rStyle w:val="522"/>
          <w:rFonts w:hint="eastAsia" w:ascii="宋体" w:cs="宋体"/>
          <w:strike/>
          <w:color w:val="auto"/>
          <w:sz w:val="24"/>
          <w:szCs w:val="24"/>
          <w:highlight w:val="none"/>
          <w:u w:val="single"/>
          <w:shd w:val="clear" w:color="auto" w:fill="FFFFFF"/>
        </w:rPr>
        <w:t>（规定比例）</w:t>
      </w:r>
      <w:r>
        <w:rPr>
          <w:rFonts w:hint="eastAsia" w:ascii="宋体" w:cs="宋体"/>
          <w:color w:val="auto"/>
          <w:sz w:val="24"/>
          <w:szCs w:val="24"/>
          <w:highlight w:val="none"/>
          <w:shd w:val="clear" w:color="auto" w:fill="FFFFFF"/>
        </w:rPr>
        <w:t>。</w:t>
      </w:r>
      <w:r>
        <w:rPr>
          <w:rStyle w:val="522"/>
          <w:rFonts w:hint="eastAsia" w:ascii="宋体" w:cs="宋体"/>
          <w:strike/>
          <w:color w:val="auto"/>
          <w:sz w:val="24"/>
          <w:szCs w:val="24"/>
          <w:highlight w:val="none"/>
          <w:u w:val="single"/>
          <w:shd w:val="clear" w:color="auto" w:fill="FFFFFF"/>
        </w:rPr>
        <w:t>（产品名称2）</w:t>
      </w:r>
      <w:r>
        <w:rPr>
          <w:rFonts w:hint="eastAsia" w:ascii="宋体" w:cs="宋体"/>
          <w:color w:val="auto"/>
          <w:sz w:val="24"/>
          <w:szCs w:val="24"/>
          <w:highlight w:val="none"/>
          <w:shd w:val="clear" w:color="auto" w:fill="FFFFFF"/>
        </w:rPr>
        <w:t>的</w:t>
      </w:r>
      <w:r>
        <w:rPr>
          <w:rStyle w:val="522"/>
          <w:rFonts w:hint="eastAsia" w:ascii="宋体" w:cs="宋体"/>
          <w:strike/>
          <w:color w:val="auto"/>
          <w:sz w:val="24"/>
          <w:szCs w:val="24"/>
          <w:highlight w:val="none"/>
          <w:u w:val="single"/>
          <w:shd w:val="clear" w:color="auto" w:fill="FFFFFF"/>
        </w:rPr>
        <w:t>（关键组件）</w:t>
      </w:r>
      <w:r>
        <w:rPr>
          <w:rFonts w:hint="eastAsia" w:ascii="宋体" w:cs="宋体"/>
          <w:color w:val="auto"/>
          <w:sz w:val="24"/>
          <w:szCs w:val="24"/>
          <w:highlight w:val="none"/>
          <w:shd w:val="clear" w:color="auto" w:fill="FFFFFF"/>
        </w:rPr>
        <w:t>在中国境内生产。</w:t>
      </w:r>
      <w:r>
        <w:rPr>
          <w:rStyle w:val="522"/>
          <w:rFonts w:hint="eastAsia" w:ascii="宋体" w:cs="宋体"/>
          <w:strike/>
          <w:color w:val="auto"/>
          <w:sz w:val="24"/>
          <w:szCs w:val="24"/>
          <w:highlight w:val="none"/>
          <w:u w:val="single"/>
          <w:shd w:val="clear" w:color="auto" w:fill="FFFFFF"/>
        </w:rPr>
        <w:t>（产品名称2）</w:t>
      </w:r>
      <w:r>
        <w:rPr>
          <w:rFonts w:hint="eastAsia" w:ascii="宋体" w:cs="宋体"/>
          <w:color w:val="auto"/>
          <w:sz w:val="24"/>
          <w:szCs w:val="24"/>
          <w:highlight w:val="none"/>
          <w:shd w:val="clear" w:color="auto" w:fill="FFFFFF"/>
        </w:rPr>
        <w:t>的</w:t>
      </w:r>
      <w:r>
        <w:rPr>
          <w:rStyle w:val="522"/>
          <w:rFonts w:hint="eastAsia" w:ascii="宋体" w:cs="宋体"/>
          <w:strike/>
          <w:color w:val="auto"/>
          <w:sz w:val="24"/>
          <w:szCs w:val="24"/>
          <w:highlight w:val="none"/>
          <w:u w:val="single"/>
          <w:shd w:val="clear" w:color="auto" w:fill="FFFFFF"/>
        </w:rPr>
        <w:t>（关键工序）</w:t>
      </w:r>
      <w:r>
        <w:rPr>
          <w:rFonts w:hint="eastAsia" w:ascii="宋体" w:cs="宋体"/>
          <w:color w:val="auto"/>
          <w:sz w:val="24"/>
          <w:szCs w:val="24"/>
          <w:highlight w:val="none"/>
          <w:shd w:val="clear" w:color="auto" w:fill="FFFFFF"/>
        </w:rPr>
        <w:t>在中国境内完成。</w:t>
      </w:r>
    </w:p>
    <w:p w14:paraId="45B27872">
      <w:pPr>
        <w:widowControl/>
        <w:spacing w:line="480" w:lineRule="exact"/>
        <w:ind w:firstLine="480"/>
        <w:jc w:val="left"/>
        <w:rPr>
          <w:rFonts w:ascii="宋体" w:cs="宋体"/>
          <w:color w:val="auto"/>
          <w:sz w:val="24"/>
          <w:szCs w:val="24"/>
          <w:highlight w:val="none"/>
        </w:rPr>
      </w:pPr>
      <w:r>
        <w:rPr>
          <w:rFonts w:hint="eastAsia" w:ascii="宋体" w:cs="宋体"/>
          <w:color w:val="auto"/>
          <w:sz w:val="24"/>
          <w:szCs w:val="24"/>
          <w:highlight w:val="none"/>
          <w:shd w:val="clear" w:color="auto" w:fill="FFFFFF"/>
        </w:rPr>
        <w:t>……</w:t>
      </w:r>
    </w:p>
    <w:p w14:paraId="41B633EA">
      <w:pPr>
        <w:widowControl/>
        <w:spacing w:line="480" w:lineRule="exact"/>
        <w:ind w:firstLine="480"/>
        <w:jc w:val="left"/>
        <w:rPr>
          <w:rFonts w:ascii="宋体" w:cs="宋体"/>
          <w:color w:val="auto"/>
          <w:sz w:val="24"/>
          <w:szCs w:val="24"/>
          <w:highlight w:val="none"/>
        </w:rPr>
      </w:pPr>
      <w:r>
        <w:rPr>
          <w:rFonts w:hint="eastAsia" w:ascii="宋体" w:cs="宋体"/>
          <w:color w:val="auto"/>
          <w:sz w:val="24"/>
          <w:szCs w:val="24"/>
          <w:highlight w:val="none"/>
          <w:shd w:val="clear" w:color="auto" w:fill="FFFFFF"/>
        </w:rPr>
        <w:t>本公司（单位）对上述声明内容的真实性负责。如有虚假，愿承担相应法律责任。</w:t>
      </w:r>
    </w:p>
    <w:p w14:paraId="493960AB">
      <w:pPr>
        <w:widowControl/>
        <w:spacing w:line="480" w:lineRule="exact"/>
        <w:ind w:firstLine="480"/>
        <w:jc w:val="left"/>
        <w:rPr>
          <w:rFonts w:ascii="宋体" w:cs="宋体"/>
          <w:color w:val="auto"/>
          <w:sz w:val="24"/>
          <w:szCs w:val="24"/>
          <w:highlight w:val="none"/>
        </w:rPr>
      </w:pPr>
    </w:p>
    <w:p w14:paraId="60F78399">
      <w:pPr>
        <w:widowControl/>
        <w:spacing w:line="480" w:lineRule="exact"/>
        <w:ind w:firstLine="480"/>
        <w:jc w:val="left"/>
        <w:rPr>
          <w:rFonts w:ascii="宋体" w:cs="宋体"/>
          <w:color w:val="auto"/>
          <w:sz w:val="24"/>
          <w:szCs w:val="24"/>
          <w:highlight w:val="none"/>
        </w:rPr>
      </w:pPr>
      <w:r>
        <w:rPr>
          <w:rFonts w:hint="eastAsia" w:ascii="宋体" w:cs="宋体"/>
          <w:color w:val="auto"/>
          <w:sz w:val="24"/>
          <w:szCs w:val="24"/>
          <w:highlight w:val="none"/>
          <w:shd w:val="clear" w:color="auto" w:fill="FFFFFF"/>
        </w:rPr>
        <w:t>公司（单位）名称（盖章）：　        </w:t>
      </w:r>
    </w:p>
    <w:p w14:paraId="02ACB26A">
      <w:pPr>
        <w:widowControl/>
        <w:spacing w:line="480" w:lineRule="exact"/>
        <w:ind w:firstLine="480"/>
        <w:jc w:val="center"/>
        <w:rPr>
          <w:rFonts w:ascii="宋体" w:cs="宋体"/>
          <w:color w:val="auto"/>
          <w:sz w:val="24"/>
          <w:szCs w:val="24"/>
          <w:highlight w:val="none"/>
        </w:rPr>
      </w:pPr>
      <w:r>
        <w:rPr>
          <w:rFonts w:hint="eastAsia" w:ascii="宋体" w:cs="宋体"/>
          <w:color w:val="auto"/>
          <w:sz w:val="24"/>
          <w:szCs w:val="24"/>
          <w:highlight w:val="none"/>
          <w:shd w:val="clear" w:color="auto" w:fill="FFFFFF"/>
        </w:rPr>
        <w:t xml:space="preserve">                                日期：　   年　  月　  日         </w:t>
      </w:r>
    </w:p>
    <w:p w14:paraId="25577B3E">
      <w:pPr>
        <w:widowControl/>
        <w:spacing w:line="480" w:lineRule="exact"/>
        <w:ind w:firstLine="480"/>
        <w:jc w:val="left"/>
        <w:rPr>
          <w:rFonts w:ascii="宋体" w:cs="宋体"/>
          <w:color w:val="auto"/>
          <w:sz w:val="24"/>
          <w:szCs w:val="24"/>
          <w:highlight w:val="none"/>
        </w:rPr>
      </w:pPr>
      <w:r>
        <w:rPr>
          <w:rFonts w:hint="eastAsia" w:ascii="宋体" w:cs="宋体"/>
          <w:color w:val="auto"/>
          <w:sz w:val="24"/>
          <w:szCs w:val="24"/>
          <w:highlight w:val="none"/>
          <w:shd w:val="clear" w:color="auto" w:fill="FFFFFF"/>
        </w:rPr>
        <w:t>1.产品如有型号，请在“产品名称”栏一并填写。</w:t>
      </w:r>
    </w:p>
    <w:p w14:paraId="535A3CEE">
      <w:pPr>
        <w:widowControl/>
        <w:spacing w:line="480" w:lineRule="exact"/>
        <w:ind w:firstLine="480"/>
        <w:jc w:val="left"/>
        <w:rPr>
          <w:rFonts w:ascii="宋体" w:cs="宋体"/>
          <w:color w:val="auto"/>
          <w:sz w:val="24"/>
          <w:szCs w:val="24"/>
          <w:highlight w:val="none"/>
        </w:rPr>
      </w:pPr>
      <w:r>
        <w:rPr>
          <w:rFonts w:hint="eastAsia" w:ascii="宋体" w:cs="宋体"/>
          <w:color w:val="auto"/>
          <w:sz w:val="24"/>
          <w:szCs w:val="24"/>
          <w:highlight w:val="none"/>
          <w:shd w:val="clear" w:color="auto" w:fill="FFFFFF"/>
        </w:rPr>
        <w:t>2.生产厂名与厂址应与生产厂营业执照载明的相关信息保持一致。</w:t>
      </w:r>
    </w:p>
    <w:p w14:paraId="109B67B0">
      <w:pPr>
        <w:widowControl/>
        <w:spacing w:line="480" w:lineRule="exact"/>
        <w:ind w:firstLine="480"/>
        <w:jc w:val="left"/>
        <w:rPr>
          <w:rFonts w:ascii="宋体" w:cs="宋体"/>
          <w:color w:val="auto"/>
          <w:sz w:val="24"/>
          <w:szCs w:val="24"/>
          <w:highlight w:val="none"/>
        </w:rPr>
      </w:pPr>
      <w:r>
        <w:rPr>
          <w:rFonts w:hint="eastAsia" w:ascii="宋体" w:cs="宋体"/>
          <w:color w:val="auto"/>
          <w:sz w:val="24"/>
          <w:szCs w:val="24"/>
          <w:highlight w:val="none"/>
          <w:shd w:val="clear" w:color="auto" w:fill="FFFFFF"/>
        </w:rPr>
        <w:t>3.该产品的中国境内生产的组件成本占比相关要求实施前，“规定比例”栏可不填，下同。</w:t>
      </w:r>
    </w:p>
    <w:p w14:paraId="1B198EA0">
      <w:pPr>
        <w:widowControl/>
        <w:spacing w:line="480" w:lineRule="exact"/>
        <w:ind w:firstLine="480"/>
        <w:jc w:val="left"/>
        <w:rPr>
          <w:rFonts w:ascii="宋体" w:cs="宋体"/>
          <w:color w:val="auto"/>
          <w:sz w:val="24"/>
          <w:szCs w:val="24"/>
          <w:highlight w:val="none"/>
        </w:rPr>
      </w:pPr>
      <w:r>
        <w:rPr>
          <w:rFonts w:hint="eastAsia" w:ascii="宋体" w:cs="宋体"/>
          <w:color w:val="auto"/>
          <w:sz w:val="24"/>
          <w:szCs w:val="24"/>
          <w:highlight w:val="none"/>
          <w:shd w:val="clear" w:color="auto" w:fill="FFFFFF"/>
        </w:rPr>
        <w:t>4.该产品的关键组件要求实施前，“关键组件”栏可不填，下同。</w:t>
      </w:r>
    </w:p>
    <w:p w14:paraId="6C877415">
      <w:pPr>
        <w:widowControl/>
        <w:spacing w:line="480" w:lineRule="exact"/>
        <w:ind w:firstLine="480"/>
        <w:jc w:val="left"/>
        <w:rPr>
          <w:rFonts w:ascii="宋体" w:cs="宋体"/>
          <w:color w:val="auto"/>
          <w:sz w:val="24"/>
          <w:szCs w:val="24"/>
          <w:highlight w:val="none"/>
          <w:shd w:val="clear" w:color="auto" w:fill="FFFFFF"/>
        </w:rPr>
      </w:pPr>
      <w:r>
        <w:rPr>
          <w:rFonts w:hint="eastAsia" w:ascii="宋体" w:cs="宋体"/>
          <w:color w:val="auto"/>
          <w:sz w:val="24"/>
          <w:szCs w:val="24"/>
          <w:highlight w:val="none"/>
          <w:shd w:val="clear" w:color="auto" w:fill="FFFFFF"/>
        </w:rPr>
        <w:t>5.该产品的关键工序要求实施前，“关键工序”栏可不填，下同。</w:t>
      </w:r>
    </w:p>
    <w:p w14:paraId="08536E09">
      <w:pPr>
        <w:pStyle w:val="163"/>
        <w:spacing w:line="440" w:lineRule="exact"/>
        <w:ind w:firstLine="480"/>
        <w:rPr>
          <w:rFonts w:ascii="宋体" w:eastAsia="宋体" w:cs="宋体"/>
          <w:b w:val="0"/>
          <w:color w:val="auto"/>
          <w:sz w:val="24"/>
          <w:highlight w:val="none"/>
          <w:shd w:val="clear" w:color="auto" w:fill="FFFFFF"/>
        </w:rPr>
        <w:sectPr>
          <w:pgSz w:w="11906" w:h="16838"/>
          <w:pgMar w:top="1440" w:right="1800" w:bottom="1440" w:left="1800" w:header="851" w:footer="992" w:gutter="0"/>
          <w:cols w:space="1701" w:num="1"/>
          <w:docGrid w:linePitch="360" w:charSpace="0"/>
        </w:sectPr>
      </w:pPr>
      <w:r>
        <w:rPr>
          <w:rFonts w:hint="eastAsia" w:ascii="宋体" w:eastAsia="宋体" w:cs="宋体"/>
          <w:b w:val="0"/>
          <w:color w:val="auto"/>
          <w:sz w:val="24"/>
          <w:highlight w:val="none"/>
          <w:shd w:val="clear" w:color="auto" w:fill="FFFFFF"/>
        </w:rPr>
        <w:t>6.用线划除的地方无需填写。</w:t>
      </w:r>
    </w:p>
    <w:p w14:paraId="05A70F16">
      <w:pPr>
        <w:spacing w:line="480" w:lineRule="exact"/>
        <w:outlineLvl w:val="1"/>
        <w:rPr>
          <w:rFonts w:ascii="宋体" w:hAnsi="黑体" w:eastAsia="黑体" w:cs="黑体"/>
          <w:color w:val="auto"/>
          <w:sz w:val="32"/>
          <w:szCs w:val="32"/>
          <w:highlight w:val="none"/>
        </w:rPr>
      </w:pPr>
      <w:r>
        <w:rPr>
          <w:rFonts w:hint="eastAsia" w:ascii="宋体" w:hAnsi="黑体" w:eastAsia="黑体" w:cs="黑体"/>
          <w:color w:val="auto"/>
          <w:sz w:val="32"/>
          <w:szCs w:val="32"/>
          <w:highlight w:val="none"/>
        </w:rPr>
        <w:t>十五、演示</w:t>
      </w:r>
    </w:p>
    <w:p w14:paraId="71057FEF">
      <w:pPr>
        <w:pBdr>
          <w:top w:val="none" w:color="000000" w:sz="0" w:space="0"/>
          <w:left w:val="none" w:color="000000" w:sz="0" w:space="0"/>
          <w:bottom w:val="none" w:color="000000" w:sz="0" w:space="0"/>
          <w:right w:val="none" w:color="000000" w:sz="0" w:space="0"/>
        </w:pBdr>
        <w:spacing w:line="499" w:lineRule="atLeast"/>
        <w:ind w:firstLine="440"/>
        <w:rPr>
          <w:rFonts w:ascii="宋体" w:hAnsi="宋体" w:cs="宋体"/>
          <w:color w:val="auto"/>
          <w:sz w:val="22"/>
          <w:highlight w:val="none"/>
        </w:rPr>
      </w:pPr>
      <w:r>
        <w:rPr>
          <w:rFonts w:hint="eastAsia" w:ascii="宋体" w:hAnsi="宋体" w:cs="宋体"/>
          <w:color w:val="auto"/>
          <w:sz w:val="22"/>
          <w:highlight w:val="none"/>
        </w:rPr>
        <w:t>演示要求</w:t>
      </w:r>
    </w:p>
    <w:p w14:paraId="1CC92849">
      <w:pPr>
        <w:pBdr>
          <w:top w:val="none" w:color="000000" w:sz="0" w:space="0"/>
          <w:left w:val="none" w:color="000000" w:sz="0" w:space="0"/>
          <w:bottom w:val="none" w:color="000000" w:sz="0" w:space="0"/>
          <w:right w:val="none" w:color="000000" w:sz="0" w:space="0"/>
        </w:pBdr>
        <w:spacing w:line="499" w:lineRule="atLeast"/>
        <w:ind w:firstLine="440"/>
        <w:rPr>
          <w:rFonts w:ascii="宋体" w:hAnsi="宋体" w:cs="宋体"/>
          <w:color w:val="auto"/>
          <w:sz w:val="22"/>
          <w:highlight w:val="none"/>
        </w:rPr>
      </w:pPr>
      <w:r>
        <w:rPr>
          <w:rFonts w:hint="eastAsia" w:ascii="宋体" w:hAnsi="宋体" w:cs="宋体"/>
          <w:color w:val="auto"/>
          <w:sz w:val="22"/>
          <w:highlight w:val="none"/>
        </w:rPr>
        <w:t>上传视频演示</w:t>
      </w:r>
    </w:p>
    <w:p w14:paraId="1EEF7D8F">
      <w:pPr>
        <w:pBdr>
          <w:top w:val="none" w:color="000000" w:sz="0" w:space="0"/>
          <w:left w:val="none" w:color="000000" w:sz="0" w:space="0"/>
          <w:bottom w:val="none" w:color="000000" w:sz="0" w:space="0"/>
          <w:right w:val="none" w:color="000000" w:sz="0" w:space="0"/>
        </w:pBdr>
        <w:spacing w:line="499" w:lineRule="atLeast"/>
        <w:ind w:firstLine="440"/>
        <w:rPr>
          <w:rFonts w:ascii="宋体" w:hAnsi="宋体" w:cs="宋体"/>
          <w:color w:val="auto"/>
          <w:sz w:val="22"/>
          <w:highlight w:val="none"/>
        </w:rPr>
      </w:pPr>
      <w:r>
        <w:rPr>
          <w:rFonts w:hint="eastAsia" w:ascii="宋体" w:hAnsi="宋体" w:cs="宋体"/>
          <w:color w:val="auto"/>
          <w:sz w:val="22"/>
          <w:highlight w:val="none"/>
        </w:rPr>
        <w:t>（1）投标人需按照招标文件规定的演示内容制作演示视频文件，视频文件的格式为</w:t>
      </w:r>
      <w:r>
        <w:rPr>
          <w:rFonts w:ascii="宋体" w:hAnsi="宋体" w:cs="宋体"/>
          <w:color w:val="auto"/>
          <w:sz w:val="22"/>
          <w:highlight w:val="none"/>
        </w:rPr>
        <w:t>*</w:t>
      </w:r>
      <w:r>
        <w:rPr>
          <w:rFonts w:hint="eastAsia" w:ascii="宋体" w:hAnsi="宋体" w:cs="宋体"/>
          <w:color w:val="auto"/>
          <w:sz w:val="22"/>
          <w:highlight w:val="none"/>
        </w:rPr>
        <w:t>.mp4或*.avi，投标人须将视频文件分段压缩为*.zip文件上传（单个文件不得大于50M，所有文件总共不得大于300M）。文件上传方式见《操作手册》规定，上传的演示视频将作为投标文件的组成部分，视频时长总计不超过15分钟。</w:t>
      </w:r>
    </w:p>
    <w:p w14:paraId="48EE389E">
      <w:pPr>
        <w:pBdr>
          <w:top w:val="none" w:color="000000" w:sz="0" w:space="0"/>
          <w:left w:val="none" w:color="000000" w:sz="0" w:space="0"/>
          <w:bottom w:val="none" w:color="000000" w:sz="0" w:space="0"/>
          <w:right w:val="none" w:color="000000" w:sz="0" w:space="0"/>
        </w:pBdr>
        <w:spacing w:line="499" w:lineRule="atLeast"/>
        <w:ind w:firstLine="440"/>
        <w:rPr>
          <w:rFonts w:ascii="宋体" w:hAnsi="宋体" w:cs="宋体"/>
          <w:color w:val="auto"/>
          <w:sz w:val="22"/>
          <w:highlight w:val="none"/>
        </w:rPr>
      </w:pPr>
      <w:r>
        <w:rPr>
          <w:rFonts w:hint="eastAsia" w:ascii="宋体" w:hAnsi="宋体" w:cs="宋体"/>
          <w:color w:val="auto"/>
          <w:sz w:val="22"/>
          <w:highlight w:val="none"/>
        </w:rPr>
        <w:t>（2）演示内容如下：</w:t>
      </w:r>
    </w:p>
    <w:p w14:paraId="77C3B052">
      <w:pPr>
        <w:pBdr>
          <w:top w:val="none" w:color="000000" w:sz="0" w:space="0"/>
          <w:left w:val="none" w:color="000000" w:sz="0" w:space="0"/>
          <w:bottom w:val="none" w:color="000000" w:sz="0" w:space="0"/>
          <w:right w:val="none" w:color="000000" w:sz="0" w:space="0"/>
        </w:pBdr>
        <w:spacing w:line="499" w:lineRule="atLeast"/>
        <w:ind w:firstLine="440"/>
        <w:rPr>
          <w:rFonts w:ascii="宋体" w:hAnsi="宋体" w:cs="宋体"/>
          <w:color w:val="auto"/>
          <w:sz w:val="22"/>
          <w:highlight w:val="none"/>
        </w:rPr>
      </w:pPr>
      <w:r>
        <w:rPr>
          <w:rFonts w:hint="eastAsia" w:ascii="宋体" w:hAnsi="宋体" w:cs="宋体"/>
          <w:color w:val="auto"/>
          <w:sz w:val="22"/>
          <w:highlight w:val="none"/>
        </w:rPr>
        <w:t>①……</w:t>
      </w:r>
    </w:p>
    <w:p w14:paraId="422C3457">
      <w:pPr>
        <w:pBdr>
          <w:top w:val="none" w:color="000000" w:sz="0" w:space="0"/>
          <w:left w:val="none" w:color="000000" w:sz="0" w:space="0"/>
          <w:bottom w:val="none" w:color="000000" w:sz="0" w:space="0"/>
          <w:right w:val="none" w:color="000000" w:sz="0" w:space="0"/>
        </w:pBdr>
        <w:spacing w:line="499" w:lineRule="atLeast"/>
        <w:ind w:firstLine="440"/>
        <w:rPr>
          <w:rFonts w:ascii="宋体" w:hAnsi="宋体" w:cs="宋体"/>
          <w:color w:val="auto"/>
          <w:sz w:val="22"/>
          <w:highlight w:val="none"/>
        </w:rPr>
      </w:pPr>
      <w:r>
        <w:rPr>
          <w:rFonts w:hint="eastAsia" w:ascii="宋体" w:hAnsi="宋体" w:cs="宋体"/>
          <w:color w:val="auto"/>
          <w:sz w:val="22"/>
          <w:highlight w:val="none"/>
        </w:rPr>
        <w:t>②……</w:t>
      </w:r>
    </w:p>
    <w:p w14:paraId="73C37F5F">
      <w:pPr>
        <w:pBdr>
          <w:top w:val="none" w:color="000000" w:sz="0" w:space="0"/>
          <w:left w:val="none" w:color="000000" w:sz="0" w:space="0"/>
          <w:bottom w:val="none" w:color="000000" w:sz="0" w:space="0"/>
          <w:right w:val="none" w:color="000000" w:sz="0" w:space="0"/>
        </w:pBdr>
        <w:spacing w:line="499" w:lineRule="atLeast"/>
        <w:ind w:firstLine="440"/>
        <w:rPr>
          <w:rFonts w:ascii="宋体" w:hAnsi="宋体" w:cs="宋体"/>
          <w:color w:val="auto"/>
          <w:sz w:val="22"/>
          <w:highlight w:val="none"/>
        </w:rPr>
      </w:pPr>
      <w:r>
        <w:rPr>
          <w:rFonts w:hint="eastAsia" w:ascii="宋体" w:hAnsi="宋体" w:cs="宋体"/>
          <w:color w:val="auto"/>
          <w:sz w:val="22"/>
          <w:highlight w:val="none"/>
        </w:rPr>
        <w:t>③……</w:t>
      </w:r>
    </w:p>
    <w:p w14:paraId="1E779CB8">
      <w:pPr>
        <w:spacing w:line="480" w:lineRule="exact"/>
        <w:outlineLvl w:val="1"/>
        <w:rPr>
          <w:rFonts w:ascii="宋体" w:hAnsi="黑体" w:eastAsia="黑体" w:cs="黑体"/>
          <w:color w:val="auto"/>
          <w:sz w:val="32"/>
          <w:szCs w:val="32"/>
          <w:highlight w:val="none"/>
        </w:rPr>
      </w:pPr>
    </w:p>
    <w:p w14:paraId="37F65351">
      <w:pPr>
        <w:spacing w:line="480" w:lineRule="exact"/>
        <w:outlineLvl w:val="1"/>
        <w:rPr>
          <w:rFonts w:ascii="宋体" w:hAnsi="黑体" w:eastAsia="黑体" w:cs="黑体"/>
          <w:color w:val="auto"/>
          <w:sz w:val="32"/>
          <w:szCs w:val="32"/>
          <w:highlight w:val="none"/>
        </w:rPr>
      </w:pPr>
      <w:r>
        <w:rPr>
          <w:rFonts w:hint="eastAsia" w:ascii="宋体" w:hAnsi="黑体" w:eastAsia="黑体" w:cs="黑体"/>
          <w:color w:val="auto"/>
          <w:sz w:val="32"/>
          <w:szCs w:val="32"/>
          <w:highlight w:val="none"/>
        </w:rPr>
        <w:t>十六、投标所需其他材料</w:t>
      </w:r>
      <w:bookmarkEnd w:id="168"/>
      <w:bookmarkEnd w:id="169"/>
    </w:p>
    <w:p w14:paraId="7A45E692">
      <w:pPr>
        <w:pStyle w:val="388"/>
        <w:spacing w:line="480" w:lineRule="exact"/>
        <w:ind w:firstLine="420"/>
        <w:rPr>
          <w:color w:val="auto"/>
          <w:sz w:val="24"/>
          <w:szCs w:val="24"/>
          <w:highlight w:val="none"/>
        </w:rPr>
      </w:pPr>
      <w:r>
        <w:rPr>
          <w:rFonts w:hint="eastAsia"/>
          <w:color w:val="auto"/>
          <w:sz w:val="24"/>
          <w:szCs w:val="24"/>
          <w:highlight w:val="none"/>
        </w:rPr>
        <w:t>请在此文档中增加投标所需其他相关内容（包括评分办法、采购需求中涉及的证件证明及其它投标人认为有必要提供的资料），如没有请将此空文档上传。</w:t>
      </w:r>
    </w:p>
    <w:p w14:paraId="6B1A63E4">
      <w:pPr>
        <w:jc w:val="center"/>
        <w:rPr>
          <w:rFonts w:ascii="宋体" w:hAnsi="宋体" w:cs="仿宋"/>
          <w:b/>
          <w:bCs/>
          <w:color w:val="auto"/>
          <w:sz w:val="32"/>
          <w:szCs w:val="32"/>
          <w:highlight w:val="none"/>
        </w:rPr>
      </w:pPr>
    </w:p>
    <w:p w14:paraId="5887B4DB">
      <w:pPr>
        <w:pStyle w:val="163"/>
        <w:jc w:val="center"/>
        <w:outlineLvl w:val="1"/>
        <w:rPr>
          <w:rFonts w:ascii="仿宋" w:hAnsi="仿宋" w:eastAsia="仿宋" w:cs="仿宋"/>
          <w:bCs/>
          <w:color w:val="auto"/>
          <w:sz w:val="24"/>
          <w:highlight w:val="none"/>
        </w:rPr>
        <w:sectPr>
          <w:pgSz w:w="11906" w:h="16838"/>
          <w:pgMar w:top="1440" w:right="1304" w:bottom="1440" w:left="1418" w:header="851" w:footer="992" w:gutter="0"/>
          <w:pgNumType w:start="1"/>
          <w:cols w:space="1701" w:num="1"/>
          <w:docGrid w:linePitch="360" w:charSpace="0"/>
        </w:sectPr>
      </w:pPr>
    </w:p>
    <w:p w14:paraId="5FB7A002">
      <w:pPr>
        <w:pStyle w:val="163"/>
        <w:jc w:val="center"/>
        <w:outlineLvl w:val="1"/>
        <w:rPr>
          <w:rFonts w:ascii="仿宋" w:hAnsi="仿宋" w:eastAsia="仿宋" w:cs="仿宋"/>
          <w:bCs/>
          <w:color w:val="auto"/>
          <w:sz w:val="24"/>
          <w:highlight w:val="none"/>
        </w:rPr>
      </w:pPr>
      <w:r>
        <w:rPr>
          <w:rFonts w:hint="eastAsia" w:ascii="仿宋" w:hAnsi="仿宋" w:eastAsia="仿宋" w:cs="仿宋"/>
          <w:bCs/>
          <w:color w:val="auto"/>
          <w:sz w:val="24"/>
          <w:highlight w:val="none"/>
        </w:rPr>
        <w:t>分包意向协议书</w:t>
      </w:r>
    </w:p>
    <w:p w14:paraId="0599C36E">
      <w:pPr>
        <w:pStyle w:val="464"/>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立约方：</w:t>
      </w:r>
      <w:r>
        <w:rPr>
          <w:rFonts w:ascii="仿宋" w:hAnsi="仿宋" w:eastAsia="仿宋" w:cs="仿宋"/>
          <w:color w:val="auto"/>
          <w:sz w:val="24"/>
          <w:szCs w:val="24"/>
          <w:highlight w:val="none"/>
          <w:u w:val="single"/>
        </w:rPr>
        <w:t>（甲公司全称）</w:t>
      </w:r>
    </w:p>
    <w:p w14:paraId="3CAC1A6E">
      <w:pPr>
        <w:pStyle w:val="464"/>
        <w:ind w:firstLine="800"/>
        <w:rPr>
          <w:rFonts w:hint="default" w:ascii="仿宋" w:hAnsi="仿宋" w:eastAsia="仿宋" w:cs="仿宋"/>
          <w:color w:val="auto"/>
          <w:sz w:val="24"/>
          <w:szCs w:val="24"/>
          <w:highlight w:val="none"/>
          <w:u w:val="single"/>
        </w:rPr>
      </w:pPr>
      <w:r>
        <w:rPr>
          <w:rFonts w:ascii="仿宋" w:hAnsi="仿宋" w:eastAsia="仿宋" w:cs="仿宋"/>
          <w:color w:val="auto"/>
          <w:sz w:val="24"/>
          <w:szCs w:val="24"/>
          <w:highlight w:val="none"/>
          <w:u w:val="single"/>
        </w:rPr>
        <w:t>（乙公司全称）</w:t>
      </w:r>
    </w:p>
    <w:p w14:paraId="3B78D302">
      <w:pPr>
        <w:pStyle w:val="464"/>
        <w:ind w:firstLine="800"/>
        <w:rPr>
          <w:rFonts w:hint="default" w:ascii="仿宋" w:hAnsi="仿宋" w:eastAsia="仿宋" w:cs="仿宋"/>
          <w:color w:val="auto"/>
          <w:sz w:val="24"/>
          <w:szCs w:val="24"/>
          <w:highlight w:val="none"/>
          <w:u w:val="single"/>
        </w:rPr>
      </w:pPr>
      <w:r>
        <w:rPr>
          <w:rFonts w:ascii="仿宋" w:hAnsi="仿宋" w:eastAsia="仿宋" w:cs="仿宋"/>
          <w:color w:val="auto"/>
          <w:sz w:val="24"/>
          <w:szCs w:val="24"/>
          <w:highlight w:val="none"/>
          <w:u w:val="single"/>
        </w:rPr>
        <w:t>（……公司全称）</w:t>
      </w:r>
    </w:p>
    <w:p w14:paraId="398FDADC">
      <w:pPr>
        <w:pStyle w:val="464"/>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u w:val="single"/>
        </w:rPr>
        <w:t>（甲公司全称）、（乙公司全称）、（……公司全称）</w:t>
      </w:r>
      <w:r>
        <w:rPr>
          <w:rFonts w:ascii="仿宋" w:hAnsi="仿宋" w:eastAsia="仿宋" w:cs="仿宋"/>
          <w:color w:val="auto"/>
          <w:sz w:val="24"/>
          <w:szCs w:val="24"/>
          <w:highlight w:val="none"/>
        </w:rPr>
        <w:t>自愿达成分包意向，参加</w:t>
      </w:r>
      <w:r>
        <w:rPr>
          <w:rFonts w:ascii="仿宋" w:hAnsi="仿宋" w:eastAsia="仿宋" w:cs="仿宋"/>
          <w:color w:val="auto"/>
          <w:sz w:val="24"/>
          <w:szCs w:val="24"/>
          <w:highlight w:val="none"/>
          <w:u w:val="single"/>
        </w:rPr>
        <w:t>（采购项目名称：）（采购项目编号：）（分包号：）</w:t>
      </w:r>
      <w:r>
        <w:rPr>
          <w:rFonts w:ascii="仿宋" w:hAnsi="仿宋" w:eastAsia="仿宋" w:cs="仿宋"/>
          <w:color w:val="auto"/>
          <w:sz w:val="24"/>
          <w:szCs w:val="24"/>
          <w:highlight w:val="none"/>
        </w:rPr>
        <w:t>的响应活动。经各方充分协商一致，就项目的响应和合同实施阶段的有关事务协商一致订立意向如下：</w:t>
      </w:r>
    </w:p>
    <w:p w14:paraId="709A05C4">
      <w:pPr>
        <w:pStyle w:val="464"/>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一、分包意向各方关系</w:t>
      </w:r>
    </w:p>
    <w:p w14:paraId="6930D7F1">
      <w:pPr>
        <w:pStyle w:val="464"/>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u w:val="single"/>
        </w:rPr>
        <w:t>（甲公司全称）为投标方、（乙公司全称）、（……公司全称）</w:t>
      </w:r>
      <w:r>
        <w:rPr>
          <w:rFonts w:ascii="仿宋" w:hAnsi="仿宋" w:eastAsia="仿宋" w:cs="仿宋"/>
          <w:color w:val="auto"/>
          <w:sz w:val="24"/>
          <w:szCs w:val="24"/>
          <w:highlight w:val="none"/>
        </w:rPr>
        <w:t>为分包意向供应商，</w:t>
      </w:r>
      <w:r>
        <w:rPr>
          <w:rFonts w:ascii="仿宋" w:hAnsi="仿宋" w:eastAsia="仿宋" w:cs="仿宋"/>
          <w:color w:val="auto"/>
          <w:sz w:val="24"/>
          <w:szCs w:val="24"/>
          <w:highlight w:val="none"/>
          <w:u w:val="single"/>
        </w:rPr>
        <w:t>（甲公司全称）</w:t>
      </w:r>
      <w:r>
        <w:rPr>
          <w:rFonts w:ascii="仿宋" w:hAnsi="仿宋" w:eastAsia="仿宋" w:cs="仿宋"/>
          <w:color w:val="auto"/>
          <w:sz w:val="24"/>
          <w:szCs w:val="24"/>
          <w:highlight w:val="none"/>
        </w:rPr>
        <w:t>以投标供应商的身份参加本项目的响应。若中标，（甲公司全称）与采购人签订政府采购合同。承接分包意向的各供应商与（甲公司全称）签订分包合同。（甲公司全称）就采购项目和分包项目向采购人负责，分包供应商就分包项目承担责任。</w:t>
      </w:r>
    </w:p>
    <w:p w14:paraId="2DD9C429">
      <w:pPr>
        <w:pStyle w:val="464"/>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二、有关事项约定如下：</w:t>
      </w:r>
    </w:p>
    <w:p w14:paraId="4883856F">
      <w:pPr>
        <w:pStyle w:val="464"/>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1.如中标，分包供应商分别与</w:t>
      </w:r>
      <w:r>
        <w:rPr>
          <w:rFonts w:ascii="仿宋" w:hAnsi="仿宋" w:eastAsia="仿宋" w:cs="仿宋"/>
          <w:color w:val="auto"/>
          <w:sz w:val="24"/>
          <w:szCs w:val="24"/>
          <w:highlight w:val="none"/>
          <w:u w:val="single"/>
        </w:rPr>
        <w:t>（甲公司全称）</w:t>
      </w:r>
      <w:r>
        <w:rPr>
          <w:rFonts w:ascii="仿宋" w:hAnsi="仿宋" w:eastAsia="仿宋" w:cs="仿宋"/>
          <w:color w:val="auto"/>
          <w:sz w:val="24"/>
          <w:szCs w:val="24"/>
          <w:highlight w:val="none"/>
        </w:rPr>
        <w:t>签订合同书，并就中标项目分包部分向采购人负责有连带的和各自的法律责任；</w:t>
      </w:r>
    </w:p>
    <w:p w14:paraId="297D8A65">
      <w:pPr>
        <w:pStyle w:val="464"/>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2.分包意向供应商</w:t>
      </w:r>
      <w:r>
        <w:rPr>
          <w:rFonts w:ascii="仿宋" w:hAnsi="仿宋" w:eastAsia="仿宋" w:cs="仿宋"/>
          <w:color w:val="auto"/>
          <w:sz w:val="24"/>
          <w:szCs w:val="24"/>
          <w:highlight w:val="none"/>
          <w:u w:val="single"/>
        </w:rPr>
        <w:t>1（公司全称）</w:t>
      </w:r>
      <w:r>
        <w:rPr>
          <w:rFonts w:ascii="仿宋" w:hAnsi="仿宋" w:eastAsia="仿宋" w:cs="仿宋"/>
          <w:color w:val="auto"/>
          <w:sz w:val="24"/>
          <w:szCs w:val="24"/>
          <w:highlight w:val="none"/>
        </w:rPr>
        <w:t>为</w:t>
      </w:r>
      <w:r>
        <w:rPr>
          <w:rFonts w:ascii="仿宋" w:hAnsi="仿宋" w:eastAsia="仿宋" w:cs="仿宋"/>
          <w:color w:val="auto"/>
          <w:sz w:val="24"/>
          <w:szCs w:val="24"/>
          <w:highlight w:val="none"/>
          <w:u w:val="single"/>
        </w:rPr>
        <w:t>（请填写：中型、小型、微型）</w:t>
      </w:r>
      <w:r>
        <w:rPr>
          <w:rFonts w:ascii="仿宋" w:hAnsi="仿宋" w:eastAsia="仿宋" w:cs="仿宋"/>
          <w:color w:val="auto"/>
          <w:sz w:val="24"/>
          <w:szCs w:val="24"/>
          <w:highlight w:val="none"/>
        </w:rPr>
        <w:t>企业，将承担适宜分包部分</w:t>
      </w:r>
      <w:r>
        <w:rPr>
          <w:rFonts w:ascii="仿宋" w:hAnsi="仿宋" w:eastAsia="仿宋" w:cs="仿宋"/>
          <w:color w:val="auto"/>
          <w:sz w:val="24"/>
          <w:szCs w:val="24"/>
          <w:highlight w:val="none"/>
          <w:u w:val="single"/>
        </w:rPr>
        <w:t xml:space="preserve"> （具体分包内容）</w:t>
      </w:r>
      <w:r>
        <w:rPr>
          <w:rFonts w:ascii="仿宋" w:hAnsi="仿宋" w:eastAsia="仿宋" w:cs="仿宋"/>
          <w:color w:val="auto"/>
          <w:sz w:val="24"/>
          <w:szCs w:val="24"/>
          <w:highlight w:val="none"/>
        </w:rPr>
        <w:t>占合同总金额</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的工作内容。</w:t>
      </w:r>
    </w:p>
    <w:p w14:paraId="4A3A4F05">
      <w:pPr>
        <w:pStyle w:val="464"/>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3.分包意向供应商</w:t>
      </w:r>
      <w:r>
        <w:rPr>
          <w:rFonts w:ascii="仿宋" w:hAnsi="仿宋" w:eastAsia="仿宋" w:cs="仿宋"/>
          <w:color w:val="auto"/>
          <w:sz w:val="24"/>
          <w:szCs w:val="24"/>
          <w:highlight w:val="none"/>
          <w:u w:val="single"/>
        </w:rPr>
        <w:t>2（公司全称）</w:t>
      </w:r>
      <w:r>
        <w:rPr>
          <w:rFonts w:ascii="仿宋" w:hAnsi="仿宋" w:eastAsia="仿宋" w:cs="仿宋"/>
          <w:color w:val="auto"/>
          <w:sz w:val="24"/>
          <w:szCs w:val="24"/>
          <w:highlight w:val="none"/>
        </w:rPr>
        <w:t>为</w:t>
      </w:r>
      <w:r>
        <w:rPr>
          <w:rFonts w:ascii="仿宋" w:hAnsi="仿宋" w:eastAsia="仿宋" w:cs="仿宋"/>
          <w:color w:val="auto"/>
          <w:sz w:val="24"/>
          <w:szCs w:val="24"/>
          <w:highlight w:val="none"/>
          <w:u w:val="single"/>
        </w:rPr>
        <w:t>（请填写：中型、小型、微型）</w:t>
      </w:r>
      <w:r>
        <w:rPr>
          <w:rFonts w:ascii="仿宋" w:hAnsi="仿宋" w:eastAsia="仿宋" w:cs="仿宋"/>
          <w:color w:val="auto"/>
          <w:sz w:val="24"/>
          <w:szCs w:val="24"/>
          <w:highlight w:val="none"/>
        </w:rPr>
        <w:t>企业，将承担适宜分包部分</w:t>
      </w:r>
      <w:r>
        <w:rPr>
          <w:rFonts w:ascii="仿宋" w:hAnsi="仿宋" w:eastAsia="仿宋" w:cs="仿宋"/>
          <w:color w:val="auto"/>
          <w:sz w:val="24"/>
          <w:szCs w:val="24"/>
          <w:highlight w:val="none"/>
          <w:u w:val="single"/>
        </w:rPr>
        <w:t>（具体分包内容）</w:t>
      </w:r>
      <w:r>
        <w:rPr>
          <w:rFonts w:ascii="仿宋" w:hAnsi="仿宋" w:eastAsia="仿宋" w:cs="仿宋"/>
          <w:color w:val="auto"/>
          <w:sz w:val="24"/>
          <w:szCs w:val="24"/>
          <w:highlight w:val="none"/>
        </w:rPr>
        <w:t>占合同总金额</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的工作内容。</w:t>
      </w:r>
    </w:p>
    <w:p w14:paraId="00EB99BB">
      <w:pPr>
        <w:pStyle w:val="464"/>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三、接受分包的企业与分包企业之间的关系：</w:t>
      </w:r>
    </w:p>
    <w:p w14:paraId="76BA1BF7">
      <w:pPr>
        <w:pStyle w:val="464"/>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1.分包意向供应商</w:t>
      </w:r>
      <w:r>
        <w:rPr>
          <w:rFonts w:ascii="仿宋" w:hAnsi="仿宋" w:eastAsia="仿宋" w:cs="仿宋"/>
          <w:color w:val="auto"/>
          <w:sz w:val="24"/>
          <w:szCs w:val="24"/>
          <w:highlight w:val="none"/>
          <w:u w:val="single"/>
        </w:rPr>
        <w:t xml:space="preserve"> 1（公司全称）</w:t>
      </w:r>
      <w:r>
        <w:rPr>
          <w:rFonts w:ascii="仿宋" w:hAnsi="仿宋" w:eastAsia="仿宋" w:cs="仿宋"/>
          <w:color w:val="auto"/>
          <w:sz w:val="24"/>
          <w:szCs w:val="24"/>
          <w:highlight w:val="none"/>
        </w:rPr>
        <w:t>与分包企业之间</w:t>
      </w:r>
      <w:r>
        <w:rPr>
          <w:rFonts w:ascii="仿宋" w:hAnsi="仿宋" w:eastAsia="仿宋" w:cs="仿宋"/>
          <w:color w:val="auto"/>
          <w:sz w:val="24"/>
          <w:szCs w:val="24"/>
          <w:highlight w:val="none"/>
          <w:u w:val="single"/>
        </w:rPr>
        <w:t>（请填写：是否存在）</w:t>
      </w:r>
      <w:r>
        <w:rPr>
          <w:rFonts w:ascii="仿宋" w:hAnsi="仿宋" w:eastAsia="仿宋" w:cs="仿宋"/>
          <w:color w:val="auto"/>
          <w:sz w:val="24"/>
          <w:szCs w:val="24"/>
          <w:highlight w:val="none"/>
        </w:rPr>
        <w:t>直接控股、管理关系的情形。</w:t>
      </w:r>
    </w:p>
    <w:p w14:paraId="2A3E72EE">
      <w:pPr>
        <w:pStyle w:val="464"/>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2.分包意向供应商</w:t>
      </w:r>
      <w:r>
        <w:rPr>
          <w:rFonts w:ascii="仿宋" w:hAnsi="仿宋" w:eastAsia="仿宋" w:cs="仿宋"/>
          <w:color w:val="auto"/>
          <w:sz w:val="24"/>
          <w:szCs w:val="24"/>
          <w:highlight w:val="none"/>
          <w:u w:val="single"/>
        </w:rPr>
        <w:t xml:space="preserve"> 2（公司全称）</w:t>
      </w:r>
      <w:r>
        <w:rPr>
          <w:rFonts w:ascii="仿宋" w:hAnsi="仿宋" w:eastAsia="仿宋" w:cs="仿宋"/>
          <w:color w:val="auto"/>
          <w:sz w:val="24"/>
          <w:szCs w:val="24"/>
          <w:highlight w:val="none"/>
        </w:rPr>
        <w:t>与分包企业之间</w:t>
      </w:r>
      <w:r>
        <w:rPr>
          <w:rFonts w:ascii="仿宋" w:hAnsi="仿宋" w:eastAsia="仿宋" w:cs="仿宋"/>
          <w:color w:val="auto"/>
          <w:sz w:val="24"/>
          <w:szCs w:val="24"/>
          <w:highlight w:val="none"/>
          <w:u w:val="single"/>
        </w:rPr>
        <w:t>（请填写：是否存在）</w:t>
      </w:r>
      <w:r>
        <w:rPr>
          <w:rFonts w:ascii="仿宋" w:hAnsi="仿宋" w:eastAsia="仿宋" w:cs="仿宋"/>
          <w:color w:val="auto"/>
          <w:sz w:val="24"/>
          <w:szCs w:val="24"/>
          <w:highlight w:val="none"/>
        </w:rPr>
        <w:t>直接控股、管理关系的情形。</w:t>
      </w:r>
    </w:p>
    <w:p w14:paraId="30C8D2FF">
      <w:pPr>
        <w:pStyle w:val="464"/>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四、如因违约过失责任而导致采购人经济损失或被索赔时，</w:t>
      </w:r>
      <w:r>
        <w:rPr>
          <w:rFonts w:ascii="仿宋" w:hAnsi="仿宋" w:eastAsia="仿宋" w:cs="仿宋"/>
          <w:color w:val="auto"/>
          <w:sz w:val="24"/>
          <w:szCs w:val="24"/>
          <w:highlight w:val="none"/>
          <w:u w:val="single"/>
        </w:rPr>
        <w:t>（甲公司全称）</w:t>
      </w:r>
      <w:r>
        <w:rPr>
          <w:rFonts w:ascii="仿宋" w:hAnsi="仿宋" w:eastAsia="仿宋" w:cs="仿宋"/>
          <w:color w:val="auto"/>
          <w:sz w:val="24"/>
          <w:szCs w:val="24"/>
          <w:highlight w:val="none"/>
        </w:rPr>
        <w:t>同意无条件优先清偿采购人的一切债务和经济赔偿。</w:t>
      </w:r>
    </w:p>
    <w:p w14:paraId="0881186F">
      <w:pPr>
        <w:pStyle w:val="464"/>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五、如中标，分包意向供应商不得以任何理由提出终止本意向协议。</w:t>
      </w:r>
    </w:p>
    <w:p w14:paraId="55303E10">
      <w:pPr>
        <w:pStyle w:val="464"/>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六、本意向书在自签署之日起生效，有效期内有效，如获中标资格，有效期延续至合同履行完毕之日。</w:t>
      </w:r>
    </w:p>
    <w:p w14:paraId="09E6FD56">
      <w:pPr>
        <w:pStyle w:val="464"/>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七、本意向书正本一式</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份，随投标文件装订</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份，（甲公司全称）及各分包意向供应商各一份。</w:t>
      </w:r>
    </w:p>
    <w:p w14:paraId="7EE75F64">
      <w:pPr>
        <w:pStyle w:val="464"/>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甲公司全称：（盖章）</w:t>
      </w:r>
    </w:p>
    <w:p w14:paraId="360B30C7">
      <w:pPr>
        <w:pStyle w:val="464"/>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法定代表人（签字或盖章）</w:t>
      </w:r>
    </w:p>
    <w:p w14:paraId="14F7D680">
      <w:pPr>
        <w:pStyle w:val="464"/>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 年 月 日</w:t>
      </w:r>
    </w:p>
    <w:p w14:paraId="5873F15C">
      <w:pPr>
        <w:pStyle w:val="464"/>
        <w:rPr>
          <w:rFonts w:hint="default" w:ascii="仿宋" w:hAnsi="仿宋" w:eastAsia="仿宋" w:cs="仿宋"/>
          <w:color w:val="auto"/>
          <w:sz w:val="24"/>
          <w:szCs w:val="24"/>
          <w:highlight w:val="none"/>
        </w:rPr>
      </w:pPr>
    </w:p>
    <w:p w14:paraId="3DB00CE7">
      <w:pPr>
        <w:pStyle w:val="464"/>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乙公司全称：（盖章）</w:t>
      </w:r>
    </w:p>
    <w:p w14:paraId="7DCCFFC6">
      <w:pPr>
        <w:pStyle w:val="464"/>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法定代表人（签字或盖章） </w:t>
      </w:r>
    </w:p>
    <w:p w14:paraId="3A0D6FC4">
      <w:pPr>
        <w:pStyle w:val="464"/>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年 月 日</w:t>
      </w:r>
    </w:p>
    <w:p w14:paraId="49714DDD">
      <w:pPr>
        <w:pStyle w:val="464"/>
        <w:ind w:firstLine="400"/>
        <w:rPr>
          <w:rFonts w:hint="default" w:ascii="仿宋" w:hAnsi="仿宋" w:eastAsia="仿宋" w:cs="仿宋"/>
          <w:color w:val="auto"/>
          <w:sz w:val="24"/>
          <w:szCs w:val="24"/>
          <w:highlight w:val="none"/>
        </w:rPr>
      </w:pPr>
    </w:p>
    <w:p w14:paraId="7B0134C4">
      <w:pPr>
        <w:pStyle w:val="464"/>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……公司全称（盖章）</w:t>
      </w:r>
    </w:p>
    <w:p w14:paraId="263380DD">
      <w:pPr>
        <w:pStyle w:val="464"/>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法定代表人：（签字或盖章）</w:t>
      </w:r>
    </w:p>
    <w:p w14:paraId="1A9B5CE1">
      <w:pPr>
        <w:pStyle w:val="464"/>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 年 月 日 </w:t>
      </w:r>
    </w:p>
    <w:p w14:paraId="1F16D2CA">
      <w:pPr>
        <w:pStyle w:val="464"/>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 </w:t>
      </w:r>
    </w:p>
    <w:p w14:paraId="651655EB">
      <w:pPr>
        <w:pStyle w:val="464"/>
        <w:ind w:firstLine="402"/>
        <w:rPr>
          <w:rFonts w:hint="default" w:ascii="仿宋" w:hAnsi="仿宋" w:eastAsia="仿宋" w:cs="仿宋"/>
          <w:b/>
          <w:bCs/>
          <w:color w:val="auto"/>
          <w:sz w:val="24"/>
          <w:szCs w:val="24"/>
          <w:highlight w:val="none"/>
        </w:rPr>
      </w:pPr>
      <w:r>
        <w:rPr>
          <w:rFonts w:ascii="仿宋" w:hAnsi="仿宋" w:eastAsia="仿宋" w:cs="仿宋"/>
          <w:b/>
          <w:bCs/>
          <w:color w:val="auto"/>
          <w:sz w:val="24"/>
          <w:szCs w:val="24"/>
          <w:highlight w:val="none"/>
        </w:rPr>
        <w:t>注：</w:t>
      </w:r>
    </w:p>
    <w:p w14:paraId="0588AB37">
      <w:pPr>
        <w:pStyle w:val="464"/>
        <w:ind w:firstLine="402"/>
        <w:rPr>
          <w:rFonts w:hint="default" w:ascii="仿宋" w:hAnsi="仿宋" w:eastAsia="仿宋" w:cs="仿宋"/>
          <w:b/>
          <w:bCs/>
          <w:color w:val="auto"/>
          <w:sz w:val="24"/>
          <w:szCs w:val="24"/>
          <w:highlight w:val="none"/>
        </w:rPr>
      </w:pPr>
      <w:r>
        <w:rPr>
          <w:rFonts w:ascii="仿宋" w:hAnsi="仿宋" w:eastAsia="仿宋" w:cs="仿宋"/>
          <w:b/>
          <w:bCs/>
          <w:color w:val="auto"/>
          <w:sz w:val="24"/>
          <w:szCs w:val="24"/>
          <w:highlight w:val="none"/>
        </w:rPr>
        <w:t xml:space="preserve">1．各方成员应在本意向书上共同盖章确认。 </w:t>
      </w:r>
    </w:p>
    <w:p w14:paraId="0EBBCD94">
      <w:pPr>
        <w:ind w:firstLine="482"/>
        <w:rPr>
          <w:rFonts w:ascii="仿宋" w:hAnsi="仿宋" w:eastAsia="仿宋" w:cs="仿宋"/>
          <w:color w:val="auto"/>
          <w:sz w:val="24"/>
          <w:highlight w:val="none"/>
        </w:rPr>
      </w:pPr>
      <w:r>
        <w:rPr>
          <w:rFonts w:hint="eastAsia" w:ascii="仿宋" w:hAnsi="仿宋" w:eastAsia="仿宋" w:cs="仿宋"/>
          <w:b/>
          <w:bCs/>
          <w:color w:val="auto"/>
          <w:sz w:val="24"/>
          <w:szCs w:val="24"/>
          <w:highlight w:val="none"/>
        </w:rPr>
        <w:t>2.本意向书内容将作为签订合同的附件之一。</w:t>
      </w:r>
    </w:p>
    <w:p w14:paraId="00812830">
      <w:pPr>
        <w:spacing w:line="440" w:lineRule="exact"/>
        <w:rPr>
          <w:rFonts w:ascii="仿宋" w:hAnsi="仿宋" w:eastAsia="仿宋" w:cs="仿宋"/>
          <w:color w:val="auto"/>
          <w:sz w:val="24"/>
          <w:highlight w:val="none"/>
        </w:rPr>
      </w:pPr>
    </w:p>
    <w:p w14:paraId="200C60E9">
      <w:pPr>
        <w:pStyle w:val="61"/>
        <w:spacing w:line="440" w:lineRule="exact"/>
        <w:ind w:firstLine="0"/>
        <w:rPr>
          <w:rFonts w:ascii="仿宋" w:hAnsi="仿宋" w:eastAsia="仿宋" w:cs="仿宋"/>
          <w:color w:val="auto"/>
          <w:highlight w:val="none"/>
        </w:rPr>
      </w:pPr>
      <w:bookmarkStart w:id="170" w:name="_Hlt26609389"/>
      <w:bookmarkEnd w:id="170"/>
      <w:bookmarkStart w:id="171" w:name="_Hlt26671374"/>
      <w:bookmarkEnd w:id="171"/>
      <w:bookmarkStart w:id="172" w:name="_Toc462564146"/>
      <w:bookmarkEnd w:id="172"/>
      <w:bookmarkStart w:id="173" w:name="_Hlt26955066"/>
      <w:bookmarkEnd w:id="173"/>
    </w:p>
    <w:p w14:paraId="49C3F4CD">
      <w:pPr>
        <w:spacing w:line="440" w:lineRule="exact"/>
        <w:rPr>
          <w:rFonts w:ascii="仿宋" w:hAnsi="仿宋" w:eastAsia="仿宋" w:cs="仿宋"/>
          <w:color w:val="auto"/>
          <w:sz w:val="24"/>
          <w:highlight w:val="none"/>
        </w:rPr>
      </w:pPr>
    </w:p>
    <w:p w14:paraId="57C67B38">
      <w:pPr>
        <w:pStyle w:val="431"/>
        <w:spacing w:line="440" w:lineRule="exact"/>
        <w:rPr>
          <w:rFonts w:ascii="仿宋" w:hAnsi="仿宋" w:eastAsia="仿宋" w:cs="仿宋"/>
          <w:color w:val="auto"/>
          <w:sz w:val="24"/>
          <w:szCs w:val="24"/>
          <w:highlight w:val="none"/>
        </w:rPr>
      </w:pPr>
    </w:p>
    <w:p w14:paraId="206AC811">
      <w:pPr>
        <w:pStyle w:val="431"/>
        <w:spacing w:line="440" w:lineRule="exact"/>
        <w:rPr>
          <w:rFonts w:ascii="仿宋" w:hAnsi="仿宋" w:eastAsia="仿宋" w:cs="仿宋"/>
          <w:color w:val="auto"/>
          <w:sz w:val="24"/>
          <w:szCs w:val="24"/>
          <w:highlight w:val="none"/>
        </w:rPr>
      </w:pPr>
    </w:p>
    <w:p w14:paraId="7C06B165">
      <w:pPr>
        <w:jc w:val="center"/>
        <w:rPr>
          <w:rFonts w:ascii="宋体" w:hAnsi="宋体" w:cs="仿宋"/>
          <w:b/>
          <w:bCs/>
          <w:color w:val="auto"/>
          <w:sz w:val="32"/>
          <w:szCs w:val="32"/>
          <w:highlight w:val="none"/>
        </w:rPr>
      </w:pPr>
      <w:r>
        <w:rPr>
          <w:rFonts w:hint="eastAsia" w:ascii="宋体" w:hAnsi="宋体" w:cs="仿宋"/>
          <w:b/>
          <w:bCs/>
          <w:color w:val="auto"/>
          <w:sz w:val="32"/>
          <w:szCs w:val="32"/>
          <w:highlight w:val="none"/>
        </w:rPr>
        <w:br w:type="page" w:clear="all"/>
      </w:r>
      <w:r>
        <w:rPr>
          <w:rFonts w:hint="eastAsia" w:ascii="宋体" w:hAnsi="宋体" w:cs="仿宋"/>
          <w:b/>
          <w:bCs/>
          <w:color w:val="auto"/>
          <w:sz w:val="32"/>
          <w:szCs w:val="32"/>
          <w:highlight w:val="none"/>
        </w:rPr>
        <w:t>质疑函范本</w:t>
      </w:r>
    </w:p>
    <w:p w14:paraId="2143C664">
      <w:pPr>
        <w:spacing w:before="290"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一、质疑供应商基本信息</w:t>
      </w:r>
    </w:p>
    <w:p w14:paraId="10E0DEA9">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质疑供应商：</w:t>
      </w:r>
      <w:r>
        <w:rPr>
          <w:rFonts w:hint="eastAsia" w:ascii="宋体" w:hAnsi="宋体" w:cs="仿宋"/>
          <w:color w:val="auto"/>
          <w:sz w:val="24"/>
          <w:szCs w:val="24"/>
          <w:highlight w:val="none"/>
          <w:u w:val="single"/>
        </w:rPr>
        <w:t xml:space="preserve">                                                              </w:t>
      </w:r>
    </w:p>
    <w:p w14:paraId="21CAA677">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邮编：</w:t>
      </w:r>
      <w:r>
        <w:rPr>
          <w:rFonts w:hint="eastAsia" w:ascii="宋体" w:hAnsi="宋体" w:cs="仿宋"/>
          <w:color w:val="auto"/>
          <w:sz w:val="24"/>
          <w:szCs w:val="24"/>
          <w:highlight w:val="none"/>
          <w:u w:val="single"/>
        </w:rPr>
        <w:t xml:space="preserve">                                    </w:t>
      </w:r>
    </w:p>
    <w:p w14:paraId="1D534786">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联系电话：</w:t>
      </w:r>
      <w:r>
        <w:rPr>
          <w:rFonts w:hint="eastAsia" w:ascii="宋体" w:hAnsi="宋体" w:cs="仿宋"/>
          <w:color w:val="auto"/>
          <w:sz w:val="24"/>
          <w:szCs w:val="24"/>
          <w:highlight w:val="none"/>
          <w:u w:val="single"/>
        </w:rPr>
        <w:t xml:space="preserve">                                       </w:t>
      </w:r>
    </w:p>
    <w:p w14:paraId="3708DB2D">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授权代表：</w:t>
      </w:r>
      <w:r>
        <w:rPr>
          <w:rFonts w:hint="eastAsia" w:ascii="宋体" w:hAnsi="宋体" w:cs="仿宋"/>
          <w:color w:val="auto"/>
          <w:sz w:val="24"/>
          <w:szCs w:val="24"/>
          <w:highlight w:val="none"/>
          <w:u w:val="single"/>
        </w:rPr>
        <w:t xml:space="preserve">                                                                 </w:t>
      </w:r>
    </w:p>
    <w:p w14:paraId="4124ECDE">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联系电话：</w:t>
      </w:r>
      <w:r>
        <w:rPr>
          <w:rFonts w:hint="eastAsia" w:ascii="宋体" w:hAnsi="宋体" w:cs="仿宋"/>
          <w:color w:val="auto"/>
          <w:sz w:val="24"/>
          <w:szCs w:val="24"/>
          <w:highlight w:val="none"/>
          <w:u w:val="single"/>
        </w:rPr>
        <w:t xml:space="preserve">                                                                </w:t>
      </w:r>
    </w:p>
    <w:p w14:paraId="124B17B2">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邮编：</w:t>
      </w:r>
      <w:r>
        <w:rPr>
          <w:rFonts w:hint="eastAsia" w:ascii="宋体" w:hAnsi="宋体" w:cs="仿宋"/>
          <w:color w:val="auto"/>
          <w:sz w:val="24"/>
          <w:szCs w:val="24"/>
          <w:highlight w:val="none"/>
          <w:u w:val="single"/>
        </w:rPr>
        <w:t xml:space="preserve">                                     </w:t>
      </w:r>
    </w:p>
    <w:p w14:paraId="6A14239F">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二、质疑项目基本情况</w:t>
      </w:r>
    </w:p>
    <w:p w14:paraId="138650BA">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质疑项目的名称：</w:t>
      </w:r>
      <w:r>
        <w:rPr>
          <w:rFonts w:hint="eastAsia" w:ascii="宋体" w:hAnsi="宋体" w:cs="仿宋"/>
          <w:color w:val="auto"/>
          <w:sz w:val="24"/>
          <w:szCs w:val="24"/>
          <w:highlight w:val="none"/>
          <w:u w:val="single"/>
        </w:rPr>
        <w:t xml:space="preserve">                                                          </w:t>
      </w:r>
    </w:p>
    <w:p w14:paraId="6B085C01">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包号：</w:t>
      </w:r>
      <w:r>
        <w:rPr>
          <w:rFonts w:hint="eastAsia" w:ascii="宋体" w:hAnsi="宋体" w:cs="仿宋"/>
          <w:color w:val="auto"/>
          <w:sz w:val="24"/>
          <w:szCs w:val="24"/>
          <w:highlight w:val="none"/>
          <w:u w:val="single"/>
        </w:rPr>
        <w:t xml:space="preserve">                           </w:t>
      </w:r>
    </w:p>
    <w:p w14:paraId="7BAA44D1">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采购人名称：</w:t>
      </w:r>
      <w:r>
        <w:rPr>
          <w:rFonts w:hint="eastAsia" w:ascii="宋体" w:hAnsi="宋体" w:cs="仿宋"/>
          <w:color w:val="auto"/>
          <w:sz w:val="24"/>
          <w:szCs w:val="24"/>
          <w:highlight w:val="none"/>
          <w:u w:val="single"/>
        </w:rPr>
        <w:t xml:space="preserve">                                                              </w:t>
      </w:r>
    </w:p>
    <w:p w14:paraId="51362629">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采购文件获取日期：</w:t>
      </w:r>
      <w:r>
        <w:rPr>
          <w:rFonts w:hint="eastAsia" w:ascii="宋体" w:hAnsi="宋体" w:cs="仿宋"/>
          <w:color w:val="auto"/>
          <w:sz w:val="24"/>
          <w:szCs w:val="24"/>
          <w:highlight w:val="none"/>
          <w:u w:val="single"/>
        </w:rPr>
        <w:t xml:space="preserve">                                                        </w:t>
      </w:r>
    </w:p>
    <w:p w14:paraId="5DCEEDC4">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三、质疑事项具体内容</w:t>
      </w:r>
    </w:p>
    <w:p w14:paraId="2258EF2D">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质疑事项1：</w:t>
      </w:r>
      <w:r>
        <w:rPr>
          <w:rFonts w:hint="eastAsia" w:ascii="宋体" w:hAnsi="宋体" w:cs="仿宋"/>
          <w:color w:val="auto"/>
          <w:sz w:val="24"/>
          <w:szCs w:val="24"/>
          <w:highlight w:val="none"/>
          <w:u w:val="single"/>
        </w:rPr>
        <w:t xml:space="preserve">                                                              </w:t>
      </w:r>
    </w:p>
    <w:p w14:paraId="5F3C0FAB">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事实依据：</w:t>
      </w:r>
      <w:r>
        <w:rPr>
          <w:rFonts w:hint="eastAsia" w:ascii="宋体" w:hAnsi="宋体" w:cs="仿宋"/>
          <w:color w:val="auto"/>
          <w:sz w:val="24"/>
          <w:szCs w:val="24"/>
          <w:highlight w:val="none"/>
          <w:u w:val="single"/>
        </w:rPr>
        <w:t xml:space="preserve">                                                                </w:t>
      </w:r>
    </w:p>
    <w:p w14:paraId="50DC4003">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p>
    <w:p w14:paraId="052C080C">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法律依据：</w:t>
      </w:r>
      <w:r>
        <w:rPr>
          <w:rFonts w:hint="eastAsia" w:ascii="宋体" w:hAnsi="宋体" w:cs="仿宋"/>
          <w:color w:val="auto"/>
          <w:sz w:val="24"/>
          <w:szCs w:val="24"/>
          <w:highlight w:val="none"/>
          <w:u w:val="single"/>
        </w:rPr>
        <w:t xml:space="preserve">                                                                 </w:t>
      </w:r>
    </w:p>
    <w:p w14:paraId="41FCCDDD">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p>
    <w:p w14:paraId="1E096505">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质疑事项2</w:t>
      </w:r>
    </w:p>
    <w:p w14:paraId="58F4DBE2">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w:t>
      </w:r>
    </w:p>
    <w:p w14:paraId="78A9E220">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四、与质疑事项相关的质疑请求</w:t>
      </w:r>
    </w:p>
    <w:p w14:paraId="5453A882">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请求：</w:t>
      </w:r>
      <w:r>
        <w:rPr>
          <w:rFonts w:hint="eastAsia" w:ascii="宋体" w:hAnsi="宋体" w:cs="仿宋"/>
          <w:color w:val="auto"/>
          <w:sz w:val="24"/>
          <w:szCs w:val="24"/>
          <w:highlight w:val="none"/>
          <w:u w:val="single"/>
        </w:rPr>
        <w:t xml:space="preserve">                                                                     </w:t>
      </w:r>
    </w:p>
    <w:p w14:paraId="366C5529">
      <w:pPr>
        <w:rPr>
          <w:rFonts w:ascii="宋体" w:hAnsi="宋体"/>
          <w:color w:val="auto"/>
          <w:sz w:val="24"/>
          <w:szCs w:val="24"/>
          <w:highlight w:val="none"/>
        </w:rPr>
      </w:pPr>
      <w:r>
        <w:rPr>
          <w:rFonts w:hint="eastAsia" w:ascii="宋体" w:hAnsi="宋体"/>
          <w:color w:val="auto"/>
          <w:sz w:val="24"/>
          <w:szCs w:val="24"/>
          <w:highlight w:val="none"/>
        </w:rPr>
        <w:t xml:space="preserve">签字(签章)：                   公章：                      </w:t>
      </w:r>
    </w:p>
    <w:p w14:paraId="7EC23AAF">
      <w:pPr>
        <w:rPr>
          <w:rFonts w:ascii="宋体" w:hAnsi="宋体"/>
          <w:color w:val="auto"/>
          <w:sz w:val="24"/>
          <w:szCs w:val="24"/>
          <w:highlight w:val="none"/>
        </w:rPr>
      </w:pPr>
      <w:r>
        <w:rPr>
          <w:rFonts w:hint="eastAsia" w:ascii="宋体" w:hAnsi="宋体"/>
          <w:color w:val="auto"/>
          <w:sz w:val="24"/>
          <w:szCs w:val="24"/>
          <w:highlight w:val="none"/>
        </w:rPr>
        <w:t xml:space="preserve">日期：    </w:t>
      </w:r>
    </w:p>
    <w:p w14:paraId="231C89BD">
      <w:pPr>
        <w:spacing w:line="400" w:lineRule="exact"/>
        <w:rPr>
          <w:rFonts w:ascii="宋体" w:hAnsi="宋体"/>
          <w:b/>
          <w:color w:val="auto"/>
          <w:sz w:val="24"/>
          <w:szCs w:val="24"/>
          <w:highlight w:val="none"/>
        </w:rPr>
      </w:pPr>
      <w:r>
        <w:rPr>
          <w:rFonts w:hint="eastAsia" w:ascii="宋体" w:hAnsi="宋体"/>
          <w:b/>
          <w:color w:val="auto"/>
          <w:sz w:val="24"/>
          <w:szCs w:val="24"/>
          <w:highlight w:val="none"/>
        </w:rPr>
        <w:t>质疑函制作说明：</w:t>
      </w:r>
    </w:p>
    <w:p w14:paraId="6A8A9957">
      <w:pPr>
        <w:widowControl/>
        <w:spacing w:line="4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1.供应商提出质疑时，应提交质疑函和必要的证明材料。</w:t>
      </w:r>
    </w:p>
    <w:p w14:paraId="7DC76560">
      <w:pPr>
        <w:widowControl/>
        <w:spacing w:line="4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2.质疑供应商若委托代理人进行质疑的，质疑函应按要求列明“授权代表”的有关内容，并在附件中提交由质疑</w:t>
      </w:r>
      <w:r>
        <w:rPr>
          <w:rFonts w:hint="eastAsia" w:ascii="宋体" w:hAnsi="宋体" w:cs="宋体"/>
          <w:color w:val="auto"/>
          <w:sz w:val="24"/>
          <w:szCs w:val="24"/>
          <w:highlight w:val="none"/>
        </w:rPr>
        <w:t>供应商签署的授权委托书。授权委托书应载明代理人的姓名或者名称、代理事项、具体权限、期限和相关事项。</w:t>
      </w:r>
    </w:p>
    <w:p w14:paraId="0AF3FC41">
      <w:pPr>
        <w:widowControl/>
        <w:spacing w:line="4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3.质疑供应商若对项目的某一分包进行质疑，质疑函中应列明具体分包号。</w:t>
      </w:r>
    </w:p>
    <w:p w14:paraId="07EAB4BC">
      <w:pPr>
        <w:widowControl/>
        <w:spacing w:line="4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4.质疑函的质疑事项应具体、明确，并有必要的事实依据和法律依据。</w:t>
      </w:r>
    </w:p>
    <w:p w14:paraId="7A94C18A">
      <w:pPr>
        <w:widowControl/>
        <w:spacing w:line="4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5.质疑函的质疑请求应与质疑事项相关。</w:t>
      </w:r>
    </w:p>
    <w:p w14:paraId="11637EA8">
      <w:pPr>
        <w:widowControl/>
        <w:spacing w:line="4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6.质疑供应商为自然人的，质疑函应由本人签字；质疑供应商为法人或者其他组织的，质疑函应由法定代表人、主要负责人，或者其授权代表签字或者盖章，并加盖公章。</w:t>
      </w:r>
    </w:p>
    <w:sectPr>
      <w:pgSz w:w="11906" w:h="16838"/>
      <w:pgMar w:top="1440" w:right="1304" w:bottom="1440" w:left="1418" w:header="851" w:footer="992"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02"/>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1944A810-DAD8-4F86-95DC-DC72716B7710}"/>
  </w:font>
  <w:font w:name="Arial">
    <w:panose1 w:val="020B0604020202020204"/>
    <w:charset w:val="01"/>
    <w:family w:val="swiss"/>
    <w:pitch w:val="default"/>
    <w:sig w:usb0="E0002EFF" w:usb1="C000785B" w:usb2="00000009" w:usb3="00000000" w:csb0="400001FF" w:csb1="FFFF0000"/>
    <w:embedRegular r:id="rId2" w:fontKey="{F2F28FC8-F5A4-4C94-90C1-46661263CF71}"/>
  </w:font>
  <w:font w:name="黑体">
    <w:panose1 w:val="02010609060101010101"/>
    <w:charset w:val="86"/>
    <w:family w:val="auto"/>
    <w:pitch w:val="default"/>
    <w:sig w:usb0="800002BF" w:usb1="38CF7CFA" w:usb2="00000016" w:usb3="00000000" w:csb0="00040001" w:csb1="00000000"/>
    <w:embedRegular r:id="rId3" w:fontKey="{64167214-997F-408B-931A-4D1064B2D265}"/>
  </w:font>
  <w:font w:name="Courier New">
    <w:panose1 w:val="02070309020205020404"/>
    <w:charset w:val="01"/>
    <w:family w:val="modern"/>
    <w:pitch w:val="default"/>
    <w:sig w:usb0="E0002EFF" w:usb1="C0007843" w:usb2="00000009" w:usb3="00000000" w:csb0="400001FF" w:csb1="FFFF0000"/>
    <w:embedRegular r:id="rId4" w:fontKey="{0CA17369-AC09-4D52-ABDD-6B33324BEDC4}"/>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5" w:fontKey="{FC9768F4-8FFA-4B2A-AD16-FEB8F7AA4B09}"/>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283" w:usb1="288F0000" w:usb2="00000006" w:usb3="00000000" w:csb0="00040001" w:csb1="00000000"/>
  </w:font>
  <w:font w:name="仿宋_GB2312">
    <w:altName w:val="仿宋"/>
    <w:panose1 w:val="02010609060101010101"/>
    <w:charset w:val="00"/>
    <w:family w:val="auto"/>
    <w:pitch w:val="default"/>
    <w:sig w:usb0="00000000" w:usb1="00000000" w:usb2="00000000" w:usb3="00000000" w:csb0="00000000" w:csb1="00000000"/>
    <w:embedRegular r:id="rId6" w:fontKey="{CDF5EEE5-4A29-4F45-B469-0F9C50FB91FB}"/>
  </w:font>
  <w:font w:name="仿宋">
    <w:panose1 w:val="02010609060101010101"/>
    <w:charset w:val="86"/>
    <w:family w:val="auto"/>
    <w:pitch w:val="default"/>
    <w:sig w:usb0="800002BF" w:usb1="38CF7CFA" w:usb2="00000016" w:usb3="00000000" w:csb0="00040001" w:csb1="00000000"/>
    <w:embedRegular r:id="rId7" w:fontKey="{38B5BE2B-961B-4F37-8098-73AAA6BC0A46}"/>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Arial Unicode MS">
    <w:altName w:val="宋体"/>
    <w:panose1 w:val="020B0604020202020204"/>
    <w:charset w:val="86"/>
    <w:family w:val="auto"/>
    <w:pitch w:val="default"/>
    <w:sig w:usb0="00000000" w:usb1="00000000" w:usb2="0000003F" w:usb3="00000000" w:csb0="603F01FF" w:csb1="FFFF0000"/>
  </w:font>
  <w:font w:name="方正黑体_GBK">
    <w:altName w:val="微软雅黑"/>
    <w:panose1 w:val="03000509000000000000"/>
    <w:charset w:val="86"/>
    <w:family w:val="auto"/>
    <w:pitch w:val="default"/>
    <w:sig w:usb0="00000000" w:usb1="00000000" w:usb2="00000000" w:usb3="00000000" w:csb0="00040000" w:csb1="00000000"/>
  </w:font>
  <w:font w:name="Verdana">
    <w:panose1 w:val="020B0604030504040204"/>
    <w:charset w:val="00"/>
    <w:family w:val="auto"/>
    <w:pitch w:val="default"/>
    <w:sig w:usb0="A00006FF" w:usb1="4000205B" w:usb2="00000010" w:usb3="00000000" w:csb0="2000019F" w:csb1="00000000"/>
  </w:font>
  <w:font w:name="方正小标宋_GBK">
    <w:panose1 w:val="02000000000000000000"/>
    <w:charset w:val="86"/>
    <w:family w:val="auto"/>
    <w:pitch w:val="default"/>
    <w:sig w:usb0="A00002BF" w:usb1="38CF7CFA" w:usb2="00082016" w:usb3="00000000" w:csb0="00040001" w:csb1="00000000"/>
    <w:embedRegular r:id="rId8" w:fontKey="{8335BCD8-EA05-4011-A667-2FD9544042EA}"/>
  </w:font>
  <w:font w:name="华文楷体">
    <w:panose1 w:val="02010600040101010101"/>
    <w:charset w:val="86"/>
    <w:family w:val="auto"/>
    <w:pitch w:val="default"/>
    <w:sig w:usb0="00000287" w:usb1="080F0000" w:usb2="00000000" w:usb3="00000000" w:csb0="0004009F" w:csb1="DFD70000"/>
    <w:embedRegular r:id="rId9" w:fontKey="{1C446D3E-B546-475E-8793-FC84AC538709}"/>
  </w:font>
  <w:font w:name="方正仿宋_GBK">
    <w:panose1 w:val="02000000000000000000"/>
    <w:charset w:val="86"/>
    <w:family w:val="auto"/>
    <w:pitch w:val="default"/>
    <w:sig w:usb0="A00002BF" w:usb1="38CF7CFA" w:usb2="00082016" w:usb3="00000000" w:csb0="00040001" w:csb1="00000000"/>
    <w:embedRegular r:id="rId10" w:fontKey="{BAB33A4E-B21C-4FEA-B34B-29AE9A9E7765}"/>
  </w:font>
  <w:font w:name="华文中宋">
    <w:panose1 w:val="02010600040101010101"/>
    <w:charset w:val="86"/>
    <w:family w:val="auto"/>
    <w:pitch w:val="default"/>
    <w:sig w:usb0="00000287" w:usb1="080F0000" w:usb2="00000000" w:usb3="00000000" w:csb0="0004009F" w:csb1="DFD70000"/>
    <w:embedRegular r:id="rId11" w:fontKey="{043D0DA7-5977-4349-B1AA-55B1FDD39E10}"/>
  </w:font>
  <w:font w:name="Segoe UI Symbol">
    <w:panose1 w:val="020B0502040204020203"/>
    <w:charset w:val="00"/>
    <w:family w:val="auto"/>
    <w:pitch w:val="default"/>
    <w:sig w:usb0="800001E3" w:usb1="1200FFEF" w:usb2="00040000" w:usb3="04000000" w:csb0="00000001" w:csb1="40000000"/>
    <w:embedRegular r:id="rId12" w:fontKey="{D4189BB7-C9C7-477C-A4C1-2BF11A44BB5B}"/>
  </w:font>
  <w:font w:name="方正魏碑_GBK">
    <w:altName w:val="NumberOnly"/>
    <w:panose1 w:val="020B0503020202020204"/>
    <w:charset w:val="00"/>
    <w:family w:val="auto"/>
    <w:pitch w:val="default"/>
    <w:sig w:usb0="00000000" w:usb1="00000000" w:usb2="00000000" w:usb3="00000000" w:csb0="00000000" w:csb1="00000000"/>
    <w:embedRegular r:id="rId13" w:fontKey="{0478C520-DEE1-4474-A766-9DCAB794EE85}"/>
  </w:font>
  <w:font w:name="NumberOnly">
    <w:panose1 w:val="020B0500000000000000"/>
    <w:charset w:val="00"/>
    <w:family w:val="auto"/>
    <w:pitch w:val="default"/>
    <w:sig w:usb0="8000002F" w:usb1="10000048" w:usb2="00000000" w:usb3="00000000" w:csb0="0000011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C70159">
    <w:pPr>
      <w:pStyle w:val="121"/>
      <w:jc w:val="center"/>
    </w:pPr>
  </w:p>
  <w:p w14:paraId="42733FEC">
    <w:pPr>
      <w:pStyle w:val="12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4E24F2">
    <w:pPr>
      <w:pStyle w:val="12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C241F9D">
                          <w:pPr>
                            <w:pStyle w:val="121"/>
                            <w:tabs>
                              <w:tab w:val="clear" w:pos="4153"/>
                              <w:tab w:val="clear" w:pos="8306"/>
                            </w:tabs>
                          </w:pPr>
                          <w:r>
                            <w:fldChar w:fldCharType="begin"/>
                          </w:r>
                          <w:r>
                            <w:instrText xml:space="preserve"> PAGE  \* MERGEFORMAT </w:instrText>
                          </w:r>
                          <w:r>
                            <w:fldChar w:fldCharType="separate"/>
                          </w:r>
                          <w:r>
                            <w:t>1</w:t>
                          </w:r>
                          <w:r>
                            <w:fldChar w:fldCharType="end"/>
                          </w:r>
                        </w:p>
                        <w:p w14:paraId="316872E5"/>
                      </w:txbxContent>
                    </wps:txbx>
                    <wps:bodyPr wrap="none" lIns="0" tIns="0" rIns="0" bIns="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G2YJN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O&#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CQbZgk0gEAAKcDAAAOAAAAAAAAAAEAIAAAAB4BAABk&#10;cnMvZTJvRG9jLnhtbFBLBQYAAAAABgAGAFkBAABiBQAAAAA=&#10;">
              <v:fill on="f" focussize="0,0"/>
              <v:stroke on="f"/>
              <v:imagedata o:title=""/>
              <o:lock v:ext="edit" aspectratio="f"/>
              <v:textbox inset="0mm,0mm,0mm,0mm" style="mso-fit-shape-to-text:t;">
                <w:txbxContent>
                  <w:p w14:paraId="6C241F9D">
                    <w:pPr>
                      <w:pStyle w:val="121"/>
                      <w:tabs>
                        <w:tab w:val="clear" w:pos="4153"/>
                        <w:tab w:val="clear" w:pos="8306"/>
                      </w:tabs>
                    </w:pPr>
                    <w:r>
                      <w:fldChar w:fldCharType="begin"/>
                    </w:r>
                    <w:r>
                      <w:instrText xml:space="preserve"> PAGE  \* MERGEFORMAT </w:instrText>
                    </w:r>
                    <w:r>
                      <w:fldChar w:fldCharType="separate"/>
                    </w:r>
                    <w:r>
                      <w:t>1</w:t>
                    </w:r>
                    <w:r>
                      <w:fldChar w:fldCharType="end"/>
                    </w:r>
                  </w:p>
                  <w:p w14:paraId="316872E5"/>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61EB11">
    <w:pPr>
      <w:pStyle w:val="121"/>
      <w:jc w:val="center"/>
    </w:pPr>
  </w:p>
  <w:p w14:paraId="4119B727">
    <w:pPr>
      <w:pStyle w:val="121"/>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5F9F70">
    <w:pPr>
      <w:pStyle w:val="123"/>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2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5E306ED"/>
    <w:multiLevelType w:val="multilevel"/>
    <w:tmpl w:val="B5E306ED"/>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1"/>
      <w:numFmt w:val="chineseCounting"/>
      <w:pStyle w:val="469"/>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0053208E"/>
    <w:multiLevelType w:val="multilevel"/>
    <w:tmpl w:val="0053208E"/>
    <w:lvl w:ilvl="0" w:tentative="0">
      <w:start w:val="1"/>
      <w:numFmt w:val="decimal"/>
      <w:pStyle w:val="454"/>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5">
    <w:nsid w:val="0248C179"/>
    <w:multiLevelType w:val="multilevel"/>
    <w:tmpl w:val="0248C179"/>
    <w:lvl w:ilvl="0" w:tentative="0">
      <w:start w:val="1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3D62ECE"/>
    <w:multiLevelType w:val="multilevel"/>
    <w:tmpl w:val="03D62EC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25B654F3"/>
    <w:multiLevelType w:val="multilevel"/>
    <w:tmpl w:val="25B654F3"/>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59ADCABA"/>
    <w:multiLevelType w:val="multilevel"/>
    <w:tmpl w:val="59ADCABA"/>
    <w:lvl w:ilvl="0" w:tentative="0">
      <w:start w:val="1"/>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72183CF9"/>
    <w:multiLevelType w:val="multilevel"/>
    <w:tmpl w:val="72183CF9"/>
    <w:lvl w:ilvl="0" w:tentative="0">
      <w:start w:val="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7"/>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561839"/>
    <w:rsid w:val="027108F1"/>
    <w:rsid w:val="029167E5"/>
    <w:rsid w:val="037B2AB9"/>
    <w:rsid w:val="03E33071"/>
    <w:rsid w:val="04822869"/>
    <w:rsid w:val="061E22CB"/>
    <w:rsid w:val="067526FD"/>
    <w:rsid w:val="08017F69"/>
    <w:rsid w:val="08872B64"/>
    <w:rsid w:val="089A2898"/>
    <w:rsid w:val="098B3F8E"/>
    <w:rsid w:val="0A4E393A"/>
    <w:rsid w:val="0A6D7B38"/>
    <w:rsid w:val="0AD16319"/>
    <w:rsid w:val="0ADF0A36"/>
    <w:rsid w:val="0AE47449"/>
    <w:rsid w:val="0BA164EC"/>
    <w:rsid w:val="0BAD643E"/>
    <w:rsid w:val="0C1C1816"/>
    <w:rsid w:val="0C2D757F"/>
    <w:rsid w:val="0CF25247"/>
    <w:rsid w:val="0DBD5C7E"/>
    <w:rsid w:val="0DF30354"/>
    <w:rsid w:val="0E2E7042"/>
    <w:rsid w:val="0E6D0107"/>
    <w:rsid w:val="0E9733D5"/>
    <w:rsid w:val="0EC606D6"/>
    <w:rsid w:val="0FC1695C"/>
    <w:rsid w:val="10EA5A3E"/>
    <w:rsid w:val="119500A0"/>
    <w:rsid w:val="133B6A25"/>
    <w:rsid w:val="15D47B20"/>
    <w:rsid w:val="15E80F18"/>
    <w:rsid w:val="16247C45"/>
    <w:rsid w:val="16781D3E"/>
    <w:rsid w:val="16976668"/>
    <w:rsid w:val="179D4F89"/>
    <w:rsid w:val="180B13A0"/>
    <w:rsid w:val="19575C3B"/>
    <w:rsid w:val="19692D10"/>
    <w:rsid w:val="19A74E14"/>
    <w:rsid w:val="19B40D93"/>
    <w:rsid w:val="1AA50C28"/>
    <w:rsid w:val="1ACD2659"/>
    <w:rsid w:val="1BEB0073"/>
    <w:rsid w:val="1C285FE6"/>
    <w:rsid w:val="1CDF7901"/>
    <w:rsid w:val="1D4209B0"/>
    <w:rsid w:val="1D99140A"/>
    <w:rsid w:val="1E2419AF"/>
    <w:rsid w:val="1F5413AE"/>
    <w:rsid w:val="1F8424B8"/>
    <w:rsid w:val="20780352"/>
    <w:rsid w:val="20994D8B"/>
    <w:rsid w:val="20C462AC"/>
    <w:rsid w:val="22CE2794"/>
    <w:rsid w:val="2409047A"/>
    <w:rsid w:val="2536704D"/>
    <w:rsid w:val="257F09F3"/>
    <w:rsid w:val="25C33BA4"/>
    <w:rsid w:val="25CB3C39"/>
    <w:rsid w:val="25D74BEA"/>
    <w:rsid w:val="25F413E1"/>
    <w:rsid w:val="261A696E"/>
    <w:rsid w:val="279938C3"/>
    <w:rsid w:val="27A95F29"/>
    <w:rsid w:val="28331A56"/>
    <w:rsid w:val="28B61317"/>
    <w:rsid w:val="290E4A81"/>
    <w:rsid w:val="29691D3C"/>
    <w:rsid w:val="299A412B"/>
    <w:rsid w:val="2B057BED"/>
    <w:rsid w:val="2B253DEB"/>
    <w:rsid w:val="2B4D50F0"/>
    <w:rsid w:val="2BF11F1F"/>
    <w:rsid w:val="2C091017"/>
    <w:rsid w:val="2C2E6CCF"/>
    <w:rsid w:val="2C7C5FB1"/>
    <w:rsid w:val="2D1046A7"/>
    <w:rsid w:val="2D190B64"/>
    <w:rsid w:val="2D6D1A79"/>
    <w:rsid w:val="2D9D235F"/>
    <w:rsid w:val="2FE221A7"/>
    <w:rsid w:val="30073ABF"/>
    <w:rsid w:val="30D342E9"/>
    <w:rsid w:val="316A361D"/>
    <w:rsid w:val="31C846CE"/>
    <w:rsid w:val="323B0398"/>
    <w:rsid w:val="32607DFF"/>
    <w:rsid w:val="32A56459"/>
    <w:rsid w:val="32AC6713"/>
    <w:rsid w:val="32F10A57"/>
    <w:rsid w:val="333948D8"/>
    <w:rsid w:val="339E0BDF"/>
    <w:rsid w:val="33A343D4"/>
    <w:rsid w:val="33CB12A8"/>
    <w:rsid w:val="34D85CE0"/>
    <w:rsid w:val="34EB1C02"/>
    <w:rsid w:val="35101668"/>
    <w:rsid w:val="35565D55"/>
    <w:rsid w:val="35FF348B"/>
    <w:rsid w:val="360A255B"/>
    <w:rsid w:val="365437D6"/>
    <w:rsid w:val="37401F91"/>
    <w:rsid w:val="389843BE"/>
    <w:rsid w:val="38A53CBE"/>
    <w:rsid w:val="3910125D"/>
    <w:rsid w:val="3914549F"/>
    <w:rsid w:val="39316051"/>
    <w:rsid w:val="39CD7B28"/>
    <w:rsid w:val="3A2D05C6"/>
    <w:rsid w:val="3A9643BE"/>
    <w:rsid w:val="3B273268"/>
    <w:rsid w:val="3BB32D4D"/>
    <w:rsid w:val="3BCE5DD9"/>
    <w:rsid w:val="3C683B38"/>
    <w:rsid w:val="3CB12907"/>
    <w:rsid w:val="3CFC24D2"/>
    <w:rsid w:val="3D2A5291"/>
    <w:rsid w:val="3E2F4943"/>
    <w:rsid w:val="3E7A2248"/>
    <w:rsid w:val="3EA8426E"/>
    <w:rsid w:val="3FEB51AC"/>
    <w:rsid w:val="407927B7"/>
    <w:rsid w:val="41EC0D67"/>
    <w:rsid w:val="431F6F1A"/>
    <w:rsid w:val="446801AB"/>
    <w:rsid w:val="45071B4C"/>
    <w:rsid w:val="46741DBA"/>
    <w:rsid w:val="46784782"/>
    <w:rsid w:val="47BB36B5"/>
    <w:rsid w:val="47BE310C"/>
    <w:rsid w:val="488554DB"/>
    <w:rsid w:val="48D26E94"/>
    <w:rsid w:val="4901159C"/>
    <w:rsid w:val="49706E2B"/>
    <w:rsid w:val="49881700"/>
    <w:rsid w:val="4A897A9B"/>
    <w:rsid w:val="4AAC5537"/>
    <w:rsid w:val="4BE1010B"/>
    <w:rsid w:val="4C7E1155"/>
    <w:rsid w:val="4D4B7289"/>
    <w:rsid w:val="4D5E7C7D"/>
    <w:rsid w:val="4DAB1AD6"/>
    <w:rsid w:val="4E3C6BD2"/>
    <w:rsid w:val="4E546612"/>
    <w:rsid w:val="503F0BFC"/>
    <w:rsid w:val="512D5CF8"/>
    <w:rsid w:val="51595B95"/>
    <w:rsid w:val="51ED4DB3"/>
    <w:rsid w:val="5217652B"/>
    <w:rsid w:val="52C4648D"/>
    <w:rsid w:val="53083527"/>
    <w:rsid w:val="539D716B"/>
    <w:rsid w:val="53AA2830"/>
    <w:rsid w:val="53BC3414"/>
    <w:rsid w:val="54AA6F8B"/>
    <w:rsid w:val="55172147"/>
    <w:rsid w:val="55D3606E"/>
    <w:rsid w:val="5608525D"/>
    <w:rsid w:val="562C0DF0"/>
    <w:rsid w:val="57032983"/>
    <w:rsid w:val="577751BD"/>
    <w:rsid w:val="5AD534F0"/>
    <w:rsid w:val="5AD92379"/>
    <w:rsid w:val="5AF64B9B"/>
    <w:rsid w:val="5B254FA0"/>
    <w:rsid w:val="5BEA764F"/>
    <w:rsid w:val="5BFB00CD"/>
    <w:rsid w:val="5C3D6937"/>
    <w:rsid w:val="5C806824"/>
    <w:rsid w:val="5C9771B3"/>
    <w:rsid w:val="5D3214B0"/>
    <w:rsid w:val="5F334021"/>
    <w:rsid w:val="5F5D2E4C"/>
    <w:rsid w:val="5FB23198"/>
    <w:rsid w:val="629372B1"/>
    <w:rsid w:val="62DB3AD6"/>
    <w:rsid w:val="63155F18"/>
    <w:rsid w:val="63BD3EBA"/>
    <w:rsid w:val="65146AB2"/>
    <w:rsid w:val="65F31E15"/>
    <w:rsid w:val="66044022"/>
    <w:rsid w:val="672F68E2"/>
    <w:rsid w:val="673D5A3D"/>
    <w:rsid w:val="67515045"/>
    <w:rsid w:val="677272B3"/>
    <w:rsid w:val="67775181"/>
    <w:rsid w:val="6833299C"/>
    <w:rsid w:val="6A265BD3"/>
    <w:rsid w:val="6A6D39FC"/>
    <w:rsid w:val="6BD10E4A"/>
    <w:rsid w:val="6C044D7B"/>
    <w:rsid w:val="6CBA18DE"/>
    <w:rsid w:val="6D3C22F3"/>
    <w:rsid w:val="6D4B62BF"/>
    <w:rsid w:val="6D943EDD"/>
    <w:rsid w:val="6FBD3BBF"/>
    <w:rsid w:val="6FEF7878"/>
    <w:rsid w:val="70153326"/>
    <w:rsid w:val="70550B9D"/>
    <w:rsid w:val="7083212D"/>
    <w:rsid w:val="70EE795A"/>
    <w:rsid w:val="714300F4"/>
    <w:rsid w:val="725A3947"/>
    <w:rsid w:val="728F7FB9"/>
    <w:rsid w:val="73373C88"/>
    <w:rsid w:val="73AF1A71"/>
    <w:rsid w:val="74D80FCC"/>
    <w:rsid w:val="77387FCF"/>
    <w:rsid w:val="77506F5B"/>
    <w:rsid w:val="78511BCF"/>
    <w:rsid w:val="7855632F"/>
    <w:rsid w:val="79FF115B"/>
    <w:rsid w:val="7AE00762"/>
    <w:rsid w:val="7B182772"/>
    <w:rsid w:val="7B4A207F"/>
    <w:rsid w:val="7B512601"/>
    <w:rsid w:val="7B6C7091"/>
    <w:rsid w:val="7BEB1AB4"/>
    <w:rsid w:val="7C1A731A"/>
    <w:rsid w:val="7CBE2D25"/>
    <w:rsid w:val="7E633B84"/>
    <w:rsid w:val="7E891208"/>
    <w:rsid w:val="7F597E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unhideWhenUsed/>
    <w:qFormat/>
    <w:uiPriority w:val="9"/>
    <w:pPr>
      <w:keepNext/>
      <w:keepLines/>
      <w:spacing w:before="320" w:after="200"/>
      <w:outlineLvl w:val="8"/>
    </w:pPr>
    <w:rPr>
      <w:rFonts w:ascii="Arial" w:hAnsi="Arial" w:eastAsia="Arial" w:cs="Arial"/>
      <w:i/>
      <w:iCs/>
      <w:szCs w:val="21"/>
    </w:rPr>
  </w:style>
  <w:style w:type="character" w:default="1" w:styleId="34">
    <w:name w:val="Default Paragraph Font"/>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next w:val="1"/>
    <w:qFormat/>
    <w:uiPriority w:val="99"/>
    <w:pPr>
      <w:ind w:firstLine="42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w:basedOn w:val="1"/>
    <w:next w:val="12"/>
    <w:qFormat/>
    <w:uiPriority w:val="0"/>
    <w:rPr>
      <w:rFonts w:ascii="楷体_GB2312" w:hAnsi="Arial" w:eastAsia="楷体_GB2312"/>
      <w:sz w:val="28"/>
      <w:szCs w:val="28"/>
    </w:rPr>
  </w:style>
  <w:style w:type="paragraph" w:styleId="15">
    <w:name w:val="Body Text Indent"/>
    <w:basedOn w:val="1"/>
    <w:next w:val="1"/>
    <w:qFormat/>
    <w:uiPriority w:val="0"/>
    <w:pPr>
      <w:ind w:firstLine="645"/>
    </w:pPr>
    <w:rPr>
      <w:rFonts w:ascii="楷体_GB2312" w:eastAsia="楷体_GB2312"/>
      <w:sz w:val="32"/>
      <w:szCs w:val="32"/>
    </w:r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toc 8"/>
    <w:basedOn w:val="1"/>
    <w:next w:val="1"/>
    <w:unhideWhenUsed/>
    <w:qFormat/>
    <w:uiPriority w:val="39"/>
    <w:pPr>
      <w:spacing w:after="57"/>
      <w:ind w:left="1984"/>
    </w:pPr>
  </w:style>
  <w:style w:type="paragraph" w:styleId="19">
    <w:name w:val="endnote text"/>
    <w:basedOn w:val="1"/>
    <w:semiHidden/>
    <w:unhideWhenUsed/>
    <w:qFormat/>
    <w:uiPriority w:val="99"/>
    <w:rPr>
      <w:sz w:val="20"/>
    </w:rPr>
  </w:style>
  <w:style w:type="paragraph" w:styleId="20">
    <w:name w:val="footer"/>
    <w:basedOn w:val="1"/>
    <w:unhideWhenUsed/>
    <w:qFormat/>
    <w:uiPriority w:val="99"/>
    <w:pPr>
      <w:tabs>
        <w:tab w:val="center" w:pos="7143"/>
        <w:tab w:val="right" w:pos="14287"/>
      </w:tabs>
    </w:pPr>
  </w:style>
  <w:style w:type="paragraph" w:styleId="21">
    <w:name w:val="header"/>
    <w:basedOn w:val="1"/>
    <w:unhideWhenUsed/>
    <w:qFormat/>
    <w:uiPriority w:val="99"/>
    <w:pPr>
      <w:tabs>
        <w:tab w:val="center" w:pos="7143"/>
        <w:tab w:val="right" w:pos="14287"/>
      </w:tabs>
    </w:pPr>
  </w:style>
  <w:style w:type="paragraph" w:styleId="22">
    <w:name w:val="toc 1"/>
    <w:basedOn w:val="1"/>
    <w:next w:val="1"/>
    <w:unhideWhenUsed/>
    <w:qFormat/>
    <w:uiPriority w:val="39"/>
    <w:pPr>
      <w:spacing w:after="57"/>
    </w:pPr>
  </w:style>
  <w:style w:type="paragraph" w:styleId="23">
    <w:name w:val="toc 4"/>
    <w:basedOn w:val="1"/>
    <w:next w:val="1"/>
    <w:unhideWhenUsed/>
    <w:qFormat/>
    <w:uiPriority w:val="39"/>
    <w:pPr>
      <w:spacing w:after="57"/>
      <w:ind w:left="850"/>
    </w:pPr>
  </w:style>
  <w:style w:type="paragraph" w:styleId="24">
    <w:name w:val="Subtitle"/>
    <w:basedOn w:val="1"/>
    <w:next w:val="1"/>
    <w:qFormat/>
    <w:uiPriority w:val="11"/>
    <w:pPr>
      <w:spacing w:before="200" w:after="200"/>
    </w:pPr>
    <w:rPr>
      <w:sz w:val="24"/>
      <w:szCs w:val="24"/>
    </w:rPr>
  </w:style>
  <w:style w:type="paragraph" w:styleId="25">
    <w:name w:val="footnote text"/>
    <w:basedOn w:val="1"/>
    <w:semiHidden/>
    <w:unhideWhenUsed/>
    <w:qFormat/>
    <w:uiPriority w:val="99"/>
    <w:pPr>
      <w:spacing w:after="40"/>
    </w:pPr>
    <w:rPr>
      <w:sz w:val="18"/>
    </w:rPr>
  </w:style>
  <w:style w:type="paragraph" w:styleId="26">
    <w:name w:val="toc 6"/>
    <w:basedOn w:val="1"/>
    <w:next w:val="1"/>
    <w:unhideWhenUsed/>
    <w:qFormat/>
    <w:uiPriority w:val="39"/>
    <w:pPr>
      <w:spacing w:after="57"/>
      <w:ind w:left="1417"/>
    </w:pPr>
  </w:style>
  <w:style w:type="paragraph" w:styleId="27">
    <w:name w:val="table of figures"/>
    <w:basedOn w:val="1"/>
    <w:next w:val="1"/>
    <w:unhideWhenUsed/>
    <w:qFormat/>
    <w:uiPriority w:val="99"/>
  </w:style>
  <w:style w:type="paragraph" w:styleId="28">
    <w:name w:val="toc 2"/>
    <w:basedOn w:val="1"/>
    <w:next w:val="1"/>
    <w:unhideWhenUsed/>
    <w:qFormat/>
    <w:uiPriority w:val="39"/>
    <w:pPr>
      <w:spacing w:after="57"/>
      <w:ind w:left="283"/>
    </w:pPr>
  </w:style>
  <w:style w:type="paragraph" w:styleId="29">
    <w:name w:val="toc 9"/>
    <w:basedOn w:val="1"/>
    <w:next w:val="1"/>
    <w:unhideWhenUsed/>
    <w:qFormat/>
    <w:uiPriority w:val="39"/>
    <w:pPr>
      <w:spacing w:after="57"/>
      <w:ind w:left="2268"/>
    </w:pPr>
  </w:style>
  <w:style w:type="paragraph" w:styleId="30">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31">
    <w:name w:val="Title"/>
    <w:basedOn w:val="1"/>
    <w:next w:val="15"/>
    <w:qFormat/>
    <w:uiPriority w:val="10"/>
    <w:pPr>
      <w:spacing w:before="300" w:after="200"/>
      <w:contextualSpacing/>
    </w:pPr>
    <w:rPr>
      <w:sz w:val="48"/>
      <w:szCs w:val="48"/>
    </w:rPr>
  </w:style>
  <w:style w:type="table" w:styleId="33">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endnote reference"/>
    <w:semiHidden/>
    <w:unhideWhenUsed/>
    <w:qFormat/>
    <w:uiPriority w:val="99"/>
    <w:rPr>
      <w:vertAlign w:val="superscript"/>
    </w:rPr>
  </w:style>
  <w:style w:type="character" w:styleId="36">
    <w:name w:val="Emphasis"/>
    <w:qFormat/>
    <w:uiPriority w:val="0"/>
    <w:rPr>
      <w:i/>
    </w:rPr>
  </w:style>
  <w:style w:type="character" w:styleId="37">
    <w:name w:val="Hyperlink"/>
    <w:unhideWhenUsed/>
    <w:qFormat/>
    <w:uiPriority w:val="99"/>
    <w:rPr>
      <w:color w:val="0000FF" w:themeColor="hyperlink"/>
      <w:u w:val="single"/>
      <w14:textFill>
        <w14:solidFill>
          <w14:schemeClr w14:val="hlink"/>
        </w14:solidFill>
      </w14:textFill>
    </w:rPr>
  </w:style>
  <w:style w:type="character" w:styleId="38">
    <w:name w:val="footnote reference"/>
    <w:unhideWhenUsed/>
    <w:qFormat/>
    <w:uiPriority w:val="99"/>
    <w:rPr>
      <w:vertAlign w:val="superscript"/>
    </w:rPr>
  </w:style>
  <w:style w:type="table" w:customStyle="1" w:styleId="39">
    <w:name w:val="Plain Table 1"/>
    <w:basedOn w:val="3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0">
    <w:name w:val="Plain Table 2"/>
    <w:basedOn w:val="3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41">
    <w:name w:val="Plain Table 3"/>
    <w:basedOn w:val="32"/>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2">
    <w:name w:val="Plain Table 4"/>
    <w:basedOn w:val="32"/>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3">
    <w:name w:val="Plain Table 5"/>
    <w:basedOn w:val="32"/>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4">
    <w:name w:val="Grid Table 1 Light"/>
    <w:basedOn w:val="32"/>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45">
    <w:name w:val="Grid Table 2"/>
    <w:basedOn w:val="3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46">
    <w:name w:val="Grid Table 3"/>
    <w:basedOn w:val="3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47">
    <w:name w:val="Grid Table 4"/>
    <w:basedOn w:val="32"/>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48">
    <w:name w:val="Grid Table 5 Dark"/>
    <w:basedOn w:val="3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49">
    <w:name w:val="Grid Table 6 Colorful"/>
    <w:basedOn w:val="32"/>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0">
    <w:name w:val="Grid Table 7 Colorful"/>
    <w:basedOn w:val="32"/>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1">
    <w:name w:val="List Table 1 Light"/>
    <w:basedOn w:val="32"/>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52">
    <w:name w:val="List Table 2"/>
    <w:basedOn w:val="3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53">
    <w:name w:val="List Table 3"/>
    <w:basedOn w:val="3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54">
    <w:name w:val="List Table 4"/>
    <w:basedOn w:val="3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55">
    <w:name w:val="List Table 5 Dark"/>
    <w:basedOn w:val="32"/>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56">
    <w:name w:val="List Table 6 Colorful"/>
    <w:basedOn w:val="32"/>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57">
    <w:name w:val="List Table 7 Colorful"/>
    <w:basedOn w:val="32"/>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58">
    <w:name w:val="TOC Heading"/>
    <w:unhideWhenUsed/>
    <w:qFormat/>
    <w:uiPriority w:val="39"/>
    <w:rPr>
      <w:rFonts w:hint="default" w:ascii="Times New Roman" w:hAnsi="Times New Roman" w:eastAsia="宋体" w:cs="Times New Roman"/>
    </w:rPr>
  </w:style>
  <w:style w:type="paragraph" w:customStyle="1" w:styleId="59">
    <w:name w:val="正文文本11"/>
    <w:basedOn w:val="60"/>
    <w:next w:val="61"/>
    <w:qFormat/>
    <w:uiPriority w:val="0"/>
    <w:pPr>
      <w:spacing w:after="120"/>
    </w:pPr>
  </w:style>
  <w:style w:type="paragraph" w:customStyle="1" w:styleId="60">
    <w:name w:val="正文12"/>
    <w:next w:val="59"/>
    <w:qFormat/>
    <w:uiPriority w:val="0"/>
    <w:pPr>
      <w:widowControl w:val="0"/>
      <w:spacing w:line="360" w:lineRule="auto"/>
      <w:ind w:firstLine="723"/>
      <w:jc w:val="both"/>
    </w:pPr>
    <w:rPr>
      <w:rFonts w:hint="default" w:ascii="Times New Roman" w:hAnsi="Times New Roman" w:eastAsia="宋体" w:cs="Times New Roman"/>
      <w:sz w:val="24"/>
      <w:szCs w:val="24"/>
      <w:lang w:val="en-US" w:eastAsia="zh-CN" w:bidi="ar-SA"/>
    </w:rPr>
  </w:style>
  <w:style w:type="paragraph" w:customStyle="1" w:styleId="61">
    <w:name w:val="正文缩进1"/>
    <w:basedOn w:val="1"/>
    <w:next w:val="1"/>
    <w:qFormat/>
    <w:uiPriority w:val="0"/>
    <w:pPr>
      <w:ind w:firstLine="420"/>
      <w:jc w:val="left"/>
    </w:pPr>
    <w:rPr>
      <w:rFonts w:ascii="宋体"/>
      <w:sz w:val="24"/>
    </w:rPr>
  </w:style>
  <w:style w:type="paragraph" w:styleId="62">
    <w:name w:val="List Paragraph"/>
    <w:basedOn w:val="1"/>
    <w:qFormat/>
    <w:uiPriority w:val="34"/>
    <w:pPr>
      <w:ind w:left="720"/>
      <w:contextualSpacing/>
    </w:pPr>
  </w:style>
  <w:style w:type="paragraph" w:styleId="63">
    <w:name w:val="No Spacing"/>
    <w:qFormat/>
    <w:uiPriority w:val="1"/>
    <w:rPr>
      <w:rFonts w:hint="default" w:ascii="Times New Roman" w:hAnsi="Times New Roman" w:eastAsia="宋体" w:cs="Times New Roman"/>
      <w:lang w:val="en-US" w:eastAsia="zh-CN" w:bidi="ar-SA"/>
    </w:rPr>
  </w:style>
  <w:style w:type="paragraph" w:styleId="64">
    <w:name w:val="Quote"/>
    <w:basedOn w:val="1"/>
    <w:next w:val="1"/>
    <w:qFormat/>
    <w:uiPriority w:val="29"/>
    <w:pPr>
      <w:ind w:left="720" w:right="720"/>
    </w:pPr>
    <w:rPr>
      <w:i/>
    </w:rPr>
  </w:style>
  <w:style w:type="paragraph" w:styleId="65">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paragraph" w:customStyle="1" w:styleId="66">
    <w:name w:val="标题 11"/>
    <w:basedOn w:val="1"/>
    <w:next w:val="1"/>
    <w:link w:val="85"/>
    <w:qFormat/>
    <w:uiPriority w:val="0"/>
    <w:pPr>
      <w:keepNext/>
      <w:keepLines/>
      <w:spacing w:before="480" w:after="200"/>
      <w:outlineLvl w:val="0"/>
    </w:pPr>
    <w:rPr>
      <w:rFonts w:ascii="Arial" w:hAnsi="Arial" w:eastAsia="Arial" w:cs="Arial"/>
      <w:sz w:val="40"/>
      <w:szCs w:val="40"/>
    </w:rPr>
  </w:style>
  <w:style w:type="paragraph" w:customStyle="1" w:styleId="67">
    <w:name w:val="标题 211"/>
    <w:basedOn w:val="1"/>
    <w:next w:val="68"/>
    <w:link w:val="86"/>
    <w:qFormat/>
    <w:uiPriority w:val="0"/>
    <w:pPr>
      <w:keepNext/>
      <w:keepLines/>
      <w:spacing w:before="260" w:after="260" w:line="413" w:lineRule="auto"/>
      <w:outlineLvl w:val="1"/>
    </w:pPr>
    <w:rPr>
      <w:rFonts w:ascii="Arial" w:hAnsi="Arial" w:eastAsia="黑体"/>
      <w:b/>
      <w:sz w:val="32"/>
      <w:szCs w:val="20"/>
    </w:rPr>
  </w:style>
  <w:style w:type="paragraph" w:customStyle="1" w:styleId="68">
    <w:name w:val="正文缩进11"/>
    <w:basedOn w:val="1"/>
    <w:next w:val="1"/>
    <w:link w:val="87"/>
    <w:qFormat/>
    <w:uiPriority w:val="0"/>
    <w:pPr>
      <w:ind w:firstLine="420"/>
    </w:pPr>
    <w:rPr>
      <w:rFonts w:ascii="宋体"/>
      <w:color w:val="000000"/>
      <w:sz w:val="24"/>
      <w:szCs w:val="20"/>
    </w:rPr>
  </w:style>
  <w:style w:type="paragraph" w:customStyle="1" w:styleId="69">
    <w:name w:val="标题 311"/>
    <w:basedOn w:val="70"/>
    <w:next w:val="71"/>
    <w:link w:val="88"/>
    <w:qFormat/>
    <w:uiPriority w:val="0"/>
    <w:pPr>
      <w:keepNext/>
      <w:keepLines/>
      <w:spacing w:before="320" w:after="200"/>
      <w:outlineLvl w:val="2"/>
    </w:pPr>
    <w:rPr>
      <w:rFonts w:ascii="Arial" w:hAnsi="Arial" w:eastAsia="Arial" w:cs="Arial"/>
      <w:sz w:val="30"/>
      <w:szCs w:val="30"/>
    </w:rPr>
  </w:style>
  <w:style w:type="paragraph" w:customStyle="1" w:styleId="70">
    <w:name w:val="Normal1"/>
    <w:next w:val="69"/>
    <w:qFormat/>
    <w:uiPriority w:val="0"/>
    <w:pPr>
      <w:widowControl w:val="0"/>
      <w:jc w:val="both"/>
    </w:pPr>
    <w:rPr>
      <w:rFonts w:hint="default" w:ascii="Calibri" w:hAnsi="Calibri" w:eastAsia="宋体" w:cs="Times New Roman"/>
      <w:sz w:val="21"/>
      <w:szCs w:val="22"/>
      <w:lang w:val="en-US" w:eastAsia="zh-CN" w:bidi="ar-SA"/>
    </w:rPr>
  </w:style>
  <w:style w:type="paragraph" w:customStyle="1" w:styleId="71">
    <w:name w:val="Normal_19"/>
    <w:next w:val="72"/>
    <w:qFormat/>
    <w:uiPriority w:val="0"/>
    <w:rPr>
      <w:rFonts w:hint="default" w:ascii="黑体" w:hAnsi="黑体" w:eastAsia="黑体" w:cs="黑体"/>
      <w:b/>
      <w:sz w:val="32"/>
      <w:szCs w:val="24"/>
      <w:lang w:val="en-US" w:eastAsia="zh-CN" w:bidi="ar-SA"/>
    </w:rPr>
  </w:style>
  <w:style w:type="paragraph" w:customStyle="1" w:styleId="72">
    <w:name w:val="正文1"/>
    <w:next w:val="73"/>
    <w:qFormat/>
    <w:uiPriority w:val="0"/>
    <w:rPr>
      <w:rFonts w:hint="default" w:ascii="Times New Roman" w:hAnsi="Times New Roman" w:eastAsia="Times New Roman" w:cs="Times New Roman"/>
      <w:sz w:val="24"/>
      <w:szCs w:val="24"/>
      <w:lang w:val="en-US" w:eastAsia="zh-CN" w:bidi="ar-SA"/>
    </w:rPr>
  </w:style>
  <w:style w:type="paragraph" w:customStyle="1" w:styleId="73">
    <w:name w:val="Body Text First Indent1"/>
    <w:basedOn w:val="74"/>
    <w:unhideWhenUsed/>
    <w:qFormat/>
    <w:uiPriority w:val="99"/>
    <w:pPr>
      <w:ind w:firstLine="420"/>
    </w:pPr>
  </w:style>
  <w:style w:type="paragraph" w:customStyle="1" w:styleId="74">
    <w:name w:val="Body Text1"/>
    <w:basedOn w:val="75"/>
    <w:unhideWhenUsed/>
    <w:qFormat/>
    <w:uiPriority w:val="99"/>
    <w:pPr>
      <w:spacing w:after="120"/>
    </w:pPr>
  </w:style>
  <w:style w:type="paragraph" w:customStyle="1" w:styleId="75">
    <w:name w:val="Normal11"/>
    <w:next w:val="73"/>
    <w:qFormat/>
    <w:uiPriority w:val="0"/>
    <w:pPr>
      <w:widowControl w:val="0"/>
      <w:jc w:val="both"/>
    </w:pPr>
    <w:rPr>
      <w:rFonts w:hint="default" w:ascii="Times New Roman" w:hAnsi="Times New Roman" w:eastAsia="宋体" w:cs="Times New Roman"/>
      <w:szCs w:val="21"/>
      <w:lang w:val="en-US" w:eastAsia="zh-CN" w:bidi="ar-SA"/>
    </w:rPr>
  </w:style>
  <w:style w:type="paragraph" w:customStyle="1" w:styleId="76">
    <w:name w:val="标题 411"/>
    <w:basedOn w:val="1"/>
    <w:next w:val="1"/>
    <w:link w:val="89"/>
    <w:qFormat/>
    <w:uiPriority w:val="0"/>
    <w:pPr>
      <w:keepNext/>
      <w:jc w:val="center"/>
      <w:outlineLvl w:val="3"/>
    </w:pPr>
    <w:rPr>
      <w:rFonts w:eastAsia="新宋体"/>
      <w:sz w:val="30"/>
      <w:szCs w:val="21"/>
    </w:rPr>
  </w:style>
  <w:style w:type="paragraph" w:customStyle="1" w:styleId="77">
    <w:name w:val="标题 51"/>
    <w:basedOn w:val="1"/>
    <w:next w:val="1"/>
    <w:link w:val="90"/>
    <w:qFormat/>
    <w:uiPriority w:val="0"/>
    <w:pPr>
      <w:keepNext/>
      <w:keepLines/>
      <w:spacing w:before="320" w:after="200"/>
      <w:outlineLvl w:val="4"/>
    </w:pPr>
    <w:rPr>
      <w:rFonts w:ascii="Arial" w:hAnsi="Arial" w:eastAsia="Arial" w:cs="Arial"/>
      <w:b/>
      <w:bCs/>
      <w:sz w:val="24"/>
      <w:szCs w:val="24"/>
    </w:rPr>
  </w:style>
  <w:style w:type="paragraph" w:customStyle="1" w:styleId="78">
    <w:name w:val="标题 61"/>
    <w:basedOn w:val="1"/>
    <w:next w:val="1"/>
    <w:link w:val="91"/>
    <w:qFormat/>
    <w:uiPriority w:val="0"/>
    <w:pPr>
      <w:keepNext/>
      <w:keepLines/>
      <w:spacing w:before="320" w:after="200"/>
      <w:outlineLvl w:val="5"/>
    </w:pPr>
    <w:rPr>
      <w:rFonts w:ascii="Arial" w:hAnsi="Arial" w:eastAsia="Arial" w:cs="Arial"/>
      <w:b/>
      <w:bCs/>
      <w:sz w:val="22"/>
    </w:rPr>
  </w:style>
  <w:style w:type="paragraph" w:customStyle="1" w:styleId="79">
    <w:name w:val="标题 71"/>
    <w:basedOn w:val="1"/>
    <w:next w:val="1"/>
    <w:link w:val="92"/>
    <w:qFormat/>
    <w:uiPriority w:val="0"/>
    <w:pPr>
      <w:keepNext/>
      <w:keepLines/>
      <w:spacing w:before="320" w:after="200"/>
      <w:outlineLvl w:val="6"/>
    </w:pPr>
    <w:rPr>
      <w:rFonts w:ascii="Arial" w:hAnsi="Arial" w:eastAsia="Arial" w:cs="Arial"/>
      <w:b/>
      <w:bCs/>
      <w:i/>
      <w:iCs/>
      <w:sz w:val="22"/>
    </w:rPr>
  </w:style>
  <w:style w:type="paragraph" w:customStyle="1" w:styleId="80">
    <w:name w:val="标题 81"/>
    <w:basedOn w:val="1"/>
    <w:next w:val="1"/>
    <w:link w:val="93"/>
    <w:qFormat/>
    <w:uiPriority w:val="0"/>
    <w:pPr>
      <w:keepNext/>
      <w:keepLines/>
      <w:spacing w:before="320" w:after="200"/>
      <w:outlineLvl w:val="7"/>
    </w:pPr>
    <w:rPr>
      <w:rFonts w:ascii="Arial" w:hAnsi="Arial" w:eastAsia="Arial" w:cs="Arial"/>
      <w:i/>
      <w:iCs/>
      <w:sz w:val="22"/>
    </w:rPr>
  </w:style>
  <w:style w:type="paragraph" w:customStyle="1" w:styleId="81">
    <w:name w:val="标题 91"/>
    <w:basedOn w:val="1"/>
    <w:next w:val="1"/>
    <w:link w:val="94"/>
    <w:qFormat/>
    <w:uiPriority w:val="0"/>
    <w:pPr>
      <w:keepNext/>
      <w:keepLines/>
      <w:spacing w:before="320" w:after="200"/>
      <w:outlineLvl w:val="8"/>
    </w:pPr>
    <w:rPr>
      <w:rFonts w:ascii="Arial" w:hAnsi="Arial" w:eastAsia="Arial" w:cs="Arial"/>
      <w:i/>
      <w:iCs/>
      <w:szCs w:val="21"/>
    </w:rPr>
  </w:style>
  <w:style w:type="character" w:customStyle="1" w:styleId="82">
    <w:name w:val="默认段落字体11"/>
    <w:unhideWhenUsed/>
    <w:qFormat/>
    <w:uiPriority w:val="1"/>
  </w:style>
  <w:style w:type="table" w:customStyle="1" w:styleId="83">
    <w:name w:val="普通表格1"/>
    <w:unhideWhenUsed/>
    <w:qFormat/>
    <w:uiPriority w:val="99"/>
    <w:tblPr>
      <w:tblCellMar>
        <w:top w:w="0" w:type="dxa"/>
        <w:left w:w="0" w:type="dxa"/>
        <w:bottom w:w="0" w:type="dxa"/>
        <w:right w:w="0" w:type="dxa"/>
      </w:tblCellMar>
    </w:tblPr>
  </w:style>
  <w:style w:type="character" w:customStyle="1" w:styleId="84">
    <w:name w:val="页码1"/>
    <w:qFormat/>
    <w:uiPriority w:val="0"/>
    <w:rPr>
      <w:rFonts w:ascii="Calibri" w:hAnsi="Calibri"/>
      <w:sz w:val="21"/>
      <w:szCs w:val="22"/>
      <w:lang w:val="en-US" w:eastAsia="zh-CN" w:bidi="ar-SA"/>
    </w:rPr>
  </w:style>
  <w:style w:type="character" w:customStyle="1" w:styleId="85">
    <w:name w:val="标题 1 字符"/>
    <w:link w:val="66"/>
    <w:qFormat/>
    <w:uiPriority w:val="0"/>
    <w:rPr>
      <w:rFonts w:ascii="Arial" w:hAnsi="Arial" w:eastAsia="Arial" w:cs="Arial"/>
      <w:sz w:val="40"/>
      <w:szCs w:val="40"/>
    </w:rPr>
  </w:style>
  <w:style w:type="character" w:customStyle="1" w:styleId="86">
    <w:name w:val="标题 2 字符"/>
    <w:link w:val="67"/>
    <w:qFormat/>
    <w:uiPriority w:val="0"/>
    <w:rPr>
      <w:rFonts w:ascii="Arial" w:hAnsi="Arial" w:eastAsia="Arial" w:cs="Arial"/>
      <w:sz w:val="34"/>
    </w:rPr>
  </w:style>
  <w:style w:type="character" w:customStyle="1" w:styleId="87">
    <w:name w:val="正文缩进 字符"/>
    <w:link w:val="68"/>
    <w:qFormat/>
    <w:uiPriority w:val="0"/>
    <w:rPr>
      <w:rFonts w:ascii="宋体" w:hAnsi="Calibri"/>
      <w:color w:val="000000"/>
      <w:sz w:val="24"/>
    </w:rPr>
  </w:style>
  <w:style w:type="character" w:customStyle="1" w:styleId="88">
    <w:name w:val="标题 3 字符"/>
    <w:link w:val="69"/>
    <w:qFormat/>
    <w:uiPriority w:val="0"/>
    <w:rPr>
      <w:rFonts w:ascii="Arial" w:hAnsi="Arial" w:eastAsia="Arial" w:cs="Arial"/>
      <w:sz w:val="30"/>
      <w:szCs w:val="30"/>
    </w:rPr>
  </w:style>
  <w:style w:type="character" w:customStyle="1" w:styleId="89">
    <w:name w:val="标题 4 字符"/>
    <w:link w:val="76"/>
    <w:qFormat/>
    <w:uiPriority w:val="0"/>
    <w:rPr>
      <w:rFonts w:ascii="Arial" w:hAnsi="Arial" w:eastAsia="Arial" w:cs="Arial"/>
      <w:b/>
      <w:bCs/>
      <w:sz w:val="26"/>
      <w:szCs w:val="26"/>
    </w:rPr>
  </w:style>
  <w:style w:type="character" w:customStyle="1" w:styleId="90">
    <w:name w:val="标题 5 字符"/>
    <w:link w:val="77"/>
    <w:qFormat/>
    <w:uiPriority w:val="0"/>
    <w:rPr>
      <w:rFonts w:ascii="Arial" w:hAnsi="Arial" w:eastAsia="Arial" w:cs="Arial"/>
      <w:b/>
      <w:bCs/>
      <w:sz w:val="24"/>
      <w:szCs w:val="24"/>
    </w:rPr>
  </w:style>
  <w:style w:type="character" w:customStyle="1" w:styleId="91">
    <w:name w:val="标题 6 字符"/>
    <w:link w:val="78"/>
    <w:qFormat/>
    <w:uiPriority w:val="0"/>
    <w:rPr>
      <w:rFonts w:ascii="Arial" w:hAnsi="Arial" w:eastAsia="Arial" w:cs="Arial"/>
      <w:b/>
      <w:bCs/>
      <w:sz w:val="22"/>
      <w:szCs w:val="22"/>
    </w:rPr>
  </w:style>
  <w:style w:type="character" w:customStyle="1" w:styleId="92">
    <w:name w:val="标题 7 字符"/>
    <w:link w:val="79"/>
    <w:qFormat/>
    <w:uiPriority w:val="0"/>
    <w:rPr>
      <w:rFonts w:ascii="Arial" w:hAnsi="Arial" w:eastAsia="Arial" w:cs="Arial"/>
      <w:b/>
      <w:bCs/>
      <w:i/>
      <w:iCs/>
      <w:sz w:val="22"/>
      <w:szCs w:val="22"/>
    </w:rPr>
  </w:style>
  <w:style w:type="character" w:customStyle="1" w:styleId="93">
    <w:name w:val="标题 8 字符"/>
    <w:link w:val="80"/>
    <w:qFormat/>
    <w:uiPriority w:val="0"/>
    <w:rPr>
      <w:rFonts w:ascii="Arial" w:hAnsi="Arial" w:eastAsia="Arial" w:cs="Arial"/>
      <w:i/>
      <w:iCs/>
      <w:sz w:val="22"/>
      <w:szCs w:val="22"/>
    </w:rPr>
  </w:style>
  <w:style w:type="character" w:customStyle="1" w:styleId="94">
    <w:name w:val="标题 9 字符"/>
    <w:link w:val="81"/>
    <w:qFormat/>
    <w:uiPriority w:val="0"/>
    <w:rPr>
      <w:rFonts w:ascii="Arial" w:hAnsi="Arial" w:eastAsia="Arial" w:cs="Arial"/>
      <w:i/>
      <w:iCs/>
      <w:sz w:val="21"/>
      <w:szCs w:val="21"/>
    </w:rPr>
  </w:style>
  <w:style w:type="paragraph" w:customStyle="1" w:styleId="95">
    <w:name w:val="列表 31"/>
    <w:basedOn w:val="1"/>
    <w:qFormat/>
    <w:uiPriority w:val="0"/>
    <w:pPr>
      <w:ind w:left="100" w:hanging="200"/>
    </w:pPr>
    <w:rPr>
      <w:rFonts w:ascii="Times New Roman" w:hAnsi="Times New Roman"/>
      <w:szCs w:val="21"/>
    </w:rPr>
  </w:style>
  <w:style w:type="paragraph" w:customStyle="1" w:styleId="96">
    <w:name w:val="目录 71"/>
    <w:basedOn w:val="1"/>
    <w:next w:val="1"/>
    <w:unhideWhenUsed/>
    <w:qFormat/>
    <w:uiPriority w:val="0"/>
    <w:pPr>
      <w:spacing w:after="57"/>
      <w:ind w:left="1701"/>
    </w:pPr>
  </w:style>
  <w:style w:type="paragraph" w:customStyle="1" w:styleId="97">
    <w:name w:val="题注1"/>
    <w:basedOn w:val="1"/>
    <w:next w:val="1"/>
    <w:qFormat/>
    <w:uiPriority w:val="35"/>
    <w:pPr>
      <w:spacing w:line="276" w:lineRule="auto"/>
    </w:pPr>
    <w:rPr>
      <w:b/>
      <w:bCs/>
      <w:color w:val="5B9BD5"/>
      <w:sz w:val="18"/>
      <w:szCs w:val="18"/>
    </w:rPr>
  </w:style>
  <w:style w:type="paragraph" w:customStyle="1" w:styleId="98">
    <w:name w:val="文档结构图1"/>
    <w:basedOn w:val="1"/>
    <w:link w:val="99"/>
    <w:semiHidden/>
    <w:qFormat/>
    <w:uiPriority w:val="0"/>
    <w:pPr>
      <w:shd w:val="clear" w:color="auto" w:fill="000080"/>
    </w:pPr>
    <w:rPr>
      <w:rFonts w:ascii="Times New Roman" w:hAnsi="Times New Roman"/>
      <w:szCs w:val="21"/>
    </w:rPr>
  </w:style>
  <w:style w:type="character" w:customStyle="1" w:styleId="99">
    <w:name w:val="文档结构图 字符"/>
    <w:link w:val="98"/>
    <w:semiHidden/>
    <w:qFormat/>
    <w:uiPriority w:val="0"/>
    <w:rPr>
      <w:sz w:val="21"/>
      <w:szCs w:val="21"/>
      <w:shd w:val="clear" w:color="auto" w:fill="000080"/>
    </w:rPr>
  </w:style>
  <w:style w:type="paragraph" w:customStyle="1" w:styleId="100">
    <w:name w:val="批注文字1"/>
    <w:basedOn w:val="1"/>
    <w:link w:val="101"/>
    <w:semiHidden/>
    <w:qFormat/>
    <w:uiPriority w:val="0"/>
    <w:pPr>
      <w:jc w:val="left"/>
    </w:pPr>
    <w:rPr>
      <w:rFonts w:ascii="Times New Roman" w:hAnsi="Times New Roman"/>
      <w:szCs w:val="21"/>
    </w:rPr>
  </w:style>
  <w:style w:type="character" w:customStyle="1" w:styleId="101">
    <w:name w:val="批注文字 字符"/>
    <w:link w:val="100"/>
    <w:semiHidden/>
    <w:qFormat/>
    <w:uiPriority w:val="0"/>
    <w:rPr>
      <w:sz w:val="21"/>
      <w:szCs w:val="21"/>
    </w:rPr>
  </w:style>
  <w:style w:type="paragraph" w:customStyle="1" w:styleId="102">
    <w:name w:val="正文文本 31"/>
    <w:basedOn w:val="1"/>
    <w:link w:val="103"/>
    <w:qFormat/>
    <w:uiPriority w:val="0"/>
    <w:rPr>
      <w:rFonts w:ascii="仿宋_GB2312" w:hAnsi="Arial" w:eastAsia="仿宋_GB2312"/>
      <w:sz w:val="32"/>
      <w:szCs w:val="32"/>
    </w:rPr>
  </w:style>
  <w:style w:type="character" w:customStyle="1" w:styleId="103">
    <w:name w:val="正文文本 3 字符"/>
    <w:link w:val="102"/>
    <w:qFormat/>
    <w:uiPriority w:val="0"/>
    <w:rPr>
      <w:rFonts w:ascii="仿宋_GB2312" w:hAnsi="Arial" w:eastAsia="仿宋_GB2312"/>
      <w:sz w:val="32"/>
      <w:szCs w:val="32"/>
    </w:rPr>
  </w:style>
  <w:style w:type="paragraph" w:customStyle="1" w:styleId="104">
    <w:name w:val="正文文本111"/>
    <w:basedOn w:val="1"/>
    <w:semiHidden/>
    <w:qFormat/>
    <w:uiPriority w:val="0"/>
    <w:rPr>
      <w:rFonts w:ascii="仿宋" w:hAnsi="仿宋" w:eastAsia="仿宋" w:cs="仿宋"/>
      <w:sz w:val="32"/>
      <w:szCs w:val="32"/>
      <w:lang w:eastAsia="en-US"/>
    </w:rPr>
  </w:style>
  <w:style w:type="paragraph" w:customStyle="1" w:styleId="105">
    <w:name w:val="正文文本缩进111"/>
    <w:basedOn w:val="1"/>
    <w:link w:val="106"/>
    <w:qFormat/>
    <w:uiPriority w:val="0"/>
    <w:pPr>
      <w:ind w:firstLine="225"/>
    </w:pPr>
    <w:rPr>
      <w:rFonts w:ascii="仿宋_GB2312" w:eastAsia="仿宋_GB2312"/>
      <w:sz w:val="32"/>
    </w:rPr>
  </w:style>
  <w:style w:type="character" w:customStyle="1" w:styleId="106">
    <w:name w:val="正文文本缩进 字符1"/>
    <w:link w:val="105"/>
    <w:qFormat/>
    <w:uiPriority w:val="0"/>
    <w:rPr>
      <w:rFonts w:ascii="仿宋_GB2312" w:hAnsi="Calibri" w:eastAsia="仿宋_GB2312"/>
      <w:sz w:val="32"/>
      <w:szCs w:val="22"/>
    </w:rPr>
  </w:style>
  <w:style w:type="paragraph" w:customStyle="1" w:styleId="107">
    <w:name w:val="列表 21"/>
    <w:basedOn w:val="1"/>
    <w:qFormat/>
    <w:uiPriority w:val="0"/>
    <w:pPr>
      <w:ind w:left="100" w:hanging="200"/>
    </w:pPr>
    <w:rPr>
      <w:rFonts w:ascii="Times New Roman" w:hAnsi="Times New Roman"/>
      <w:szCs w:val="21"/>
    </w:rPr>
  </w:style>
  <w:style w:type="paragraph" w:customStyle="1" w:styleId="108">
    <w:name w:val="目录 51"/>
    <w:basedOn w:val="1"/>
    <w:next w:val="1"/>
    <w:unhideWhenUsed/>
    <w:qFormat/>
    <w:uiPriority w:val="0"/>
    <w:pPr>
      <w:spacing w:after="57"/>
      <w:ind w:left="1134"/>
    </w:pPr>
  </w:style>
  <w:style w:type="paragraph" w:customStyle="1" w:styleId="109">
    <w:name w:val="目录 31"/>
    <w:basedOn w:val="1"/>
    <w:next w:val="1"/>
    <w:unhideWhenUsed/>
    <w:qFormat/>
    <w:uiPriority w:val="0"/>
    <w:pPr>
      <w:spacing w:after="57"/>
      <w:ind w:left="567"/>
    </w:pPr>
  </w:style>
  <w:style w:type="paragraph" w:customStyle="1" w:styleId="110">
    <w:name w:val="纯文本11"/>
    <w:basedOn w:val="1"/>
    <w:link w:val="111"/>
    <w:qFormat/>
    <w:uiPriority w:val="0"/>
    <w:rPr>
      <w:rFonts w:ascii="宋体" w:hAnsi="Courier New" w:cs="Courier New"/>
      <w:szCs w:val="21"/>
    </w:rPr>
  </w:style>
  <w:style w:type="character" w:customStyle="1" w:styleId="111">
    <w:name w:val="纯文本 字符"/>
    <w:link w:val="110"/>
    <w:qFormat/>
    <w:uiPriority w:val="0"/>
    <w:rPr>
      <w:rFonts w:ascii="宋体" w:hAnsi="Courier New" w:cs="Courier New"/>
      <w:sz w:val="21"/>
      <w:szCs w:val="21"/>
    </w:rPr>
  </w:style>
  <w:style w:type="paragraph" w:customStyle="1" w:styleId="112">
    <w:name w:val="目录 81"/>
    <w:basedOn w:val="1"/>
    <w:next w:val="1"/>
    <w:unhideWhenUsed/>
    <w:qFormat/>
    <w:uiPriority w:val="0"/>
    <w:pPr>
      <w:spacing w:after="57"/>
      <w:ind w:left="1984"/>
    </w:pPr>
  </w:style>
  <w:style w:type="paragraph" w:customStyle="1" w:styleId="113">
    <w:name w:val="日期1"/>
    <w:basedOn w:val="1"/>
    <w:next w:val="1"/>
    <w:link w:val="114"/>
    <w:qFormat/>
    <w:uiPriority w:val="0"/>
    <w:rPr>
      <w:rFonts w:ascii="Times New Roman" w:hAnsi="Times New Roman"/>
      <w:sz w:val="24"/>
      <w:szCs w:val="24"/>
    </w:rPr>
  </w:style>
  <w:style w:type="character" w:customStyle="1" w:styleId="114">
    <w:name w:val="日期 字符"/>
    <w:link w:val="113"/>
    <w:qFormat/>
    <w:uiPriority w:val="0"/>
    <w:rPr>
      <w:sz w:val="24"/>
      <w:szCs w:val="24"/>
    </w:rPr>
  </w:style>
  <w:style w:type="paragraph" w:customStyle="1" w:styleId="115">
    <w:name w:val="正文文本缩进 21"/>
    <w:basedOn w:val="1"/>
    <w:link w:val="116"/>
    <w:qFormat/>
    <w:uiPriority w:val="0"/>
    <w:pPr>
      <w:ind w:left="630" w:firstLine="645"/>
    </w:pPr>
    <w:rPr>
      <w:rFonts w:ascii="Arial" w:hAnsi="Arial" w:eastAsia="仿宋_GB2312" w:cs="Arial"/>
      <w:sz w:val="32"/>
      <w:szCs w:val="32"/>
    </w:rPr>
  </w:style>
  <w:style w:type="character" w:customStyle="1" w:styleId="116">
    <w:name w:val="正文文本缩进 2 字符"/>
    <w:link w:val="115"/>
    <w:qFormat/>
    <w:uiPriority w:val="0"/>
    <w:rPr>
      <w:rFonts w:ascii="Arial" w:hAnsi="Arial" w:eastAsia="仿宋_GB2312" w:cs="Arial"/>
      <w:sz w:val="32"/>
      <w:szCs w:val="32"/>
    </w:rPr>
  </w:style>
  <w:style w:type="paragraph" w:customStyle="1" w:styleId="117">
    <w:name w:val="尾注文本1"/>
    <w:basedOn w:val="1"/>
    <w:link w:val="118"/>
    <w:unhideWhenUsed/>
    <w:qFormat/>
    <w:uiPriority w:val="99"/>
    <w:rPr>
      <w:sz w:val="20"/>
    </w:rPr>
  </w:style>
  <w:style w:type="character" w:customStyle="1" w:styleId="118">
    <w:name w:val="尾注文本 字符"/>
    <w:link w:val="117"/>
    <w:qFormat/>
    <w:uiPriority w:val="99"/>
    <w:rPr>
      <w:sz w:val="20"/>
    </w:rPr>
  </w:style>
  <w:style w:type="paragraph" w:customStyle="1" w:styleId="119">
    <w:name w:val="批注框文本1"/>
    <w:basedOn w:val="1"/>
    <w:link w:val="120"/>
    <w:qFormat/>
    <w:uiPriority w:val="0"/>
    <w:rPr>
      <w:rFonts w:ascii="Times New Roman" w:hAnsi="Times New Roman"/>
      <w:sz w:val="18"/>
      <w:szCs w:val="18"/>
    </w:rPr>
  </w:style>
  <w:style w:type="character" w:customStyle="1" w:styleId="120">
    <w:name w:val="批注框文本 字符"/>
    <w:link w:val="119"/>
    <w:qFormat/>
    <w:uiPriority w:val="0"/>
    <w:rPr>
      <w:sz w:val="18"/>
      <w:szCs w:val="18"/>
    </w:rPr>
  </w:style>
  <w:style w:type="paragraph" w:customStyle="1" w:styleId="121">
    <w:name w:val="页脚11"/>
    <w:basedOn w:val="1"/>
    <w:link w:val="122"/>
    <w:qFormat/>
    <w:uiPriority w:val="99"/>
    <w:pPr>
      <w:tabs>
        <w:tab w:val="center" w:pos="4153"/>
        <w:tab w:val="right" w:pos="8306"/>
      </w:tabs>
      <w:jc w:val="left"/>
    </w:pPr>
    <w:rPr>
      <w:sz w:val="18"/>
      <w:szCs w:val="18"/>
    </w:rPr>
  </w:style>
  <w:style w:type="character" w:customStyle="1" w:styleId="122">
    <w:name w:val="页脚 字符"/>
    <w:link w:val="121"/>
    <w:qFormat/>
    <w:uiPriority w:val="99"/>
  </w:style>
  <w:style w:type="paragraph" w:customStyle="1" w:styleId="123">
    <w:name w:val="页眉11"/>
    <w:basedOn w:val="1"/>
    <w:link w:val="124"/>
    <w:qFormat/>
    <w:uiPriority w:val="0"/>
    <w:pPr>
      <w:tabs>
        <w:tab w:val="center" w:pos="4153"/>
        <w:tab w:val="right" w:pos="8306"/>
      </w:tabs>
      <w:jc w:val="center"/>
    </w:pPr>
    <w:rPr>
      <w:sz w:val="18"/>
      <w:szCs w:val="18"/>
    </w:rPr>
  </w:style>
  <w:style w:type="character" w:customStyle="1" w:styleId="124">
    <w:name w:val="页眉 字符"/>
    <w:link w:val="123"/>
    <w:qFormat/>
    <w:uiPriority w:val="0"/>
    <w:rPr>
      <w:rFonts w:ascii="Calibri" w:hAnsi="Calibri"/>
      <w:sz w:val="18"/>
      <w:szCs w:val="18"/>
    </w:rPr>
  </w:style>
  <w:style w:type="paragraph" w:customStyle="1" w:styleId="125">
    <w:name w:val="目录 11"/>
    <w:basedOn w:val="1"/>
    <w:next w:val="1"/>
    <w:qFormat/>
    <w:uiPriority w:val="0"/>
    <w:pPr>
      <w:spacing w:before="120" w:after="120"/>
      <w:jc w:val="left"/>
    </w:pPr>
    <w:rPr>
      <w:rFonts w:cs="Calibri"/>
      <w:b/>
      <w:bCs/>
      <w:caps/>
      <w:sz w:val="20"/>
      <w:szCs w:val="20"/>
    </w:rPr>
  </w:style>
  <w:style w:type="paragraph" w:customStyle="1" w:styleId="126">
    <w:name w:val="目录 41"/>
    <w:basedOn w:val="1"/>
    <w:next w:val="1"/>
    <w:unhideWhenUsed/>
    <w:qFormat/>
    <w:uiPriority w:val="0"/>
    <w:pPr>
      <w:spacing w:after="57"/>
      <w:ind w:left="850"/>
    </w:pPr>
  </w:style>
  <w:style w:type="paragraph" w:customStyle="1" w:styleId="127">
    <w:name w:val="副标题1"/>
    <w:basedOn w:val="1"/>
    <w:next w:val="1"/>
    <w:link w:val="128"/>
    <w:qFormat/>
    <w:uiPriority w:val="11"/>
    <w:pPr>
      <w:spacing w:before="200" w:after="200"/>
    </w:pPr>
    <w:rPr>
      <w:sz w:val="24"/>
      <w:szCs w:val="24"/>
    </w:rPr>
  </w:style>
  <w:style w:type="character" w:customStyle="1" w:styleId="128">
    <w:name w:val="副标题 字符"/>
    <w:link w:val="127"/>
    <w:qFormat/>
    <w:uiPriority w:val="11"/>
    <w:rPr>
      <w:sz w:val="24"/>
      <w:szCs w:val="24"/>
    </w:rPr>
  </w:style>
  <w:style w:type="paragraph" w:customStyle="1" w:styleId="129">
    <w:name w:val="列表1"/>
    <w:basedOn w:val="1"/>
    <w:qFormat/>
    <w:uiPriority w:val="0"/>
    <w:pPr>
      <w:ind w:left="200" w:hanging="200"/>
    </w:pPr>
    <w:rPr>
      <w:rFonts w:ascii="Times New Roman" w:hAnsi="Times New Roman"/>
      <w:szCs w:val="21"/>
    </w:rPr>
  </w:style>
  <w:style w:type="paragraph" w:customStyle="1" w:styleId="130">
    <w:name w:val="脚注文本11"/>
    <w:basedOn w:val="1"/>
    <w:link w:val="131"/>
    <w:unhideWhenUsed/>
    <w:qFormat/>
    <w:uiPriority w:val="99"/>
    <w:pPr>
      <w:spacing w:after="40"/>
    </w:pPr>
    <w:rPr>
      <w:sz w:val="18"/>
    </w:rPr>
  </w:style>
  <w:style w:type="character" w:customStyle="1" w:styleId="131">
    <w:name w:val="脚注文本 字符"/>
    <w:link w:val="130"/>
    <w:qFormat/>
    <w:uiPriority w:val="99"/>
    <w:rPr>
      <w:sz w:val="18"/>
    </w:rPr>
  </w:style>
  <w:style w:type="paragraph" w:customStyle="1" w:styleId="132">
    <w:name w:val="目录 61"/>
    <w:basedOn w:val="1"/>
    <w:next w:val="1"/>
    <w:unhideWhenUsed/>
    <w:qFormat/>
    <w:uiPriority w:val="0"/>
    <w:pPr>
      <w:spacing w:after="57"/>
      <w:ind w:left="1417"/>
    </w:pPr>
  </w:style>
  <w:style w:type="paragraph" w:customStyle="1" w:styleId="133">
    <w:name w:val="正文文本缩进 31"/>
    <w:basedOn w:val="1"/>
    <w:link w:val="134"/>
    <w:qFormat/>
    <w:uiPriority w:val="0"/>
    <w:pPr>
      <w:ind w:left="645" w:firstLine="645"/>
    </w:pPr>
    <w:rPr>
      <w:rFonts w:ascii="Arial" w:hAnsi="Arial" w:eastAsia="仿宋_GB2312" w:cs="Arial"/>
      <w:color w:val="FFFF00"/>
      <w:sz w:val="32"/>
      <w:szCs w:val="32"/>
    </w:rPr>
  </w:style>
  <w:style w:type="character" w:customStyle="1" w:styleId="134">
    <w:name w:val="正文文本缩进 3 字符"/>
    <w:link w:val="133"/>
    <w:qFormat/>
    <w:uiPriority w:val="0"/>
    <w:rPr>
      <w:rFonts w:ascii="Arial" w:hAnsi="Arial" w:eastAsia="仿宋_GB2312" w:cs="Arial"/>
      <w:color w:val="FFFF00"/>
      <w:sz w:val="32"/>
      <w:szCs w:val="32"/>
    </w:rPr>
  </w:style>
  <w:style w:type="paragraph" w:customStyle="1" w:styleId="135">
    <w:name w:val="图表目录1"/>
    <w:basedOn w:val="1"/>
    <w:next w:val="1"/>
    <w:unhideWhenUsed/>
    <w:qFormat/>
    <w:uiPriority w:val="0"/>
  </w:style>
  <w:style w:type="paragraph" w:customStyle="1" w:styleId="136">
    <w:name w:val="目录 21"/>
    <w:basedOn w:val="1"/>
    <w:next w:val="1"/>
    <w:qFormat/>
    <w:uiPriority w:val="0"/>
    <w:pPr>
      <w:ind w:left="210"/>
      <w:jc w:val="left"/>
    </w:pPr>
    <w:rPr>
      <w:rFonts w:cs="Calibri"/>
      <w:smallCaps/>
      <w:sz w:val="20"/>
      <w:szCs w:val="20"/>
    </w:rPr>
  </w:style>
  <w:style w:type="paragraph" w:customStyle="1" w:styleId="137">
    <w:name w:val="目录 91"/>
    <w:basedOn w:val="1"/>
    <w:next w:val="1"/>
    <w:unhideWhenUsed/>
    <w:qFormat/>
    <w:uiPriority w:val="0"/>
    <w:pPr>
      <w:spacing w:after="57"/>
      <w:ind w:left="2268"/>
    </w:pPr>
  </w:style>
  <w:style w:type="paragraph" w:customStyle="1" w:styleId="138">
    <w:name w:val="正文文本 21"/>
    <w:basedOn w:val="1"/>
    <w:link w:val="139"/>
    <w:qFormat/>
    <w:uiPriority w:val="0"/>
    <w:pPr>
      <w:widowControl/>
      <w:jc w:val="center"/>
    </w:pPr>
    <w:rPr>
      <w:rFonts w:ascii="楷体_GB2312" w:hAnsi="Times New Roman" w:eastAsia="楷体_GB2312"/>
      <w:sz w:val="28"/>
      <w:szCs w:val="28"/>
    </w:rPr>
  </w:style>
  <w:style w:type="character" w:customStyle="1" w:styleId="139">
    <w:name w:val="正文文本 2 字符"/>
    <w:link w:val="138"/>
    <w:qFormat/>
    <w:uiPriority w:val="0"/>
    <w:rPr>
      <w:rFonts w:ascii="楷体_GB2312" w:eastAsia="楷体_GB2312"/>
      <w:sz w:val="28"/>
      <w:szCs w:val="28"/>
    </w:rPr>
  </w:style>
  <w:style w:type="paragraph" w:customStyle="1" w:styleId="140">
    <w:name w:val="HTML 预设格式1"/>
    <w:basedOn w:val="1"/>
    <w:link w:val="14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szCs w:val="24"/>
    </w:rPr>
  </w:style>
  <w:style w:type="character" w:customStyle="1" w:styleId="141">
    <w:name w:val="HTML 预设格式 字符"/>
    <w:link w:val="140"/>
    <w:qFormat/>
    <w:uiPriority w:val="99"/>
    <w:rPr>
      <w:rFonts w:ascii="宋体" w:hAnsi="宋体"/>
      <w:sz w:val="24"/>
      <w:szCs w:val="24"/>
    </w:rPr>
  </w:style>
  <w:style w:type="paragraph" w:customStyle="1" w:styleId="142">
    <w:name w:val="普通(网站)11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143">
    <w:name w:val="索引 11"/>
    <w:basedOn w:val="1"/>
    <w:next w:val="1"/>
    <w:semiHidden/>
    <w:qFormat/>
    <w:uiPriority w:val="0"/>
    <w:pPr>
      <w:spacing w:line="240" w:lineRule="atLeast"/>
    </w:pPr>
    <w:rPr>
      <w:rFonts w:ascii="Times New Roman" w:hAnsi="Times New Roman"/>
      <w:b/>
      <w:bCs/>
      <w:szCs w:val="21"/>
    </w:rPr>
  </w:style>
  <w:style w:type="paragraph" w:customStyle="1" w:styleId="144">
    <w:name w:val="标题11"/>
    <w:basedOn w:val="1"/>
    <w:next w:val="1"/>
    <w:link w:val="145"/>
    <w:qFormat/>
    <w:uiPriority w:val="10"/>
    <w:pPr>
      <w:spacing w:before="300" w:after="200"/>
      <w:contextualSpacing/>
    </w:pPr>
    <w:rPr>
      <w:sz w:val="48"/>
      <w:szCs w:val="48"/>
    </w:rPr>
  </w:style>
  <w:style w:type="character" w:customStyle="1" w:styleId="145">
    <w:name w:val="标题 字符"/>
    <w:link w:val="144"/>
    <w:qFormat/>
    <w:uiPriority w:val="10"/>
    <w:rPr>
      <w:sz w:val="48"/>
      <w:szCs w:val="48"/>
    </w:rPr>
  </w:style>
  <w:style w:type="paragraph" w:customStyle="1" w:styleId="146">
    <w:name w:val="批注主题1"/>
    <w:basedOn w:val="100"/>
    <w:next w:val="100"/>
    <w:link w:val="147"/>
    <w:semiHidden/>
    <w:qFormat/>
    <w:uiPriority w:val="0"/>
    <w:rPr>
      <w:b/>
      <w:bCs/>
    </w:rPr>
  </w:style>
  <w:style w:type="character" w:customStyle="1" w:styleId="147">
    <w:name w:val="批注主题 字符"/>
    <w:link w:val="146"/>
    <w:semiHidden/>
    <w:qFormat/>
    <w:uiPriority w:val="0"/>
    <w:rPr>
      <w:b/>
      <w:bCs/>
      <w:sz w:val="21"/>
      <w:szCs w:val="21"/>
    </w:rPr>
  </w:style>
  <w:style w:type="paragraph" w:customStyle="1" w:styleId="148">
    <w:name w:val="正文首行缩进 2111"/>
    <w:basedOn w:val="105"/>
    <w:link w:val="149"/>
    <w:qFormat/>
    <w:uiPriority w:val="0"/>
    <w:pPr>
      <w:spacing w:line="360" w:lineRule="auto"/>
      <w:ind w:firstLine="420"/>
    </w:pPr>
    <w:rPr>
      <w:rFonts w:ascii="宋体" w:hAnsi="宋体" w:eastAsia="宋体"/>
      <w:sz w:val="21"/>
      <w:szCs w:val="20"/>
    </w:rPr>
  </w:style>
  <w:style w:type="character" w:customStyle="1" w:styleId="149">
    <w:name w:val="正文文本首行缩进 2 字符"/>
    <w:link w:val="148"/>
    <w:qFormat/>
    <w:uiPriority w:val="0"/>
    <w:rPr>
      <w:rFonts w:ascii="宋体" w:hAnsi="宋体" w:eastAsia="仿宋_GB2312"/>
      <w:sz w:val="21"/>
      <w:szCs w:val="22"/>
    </w:rPr>
  </w:style>
  <w:style w:type="table" w:customStyle="1" w:styleId="150">
    <w:name w:val="网格型1"/>
    <w:basedOn w:val="83"/>
    <w:qFormat/>
    <w:uiPriority w:val="0"/>
    <w:pPr>
      <w:widowControl w:val="0"/>
      <w:jc w:val="both"/>
    </w:pPr>
  </w:style>
  <w:style w:type="character" w:customStyle="1" w:styleId="151">
    <w:name w:val="要点1"/>
    <w:qFormat/>
    <w:uiPriority w:val="0"/>
    <w:rPr>
      <w:b/>
      <w:bCs/>
    </w:rPr>
  </w:style>
  <w:style w:type="character" w:customStyle="1" w:styleId="152">
    <w:name w:val="尾注引用1"/>
    <w:unhideWhenUsed/>
    <w:qFormat/>
    <w:uiPriority w:val="99"/>
    <w:rPr>
      <w:vertAlign w:val="superscript"/>
    </w:rPr>
  </w:style>
  <w:style w:type="character" w:customStyle="1" w:styleId="153">
    <w:name w:val="页码2"/>
    <w:qFormat/>
    <w:uiPriority w:val="0"/>
  </w:style>
  <w:style w:type="character" w:customStyle="1" w:styleId="154">
    <w:name w:val="已访问的超链接1"/>
    <w:qFormat/>
    <w:uiPriority w:val="0"/>
    <w:rPr>
      <w:color w:val="800080"/>
      <w:u w:val="single"/>
    </w:rPr>
  </w:style>
  <w:style w:type="character" w:customStyle="1" w:styleId="155">
    <w:name w:val="超链接1"/>
    <w:qFormat/>
    <w:uiPriority w:val="0"/>
    <w:rPr>
      <w:color w:val="0000FF"/>
      <w:u w:val="single"/>
    </w:rPr>
  </w:style>
  <w:style w:type="character" w:customStyle="1" w:styleId="156">
    <w:name w:val="批注引用1"/>
    <w:semiHidden/>
    <w:qFormat/>
    <w:uiPriority w:val="0"/>
    <w:rPr>
      <w:sz w:val="21"/>
      <w:szCs w:val="21"/>
    </w:rPr>
  </w:style>
  <w:style w:type="character" w:customStyle="1" w:styleId="157">
    <w:name w:val="脚注引用1"/>
    <w:unhideWhenUsed/>
    <w:qFormat/>
    <w:uiPriority w:val="99"/>
    <w:rPr>
      <w:vertAlign w:val="superscript"/>
    </w:rPr>
  </w:style>
  <w:style w:type="paragraph" w:customStyle="1" w:styleId="158">
    <w:name w:val="标题二、"/>
    <w:basedOn w:val="1"/>
    <w:qFormat/>
    <w:uiPriority w:val="99"/>
    <w:pPr>
      <w:spacing w:line="360" w:lineRule="auto"/>
      <w:ind w:firstLine="200"/>
      <w:outlineLvl w:val="2"/>
    </w:pPr>
    <w:rPr>
      <w:rFonts w:ascii="宋体" w:hAnsi="宋体"/>
      <w:b/>
    </w:rPr>
  </w:style>
  <w:style w:type="paragraph" w:customStyle="1" w:styleId="159">
    <w:name w:val="正文首行缩进 21"/>
    <w:basedOn w:val="160"/>
    <w:next w:val="1"/>
    <w:qFormat/>
    <w:uiPriority w:val="0"/>
    <w:pPr>
      <w:spacing w:line="360" w:lineRule="auto"/>
      <w:ind w:firstLine="420"/>
    </w:pPr>
    <w:rPr>
      <w:rFonts w:ascii="宋体" w:hAnsi="宋体" w:eastAsia="宋体"/>
      <w:sz w:val="21"/>
      <w:szCs w:val="20"/>
    </w:rPr>
  </w:style>
  <w:style w:type="paragraph" w:customStyle="1" w:styleId="160">
    <w:name w:val="正文文本缩进1"/>
    <w:basedOn w:val="1"/>
    <w:next w:val="161"/>
    <w:qFormat/>
    <w:uiPriority w:val="0"/>
    <w:pPr>
      <w:ind w:firstLine="645"/>
    </w:pPr>
    <w:rPr>
      <w:rFonts w:ascii="楷体_GB2312" w:eastAsia="楷体_GB2312"/>
      <w:sz w:val="32"/>
      <w:szCs w:val="32"/>
    </w:rPr>
  </w:style>
  <w:style w:type="paragraph" w:customStyle="1" w:styleId="161">
    <w:name w:val="寄信人地址1"/>
    <w:basedOn w:val="1"/>
    <w:qFormat/>
    <w:uiPriority w:val="0"/>
    <w:rPr>
      <w:rFonts w:ascii="Arial" w:hAnsi="Arial"/>
    </w:rPr>
  </w:style>
  <w:style w:type="paragraph" w:customStyle="1" w:styleId="162">
    <w:name w:val="标题 41"/>
    <w:basedOn w:val="163"/>
    <w:next w:val="1"/>
    <w:qFormat/>
    <w:uiPriority w:val="0"/>
    <w:pPr>
      <w:keepNext/>
      <w:keepLines/>
      <w:widowControl w:val="0"/>
      <w:tabs>
        <w:tab w:val="left" w:pos="1134"/>
        <w:tab w:val="right" w:pos="7371"/>
      </w:tabs>
      <w:spacing w:line="360" w:lineRule="auto"/>
      <w:outlineLvl w:val="3"/>
    </w:pPr>
    <w:rPr>
      <w:rFonts w:ascii="宋体"/>
      <w:color w:val="800000"/>
      <w:sz w:val="28"/>
      <w:szCs w:val="20"/>
    </w:rPr>
  </w:style>
  <w:style w:type="paragraph" w:customStyle="1" w:styleId="163">
    <w:name w:val="Normal_20"/>
    <w:qFormat/>
    <w:uiPriority w:val="0"/>
    <w:rPr>
      <w:rFonts w:hint="default" w:ascii="黑体" w:hAnsi="黑体" w:eastAsia="黑体" w:cs="黑体"/>
      <w:b/>
      <w:sz w:val="32"/>
      <w:szCs w:val="24"/>
      <w:lang w:val="en-US" w:eastAsia="zh-CN" w:bidi="ar-SA"/>
    </w:rPr>
  </w:style>
  <w:style w:type="paragraph" w:customStyle="1" w:styleId="164">
    <w:name w:val="Body Text First Indent_2"/>
    <w:basedOn w:val="163"/>
    <w:qFormat/>
    <w:uiPriority w:val="0"/>
    <w:pPr>
      <w:spacing w:after="120"/>
      <w:ind w:firstLine="100"/>
    </w:pPr>
  </w:style>
  <w:style w:type="paragraph" w:customStyle="1" w:styleId="165">
    <w:name w:val="脚注文本1"/>
    <w:basedOn w:val="1"/>
    <w:qFormat/>
    <w:uiPriority w:val="0"/>
    <w:pPr>
      <w:jc w:val="left"/>
    </w:pPr>
    <w:rPr>
      <w:rFonts w:eastAsia="Times New Roman"/>
      <w:sz w:val="18"/>
      <w:szCs w:val="24"/>
    </w:rPr>
  </w:style>
  <w:style w:type="table" w:customStyle="1" w:styleId="166">
    <w:name w:val="无格式表格 11"/>
    <w:basedOn w:val="83"/>
    <w:qFormat/>
    <w:uiPriority w:val="59"/>
  </w:style>
  <w:style w:type="table" w:customStyle="1" w:styleId="167">
    <w:name w:val="无格式表格 21"/>
    <w:basedOn w:val="83"/>
    <w:qFormat/>
    <w:uiPriority w:val="59"/>
  </w:style>
  <w:style w:type="table" w:customStyle="1" w:styleId="168">
    <w:name w:val="无格式表格 31"/>
    <w:basedOn w:val="83"/>
    <w:qFormat/>
    <w:uiPriority w:val="99"/>
  </w:style>
  <w:style w:type="table" w:customStyle="1" w:styleId="169">
    <w:name w:val="无格式表格 41"/>
    <w:basedOn w:val="83"/>
    <w:qFormat/>
    <w:uiPriority w:val="99"/>
  </w:style>
  <w:style w:type="table" w:customStyle="1" w:styleId="170">
    <w:name w:val="无格式表格 51"/>
    <w:basedOn w:val="83"/>
    <w:qFormat/>
    <w:uiPriority w:val="99"/>
  </w:style>
  <w:style w:type="table" w:customStyle="1" w:styleId="171">
    <w:name w:val="网格表 1 浅色1"/>
    <w:basedOn w:val="83"/>
    <w:qFormat/>
    <w:uiPriority w:val="99"/>
  </w:style>
  <w:style w:type="table" w:customStyle="1" w:styleId="172">
    <w:name w:val="网格表 21"/>
    <w:basedOn w:val="83"/>
    <w:qFormat/>
    <w:uiPriority w:val="99"/>
  </w:style>
  <w:style w:type="table" w:customStyle="1" w:styleId="173">
    <w:name w:val="网格表 31"/>
    <w:basedOn w:val="83"/>
    <w:qFormat/>
    <w:uiPriority w:val="99"/>
  </w:style>
  <w:style w:type="table" w:customStyle="1" w:styleId="174">
    <w:name w:val="网格表 41"/>
    <w:basedOn w:val="83"/>
    <w:qFormat/>
    <w:uiPriority w:val="59"/>
  </w:style>
  <w:style w:type="table" w:customStyle="1" w:styleId="175">
    <w:name w:val="网格表 5 深色1"/>
    <w:basedOn w:val="83"/>
    <w:qFormat/>
    <w:uiPriority w:val="99"/>
  </w:style>
  <w:style w:type="table" w:customStyle="1" w:styleId="176">
    <w:name w:val="网格表 6 彩色1"/>
    <w:basedOn w:val="83"/>
    <w:qFormat/>
    <w:uiPriority w:val="99"/>
  </w:style>
  <w:style w:type="table" w:customStyle="1" w:styleId="177">
    <w:name w:val="网格表 7 彩色1"/>
    <w:basedOn w:val="83"/>
    <w:qFormat/>
    <w:uiPriority w:val="99"/>
  </w:style>
  <w:style w:type="table" w:customStyle="1" w:styleId="178">
    <w:name w:val="清单表 1 浅色1"/>
    <w:basedOn w:val="83"/>
    <w:qFormat/>
    <w:uiPriority w:val="99"/>
  </w:style>
  <w:style w:type="table" w:customStyle="1" w:styleId="179">
    <w:name w:val="清单表 21"/>
    <w:basedOn w:val="83"/>
    <w:qFormat/>
    <w:uiPriority w:val="99"/>
  </w:style>
  <w:style w:type="table" w:customStyle="1" w:styleId="180">
    <w:name w:val="清单表 31"/>
    <w:basedOn w:val="83"/>
    <w:qFormat/>
    <w:uiPriority w:val="99"/>
  </w:style>
  <w:style w:type="table" w:customStyle="1" w:styleId="181">
    <w:name w:val="清单表 41"/>
    <w:basedOn w:val="83"/>
    <w:qFormat/>
    <w:uiPriority w:val="99"/>
  </w:style>
  <w:style w:type="table" w:customStyle="1" w:styleId="182">
    <w:name w:val="清单表 5 深色1"/>
    <w:basedOn w:val="83"/>
    <w:qFormat/>
    <w:uiPriority w:val="99"/>
  </w:style>
  <w:style w:type="table" w:customStyle="1" w:styleId="183">
    <w:name w:val="清单表 6 彩色1"/>
    <w:basedOn w:val="83"/>
    <w:qFormat/>
    <w:uiPriority w:val="99"/>
  </w:style>
  <w:style w:type="table" w:customStyle="1" w:styleId="184">
    <w:name w:val="清单表 7 彩色1"/>
    <w:basedOn w:val="83"/>
    <w:qFormat/>
    <w:uiPriority w:val="99"/>
  </w:style>
  <w:style w:type="paragraph" w:customStyle="1" w:styleId="185">
    <w:name w:val="TOC 标题1"/>
    <w:unhideWhenUsed/>
    <w:qFormat/>
    <w:uiPriority w:val="39"/>
    <w:rPr>
      <w:rFonts w:hint="default" w:ascii="Times New Roman" w:hAnsi="Times New Roman" w:eastAsia="宋体" w:cs="Times New Roman"/>
      <w:lang w:val="en-US" w:eastAsia="zh-CN" w:bidi="ar-SA"/>
    </w:rPr>
  </w:style>
  <w:style w:type="paragraph" w:customStyle="1" w:styleId="186">
    <w:name w:val="TOC 标题111"/>
    <w:unhideWhenUsed/>
    <w:qFormat/>
    <w:uiPriority w:val="39"/>
    <w:rPr>
      <w:rFonts w:hint="default" w:ascii="Times New Roman" w:hAnsi="Times New Roman" w:eastAsia="宋体" w:cs="Times New Roman"/>
      <w:lang w:val="en-US" w:eastAsia="zh-CN" w:bidi="ar-SA"/>
    </w:rPr>
  </w:style>
  <w:style w:type="paragraph" w:customStyle="1" w:styleId="187">
    <w:name w:val="Normal_21"/>
    <w:basedOn w:val="188"/>
    <w:next w:val="188"/>
    <w:qFormat/>
    <w:uiPriority w:val="0"/>
    <w:rPr>
      <w:rFonts w:ascii="Times New Roman" w:hAnsi="Times New Roman"/>
      <w:szCs w:val="24"/>
    </w:rPr>
  </w:style>
  <w:style w:type="paragraph" w:customStyle="1" w:styleId="188">
    <w:name w:val="正文_16"/>
    <w:next w:val="189"/>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89">
    <w:name w:val="正文文本 2_0"/>
    <w:basedOn w:val="188"/>
    <w:qFormat/>
    <w:uiPriority w:val="0"/>
    <w:rPr>
      <w:rFonts w:ascii="仿宋_GB2312" w:eastAsia="仿宋_GB2312"/>
      <w:sz w:val="28"/>
    </w:rPr>
  </w:style>
  <w:style w:type="paragraph" w:customStyle="1" w:styleId="190">
    <w:name w:val="正文_17"/>
    <w:next w:val="19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191">
    <w:name w:val="标题 4_1"/>
    <w:basedOn w:val="190"/>
    <w:next w:val="190"/>
    <w:qFormat/>
    <w:uiPriority w:val="0"/>
    <w:pPr>
      <w:keepNext/>
      <w:keepLines/>
      <w:tabs>
        <w:tab w:val="left" w:pos="1134"/>
        <w:tab w:val="right" w:pos="7371"/>
      </w:tabs>
      <w:spacing w:line="360" w:lineRule="auto"/>
      <w:outlineLvl w:val="3"/>
    </w:pPr>
    <w:rPr>
      <w:rFonts w:ascii="宋体"/>
      <w:color w:val="800000"/>
      <w:sz w:val="28"/>
      <w:szCs w:val="20"/>
    </w:rPr>
  </w:style>
  <w:style w:type="character" w:customStyle="1" w:styleId="192">
    <w:name w:val="Heading 1 Char"/>
    <w:qFormat/>
    <w:uiPriority w:val="9"/>
    <w:rPr>
      <w:rFonts w:ascii="Arial" w:hAnsi="Arial" w:eastAsia="Arial" w:cs="Arial"/>
      <w:sz w:val="40"/>
      <w:szCs w:val="40"/>
    </w:rPr>
  </w:style>
  <w:style w:type="character" w:customStyle="1" w:styleId="193">
    <w:name w:val="Heading 2 Char"/>
    <w:qFormat/>
    <w:uiPriority w:val="9"/>
    <w:rPr>
      <w:rFonts w:ascii="Arial" w:hAnsi="Arial" w:eastAsia="Arial" w:cs="Arial"/>
      <w:sz w:val="34"/>
    </w:rPr>
  </w:style>
  <w:style w:type="character" w:customStyle="1" w:styleId="194">
    <w:name w:val="Heading 3 Char"/>
    <w:qFormat/>
    <w:uiPriority w:val="9"/>
    <w:rPr>
      <w:rFonts w:ascii="Arial" w:hAnsi="Arial" w:eastAsia="Arial" w:cs="Arial"/>
      <w:sz w:val="30"/>
      <w:szCs w:val="30"/>
    </w:rPr>
  </w:style>
  <w:style w:type="character" w:customStyle="1" w:styleId="195">
    <w:name w:val="Heading 4 Char"/>
    <w:qFormat/>
    <w:uiPriority w:val="9"/>
    <w:rPr>
      <w:rFonts w:ascii="Arial" w:hAnsi="Arial" w:eastAsia="Arial" w:cs="Arial"/>
      <w:b/>
      <w:bCs/>
      <w:sz w:val="26"/>
      <w:szCs w:val="26"/>
    </w:rPr>
  </w:style>
  <w:style w:type="character" w:customStyle="1" w:styleId="196">
    <w:name w:val="Heading 5 Char"/>
    <w:qFormat/>
    <w:uiPriority w:val="9"/>
    <w:rPr>
      <w:rFonts w:ascii="Arial" w:hAnsi="Arial" w:eastAsia="Arial" w:cs="Arial"/>
      <w:b/>
      <w:bCs/>
      <w:sz w:val="24"/>
      <w:szCs w:val="24"/>
    </w:rPr>
  </w:style>
  <w:style w:type="character" w:customStyle="1" w:styleId="197">
    <w:name w:val="Heading 6 Char"/>
    <w:qFormat/>
    <w:uiPriority w:val="9"/>
    <w:rPr>
      <w:rFonts w:ascii="Arial" w:hAnsi="Arial" w:eastAsia="Arial" w:cs="Arial"/>
      <w:b/>
      <w:bCs/>
      <w:sz w:val="22"/>
      <w:szCs w:val="22"/>
    </w:rPr>
  </w:style>
  <w:style w:type="character" w:customStyle="1" w:styleId="198">
    <w:name w:val="Heading 7 Char"/>
    <w:qFormat/>
    <w:uiPriority w:val="9"/>
    <w:rPr>
      <w:rFonts w:ascii="Arial" w:hAnsi="Arial" w:eastAsia="Arial" w:cs="Arial"/>
      <w:b/>
      <w:bCs/>
      <w:i/>
      <w:iCs/>
      <w:sz w:val="22"/>
      <w:szCs w:val="22"/>
    </w:rPr>
  </w:style>
  <w:style w:type="character" w:customStyle="1" w:styleId="199">
    <w:name w:val="Heading 8 Char"/>
    <w:qFormat/>
    <w:uiPriority w:val="9"/>
    <w:rPr>
      <w:rFonts w:ascii="Arial" w:hAnsi="Arial" w:eastAsia="Arial" w:cs="Arial"/>
      <w:i/>
      <w:iCs/>
      <w:sz w:val="22"/>
      <w:szCs w:val="22"/>
    </w:rPr>
  </w:style>
  <w:style w:type="character" w:customStyle="1" w:styleId="200">
    <w:name w:val="Heading 9 Char"/>
    <w:qFormat/>
    <w:uiPriority w:val="9"/>
    <w:rPr>
      <w:rFonts w:ascii="Arial" w:hAnsi="Arial" w:eastAsia="Arial" w:cs="Arial"/>
      <w:i/>
      <w:iCs/>
      <w:sz w:val="21"/>
      <w:szCs w:val="21"/>
    </w:rPr>
  </w:style>
  <w:style w:type="character" w:customStyle="1" w:styleId="201">
    <w:name w:val="Title Char"/>
    <w:qFormat/>
    <w:uiPriority w:val="10"/>
    <w:rPr>
      <w:sz w:val="48"/>
      <w:szCs w:val="48"/>
    </w:rPr>
  </w:style>
  <w:style w:type="character" w:customStyle="1" w:styleId="202">
    <w:name w:val="Subtitle Char"/>
    <w:qFormat/>
    <w:uiPriority w:val="11"/>
    <w:rPr>
      <w:sz w:val="24"/>
      <w:szCs w:val="24"/>
    </w:rPr>
  </w:style>
  <w:style w:type="character" w:customStyle="1" w:styleId="203">
    <w:name w:val="Quote Char"/>
    <w:qFormat/>
    <w:uiPriority w:val="29"/>
    <w:rPr>
      <w:i/>
    </w:rPr>
  </w:style>
  <w:style w:type="character" w:customStyle="1" w:styleId="204">
    <w:name w:val="Intense Quote Char"/>
    <w:qFormat/>
    <w:uiPriority w:val="30"/>
    <w:rPr>
      <w:i/>
    </w:rPr>
  </w:style>
  <w:style w:type="character" w:customStyle="1" w:styleId="205">
    <w:name w:val="Caption Char"/>
    <w:qFormat/>
    <w:uiPriority w:val="99"/>
  </w:style>
  <w:style w:type="character" w:customStyle="1" w:styleId="206">
    <w:name w:val="Footnote Text Char"/>
    <w:qFormat/>
    <w:uiPriority w:val="99"/>
    <w:rPr>
      <w:sz w:val="18"/>
    </w:rPr>
  </w:style>
  <w:style w:type="character" w:customStyle="1" w:styleId="207">
    <w:name w:val="Endnote Text Char"/>
    <w:qFormat/>
    <w:uiPriority w:val="99"/>
    <w:rPr>
      <w:sz w:val="20"/>
    </w:rPr>
  </w:style>
  <w:style w:type="paragraph" w:customStyle="1" w:styleId="208">
    <w:name w:val="列表段落1"/>
    <w:basedOn w:val="1"/>
    <w:qFormat/>
    <w:uiPriority w:val="0"/>
    <w:pPr>
      <w:ind w:left="720"/>
      <w:contextualSpacing/>
    </w:pPr>
  </w:style>
  <w:style w:type="paragraph" w:customStyle="1" w:styleId="209">
    <w:name w:val="无间隔1"/>
    <w:qFormat/>
    <w:uiPriority w:val="99"/>
    <w:rPr>
      <w:rFonts w:hint="default" w:ascii="Times New Roman" w:hAnsi="Times New Roman" w:eastAsia="宋体" w:cs="Times New Roman"/>
      <w:lang w:val="en-US" w:eastAsia="zh-CN" w:bidi="ar-SA"/>
    </w:rPr>
  </w:style>
  <w:style w:type="paragraph" w:customStyle="1" w:styleId="210">
    <w:name w:val="引用1"/>
    <w:basedOn w:val="1"/>
    <w:next w:val="1"/>
    <w:link w:val="211"/>
    <w:qFormat/>
    <w:uiPriority w:val="29"/>
    <w:pPr>
      <w:ind w:left="720" w:right="720"/>
    </w:pPr>
    <w:rPr>
      <w:i/>
    </w:rPr>
  </w:style>
  <w:style w:type="character" w:customStyle="1" w:styleId="211">
    <w:name w:val="引用 字符"/>
    <w:link w:val="210"/>
    <w:qFormat/>
    <w:uiPriority w:val="29"/>
    <w:rPr>
      <w:i/>
    </w:rPr>
  </w:style>
  <w:style w:type="paragraph" w:customStyle="1" w:styleId="212">
    <w:name w:val="明显引用1"/>
    <w:basedOn w:val="1"/>
    <w:next w:val="1"/>
    <w:link w:val="21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213">
    <w:name w:val="明显引用 字符"/>
    <w:link w:val="212"/>
    <w:qFormat/>
    <w:uiPriority w:val="30"/>
    <w:rPr>
      <w:i/>
    </w:rPr>
  </w:style>
  <w:style w:type="character" w:customStyle="1" w:styleId="214">
    <w:name w:val="Header Char"/>
    <w:qFormat/>
    <w:uiPriority w:val="99"/>
  </w:style>
  <w:style w:type="character" w:customStyle="1" w:styleId="215">
    <w:name w:val="Footer Char"/>
    <w:qFormat/>
    <w:uiPriority w:val="99"/>
  </w:style>
  <w:style w:type="table" w:customStyle="1" w:styleId="216">
    <w:name w:val="Table Grid Light"/>
    <w:basedOn w:val="83"/>
    <w:qFormat/>
    <w:uiPriority w:val="59"/>
  </w:style>
  <w:style w:type="table" w:customStyle="1" w:styleId="217">
    <w:name w:val="Grid Table 1 Light - Accent 1"/>
    <w:basedOn w:val="83"/>
    <w:qFormat/>
    <w:uiPriority w:val="99"/>
  </w:style>
  <w:style w:type="table" w:customStyle="1" w:styleId="218">
    <w:name w:val="Grid Table 1 Light - Accent 2"/>
    <w:basedOn w:val="83"/>
    <w:qFormat/>
    <w:uiPriority w:val="99"/>
  </w:style>
  <w:style w:type="table" w:customStyle="1" w:styleId="219">
    <w:name w:val="Grid Table 1 Light - Accent 3"/>
    <w:basedOn w:val="83"/>
    <w:qFormat/>
    <w:uiPriority w:val="99"/>
  </w:style>
  <w:style w:type="table" w:customStyle="1" w:styleId="220">
    <w:name w:val="Grid Table 1 Light - Accent 4"/>
    <w:basedOn w:val="83"/>
    <w:qFormat/>
    <w:uiPriority w:val="99"/>
  </w:style>
  <w:style w:type="table" w:customStyle="1" w:styleId="221">
    <w:name w:val="Grid Table 1 Light - Accent 5"/>
    <w:basedOn w:val="83"/>
    <w:qFormat/>
    <w:uiPriority w:val="99"/>
  </w:style>
  <w:style w:type="table" w:customStyle="1" w:styleId="222">
    <w:name w:val="Grid Table 1 Light - Accent 6"/>
    <w:basedOn w:val="83"/>
    <w:qFormat/>
    <w:uiPriority w:val="99"/>
  </w:style>
  <w:style w:type="table" w:customStyle="1" w:styleId="223">
    <w:name w:val="Grid Table 2 - Accent 1"/>
    <w:basedOn w:val="83"/>
    <w:qFormat/>
    <w:uiPriority w:val="99"/>
  </w:style>
  <w:style w:type="table" w:customStyle="1" w:styleId="224">
    <w:name w:val="Grid Table 2 - Accent 2"/>
    <w:basedOn w:val="83"/>
    <w:qFormat/>
    <w:uiPriority w:val="99"/>
  </w:style>
  <w:style w:type="table" w:customStyle="1" w:styleId="225">
    <w:name w:val="Grid Table 2 - Accent 3"/>
    <w:basedOn w:val="83"/>
    <w:qFormat/>
    <w:uiPriority w:val="99"/>
  </w:style>
  <w:style w:type="table" w:customStyle="1" w:styleId="226">
    <w:name w:val="Grid Table 2 - Accent 4"/>
    <w:basedOn w:val="83"/>
    <w:qFormat/>
    <w:uiPriority w:val="99"/>
  </w:style>
  <w:style w:type="table" w:customStyle="1" w:styleId="227">
    <w:name w:val="Grid Table 2 - Accent 5"/>
    <w:basedOn w:val="83"/>
    <w:qFormat/>
    <w:uiPriority w:val="99"/>
  </w:style>
  <w:style w:type="table" w:customStyle="1" w:styleId="228">
    <w:name w:val="Grid Table 2 - Accent 6"/>
    <w:basedOn w:val="83"/>
    <w:qFormat/>
    <w:uiPriority w:val="99"/>
  </w:style>
  <w:style w:type="table" w:customStyle="1" w:styleId="229">
    <w:name w:val="Grid Table 3 - Accent 1"/>
    <w:basedOn w:val="83"/>
    <w:qFormat/>
    <w:uiPriority w:val="99"/>
  </w:style>
  <w:style w:type="table" w:customStyle="1" w:styleId="230">
    <w:name w:val="Grid Table 3 - Accent 2"/>
    <w:basedOn w:val="83"/>
    <w:qFormat/>
    <w:uiPriority w:val="99"/>
  </w:style>
  <w:style w:type="table" w:customStyle="1" w:styleId="231">
    <w:name w:val="Grid Table 3 - Accent 3"/>
    <w:basedOn w:val="83"/>
    <w:qFormat/>
    <w:uiPriority w:val="99"/>
  </w:style>
  <w:style w:type="table" w:customStyle="1" w:styleId="232">
    <w:name w:val="Grid Table 3 - Accent 4"/>
    <w:basedOn w:val="83"/>
    <w:qFormat/>
    <w:uiPriority w:val="99"/>
  </w:style>
  <w:style w:type="table" w:customStyle="1" w:styleId="233">
    <w:name w:val="Grid Table 3 - Accent 5"/>
    <w:basedOn w:val="83"/>
    <w:qFormat/>
    <w:uiPriority w:val="99"/>
  </w:style>
  <w:style w:type="table" w:customStyle="1" w:styleId="234">
    <w:name w:val="Grid Table 3 - Accent 6"/>
    <w:basedOn w:val="83"/>
    <w:qFormat/>
    <w:uiPriority w:val="99"/>
  </w:style>
  <w:style w:type="table" w:customStyle="1" w:styleId="235">
    <w:name w:val="Grid Table 4 - Accent 1"/>
    <w:basedOn w:val="83"/>
    <w:qFormat/>
    <w:uiPriority w:val="59"/>
  </w:style>
  <w:style w:type="table" w:customStyle="1" w:styleId="236">
    <w:name w:val="Grid Table 4 - Accent 2"/>
    <w:basedOn w:val="83"/>
    <w:qFormat/>
    <w:uiPriority w:val="59"/>
  </w:style>
  <w:style w:type="table" w:customStyle="1" w:styleId="237">
    <w:name w:val="Grid Table 4 - Accent 3"/>
    <w:basedOn w:val="83"/>
    <w:qFormat/>
    <w:uiPriority w:val="59"/>
  </w:style>
  <w:style w:type="table" w:customStyle="1" w:styleId="238">
    <w:name w:val="Grid Table 4 - Accent 4"/>
    <w:basedOn w:val="83"/>
    <w:qFormat/>
    <w:uiPriority w:val="59"/>
  </w:style>
  <w:style w:type="table" w:customStyle="1" w:styleId="239">
    <w:name w:val="Grid Table 4 - Accent 5"/>
    <w:basedOn w:val="83"/>
    <w:qFormat/>
    <w:uiPriority w:val="59"/>
  </w:style>
  <w:style w:type="table" w:customStyle="1" w:styleId="240">
    <w:name w:val="Grid Table 4 - Accent 6"/>
    <w:basedOn w:val="83"/>
    <w:qFormat/>
    <w:uiPriority w:val="59"/>
  </w:style>
  <w:style w:type="table" w:customStyle="1" w:styleId="241">
    <w:name w:val="Grid Table 5 Dark- Accent 1"/>
    <w:basedOn w:val="83"/>
    <w:qFormat/>
    <w:uiPriority w:val="99"/>
  </w:style>
  <w:style w:type="table" w:customStyle="1" w:styleId="242">
    <w:name w:val="Grid Table 5 Dark - Accent 2"/>
    <w:basedOn w:val="83"/>
    <w:qFormat/>
    <w:uiPriority w:val="99"/>
  </w:style>
  <w:style w:type="table" w:customStyle="1" w:styleId="243">
    <w:name w:val="Grid Table 5 Dark - Accent 3"/>
    <w:basedOn w:val="83"/>
    <w:qFormat/>
    <w:uiPriority w:val="99"/>
  </w:style>
  <w:style w:type="table" w:customStyle="1" w:styleId="244">
    <w:name w:val="Grid Table 5 Dark- Accent 4"/>
    <w:basedOn w:val="83"/>
    <w:qFormat/>
    <w:uiPriority w:val="99"/>
  </w:style>
  <w:style w:type="table" w:customStyle="1" w:styleId="245">
    <w:name w:val="Grid Table 5 Dark - Accent 5"/>
    <w:basedOn w:val="83"/>
    <w:qFormat/>
    <w:uiPriority w:val="99"/>
  </w:style>
  <w:style w:type="table" w:customStyle="1" w:styleId="246">
    <w:name w:val="Grid Table 5 Dark - Accent 6"/>
    <w:basedOn w:val="83"/>
    <w:qFormat/>
    <w:uiPriority w:val="99"/>
  </w:style>
  <w:style w:type="table" w:customStyle="1" w:styleId="247">
    <w:name w:val="Grid Table 6 Colorful - Accent 1"/>
    <w:basedOn w:val="83"/>
    <w:qFormat/>
    <w:uiPriority w:val="99"/>
  </w:style>
  <w:style w:type="table" w:customStyle="1" w:styleId="248">
    <w:name w:val="Grid Table 6 Colorful - Accent 2"/>
    <w:basedOn w:val="83"/>
    <w:qFormat/>
    <w:uiPriority w:val="99"/>
  </w:style>
  <w:style w:type="table" w:customStyle="1" w:styleId="249">
    <w:name w:val="Grid Table 6 Colorful - Accent 3"/>
    <w:basedOn w:val="83"/>
    <w:qFormat/>
    <w:uiPriority w:val="99"/>
  </w:style>
  <w:style w:type="table" w:customStyle="1" w:styleId="250">
    <w:name w:val="Grid Table 6 Colorful - Accent 4"/>
    <w:basedOn w:val="83"/>
    <w:qFormat/>
    <w:uiPriority w:val="99"/>
  </w:style>
  <w:style w:type="table" w:customStyle="1" w:styleId="251">
    <w:name w:val="Grid Table 6 Colorful - Accent 5"/>
    <w:basedOn w:val="83"/>
    <w:qFormat/>
    <w:uiPriority w:val="99"/>
  </w:style>
  <w:style w:type="table" w:customStyle="1" w:styleId="252">
    <w:name w:val="Grid Table 6 Colorful - Accent 6"/>
    <w:basedOn w:val="83"/>
    <w:qFormat/>
    <w:uiPriority w:val="99"/>
  </w:style>
  <w:style w:type="table" w:customStyle="1" w:styleId="253">
    <w:name w:val="Grid Table 7 Colorful - Accent 1"/>
    <w:basedOn w:val="83"/>
    <w:qFormat/>
    <w:uiPriority w:val="99"/>
  </w:style>
  <w:style w:type="table" w:customStyle="1" w:styleId="254">
    <w:name w:val="Grid Table 7 Colorful - Accent 2"/>
    <w:basedOn w:val="83"/>
    <w:qFormat/>
    <w:uiPriority w:val="99"/>
  </w:style>
  <w:style w:type="table" w:customStyle="1" w:styleId="255">
    <w:name w:val="Grid Table 7 Colorful - Accent 3"/>
    <w:basedOn w:val="83"/>
    <w:qFormat/>
    <w:uiPriority w:val="99"/>
  </w:style>
  <w:style w:type="table" w:customStyle="1" w:styleId="256">
    <w:name w:val="Grid Table 7 Colorful - Accent 4"/>
    <w:basedOn w:val="83"/>
    <w:qFormat/>
    <w:uiPriority w:val="99"/>
  </w:style>
  <w:style w:type="table" w:customStyle="1" w:styleId="257">
    <w:name w:val="Grid Table 7 Colorful - Accent 5"/>
    <w:basedOn w:val="83"/>
    <w:qFormat/>
    <w:uiPriority w:val="99"/>
  </w:style>
  <w:style w:type="table" w:customStyle="1" w:styleId="258">
    <w:name w:val="Grid Table 7 Colorful - Accent 6"/>
    <w:basedOn w:val="83"/>
    <w:qFormat/>
    <w:uiPriority w:val="99"/>
  </w:style>
  <w:style w:type="table" w:customStyle="1" w:styleId="259">
    <w:name w:val="List Table 1 Light - Accent 1"/>
    <w:basedOn w:val="83"/>
    <w:qFormat/>
    <w:uiPriority w:val="99"/>
  </w:style>
  <w:style w:type="table" w:customStyle="1" w:styleId="260">
    <w:name w:val="List Table 1 Light - Accent 2"/>
    <w:basedOn w:val="83"/>
    <w:qFormat/>
    <w:uiPriority w:val="99"/>
  </w:style>
  <w:style w:type="table" w:customStyle="1" w:styleId="261">
    <w:name w:val="List Table 1 Light - Accent 3"/>
    <w:basedOn w:val="83"/>
    <w:qFormat/>
    <w:uiPriority w:val="99"/>
  </w:style>
  <w:style w:type="table" w:customStyle="1" w:styleId="262">
    <w:name w:val="List Table 1 Light - Accent 4"/>
    <w:basedOn w:val="83"/>
    <w:qFormat/>
    <w:uiPriority w:val="99"/>
  </w:style>
  <w:style w:type="table" w:customStyle="1" w:styleId="263">
    <w:name w:val="List Table 1 Light - Accent 5"/>
    <w:basedOn w:val="83"/>
    <w:qFormat/>
    <w:uiPriority w:val="99"/>
  </w:style>
  <w:style w:type="table" w:customStyle="1" w:styleId="264">
    <w:name w:val="List Table 1 Light - Accent 6"/>
    <w:basedOn w:val="83"/>
    <w:qFormat/>
    <w:uiPriority w:val="99"/>
  </w:style>
  <w:style w:type="table" w:customStyle="1" w:styleId="265">
    <w:name w:val="List Table 2 - Accent 1"/>
    <w:basedOn w:val="83"/>
    <w:qFormat/>
    <w:uiPriority w:val="99"/>
  </w:style>
  <w:style w:type="table" w:customStyle="1" w:styleId="266">
    <w:name w:val="List Table 2 - Accent 2"/>
    <w:basedOn w:val="83"/>
    <w:qFormat/>
    <w:uiPriority w:val="99"/>
  </w:style>
  <w:style w:type="table" w:customStyle="1" w:styleId="267">
    <w:name w:val="List Table 2 - Accent 3"/>
    <w:basedOn w:val="83"/>
    <w:qFormat/>
    <w:uiPriority w:val="99"/>
  </w:style>
  <w:style w:type="table" w:customStyle="1" w:styleId="268">
    <w:name w:val="List Table 2 - Accent 4"/>
    <w:basedOn w:val="83"/>
    <w:qFormat/>
    <w:uiPriority w:val="99"/>
  </w:style>
  <w:style w:type="table" w:customStyle="1" w:styleId="269">
    <w:name w:val="List Table 2 - Accent 5"/>
    <w:basedOn w:val="83"/>
    <w:qFormat/>
    <w:uiPriority w:val="99"/>
  </w:style>
  <w:style w:type="table" w:customStyle="1" w:styleId="270">
    <w:name w:val="List Table 2 - Accent 6"/>
    <w:basedOn w:val="83"/>
    <w:qFormat/>
    <w:uiPriority w:val="99"/>
  </w:style>
  <w:style w:type="table" w:customStyle="1" w:styleId="271">
    <w:name w:val="List Table 3 - Accent 1"/>
    <w:basedOn w:val="83"/>
    <w:qFormat/>
    <w:uiPriority w:val="99"/>
  </w:style>
  <w:style w:type="table" w:customStyle="1" w:styleId="272">
    <w:name w:val="List Table 3 - Accent 2"/>
    <w:basedOn w:val="83"/>
    <w:qFormat/>
    <w:uiPriority w:val="99"/>
  </w:style>
  <w:style w:type="table" w:customStyle="1" w:styleId="273">
    <w:name w:val="List Table 3 - Accent 3"/>
    <w:basedOn w:val="83"/>
    <w:qFormat/>
    <w:uiPriority w:val="99"/>
  </w:style>
  <w:style w:type="table" w:customStyle="1" w:styleId="274">
    <w:name w:val="List Table 3 - Accent 4"/>
    <w:basedOn w:val="83"/>
    <w:qFormat/>
    <w:uiPriority w:val="99"/>
  </w:style>
  <w:style w:type="table" w:customStyle="1" w:styleId="275">
    <w:name w:val="List Table 3 - Accent 5"/>
    <w:basedOn w:val="83"/>
    <w:qFormat/>
    <w:uiPriority w:val="99"/>
  </w:style>
  <w:style w:type="table" w:customStyle="1" w:styleId="276">
    <w:name w:val="List Table 3 - Accent 6"/>
    <w:basedOn w:val="83"/>
    <w:qFormat/>
    <w:uiPriority w:val="99"/>
  </w:style>
  <w:style w:type="table" w:customStyle="1" w:styleId="277">
    <w:name w:val="List Table 4 - Accent 1"/>
    <w:basedOn w:val="83"/>
    <w:qFormat/>
    <w:uiPriority w:val="99"/>
  </w:style>
  <w:style w:type="table" w:customStyle="1" w:styleId="278">
    <w:name w:val="List Table 4 - Accent 2"/>
    <w:basedOn w:val="83"/>
    <w:qFormat/>
    <w:uiPriority w:val="99"/>
  </w:style>
  <w:style w:type="table" w:customStyle="1" w:styleId="279">
    <w:name w:val="List Table 4 - Accent 3"/>
    <w:basedOn w:val="83"/>
    <w:qFormat/>
    <w:uiPriority w:val="99"/>
  </w:style>
  <w:style w:type="table" w:customStyle="1" w:styleId="280">
    <w:name w:val="List Table 4 - Accent 4"/>
    <w:basedOn w:val="83"/>
    <w:qFormat/>
    <w:uiPriority w:val="99"/>
  </w:style>
  <w:style w:type="table" w:customStyle="1" w:styleId="281">
    <w:name w:val="List Table 4 - Accent 5"/>
    <w:basedOn w:val="83"/>
    <w:qFormat/>
    <w:uiPriority w:val="99"/>
  </w:style>
  <w:style w:type="table" w:customStyle="1" w:styleId="282">
    <w:name w:val="List Table 4 - Accent 6"/>
    <w:basedOn w:val="83"/>
    <w:qFormat/>
    <w:uiPriority w:val="99"/>
  </w:style>
  <w:style w:type="table" w:customStyle="1" w:styleId="283">
    <w:name w:val="List Table 5 Dark - Accent 1"/>
    <w:basedOn w:val="83"/>
    <w:qFormat/>
    <w:uiPriority w:val="99"/>
  </w:style>
  <w:style w:type="table" w:customStyle="1" w:styleId="284">
    <w:name w:val="List Table 5 Dark - Accent 2"/>
    <w:basedOn w:val="83"/>
    <w:qFormat/>
    <w:uiPriority w:val="99"/>
  </w:style>
  <w:style w:type="table" w:customStyle="1" w:styleId="285">
    <w:name w:val="List Table 5 Dark - Accent 3"/>
    <w:basedOn w:val="83"/>
    <w:qFormat/>
    <w:uiPriority w:val="99"/>
  </w:style>
  <w:style w:type="table" w:customStyle="1" w:styleId="286">
    <w:name w:val="List Table 5 Dark - Accent 4"/>
    <w:basedOn w:val="83"/>
    <w:qFormat/>
    <w:uiPriority w:val="99"/>
  </w:style>
  <w:style w:type="table" w:customStyle="1" w:styleId="287">
    <w:name w:val="List Table 5 Dark - Accent 5"/>
    <w:basedOn w:val="83"/>
    <w:qFormat/>
    <w:uiPriority w:val="99"/>
  </w:style>
  <w:style w:type="table" w:customStyle="1" w:styleId="288">
    <w:name w:val="List Table 5 Dark - Accent 6"/>
    <w:basedOn w:val="83"/>
    <w:qFormat/>
    <w:uiPriority w:val="99"/>
  </w:style>
  <w:style w:type="table" w:customStyle="1" w:styleId="289">
    <w:name w:val="List Table 6 Colorful - Accent 1"/>
    <w:basedOn w:val="83"/>
    <w:qFormat/>
    <w:uiPriority w:val="99"/>
  </w:style>
  <w:style w:type="table" w:customStyle="1" w:styleId="290">
    <w:name w:val="List Table 6 Colorful - Accent 2"/>
    <w:basedOn w:val="83"/>
    <w:qFormat/>
    <w:uiPriority w:val="99"/>
  </w:style>
  <w:style w:type="table" w:customStyle="1" w:styleId="291">
    <w:name w:val="List Table 6 Colorful - Accent 3"/>
    <w:basedOn w:val="83"/>
    <w:qFormat/>
    <w:uiPriority w:val="99"/>
  </w:style>
  <w:style w:type="table" w:customStyle="1" w:styleId="292">
    <w:name w:val="List Table 6 Colorful - Accent 4"/>
    <w:basedOn w:val="83"/>
    <w:qFormat/>
    <w:uiPriority w:val="99"/>
  </w:style>
  <w:style w:type="table" w:customStyle="1" w:styleId="293">
    <w:name w:val="List Table 6 Colorful - Accent 5"/>
    <w:basedOn w:val="83"/>
    <w:qFormat/>
    <w:uiPriority w:val="99"/>
  </w:style>
  <w:style w:type="table" w:customStyle="1" w:styleId="294">
    <w:name w:val="List Table 6 Colorful - Accent 6"/>
    <w:basedOn w:val="83"/>
    <w:qFormat/>
    <w:uiPriority w:val="99"/>
  </w:style>
  <w:style w:type="table" w:customStyle="1" w:styleId="295">
    <w:name w:val="List Table 7 Colorful - Accent 1"/>
    <w:basedOn w:val="83"/>
    <w:qFormat/>
    <w:uiPriority w:val="99"/>
  </w:style>
  <w:style w:type="table" w:customStyle="1" w:styleId="296">
    <w:name w:val="List Table 7 Colorful - Accent 2"/>
    <w:basedOn w:val="83"/>
    <w:qFormat/>
    <w:uiPriority w:val="99"/>
  </w:style>
  <w:style w:type="table" w:customStyle="1" w:styleId="297">
    <w:name w:val="List Table 7 Colorful - Accent 3"/>
    <w:basedOn w:val="83"/>
    <w:qFormat/>
    <w:uiPriority w:val="99"/>
  </w:style>
  <w:style w:type="table" w:customStyle="1" w:styleId="298">
    <w:name w:val="List Table 7 Colorful - Accent 4"/>
    <w:basedOn w:val="83"/>
    <w:qFormat/>
    <w:uiPriority w:val="99"/>
  </w:style>
  <w:style w:type="table" w:customStyle="1" w:styleId="299">
    <w:name w:val="List Table 7 Colorful - Accent 5"/>
    <w:basedOn w:val="83"/>
    <w:qFormat/>
    <w:uiPriority w:val="99"/>
  </w:style>
  <w:style w:type="table" w:customStyle="1" w:styleId="300">
    <w:name w:val="List Table 7 Colorful - Accent 6"/>
    <w:basedOn w:val="83"/>
    <w:qFormat/>
    <w:uiPriority w:val="99"/>
  </w:style>
  <w:style w:type="table" w:customStyle="1" w:styleId="301">
    <w:name w:val="Lined - Accent"/>
    <w:basedOn w:val="83"/>
    <w:qFormat/>
    <w:uiPriority w:val="99"/>
    <w:rPr>
      <w:color w:val="404040"/>
    </w:rPr>
  </w:style>
  <w:style w:type="table" w:customStyle="1" w:styleId="302">
    <w:name w:val="Lined - Accent 1"/>
    <w:basedOn w:val="83"/>
    <w:qFormat/>
    <w:uiPriority w:val="99"/>
    <w:rPr>
      <w:color w:val="404040"/>
    </w:rPr>
  </w:style>
  <w:style w:type="table" w:customStyle="1" w:styleId="303">
    <w:name w:val="Lined - Accent 2"/>
    <w:basedOn w:val="83"/>
    <w:qFormat/>
    <w:uiPriority w:val="99"/>
    <w:rPr>
      <w:color w:val="404040"/>
    </w:rPr>
  </w:style>
  <w:style w:type="table" w:customStyle="1" w:styleId="304">
    <w:name w:val="Lined - Accent 3"/>
    <w:basedOn w:val="83"/>
    <w:qFormat/>
    <w:uiPriority w:val="99"/>
    <w:rPr>
      <w:color w:val="404040"/>
    </w:rPr>
  </w:style>
  <w:style w:type="table" w:customStyle="1" w:styleId="305">
    <w:name w:val="Lined - Accent 4"/>
    <w:basedOn w:val="83"/>
    <w:qFormat/>
    <w:uiPriority w:val="99"/>
    <w:rPr>
      <w:color w:val="404040"/>
    </w:rPr>
  </w:style>
  <w:style w:type="table" w:customStyle="1" w:styleId="306">
    <w:name w:val="Lined - Accent 5"/>
    <w:basedOn w:val="83"/>
    <w:qFormat/>
    <w:uiPriority w:val="99"/>
    <w:rPr>
      <w:color w:val="404040"/>
    </w:rPr>
  </w:style>
  <w:style w:type="table" w:customStyle="1" w:styleId="307">
    <w:name w:val="Lined - Accent 6"/>
    <w:basedOn w:val="83"/>
    <w:qFormat/>
    <w:uiPriority w:val="99"/>
    <w:rPr>
      <w:color w:val="404040"/>
    </w:rPr>
  </w:style>
  <w:style w:type="table" w:customStyle="1" w:styleId="308">
    <w:name w:val="Bordered &amp; Lined - Accent"/>
    <w:basedOn w:val="83"/>
    <w:qFormat/>
    <w:uiPriority w:val="99"/>
    <w:rPr>
      <w:color w:val="404040"/>
    </w:rPr>
  </w:style>
  <w:style w:type="table" w:customStyle="1" w:styleId="309">
    <w:name w:val="Bordered &amp; Lined - Accent 1"/>
    <w:basedOn w:val="83"/>
    <w:qFormat/>
    <w:uiPriority w:val="99"/>
    <w:rPr>
      <w:color w:val="404040"/>
    </w:rPr>
  </w:style>
  <w:style w:type="table" w:customStyle="1" w:styleId="310">
    <w:name w:val="Bordered &amp; Lined - Accent 2"/>
    <w:basedOn w:val="83"/>
    <w:qFormat/>
    <w:uiPriority w:val="99"/>
    <w:rPr>
      <w:color w:val="404040"/>
    </w:rPr>
  </w:style>
  <w:style w:type="table" w:customStyle="1" w:styleId="311">
    <w:name w:val="Bordered &amp; Lined - Accent 3"/>
    <w:basedOn w:val="83"/>
    <w:qFormat/>
    <w:uiPriority w:val="99"/>
    <w:rPr>
      <w:color w:val="404040"/>
    </w:rPr>
  </w:style>
  <w:style w:type="table" w:customStyle="1" w:styleId="312">
    <w:name w:val="Bordered &amp; Lined - Accent 4"/>
    <w:basedOn w:val="83"/>
    <w:qFormat/>
    <w:uiPriority w:val="99"/>
    <w:rPr>
      <w:color w:val="404040"/>
    </w:rPr>
  </w:style>
  <w:style w:type="table" w:customStyle="1" w:styleId="313">
    <w:name w:val="Bordered &amp; Lined - Accent 5"/>
    <w:basedOn w:val="83"/>
    <w:qFormat/>
    <w:uiPriority w:val="99"/>
    <w:rPr>
      <w:color w:val="404040"/>
    </w:rPr>
  </w:style>
  <w:style w:type="table" w:customStyle="1" w:styleId="314">
    <w:name w:val="Bordered &amp; Lined - Accent 6"/>
    <w:basedOn w:val="83"/>
    <w:qFormat/>
    <w:uiPriority w:val="99"/>
    <w:rPr>
      <w:color w:val="404040"/>
    </w:rPr>
  </w:style>
  <w:style w:type="table" w:customStyle="1" w:styleId="315">
    <w:name w:val="Bordered"/>
    <w:basedOn w:val="83"/>
    <w:qFormat/>
    <w:uiPriority w:val="99"/>
  </w:style>
  <w:style w:type="table" w:customStyle="1" w:styleId="316">
    <w:name w:val="Bordered - Accent 1"/>
    <w:basedOn w:val="83"/>
    <w:qFormat/>
    <w:uiPriority w:val="99"/>
  </w:style>
  <w:style w:type="table" w:customStyle="1" w:styleId="317">
    <w:name w:val="Bordered - Accent 2"/>
    <w:basedOn w:val="83"/>
    <w:qFormat/>
    <w:uiPriority w:val="99"/>
  </w:style>
  <w:style w:type="table" w:customStyle="1" w:styleId="318">
    <w:name w:val="Bordered - Accent 3"/>
    <w:basedOn w:val="83"/>
    <w:qFormat/>
    <w:uiPriority w:val="99"/>
  </w:style>
  <w:style w:type="table" w:customStyle="1" w:styleId="319">
    <w:name w:val="Bordered - Accent 4"/>
    <w:basedOn w:val="83"/>
    <w:qFormat/>
    <w:uiPriority w:val="99"/>
  </w:style>
  <w:style w:type="table" w:customStyle="1" w:styleId="320">
    <w:name w:val="Bordered - Accent 5"/>
    <w:basedOn w:val="83"/>
    <w:qFormat/>
    <w:uiPriority w:val="99"/>
  </w:style>
  <w:style w:type="table" w:customStyle="1" w:styleId="321">
    <w:name w:val="Bordered - Accent 6"/>
    <w:basedOn w:val="83"/>
    <w:qFormat/>
    <w:uiPriority w:val="99"/>
  </w:style>
  <w:style w:type="paragraph" w:customStyle="1" w:styleId="322">
    <w:name w:val="TOC 标题11"/>
    <w:unhideWhenUsed/>
    <w:qFormat/>
    <w:uiPriority w:val="39"/>
    <w:rPr>
      <w:rFonts w:hint="default" w:ascii="Times New Roman" w:hAnsi="Times New Roman" w:eastAsia="宋体" w:cs="Times New Roman"/>
      <w:lang w:val="en-US" w:eastAsia="zh-CN" w:bidi="ar-SA"/>
    </w:rPr>
  </w:style>
  <w:style w:type="paragraph" w:customStyle="1" w:styleId="323">
    <w:name w:val="Normal_0"/>
    <w:qFormat/>
    <w:uiPriority w:val="0"/>
    <w:rPr>
      <w:rFonts w:hint="default" w:ascii="黑体" w:hAnsi="黑体" w:eastAsia="黑体" w:cs="Times New Roman"/>
      <w:b/>
      <w:sz w:val="32"/>
      <w:szCs w:val="24"/>
      <w:lang w:val="en-US" w:eastAsia="zh-CN" w:bidi="ar-SA"/>
    </w:rPr>
  </w:style>
  <w:style w:type="paragraph" w:customStyle="1" w:styleId="324">
    <w:name w:val="Normal_0_3"/>
    <w:qFormat/>
    <w:uiPriority w:val="0"/>
    <w:rPr>
      <w:rFonts w:hint="default" w:ascii="黑体" w:hAnsi="黑体" w:eastAsia="黑体" w:cs="黑体"/>
      <w:b/>
      <w:sz w:val="32"/>
      <w:szCs w:val="24"/>
      <w:lang w:val="en-US" w:eastAsia="zh-CN" w:bidi="ar-SA"/>
    </w:rPr>
  </w:style>
  <w:style w:type="paragraph" w:customStyle="1" w:styleId="325">
    <w:name w:val="正文首行缩进 2_0"/>
    <w:basedOn w:val="326"/>
    <w:qFormat/>
    <w:uiPriority w:val="0"/>
    <w:pPr>
      <w:spacing w:after="120"/>
      <w:ind w:left="200" w:firstLine="200"/>
    </w:pPr>
    <w:rPr>
      <w:rFonts w:ascii="Times New Roman" w:hAnsi="Times New Roman"/>
      <w:sz w:val="24"/>
      <w:szCs w:val="24"/>
    </w:rPr>
  </w:style>
  <w:style w:type="paragraph" w:customStyle="1" w:styleId="326">
    <w:name w:val="正文文本缩进_0"/>
    <w:basedOn w:val="327"/>
    <w:qFormat/>
    <w:uiPriority w:val="0"/>
    <w:pPr>
      <w:ind w:firstLine="225"/>
    </w:pPr>
    <w:rPr>
      <w:rFonts w:ascii="仿宋_GB2312" w:eastAsia="仿宋_GB2312"/>
      <w:sz w:val="32"/>
    </w:rPr>
  </w:style>
  <w:style w:type="paragraph" w:customStyle="1" w:styleId="327">
    <w:name w:val="正文_2"/>
    <w:next w:val="328"/>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28">
    <w:name w:val="正文文本_0"/>
    <w:basedOn w:val="188"/>
    <w:next w:val="327"/>
    <w:qFormat/>
    <w:uiPriority w:val="0"/>
    <w:pPr>
      <w:spacing w:line="60" w:lineRule="auto"/>
    </w:pPr>
    <w:rPr>
      <w:rFonts w:ascii="仿宋_GB2312" w:eastAsia="仿宋_GB2312"/>
      <w:sz w:val="32"/>
    </w:rPr>
  </w:style>
  <w:style w:type="paragraph" w:customStyle="1" w:styleId="329">
    <w:name w:val="Normal_0_2"/>
    <w:next w:val="330"/>
    <w:qFormat/>
    <w:uiPriority w:val="0"/>
    <w:rPr>
      <w:rFonts w:hint="default" w:ascii="黑体" w:hAnsi="黑体" w:eastAsia="黑体" w:cs="黑体"/>
      <w:b/>
      <w:sz w:val="32"/>
      <w:szCs w:val="24"/>
      <w:lang w:val="en-US" w:eastAsia="zh-CN" w:bidi="ar-SA"/>
    </w:rPr>
  </w:style>
  <w:style w:type="paragraph" w:customStyle="1" w:styleId="330">
    <w:name w:val="Body Text First Indent_1"/>
    <w:basedOn w:val="75"/>
    <w:unhideWhenUsed/>
    <w:qFormat/>
    <w:uiPriority w:val="99"/>
    <w:pPr>
      <w:spacing w:after="120"/>
      <w:ind w:firstLine="420"/>
    </w:pPr>
    <w:rPr>
      <w:rFonts w:eastAsia="Times New Roman"/>
    </w:rPr>
  </w:style>
  <w:style w:type="paragraph" w:customStyle="1" w:styleId="331">
    <w:name w:val="Normal_1_2"/>
    <w:qFormat/>
    <w:uiPriority w:val="0"/>
    <w:rPr>
      <w:rFonts w:hint="default" w:ascii="Times New Roman" w:hAnsi="Times New Roman" w:eastAsia="Times New Roman" w:cs="Times New Roman"/>
      <w:sz w:val="24"/>
      <w:szCs w:val="24"/>
      <w:lang w:val="en-US" w:eastAsia="zh-CN" w:bidi="ar-SA"/>
    </w:rPr>
  </w:style>
  <w:style w:type="paragraph" w:customStyle="1" w:styleId="332">
    <w:name w:val="Normal_0_1"/>
    <w:next w:val="333"/>
    <w:qFormat/>
    <w:uiPriority w:val="0"/>
    <w:rPr>
      <w:rFonts w:hint="default" w:ascii="黑体" w:hAnsi="黑体" w:eastAsia="黑体" w:cs="黑体"/>
      <w:b/>
      <w:sz w:val="32"/>
      <w:szCs w:val="24"/>
      <w:lang w:val="en-US" w:eastAsia="zh-CN" w:bidi="ar-SA"/>
    </w:rPr>
  </w:style>
  <w:style w:type="paragraph" w:customStyle="1" w:styleId="333">
    <w:name w:val="Body Text First Indent_0"/>
    <w:basedOn w:val="334"/>
    <w:unhideWhenUsed/>
    <w:qFormat/>
    <w:uiPriority w:val="99"/>
    <w:pPr>
      <w:spacing w:after="120"/>
      <w:ind w:firstLine="420"/>
    </w:pPr>
  </w:style>
  <w:style w:type="paragraph" w:customStyle="1" w:styleId="334">
    <w:name w:val="正文3"/>
    <w:next w:val="335"/>
    <w:qFormat/>
    <w:uiPriority w:val="0"/>
    <w:rPr>
      <w:rFonts w:hint="default" w:ascii="Times New Roman" w:hAnsi="Times New Roman" w:eastAsia="Times New Roman" w:cs="Times New Roman"/>
      <w:sz w:val="24"/>
      <w:szCs w:val="24"/>
      <w:lang w:val="en-US" w:eastAsia="zh-CN" w:bidi="ar-SA"/>
    </w:rPr>
  </w:style>
  <w:style w:type="paragraph" w:customStyle="1" w:styleId="335">
    <w:name w:val="正文首行缩进3"/>
    <w:basedOn w:val="72"/>
    <w:unhideWhenUsed/>
    <w:qFormat/>
    <w:uiPriority w:val="99"/>
    <w:pPr>
      <w:spacing w:after="120"/>
      <w:ind w:firstLine="420"/>
    </w:pPr>
    <w:rPr>
      <w:sz w:val="20"/>
    </w:rPr>
  </w:style>
  <w:style w:type="paragraph" w:customStyle="1" w:styleId="336">
    <w:name w:val="Normal_1_1"/>
    <w:qFormat/>
    <w:uiPriority w:val="0"/>
    <w:rPr>
      <w:rFonts w:hint="default" w:ascii="黑体" w:hAnsi="黑体" w:eastAsia="黑体" w:cs="黑体"/>
      <w:b/>
      <w:sz w:val="32"/>
      <w:szCs w:val="24"/>
      <w:lang w:val="en-US" w:eastAsia="zh-CN" w:bidi="ar-SA"/>
    </w:rPr>
  </w:style>
  <w:style w:type="paragraph" w:customStyle="1" w:styleId="337">
    <w:name w:val="正文_0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8">
    <w:name w:val="正文_1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9">
    <w:name w:val="Normal_2_0"/>
    <w:qFormat/>
    <w:uiPriority w:val="0"/>
    <w:rPr>
      <w:rFonts w:hint="default" w:ascii="黑体" w:hAnsi="黑体" w:eastAsia="黑体" w:cs="黑体"/>
      <w:b/>
      <w:sz w:val="32"/>
      <w:szCs w:val="24"/>
      <w:lang w:val="en-US" w:eastAsia="zh-CN" w:bidi="ar-SA"/>
    </w:rPr>
  </w:style>
  <w:style w:type="paragraph" w:customStyle="1" w:styleId="340">
    <w:name w:val="Normal_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41">
    <w:name w:val="Normal_4_0"/>
    <w:qFormat/>
    <w:uiPriority w:val="0"/>
    <w:rPr>
      <w:rFonts w:hint="default" w:ascii="黑体" w:hAnsi="黑体" w:eastAsia="黑体" w:cs="黑体"/>
      <w:b/>
      <w:sz w:val="32"/>
      <w:szCs w:val="24"/>
      <w:lang w:val="en-US" w:eastAsia="zh-CN" w:bidi="ar-SA"/>
    </w:rPr>
  </w:style>
  <w:style w:type="paragraph" w:customStyle="1" w:styleId="342">
    <w:name w:val="Normal_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43">
    <w:name w:val="Normal_6_0"/>
    <w:qFormat/>
    <w:uiPriority w:val="0"/>
    <w:rPr>
      <w:rFonts w:hint="default" w:ascii="黑体" w:hAnsi="黑体" w:eastAsia="黑体" w:cs="黑体"/>
      <w:b/>
      <w:sz w:val="32"/>
      <w:szCs w:val="24"/>
      <w:lang w:val="en-US" w:eastAsia="zh-CN" w:bidi="ar-SA"/>
    </w:rPr>
  </w:style>
  <w:style w:type="paragraph" w:customStyle="1" w:styleId="344">
    <w:name w:val="正文_1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45">
    <w:name w:val="正文_0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46">
    <w:name w:val="正文_1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47">
    <w:name w:val="Normal_7_0"/>
    <w:qFormat/>
    <w:uiPriority w:val="0"/>
    <w:rPr>
      <w:rFonts w:hint="default" w:ascii="黑体" w:hAnsi="黑体" w:eastAsia="黑体" w:cs="黑体"/>
      <w:b/>
      <w:sz w:val="32"/>
      <w:szCs w:val="24"/>
      <w:lang w:val="en-US" w:eastAsia="zh-CN" w:bidi="ar-SA"/>
    </w:rPr>
  </w:style>
  <w:style w:type="paragraph" w:customStyle="1" w:styleId="348">
    <w:name w:val="Normal_8_0"/>
    <w:qFormat/>
    <w:uiPriority w:val="0"/>
    <w:rPr>
      <w:rFonts w:hint="default" w:ascii="Times New Roman" w:hAnsi="Times New Roman" w:eastAsia="Times New Roman" w:cs="Times New Roman"/>
      <w:sz w:val="24"/>
      <w:szCs w:val="24"/>
      <w:lang w:val="en-US" w:eastAsia="zh-CN" w:bidi="ar-SA"/>
    </w:rPr>
  </w:style>
  <w:style w:type="paragraph" w:customStyle="1" w:styleId="349">
    <w:name w:val="Normal_9_0"/>
    <w:qFormat/>
    <w:uiPriority w:val="0"/>
    <w:rPr>
      <w:rFonts w:hint="default" w:ascii="Times New Roman" w:hAnsi="Times New Roman" w:eastAsia="Times New Roman" w:cs="Times New Roman"/>
      <w:sz w:val="24"/>
      <w:szCs w:val="24"/>
      <w:lang w:val="en-US" w:eastAsia="zh-CN" w:bidi="ar-SA"/>
    </w:rPr>
  </w:style>
  <w:style w:type="paragraph" w:customStyle="1" w:styleId="350">
    <w:name w:val="Normal_10_0"/>
    <w:qFormat/>
    <w:uiPriority w:val="0"/>
    <w:rPr>
      <w:rFonts w:hint="default" w:ascii="黑体" w:hAnsi="黑体" w:eastAsia="黑体" w:cs="黑体"/>
      <w:b/>
      <w:sz w:val="32"/>
      <w:szCs w:val="24"/>
      <w:lang w:val="en-US" w:eastAsia="zh-CN" w:bidi="ar-SA"/>
    </w:rPr>
  </w:style>
  <w:style w:type="paragraph" w:customStyle="1" w:styleId="351">
    <w:name w:val="正文_3"/>
    <w:next w:val="35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2">
    <w:name w:val="正文首行缩进 2_1"/>
    <w:basedOn w:val="353"/>
    <w:next w:val="355"/>
    <w:qFormat/>
    <w:uiPriority w:val="0"/>
    <w:pPr>
      <w:spacing w:after="120"/>
      <w:ind w:left="200" w:firstLine="200"/>
    </w:pPr>
    <w:rPr>
      <w:rFonts w:ascii="Times New Roman"/>
      <w:szCs w:val="24"/>
    </w:rPr>
  </w:style>
  <w:style w:type="paragraph" w:customStyle="1" w:styleId="353">
    <w:name w:val="正文文本缩进_1"/>
    <w:basedOn w:val="354"/>
    <w:next w:val="352"/>
    <w:qFormat/>
    <w:uiPriority w:val="0"/>
    <w:pPr>
      <w:ind w:firstLine="225"/>
    </w:pPr>
    <w:rPr>
      <w:rFonts w:ascii="仿宋_GB2312" w:eastAsia="仿宋_GB2312"/>
      <w:sz w:val="32"/>
    </w:rPr>
  </w:style>
  <w:style w:type="paragraph" w:customStyle="1" w:styleId="354">
    <w:name w:val="正文_18"/>
    <w:next w:val="35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5">
    <w:name w:val="xl53_0"/>
    <w:next w:val="351"/>
    <w:qFormat/>
    <w:uiPriority w:val="0"/>
    <w:pPr>
      <w:pBdr>
        <w:top w:val="single" w:color="000000" w:sz="4" w:space="0"/>
        <w:left w:val="single" w:color="000000" w:sz="8" w:space="0"/>
        <w:bottom w:val="single" w:color="000000" w:sz="8" w:space="0"/>
        <w:right w:val="single" w:color="000000" w:sz="4" w:space="0"/>
      </w:pBdr>
      <w:spacing w:before="100" w:beforeAutospacing="1" w:after="100" w:afterAutospacing="1"/>
      <w:jc w:val="center"/>
    </w:pPr>
    <w:rPr>
      <w:rFonts w:hint="default" w:ascii="宋体" w:hAnsi="宋体" w:eastAsia="宋体" w:cs="Times New Roman"/>
      <w:b/>
      <w:bCs/>
      <w:lang w:val="en-US" w:eastAsia="zh-CN" w:bidi="ar-SA"/>
    </w:rPr>
  </w:style>
  <w:style w:type="paragraph" w:customStyle="1" w:styleId="356">
    <w:name w:val="正文_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7">
    <w:name w:val="Normal_11_0"/>
    <w:qFormat/>
    <w:uiPriority w:val="0"/>
    <w:rPr>
      <w:rFonts w:hint="default" w:ascii="黑体" w:hAnsi="黑体" w:eastAsia="黑体" w:cs="黑体"/>
      <w:b/>
      <w:sz w:val="32"/>
      <w:szCs w:val="24"/>
      <w:lang w:val="en-US" w:eastAsia="zh-CN" w:bidi="ar-SA"/>
    </w:rPr>
  </w:style>
  <w:style w:type="paragraph" w:customStyle="1" w:styleId="358">
    <w:name w:val="Normal_1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9">
    <w:name w:val="正文_9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0">
    <w:name w:val="正文_8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1">
    <w:name w:val="正文_1_0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62">
    <w:name w:val="列出段落_2"/>
    <w:basedOn w:val="360"/>
    <w:qFormat/>
    <w:uiPriority w:val="34"/>
    <w:pPr>
      <w:ind w:firstLine="420"/>
    </w:pPr>
  </w:style>
  <w:style w:type="paragraph" w:customStyle="1" w:styleId="363">
    <w:name w:val="Normal_13_0"/>
    <w:qFormat/>
    <w:uiPriority w:val="0"/>
    <w:rPr>
      <w:rFonts w:hint="default" w:ascii="黑体" w:hAnsi="黑体" w:eastAsia="黑体" w:cs="黑体"/>
      <w:b/>
      <w:sz w:val="32"/>
      <w:szCs w:val="24"/>
      <w:lang w:val="en-US" w:eastAsia="zh-CN" w:bidi="ar-SA"/>
    </w:rPr>
  </w:style>
  <w:style w:type="paragraph" w:customStyle="1" w:styleId="364">
    <w:name w:val="正文_7_1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5">
    <w:name w:val="纯文本_0_0"/>
    <w:basedOn w:val="364"/>
    <w:unhideWhenUsed/>
    <w:qFormat/>
    <w:uiPriority w:val="0"/>
    <w:rPr>
      <w:rFonts w:ascii="宋体" w:hAnsi="Courier New"/>
      <w:szCs w:val="21"/>
    </w:rPr>
  </w:style>
  <w:style w:type="paragraph" w:customStyle="1" w:styleId="366">
    <w:name w:val="正文_8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7">
    <w:name w:val="Normal_14_0"/>
    <w:qFormat/>
    <w:uiPriority w:val="0"/>
    <w:rPr>
      <w:rFonts w:hint="default" w:ascii="黑体" w:hAnsi="黑体" w:eastAsia="黑体" w:cs="黑体"/>
      <w:b/>
      <w:sz w:val="32"/>
      <w:szCs w:val="24"/>
      <w:lang w:val="en-US" w:eastAsia="zh-CN" w:bidi="ar-SA"/>
    </w:rPr>
  </w:style>
  <w:style w:type="paragraph" w:customStyle="1" w:styleId="368">
    <w:name w:val="正文_6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9">
    <w:name w:val="Normal_15_0"/>
    <w:qFormat/>
    <w:uiPriority w:val="0"/>
    <w:rPr>
      <w:rFonts w:hint="default" w:ascii="黑体" w:hAnsi="黑体" w:eastAsia="黑体" w:cs="黑体"/>
      <w:b/>
      <w:sz w:val="32"/>
      <w:szCs w:val="24"/>
      <w:lang w:val="en-US" w:eastAsia="zh-CN" w:bidi="ar-SA"/>
    </w:rPr>
  </w:style>
  <w:style w:type="paragraph" w:customStyle="1" w:styleId="370">
    <w:name w:val="正文_7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71">
    <w:name w:val="正文_9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2">
    <w:name w:val="Normal_16_0"/>
    <w:qFormat/>
    <w:uiPriority w:val="0"/>
    <w:rPr>
      <w:rFonts w:hint="default" w:ascii="黑体" w:hAnsi="黑体" w:eastAsia="黑体" w:cs="黑体"/>
      <w:b/>
      <w:sz w:val="32"/>
      <w:szCs w:val="24"/>
      <w:lang w:val="en-US" w:eastAsia="zh-CN" w:bidi="ar-SA"/>
    </w:rPr>
  </w:style>
  <w:style w:type="paragraph" w:customStyle="1" w:styleId="373">
    <w:name w:val="正文_1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4">
    <w:name w:val="Normal_17_0"/>
    <w:qFormat/>
    <w:uiPriority w:val="0"/>
    <w:rPr>
      <w:rFonts w:hint="default" w:ascii="黑体" w:hAnsi="黑体" w:eastAsia="黑体" w:cs="黑体"/>
      <w:b/>
      <w:sz w:val="32"/>
      <w:szCs w:val="24"/>
      <w:lang w:val="en-US" w:eastAsia="zh-CN" w:bidi="ar-SA"/>
    </w:rPr>
  </w:style>
  <w:style w:type="paragraph" w:customStyle="1" w:styleId="375">
    <w:name w:val="正文_1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6">
    <w:name w:val="Normal_18_0"/>
    <w:qFormat/>
    <w:uiPriority w:val="0"/>
    <w:rPr>
      <w:rFonts w:hint="default" w:ascii="黑体" w:hAnsi="黑体" w:eastAsia="黑体" w:cs="黑体"/>
      <w:b/>
      <w:sz w:val="32"/>
      <w:szCs w:val="24"/>
      <w:lang w:val="en-US" w:eastAsia="zh-CN" w:bidi="ar-SA"/>
    </w:rPr>
  </w:style>
  <w:style w:type="paragraph" w:customStyle="1" w:styleId="377">
    <w:name w:val="正文_1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78">
    <w:name w:val="正文_9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9">
    <w:name w:val="Normal_14_0_0"/>
    <w:qFormat/>
    <w:uiPriority w:val="0"/>
    <w:rPr>
      <w:rFonts w:hint="default" w:ascii="黑体" w:hAnsi="黑体" w:eastAsia="黑体" w:cs="Times New Roman"/>
      <w:b/>
      <w:sz w:val="32"/>
      <w:szCs w:val="24"/>
      <w:lang w:val="en-US" w:eastAsia="zh-CN" w:bidi="ar-SA"/>
    </w:rPr>
  </w:style>
  <w:style w:type="paragraph" w:customStyle="1" w:styleId="380">
    <w:name w:val="正文_12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1">
    <w:name w:val="正文_12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2">
    <w:name w:val="正文_1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83">
    <w:name w:val="正文_13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4">
    <w:name w:val="正文_1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85">
    <w:name w:val="正文_14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6">
    <w:name w:val="Normal Indent_0"/>
    <w:basedOn w:val="163"/>
    <w:qFormat/>
    <w:uiPriority w:val="0"/>
    <w:pPr>
      <w:ind w:firstLine="420"/>
    </w:pPr>
    <w:rPr>
      <w:rFonts w:ascii="宋体" w:eastAsia="Times New Roman"/>
      <w:color w:val="000000"/>
      <w:sz w:val="24"/>
      <w:szCs w:val="20"/>
    </w:rPr>
  </w:style>
  <w:style w:type="paragraph" w:customStyle="1" w:styleId="387">
    <w:name w:val="Heading 3_0"/>
    <w:basedOn w:val="163"/>
    <w:next w:val="163"/>
    <w:qFormat/>
    <w:uiPriority w:val="0"/>
    <w:pPr>
      <w:keepNext/>
      <w:keepLines/>
      <w:spacing w:before="260" w:after="260" w:line="413" w:lineRule="auto"/>
      <w:outlineLvl w:val="2"/>
    </w:pPr>
    <w:rPr>
      <w:rFonts w:ascii="Times New Roman" w:hAnsi="Times New Roman" w:eastAsia="Times New Roman"/>
      <w:szCs w:val="20"/>
    </w:rPr>
  </w:style>
  <w:style w:type="paragraph" w:customStyle="1" w:styleId="388">
    <w:name w:val="正文_1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89">
    <w:name w:val="正文2"/>
    <w:basedOn w:val="1"/>
    <w:qFormat/>
    <w:uiPriority w:val="0"/>
    <w:pPr>
      <w:spacing w:before="156" w:line="360" w:lineRule="auto"/>
      <w:ind w:firstLine="510"/>
    </w:pPr>
    <w:rPr>
      <w:sz w:val="24"/>
      <w:szCs w:val="20"/>
    </w:rPr>
  </w:style>
  <w:style w:type="paragraph" w:customStyle="1" w:styleId="390">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391">
    <w:name w:val="正文_0_2_0"/>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392">
    <w:name w:val="Normal_19_1_0"/>
    <w:next w:val="393"/>
    <w:qFormat/>
    <w:uiPriority w:val="0"/>
    <w:pPr>
      <w:widowControl w:val="0"/>
      <w:jc w:val="both"/>
    </w:pPr>
    <w:rPr>
      <w:rFonts w:hint="default" w:ascii="Calibri" w:hAnsi="Calibri" w:eastAsia="宋体" w:cs="Times New Roman"/>
      <w:szCs w:val="24"/>
      <w:lang w:val="en-US" w:eastAsia="zh-CN" w:bidi="ar-SA"/>
    </w:rPr>
  </w:style>
  <w:style w:type="paragraph" w:customStyle="1" w:styleId="393">
    <w:name w:val="正文_16_0"/>
    <w:basedOn w:val="354"/>
    <w:next w:val="352"/>
    <w:qFormat/>
    <w:uiPriority w:val="0"/>
    <w:rPr>
      <w:rFonts w:ascii="Times New Roman" w:hAnsi="Times New Roman"/>
    </w:rPr>
  </w:style>
  <w:style w:type="paragraph" w:customStyle="1" w:styleId="394">
    <w:name w:val="Normal_19_0"/>
    <w:basedOn w:val="70"/>
    <w:next w:val="395"/>
    <w:qFormat/>
    <w:uiPriority w:val="0"/>
    <w:rPr>
      <w:szCs w:val="24"/>
    </w:rPr>
  </w:style>
  <w:style w:type="paragraph" w:customStyle="1" w:styleId="395">
    <w:name w:val="Body Text First Indent_1_0"/>
    <w:basedOn w:val="394"/>
    <w:qFormat/>
    <w:uiPriority w:val="0"/>
    <w:pPr>
      <w:spacing w:after="120"/>
      <w:ind w:firstLine="100"/>
    </w:pPr>
  </w:style>
  <w:style w:type="paragraph" w:customStyle="1" w:styleId="396">
    <w:name w:val="Body Text_0"/>
    <w:basedOn w:val="394"/>
    <w:qFormat/>
    <w:uiPriority w:val="0"/>
    <w:pPr>
      <w:spacing w:line="60" w:lineRule="auto"/>
    </w:pPr>
    <w:rPr>
      <w:rFonts w:ascii="仿宋_GB2312" w:eastAsia="仿宋_GB2312"/>
      <w:sz w:val="32"/>
    </w:rPr>
  </w:style>
  <w:style w:type="paragraph" w:customStyle="1" w:styleId="397">
    <w:name w:val="Normal_19_1"/>
    <w:next w:val="163"/>
    <w:qFormat/>
    <w:uiPriority w:val="0"/>
    <w:pPr>
      <w:widowControl w:val="0"/>
      <w:jc w:val="both"/>
    </w:pPr>
    <w:rPr>
      <w:rFonts w:hint="default" w:ascii="Calibri" w:hAnsi="Calibri" w:eastAsia="宋体" w:cs="Times New Roman"/>
      <w:szCs w:val="24"/>
      <w:lang w:val="en-US" w:eastAsia="zh-CN" w:bidi="ar-SA"/>
    </w:rPr>
  </w:style>
  <w:style w:type="paragraph" w:customStyle="1" w:styleId="398">
    <w:name w:val="正文_6_0_0"/>
    <w:qFormat/>
    <w:uiPriority w:val="0"/>
    <w:pPr>
      <w:widowControl w:val="0"/>
      <w:jc w:val="both"/>
    </w:pPr>
    <w:rPr>
      <w:rFonts w:hint="default" w:ascii="Calibri" w:hAnsi="Calibri" w:eastAsia="宋体" w:cs="Times New Roman"/>
      <w:lang w:val="en-US" w:eastAsia="zh-CN" w:bidi="ar-SA"/>
    </w:rPr>
  </w:style>
  <w:style w:type="paragraph" w:customStyle="1" w:styleId="399">
    <w:name w:val="正文_7_1"/>
    <w:qFormat/>
    <w:uiPriority w:val="0"/>
    <w:pPr>
      <w:widowControl w:val="0"/>
      <w:jc w:val="both"/>
    </w:pPr>
    <w:rPr>
      <w:rFonts w:hint="default" w:ascii="Calibri" w:hAnsi="Calibri" w:eastAsia="宋体" w:cs="Times New Roman"/>
      <w:lang w:val="en-US" w:eastAsia="zh-CN" w:bidi="ar-SA"/>
    </w:rPr>
  </w:style>
  <w:style w:type="paragraph" w:customStyle="1" w:styleId="400">
    <w:name w:val="正文1_1"/>
    <w:basedOn w:val="348"/>
    <w:qFormat/>
    <w:uiPriority w:val="0"/>
    <w:pPr>
      <w:widowControl w:val="0"/>
      <w:jc w:val="both"/>
    </w:pPr>
    <w:rPr>
      <w:sz w:val="20"/>
      <w:szCs w:val="20"/>
    </w:rPr>
  </w:style>
  <w:style w:type="paragraph" w:customStyle="1" w:styleId="401">
    <w:name w:val="Normal_8_0_0"/>
    <w:qFormat/>
    <w:uiPriority w:val="0"/>
    <w:rPr>
      <w:rFonts w:hint="default" w:ascii="Times New Roman" w:hAnsi="Times New Roman" w:eastAsia="Times New Roman" w:cs="Times New Roman"/>
      <w:sz w:val="24"/>
      <w:szCs w:val="24"/>
      <w:lang w:val="en-US" w:eastAsia="zh-CN" w:bidi="ar-SA"/>
    </w:rPr>
  </w:style>
  <w:style w:type="paragraph" w:customStyle="1" w:styleId="402">
    <w:name w:val="Normal_8_0_0_0"/>
    <w:qFormat/>
    <w:uiPriority w:val="0"/>
    <w:pPr>
      <w:widowControl w:val="0"/>
      <w:jc w:val="both"/>
    </w:pPr>
    <w:rPr>
      <w:rFonts w:hint="default" w:ascii="Calibri" w:hAnsi="Calibri" w:eastAsia="宋体" w:cs="Times New Roman"/>
      <w:lang w:val="en-US" w:eastAsia="zh-CN" w:bidi="ar-SA"/>
    </w:rPr>
  </w:style>
  <w:style w:type="paragraph" w:customStyle="1" w:styleId="403">
    <w:name w:val="Normal_16_1"/>
    <w:qFormat/>
    <w:uiPriority w:val="0"/>
    <w:rPr>
      <w:rFonts w:hint="default" w:ascii="黑体" w:hAnsi="黑体" w:eastAsia="黑体" w:cs="Times New Roman"/>
      <w:b/>
      <w:sz w:val="32"/>
      <w:szCs w:val="24"/>
      <w:lang w:val="en-US" w:eastAsia="zh-CN" w:bidi="ar-SA"/>
    </w:rPr>
  </w:style>
  <w:style w:type="paragraph" w:customStyle="1" w:styleId="404">
    <w:name w:val="Normal_19_0_1"/>
    <w:qFormat/>
    <w:uiPriority w:val="0"/>
    <w:rPr>
      <w:rFonts w:hint="default" w:ascii="Tahoma" w:hAnsi="Tahoma" w:eastAsia="微软雅黑" w:cs="Times New Roman"/>
      <w:lang w:val="en-US" w:eastAsia="zh-CN" w:bidi="ar-SA"/>
    </w:rPr>
  </w:style>
  <w:style w:type="paragraph" w:customStyle="1" w:styleId="405">
    <w:name w:val="Normal_16_0_0"/>
    <w:qFormat/>
    <w:uiPriority w:val="0"/>
    <w:pPr>
      <w:widowControl w:val="0"/>
      <w:jc w:val="both"/>
    </w:pPr>
    <w:rPr>
      <w:rFonts w:hint="default" w:ascii="Calibri" w:hAnsi="Calibri" w:eastAsia="宋体" w:cs="Times New Roman"/>
      <w:lang w:val="en-US" w:eastAsia="zh-CN" w:bidi="ar-SA"/>
    </w:rPr>
  </w:style>
  <w:style w:type="paragraph" w:customStyle="1" w:styleId="406">
    <w:name w:val="Normal_22_0"/>
    <w:qFormat/>
    <w:uiPriority w:val="0"/>
    <w:pPr>
      <w:widowControl w:val="0"/>
      <w:jc w:val="both"/>
    </w:pPr>
    <w:rPr>
      <w:rFonts w:hint="default" w:ascii="Calibri" w:hAnsi="Calibri" w:eastAsia="宋体" w:cs="Times New Roman"/>
      <w:szCs w:val="24"/>
      <w:lang w:val="en-US" w:eastAsia="zh-CN" w:bidi="ar-SA"/>
    </w:rPr>
  </w:style>
  <w:style w:type="paragraph" w:customStyle="1" w:styleId="407">
    <w:name w:val="Normal_17_0_0"/>
    <w:qFormat/>
    <w:uiPriority w:val="0"/>
    <w:rPr>
      <w:rFonts w:hint="default" w:ascii="黑体" w:hAnsi="黑体" w:eastAsia="黑体" w:cs="Times New Roman"/>
      <w:b/>
      <w:sz w:val="32"/>
      <w:szCs w:val="24"/>
      <w:lang w:val="en-US" w:eastAsia="zh-CN" w:bidi="ar-SA"/>
    </w:rPr>
  </w:style>
  <w:style w:type="paragraph" w:customStyle="1" w:styleId="408">
    <w:name w:val="Normal_19_0_1_0"/>
    <w:qFormat/>
    <w:uiPriority w:val="0"/>
    <w:rPr>
      <w:rFonts w:hint="default" w:ascii="Tahoma" w:hAnsi="Tahoma" w:eastAsia="微软雅黑" w:cs="Times New Roman"/>
      <w:lang w:val="en-US" w:eastAsia="zh-CN" w:bidi="ar-SA"/>
    </w:rPr>
  </w:style>
  <w:style w:type="paragraph" w:customStyle="1" w:styleId="409">
    <w:name w:val="Normal_19_3"/>
    <w:next w:val="410"/>
    <w:qFormat/>
    <w:uiPriority w:val="0"/>
    <w:pPr>
      <w:widowControl w:val="0"/>
      <w:jc w:val="both"/>
    </w:pPr>
    <w:rPr>
      <w:rFonts w:hint="default" w:ascii="Calibri" w:hAnsi="Calibri" w:eastAsia="Times New Roman" w:cs="Times New Roman"/>
      <w:szCs w:val="24"/>
      <w:lang w:val="en-US" w:eastAsia="zh-CN" w:bidi="ar-SA"/>
    </w:rPr>
  </w:style>
  <w:style w:type="paragraph" w:customStyle="1" w:styleId="410">
    <w:name w:val="正文_17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11">
    <w:name w:val="Normal_22_0_0"/>
    <w:qFormat/>
    <w:uiPriority w:val="0"/>
    <w:pPr>
      <w:widowControl w:val="0"/>
      <w:jc w:val="both"/>
    </w:pPr>
    <w:rPr>
      <w:rFonts w:hint="default" w:ascii="Calibri" w:hAnsi="Calibri" w:eastAsia="宋体" w:cs="Times New Roman"/>
      <w:szCs w:val="24"/>
      <w:lang w:val="en-US" w:eastAsia="zh-CN" w:bidi="ar-SA"/>
    </w:rPr>
  </w:style>
  <w:style w:type="character" w:customStyle="1" w:styleId="412">
    <w:name w:val="custom-tag-placeholder-class"/>
    <w:qFormat/>
    <w:uiPriority w:val="0"/>
  </w:style>
  <w:style w:type="paragraph" w:customStyle="1" w:styleId="413">
    <w:name w:val="Normal_19_0_0"/>
    <w:basedOn w:val="163"/>
    <w:next w:val="414"/>
    <w:qFormat/>
    <w:uiPriority w:val="0"/>
    <w:rPr>
      <w:rFonts w:ascii="Calibri" w:hAnsi="Calibri" w:eastAsia="Times New Roman"/>
      <w:sz w:val="24"/>
    </w:rPr>
  </w:style>
  <w:style w:type="paragraph" w:customStyle="1" w:styleId="414">
    <w:name w:val="Body Text First Indent_1_0_0"/>
    <w:basedOn w:val="413"/>
    <w:qFormat/>
    <w:uiPriority w:val="0"/>
    <w:pPr>
      <w:spacing w:after="120"/>
      <w:ind w:firstLine="100"/>
    </w:pPr>
  </w:style>
  <w:style w:type="paragraph" w:customStyle="1" w:styleId="415">
    <w:name w:val="正文首行缩进1"/>
    <w:basedOn w:val="416"/>
    <w:qFormat/>
    <w:uiPriority w:val="0"/>
    <w:pPr>
      <w:spacing w:after="120" w:line="240" w:lineRule="auto"/>
      <w:ind w:firstLine="100"/>
    </w:pPr>
    <w:rPr>
      <w:rFonts w:ascii="Times New Roman" w:hAnsi="Times New Roman" w:eastAsia="宋体"/>
      <w:sz w:val="21"/>
    </w:rPr>
  </w:style>
  <w:style w:type="paragraph" w:customStyle="1" w:styleId="416">
    <w:name w:val="正文文本1"/>
    <w:basedOn w:val="1"/>
    <w:qFormat/>
    <w:uiPriority w:val="0"/>
    <w:pPr>
      <w:spacing w:line="60" w:lineRule="auto"/>
    </w:pPr>
    <w:rPr>
      <w:rFonts w:ascii="仿宋_GB2312" w:eastAsia="仿宋_GB2312"/>
      <w:sz w:val="32"/>
    </w:rPr>
  </w:style>
  <w:style w:type="paragraph" w:customStyle="1" w:styleId="417">
    <w:name w:val="正文_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18">
    <w:name w:val="List Paragraph_0"/>
    <w:basedOn w:val="327"/>
    <w:qFormat/>
    <w:uiPriority w:val="0"/>
    <w:pPr>
      <w:ind w:firstLine="420"/>
    </w:pPr>
  </w:style>
  <w:style w:type="paragraph" w:customStyle="1" w:styleId="419">
    <w:name w:val="纯文本_1"/>
    <w:basedOn w:val="417"/>
    <w:qFormat/>
    <w:uiPriority w:val="0"/>
    <w:rPr>
      <w:rFonts w:ascii="宋体" w:hAnsi="Times New Roman"/>
      <w:sz w:val="20"/>
      <w:szCs w:val="21"/>
    </w:rPr>
  </w:style>
  <w:style w:type="paragraph" w:customStyle="1" w:styleId="420">
    <w:name w:val="正文_16_0_0"/>
    <w:next w:val="19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21">
    <w:name w:val="正文_11_0"/>
    <w:basedOn w:val="190"/>
    <w:qFormat/>
    <w:uiPriority w:val="0"/>
    <w:rPr>
      <w:rFonts w:ascii="Calibri" w:hAnsi="Calibri"/>
      <w:szCs w:val="20"/>
    </w:rPr>
  </w:style>
  <w:style w:type="paragraph" w:customStyle="1" w:styleId="422">
    <w:name w:val="Normal_19_0_0_0"/>
    <w:basedOn w:val="70"/>
    <w:qFormat/>
    <w:uiPriority w:val="0"/>
    <w:rPr>
      <w:rFonts w:cs="黑体"/>
      <w:szCs w:val="24"/>
    </w:rPr>
  </w:style>
  <w:style w:type="paragraph" w:customStyle="1" w:styleId="423">
    <w:name w:val="无间隔11"/>
    <w:basedOn w:val="334"/>
    <w:qFormat/>
    <w:uiPriority w:val="0"/>
    <w:rPr>
      <w:rFonts w:ascii="Calibri" w:hAnsi="Calibri" w:cs="Calibri"/>
    </w:rPr>
  </w:style>
  <w:style w:type="paragraph" w:customStyle="1" w:styleId="424">
    <w:name w:val="标题 31"/>
    <w:basedOn w:val="334"/>
    <w:next w:val="334"/>
    <w:qFormat/>
    <w:uiPriority w:val="0"/>
    <w:pPr>
      <w:keepNext/>
      <w:keepLines/>
      <w:spacing w:before="260" w:after="260" w:line="413" w:lineRule="auto"/>
      <w:outlineLvl w:val="2"/>
    </w:pPr>
    <w:rPr>
      <w:b/>
      <w:sz w:val="32"/>
      <w:szCs w:val="20"/>
    </w:rPr>
  </w:style>
  <w:style w:type="character" w:customStyle="1" w:styleId="425">
    <w:name w:val="标题 2 Char_0"/>
    <w:link w:val="426"/>
    <w:qFormat/>
    <w:uiPriority w:val="0"/>
    <w:rPr>
      <w:rFonts w:ascii="Arial" w:hAnsi="Arial" w:eastAsia="黑体"/>
      <w:b/>
      <w:sz w:val="32"/>
      <w:szCs w:val="22"/>
    </w:rPr>
  </w:style>
  <w:style w:type="paragraph" w:customStyle="1" w:styleId="426">
    <w:name w:val="标题 21"/>
    <w:basedOn w:val="71"/>
    <w:next w:val="71"/>
    <w:link w:val="425"/>
    <w:unhideWhenUsed/>
    <w:qFormat/>
    <w:uiPriority w:val="0"/>
    <w:pPr>
      <w:keepNext/>
      <w:keepLines/>
      <w:spacing w:before="260" w:after="260" w:line="413" w:lineRule="auto"/>
      <w:outlineLvl w:val="1"/>
    </w:pPr>
    <w:rPr>
      <w:rFonts w:ascii="Arial" w:hAnsi="Arial"/>
      <w:szCs w:val="22"/>
    </w:rPr>
  </w:style>
  <w:style w:type="paragraph" w:customStyle="1" w:styleId="427">
    <w:name w:val="Normal_19_1_0_0"/>
    <w:next w:val="428"/>
    <w:qFormat/>
    <w:uiPriority w:val="0"/>
    <w:pPr>
      <w:widowControl w:val="0"/>
      <w:jc w:val="both"/>
    </w:pPr>
    <w:rPr>
      <w:rFonts w:hint="default" w:ascii="Calibri" w:hAnsi="Calibri" w:eastAsia="宋体" w:cs="Times New Roman"/>
      <w:sz w:val="21"/>
      <w:szCs w:val="24"/>
      <w:lang w:val="en-US" w:eastAsia="zh-CN" w:bidi="ar-SA"/>
    </w:rPr>
  </w:style>
  <w:style w:type="paragraph" w:customStyle="1" w:styleId="428">
    <w:name w:val="正文_16_0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29">
    <w:name w:val="正文1_0_0"/>
    <w:basedOn w:val="71"/>
    <w:qFormat/>
    <w:uiPriority w:val="0"/>
    <w:pPr>
      <w:spacing w:line="360" w:lineRule="auto"/>
      <w:ind w:left="357" w:firstLine="420"/>
    </w:pPr>
    <w:rPr>
      <w:rFonts w:eastAsia="Times New Roman" w:cs="Arial"/>
    </w:rPr>
  </w:style>
  <w:style w:type="paragraph" w:customStyle="1" w:styleId="430">
    <w:name w:val="普通正文"/>
    <w:basedOn w:val="1"/>
    <w:qFormat/>
    <w:uiPriority w:val="0"/>
    <w:pPr>
      <w:spacing w:before="120" w:after="120" w:line="360" w:lineRule="auto"/>
      <w:ind w:firstLine="480"/>
      <w:jc w:val="left"/>
    </w:pPr>
    <w:rPr>
      <w:rFonts w:ascii="Arial" w:hAnsi="Arial"/>
      <w:sz w:val="24"/>
      <w:szCs w:val="24"/>
    </w:rPr>
  </w:style>
  <w:style w:type="paragraph" w:customStyle="1" w:styleId="431">
    <w:name w:val="正文空2字"/>
    <w:basedOn w:val="432"/>
    <w:qFormat/>
    <w:uiPriority w:val="99"/>
    <w:pPr>
      <w:widowControl w:val="0"/>
      <w:spacing w:line="560" w:lineRule="exact"/>
      <w:ind w:firstLine="640"/>
    </w:pPr>
    <w:rPr>
      <w:rFonts w:ascii="仿宋_GB2312" w:hAnsi="仿宋_GB2312" w:cs="仿宋_GB2312"/>
      <w:lang w:val="zh-TW"/>
    </w:rPr>
  </w:style>
  <w:style w:type="paragraph" w:customStyle="1" w:styleId="432">
    <w:name w:val="左对齐正文"/>
    <w:qFormat/>
    <w:uiPriority w:val="99"/>
    <w:rPr>
      <w:rFonts w:hint="default" w:ascii="Calibri" w:hAnsi="Calibri" w:eastAsia="仿宋_GB2312" w:cs="Calibri"/>
      <w:sz w:val="32"/>
      <w:szCs w:val="32"/>
      <w:lang w:val="en-US" w:eastAsia="zh-CN" w:bidi="ar-SA"/>
    </w:rPr>
  </w:style>
  <w:style w:type="paragraph" w:customStyle="1" w:styleId="433">
    <w:name w:val="普通(网站)1"/>
    <w:basedOn w:val="1"/>
    <w:qFormat/>
    <w:uiPriority w:val="0"/>
    <w:rPr>
      <w:sz w:val="24"/>
    </w:rPr>
  </w:style>
  <w:style w:type="character" w:customStyle="1" w:styleId="434">
    <w:name w:val="16"/>
    <w:qFormat/>
    <w:uiPriority w:val="0"/>
    <w:rPr>
      <w:rFonts w:ascii="Times New Roman" w:hAnsi="Times New Roman"/>
      <w:sz w:val="21"/>
      <w:szCs w:val="21"/>
      <w:lang w:val="en-US" w:eastAsia="zh-CN" w:bidi="ar-SA"/>
    </w:rPr>
  </w:style>
  <w:style w:type="paragraph" w:customStyle="1" w:styleId="435">
    <w:name w:val="正文缩进_1"/>
    <w:basedOn w:val="327"/>
    <w:next w:val="327"/>
    <w:qFormat/>
    <w:uiPriority w:val="0"/>
    <w:pPr>
      <w:ind w:firstLine="420"/>
    </w:pPr>
    <w:rPr>
      <w:rFonts w:ascii="宋体"/>
      <w:color w:val="000000"/>
      <w:sz w:val="24"/>
      <w:szCs w:val="20"/>
    </w:rPr>
  </w:style>
  <w:style w:type="paragraph" w:customStyle="1" w:styleId="436">
    <w:name w:val="Table Paragraph"/>
    <w:basedOn w:val="163"/>
    <w:qFormat/>
    <w:uiPriority w:val="1"/>
    <w:rPr>
      <w:rFonts w:ascii="宋体" w:hAnsi="宋体" w:cs="宋体"/>
      <w:sz w:val="22"/>
      <w:lang w:val="zh-CN" w:bidi="zh-CN"/>
    </w:rPr>
  </w:style>
  <w:style w:type="paragraph" w:customStyle="1" w:styleId="437">
    <w:name w:val="Normal_19_2"/>
    <w:basedOn w:val="438"/>
    <w:qFormat/>
    <w:uiPriority w:val="0"/>
    <w:rPr>
      <w:rFonts w:ascii="Times New Roman" w:hAnsi="Times New Roman"/>
      <w:szCs w:val="21"/>
    </w:rPr>
  </w:style>
  <w:style w:type="paragraph" w:customStyle="1" w:styleId="438">
    <w:name w:val="正文_3_0"/>
    <w:next w:val="32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39">
    <w:name w:val="正文文本2"/>
    <w:basedOn w:val="187"/>
    <w:qFormat/>
    <w:uiPriority w:val="0"/>
    <w:pPr>
      <w:spacing w:line="60" w:lineRule="auto"/>
    </w:pPr>
    <w:rPr>
      <w:rFonts w:ascii="仿宋_GB2312" w:eastAsia="仿宋_GB2312"/>
      <w:sz w:val="32"/>
      <w:szCs w:val="22"/>
    </w:rPr>
  </w:style>
  <w:style w:type="paragraph" w:customStyle="1" w:styleId="440">
    <w:name w:val="正文1_0"/>
    <w:basedOn w:val="417"/>
    <w:qFormat/>
    <w:uiPriority w:val="0"/>
    <w:pPr>
      <w:widowControl/>
      <w:spacing w:line="360" w:lineRule="auto"/>
      <w:ind w:left="357" w:firstLine="420"/>
      <w:jc w:val="left"/>
    </w:pPr>
    <w:rPr>
      <w:rFonts w:cs="Arial"/>
      <w:szCs w:val="20"/>
    </w:rPr>
  </w:style>
  <w:style w:type="paragraph" w:customStyle="1" w:styleId="441">
    <w:name w:val="Normal_19_2_0"/>
    <w:basedOn w:val="442"/>
    <w:qFormat/>
    <w:uiPriority w:val="0"/>
    <w:rPr>
      <w:rFonts w:ascii="Times New Roman" w:hAnsi="Times New Roman"/>
      <w:szCs w:val="21"/>
    </w:rPr>
  </w:style>
  <w:style w:type="paragraph" w:customStyle="1" w:styleId="442">
    <w:name w:val="正文_3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43">
    <w:name w:val="纯文本1"/>
    <w:basedOn w:val="188"/>
    <w:qFormat/>
    <w:uiPriority w:val="0"/>
    <w:rPr>
      <w:rFonts w:ascii="宋体" w:hAnsi="Courier New"/>
    </w:rPr>
  </w:style>
  <w:style w:type="paragraph" w:customStyle="1" w:styleId="444">
    <w:name w:val="Normal_21_0"/>
    <w:next w:val="445"/>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45">
    <w:name w:val="Heading 1_0"/>
    <w:basedOn w:val="444"/>
    <w:next w:val="444"/>
    <w:qFormat/>
    <w:uiPriority w:val="0"/>
    <w:pPr>
      <w:keepNext/>
      <w:keepLines/>
      <w:spacing w:before="240" w:after="120" w:line="300" w:lineRule="auto"/>
      <w:jc w:val="center"/>
      <w:outlineLvl w:val="0"/>
    </w:pPr>
    <w:rPr>
      <w:rFonts w:ascii="宋体"/>
      <w:b/>
      <w:sz w:val="32"/>
      <w:szCs w:val="20"/>
    </w:rPr>
  </w:style>
  <w:style w:type="paragraph" w:customStyle="1" w:styleId="446">
    <w:name w:val="正文_12_0_0_0_0"/>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447">
    <w:name w:val="正文文本 字符"/>
    <w:qFormat/>
    <w:uiPriority w:val="0"/>
    <w:rPr>
      <w:rFonts w:ascii="楷体_GB2312" w:hAnsi="Arial" w:eastAsia="楷体_GB2312" w:cs="Times New Roman"/>
      <w:sz w:val="28"/>
      <w:szCs w:val="28"/>
    </w:rPr>
  </w:style>
  <w:style w:type="character" w:customStyle="1" w:styleId="448">
    <w:name w:val="正文文本缩进 字符"/>
    <w:qFormat/>
    <w:uiPriority w:val="0"/>
    <w:rPr>
      <w:rFonts w:ascii="楷体_GB2312" w:hAnsi="Times New Roman" w:eastAsia="楷体_GB2312" w:cs="Times New Roman"/>
      <w:sz w:val="32"/>
      <w:szCs w:val="32"/>
    </w:rPr>
  </w:style>
  <w:style w:type="character" w:customStyle="1" w:styleId="449">
    <w:name w:val="正文文本 字符1"/>
    <w:qFormat/>
    <w:uiPriority w:val="0"/>
    <w:rPr>
      <w:rFonts w:ascii="Calibri" w:hAnsi="Calibri"/>
      <w:sz w:val="28"/>
      <w:szCs w:val="24"/>
    </w:rPr>
  </w:style>
  <w:style w:type="character" w:customStyle="1" w:styleId="450">
    <w:name w:val="正文文本首行缩进 字符"/>
    <w:qFormat/>
    <w:uiPriority w:val="0"/>
    <w:rPr>
      <w:rFonts w:ascii="仿宋_GB2312" w:hAnsi="Calibri" w:eastAsia="仿宋_GB2312"/>
      <w:sz w:val="30"/>
      <w:szCs w:val="30"/>
    </w:rPr>
  </w:style>
  <w:style w:type="paragraph" w:customStyle="1" w:styleId="451">
    <w:name w:val="索引 41"/>
    <w:basedOn w:val="1"/>
    <w:next w:val="1"/>
    <w:semiHidden/>
    <w:qFormat/>
    <w:uiPriority w:val="0"/>
    <w:pPr>
      <w:ind w:left="1260"/>
    </w:pPr>
    <w:rPr>
      <w:rFonts w:eastAsia="Calibri" w:cs="宋体"/>
      <w:sz w:val="20"/>
      <w:szCs w:val="21"/>
      <w:lang w:val="zh-CN"/>
    </w:rPr>
  </w:style>
  <w:style w:type="character" w:customStyle="1" w:styleId="452">
    <w:name w:val="font5 Char"/>
    <w:qFormat/>
    <w:uiPriority w:val="0"/>
    <w:rPr>
      <w:rFonts w:ascii="宋体" w:hAnsi="宋体" w:eastAsia="宋体"/>
      <w:sz w:val="28"/>
      <w:szCs w:val="28"/>
      <w:lang w:val="en-US" w:eastAsia="zh-CN" w:bidi="ar-SA"/>
    </w:rPr>
  </w:style>
  <w:style w:type="character" w:customStyle="1" w:styleId="453">
    <w:name w:val="二级目录 Char"/>
    <w:link w:val="454"/>
    <w:qFormat/>
    <w:uiPriority w:val="0"/>
    <w:rPr>
      <w:b/>
      <w:sz w:val="30"/>
      <w:szCs w:val="28"/>
    </w:rPr>
  </w:style>
  <w:style w:type="paragraph" w:customStyle="1" w:styleId="454">
    <w:name w:val="二级目录"/>
    <w:next w:val="1"/>
    <w:link w:val="453"/>
    <w:qFormat/>
    <w:uiPriority w:val="0"/>
    <w:pPr>
      <w:numPr>
        <w:ilvl w:val="0"/>
        <w:numId w:val="1"/>
      </w:numPr>
      <w:tabs>
        <w:tab w:val="left" w:pos="907"/>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455">
    <w:name w:val="列出段落 Char"/>
    <w:link w:val="456"/>
    <w:qFormat/>
    <w:uiPriority w:val="0"/>
    <w:rPr>
      <w:rFonts w:ascii="Calibri" w:hAnsi="Calibri"/>
      <w:sz w:val="24"/>
      <w:szCs w:val="24"/>
      <w:lang w:eastAsia="en-US" w:bidi="en-US"/>
    </w:rPr>
  </w:style>
  <w:style w:type="paragraph" w:customStyle="1" w:styleId="456">
    <w:name w:val="列出段落1"/>
    <w:basedOn w:val="1"/>
    <w:link w:val="455"/>
    <w:qFormat/>
    <w:uiPriority w:val="0"/>
    <w:pPr>
      <w:widowControl/>
      <w:ind w:left="720"/>
      <w:contextualSpacing/>
      <w:jc w:val="left"/>
    </w:pPr>
    <w:rPr>
      <w:sz w:val="24"/>
      <w:szCs w:val="24"/>
      <w:lang w:eastAsia="en-US" w:bidi="en-US"/>
    </w:rPr>
  </w:style>
  <w:style w:type="paragraph" w:customStyle="1" w:styleId="457">
    <w:name w:val="Body Text(ch)"/>
    <w:basedOn w:val="1"/>
    <w:qFormat/>
    <w:uiPriority w:val="0"/>
    <w:pPr>
      <w:spacing w:after="120"/>
    </w:pPr>
    <w:rPr>
      <w:rFonts w:ascii="宋体" w:hAnsi="Arial"/>
      <w:bCs/>
      <w:iCs/>
      <w:szCs w:val="24"/>
    </w:rPr>
  </w:style>
  <w:style w:type="paragraph" w:customStyle="1" w:styleId="458">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459">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460">
    <w:name w:val="Char"/>
    <w:basedOn w:val="1"/>
    <w:qFormat/>
    <w:uiPriority w:val="0"/>
    <w:pPr>
      <w:tabs>
        <w:tab w:val="left" w:pos="360"/>
      </w:tabs>
      <w:ind w:firstLine="200"/>
    </w:pPr>
    <w:rPr>
      <w:rFonts w:ascii="Times New Roman" w:hAnsi="Times New Roman"/>
      <w:sz w:val="28"/>
      <w:szCs w:val="30"/>
    </w:rPr>
  </w:style>
  <w:style w:type="paragraph" w:customStyle="1" w:styleId="461">
    <w:name w:val="Char1"/>
    <w:basedOn w:val="98"/>
    <w:qFormat/>
    <w:uiPriority w:val="0"/>
    <w:rPr>
      <w:rFonts w:ascii="Tahoma" w:hAnsi="Tahoma"/>
      <w:sz w:val="24"/>
      <w:szCs w:val="24"/>
    </w:rPr>
  </w:style>
  <w:style w:type="paragraph" w:customStyle="1" w:styleId="462">
    <w:name w:val="table_lines"/>
    <w:basedOn w:val="1"/>
    <w:qFormat/>
    <w:uiPriority w:val="0"/>
    <w:pPr>
      <w:widowControl/>
      <w:jc w:val="left"/>
    </w:pPr>
    <w:rPr>
      <w:rFonts w:ascii="Times New Roman" w:hAnsi="Times New Roman"/>
      <w:sz w:val="20"/>
      <w:szCs w:val="20"/>
      <w:lang w:val="de-DE" w:eastAsia="de-DE"/>
    </w:rPr>
  </w:style>
  <w:style w:type="paragraph" w:customStyle="1" w:styleId="463">
    <w:name w:val="附录1"/>
    <w:qFormat/>
    <w:uiPriority w:val="0"/>
    <w:pPr>
      <w:tabs>
        <w:tab w:val="left" w:pos="907"/>
      </w:tabs>
      <w:spacing w:before="240" w:line="600" w:lineRule="atLeast"/>
    </w:pPr>
    <w:rPr>
      <w:rFonts w:hint="default" w:ascii="Times New Roman" w:hAnsi="Times New Roman" w:eastAsia="宋体" w:cs="Times New Roman"/>
      <w:b/>
      <w:i/>
      <w:sz w:val="28"/>
      <w:lang w:val="en-US" w:eastAsia="zh-CN" w:bidi="ar-SA"/>
    </w:rPr>
  </w:style>
  <w:style w:type="paragraph" w:customStyle="1" w:styleId="464">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65">
    <w:name w:val="Char Char Char Char"/>
    <w:basedOn w:val="98"/>
    <w:qFormat/>
    <w:uiPriority w:val="0"/>
    <w:pPr>
      <w:spacing w:line="360" w:lineRule="auto"/>
    </w:pPr>
    <w:rPr>
      <w:rFonts w:ascii="Tahoma" w:hAnsi="Tahoma"/>
      <w:sz w:val="24"/>
      <w:szCs w:val="24"/>
    </w:rPr>
  </w:style>
  <w:style w:type="paragraph" w:customStyle="1" w:styleId="466">
    <w:name w:val="4"/>
    <w:basedOn w:val="1"/>
    <w:next w:val="133"/>
    <w:qFormat/>
    <w:uiPriority w:val="0"/>
    <w:pPr>
      <w:spacing w:line="360" w:lineRule="auto"/>
      <w:ind w:firstLine="420"/>
    </w:pPr>
    <w:rPr>
      <w:rFonts w:ascii="Times New Roman" w:hAnsi="Times New Roman"/>
      <w:color w:val="FF0000"/>
      <w:sz w:val="24"/>
      <w:szCs w:val="24"/>
    </w:rPr>
  </w:style>
  <w:style w:type="paragraph" w:customStyle="1" w:styleId="467">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468">
    <w:name w:val="Char Char Char Char Char Char Char Char Char Char"/>
    <w:basedOn w:val="1"/>
    <w:qFormat/>
    <w:uiPriority w:val="0"/>
    <w:pPr>
      <w:spacing w:line="360" w:lineRule="auto"/>
    </w:pPr>
    <w:rPr>
      <w:rFonts w:ascii="Times New Roman" w:hAnsi="Times New Roman"/>
      <w:sz w:val="24"/>
      <w:szCs w:val="20"/>
    </w:rPr>
  </w:style>
  <w:style w:type="paragraph" w:customStyle="1" w:styleId="469">
    <w:name w:val="样式1"/>
    <w:basedOn w:val="1"/>
    <w:qFormat/>
    <w:uiPriority w:val="0"/>
    <w:pPr>
      <w:numPr>
        <w:ilvl w:val="0"/>
        <w:numId w:val="2"/>
      </w:numPr>
      <w:tabs>
        <w:tab w:val="left" w:pos="709"/>
      </w:tabs>
    </w:pPr>
    <w:rPr>
      <w:rFonts w:ascii="宋体" w:hAnsi="宋体"/>
      <w:szCs w:val="21"/>
    </w:rPr>
  </w:style>
  <w:style w:type="paragraph" w:customStyle="1" w:styleId="470">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471">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472">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sz w:val="24"/>
      <w:szCs w:val="20"/>
    </w:rPr>
  </w:style>
  <w:style w:type="paragraph" w:customStyle="1" w:styleId="473">
    <w:name w:val="标题3"/>
    <w:basedOn w:val="1"/>
    <w:next w:val="1"/>
    <w:qFormat/>
    <w:uiPriority w:val="0"/>
    <w:pPr>
      <w:spacing w:line="590" w:lineRule="atLeast"/>
      <w:ind w:firstLine="624"/>
    </w:pPr>
    <w:rPr>
      <w:rFonts w:ascii="方正黑体_GBK" w:hAnsi="Times New Roman" w:eastAsia="方正黑体_GBK"/>
      <w:sz w:val="32"/>
      <w:szCs w:val="32"/>
    </w:rPr>
  </w:style>
  <w:style w:type="paragraph" w:customStyle="1" w:styleId="474">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475">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476">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77">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478">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479">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480">
    <w:name w:val="Char Char Char Char1"/>
    <w:basedOn w:val="98"/>
    <w:qFormat/>
    <w:uiPriority w:val="0"/>
    <w:pPr>
      <w:spacing w:line="360" w:lineRule="auto"/>
    </w:pPr>
    <w:rPr>
      <w:rFonts w:ascii="Tahoma" w:hAnsi="Tahoma"/>
      <w:sz w:val="24"/>
      <w:szCs w:val="24"/>
    </w:rPr>
  </w:style>
  <w:style w:type="paragraph" w:customStyle="1" w:styleId="481">
    <w:name w:val="table_1stline"/>
    <w:basedOn w:val="1"/>
    <w:qFormat/>
    <w:uiPriority w:val="0"/>
    <w:pPr>
      <w:widowControl/>
      <w:spacing w:before="120"/>
      <w:jc w:val="left"/>
    </w:pPr>
    <w:rPr>
      <w:rFonts w:ascii="Times New Roman" w:hAnsi="Times New Roman"/>
      <w:bCs/>
      <w:sz w:val="20"/>
      <w:szCs w:val="20"/>
      <w:lang w:val="de-DE" w:eastAsia="de-DE"/>
    </w:rPr>
  </w:style>
  <w:style w:type="paragraph" w:customStyle="1" w:styleId="482">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483">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sz w:val="44"/>
      <w:szCs w:val="20"/>
    </w:rPr>
  </w:style>
  <w:style w:type="paragraph" w:customStyle="1" w:styleId="484">
    <w:name w:val="修订1"/>
    <w:semiHidden/>
    <w:qFormat/>
    <w:uiPriority w:val="99"/>
    <w:rPr>
      <w:rFonts w:hint="default" w:ascii="Times New Roman" w:hAnsi="Times New Roman" w:eastAsia="宋体" w:cs="Times New Roman"/>
      <w:sz w:val="21"/>
      <w:szCs w:val="21"/>
      <w:lang w:val="en-US" w:eastAsia="zh-CN" w:bidi="ar-SA"/>
    </w:rPr>
  </w:style>
  <w:style w:type="table" w:customStyle="1" w:styleId="485">
    <w:name w:val="Table Normal"/>
    <w:qFormat/>
    <w:uiPriority w:val="0"/>
    <w:tblPr>
      <w:tblCellMar>
        <w:top w:w="0" w:type="dxa"/>
        <w:left w:w="0" w:type="dxa"/>
        <w:bottom w:w="0" w:type="dxa"/>
        <w:right w:w="0" w:type="dxa"/>
      </w:tblCellMar>
    </w:tblPr>
  </w:style>
  <w:style w:type="paragraph" w:customStyle="1" w:styleId="486">
    <w:name w:val="正文文本12"/>
    <w:basedOn w:val="1"/>
    <w:qFormat/>
    <w:uiPriority w:val="1"/>
    <w:pPr>
      <w:ind w:left="120"/>
    </w:pPr>
    <w:rPr>
      <w:rFonts w:ascii="宋体" w:hAnsi="宋体" w:cs="宋体"/>
      <w:szCs w:val="21"/>
      <w:lang w:val="zh-CN" w:bidi="zh-CN"/>
    </w:rPr>
  </w:style>
  <w:style w:type="paragraph" w:customStyle="1" w:styleId="487">
    <w:name w:val="首行缩进"/>
    <w:basedOn w:val="1"/>
    <w:qFormat/>
    <w:uiPriority w:val="0"/>
    <w:pPr>
      <w:ind w:firstLine="480"/>
    </w:pPr>
    <w:rPr>
      <w:rFonts w:ascii="Times New Roman" w:hAnsi="Times New Roman"/>
      <w:szCs w:val="21"/>
      <w:lang w:val="zh-CN"/>
    </w:rPr>
  </w:style>
  <w:style w:type="paragraph" w:customStyle="1" w:styleId="488">
    <w:name w:val="部分1"/>
    <w:basedOn w:val="1"/>
    <w:qFormat/>
    <w:uiPriority w:val="0"/>
    <w:pPr>
      <w:keepNext/>
      <w:pageBreakBefore/>
      <w:tabs>
        <w:tab w:val="left" w:pos="720"/>
      </w:tabs>
      <w:spacing w:line="360" w:lineRule="auto"/>
      <w:jc w:val="center"/>
      <w:outlineLvl w:val="0"/>
    </w:pPr>
    <w:rPr>
      <w:rFonts w:ascii="Times New Roman" w:hAnsi="Times New Roman" w:eastAsia="黑体"/>
      <w:b/>
      <w:sz w:val="36"/>
      <w:szCs w:val="20"/>
    </w:rPr>
  </w:style>
  <w:style w:type="character" w:customStyle="1" w:styleId="489">
    <w:name w:val="15"/>
    <w:qFormat/>
    <w:uiPriority w:val="0"/>
    <w:rPr>
      <w:rFonts w:ascii="Times New Roman" w:hAnsi="Times New Roman" w:cs="Times New Roman"/>
    </w:rPr>
  </w:style>
  <w:style w:type="paragraph" w:customStyle="1" w:styleId="490">
    <w:name w:val="正文文本缩进 2_0"/>
    <w:basedOn w:val="327"/>
    <w:qFormat/>
    <w:uiPriority w:val="0"/>
    <w:pPr>
      <w:spacing w:line="540" w:lineRule="exact"/>
      <w:ind w:firstLine="720"/>
      <w:jc w:val="left"/>
    </w:pPr>
    <w:rPr>
      <w:rFonts w:ascii="仿宋_GB2312" w:hAnsi="仿宋_GB2312" w:cs="宋体"/>
      <w:sz w:val="32"/>
      <w:szCs w:val="32"/>
    </w:rPr>
  </w:style>
  <w:style w:type="character" w:customStyle="1" w:styleId="491">
    <w:name w:val="10"/>
    <w:qFormat/>
    <w:uiPriority w:val="0"/>
    <w:rPr>
      <w:rFonts w:ascii="Times New Roman" w:hAnsi="Times New Roman" w:cs="Times New Roman"/>
    </w:rPr>
  </w:style>
  <w:style w:type="paragraph" w:customStyle="1" w:styleId="492">
    <w:name w:val="正文_16_1"/>
    <w:basedOn w:val="1"/>
    <w:qFormat/>
    <w:uiPriority w:val="0"/>
    <w:rPr>
      <w:rFonts w:ascii="Times New Roman" w:hAnsi="Times New Roman"/>
      <w:szCs w:val="21"/>
    </w:rPr>
  </w:style>
  <w:style w:type="paragraph" w:customStyle="1" w:styleId="493">
    <w:name w:val="页脚1"/>
    <w:basedOn w:val="1"/>
    <w:qFormat/>
    <w:uiPriority w:val="0"/>
    <w:pPr>
      <w:tabs>
        <w:tab w:val="center" w:pos="4153"/>
        <w:tab w:val="right" w:pos="8306"/>
      </w:tabs>
      <w:jc w:val="left"/>
    </w:pPr>
    <w:rPr>
      <w:sz w:val="18"/>
      <w:szCs w:val="18"/>
    </w:rPr>
  </w:style>
  <w:style w:type="paragraph" w:customStyle="1" w:styleId="494">
    <w:name w:val="*正文"/>
    <w:basedOn w:val="68"/>
    <w:qFormat/>
    <w:uiPriority w:val="0"/>
    <w:pPr>
      <w:ind w:firstLine="200"/>
    </w:pPr>
    <w:rPr>
      <w:rFonts w:hAnsi="宋体"/>
      <w:szCs w:val="24"/>
    </w:rPr>
  </w:style>
  <w:style w:type="paragraph" w:customStyle="1" w:styleId="495">
    <w:name w:val="*正文_0"/>
    <w:basedOn w:val="496"/>
    <w:qFormat/>
    <w:uiPriority w:val="0"/>
    <w:pPr>
      <w:spacing w:line="360" w:lineRule="auto"/>
      <w:ind w:firstLine="200"/>
    </w:pPr>
    <w:rPr>
      <w:rFonts w:ascii="宋体" w:hAnsi="宋体" w:eastAsia="Arial" w:cs="Arial"/>
      <w:color w:val="000000"/>
      <w:sz w:val="24"/>
    </w:rPr>
  </w:style>
  <w:style w:type="paragraph" w:customStyle="1" w:styleId="496">
    <w:name w:val="正文缩进_2"/>
    <w:basedOn w:val="351"/>
    <w:unhideWhenUsed/>
    <w:qFormat/>
    <w:uiPriority w:val="0"/>
    <w:pPr>
      <w:widowControl/>
      <w:ind w:firstLine="420"/>
      <w:jc w:val="left"/>
    </w:pPr>
    <w:rPr>
      <w:rFonts w:ascii="Times New Roman" w:hAnsi="Times New Roman"/>
      <w:sz w:val="20"/>
      <w:szCs w:val="24"/>
    </w:rPr>
  </w:style>
  <w:style w:type="paragraph" w:customStyle="1" w:styleId="497">
    <w:name w:val="*正文_0_0"/>
    <w:basedOn w:val="351"/>
    <w:qFormat/>
    <w:uiPriority w:val="0"/>
    <w:pPr>
      <w:widowControl/>
      <w:spacing w:line="360" w:lineRule="auto"/>
      <w:ind w:firstLine="200"/>
      <w:jc w:val="left"/>
    </w:pPr>
    <w:rPr>
      <w:rFonts w:ascii="宋体" w:hAnsi="宋体" w:eastAsia="Arial" w:cs="Arial"/>
      <w:color w:val="000000"/>
      <w:sz w:val="24"/>
      <w:szCs w:val="24"/>
    </w:rPr>
  </w:style>
  <w:style w:type="paragraph" w:customStyle="1" w:styleId="498">
    <w:name w:val="无间隔1_0_0"/>
    <w:basedOn w:val="351"/>
    <w:qFormat/>
    <w:uiPriority w:val="0"/>
    <w:rPr>
      <w:rFonts w:ascii="Times New Roman" w:hAnsi="Times New Roman"/>
      <w:szCs w:val="21"/>
    </w:rPr>
  </w:style>
  <w:style w:type="paragraph" w:customStyle="1" w:styleId="499">
    <w:name w:val="正文_0_2"/>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500">
    <w:name w:val="标题 4_0"/>
    <w:basedOn w:val="501"/>
    <w:next w:val="501"/>
    <w:unhideWhenUsed/>
    <w:qFormat/>
    <w:uiPriority w:val="9"/>
    <w:pPr>
      <w:keepNext/>
      <w:keepLines/>
      <w:spacing w:before="280" w:after="290" w:line="372" w:lineRule="auto"/>
      <w:outlineLvl w:val="3"/>
    </w:pPr>
    <w:rPr>
      <w:rFonts w:ascii="Arial" w:hAnsi="Arial" w:eastAsia="黑体"/>
      <w:b/>
      <w:sz w:val="28"/>
    </w:rPr>
  </w:style>
  <w:style w:type="paragraph" w:customStyle="1" w:styleId="501">
    <w:name w:val="正文4"/>
    <w:qFormat/>
    <w:uiPriority w:val="0"/>
    <w:pPr>
      <w:widowControl w:val="0"/>
      <w:jc w:val="both"/>
    </w:pPr>
    <w:rPr>
      <w:rFonts w:hint="default" w:ascii="Calibri" w:hAnsi="Calibri" w:eastAsia="宋体" w:cs="Times New Roman"/>
      <w:lang w:val="en-US" w:eastAsia="zh-CN" w:bidi="ar-SA"/>
    </w:rPr>
  </w:style>
  <w:style w:type="paragraph" w:customStyle="1" w:styleId="502">
    <w:name w:val="正文_3_0_0"/>
    <w:qFormat/>
    <w:uiPriority w:val="0"/>
    <w:pPr>
      <w:widowControl w:val="0"/>
      <w:jc w:val="both"/>
    </w:pPr>
    <w:rPr>
      <w:rFonts w:hint="default" w:ascii="Times New Roman" w:hAnsi="Times New Roman" w:eastAsia="宋体" w:cs="Times New Roman"/>
      <w:lang w:val="en-US" w:eastAsia="zh-CN" w:bidi="ar-SA"/>
    </w:rPr>
  </w:style>
  <w:style w:type="paragraph" w:customStyle="1" w:styleId="503">
    <w:name w:val="p17_0_0"/>
    <w:basedOn w:val="394"/>
    <w:qFormat/>
    <w:uiPriority w:val="0"/>
    <w:pPr>
      <w:widowControl/>
      <w:spacing w:before="100" w:beforeAutospacing="1" w:after="100" w:afterAutospacing="1"/>
      <w:jc w:val="left"/>
    </w:pPr>
    <w:rPr>
      <w:rFonts w:ascii="宋体" w:hAnsi="宋体" w:eastAsia="Times New Roman" w:cs="宋体"/>
      <w:sz w:val="24"/>
    </w:rPr>
  </w:style>
  <w:style w:type="paragraph" w:customStyle="1" w:styleId="504">
    <w:name w:val="p17_0"/>
    <w:basedOn w:val="71"/>
    <w:qFormat/>
    <w:uiPriority w:val="0"/>
    <w:pPr>
      <w:spacing w:before="100" w:beforeAutospacing="1" w:after="100" w:afterAutospacing="1"/>
    </w:pPr>
    <w:rPr>
      <w:rFonts w:ascii="宋体" w:hAnsi="宋体" w:eastAsia="Times New Roman" w:cs="宋体"/>
      <w:sz w:val="24"/>
    </w:rPr>
  </w:style>
  <w:style w:type="paragraph" w:customStyle="1" w:styleId="505">
    <w:name w:val="普通(网站)11"/>
    <w:basedOn w:val="1"/>
    <w:qFormat/>
    <w:uiPriority w:val="99"/>
    <w:rPr>
      <w:sz w:val="24"/>
    </w:rPr>
  </w:style>
  <w:style w:type="paragraph" w:customStyle="1" w:styleId="506">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507">
    <w:name w:val="正文111"/>
    <w:next w:val="508"/>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08">
    <w:name w:val="正文文本缩进11"/>
    <w:basedOn w:val="509"/>
    <w:next w:val="512"/>
    <w:qFormat/>
    <w:uiPriority w:val="99"/>
    <w:pPr>
      <w:spacing w:after="120"/>
      <w:ind w:left="420"/>
    </w:pPr>
  </w:style>
  <w:style w:type="paragraph" w:customStyle="1" w:styleId="509">
    <w:name w:val="正文112"/>
    <w:next w:val="51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10">
    <w:name w:val="正文首行缩进11"/>
    <w:basedOn w:val="59"/>
    <w:next w:val="511"/>
    <w:qFormat/>
    <w:uiPriority w:val="0"/>
    <w:pPr>
      <w:ind w:firstLine="420"/>
    </w:pPr>
    <w:rPr>
      <w:rFonts w:ascii="仿宋_GB2312" w:eastAsia="仿宋_GB2312"/>
      <w:sz w:val="30"/>
      <w:szCs w:val="30"/>
    </w:rPr>
  </w:style>
  <w:style w:type="paragraph" w:customStyle="1" w:styleId="511">
    <w:name w:val="正文首行缩进 211"/>
    <w:basedOn w:val="508"/>
    <w:qFormat/>
    <w:uiPriority w:val="99"/>
    <w:pPr>
      <w:spacing w:after="0" w:line="360" w:lineRule="auto"/>
      <w:ind w:left="0" w:firstLine="420"/>
    </w:pPr>
    <w:rPr>
      <w:rFonts w:ascii="宋体" w:hAnsi="宋体"/>
    </w:rPr>
  </w:style>
  <w:style w:type="paragraph" w:customStyle="1" w:styleId="512">
    <w:name w:val="寄信人地址11"/>
    <w:basedOn w:val="1"/>
    <w:qFormat/>
    <w:uiPriority w:val="0"/>
    <w:rPr>
      <w:rFonts w:ascii="Arial" w:hAnsi="Arial"/>
    </w:rPr>
  </w:style>
  <w:style w:type="paragraph" w:customStyle="1" w:styleId="513">
    <w:name w:val="正文_25"/>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14">
    <w:name w:val="Header1"/>
    <w:basedOn w:val="71"/>
    <w:unhideWhenUsed/>
    <w:qFormat/>
    <w:uiPriority w:val="99"/>
    <w:pPr>
      <w:pBdr>
        <w:bottom w:val="single" w:color="000000" w:sz="6" w:space="1"/>
      </w:pBdr>
      <w:tabs>
        <w:tab w:val="center" w:pos="4153"/>
        <w:tab w:val="right" w:pos="8306"/>
      </w:tabs>
      <w:jc w:val="center"/>
    </w:pPr>
    <w:rPr>
      <w:rFonts w:ascii="Calibri" w:hAnsi="Calibri" w:eastAsia="宋体"/>
      <w:sz w:val="18"/>
      <w:szCs w:val="18"/>
    </w:rPr>
  </w:style>
  <w:style w:type="character" w:customStyle="1" w:styleId="515">
    <w:name w:val="默认段落字体1"/>
    <w:unhideWhenUsed/>
    <w:qFormat/>
    <w:uiPriority w:val="1"/>
    <w:rPr>
      <w:rFonts w:ascii="Calibri" w:hAnsi="Calibri" w:eastAsia="宋体" w:cs="Times New Roman"/>
      <w:sz w:val="21"/>
      <w:szCs w:val="22"/>
      <w:lang w:val="en-US" w:eastAsia="zh-CN" w:bidi="ar-SA"/>
    </w:rPr>
  </w:style>
  <w:style w:type="paragraph" w:customStyle="1" w:styleId="516">
    <w:name w:val="页眉1"/>
    <w:basedOn w:val="1"/>
    <w:qFormat/>
    <w:uiPriority w:val="0"/>
    <w:pPr>
      <w:pBdr>
        <w:bottom w:val="single" w:color="000000" w:sz="6" w:space="1"/>
      </w:pBdr>
      <w:tabs>
        <w:tab w:val="center" w:pos="4153"/>
        <w:tab w:val="right" w:pos="8306"/>
      </w:tabs>
      <w:jc w:val="center"/>
    </w:pPr>
    <w:rPr>
      <w:rFonts w:ascii="Times New Roman" w:hAnsi="Times New Roman"/>
      <w:sz w:val="18"/>
      <w:szCs w:val="18"/>
    </w:rPr>
  </w:style>
  <w:style w:type="character" w:customStyle="1" w:styleId="517">
    <w:name w:val="font41"/>
    <w:basedOn w:val="34"/>
    <w:qFormat/>
    <w:uiPriority w:val="0"/>
    <w:rPr>
      <w:rFonts w:hint="default" w:ascii="方正仿宋_GBK" w:hAnsi="方正仿宋_GBK" w:eastAsia="方正仿宋_GBK" w:cs="方正仿宋_GBK"/>
      <w:color w:val="000000"/>
      <w:sz w:val="36"/>
      <w:szCs w:val="36"/>
      <w:u w:val="none"/>
    </w:rPr>
  </w:style>
  <w:style w:type="paragraph" w:customStyle="1" w:styleId="518">
    <w:name w:val="正文_2_1_0"/>
    <w:qFormat/>
    <w:uiPriority w:val="0"/>
    <w:pPr>
      <w:widowControl w:val="0"/>
      <w:jc w:val="both"/>
    </w:pPr>
    <w:rPr>
      <w:rFonts w:hint="default" w:ascii="Calibri" w:hAnsi="Calibri" w:eastAsia="宋体" w:cs="Times New Roman"/>
      <w:lang w:val="en-US" w:eastAsia="zh-CN" w:bidi="ar-SA"/>
    </w:rPr>
  </w:style>
  <w:style w:type="character" w:customStyle="1" w:styleId="519">
    <w:name w:val="font71"/>
    <w:basedOn w:val="34"/>
    <w:qFormat/>
    <w:uiPriority w:val="0"/>
    <w:rPr>
      <w:rFonts w:hint="eastAsia" w:ascii="微软雅黑" w:hAnsi="微软雅黑" w:eastAsia="微软雅黑" w:cs="微软雅黑"/>
      <w:color w:val="000000"/>
      <w:sz w:val="16"/>
      <w:szCs w:val="16"/>
      <w:u w:val="none"/>
    </w:rPr>
  </w:style>
  <w:style w:type="character" w:customStyle="1" w:styleId="520">
    <w:name w:val="font51"/>
    <w:basedOn w:val="34"/>
    <w:qFormat/>
    <w:uiPriority w:val="0"/>
    <w:rPr>
      <w:rFonts w:hint="eastAsia" w:ascii="微软雅黑" w:hAnsi="微软雅黑" w:eastAsia="微软雅黑" w:cs="微软雅黑"/>
      <w:color w:val="000000"/>
      <w:sz w:val="16"/>
      <w:szCs w:val="16"/>
      <w:u w:val="none"/>
    </w:rPr>
  </w:style>
  <w:style w:type="character" w:customStyle="1" w:styleId="521">
    <w:name w:val="font61"/>
    <w:basedOn w:val="34"/>
    <w:qFormat/>
    <w:uiPriority w:val="0"/>
    <w:rPr>
      <w:rFonts w:hint="eastAsia" w:ascii="微软雅黑" w:hAnsi="微软雅黑" w:eastAsia="微软雅黑" w:cs="微软雅黑"/>
      <w:color w:val="000000"/>
      <w:sz w:val="16"/>
      <w:szCs w:val="16"/>
      <w:u w:val="none"/>
    </w:rPr>
  </w:style>
  <w:style w:type="character" w:customStyle="1" w:styleId="522">
    <w:name w:val="强调1"/>
    <w:qFormat/>
    <w:uiPriority w:val="0"/>
    <w:rPr>
      <w:rFonts w:ascii="Calibri" w:hAnsi="Calibri"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Organi</Company>
  <Pages>84</Pages>
  <Words>2652</Words>
  <Characters>3094</Characters>
  <TotalTime>27</TotalTime>
  <ScaleCrop>false</ScaleCrop>
  <LinksUpToDate>false</LinksUpToDate>
  <CharactersWithSpaces>3154</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2023-07-23T13:07:00Z</dcterms:created>
  <dc:creator>宿迁政府采</dc:creator>
  <cp:lastModifiedBy> 十年如一</cp:lastModifiedBy>
  <cp:lastPrinted>2026-08-06T04:20:00Z</cp:lastPrinted>
  <dcterms:modified xsi:type="dcterms:W3CDTF">2026-08-07T01:16:28Z</dcterms:modified>
  <cp:revision>49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eyJoZGlkIjoiZTFiNDU2YWE5YzRlYzA5YjAyMGMzZmQxNDEzYmRmZjYiLCJ1c2VySWQiOiIxMDE0MTU2NDc0In0=</vt:lpwstr>
  </property>
  <property fmtid="{D5CDD505-2E9C-101B-9397-08002B2CF9AE}" pid="3" name="KSOProductBuildVer">
    <vt:lpwstr>2052-12.1.0.20305</vt:lpwstr>
  </property>
  <property fmtid="{D5CDD505-2E9C-101B-9397-08002B2CF9AE}" pid="4" name="ICV">
    <vt:lpwstr>FBDB1B52D11349E0AF7D70C5195FC97C_13</vt:lpwstr>
  </property>
</Properties>
</file>