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项目编号：JSZC-320500-JZCG-G2026-0203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苏州市公安局吴中分局木渎派出所升级改造执法办案中心（货物及设备）</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8"/>
        <w:ind w:firstLine="0"/>
        <w:jc w:val="left"/>
        <w:spacing w:before="120" w:after="120"/>
        <w:tabs>
          <w:tab w:val="right" w:pos="9856" w:leader="dot"/>
        </w:tabs>
        <w:rPr>
          <w:rStyle w:val="1070"/>
          <w:rFonts w:ascii="宋体" w:hAnsi="宋体" w:cs="Calibri"/>
          <w:bCs/>
          <w:caps/>
          <w:color w:val="auto"/>
          <w:sz w:val="32"/>
          <w:szCs w:val="32"/>
        </w:rPr>
        <w:outlineLvl w:val="9"/>
      </w:pPr>
      <w:r>
        <w:rPr>
          <w:rFonts w:ascii="宋体" w:hAnsi="宋体" w:cs="Calibri"/>
          <w:bCs/>
          <w:caps/>
          <w:color w:val="auto"/>
          <w:sz w:val="32"/>
          <w:szCs w:val="32"/>
        </w:rPr>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rPr>
          <w:rStyle w:val="1070"/>
          <w:rFonts w:ascii="宋体" w:hAnsi="宋体" w:cs="Calibri"/>
          <w:bCs/>
          <w:caps/>
          <w:color w:val="auto"/>
          <w:sz w:val="32"/>
        </w:rPr>
        <w:fldChar w:fldCharType="begin"/>
      </w:r>
      <w:r>
        <w:rPr>
          <w:rStyle w:val="1070"/>
          <w:rFonts w:ascii="宋体" w:hAnsi="宋体" w:cs="Calibri"/>
          <w:bCs/>
          <w:caps/>
          <w:color w:val="auto"/>
          <w:sz w:val="32"/>
        </w:rPr>
        <w:instrText xml:space="preserve"> TOC \o "1-1" \h \z \u </w:instrText>
      </w:r>
      <w:r>
        <w:rPr>
          <w:rStyle w:val="1070"/>
          <w:rFonts w:ascii="宋体" w:hAnsi="宋体" w:cs="Calibri"/>
          <w:bCs/>
          <w:caps/>
          <w:color w:val="auto"/>
          <w:sz w:val="32"/>
        </w:rPr>
        <w:fldChar w:fldCharType="separate"/>
      </w:r>
      <w:hyperlink w:tooltip="#_Toc105397776" w:anchor="_Toc105397776" w:history="1">
        <w:r>
          <w:rPr>
            <w:rStyle w:val="1070"/>
            <w:rFonts w:ascii="宋体" w:hAnsi="宋体" w:cs="Calibri"/>
            <w:bCs/>
            <w:caps/>
            <w:color w:val="auto"/>
            <w:sz w:val="32"/>
            <w:szCs w:val="32"/>
          </w:rPr>
          <w:t xml:space="preserve">第一章 投标邀请函</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_Toc105397776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6</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77" w:anchor="_Toc105397777" w:history="1">
        <w:r>
          <w:rPr>
            <w:rStyle w:val="1070"/>
            <w:rFonts w:ascii="宋体" w:hAnsi="宋体" w:cs="Calibri"/>
            <w:bCs/>
            <w:caps/>
            <w:color w:val="auto"/>
            <w:sz w:val="32"/>
            <w:szCs w:val="32"/>
          </w:rPr>
          <w:t xml:space="preserve">第二章 投标人须知</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_Toc105397777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9</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78" w:anchor="_Toc105397778" w:history="1">
        <w:r>
          <w:rPr>
            <w:rStyle w:val="1070"/>
            <w:rFonts w:ascii="宋体" w:hAnsi="宋体" w:cs="Calibri"/>
            <w:bCs/>
            <w:caps/>
            <w:color w:val="auto"/>
            <w:sz w:val="32"/>
            <w:szCs w:val="32"/>
          </w:rPr>
          <w:t xml:space="preserve">第三章 投标文件格式</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_Toc105397778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21</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3" w:anchor="_Toc105397793" w:history="1">
        <w:r>
          <w:rPr>
            <w:rStyle w:val="1070"/>
            <w:rFonts w:ascii="宋体" w:hAnsi="宋体" w:cs="Calibri"/>
            <w:bCs/>
            <w:caps/>
            <w:color w:val="auto"/>
            <w:sz w:val="32"/>
            <w:szCs w:val="32"/>
          </w:rPr>
          <w:t xml:space="preserve">第四章 招标书</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_Toc105397793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34</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4" w:anchor="_Toc105397794" w:history="1">
        <w:r>
          <w:rPr>
            <w:rStyle w:val="1070"/>
            <w:rFonts w:ascii="宋体" w:hAnsi="宋体" w:cs="Calibri"/>
            <w:bCs/>
            <w:caps/>
            <w:color w:val="auto"/>
            <w:sz w:val="32"/>
            <w:szCs w:val="32"/>
          </w:rPr>
          <w:t xml:space="preserve">第五章 合同及主要条款</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_Toc105397794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51</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5" w:anchor="_Toc105397795" w:history="1">
        <w:r>
          <w:rPr>
            <w:rStyle w:val="1070"/>
            <w:rFonts w:ascii="宋体" w:hAnsi="宋体" w:cs="Calibri"/>
            <w:bCs/>
            <w:caps/>
            <w:color w:val="auto"/>
            <w:sz w:val="32"/>
            <w:szCs w:val="32"/>
          </w:rPr>
          <w:t xml:space="preserve">第六章 评标办法和评分标准</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_Toc105397795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51</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6" w:leader="dot"/>
        </w:tabs>
        <w:rPr>
          <w:rFonts w:ascii="宋体" w:hAnsi="宋体"/>
          <w:sz w:val="32"/>
          <w:szCs w:val="32"/>
        </w:rPr>
        <w:outlineLvl w:val="9"/>
      </w:pPr>
      <w:r>
        <w:rPr>
          <w:rStyle w:val="107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苏州市公安局吴中分局木渎派出所升级改造执法办案中心（货物及设备）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4" w:name="OLE_LINK36"/>
            <w:r/>
            <w:bookmarkStart w:id="5" w:name="OLE_LINK37"/>
            <w:r>
              <w:rPr>
                <w:rFonts w:ascii="宋体" w:hAnsi="宋体"/>
                <w:sz w:val="21"/>
                <w:szCs w:val="21"/>
              </w:rPr>
              <w:t xml:space="preserve">0512-69820255</w:t>
            </w:r>
            <w:bookmarkEnd w:id="4"/>
            <w:r/>
            <w:bookmarkEnd w:id="5"/>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联系人：钱国庆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履约保证金金额为：合同总金额的【 10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乙方应在合同签订后【30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10%】</w:t>
            </w:r>
            <w:r>
              <w:rPr>
                <w:rFonts w:hint="eastAsia" w:ascii="宋体" w:hAnsi="宋体" w:cs="Times New Roman"/>
                <w:sz w:val="21"/>
                <w:szCs w:val="21"/>
              </w:rPr>
              <w:t xml:space="preserve">的违约金，给甲方造成损失的，乙方应赔偿甲方一切直接、间接损失。（履约保证金的有效期限应不早于项目服务期限结束之前，请乙方合理选择履约保证金形式。）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在乙方以第三方担保的方式提供履约担保的情况下，如第三方担保期限已经届满或担保义务免除，则视为甲方返还履约保证金的义务消灭，甲方无需实际返还行为。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5"/>
        <w:ind w:left="431" w:firstLine="17"/>
        <w:jc w:val="center"/>
        <w:spacing w:before="0" w:after="0" w:line="360" w:lineRule="auto"/>
        <w:rPr>
          <w:rStyle w:val="1135"/>
          <w:rFonts w:ascii="宋体" w:hAnsi="宋体"/>
        </w:rPr>
      </w:pPr>
      <w:r/>
      <w:bookmarkStart w:id="8"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苏州市公安局吴中分局木渎派出所升级改造执法办案中心（货物及设备）</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月31</w:t>
      </w:r>
      <w:r>
        <w:rPr>
          <w:rFonts w:hint="eastAsia" w:ascii="宋体" w:hAnsi="宋体"/>
          <w:b/>
          <w:sz w:val="21"/>
          <w:szCs w:val="21"/>
          <w:u w:val="single"/>
        </w:rPr>
        <w:t xml:space="preserve">日</w:t>
      </w:r>
      <w:r>
        <w:rPr>
          <w:rFonts w:ascii="宋体" w:hAnsi="宋体"/>
          <w:b/>
          <w:sz w:val="21"/>
          <w:szCs w:val="21"/>
          <w:u w:val="single"/>
        </w:rPr>
        <w:t xml:space="preserve">  </w:t>
      </w:r>
      <w:r>
        <w:rPr>
          <w:rFonts w:hint="eastAsia" w:ascii="宋体" w:hAnsi="宋体"/>
          <w:b/>
          <w:sz w:val="21"/>
          <w:szCs w:val="21"/>
          <w:u w:val="single"/>
        </w:rPr>
        <w:t xml:space="preserve">13点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JSZC-320500-JZCG-G2026-0203</w:t>
      </w:r>
      <w:r/>
    </w:p>
    <w:p>
      <w:pPr>
        <w:pStyle w:val="1023"/>
        <w:ind w:left="0" w:firstLine="420"/>
        <w:spacing w:line="360" w:lineRule="auto"/>
        <w:rPr>
          <w:rFonts w:ascii="宋体" w:hAnsi="宋体"/>
          <w:sz w:val="21"/>
          <w:szCs w:val="21"/>
        </w:rPr>
      </w:pPr>
      <w:r>
        <w:rPr>
          <w:rFonts w:hint="eastAsia" w:ascii="宋体" w:hAnsi="宋体"/>
          <w:sz w:val="21"/>
          <w:szCs w:val="21"/>
        </w:rPr>
        <w:t xml:space="preserve">2.项目名称：苏州市公安局吴中分局木渎派出所升级改造执法办案中心（货物及设备）</w:t>
      </w:r>
      <w:r/>
    </w:p>
    <w:p>
      <w:pPr>
        <w:pStyle w:val="102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3"/>
        <w:ind w:left="0" w:firstLine="420"/>
        <w:spacing w:line="360" w:lineRule="auto"/>
        <w:rPr>
          <w:rFonts w:ascii="宋体" w:hAnsi="宋体"/>
          <w:sz w:val="21"/>
          <w:szCs w:val="21"/>
        </w:rPr>
      </w:pPr>
      <w:r>
        <w:rPr>
          <w:rFonts w:hint="eastAsia" w:ascii="宋体" w:hAnsi="宋体"/>
          <w:sz w:val="21"/>
          <w:szCs w:val="21"/>
        </w:rPr>
        <w:t xml:space="preserve">4.预算金额：人民币壹佰零肆万玖仟伍佰陆拾伍元肆角叁分（¥</w:t>
      </w:r>
      <w:r>
        <w:rPr>
          <w:rFonts w:ascii="宋体" w:hAnsi="宋体"/>
          <w:sz w:val="21"/>
          <w:szCs w:val="21"/>
        </w:rPr>
        <w:t xml:space="preserve">1049565.43</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5.最高限价：人民币壹佰零肆万玖仟伍佰陆拾伍元肆角叁分（¥</w:t>
      </w:r>
      <w:r>
        <w:rPr>
          <w:rFonts w:ascii="宋体" w:hAnsi="宋体"/>
          <w:sz w:val="21"/>
          <w:szCs w:val="21"/>
        </w:rPr>
        <w:t xml:space="preserve">1049565.43</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6.合同履行期限：</w:t>
      </w:r>
      <w:bookmarkStart w:id="9" w:name="OLE_LINK21"/>
      <w:r/>
      <w:bookmarkStart w:id="10" w:name="OLE_LINK20"/>
      <w:r>
        <w:rPr>
          <w:rFonts w:hint="eastAsia" w:ascii="宋体" w:hAnsi="宋体"/>
          <w:sz w:val="21"/>
          <w:szCs w:val="21"/>
        </w:rPr>
        <w:t xml:space="preserve">项目交付时间：合同签订后4个月内。本项目免费质量保证期要求不低于3 年。免费质量保证期从货物供货、安装、调试正常且经采购使用部门确认验收合格之日起算。</w:t>
      </w:r>
      <w:bookmarkEnd w:id="9"/>
      <w:r/>
      <w:bookmarkEnd w:id="10"/>
      <w:r/>
      <w:r/>
    </w:p>
    <w:p>
      <w:pPr>
        <w:pStyle w:val="1023"/>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23"/>
        <w:ind w:left="0" w:firstLine="420"/>
        <w:spacing w:line="360" w:lineRule="auto"/>
        <w:rPr>
          <w:rFonts w:ascii="宋体" w:hAnsi="宋体"/>
          <w:sz w:val="21"/>
          <w:szCs w:val="21"/>
        </w:rPr>
      </w:pPr>
      <w:r>
        <w:rPr>
          <w:rFonts w:hint="eastAsia" w:ascii="宋体" w:hAnsi="宋体"/>
          <w:sz w:val="21"/>
          <w:szCs w:val="21"/>
        </w:rPr>
        <w:t xml:space="preserve">（1）采购标的需实现的功能：采购相关的货物及设备，实现执法办案中心的规范化和智能化。 </w:t>
      </w:r>
      <w:r/>
    </w:p>
    <w:p>
      <w:pPr>
        <w:pStyle w:val="1023"/>
        <w:ind w:left="0" w:firstLine="420"/>
        <w:spacing w:line="360" w:lineRule="auto"/>
        <w:rPr>
          <w:rFonts w:ascii="宋体" w:hAnsi="宋体"/>
          <w:sz w:val="21"/>
          <w:szCs w:val="21"/>
        </w:rPr>
      </w:pPr>
      <w:r>
        <w:rPr>
          <w:rFonts w:hint="eastAsia" w:ascii="宋体" w:hAnsi="宋体"/>
          <w:sz w:val="21"/>
          <w:szCs w:val="21"/>
        </w:rPr>
        <w:t xml:space="preserve">（2）采购标的需实现的目标：推动执法办案区实现一体化、智能化、精细化、合成化运转。</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3"/>
        <w:ind w:left="0" w:firstLine="420"/>
        <w:spacing w:line="360" w:lineRule="auto"/>
        <w:rPr>
          <w:rFonts w:ascii="宋体" w:hAnsi="宋体"/>
          <w:sz w:val="21"/>
          <w:szCs w:val="21"/>
        </w:rPr>
      </w:pPr>
      <w:r>
        <w:rPr>
          <w:rFonts w:hint="eastAsia" w:ascii="宋体" w:hAnsi="宋体"/>
          <w:sz w:val="21"/>
          <w:szCs w:val="21"/>
        </w:rPr>
        <w:t xml:space="preserve">3.方式：</w:t>
      </w:r>
      <w:r/>
    </w:p>
    <w:p>
      <w:pPr>
        <w:pStyle w:val="102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1" w:name="OLE_LINK40"/>
      <w:r/>
      <w:bookmarkStart w:id="12" w:name="OLE_LINK39"/>
      <w:r>
        <w:rPr>
          <w:rFonts w:ascii="宋体" w:hAnsi="宋体"/>
          <w:sz w:val="21"/>
          <w:szCs w:val="21"/>
        </w:rPr>
        <w:t xml:space="preserve">13914088964</w:t>
      </w:r>
      <w:bookmarkEnd w:id="11"/>
      <w:r/>
      <w:bookmarkEnd w:id="12"/>
      <w:r>
        <w:rPr>
          <w:rFonts w:hint="eastAsia" w:ascii="宋体" w:hAnsi="宋体"/>
          <w:sz w:val="21"/>
          <w:szCs w:val="21"/>
        </w:rPr>
        <w:t xml:space="preserve">；智能客服：登录苏采云系统后，联系系统右下方智能客服图标进行咨询。</w:t>
      </w:r>
      <w:r/>
    </w:p>
    <w:p>
      <w:pPr>
        <w:pStyle w:val="102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年8月31日13点30分</w:t>
      </w:r>
      <w:r>
        <w:rPr>
          <w:rFonts w:hint="eastAsia" w:ascii="宋体" w:hAnsi="宋体"/>
          <w:sz w:val="21"/>
          <w:szCs w:val="21"/>
        </w:rPr>
        <w:t xml:space="preserve">（北京时间）；</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年8月31日13点30分</w:t>
      </w:r>
      <w:r>
        <w:rPr>
          <w:rFonts w:hint="eastAsia" w:ascii="宋体" w:hAnsi="宋体"/>
          <w:sz w:val="21"/>
          <w:szCs w:val="21"/>
        </w:rPr>
        <w:t xml:space="preserve">（北京时间）；</w:t>
      </w:r>
      <w:r/>
    </w:p>
    <w:p>
      <w:pPr>
        <w:pStyle w:val="102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6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6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6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名称：苏州市公安局</w:t>
      </w:r>
      <w:r/>
    </w:p>
    <w:p>
      <w:pPr>
        <w:pStyle w:val="1023"/>
        <w:ind w:left="0" w:firstLine="420"/>
        <w:spacing w:line="360" w:lineRule="auto"/>
        <w:rPr>
          <w:rFonts w:ascii="宋体" w:hAnsi="宋体"/>
          <w:sz w:val="21"/>
          <w:szCs w:val="21"/>
        </w:rPr>
      </w:pPr>
      <w:r>
        <w:rPr>
          <w:rFonts w:hint="eastAsia" w:ascii="宋体" w:hAnsi="宋体"/>
          <w:sz w:val="21"/>
          <w:szCs w:val="21"/>
        </w:rPr>
        <w:t xml:space="preserve">地址：江苏省苏州市人民路3998号</w:t>
      </w:r>
      <w:r/>
    </w:p>
    <w:p>
      <w:pPr>
        <w:pStyle w:val="102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钱国庆</w:t>
      </w:r>
      <w:r/>
    </w:p>
    <w:p>
      <w:pPr>
        <w:pStyle w:val="1023"/>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p>
      <w:pPr>
        <w:pStyle w:val="102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3"/>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102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102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pStyle w:val="1017"/>
        <w:ind w:left="0" w:firstLine="0"/>
      </w:pPr>
      <w:r/>
      <w:r/>
    </w:p>
    <w:p>
      <w:r/>
      <w:r/>
    </w:p>
    <w:p>
      <w:pPr>
        <w:pStyle w:val="1017"/>
      </w:pPr>
      <w:r/>
      <w:r/>
    </w:p>
    <w:p>
      <w:pPr>
        <w:ind w:left="0"/>
      </w:pPr>
      <w:r/>
      <w:r/>
    </w:p>
    <w:p>
      <w:pPr>
        <w:pStyle w:val="1017"/>
      </w:pPr>
      <w:r/>
      <w:r/>
    </w:p>
    <w:p>
      <w:r/>
      <w:r/>
    </w:p>
    <w:p>
      <w:pPr>
        <w:pStyle w:val="1017"/>
      </w:pPr>
      <w:r/>
      <w:r/>
    </w:p>
    <w:p>
      <w:pPr>
        <w:pStyle w:val="1017"/>
        <w:ind w:left="0" w:firstLine="0"/>
      </w:pPr>
      <w:r/>
      <w:r/>
    </w:p>
    <w:p>
      <w:pPr>
        <w:pStyle w:val="1005"/>
        <w:ind w:left="0" w:firstLine="0"/>
        <w:jc w:val="center"/>
        <w:rPr>
          <w:rFonts w:ascii="宋体" w:hAnsi="宋体"/>
          <w:b/>
          <w:sz w:val="44"/>
          <w:szCs w:val="22"/>
        </w:rPr>
      </w:pPr>
      <w:r/>
      <w:bookmarkStart w:id="13" w:name="_Toc2412"/>
      <w:r/>
      <w:bookmarkStart w:id="14" w:name="_Toc6217"/>
      <w:r/>
      <w:bookmarkStart w:id="15"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1023"/>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1023"/>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102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3"/>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102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3350"/>
      <w:r/>
      <w:bookmarkStart w:id="22" w:name="_Toc14976"/>
      <w:r/>
      <w:r/>
    </w:p>
    <w:p>
      <w:pPr>
        <w:pStyle w:val="1023"/>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102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102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3"/>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38"/>
      <w:r/>
      <w:bookmarkStart w:id="28" w:name="OLE_LINK42"/>
      <w:r/>
      <w:bookmarkStart w:id="29" w:name="OLE_LINK41"/>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3"/>
        <w:ind w:left="0" w:firstLine="422"/>
        <w:spacing w:line="360" w:lineRule="auto"/>
        <w:rPr>
          <w:rFonts w:ascii="宋体" w:hAnsi="宋体"/>
          <w:b/>
          <w:sz w:val="21"/>
          <w:szCs w:val="21"/>
        </w:rPr>
      </w:pPr>
      <w:r/>
      <w:bookmarkStart w:id="31" w:name="OLE_LINK35"/>
      <w:r/>
      <w:bookmarkStart w:id="32" w:name="OLE_LINK32"/>
      <w:r/>
      <w:bookmarkStart w:id="33" w:name="OLE_LINK33"/>
      <w:r/>
      <w:bookmarkStart w:id="34" w:name="OLE_LINK22"/>
      <w:r>
        <w:rPr>
          <w:rFonts w:hint="eastAsia" w:ascii="宋体" w:hAnsi="宋体"/>
          <w:b/>
          <w:sz w:val="21"/>
          <w:szCs w:val="21"/>
        </w:rPr>
        <w:t xml:space="preserve">联系电话：0512-69826795</w:t>
      </w:r>
      <w:r/>
    </w:p>
    <w:p>
      <w:pPr>
        <w:pStyle w:val="102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1"/>
      <w:r/>
      <w:bookmarkEnd w:id="32"/>
      <w:r/>
      <w:bookmarkEnd w:id="33"/>
      <w:r/>
      <w:bookmarkEnd w:id="34"/>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102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5" w:name="_Toc25608"/>
      <w:r/>
      <w:bookmarkStart w:id="36"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2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7" w:name="_Toc29371"/>
      <w:r/>
      <w:bookmarkStart w:id="38"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7"/>
      <w:r/>
      <w:bookmarkEnd w:id="38"/>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ascii="宋体" w:hAnsi="宋体" w:cs="宋体"/>
          <w:b/>
          <w:sz w:val="21"/>
          <w:szCs w:val="21"/>
        </w:rPr>
      </w:pPr>
      <w:r/>
      <w:bookmarkStart w:id="3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0" w:name="OLE_LINK5"/>
      <w:r/>
      <w:bookmarkStart w:id="41" w:name="OLE_LINK6"/>
      <w:r>
        <w:rPr>
          <w:rFonts w:hint="eastAsia" w:ascii="宋体" w:hAnsi="宋体" w:cs="宋体"/>
          <w:b/>
          <w:sz w:val="21"/>
          <w:szCs w:val="21"/>
          <w:lang w:val="en-US"/>
        </w:rPr>
        <w:t xml:space="preserve">评标</w:t>
      </w:r>
      <w:bookmarkEnd w:id="40"/>
      <w:r/>
      <w:bookmarkEnd w:id="41"/>
      <w:r>
        <w:rPr>
          <w:rFonts w:hint="eastAsia" w:ascii="宋体" w:hAnsi="宋体" w:cs="宋体"/>
          <w:b/>
          <w:sz w:val="21"/>
          <w:szCs w:val="21"/>
          <w:lang w:val="en-US"/>
        </w:rPr>
        <w:t xml:space="preserve">委员会应当启动异常低价投标审查程序：</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9"/>
        <w:ind w:left="0" w:firstLine="422"/>
        <w:spacing w:line="360" w:lineRule="auto"/>
        <w:rPr>
          <w:shd w:val="clear" w:color="auto" w:fill="ffffff"/>
        </w:rPr>
      </w:pPr>
      <w:r/>
      <w:bookmarkStart w:id="42" w:name="OLE_LINK4"/>
      <w:r/>
      <w:bookmarkStart w:id="43"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4" w:name="OLE_LINK2"/>
      <w:r/>
      <w:bookmarkStart w:id="45" w:name="OLE_LINK1"/>
      <w:r>
        <w:rPr>
          <w:rFonts w:hint="eastAsia" w:ascii="宋体" w:hAnsi="宋体"/>
          <w:b/>
          <w:sz w:val="21"/>
          <w:szCs w:val="21"/>
        </w:rPr>
        <w:t xml:space="preserve">评标委员会</w:t>
      </w:r>
      <w:bookmarkEnd w:id="44"/>
      <w:r/>
      <w:bookmarkEnd w:id="45"/>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6" w:name="OLE_LINK9"/>
      <w:r/>
      <w:bookmarkStart w:id="47" w:name="OLE_LINK10"/>
      <w:r>
        <w:rPr>
          <w:rFonts w:hint="eastAsia" w:ascii="宋体" w:hAnsi="宋体"/>
          <w:b/>
          <w:sz w:val="21"/>
          <w:szCs w:val="21"/>
        </w:rPr>
        <w:t xml:space="preserve">，</w:t>
      </w:r>
      <w:bookmarkEnd w:id="46"/>
      <w:r/>
      <w:bookmarkEnd w:id="47"/>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2"/>
      <w:r/>
      <w:bookmarkEnd w:id="43"/>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8442"/>
      <w:r/>
      <w:bookmarkStart w:id="49" w:name="_Toc19501"/>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23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8186"/>
      <w:r/>
      <w:bookmarkStart w:id="51" w:name="_Toc21029"/>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9"/>
        <w:ind w:left="0" w:firstLine="0"/>
        <w:spacing w:line="360" w:lineRule="auto"/>
        <w:rPr>
          <w:rFonts w:ascii="宋体" w:hAnsi="宋体" w:cs="宋体"/>
          <w:sz w:val="21"/>
          <w:szCs w:val="21"/>
        </w:rPr>
      </w:pPr>
      <w:r>
        <w:rPr>
          <w:rFonts w:ascii="宋体" w:hAnsi="宋体" w:cs="宋体"/>
          <w:sz w:val="21"/>
          <w:szCs w:val="21"/>
        </w:rPr>
      </w:r>
      <w:r/>
    </w:p>
    <w:p>
      <w:pPr>
        <w:pStyle w:val="1005"/>
        <w:ind w:left="0" w:firstLine="0"/>
        <w:jc w:val="center"/>
        <w:rPr>
          <w:rFonts w:ascii="宋体" w:hAnsi="宋体"/>
          <w:sz w:val="21"/>
          <w:szCs w:val="21"/>
          <w:lang w:val="zh-CN"/>
        </w:rPr>
      </w:pPr>
      <w:r/>
      <w:bookmarkStart w:id="52" w:name="_Toc105397778"/>
      <w:r/>
      <w:bookmarkStart w:id="53" w:name="_Toc7264"/>
      <w:r/>
      <w:bookmarkStart w:id="54" w:name="_Toc24711"/>
      <w:r>
        <w:rPr>
          <w:rFonts w:hint="eastAsia" w:ascii="宋体" w:hAnsi="宋体"/>
          <w:b/>
          <w:sz w:val="44"/>
          <w:szCs w:val="22"/>
        </w:rPr>
        <w:br w:type="page" w:clear="all"/>
      </w:r>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23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71810480"/>
      <w:r/>
      <w:bookmarkStart w:id="57" w:name="_Toc105397779"/>
      <w:r/>
      <w:bookmarkStart w:id="58" w:name="_Toc3821"/>
      <w:r/>
      <w:bookmarkStart w:id="59" w:name="_Toc17036"/>
      <w:r>
        <w:rPr>
          <w:rFonts w:hint="eastAsia" w:ascii="宋体" w:hAnsi="宋体"/>
          <w:b/>
          <w:sz w:val="21"/>
          <w:szCs w:val="21"/>
        </w:rPr>
        <w:t xml:space="preserve">附件1.投标函</w:t>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1"/>
        <w:rPr>
          <w:rFonts w:ascii="宋体" w:hAnsi="宋体"/>
        </w:rPr>
      </w:pPr>
      <w:r>
        <w:rPr>
          <w:rFonts w:ascii="宋体" w:hAnsi="宋体"/>
        </w:rPr>
      </w:r>
      <w:r/>
    </w:p>
    <w:p>
      <w:pPr>
        <w:ind w:left="0"/>
        <w:spacing w:line="440" w:lineRule="exact"/>
        <w:rPr>
          <w:rFonts w:ascii="宋体" w:hAnsi="宋体"/>
          <w:b/>
          <w:sz w:val="21"/>
          <w:szCs w:val="21"/>
        </w:rPr>
      </w:pPr>
      <w:r/>
      <w:bookmarkStart w:id="71" w:name="_Toc241"/>
      <w:r/>
      <w:bookmarkStart w:id="72" w:name="_Toc7945"/>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05397781"/>
      <w:r>
        <w:rPr>
          <w:rFonts w:ascii="宋体" w:hAnsi="宋体"/>
          <w:b/>
          <w:sz w:val="21"/>
          <w:szCs w:val="21"/>
        </w:rPr>
        <w:t xml:space="preserve">附件3</w:t>
      </w:r>
      <w:bookmarkEnd w:id="71"/>
      <w:r/>
      <w:bookmarkEnd w:id="72"/>
      <w:r>
        <w:rPr>
          <w:rFonts w:hint="eastAsia" w:ascii="宋体" w:hAnsi="宋体"/>
          <w:b/>
          <w:sz w:val="21"/>
          <w:szCs w:val="21"/>
        </w:rPr>
        <w:t xml:space="preserve">.</w:t>
      </w:r>
      <w:bookmarkEnd w:id="73"/>
      <w:r/>
      <w:bookmarkEnd w:id="74"/>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5" w:name="OLE_LINK27"/>
      <w:r/>
      <w:bookmarkStart w:id="76" w:name="OLE_LINK28"/>
      <w:r>
        <w:rPr>
          <w:rFonts w:hint="eastAsia" w:ascii="宋体" w:hAnsi="宋体"/>
          <w:b/>
          <w:sz w:val="21"/>
          <w:szCs w:val="21"/>
        </w:rPr>
        <w:t xml:space="preserve">公开分项报价</w:t>
      </w:r>
      <w:bookmarkEnd w:id="75"/>
      <w:r/>
      <w:bookmarkEnd w:id="76"/>
      <w:r/>
      <w:r/>
    </w:p>
    <w:p>
      <w:pPr>
        <w:pStyle w:val="1031"/>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71810483"/>
      <w:r/>
      <w:bookmarkStart w:id="78"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9" w:name="_Toc71810484"/>
      <w:r/>
      <w:bookmarkStart w:id="80" w:name="_Toc105397783"/>
      <w:r/>
      <w:bookmarkStart w:id="81" w:name="_Toc21574"/>
      <w:r/>
      <w:bookmarkStart w:id="82"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苏州市公安局吴中分局木渎派出所升级改造执法办案中心（货物及设备）</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w:t>
      </w:r>
      <w:bookmarkStart w:id="84" w:name="OLE_LINK19"/>
      <w:r/>
      <w:bookmarkStart w:id="85" w:name="OLE_LINK18"/>
      <w:r>
        <w:rPr>
          <w:rFonts w:hint="eastAsia" w:ascii="宋体" w:hAnsi="宋体"/>
          <w:b/>
        </w:rPr>
        <w:t xml:space="preserve">工业</w:t>
      </w:r>
      <w:bookmarkEnd w:id="84"/>
      <w:r/>
      <w:bookmarkEnd w:id="85"/>
      <w:r>
        <w:rPr>
          <w:rFonts w:hint="eastAsia" w:ascii="宋体" w:hAnsi="宋体"/>
          <w:b/>
        </w:rPr>
        <w:t xml:space="preserve">。</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7" w:name="_Toc15378"/>
      <w:r/>
      <w:bookmarkStart w:id="88" w:name="_Toc32206"/>
      <w:r/>
      <w:bookmarkStart w:id="89"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7"/>
      <w:r/>
      <w:bookmarkEnd w:id="88"/>
      <w:r/>
      <w:bookmarkEnd w:id="8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6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0" w:name="OLE_LINK15"/>
      <w:r/>
      <w:bookmarkStart w:id="91"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2"/>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6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Style w:val="1069"/>
          <w:rFonts w:hint="eastAsia"/>
          <w:vertAlign w:val="superscript"/>
        </w:rPr>
        <w:t xml:space="preserve">1</w:t>
      </w:r>
      <w:r>
        <w:rPr>
          <w:rFonts w:hint="eastAsia"/>
        </w:rPr>
        <w:t xml:space="preserve">，生产厂为</w:t>
      </w:r>
      <w:r>
        <w:rPr>
          <w:rStyle w:val="1069"/>
          <w:rFonts w:hint="eastAsia"/>
          <w:u w:val="single"/>
        </w:rPr>
        <w:t xml:space="preserve">（厂名）</w:t>
      </w:r>
      <w:r>
        <w:rPr>
          <w:rStyle w:val="1069"/>
          <w:rFonts w:hint="eastAsia"/>
          <w:vertAlign w:val="superscript"/>
        </w:rPr>
        <w:t xml:space="preserve">2</w:t>
      </w:r>
      <w:r>
        <w:rPr>
          <w:rFonts w:hint="eastAsia"/>
        </w:rPr>
        <w:t xml:space="preserve">，厂址为</w:t>
      </w:r>
      <w:r>
        <w:rPr>
          <w:rStyle w:val="1069"/>
          <w:rFonts w:hint="eastAsia"/>
          <w:u w:val="single"/>
        </w:rPr>
        <w:t xml:space="preserve">（生产厂址）</w:t>
      </w:r>
      <w:r>
        <w:rPr>
          <w:rFonts w:hint="eastAsia"/>
        </w:rPr>
        <w:t xml:space="preserve">。</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Fonts w:hint="eastAsia"/>
        </w:rPr>
        <w:t xml:space="preserve">的中国境内生产的组件成本占比≥</w:t>
      </w:r>
      <w:r>
        <w:rPr>
          <w:rStyle w:val="1069"/>
          <w:rFonts w:hint="eastAsia"/>
          <w:u w:val="single"/>
        </w:rPr>
        <w:t xml:space="preserve">（规定比例）</w:t>
      </w:r>
      <w:r>
        <w:rPr>
          <w:rStyle w:val="1069"/>
          <w:rFonts w:hint="eastAsia"/>
          <w:vertAlign w:val="superscript"/>
        </w:rPr>
        <w:t xml:space="preserve">3</w:t>
      </w:r>
      <w:r>
        <w:rPr>
          <w:rFonts w:hint="eastAsia"/>
        </w:rPr>
        <w:t xml:space="preserve">。</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Fonts w:hint="eastAsia"/>
        </w:rPr>
        <w:t xml:space="preserve">的</w:t>
      </w:r>
      <w:r>
        <w:rPr>
          <w:rStyle w:val="1069"/>
          <w:rFonts w:hint="eastAsia"/>
          <w:u w:val="single"/>
        </w:rPr>
        <w:t xml:space="preserve">（关键组件）</w:t>
      </w:r>
      <w:r>
        <w:rPr>
          <w:rStyle w:val="1069"/>
          <w:rFonts w:hint="eastAsia"/>
          <w:vertAlign w:val="superscript"/>
        </w:rPr>
        <w:t xml:space="preserve">4</w:t>
      </w:r>
      <w:r>
        <w:rPr>
          <w:rFonts w:hint="eastAsia"/>
        </w:rPr>
        <w:t xml:space="preserve">在中国境内生产。</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Fonts w:hint="eastAsia"/>
        </w:rPr>
        <w:t xml:space="preserve">的</w:t>
      </w:r>
      <w:r>
        <w:rPr>
          <w:rStyle w:val="1069"/>
          <w:rFonts w:hint="eastAsia"/>
          <w:u w:val="single"/>
        </w:rPr>
        <w:t xml:space="preserve">（关键工序）</w:t>
      </w:r>
      <w:r>
        <w:rPr>
          <w:rStyle w:val="1069"/>
          <w:rFonts w:hint="eastAsia"/>
          <w:vertAlign w:val="superscript"/>
        </w:rPr>
        <w:t xml:space="preserve">5</w:t>
      </w:r>
      <w:r>
        <w:rPr>
          <w:rFonts w:hint="eastAsia"/>
        </w:rPr>
        <w:t xml:space="preserve">在中国境内完成。</w:t>
      </w:r>
      <w:r/>
    </w:p>
    <w:p>
      <w:pPr>
        <w:pStyle w:val="106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，生产厂为</w:t>
      </w:r>
      <w:r>
        <w:rPr>
          <w:rStyle w:val="1069"/>
          <w:rFonts w:hint="eastAsia"/>
          <w:u w:val="single"/>
        </w:rPr>
        <w:t xml:space="preserve">（厂名）</w:t>
      </w:r>
      <w:r>
        <w:rPr>
          <w:rFonts w:hint="eastAsia"/>
        </w:rPr>
        <w:t xml:space="preserve">，厂址为</w:t>
      </w:r>
      <w:r>
        <w:rPr>
          <w:rStyle w:val="1069"/>
          <w:rFonts w:hint="eastAsia"/>
          <w:u w:val="single"/>
        </w:rPr>
        <w:t xml:space="preserve">（生产厂址）</w:t>
      </w:r>
      <w:r>
        <w:rPr>
          <w:rFonts w:hint="eastAsia"/>
        </w:rPr>
        <w:t xml:space="preserve">。</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的中国境内生产的组件成本占比≥</w:t>
      </w:r>
      <w:r>
        <w:rPr>
          <w:rStyle w:val="1069"/>
          <w:rFonts w:hint="eastAsia"/>
          <w:u w:val="single"/>
        </w:rPr>
        <w:t xml:space="preserve">（规定比例）</w:t>
      </w:r>
      <w:r>
        <w:rPr>
          <w:rFonts w:hint="eastAsia"/>
        </w:rPr>
        <w:t xml:space="preserve">。</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的</w:t>
      </w:r>
      <w:r>
        <w:rPr>
          <w:rStyle w:val="1069"/>
          <w:rFonts w:hint="eastAsia"/>
          <w:u w:val="single"/>
        </w:rPr>
        <w:t xml:space="preserve">（关键组件）</w:t>
      </w:r>
      <w:r>
        <w:rPr>
          <w:rFonts w:hint="eastAsia"/>
        </w:rPr>
        <w:t xml:space="preserve">在中国境内生产。</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的</w:t>
      </w:r>
      <w:r>
        <w:rPr>
          <w:rStyle w:val="1069"/>
          <w:rFonts w:hint="eastAsia"/>
          <w:u w:val="single"/>
        </w:rPr>
        <w:t xml:space="preserve">（关键工序）</w:t>
      </w:r>
      <w:r>
        <w:rPr>
          <w:rFonts w:hint="eastAsia"/>
        </w:rPr>
        <w:t xml:space="preserve">在中国境内完成。</w:t>
      </w:r>
      <w:r/>
    </w:p>
    <w:p>
      <w:pPr>
        <w:pStyle w:val="1062"/>
        <w:ind w:firstLine="480"/>
        <w:spacing w:before="30" w:after="30"/>
        <w:shd w:val="clear" w:color="auto" w:fill="ffffff"/>
      </w:pPr>
      <w:r>
        <w:rPr>
          <w:rFonts w:hint="eastAsia"/>
        </w:rPr>
        <w:t xml:space="preserve">……</w:t>
      </w:r>
      <w:r/>
    </w:p>
    <w:p>
      <w:pPr>
        <w:pStyle w:val="1062"/>
        <w:ind w:firstLine="480"/>
        <w:spacing w:before="30" w:after="30"/>
        <w:shd w:val="clear" w:color="auto" w:fill="ffffff"/>
      </w:pPr>
      <w:r>
        <w:rPr>
          <w:rFonts w:hint="eastAsia"/>
        </w:rPr>
        <w:t xml:space="preserve">本公司（单位）对上述声明内容的真实性负责。如有虚假，愿承担相应法律责任。</w:t>
      </w:r>
      <w:r/>
    </w:p>
    <w:p>
      <w:pPr>
        <w:pStyle w:val="1062"/>
        <w:spacing w:before="30" w:after="30"/>
        <w:shd w:val="clear" w:color="auto" w:fill="ffffff"/>
      </w:pPr>
      <w:r/>
      <w:r/>
    </w:p>
    <w:p>
      <w:pPr>
        <w:pStyle w:val="1062"/>
        <w:ind w:right="815"/>
        <w:jc w:val="center"/>
        <w:spacing w:before="30" w:after="30"/>
        <w:shd w:val="clear" w:color="auto" w:fill="ffffff"/>
      </w:pPr>
      <w:r>
        <w:rPr>
          <w:rFonts w:hint="eastAsia"/>
        </w:rPr>
        <w:t xml:space="preserve">公司（单位）名称（盖章）：</w:t>
      </w:r>
      <w:r/>
    </w:p>
    <w:p>
      <w:pPr>
        <w:pStyle w:val="1062"/>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62"/>
        <w:jc w:val="right"/>
        <w:spacing w:before="0" w:after="0"/>
        <w:shd w:val="clear" w:color="auto" w:fill="ffffff"/>
      </w:pPr>
      <w:r/>
      <w:r/>
    </w:p>
    <w:p>
      <w:pPr>
        <w:pStyle w:val="1062"/>
        <w:jc w:val="right"/>
        <w:spacing w:before="0" w:after="0"/>
        <w:shd w:val="clear" w:color="auto" w:fill="ffffff"/>
      </w:pPr>
      <w:r/>
      <w:r/>
    </w:p>
    <w:p>
      <w:pPr>
        <w:pStyle w:val="1062"/>
        <w:jc w:val="right"/>
        <w:spacing w:before="0" w:after="0"/>
        <w:shd w:val="clear" w:color="auto" w:fill="ffffff"/>
      </w:pPr>
      <w:r/>
      <w:r/>
    </w:p>
    <w:p>
      <w:pPr>
        <w:pStyle w:val="1062"/>
        <w:jc w:val="right"/>
        <w:spacing w:before="0" w:after="0"/>
        <w:shd w:val="clear" w:color="auto" w:fill="ffffff"/>
      </w:pPr>
      <w:r/>
      <w:r/>
    </w:p>
    <w:p>
      <w:pPr>
        <w:pStyle w:val="1062"/>
        <w:ind w:left="0" w:firstLine="0"/>
        <w:spacing w:before="30" w:after="30"/>
        <w:shd w:val="clear" w:color="auto" w:fill="ffffff"/>
      </w:pPr>
      <w:r>
        <w:rPr>
          <w:rFonts w:hint="eastAsia"/>
        </w:rPr>
        <w:t xml:space="preserve">__________________</w:t>
      </w:r>
      <w:r/>
    </w:p>
    <w:p>
      <w:pPr>
        <w:pStyle w:val="1062"/>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62"/>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62"/>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62"/>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62"/>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62"/>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0"/>
      <w:r/>
      <w:bookmarkEnd w:id="91"/>
      <w:r/>
      <w:r/>
    </w:p>
    <w:p>
      <w:pPr>
        <w:ind w:left="0"/>
        <w:jc w:val="left"/>
        <w:rPr>
          <w:rFonts w:ascii="宋体" w:hAnsi="宋体"/>
          <w:sz w:val="21"/>
          <w:szCs w:val="21"/>
        </w:rPr>
        <w:outlineLvl w:val="0"/>
      </w:pPr>
      <w:r>
        <w:rPr>
          <w:rFonts w:ascii="宋体" w:hAnsi="宋体"/>
          <w:sz w:val="21"/>
          <w:szCs w:val="21"/>
          <w:lang w:val="zh-CN"/>
        </w:rPr>
        <w:br w:type="page" w:clear="all"/>
      </w:r>
      <w:bookmarkStart w:id="92" w:name="_Toc27138"/>
      <w:r/>
      <w:bookmarkStart w:id="93" w:name="_Toc31973"/>
      <w:r/>
      <w:r/>
    </w:p>
    <w:p>
      <w:pPr>
        <w:ind w:left="0"/>
        <w:jc w:val="left"/>
        <w:rPr>
          <w:rFonts w:ascii="宋体" w:hAnsi="宋体"/>
          <w:b/>
          <w:sz w:val="21"/>
          <w:szCs w:val="21"/>
        </w:rPr>
        <w:outlineLvl w:val="0"/>
      </w:pPr>
      <w:r/>
      <w:bookmarkStart w:id="94" w:name="_Toc105397786"/>
      <w:r>
        <w:rPr>
          <w:rFonts w:ascii="宋体" w:hAnsi="宋体"/>
          <w:b/>
          <w:sz w:val="21"/>
          <w:szCs w:val="21"/>
        </w:rPr>
        <w:t xml:space="preserve">附件8</w:t>
      </w:r>
      <w:r>
        <w:rPr>
          <w:rFonts w:hint="eastAsia" w:ascii="宋体" w:hAnsi="宋体"/>
          <w:b/>
          <w:sz w:val="21"/>
          <w:szCs w:val="21"/>
        </w:rPr>
        <w:t xml:space="preserve">.</w:t>
      </w:r>
      <w:bookmarkEnd w:id="94"/>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5"/>
      <w:r/>
      <w:bookmarkEnd w:id="9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r/>
      <w:r/>
    </w:p>
    <w:p>
      <w:pPr>
        <w:pStyle w:val="1017"/>
      </w:pPr>
      <w:r/>
      <w:r/>
    </w:p>
    <w:p>
      <w:r/>
      <w:r/>
    </w:p>
    <w:p>
      <w:pPr>
        <w:pStyle w:val="1017"/>
      </w:pPr>
      <w:r/>
      <w:r/>
    </w:p>
    <w:p>
      <w:r/>
      <w:r/>
    </w:p>
    <w:p>
      <w:pPr>
        <w:pStyle w:val="1017"/>
      </w:pPr>
      <w:r/>
      <w:r/>
    </w:p>
    <w:p>
      <w:pPr>
        <w:pStyle w:val="1017"/>
      </w:pPr>
      <w:r/>
      <w:r/>
    </w:p>
    <w:p>
      <w:pPr>
        <w:pStyle w:val="102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7" w:name="_Toc71810490"/>
      <w:r/>
      <w:bookmarkEnd w:id="92"/>
      <w:r/>
      <w:bookmarkEnd w:id="93"/>
      <w:r>
        <w:rPr>
          <w:rFonts w:ascii="宋体" w:hAnsi="宋体"/>
        </w:rPr>
        <w:t xml:space="preserve"> </w:t>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7"/>
      <w:r/>
      <w:bookmarkEnd w:id="9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9" w:name="OLE_LINK7"/>
      <w:r/>
      <w:bookmarkStart w:id="100" w:name="OLE_LINK8"/>
      <w:r>
        <w:rPr>
          <w:rFonts w:hint="eastAsia" w:ascii="宋体" w:hAnsi="宋体"/>
          <w:b/>
          <w:sz w:val="21"/>
          <w:szCs w:val="21"/>
          <w:lang w:val="zh-CN"/>
        </w:rPr>
        <w:t xml:space="preserve">备注：根据招标文件第二章“投标人须知”第26.4</w:t>
      </w:r>
      <w:bookmarkStart w:id="10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9"/>
      <w:r/>
      <w:bookmarkEnd w:id="100"/>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7"/>
        <w:rPr>
          <w:lang w:val="zh-CN"/>
        </w:rPr>
      </w:pPr>
      <w:r>
        <w:rPr>
          <w:lang w:val="zh-CN"/>
        </w:rPr>
      </w:r>
      <w:r/>
    </w:p>
    <w:p>
      <w:pPr>
        <w:rPr>
          <w:lang w:val="zh-CN"/>
        </w:rPr>
      </w:pPr>
      <w:r>
        <w:rPr>
          <w:lang w:val="zh-CN"/>
        </w:rPr>
      </w:r>
      <w:r/>
    </w:p>
    <w:p>
      <w:pPr>
        <w:pStyle w:val="1005"/>
        <w:ind w:left="0" w:firstLine="0"/>
        <w:jc w:val="center"/>
        <w:rPr>
          <w:rFonts w:ascii="宋体" w:hAnsi="宋体"/>
          <w:b/>
          <w:sz w:val="44"/>
          <w:szCs w:val="22"/>
        </w:rPr>
      </w:pPr>
      <w:r/>
      <w:bookmarkStart w:id="102" w:name="_Toc4098"/>
      <w:r/>
      <w:bookmarkStart w:id="103" w:name="_Toc23660"/>
      <w:r/>
      <w:bookmarkStart w:id="104" w:name="_Toc105397793"/>
      <w:r>
        <w:rPr>
          <w:rFonts w:hint="eastAsia" w:ascii="宋体" w:hAnsi="宋体"/>
          <w:b/>
          <w:sz w:val="44"/>
          <w:szCs w:val="22"/>
        </w:rPr>
        <w:t xml:space="preserve">第四章  </w:t>
      </w:r>
      <w:bookmarkStart w:id="105" w:name="招标书"/>
      <w:r/>
      <w:bookmarkEnd w:id="105"/>
      <w:r>
        <w:rPr>
          <w:rFonts w:hint="eastAsia" w:ascii="宋体" w:hAnsi="宋体"/>
          <w:b/>
          <w:sz w:val="44"/>
          <w:szCs w:val="22"/>
        </w:rPr>
        <w:t xml:space="preserve">招标书</w:t>
      </w:r>
      <w:bookmarkEnd w:id="102"/>
      <w:r/>
      <w:bookmarkEnd w:id="103"/>
      <w:r/>
      <w:bookmarkEnd w:id="10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苏州市公安局</w:t>
      </w:r>
      <w:r>
        <w:rPr>
          <w:rFonts w:ascii="宋体" w:hAnsi="宋体"/>
          <w:sz w:val="21"/>
        </w:rPr>
        <w:t xml:space="preserve">的委托，就</w:t>
      </w:r>
      <w:r>
        <w:rPr>
          <w:rFonts w:hint="eastAsia" w:ascii="宋体" w:hAnsi="宋体"/>
          <w:sz w:val="21"/>
          <w:u w:val="single"/>
        </w:rPr>
        <w:t xml:space="preserve">苏州市公安局吴中分局木渎派出所升级改造执法办案中心（货物及设备）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一、项目编号：苏州市公安局</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二、项目名称：苏州市公安局吴中分局木渎派出所升级改造执法办案中心（货物及设备）</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三、预算金额：人民币壹佰零肆万玖仟伍佰陆拾伍元肆角叁分（¥1049565.43）</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四、最高限价：人民币壹佰零肆万玖仟伍佰陆拾伍元肆角叁分（¥1049565.43）</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五、合同履行期限：项目交付时间：合同签订后4个月内。本项目免费质量保证期要求不低于3 年。免费质量保证期从货物供货、安装、调试正常且经采购使用部门确认验收合格之日起算。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spacing w:line="720" w:lineRule="auto"/>
        <w:widowControl w:val="off"/>
        <w:rPr>
          <w:rFonts w:ascii="宋体" w:hAnsi="宋体" w:cs="Times New Roman"/>
          <w:sz w:val="21"/>
          <w:szCs w:val="21"/>
        </w:rPr>
      </w:pPr>
      <w:r>
        <w:rPr>
          <w:rFonts w:ascii="宋体" w:hAnsi="宋体" w:cs="Times New Roman"/>
          <w:sz w:val="21"/>
          <w:szCs w:val="21"/>
        </w:rPr>
        <w:t xml:space="preserve">（一）采购标的清单</w:t>
      </w:r>
      <w:r/>
    </w:p>
    <w:tbl>
      <w:tblPr>
        <w:tblW w:w="9260" w:type="dxa"/>
        <w:tblInd w:w="91" w:type="dxa"/>
        <w:tblLook w:val="04A0" w:firstRow="1" w:lastRow="0" w:firstColumn="1" w:lastColumn="0" w:noHBand="0" w:noVBand="1"/>
      </w:tblPr>
      <w:tblGrid>
        <w:gridCol w:w="645"/>
        <w:gridCol w:w="1561"/>
        <w:gridCol w:w="4327"/>
        <w:gridCol w:w="757"/>
        <w:gridCol w:w="819"/>
        <w:gridCol w:w="1151"/>
      </w:tblGrid>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jc w:val="center"/>
              <w:rPr>
                <w:rFonts w:ascii="宋体" w:hAnsi="宋体"/>
                <w:b/>
                <w:bCs/>
                <w:sz w:val="21"/>
                <w:szCs w:val="21"/>
                <w:lang w:bidi="ar"/>
              </w:rPr>
            </w:pPr>
            <w:r>
              <w:rPr>
                <w:rFonts w:hint="eastAsia" w:ascii="宋体" w:hAnsi="宋体"/>
                <w:b/>
                <w:bCs/>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b/>
                <w:bCs/>
                <w:sz w:val="21"/>
                <w:szCs w:val="21"/>
                <w:lang w:bidi="ar"/>
              </w:rPr>
            </w:pPr>
            <w:r>
              <w:rPr>
                <w:rFonts w:hint="eastAsia" w:ascii="宋体" w:hAnsi="宋体"/>
                <w:b/>
                <w:bCs/>
                <w:sz w:val="21"/>
                <w:szCs w:val="21"/>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327" w:type="dxa"/>
            <w:vAlign w:val="center"/>
            <w:textDirection w:val="lrTb"/>
            <w:noWrap w:val="false"/>
          </w:tcPr>
          <w:p>
            <w:pPr>
              <w:ind w:left="0"/>
              <w:jc w:val="center"/>
              <w:rPr>
                <w:rFonts w:ascii="宋体" w:hAnsi="宋体"/>
                <w:b/>
                <w:bCs/>
                <w:sz w:val="21"/>
                <w:szCs w:val="21"/>
                <w:lang w:bidi="ar"/>
              </w:rPr>
            </w:pPr>
            <w:r>
              <w:rPr>
                <w:rFonts w:hint="eastAsia" w:ascii="宋体" w:hAnsi="宋体"/>
                <w:b/>
                <w:bCs/>
                <w:sz w:val="21"/>
                <w:szCs w:val="21"/>
                <w:lang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b/>
                <w:bCs/>
                <w:sz w:val="21"/>
                <w:szCs w:val="21"/>
                <w:lang w:bidi="ar"/>
              </w:rPr>
            </w:pPr>
            <w:r>
              <w:rPr>
                <w:rFonts w:hint="eastAsia" w:ascii="宋体" w:hAnsi="宋体"/>
                <w:b/>
                <w:bCs/>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b/>
                <w:bCs/>
                <w:sz w:val="21"/>
                <w:szCs w:val="21"/>
                <w:lang w:bidi="ar"/>
              </w:rPr>
            </w:pPr>
            <w:r>
              <w:rPr>
                <w:rFonts w:hint="eastAsia" w:ascii="宋体" w:hAnsi="宋体"/>
                <w:b/>
                <w:bCs/>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b/>
                <w:bCs/>
                <w:sz w:val="21"/>
                <w:szCs w:val="21"/>
                <w:lang w:bidi="ar"/>
              </w:rPr>
            </w:pPr>
            <w:r>
              <w:rPr>
                <w:rFonts w:hint="eastAsia" w:ascii="宋体" w:hAnsi="宋体"/>
                <w:b/>
                <w:bCs/>
                <w:sz w:val="21"/>
                <w:szCs w:val="21"/>
                <w:lang w:bidi="ar"/>
              </w:rPr>
              <w:t xml:space="preserve">单价最高限价（单位：元）</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高清半球网络摄像机</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1、规格：像素与分辨率：≥200万像素，最高分辨率1920×1080（1080P），支持25fps实时输出。</w:t>
            </w:r>
            <w:r/>
          </w:p>
          <w:p>
            <w:pPr>
              <w:ind w:left="0"/>
              <w:rPr>
                <w:rFonts w:ascii="宋体" w:hAnsi="宋体"/>
                <w:sz w:val="21"/>
                <w:szCs w:val="21"/>
                <w:lang w:bidi="ar"/>
              </w:rPr>
            </w:pPr>
            <w:r>
              <w:rPr>
                <w:rFonts w:hint="eastAsia" w:ascii="宋体" w:hAnsi="宋体"/>
                <w:sz w:val="21"/>
                <w:szCs w:val="21"/>
                <w:lang w:bidi="ar"/>
              </w:rPr>
              <w:t xml:space="preserve">传感器类型：1/2.7"或1/2.8"CMOS逐行扫描传感器。</w:t>
            </w:r>
            <w:r/>
          </w:p>
          <w:p>
            <w:pPr>
              <w:ind w:left="0"/>
              <w:rPr>
                <w:rFonts w:ascii="宋体" w:hAnsi="宋体"/>
                <w:sz w:val="21"/>
                <w:szCs w:val="21"/>
                <w:lang w:bidi="ar"/>
              </w:rPr>
            </w:pPr>
            <w:r>
              <w:rPr>
                <w:rFonts w:hint="eastAsia" w:ascii="宋体" w:hAnsi="宋体"/>
                <w:sz w:val="21"/>
                <w:szCs w:val="21"/>
                <w:lang w:bidi="ar"/>
              </w:rPr>
              <w:t xml:space="preserve">▲</w:t>
            </w:r>
            <w:r>
              <w:rPr>
                <w:rFonts w:hint="eastAsia" w:ascii="宋体" w:hAnsi="宋体"/>
                <w:b/>
                <w:bCs/>
                <w:sz w:val="21"/>
                <w:szCs w:val="21"/>
                <w:lang w:bidi="ar"/>
              </w:rPr>
              <w:t xml:space="preserve">镜头规格：2.7~13.5mm电动变焦镜头。最低照度：彩色≤0.005Lux。</w:t>
            </w:r>
            <w:r/>
          </w:p>
          <w:p>
            <w:pPr>
              <w:ind w:left="0"/>
              <w:rPr>
                <w:rFonts w:ascii="宋体" w:hAnsi="宋体"/>
                <w:sz w:val="21"/>
                <w:szCs w:val="21"/>
                <w:lang w:bidi="ar"/>
              </w:rPr>
            </w:pPr>
            <w:r>
              <w:rPr>
                <w:rFonts w:hint="eastAsia" w:ascii="宋体" w:hAnsi="宋体"/>
                <w:sz w:val="21"/>
                <w:szCs w:val="21"/>
                <w:lang w:bidi="ar"/>
              </w:rPr>
              <w:t xml:space="preserve">图像增强能力：支持120dB宽动态、背光补偿、强光抑制、3D降噪功能。</w:t>
            </w:r>
            <w:r/>
          </w:p>
          <w:p>
            <w:pPr>
              <w:ind w:left="0"/>
              <w:rPr>
                <w:rFonts w:ascii="宋体" w:hAnsi="宋体"/>
                <w:sz w:val="21"/>
                <w:szCs w:val="21"/>
                <w:lang w:bidi="ar"/>
              </w:rPr>
            </w:pPr>
            <w:r>
              <w:rPr>
                <w:rFonts w:hint="eastAsia" w:ascii="宋体" w:hAnsi="宋体"/>
                <w:sz w:val="21"/>
                <w:szCs w:val="21"/>
                <w:lang w:bidi="ar"/>
              </w:rPr>
              <w:t xml:space="preserve">补光与夜视：采用850nm红外补光灯，支持防补光过曝功能，补光距离最远不低于30m。</w:t>
            </w:r>
            <w:r/>
          </w:p>
          <w:p>
            <w:pPr>
              <w:ind w:left="0"/>
              <w:rPr>
                <w:rFonts w:ascii="宋体" w:hAnsi="宋体"/>
                <w:sz w:val="21"/>
                <w:szCs w:val="21"/>
                <w:lang w:bidi="ar"/>
              </w:rPr>
            </w:pPr>
            <w:r>
              <w:rPr>
                <w:rFonts w:hint="eastAsia" w:ascii="宋体" w:hAnsi="宋体"/>
                <w:sz w:val="21"/>
                <w:szCs w:val="21"/>
                <w:lang w:bidi="ar"/>
              </w:rPr>
              <w:t xml:space="preserve">视频编码标准：主码流支持H.265/H.264编码。</w:t>
            </w:r>
            <w:r/>
          </w:p>
          <w:p>
            <w:pPr>
              <w:ind w:left="0"/>
              <w:rPr>
                <w:rFonts w:ascii="宋体" w:hAnsi="宋体"/>
                <w:sz w:val="21"/>
                <w:szCs w:val="21"/>
                <w:lang w:bidi="ar"/>
              </w:rPr>
            </w:pPr>
            <w:r>
              <w:rPr>
                <w:rFonts w:hint="eastAsia" w:ascii="宋体" w:hAnsi="宋体"/>
                <w:sz w:val="21"/>
                <w:szCs w:val="21"/>
                <w:lang w:bidi="ar"/>
              </w:rPr>
              <w:t xml:space="preserve">▲</w:t>
            </w:r>
            <w:r>
              <w:rPr>
                <w:rFonts w:hint="eastAsia" w:ascii="宋体" w:hAnsi="宋体"/>
                <w:b/>
                <w:bCs/>
                <w:sz w:val="21"/>
                <w:szCs w:val="21"/>
                <w:lang w:bidi="ar"/>
              </w:rPr>
              <w:t xml:space="preserve">智能识别功能：支持人车分类识别、越界识别、区域入侵识别。</w:t>
            </w:r>
            <w:r/>
          </w:p>
          <w:p>
            <w:pPr>
              <w:ind w:left="0"/>
              <w:rPr>
                <w:rFonts w:ascii="宋体" w:hAnsi="宋体"/>
                <w:sz w:val="21"/>
                <w:szCs w:val="21"/>
                <w:lang w:bidi="ar"/>
              </w:rPr>
            </w:pPr>
            <w:r>
              <w:rPr>
                <w:rFonts w:hint="eastAsia" w:ascii="宋体" w:hAnsi="宋体"/>
                <w:sz w:val="21"/>
                <w:szCs w:val="21"/>
                <w:lang w:bidi="ar"/>
              </w:rPr>
              <w:t xml:space="preserve">2、报警接口配置：配备1路报警输入、1路报警输出接口。音频接口：提供1路音频输入（Linein）、1路音频输（Lineout）接口。</w:t>
            </w:r>
            <w:r>
              <w:rPr>
                <w:rFonts w:hint="eastAsia" w:ascii="MS Gothic" w:hAnsi="MS Gothic" w:eastAsia="MS Gothic" w:cs="MS Gothic"/>
                <w:sz w:val="21"/>
                <w:szCs w:val="21"/>
                <w:lang w:bidi="ar"/>
              </w:rPr>
              <w:t xml:space="preserve">​</w:t>
            </w:r>
            <w:r>
              <w:rPr>
                <w:rFonts w:hint="eastAsia" w:ascii="宋体" w:hAnsi="宋体"/>
                <w:sz w:val="21"/>
                <w:szCs w:val="21"/>
                <w:lang w:bidi="ar"/>
              </w:rPr>
              <w:t xml:space="preserve">网络接口：配备1个RJ4510M/100M自适应以太网口。</w:t>
            </w:r>
            <w:r/>
          </w:p>
          <w:p>
            <w:pPr>
              <w:ind w:left="0"/>
              <w:rPr>
                <w:rFonts w:ascii="宋体" w:hAnsi="宋体"/>
                <w:sz w:val="21"/>
                <w:szCs w:val="21"/>
                <w:lang w:bidi="ar"/>
              </w:rPr>
            </w:pPr>
            <w:r>
              <w:rPr>
                <w:rFonts w:hint="eastAsia" w:ascii="宋体" w:hAnsi="宋体"/>
                <w:sz w:val="21"/>
                <w:szCs w:val="21"/>
                <w:lang w:bidi="ar"/>
              </w:rPr>
              <w:t xml:space="preserve">3、供电方式：支持DC12V供电（防反接）与PoE供电。</w:t>
            </w:r>
            <w:r>
              <w:rPr>
                <w:rFonts w:hint="eastAsia" w:ascii="MS Gothic" w:hAnsi="MS Gothic" w:eastAsia="MS Gothic" w:cs="MS Gothic"/>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4、环境防护：防尘防水等级不低于IP66，防暴等级不低于IK10。</w:t>
            </w:r>
            <w:r/>
          </w:p>
          <w:p>
            <w:pPr>
              <w:ind w:left="0"/>
              <w:rPr>
                <w:rFonts w:ascii="宋体" w:hAnsi="宋体"/>
                <w:sz w:val="21"/>
                <w:szCs w:val="21"/>
                <w:lang w:bidi="ar"/>
              </w:rPr>
            </w:pPr>
            <w:r>
              <w:rPr>
                <w:rFonts w:hint="eastAsia" w:ascii="宋体" w:hAnsi="宋体"/>
                <w:sz w:val="21"/>
                <w:szCs w:val="21"/>
                <w:lang w:bidi="ar"/>
              </w:rPr>
              <w:t xml:space="preserve">5、安全合规性：符合《公共安全视频监控联网信息安全技术要求》GB35114A级标准。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754.43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高清特写半球网络摄像机</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1、规格：像素与分辨率：≥200万像素，最高分辨率1920×1080（1080P），支持25fps实时输出。</w:t>
            </w:r>
            <w:r/>
          </w:p>
          <w:p>
            <w:pPr>
              <w:ind w:left="0"/>
              <w:rPr>
                <w:rFonts w:ascii="宋体" w:hAnsi="宋体"/>
                <w:sz w:val="21"/>
                <w:szCs w:val="21"/>
                <w:lang w:bidi="ar"/>
              </w:rPr>
            </w:pPr>
            <w:r>
              <w:rPr>
                <w:rFonts w:hint="eastAsia" w:ascii="宋体" w:hAnsi="宋体"/>
                <w:sz w:val="21"/>
                <w:szCs w:val="21"/>
                <w:lang w:bidi="ar"/>
              </w:rPr>
              <w:t xml:space="preserve">传感器类型：1/2.7"或1/2.8"CMOS传感器；ICR红外滤片日夜切换（自动/彩色/黑白模式）。</w:t>
            </w:r>
            <w:r/>
          </w:p>
          <w:p>
            <w:pPr>
              <w:ind w:left="0"/>
              <w:rPr>
                <w:rFonts w:ascii="宋体" w:hAnsi="宋体"/>
                <w:b/>
                <w:bCs/>
                <w:sz w:val="21"/>
                <w:szCs w:val="21"/>
                <w:lang w:bidi="ar"/>
              </w:rPr>
            </w:pPr>
            <w:r>
              <w:rPr>
                <w:rFonts w:hint="eastAsia" w:ascii="宋体" w:hAnsi="宋体"/>
                <w:b/>
                <w:bCs/>
                <w:sz w:val="21"/>
                <w:szCs w:val="21"/>
                <w:lang w:bidi="ar"/>
              </w:rPr>
              <w:t xml:space="preserve">▲镜头规格：2.7~13.5mm电动变焦镜头。</w:t>
            </w:r>
            <w:r/>
          </w:p>
          <w:p>
            <w:pPr>
              <w:ind w:left="0"/>
              <w:rPr>
                <w:rFonts w:ascii="宋体" w:hAnsi="宋体"/>
                <w:sz w:val="21"/>
                <w:szCs w:val="21"/>
                <w:lang w:bidi="ar"/>
              </w:rPr>
            </w:pPr>
            <w:r>
              <w:rPr>
                <w:rFonts w:hint="eastAsia" w:ascii="宋体" w:hAnsi="宋体"/>
                <w:sz w:val="21"/>
                <w:szCs w:val="21"/>
                <w:lang w:bidi="ar"/>
              </w:rPr>
              <w:t xml:space="preserve">最低照度：彩色≤0.005Lux，黑白≤0.0002Lux。</w:t>
            </w:r>
            <w:r/>
          </w:p>
          <w:p>
            <w:pPr>
              <w:ind w:left="0"/>
              <w:rPr>
                <w:rFonts w:ascii="宋体" w:hAnsi="宋体"/>
                <w:sz w:val="21"/>
                <w:szCs w:val="21"/>
                <w:lang w:bidi="ar"/>
              </w:rPr>
            </w:pPr>
            <w:r>
              <w:rPr>
                <w:rFonts w:hint="eastAsia" w:ascii="宋体" w:hAnsi="宋体"/>
                <w:sz w:val="21"/>
                <w:szCs w:val="21"/>
                <w:lang w:bidi="ar"/>
              </w:rPr>
              <w:t xml:space="preserve">图像增强能力：支持120dB超宽动态。</w:t>
            </w:r>
            <w:r/>
          </w:p>
          <w:p>
            <w:pPr>
              <w:ind w:left="0"/>
              <w:rPr>
                <w:rFonts w:ascii="宋体" w:hAnsi="宋体"/>
                <w:sz w:val="21"/>
                <w:szCs w:val="21"/>
                <w:lang w:bidi="ar"/>
              </w:rPr>
            </w:pPr>
            <w:r>
              <w:rPr>
                <w:rFonts w:hint="eastAsia" w:ascii="宋体" w:hAnsi="宋体"/>
                <w:sz w:val="21"/>
                <w:szCs w:val="21"/>
                <w:lang w:bidi="ar"/>
              </w:rPr>
              <w:t xml:space="preserve">补光与夜视：采用850nm红外补光灯，补光距离最远不低于30m。</w:t>
            </w:r>
            <w:r/>
          </w:p>
          <w:p>
            <w:pPr>
              <w:ind w:left="0"/>
              <w:rPr>
                <w:rFonts w:ascii="宋体" w:hAnsi="宋体"/>
                <w:sz w:val="21"/>
                <w:szCs w:val="21"/>
                <w:lang w:bidi="ar"/>
              </w:rPr>
            </w:pPr>
            <w:r>
              <w:rPr>
                <w:rFonts w:hint="eastAsia" w:ascii="宋体" w:hAnsi="宋体"/>
                <w:sz w:val="21"/>
                <w:szCs w:val="21"/>
                <w:lang w:bidi="ar"/>
              </w:rPr>
              <w:t xml:space="preserve">视频编码标准：支持H.265/H.264编码。</w:t>
            </w:r>
            <w:r/>
          </w:p>
          <w:p>
            <w:pPr>
              <w:ind w:left="0"/>
              <w:rPr>
                <w:rFonts w:ascii="宋体" w:hAnsi="宋体"/>
                <w:b/>
                <w:bCs/>
                <w:sz w:val="21"/>
                <w:szCs w:val="21"/>
                <w:lang w:bidi="ar"/>
              </w:rPr>
            </w:pPr>
            <w:r>
              <w:rPr>
                <w:rFonts w:hint="eastAsia" w:ascii="宋体" w:hAnsi="宋体"/>
                <w:sz w:val="21"/>
                <w:szCs w:val="21"/>
                <w:lang w:bidi="ar"/>
              </w:rPr>
              <w:t xml:space="preserve">▲</w:t>
            </w:r>
            <w:r>
              <w:rPr>
                <w:rFonts w:hint="eastAsia" w:ascii="宋体" w:hAnsi="宋体"/>
                <w:b/>
                <w:bCs/>
                <w:sz w:val="21"/>
                <w:szCs w:val="21"/>
                <w:lang w:bidi="ar"/>
              </w:rPr>
              <w:t xml:space="preserve">温湿度核心功能：1路RS-485接口支持外接温湿度传感器；支持OSD叠加温湿度数据；可设置温湿度上下限阈值及超阈值事件上报间隔；超阈值告警可联动I/O输出至报警音柱实现语音播报。</w:t>
            </w:r>
            <w:r/>
          </w:p>
          <w:p>
            <w:pPr>
              <w:ind w:left="0"/>
              <w:rPr>
                <w:rFonts w:ascii="宋体" w:hAnsi="宋体"/>
                <w:sz w:val="21"/>
                <w:szCs w:val="21"/>
                <w:lang w:bidi="ar"/>
              </w:rPr>
            </w:pPr>
            <w:r>
              <w:rPr>
                <w:rFonts w:hint="eastAsia" w:ascii="宋体" w:hAnsi="宋体"/>
                <w:sz w:val="21"/>
                <w:szCs w:val="21"/>
                <w:lang w:bidi="ar"/>
              </w:rPr>
              <w:t xml:space="preserve">音频配置：提供1路音频输入（Linein）、1路音频输出（Lineout），内置麦克风+扬声器。</w:t>
            </w:r>
            <w:r/>
          </w:p>
          <w:p>
            <w:pPr>
              <w:ind w:left="0"/>
              <w:rPr>
                <w:rFonts w:ascii="宋体" w:hAnsi="宋体"/>
                <w:sz w:val="21"/>
                <w:szCs w:val="21"/>
                <w:lang w:bidi="ar"/>
              </w:rPr>
            </w:pPr>
            <w:r>
              <w:rPr>
                <w:rFonts w:hint="eastAsia" w:ascii="宋体" w:hAnsi="宋体"/>
                <w:sz w:val="21"/>
                <w:szCs w:val="21"/>
                <w:lang w:bidi="ar"/>
              </w:rPr>
              <w:t xml:space="preserve">2、网络接口：配备1个RJ4510M/100M自适应以太网口。接口与扩展：含1路报警输入、1路报警输出，1路RS485接口。</w:t>
            </w:r>
            <w:r/>
          </w:p>
          <w:p>
            <w:pPr>
              <w:ind w:left="0"/>
              <w:rPr>
                <w:rFonts w:ascii="宋体" w:hAnsi="宋体"/>
                <w:sz w:val="21"/>
                <w:szCs w:val="21"/>
                <w:lang w:bidi="ar"/>
              </w:rPr>
            </w:pPr>
            <w:r>
              <w:rPr>
                <w:rFonts w:hint="eastAsia" w:ascii="宋体" w:hAnsi="宋体"/>
                <w:sz w:val="21"/>
                <w:szCs w:val="21"/>
                <w:lang w:bidi="ar"/>
              </w:rPr>
              <w:t xml:space="preserve">3、供电方式：支持DC12V供电（防反接）与PoE供电。</w:t>
            </w:r>
            <w:r/>
          </w:p>
          <w:p>
            <w:pPr>
              <w:ind w:left="0"/>
              <w:rPr>
                <w:rFonts w:ascii="宋体" w:hAnsi="宋体"/>
                <w:sz w:val="21"/>
                <w:szCs w:val="21"/>
                <w:lang w:bidi="ar"/>
              </w:rPr>
            </w:pPr>
            <w:r>
              <w:rPr>
                <w:rFonts w:hint="eastAsia" w:ascii="宋体" w:hAnsi="宋体"/>
                <w:sz w:val="21"/>
                <w:szCs w:val="21"/>
                <w:lang w:bidi="ar"/>
              </w:rPr>
              <w:t xml:space="preserve">4、环境防护：防尘防水等级不低于IP66，防暴等级不低于IK10。</w:t>
            </w:r>
            <w:r/>
          </w:p>
          <w:p>
            <w:pPr>
              <w:ind w:left="0"/>
              <w:rPr>
                <w:rFonts w:ascii="宋体" w:hAnsi="宋体"/>
                <w:sz w:val="21"/>
                <w:szCs w:val="21"/>
                <w:lang w:bidi="ar"/>
              </w:rPr>
            </w:pPr>
            <w:r>
              <w:rPr>
                <w:rFonts w:hint="eastAsia" w:ascii="宋体" w:hAnsi="宋体"/>
                <w:sz w:val="21"/>
                <w:szCs w:val="21"/>
                <w:lang w:bidi="ar"/>
              </w:rPr>
              <w:t xml:space="preserve">5、安全合规性：符合《公共安全视频监控联网信息安全技术要求》GB35114A级标准。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831.02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高清半球网络摄像机（抓拍）</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1、规格：像素与分辨率：≥400万像素，最高分辨率2560×1440（2K），该分辨率下支持60fps实时输出。</w:t>
            </w:r>
            <w:r/>
          </w:p>
          <w:p>
            <w:pPr>
              <w:ind w:left="0"/>
              <w:rPr>
                <w:rFonts w:ascii="宋体" w:hAnsi="宋体"/>
                <w:sz w:val="21"/>
                <w:szCs w:val="21"/>
                <w:lang w:bidi="ar"/>
              </w:rPr>
            </w:pPr>
            <w:r>
              <w:rPr>
                <w:rFonts w:hint="eastAsia" w:ascii="宋体" w:hAnsi="宋体"/>
                <w:sz w:val="21"/>
                <w:szCs w:val="21"/>
                <w:lang w:bidi="ar"/>
              </w:rPr>
              <w:t xml:space="preserve">传感器类型：1/1.8"背照式CMOS逐行扫描传感器。</w:t>
            </w:r>
            <w:r/>
          </w:p>
          <w:p>
            <w:pPr>
              <w:ind w:left="0"/>
              <w:rPr>
                <w:rFonts w:ascii="宋体" w:hAnsi="宋体"/>
                <w:b/>
                <w:bCs/>
                <w:sz w:val="21"/>
                <w:szCs w:val="21"/>
                <w:lang w:bidi="ar"/>
              </w:rPr>
            </w:pPr>
            <w:r>
              <w:rPr>
                <w:rFonts w:hint="eastAsia" w:ascii="宋体" w:hAnsi="宋体"/>
                <w:b/>
                <w:bCs/>
                <w:sz w:val="21"/>
                <w:szCs w:val="21"/>
                <w:lang w:bidi="ar"/>
              </w:rPr>
              <w:t xml:space="preserve">▲镜头规格：2.8~12mm电动变焦镜头。</w:t>
            </w:r>
            <w:r/>
          </w:p>
          <w:p>
            <w:pPr>
              <w:ind w:left="0"/>
              <w:rPr>
                <w:rFonts w:ascii="宋体" w:hAnsi="宋体"/>
                <w:sz w:val="21"/>
                <w:szCs w:val="21"/>
                <w:lang w:bidi="ar"/>
              </w:rPr>
            </w:pPr>
            <w:r>
              <w:rPr>
                <w:rFonts w:hint="eastAsia" w:ascii="宋体" w:hAnsi="宋体"/>
                <w:sz w:val="21"/>
                <w:szCs w:val="21"/>
                <w:lang w:bidi="ar"/>
              </w:rPr>
              <w:t xml:space="preserve">最低照度：彩色≤0.0005Lux，黑白≤0.0001Lux。</w:t>
            </w:r>
            <w:r/>
          </w:p>
          <w:p>
            <w:pPr>
              <w:ind w:left="0"/>
              <w:rPr>
                <w:rFonts w:ascii="宋体" w:hAnsi="宋体"/>
                <w:sz w:val="21"/>
                <w:szCs w:val="21"/>
                <w:lang w:bidi="ar"/>
              </w:rPr>
            </w:pPr>
            <w:r>
              <w:rPr>
                <w:rFonts w:hint="eastAsia" w:ascii="宋体" w:hAnsi="宋体"/>
                <w:sz w:val="21"/>
                <w:szCs w:val="21"/>
                <w:lang w:bidi="ar"/>
              </w:rPr>
              <w:t xml:space="preserve">图像增强能力：支持120dB宽动态，支持透雾、电子防抖。</w:t>
            </w:r>
            <w:r/>
          </w:p>
          <w:p>
            <w:pPr>
              <w:ind w:left="0"/>
              <w:rPr>
                <w:rFonts w:ascii="宋体" w:hAnsi="宋体"/>
                <w:sz w:val="21"/>
                <w:szCs w:val="21"/>
                <w:lang w:bidi="ar"/>
              </w:rPr>
            </w:pPr>
            <w:r>
              <w:rPr>
                <w:rFonts w:hint="eastAsia" w:ascii="宋体" w:hAnsi="宋体"/>
                <w:sz w:val="21"/>
                <w:szCs w:val="21"/>
                <w:lang w:bidi="ar"/>
              </w:rPr>
              <w:t xml:space="preserve">补光与夜视：采用850nm红外补光灯，普通成像补光距离最远不低于30m，抓拍/识别补光距离不低于3m；支持防补光过曝调节。</w:t>
            </w:r>
            <w:r/>
          </w:p>
          <w:p>
            <w:pPr>
              <w:ind w:left="0"/>
              <w:rPr>
                <w:rFonts w:ascii="宋体" w:hAnsi="宋体"/>
                <w:sz w:val="21"/>
                <w:szCs w:val="21"/>
                <w:lang w:bidi="ar"/>
              </w:rPr>
            </w:pPr>
            <w:r>
              <w:rPr>
                <w:rFonts w:hint="eastAsia" w:ascii="宋体" w:hAnsi="宋体"/>
                <w:sz w:val="21"/>
                <w:szCs w:val="21"/>
                <w:lang w:bidi="ar"/>
              </w:rPr>
              <w:t xml:space="preserve">视频编码与码流：支持H.265/H.264/Smart265编码，支持ROI增强编码，支持三码流技术。</w:t>
            </w:r>
            <w:r/>
          </w:p>
          <w:p>
            <w:pPr>
              <w:ind w:left="0"/>
              <w:rPr>
                <w:rFonts w:ascii="宋体" w:hAnsi="宋体"/>
                <w:sz w:val="21"/>
                <w:szCs w:val="21"/>
                <w:lang w:bidi="ar"/>
              </w:rPr>
            </w:pPr>
            <w:r>
              <w:rPr>
                <w:rFonts w:hint="eastAsia" w:ascii="宋体" w:hAnsi="宋体"/>
                <w:sz w:val="21"/>
                <w:szCs w:val="21"/>
                <w:lang w:bidi="ar"/>
              </w:rPr>
              <w:t xml:space="preserve">智能功能模式：支持5种智能模式切换——抓拍、smart事件、道路查看、人数统计、普通查看。</w:t>
            </w:r>
            <w:r/>
          </w:p>
          <w:p>
            <w:pPr>
              <w:ind w:left="0"/>
              <w:rPr>
                <w:rFonts w:ascii="宋体" w:hAnsi="宋体"/>
                <w:sz w:val="21"/>
                <w:szCs w:val="21"/>
                <w:lang w:bidi="ar"/>
              </w:rPr>
            </w:pPr>
            <w:r>
              <w:rPr>
                <w:rFonts w:hint="eastAsia" w:ascii="宋体" w:hAnsi="宋体"/>
                <w:sz w:val="21"/>
                <w:szCs w:val="21"/>
                <w:lang w:bidi="ar"/>
              </w:rPr>
              <w:t xml:space="preserve">▲</w:t>
            </w:r>
            <w:r>
              <w:rPr>
                <w:rFonts w:hint="eastAsia" w:ascii="宋体" w:hAnsi="宋体"/>
                <w:b/>
                <w:bCs/>
                <w:sz w:val="21"/>
                <w:szCs w:val="21"/>
                <w:lang w:bidi="ar"/>
              </w:rPr>
              <w:t xml:space="preserve">核心智能识别：支持区域入侵、越界识别，可按人/车目标触发报警。</w:t>
            </w:r>
            <w:r/>
          </w:p>
          <w:p>
            <w:pPr>
              <w:ind w:left="0"/>
              <w:rPr>
                <w:rFonts w:ascii="宋体" w:hAnsi="宋体"/>
                <w:sz w:val="21"/>
                <w:szCs w:val="21"/>
                <w:lang w:bidi="ar"/>
              </w:rPr>
            </w:pPr>
            <w:r>
              <w:rPr>
                <w:rFonts w:hint="eastAsia" w:ascii="宋体" w:hAnsi="宋体"/>
                <w:sz w:val="21"/>
                <w:szCs w:val="21"/>
                <w:lang w:bidi="ar"/>
              </w:rPr>
              <w:t xml:space="preserve">▲</w:t>
            </w:r>
            <w:r>
              <w:rPr>
                <w:rFonts w:hint="eastAsia" w:ascii="宋体" w:hAnsi="宋体"/>
                <w:b/>
                <w:bCs/>
                <w:sz w:val="21"/>
                <w:szCs w:val="21"/>
                <w:lang w:bidi="ar"/>
              </w:rPr>
              <w:t xml:space="preserve">数据统计分析：支持人数统计（实时报警、异常报警）、离岗检测、区域关注度分析、热度图展示等智能应用。</w:t>
            </w:r>
            <w:r/>
          </w:p>
          <w:p>
            <w:pPr>
              <w:ind w:left="0"/>
              <w:rPr>
                <w:rFonts w:ascii="宋体" w:hAnsi="宋体"/>
                <w:sz w:val="21"/>
                <w:szCs w:val="21"/>
                <w:lang w:bidi="ar"/>
              </w:rPr>
            </w:pPr>
            <w:r>
              <w:rPr>
                <w:rFonts w:hint="eastAsia" w:ascii="宋体" w:hAnsi="宋体"/>
                <w:sz w:val="21"/>
                <w:szCs w:val="21"/>
                <w:lang w:bidi="ar"/>
              </w:rPr>
              <w:t xml:space="preserve">取流能力：最多同时支持20路取流。</w:t>
            </w:r>
            <w:r>
              <w:rPr>
                <w:rFonts w:hint="eastAsia" w:ascii="MS Gothic" w:hAnsi="MS Gothic" w:eastAsia="MS Gothic" w:cs="MS Gothic"/>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2、网络接口：配备1个RJ4510M/100M自适应以太网口。音频配置：提供2路音频输入、1路音频输出，内置2个麦克风+1个扬声器。接口与扩展：含3路报警输入、2路报警输出，1路RS-485接口。</w:t>
            </w:r>
            <w:r/>
          </w:p>
          <w:p>
            <w:pPr>
              <w:ind w:left="0"/>
              <w:rPr>
                <w:rFonts w:ascii="宋体" w:hAnsi="宋体"/>
                <w:sz w:val="21"/>
                <w:szCs w:val="21"/>
                <w:lang w:bidi="ar"/>
              </w:rPr>
            </w:pPr>
            <w:r>
              <w:rPr>
                <w:rFonts w:hint="eastAsia" w:ascii="宋体" w:hAnsi="宋体"/>
                <w:sz w:val="21"/>
                <w:szCs w:val="21"/>
                <w:lang w:bidi="ar"/>
              </w:rPr>
              <w:t xml:space="preserve">3、供电方式：支持AC24V、DC12V（防反接）、PoE供电。</w:t>
            </w:r>
            <w:r/>
          </w:p>
          <w:p>
            <w:pPr>
              <w:ind w:left="0"/>
              <w:rPr>
                <w:rFonts w:ascii="宋体" w:hAnsi="宋体"/>
                <w:sz w:val="21"/>
                <w:szCs w:val="21"/>
                <w:lang w:bidi="ar"/>
              </w:rPr>
            </w:pPr>
            <w:r>
              <w:rPr>
                <w:rFonts w:hint="eastAsia" w:ascii="宋体" w:hAnsi="宋体"/>
                <w:sz w:val="21"/>
                <w:szCs w:val="21"/>
                <w:lang w:bidi="ar"/>
              </w:rPr>
              <w:t xml:space="preserve">4、环境防护：防尘防水等级不低于IP67。</w:t>
            </w:r>
            <w:r/>
          </w:p>
          <w:p>
            <w:pPr>
              <w:ind w:left="0"/>
              <w:rPr>
                <w:rFonts w:ascii="宋体" w:hAnsi="宋体"/>
                <w:sz w:val="21"/>
                <w:szCs w:val="21"/>
                <w:lang w:bidi="ar"/>
              </w:rPr>
            </w:pPr>
            <w:r>
              <w:rPr>
                <w:rFonts w:hint="eastAsia" w:ascii="宋体" w:hAnsi="宋体"/>
                <w:sz w:val="21"/>
                <w:szCs w:val="21"/>
                <w:lang w:bidi="ar"/>
              </w:rPr>
              <w:t xml:space="preserve">5、安全合规性：符合《公共安全视频监控联网信息安全技术要求》GB35114A级标准。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1559.6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高清筒型网络摄像机（抓拍）</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1、规格：像素与分辨率：≥400万像素，最高分辨率2560×1440（2K），该分辨率下支持60fps实时输出。</w:t>
            </w:r>
            <w:r/>
          </w:p>
          <w:p>
            <w:pPr>
              <w:ind w:left="0"/>
              <w:rPr>
                <w:rFonts w:ascii="宋体" w:hAnsi="宋体"/>
                <w:sz w:val="21"/>
                <w:szCs w:val="21"/>
                <w:lang w:bidi="ar"/>
              </w:rPr>
            </w:pPr>
            <w:r>
              <w:rPr>
                <w:rFonts w:hint="eastAsia" w:ascii="宋体" w:hAnsi="宋体"/>
                <w:sz w:val="21"/>
                <w:szCs w:val="21"/>
                <w:lang w:bidi="ar"/>
              </w:rPr>
              <w:t xml:space="preserve">传感器类型：1/1.8"背照式CMOS逐行扫描传感器。</w:t>
            </w:r>
            <w:r/>
          </w:p>
          <w:p>
            <w:pPr>
              <w:ind w:left="0"/>
              <w:rPr>
                <w:rFonts w:ascii="宋体" w:hAnsi="宋体"/>
                <w:sz w:val="21"/>
                <w:szCs w:val="21"/>
                <w:lang w:bidi="ar"/>
              </w:rPr>
            </w:pPr>
            <w:r>
              <w:rPr>
                <w:rFonts w:hint="eastAsia" w:ascii="宋体" w:hAnsi="宋体"/>
                <w:sz w:val="21"/>
                <w:szCs w:val="21"/>
                <w:lang w:bidi="ar"/>
              </w:rPr>
              <w:t xml:space="preserve">▲</w:t>
            </w:r>
            <w:r>
              <w:rPr>
                <w:rFonts w:hint="eastAsia" w:ascii="宋体" w:hAnsi="宋体"/>
                <w:b/>
                <w:bCs/>
                <w:sz w:val="21"/>
                <w:szCs w:val="21"/>
                <w:lang w:bidi="ar"/>
              </w:rPr>
              <w:t xml:space="preserve">镜头规格：2.7~13.5mm电动变焦镜头。</w:t>
            </w:r>
            <w:r/>
          </w:p>
          <w:p>
            <w:pPr>
              <w:ind w:left="0"/>
              <w:rPr>
                <w:rFonts w:ascii="宋体" w:hAnsi="宋体"/>
                <w:sz w:val="21"/>
                <w:szCs w:val="21"/>
                <w:lang w:bidi="ar"/>
              </w:rPr>
            </w:pPr>
            <w:r>
              <w:rPr>
                <w:rFonts w:hint="eastAsia" w:ascii="宋体" w:hAnsi="宋体"/>
                <w:sz w:val="21"/>
                <w:szCs w:val="21"/>
                <w:lang w:bidi="ar"/>
              </w:rPr>
              <w:t xml:space="preserve">最低照度：彩色≤0.0005Lux，黑白≤0.0001Lux。图像增强能力：支持120dB宽动态，支持透雾、电子防抖。</w:t>
            </w:r>
            <w:r/>
          </w:p>
          <w:p>
            <w:pPr>
              <w:ind w:left="0"/>
              <w:rPr>
                <w:rFonts w:ascii="宋体" w:hAnsi="宋体"/>
                <w:sz w:val="21"/>
                <w:szCs w:val="21"/>
                <w:lang w:bidi="ar"/>
              </w:rPr>
            </w:pPr>
            <w:r>
              <w:rPr>
                <w:rFonts w:hint="eastAsia" w:ascii="宋体" w:hAnsi="宋体"/>
                <w:sz w:val="21"/>
                <w:szCs w:val="21"/>
                <w:lang w:bidi="ar"/>
              </w:rPr>
              <w:t xml:space="preserve">▲</w:t>
            </w:r>
            <w:r>
              <w:rPr>
                <w:rFonts w:hint="eastAsia" w:ascii="宋体" w:hAnsi="宋体"/>
                <w:b/>
                <w:bCs/>
                <w:sz w:val="21"/>
                <w:szCs w:val="21"/>
                <w:lang w:bidi="ar"/>
              </w:rPr>
              <w:t xml:space="preserve">补光与夜视：采用隐藏式鳞镜补光设计（不低于850nm红外+暖白混光，不少于4颗灯珠）；</w:t>
            </w:r>
            <w:r/>
          </w:p>
          <w:p>
            <w:pPr>
              <w:ind w:left="0"/>
              <w:rPr>
                <w:rFonts w:ascii="宋体" w:hAnsi="宋体"/>
                <w:sz w:val="21"/>
                <w:szCs w:val="21"/>
                <w:lang w:bidi="ar"/>
              </w:rPr>
            </w:pPr>
            <w:r>
              <w:rPr>
                <w:rFonts w:hint="eastAsia" w:ascii="宋体" w:hAnsi="宋体"/>
                <w:sz w:val="21"/>
                <w:szCs w:val="21"/>
                <w:lang w:bidi="ar"/>
              </w:rPr>
              <w:t xml:space="preserve">补光距离：混光普通成像最远不低于50m、抓拍/识别低于7m，白光普通成像低于30m、抓拍/识别低于5m；支持防补光过曝调节。</w:t>
            </w:r>
            <w:r/>
          </w:p>
          <w:p>
            <w:pPr>
              <w:ind w:left="0"/>
              <w:rPr>
                <w:rFonts w:ascii="宋体" w:hAnsi="宋体"/>
                <w:sz w:val="21"/>
                <w:szCs w:val="21"/>
                <w:lang w:bidi="ar"/>
              </w:rPr>
            </w:pPr>
            <w:r>
              <w:rPr>
                <w:rFonts w:hint="eastAsia" w:ascii="宋体" w:hAnsi="宋体"/>
                <w:sz w:val="21"/>
                <w:szCs w:val="21"/>
                <w:lang w:bidi="ar"/>
              </w:rPr>
              <w:t xml:space="preserve">视频编码与码流：支持H.265/H.264编码，支持ROI增强编码，支持三码流技术。</w:t>
            </w:r>
            <w:r/>
          </w:p>
          <w:p>
            <w:pPr>
              <w:ind w:left="0"/>
              <w:rPr>
                <w:rFonts w:ascii="宋体" w:hAnsi="宋体"/>
                <w:b/>
                <w:bCs/>
                <w:sz w:val="21"/>
                <w:szCs w:val="21"/>
                <w:lang w:bidi="ar"/>
              </w:rPr>
            </w:pPr>
            <w:r>
              <w:rPr>
                <w:rFonts w:hint="eastAsia" w:ascii="宋体" w:hAnsi="宋体"/>
                <w:b/>
                <w:bCs/>
                <w:sz w:val="21"/>
                <w:szCs w:val="21"/>
                <w:lang w:bidi="ar"/>
              </w:rPr>
              <w:t xml:space="preserve">▲智能模式：支持多智能模式切换。</w:t>
            </w:r>
            <w:r/>
          </w:p>
          <w:p>
            <w:pPr>
              <w:ind w:left="0"/>
              <w:rPr>
                <w:rFonts w:ascii="宋体" w:hAnsi="宋体"/>
                <w:sz w:val="21"/>
                <w:szCs w:val="21"/>
                <w:lang w:bidi="ar"/>
              </w:rPr>
            </w:pPr>
            <w:r>
              <w:rPr>
                <w:rFonts w:hint="eastAsia" w:ascii="宋体" w:hAnsi="宋体"/>
                <w:sz w:val="21"/>
                <w:szCs w:val="21"/>
                <w:lang w:bidi="ar"/>
              </w:rPr>
              <w:t xml:space="preserve">取流能力：最多同时支持20路取流。</w:t>
            </w:r>
            <w:r>
              <w:rPr>
                <w:rFonts w:hint="eastAsia" w:ascii="MS Gothic" w:hAnsi="MS Gothic" w:eastAsia="MS Gothic" w:cs="MS Gothic"/>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2、网络接口：配备1个RJ4510M/100M自适应以太网口。音频配置：提供2路音频输入、1路音频输出，内置2个麦克风+1个扬声器。接口与扩展：含3路报警输入、2路报警输出，1路RS-485接口。</w:t>
            </w:r>
            <w:r/>
          </w:p>
          <w:p>
            <w:pPr>
              <w:ind w:left="0"/>
              <w:rPr>
                <w:rFonts w:ascii="宋体" w:hAnsi="宋体"/>
                <w:sz w:val="21"/>
                <w:szCs w:val="21"/>
                <w:lang w:bidi="ar"/>
              </w:rPr>
            </w:pPr>
            <w:r>
              <w:rPr>
                <w:rFonts w:hint="eastAsia" w:ascii="宋体" w:hAnsi="宋体"/>
                <w:sz w:val="21"/>
                <w:szCs w:val="21"/>
                <w:lang w:bidi="ar"/>
              </w:rPr>
              <w:t xml:space="preserve">3、供电方式：支持DC12V（防反接）、PoE供电。</w:t>
            </w:r>
            <w:r/>
          </w:p>
          <w:p>
            <w:pPr>
              <w:ind w:left="0"/>
              <w:rPr>
                <w:rFonts w:ascii="宋体" w:hAnsi="宋体"/>
                <w:sz w:val="21"/>
                <w:szCs w:val="21"/>
                <w:lang w:bidi="ar"/>
              </w:rPr>
            </w:pPr>
            <w:r>
              <w:rPr>
                <w:rFonts w:hint="eastAsia" w:ascii="宋体" w:hAnsi="宋体"/>
                <w:sz w:val="21"/>
                <w:szCs w:val="21"/>
                <w:lang w:bidi="ar"/>
              </w:rPr>
              <w:t xml:space="preserve">4、环境防护：防尘防水等级不低于IP67。</w:t>
            </w:r>
            <w:r/>
          </w:p>
          <w:p>
            <w:pPr>
              <w:ind w:left="0"/>
              <w:rPr>
                <w:rFonts w:ascii="宋体" w:hAnsi="宋体"/>
                <w:sz w:val="21"/>
                <w:szCs w:val="21"/>
                <w:lang w:bidi="ar"/>
              </w:rPr>
            </w:pPr>
            <w:r>
              <w:rPr>
                <w:rFonts w:hint="eastAsia" w:ascii="宋体" w:hAnsi="宋体"/>
                <w:sz w:val="21"/>
                <w:szCs w:val="21"/>
                <w:lang w:bidi="ar"/>
              </w:rPr>
              <w:t xml:space="preserve">5、安全合规性：符合《公共安全视频监控联网信息安全技术要求》GB35114A级标准。</w:t>
            </w:r>
            <w:r/>
          </w:p>
          <w:p>
            <w:pPr>
              <w:ind w:left="0"/>
              <w:rPr>
                <w:rFonts w:ascii="宋体" w:hAnsi="宋体"/>
                <w:sz w:val="21"/>
                <w:szCs w:val="21"/>
                <w:lang w:bidi="ar"/>
              </w:rPr>
            </w:pPr>
            <w:r>
              <w:rPr>
                <w:rFonts w:hint="eastAsia" w:ascii="宋体" w:hAnsi="宋体"/>
                <w:sz w:val="21"/>
                <w:szCs w:val="21"/>
                <w:lang w:bidi="ar"/>
              </w:rPr>
              <w:t xml:space="preserve">6、配套配件：含壁装支架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1600.7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时间/温湿度屏</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1、核心功能：支持温度、湿度数据采集与检测，可将时间、温湿度信息叠加至成像画面。</w:t>
            </w:r>
            <w:r/>
          </w:p>
          <w:p>
            <w:pPr>
              <w:ind w:left="0"/>
              <w:rPr>
                <w:rFonts w:ascii="宋体" w:hAnsi="宋体"/>
                <w:sz w:val="21"/>
                <w:szCs w:val="21"/>
                <w:lang w:bidi="ar"/>
              </w:rPr>
            </w:pPr>
            <w:r>
              <w:rPr>
                <w:rFonts w:hint="eastAsia" w:ascii="宋体" w:hAnsi="宋体"/>
                <w:sz w:val="21"/>
                <w:szCs w:val="21"/>
                <w:lang w:bidi="ar"/>
              </w:rPr>
              <w:t xml:space="preserve">2、温度检测性能：测量精度≤±1℃，支持温度数据显示与校准功能。</w:t>
            </w:r>
            <w:r>
              <w:rPr>
                <w:rFonts w:hint="eastAsia" w:ascii="MS Gothic" w:hAnsi="MS Gothic" w:eastAsia="MS Gothic" w:cs="MS Gothic"/>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3、湿度检测性能：测量精度≤±4%RH，支持湿度数据显示与校准功能。</w:t>
            </w:r>
            <w:r>
              <w:rPr>
                <w:rFonts w:hint="eastAsia" w:ascii="MS Gothic" w:hAnsi="MS Gothic" w:eastAsia="MS Gothic" w:cs="MS Gothic"/>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4、时间显示与同步：支持年月日、时分秒完整显示；具备时钟同步功能，可通过RS485接口校时。</w:t>
            </w:r>
            <w:r>
              <w:rPr>
                <w:rFonts w:hint="eastAsia" w:ascii="MS Gothic" w:hAnsi="MS Gothic" w:eastAsia="MS Gothic" w:cs="MS Gothic"/>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5、数据传输协议：支持RS-485协议上传环境数据。</w:t>
            </w:r>
            <w:r/>
          </w:p>
          <w:p>
            <w:pPr>
              <w:ind w:left="0"/>
              <w:rPr>
                <w:rFonts w:ascii="宋体" w:hAnsi="宋体"/>
                <w:sz w:val="21"/>
                <w:szCs w:val="21"/>
                <w:lang w:bidi="ar"/>
              </w:rPr>
            </w:pPr>
            <w:r>
              <w:rPr>
                <w:rFonts w:hint="eastAsia" w:ascii="宋体" w:hAnsi="宋体"/>
                <w:sz w:val="21"/>
                <w:szCs w:val="21"/>
                <w:lang w:bidi="ar"/>
              </w:rPr>
              <w:t xml:space="preserve">6、机箱:壁挂式；电源:220V；供电方式:AC220V；功耗:15W；工作温度:-9℃～+55℃；工作湿度:10%～95%RH（无凝结）；工作海拔:≤5000m；产品尺寸:不小于580mm（长）×380mm（宽）×36mm（高）。</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1211.04</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金属安检门</w:t>
            </w:r>
            <w:r/>
          </w:p>
        </w:tc>
        <w:tc>
          <w:tcPr>
            <w:shd w:val="clear" w:color="auto" w:fill="auto"/>
            <w:tcBorders>
              <w:top w:val="single" w:color="000000" w:sz="4" w:space="0"/>
              <w:left w:val="singl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1、符合标准：应符合“GB15210-2018《通过式金属探测门通用技术规范》”的相关要求；通道尺寸≥1980</w:t>
            </w:r>
            <w:r>
              <w:t xml:space="preserve"> </w:t>
            </w:r>
            <w:r>
              <w:rPr>
                <w:rFonts w:ascii="宋体" w:hAnsi="宋体"/>
                <w:sz w:val="21"/>
                <w:szCs w:val="21"/>
                <w:lang w:bidi="ar"/>
              </w:rPr>
              <w:t xml:space="preserve">mm</w:t>
            </w:r>
            <w:r>
              <w:rPr>
                <w:rFonts w:hint="eastAsia" w:ascii="宋体" w:hAnsi="宋体"/>
                <w:sz w:val="21"/>
                <w:szCs w:val="21"/>
                <w:lang w:bidi="ar"/>
              </w:rPr>
              <w:t xml:space="preserve"> (高)x700</w:t>
            </w:r>
            <w:r>
              <w:rPr>
                <w:rFonts w:ascii="宋体" w:hAnsi="宋体"/>
                <w:sz w:val="21"/>
                <w:szCs w:val="21"/>
                <w:lang w:bidi="ar"/>
              </w:rPr>
              <w:t xml:space="preserve"> mm</w:t>
            </w:r>
            <w:r>
              <w:rPr>
                <w:rFonts w:hint="eastAsia" w:ascii="宋体" w:hAnsi="宋体"/>
                <w:sz w:val="21"/>
                <w:szCs w:val="21"/>
                <w:lang w:bidi="ar"/>
              </w:rPr>
              <w:t xml:space="preserve"> (宽)x500</w:t>
            </w:r>
            <w:r>
              <w:rPr>
                <w:rFonts w:ascii="宋体" w:hAnsi="宋体"/>
                <w:sz w:val="21"/>
                <w:szCs w:val="21"/>
                <w:lang w:bidi="ar"/>
              </w:rPr>
              <w:t xml:space="preserve"> mm</w:t>
            </w:r>
            <w:r>
              <w:rPr>
                <w:rFonts w:hint="eastAsia" w:ascii="宋体" w:hAnsi="宋体"/>
                <w:sz w:val="21"/>
                <w:szCs w:val="21"/>
                <w:lang w:bidi="ar"/>
              </w:rPr>
              <w:t xml:space="preserve"> (深)外壳防护等级，室内工作型：应符合GB/T4208-2017中IP41；室外工作型（有遮蔽）：应符合GB/T4208-2017中IP53。基本探测功能金属门应能对达到或超过限定量的金属进行报警，不应出现漏报警。探测灵敏度范</w:t>
            </w:r>
            <w:r>
              <w:rPr>
                <w:rFonts w:hint="eastAsia" w:ascii="宋体" w:hAnsi="宋体"/>
                <w:sz w:val="21"/>
                <w:szCs w:val="21"/>
                <w:lang w:bidi="ar"/>
              </w:rPr>
              <w:t xml:space="preserve">围检查金属门的探测灵敏度应能从低到高方便地调节，灵敏度调节应大于等于50个级别。</w:t>
            </w:r>
            <w:r/>
          </w:p>
          <w:p>
            <w:pPr>
              <w:ind w:left="0"/>
              <w:rPr>
                <w:rFonts w:ascii="宋体" w:hAnsi="宋体"/>
                <w:sz w:val="21"/>
                <w:szCs w:val="21"/>
                <w:lang w:bidi="ar"/>
              </w:rPr>
            </w:pPr>
            <w:r>
              <w:rPr>
                <w:rFonts w:hint="eastAsia" w:ascii="宋体" w:hAnsi="宋体"/>
                <w:sz w:val="21"/>
                <w:szCs w:val="21"/>
                <w:lang w:bidi="ar"/>
              </w:rPr>
              <w:t xml:space="preserve">2、探测灵敏度：探测能力应能同时达到I类、II类、III类、混合类的四类标准要求。回形针探测能力：以3cm的回形针为测试物，以接近1m/s的速度通过安检门，系统应报警。</w:t>
            </w:r>
            <w:r/>
          </w:p>
          <w:p>
            <w:pPr>
              <w:ind w:left="0"/>
              <w:rPr>
                <w:rFonts w:ascii="宋体" w:hAnsi="宋体"/>
                <w:sz w:val="21"/>
                <w:szCs w:val="21"/>
                <w:lang w:bidi="ar"/>
              </w:rPr>
            </w:pPr>
            <w:r>
              <w:rPr>
                <w:rFonts w:hint="eastAsia" w:ascii="宋体" w:hAnsi="宋体"/>
                <w:sz w:val="21"/>
                <w:szCs w:val="21"/>
                <w:lang w:bidi="ar"/>
              </w:rPr>
              <w:t xml:space="preserve">3、磁感应强度限制：在探测区左右边界各向内150mm的区域中，任意一点的磁感应强度均应小于等于10T。抗静止金属物影响1.抗周围静止金属物影响：金属门探测性能应不受门体四周1m范围以外的大静止金属物体的影响；2.抗地面内部金属结构影响：金属探测门性能应不受地面0.1m以下的金属结构的影响。抗周围运动金属物干。扰金属门不应对门体四周1.5m范围以外的运动金属物产生报警信号。</w:t>
            </w:r>
            <w:r/>
          </w:p>
          <w:p>
            <w:pPr>
              <w:ind w:left="0"/>
              <w:rPr>
                <w:rFonts w:ascii="宋体" w:hAnsi="宋体"/>
                <w:sz w:val="21"/>
                <w:szCs w:val="21"/>
                <w:lang w:bidi="ar"/>
              </w:rPr>
            </w:pPr>
            <w:r>
              <w:rPr>
                <w:rFonts w:hint="eastAsia" w:ascii="宋体" w:hAnsi="宋体"/>
                <w:sz w:val="21"/>
                <w:szCs w:val="21"/>
                <w:lang w:bidi="ar"/>
              </w:rPr>
              <w:t xml:space="preserve">4、金属量显示功能：约7寸显示屏幕上应能以条状图形来显示通过系统的金属量。数据存储与查询功能安检门应能存储每天通过的通过人数、报警次数、报警信息等数据，并能够查询历史记录；存储数据不小于100000条。</w:t>
            </w:r>
            <w:r/>
          </w:p>
          <w:p>
            <w:pPr>
              <w:ind w:left="0"/>
              <w:rPr>
                <w:rFonts w:ascii="宋体" w:hAnsi="宋体"/>
                <w:sz w:val="21"/>
                <w:szCs w:val="21"/>
                <w:lang w:bidi="ar"/>
              </w:rPr>
            </w:pPr>
            <w:r>
              <w:rPr>
                <w:rFonts w:hint="eastAsia" w:ascii="宋体" w:hAnsi="宋体"/>
                <w:sz w:val="21"/>
                <w:szCs w:val="21"/>
                <w:lang w:bidi="ar"/>
              </w:rPr>
              <w:t xml:space="preserve">5、最低探测高度：在离地2cm高度处以一个直径20mm铁球为测试物，以接近1m/s的速度通过安检门，系统应报警。</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5730.82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一体化审讯桌</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1、规格尺寸：约1800MM×800MM×760MM，满足基础放置需求。</w:t>
            </w:r>
            <w:r/>
          </w:p>
          <w:p>
            <w:pPr>
              <w:ind w:left="0"/>
              <w:rPr>
                <w:rFonts w:ascii="宋体" w:hAnsi="宋体"/>
                <w:sz w:val="21"/>
                <w:szCs w:val="21"/>
                <w:lang w:bidi="ar"/>
              </w:rPr>
            </w:pPr>
            <w:r>
              <w:rPr>
                <w:rFonts w:hint="eastAsia" w:ascii="宋体" w:hAnsi="宋体"/>
                <w:sz w:val="21"/>
                <w:szCs w:val="21"/>
                <w:lang w:bidi="ar"/>
              </w:rPr>
              <w:t xml:space="preserve">2、基材品质：精选高密度板，板材厚度≥2.5CM，承重强、稳定性好；木纹清晰，经防潮、防虫、防腐处理，抗弯力强、不易变形。</w:t>
            </w:r>
            <w:r/>
          </w:p>
          <w:p>
            <w:pPr>
              <w:ind w:left="0"/>
              <w:rPr>
                <w:rFonts w:ascii="宋体" w:hAnsi="宋体"/>
                <w:sz w:val="21"/>
                <w:szCs w:val="21"/>
                <w:lang w:bidi="ar"/>
              </w:rPr>
            </w:pPr>
            <w:r>
              <w:rPr>
                <w:rFonts w:hint="eastAsia" w:ascii="宋体" w:hAnsi="宋体"/>
                <w:sz w:val="21"/>
                <w:szCs w:val="21"/>
                <w:lang w:bidi="ar"/>
              </w:rPr>
              <w:t xml:space="preserve">3、软包护角：3.5CM厚海绵+西皮软包（缝线工艺），柔软舒适、抗静电、耐磨耐老化、透气，皮面抗拉性强，防撞安全。</w:t>
            </w:r>
            <w:r/>
          </w:p>
          <w:p>
            <w:pPr>
              <w:ind w:left="0"/>
              <w:rPr>
                <w:rFonts w:ascii="宋体" w:hAnsi="宋体"/>
                <w:sz w:val="21"/>
                <w:szCs w:val="21"/>
                <w:lang w:bidi="ar"/>
              </w:rPr>
            </w:pPr>
            <w:r>
              <w:rPr>
                <w:rFonts w:hint="eastAsia" w:ascii="宋体" w:hAnsi="宋体"/>
                <w:sz w:val="21"/>
                <w:szCs w:val="21"/>
                <w:lang w:bidi="ar"/>
              </w:rPr>
              <w:t xml:space="preserve">4、环保工艺：多层覆合新工艺，无异味；底漆与面漆均采用环保材质（面漆为环保聚酯漆），色泽均匀、光滑耐用，可长期保持表面效果。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5891.47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审讯专用椅</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1、材质规格：主体采用铁管，桌面及座位、锁手处面板为加厚钢板，结实耐用。</w:t>
            </w:r>
            <w:r/>
          </w:p>
          <w:p>
            <w:pPr>
              <w:ind w:left="0"/>
              <w:rPr>
                <w:rFonts w:ascii="宋体" w:hAnsi="宋体"/>
                <w:sz w:val="21"/>
                <w:szCs w:val="21"/>
                <w:lang w:bidi="ar"/>
              </w:rPr>
            </w:pPr>
            <w:r>
              <w:rPr>
                <w:rFonts w:hint="eastAsia" w:ascii="宋体" w:hAnsi="宋体"/>
                <w:sz w:val="21"/>
                <w:szCs w:val="21"/>
                <w:lang w:bidi="ar"/>
              </w:rPr>
              <w:t xml:space="preserve">2、安全设计：整体无棱角设计，避免碰撞伤害，提升使用安全性。</w:t>
            </w:r>
            <w:r/>
          </w:p>
          <w:p>
            <w:pPr>
              <w:ind w:left="0"/>
              <w:rPr>
                <w:rFonts w:ascii="宋体" w:hAnsi="宋体"/>
                <w:sz w:val="21"/>
                <w:szCs w:val="21"/>
                <w:lang w:bidi="ar"/>
              </w:rPr>
            </w:pPr>
            <w:r>
              <w:rPr>
                <w:rFonts w:hint="eastAsia" w:ascii="宋体" w:hAnsi="宋体"/>
                <w:sz w:val="21"/>
                <w:szCs w:val="21"/>
                <w:lang w:bidi="ar"/>
              </w:rPr>
              <w:t xml:space="preserve">3、锁具配置：手部配备U型锁，锁具为特制通用钥匙型；脚部锁具联动椅子后部弹簧开关，掰动即可自动打开，无需额外锁具。</w:t>
            </w:r>
            <w:r/>
          </w:p>
          <w:p>
            <w:pPr>
              <w:ind w:left="0"/>
              <w:rPr>
                <w:rFonts w:ascii="宋体" w:hAnsi="宋体"/>
                <w:sz w:val="21"/>
                <w:szCs w:val="21"/>
                <w:lang w:bidi="ar"/>
              </w:rPr>
            </w:pPr>
            <w:r>
              <w:rPr>
                <w:rFonts w:hint="eastAsia" w:ascii="宋体" w:hAnsi="宋体"/>
                <w:sz w:val="21"/>
                <w:szCs w:val="21"/>
                <w:lang w:bidi="ar"/>
              </w:rPr>
              <w:t xml:space="preserve">4、固定与约束：椅子可固定于地面，靠背配备胸带，保障审讯过程约束可靠性。</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2945.74</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24口接入交换机</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1、硬件性能：整机交换容量≥672Gbps，转发性能≥126Mpps。</w:t>
            </w:r>
            <w:r/>
          </w:p>
          <w:p>
            <w:pPr>
              <w:ind w:left="0"/>
              <w:rPr>
                <w:rFonts w:ascii="宋体" w:hAnsi="宋体"/>
                <w:sz w:val="21"/>
                <w:szCs w:val="21"/>
                <w:lang w:bidi="ar"/>
              </w:rPr>
            </w:pPr>
            <w:r>
              <w:rPr>
                <w:rFonts w:hint="eastAsia" w:ascii="宋体" w:hAnsi="宋体"/>
                <w:sz w:val="21"/>
                <w:szCs w:val="21"/>
                <w:lang w:bidi="ar"/>
              </w:rPr>
              <w:t xml:space="preserve">2、端口配置：≥24个千兆电口，≥4个千兆SFP+口。</w:t>
            </w:r>
            <w:r/>
          </w:p>
          <w:p>
            <w:pPr>
              <w:ind w:left="0"/>
              <w:rPr>
                <w:rFonts w:ascii="宋体" w:hAnsi="宋体"/>
                <w:sz w:val="21"/>
                <w:szCs w:val="21"/>
                <w:lang w:bidi="ar"/>
              </w:rPr>
            </w:pPr>
            <w:r>
              <w:rPr>
                <w:rFonts w:hint="eastAsia" w:ascii="宋体" w:hAnsi="宋体"/>
                <w:sz w:val="21"/>
                <w:szCs w:val="21"/>
                <w:lang w:bidi="ar"/>
              </w:rPr>
              <w:t xml:space="preserve">3、地址表容量：路由地址表≥512，ARP地址表≥1K，MAC地址表≥16K。</w:t>
            </w:r>
            <w:r/>
          </w:p>
          <w:p>
            <w:pPr>
              <w:ind w:left="0"/>
              <w:rPr>
                <w:rFonts w:ascii="宋体" w:hAnsi="宋体"/>
                <w:sz w:val="21"/>
                <w:szCs w:val="21"/>
                <w:lang w:bidi="ar"/>
              </w:rPr>
            </w:pPr>
            <w:r>
              <w:rPr>
                <w:rFonts w:hint="eastAsia" w:ascii="宋体" w:hAnsi="宋体"/>
                <w:sz w:val="21"/>
                <w:szCs w:val="21"/>
                <w:lang w:bidi="ar"/>
              </w:rPr>
              <w:t xml:space="preserve">4、路由协议：支持IPv4/IPv6静态路由，RIP/RIPng、OSPFV2/V3动态路由。</w:t>
            </w:r>
            <w:r/>
          </w:p>
          <w:p>
            <w:pPr>
              <w:ind w:left="0"/>
              <w:rPr>
                <w:rFonts w:ascii="宋体" w:hAnsi="宋体"/>
                <w:sz w:val="21"/>
                <w:szCs w:val="21"/>
                <w:lang w:bidi="ar"/>
              </w:rPr>
            </w:pPr>
            <w:r>
              <w:rPr>
                <w:rFonts w:hint="eastAsia" w:ascii="宋体" w:hAnsi="宋体"/>
                <w:sz w:val="21"/>
                <w:szCs w:val="21"/>
                <w:lang w:bidi="ar"/>
              </w:rPr>
              <w:t xml:space="preserve">5、环网保护：支持G.8032以太网环保护协议（ERPS）。</w:t>
            </w:r>
            <w:r/>
          </w:p>
          <w:p>
            <w:pPr>
              <w:ind w:left="0"/>
              <w:rPr>
                <w:rFonts w:ascii="宋体" w:hAnsi="宋体"/>
                <w:sz w:val="21"/>
                <w:szCs w:val="21"/>
                <w:lang w:bidi="ar"/>
              </w:rPr>
            </w:pPr>
            <w:r>
              <w:rPr>
                <w:rFonts w:hint="eastAsia" w:ascii="宋体" w:hAnsi="宋体"/>
                <w:sz w:val="21"/>
                <w:szCs w:val="21"/>
                <w:lang w:bidi="ar"/>
              </w:rPr>
              <w:t xml:space="preserve">6、安全防护：支持CPU保护功能，业务端口具备10KV防雷能力。</w:t>
            </w:r>
            <w:r/>
          </w:p>
          <w:p>
            <w:pPr>
              <w:ind w:left="0"/>
              <w:rPr>
                <w:rFonts w:ascii="宋体" w:hAnsi="宋体"/>
                <w:sz w:val="21"/>
                <w:szCs w:val="21"/>
                <w:lang w:bidi="ar"/>
              </w:rPr>
            </w:pPr>
            <w:r>
              <w:rPr>
                <w:rFonts w:hint="eastAsia" w:ascii="宋体" w:hAnsi="宋体"/>
                <w:sz w:val="21"/>
                <w:szCs w:val="21"/>
                <w:lang w:bidi="ar"/>
              </w:rPr>
              <w:t xml:space="preserve">7、节能特性：支持端口休眠功能，关闭闲置端口节能。</w:t>
            </w:r>
            <w:r/>
          </w:p>
          <w:p>
            <w:pPr>
              <w:ind w:left="0"/>
              <w:rPr>
                <w:rFonts w:ascii="宋体" w:hAnsi="宋体"/>
                <w:sz w:val="21"/>
                <w:szCs w:val="21"/>
                <w:lang w:bidi="ar"/>
              </w:rPr>
            </w:pPr>
            <w:r>
              <w:rPr>
                <w:rFonts w:hint="eastAsia" w:ascii="宋体" w:hAnsi="宋体"/>
                <w:sz w:val="21"/>
                <w:szCs w:val="21"/>
                <w:lang w:bidi="ar"/>
              </w:rPr>
              <w:t xml:space="preserve">8、管理功能：内置智能图形化管理，支持配置下发、版本智能升级。</w:t>
            </w:r>
            <w:r/>
          </w:p>
          <w:p>
            <w:pPr>
              <w:ind w:left="0"/>
              <w:rPr>
                <w:rFonts w:ascii="宋体" w:hAnsi="宋体"/>
                <w:sz w:val="21"/>
                <w:szCs w:val="21"/>
                <w:lang w:bidi="ar"/>
              </w:rPr>
            </w:pPr>
            <w:r>
              <w:rPr>
                <w:rFonts w:hint="eastAsia" w:ascii="宋体" w:hAnsi="宋体"/>
                <w:sz w:val="21"/>
                <w:szCs w:val="21"/>
                <w:lang w:bidi="ar"/>
              </w:rPr>
              <w:t xml:space="preserve">9、资源优化：支持进程分布优化，可指定进程至不同CPU运行。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1699.77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48口接入交换机</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1、硬件性能：整机交换容量≥672Gbps，转发性能≥144Mpps。</w:t>
            </w:r>
            <w:r/>
          </w:p>
          <w:p>
            <w:pPr>
              <w:ind w:left="0"/>
              <w:rPr>
                <w:rFonts w:ascii="宋体" w:hAnsi="宋体"/>
                <w:sz w:val="21"/>
                <w:szCs w:val="21"/>
                <w:lang w:bidi="ar"/>
              </w:rPr>
            </w:pPr>
            <w:r>
              <w:rPr>
                <w:rFonts w:hint="eastAsia" w:ascii="宋体" w:hAnsi="宋体"/>
                <w:sz w:val="21"/>
                <w:szCs w:val="21"/>
                <w:lang w:bidi="ar"/>
              </w:rPr>
              <w:t xml:space="preserve">2、端口配置：≥48个千兆电口，≥4个千兆SFP+口。</w:t>
            </w:r>
            <w:r/>
          </w:p>
          <w:p>
            <w:pPr>
              <w:ind w:left="0"/>
              <w:rPr>
                <w:rFonts w:ascii="宋体" w:hAnsi="宋体"/>
                <w:sz w:val="21"/>
                <w:szCs w:val="21"/>
                <w:lang w:bidi="ar"/>
              </w:rPr>
            </w:pPr>
            <w:r>
              <w:rPr>
                <w:rFonts w:hint="eastAsia" w:ascii="宋体" w:hAnsi="宋体"/>
                <w:sz w:val="21"/>
                <w:szCs w:val="21"/>
                <w:lang w:bidi="ar"/>
              </w:rPr>
              <w:t xml:space="preserve">3、地址表容量：路由地址表≥512，ARP地址表≥1K，MAC地址表≥16K。</w:t>
            </w:r>
            <w:r/>
          </w:p>
          <w:p>
            <w:pPr>
              <w:ind w:left="0"/>
              <w:rPr>
                <w:rFonts w:ascii="宋体" w:hAnsi="宋体"/>
                <w:sz w:val="21"/>
                <w:szCs w:val="21"/>
                <w:lang w:bidi="ar"/>
              </w:rPr>
            </w:pPr>
            <w:r>
              <w:rPr>
                <w:rFonts w:hint="eastAsia" w:ascii="宋体" w:hAnsi="宋体"/>
                <w:sz w:val="21"/>
                <w:szCs w:val="21"/>
                <w:lang w:bidi="ar"/>
              </w:rPr>
              <w:t xml:space="preserve">4、路由协议：支持IPv4/IPv6静态路由，RIP/RIPng、OSPFV2/V3动态路由。</w:t>
            </w:r>
            <w:r/>
          </w:p>
          <w:p>
            <w:pPr>
              <w:ind w:left="0"/>
              <w:rPr>
                <w:rFonts w:ascii="宋体" w:hAnsi="宋体"/>
                <w:sz w:val="21"/>
                <w:szCs w:val="21"/>
                <w:lang w:bidi="ar"/>
              </w:rPr>
            </w:pPr>
            <w:r>
              <w:rPr>
                <w:rFonts w:hint="eastAsia" w:ascii="宋体" w:hAnsi="宋体"/>
                <w:sz w:val="21"/>
                <w:szCs w:val="21"/>
                <w:lang w:bidi="ar"/>
              </w:rPr>
              <w:t xml:space="preserve">5、环网保护：支持G.8032以太网环保护协议（ERPS）。</w:t>
            </w:r>
            <w:r/>
          </w:p>
          <w:p>
            <w:pPr>
              <w:ind w:left="0"/>
              <w:rPr>
                <w:rFonts w:ascii="宋体" w:hAnsi="宋体"/>
                <w:sz w:val="21"/>
                <w:szCs w:val="21"/>
                <w:lang w:bidi="ar"/>
              </w:rPr>
            </w:pPr>
            <w:r>
              <w:rPr>
                <w:rFonts w:hint="eastAsia" w:ascii="宋体" w:hAnsi="宋体"/>
                <w:sz w:val="21"/>
                <w:szCs w:val="21"/>
                <w:lang w:bidi="ar"/>
              </w:rPr>
              <w:t xml:space="preserve">6、安全防护：支持CPU保护功能，业务端口具备10KV防雷能力。</w:t>
            </w:r>
            <w:r/>
          </w:p>
          <w:p>
            <w:pPr>
              <w:ind w:left="0"/>
              <w:rPr>
                <w:rFonts w:ascii="宋体" w:hAnsi="宋体"/>
                <w:sz w:val="21"/>
                <w:szCs w:val="21"/>
                <w:lang w:bidi="ar"/>
              </w:rPr>
            </w:pPr>
            <w:r>
              <w:rPr>
                <w:rFonts w:hint="eastAsia" w:ascii="宋体" w:hAnsi="宋体"/>
                <w:sz w:val="21"/>
                <w:szCs w:val="21"/>
                <w:lang w:bidi="ar"/>
              </w:rPr>
              <w:t xml:space="preserve">7、节能特性：支持端口休眠功能，关闭闲置端口节能。</w:t>
            </w:r>
            <w:r/>
          </w:p>
          <w:p>
            <w:pPr>
              <w:ind w:left="0"/>
              <w:rPr>
                <w:rFonts w:ascii="宋体" w:hAnsi="宋体"/>
                <w:sz w:val="21"/>
                <w:szCs w:val="21"/>
                <w:lang w:bidi="ar"/>
              </w:rPr>
            </w:pPr>
            <w:r>
              <w:rPr>
                <w:rFonts w:hint="eastAsia" w:ascii="宋体" w:hAnsi="宋体"/>
                <w:sz w:val="21"/>
                <w:szCs w:val="21"/>
                <w:lang w:bidi="ar"/>
              </w:rPr>
              <w:t xml:space="preserve">8、管理功能：内置智能图形化管理，支持配置下发、版本智能升级。</w:t>
            </w:r>
            <w:r/>
          </w:p>
          <w:p>
            <w:pPr>
              <w:ind w:left="0"/>
              <w:rPr>
                <w:rFonts w:ascii="宋体" w:hAnsi="宋体"/>
                <w:sz w:val="21"/>
                <w:szCs w:val="21"/>
                <w:lang w:bidi="ar"/>
              </w:rPr>
            </w:pPr>
            <w:r>
              <w:rPr>
                <w:rFonts w:hint="eastAsia" w:ascii="宋体" w:hAnsi="宋体"/>
                <w:sz w:val="21"/>
                <w:szCs w:val="21"/>
                <w:lang w:bidi="ar"/>
              </w:rPr>
              <w:t xml:space="preserve">9、资源优化：支持进程分布优化，可指定进程至不同CPU运行。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3103.89</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24口POE交换机</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1、硬件性能：整机交换容量≥672Gbps，转发性能≥126Mpps；支持POE+供电，总供电功率≥375W。</w:t>
            </w:r>
            <w:r/>
          </w:p>
          <w:p>
            <w:pPr>
              <w:ind w:left="0"/>
              <w:rPr>
                <w:rFonts w:ascii="宋体" w:hAnsi="宋体"/>
                <w:sz w:val="21"/>
                <w:szCs w:val="21"/>
                <w:lang w:bidi="ar"/>
              </w:rPr>
            </w:pPr>
            <w:r>
              <w:rPr>
                <w:rFonts w:hint="eastAsia" w:ascii="宋体" w:hAnsi="宋体"/>
                <w:sz w:val="21"/>
                <w:szCs w:val="21"/>
                <w:lang w:bidi="ar"/>
              </w:rPr>
              <w:t xml:space="preserve">2、端口配置：≥24个千兆电口，≥4个千兆SFP+口。</w:t>
            </w:r>
            <w:r/>
          </w:p>
          <w:p>
            <w:pPr>
              <w:ind w:left="0"/>
              <w:rPr>
                <w:rFonts w:ascii="宋体" w:hAnsi="宋体"/>
                <w:sz w:val="21"/>
                <w:szCs w:val="21"/>
                <w:lang w:bidi="ar"/>
              </w:rPr>
            </w:pPr>
            <w:r>
              <w:rPr>
                <w:rFonts w:hint="eastAsia" w:ascii="宋体" w:hAnsi="宋体"/>
                <w:sz w:val="21"/>
                <w:szCs w:val="21"/>
                <w:lang w:bidi="ar"/>
              </w:rPr>
              <w:t xml:space="preserve">3、地址表容量：路由地址表≥512，ARP地址表≥1K，MAC地址表≥16K。</w:t>
            </w:r>
            <w:r/>
          </w:p>
          <w:p>
            <w:pPr>
              <w:ind w:left="0"/>
              <w:rPr>
                <w:rFonts w:ascii="宋体" w:hAnsi="宋体"/>
                <w:sz w:val="21"/>
                <w:szCs w:val="21"/>
                <w:lang w:bidi="ar"/>
              </w:rPr>
            </w:pPr>
            <w:r>
              <w:rPr>
                <w:rFonts w:hint="eastAsia" w:ascii="宋体" w:hAnsi="宋体"/>
                <w:sz w:val="21"/>
                <w:szCs w:val="21"/>
                <w:lang w:bidi="ar"/>
              </w:rPr>
              <w:t xml:space="preserve">4、路由协议：支持IPv4/IPv6静态路由，RIP/RIPng、OSPFV2/V3动态路由。</w:t>
            </w:r>
            <w:r/>
          </w:p>
          <w:p>
            <w:pPr>
              <w:ind w:left="0"/>
              <w:rPr>
                <w:rFonts w:ascii="宋体" w:hAnsi="宋体"/>
                <w:sz w:val="21"/>
                <w:szCs w:val="21"/>
                <w:lang w:bidi="ar"/>
              </w:rPr>
            </w:pPr>
            <w:r>
              <w:rPr>
                <w:rFonts w:hint="eastAsia" w:ascii="宋体" w:hAnsi="宋体"/>
                <w:sz w:val="21"/>
                <w:szCs w:val="21"/>
                <w:lang w:bidi="ar"/>
              </w:rPr>
              <w:t xml:space="preserve">5、环网保护：支持G.8032以太网环保护协议（ERPS）。</w:t>
            </w:r>
            <w:r/>
          </w:p>
          <w:p>
            <w:pPr>
              <w:ind w:left="0"/>
              <w:rPr>
                <w:rFonts w:ascii="宋体" w:hAnsi="宋体"/>
                <w:sz w:val="21"/>
                <w:szCs w:val="21"/>
                <w:lang w:bidi="ar"/>
              </w:rPr>
            </w:pPr>
            <w:r>
              <w:rPr>
                <w:rFonts w:hint="eastAsia" w:ascii="宋体" w:hAnsi="宋体"/>
                <w:sz w:val="21"/>
                <w:szCs w:val="21"/>
                <w:lang w:bidi="ar"/>
              </w:rPr>
              <w:t xml:space="preserve">6、安全防护：支持CPU保护功能，业务端口具备10KV防雷能力。</w:t>
            </w:r>
            <w:r/>
          </w:p>
          <w:p>
            <w:pPr>
              <w:ind w:left="0"/>
              <w:rPr>
                <w:rFonts w:ascii="宋体" w:hAnsi="宋体"/>
                <w:sz w:val="21"/>
                <w:szCs w:val="21"/>
                <w:lang w:bidi="ar"/>
              </w:rPr>
            </w:pPr>
            <w:r>
              <w:rPr>
                <w:rFonts w:hint="eastAsia" w:ascii="宋体" w:hAnsi="宋体"/>
                <w:sz w:val="21"/>
                <w:szCs w:val="21"/>
                <w:lang w:bidi="ar"/>
              </w:rPr>
              <w:t xml:space="preserve">7、节能特性：支持端口休眠功能，关闭闲置端口节能。</w:t>
            </w:r>
            <w:r/>
          </w:p>
          <w:p>
            <w:pPr>
              <w:ind w:left="0"/>
              <w:rPr>
                <w:rFonts w:ascii="宋体" w:hAnsi="宋体"/>
                <w:sz w:val="21"/>
                <w:szCs w:val="21"/>
                <w:lang w:bidi="ar"/>
              </w:rPr>
            </w:pPr>
            <w:r>
              <w:rPr>
                <w:rFonts w:hint="eastAsia" w:ascii="宋体" w:hAnsi="宋体"/>
                <w:sz w:val="21"/>
                <w:szCs w:val="21"/>
                <w:lang w:bidi="ar"/>
              </w:rPr>
              <w:t xml:space="preserve">8、管理功能：内置智能图形化管理，支持配置下发、版本智能升级。</w:t>
            </w:r>
            <w:r/>
          </w:p>
          <w:p>
            <w:pPr>
              <w:ind w:left="0"/>
              <w:rPr>
                <w:rFonts w:ascii="宋体" w:hAnsi="宋体"/>
                <w:sz w:val="21"/>
                <w:szCs w:val="21"/>
                <w:lang w:bidi="ar"/>
              </w:rPr>
            </w:pPr>
            <w:r>
              <w:rPr>
                <w:rFonts w:hint="eastAsia" w:ascii="宋体" w:hAnsi="宋体"/>
                <w:sz w:val="21"/>
                <w:szCs w:val="21"/>
                <w:lang w:bidi="ar"/>
              </w:rPr>
              <w:t xml:space="preserve">9、资源优化：支持进程分布优化，可指定进程至不同CPU运行。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2976.26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汇聚交换机</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1、硬件性能：交换容量≥1.3Tbps，包转发率≥140Mpps；支持冗余电源，单台配置双电源，提升运行稳定性。</w:t>
            </w:r>
            <w:r/>
          </w:p>
          <w:p>
            <w:pPr>
              <w:ind w:left="0"/>
              <w:rPr>
                <w:rFonts w:ascii="宋体" w:hAnsi="宋体"/>
                <w:sz w:val="21"/>
                <w:szCs w:val="21"/>
                <w:lang w:bidi="ar"/>
              </w:rPr>
            </w:pPr>
            <w:r>
              <w:rPr>
                <w:rFonts w:hint="eastAsia" w:ascii="宋体" w:hAnsi="宋体"/>
                <w:sz w:val="21"/>
                <w:szCs w:val="21"/>
                <w:lang w:bidi="ar"/>
              </w:rPr>
              <w:t xml:space="preserve">2、端口配置：固化≥24个千兆光口、≥8个千兆电口（非光电复用）、≥4个万兆光口，满足多设备接入与高速组网需求。</w:t>
            </w:r>
            <w:r/>
          </w:p>
          <w:p>
            <w:pPr>
              <w:ind w:left="0"/>
              <w:rPr>
                <w:rFonts w:ascii="宋体" w:hAnsi="宋体"/>
                <w:sz w:val="21"/>
                <w:szCs w:val="21"/>
                <w:lang w:bidi="ar"/>
              </w:rPr>
            </w:pPr>
            <w:r>
              <w:rPr>
                <w:rFonts w:hint="eastAsia" w:ascii="宋体" w:hAnsi="宋体"/>
                <w:sz w:val="21"/>
                <w:szCs w:val="21"/>
                <w:lang w:bidi="ar"/>
              </w:rPr>
              <w:t xml:space="preserve">3、路由协议：支持IPv4/IPv6静态路由，及RIP、OSPF、IS-IS、BGP等多类动态路由协议（含IPv6版本），适配复杂网络拓扑。</w:t>
            </w:r>
            <w:r/>
          </w:p>
          <w:p>
            <w:pPr>
              <w:ind w:left="0"/>
              <w:rPr>
                <w:rFonts w:ascii="宋体" w:hAnsi="宋体"/>
                <w:sz w:val="21"/>
                <w:szCs w:val="21"/>
                <w:lang w:bidi="ar"/>
              </w:rPr>
            </w:pPr>
            <w:r>
              <w:rPr>
                <w:rFonts w:hint="eastAsia" w:ascii="宋体" w:hAnsi="宋体"/>
                <w:sz w:val="21"/>
                <w:szCs w:val="21"/>
                <w:lang w:bidi="ar"/>
              </w:rPr>
              <w:t xml:space="preserve">4、环网与冗余：支持STP/RSTP/MSTP协议，兼容ERPS环网协议，链路切换时间≤50ms，保障网络冗余与快速恢复。</w:t>
            </w:r>
            <w:r/>
          </w:p>
          <w:p>
            <w:pPr>
              <w:ind w:left="0"/>
              <w:rPr>
                <w:rFonts w:ascii="宋体" w:hAnsi="宋体"/>
                <w:sz w:val="21"/>
                <w:szCs w:val="21"/>
                <w:lang w:bidi="ar"/>
              </w:rPr>
            </w:pPr>
            <w:r>
              <w:rPr>
                <w:rFonts w:hint="eastAsia" w:ascii="宋体" w:hAnsi="宋体"/>
                <w:sz w:val="21"/>
                <w:szCs w:val="21"/>
                <w:lang w:bidi="ar"/>
              </w:rPr>
              <w:t xml:space="preserve">5、节能特性：符合IEEE802.3az（EEE）节能标准，支持端口休眠功能，关闭闲置端口以节省能源。</w:t>
            </w:r>
            <w:r/>
          </w:p>
          <w:p>
            <w:pPr>
              <w:ind w:left="0"/>
              <w:rPr>
                <w:rFonts w:ascii="宋体" w:hAnsi="宋体"/>
                <w:sz w:val="21"/>
                <w:szCs w:val="21"/>
                <w:lang w:bidi="ar"/>
              </w:rPr>
            </w:pPr>
            <w:r>
              <w:rPr>
                <w:rFonts w:hint="eastAsia" w:ascii="宋体" w:hAnsi="宋体"/>
                <w:sz w:val="21"/>
                <w:szCs w:val="21"/>
                <w:lang w:bidi="ar"/>
              </w:rPr>
              <w:t xml:space="preserve">6、安全防护：具备CPU保护功能，可限制非法报文攻击，保障设备在复杂环境下稳定运行。</w:t>
            </w:r>
            <w:r/>
          </w:p>
          <w:p>
            <w:pPr>
              <w:ind w:left="0"/>
              <w:rPr>
                <w:rFonts w:ascii="宋体" w:hAnsi="宋体"/>
                <w:sz w:val="21"/>
                <w:szCs w:val="21"/>
                <w:lang w:bidi="ar"/>
              </w:rPr>
            </w:pPr>
            <w:r>
              <w:rPr>
                <w:rFonts w:hint="eastAsia" w:ascii="宋体" w:hAnsi="宋体"/>
                <w:sz w:val="21"/>
                <w:szCs w:val="21"/>
                <w:lang w:bidi="ar"/>
              </w:rPr>
              <w:t xml:space="preserve">7、虚拟化与管理：支持横向虚拟化技术，可通过千兆/万兆以太端口堆叠；内置智能管理平台，实现整网拓扑可视与统一管理，无需额外配置网管平台。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8173.92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千兆单模光纤模块</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SFP千兆单模模块(1310nm,10km,LC)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330.75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综合配电箱</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1、总输入开关：支持125A/3P×1，作为总电源控制核心。</w:t>
            </w:r>
            <w:r/>
          </w:p>
          <w:p>
            <w:pPr>
              <w:ind w:left="0"/>
              <w:rPr>
                <w:rFonts w:ascii="宋体" w:hAnsi="宋体"/>
                <w:sz w:val="21"/>
                <w:szCs w:val="21"/>
                <w:lang w:bidi="ar"/>
              </w:rPr>
            </w:pPr>
            <w:r>
              <w:rPr>
                <w:rFonts w:hint="eastAsia" w:ascii="宋体" w:hAnsi="宋体"/>
                <w:sz w:val="21"/>
                <w:szCs w:val="21"/>
                <w:lang w:bidi="ar"/>
              </w:rPr>
              <w:t xml:space="preserve">2、输出支路配置：UPS专用：63A/3P×2（含输入、输出支路）；维修旁路：63A/3P×1（带挂锁设计，保障维修安全）；精密空调：63A/3P×1；机柜供电：32A/1P×12；机房插座：16A/2P×1（带漏电保护功能）；机房照明：16A/1P×1；备份支路：63A/3P×1、32A/1P×4、16A/1P×3</w:t>
            </w:r>
            <w:r/>
          </w:p>
          <w:p>
            <w:pPr>
              <w:ind w:left="0"/>
              <w:rPr>
                <w:rFonts w:ascii="宋体" w:hAnsi="宋体"/>
                <w:sz w:val="21"/>
                <w:szCs w:val="21"/>
                <w:lang w:bidi="ar"/>
              </w:rPr>
            </w:pPr>
            <w:r>
              <w:rPr>
                <w:rFonts w:hint="eastAsia" w:ascii="宋体" w:hAnsi="宋体"/>
                <w:sz w:val="21"/>
                <w:szCs w:val="21"/>
                <w:lang w:bidi="ar"/>
              </w:rPr>
              <w:t xml:space="preserve">3、附加防护：配套防雷、浪涌保护装置，提升配电安全。</w:t>
            </w:r>
            <w:r/>
          </w:p>
          <w:p>
            <w:pPr>
              <w:ind w:left="0"/>
              <w:rPr>
                <w:rFonts w:ascii="宋体" w:hAnsi="宋体"/>
                <w:sz w:val="21"/>
                <w:szCs w:val="21"/>
                <w:lang w:bidi="ar"/>
              </w:rPr>
            </w:pPr>
            <w:r>
              <w:rPr>
                <w:rFonts w:hint="eastAsia" w:ascii="宋体" w:hAnsi="宋体"/>
                <w:sz w:val="21"/>
                <w:szCs w:val="21"/>
                <w:lang w:bidi="ar"/>
              </w:rPr>
              <w:t xml:space="preserve">4、安装方式：挂壁式安装，适配机房空间布局需求。</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4413.74</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UPS主机</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1、核心规格：三进三出30kVA在线式高频机，输出功率因数为1，适配各类负载。</w:t>
            </w:r>
            <w:r/>
          </w:p>
          <w:p>
            <w:pPr>
              <w:ind w:left="0"/>
              <w:rPr>
                <w:rFonts w:ascii="宋体" w:hAnsi="宋体"/>
                <w:sz w:val="21"/>
                <w:szCs w:val="21"/>
                <w:lang w:bidi="ar"/>
              </w:rPr>
            </w:pPr>
            <w:r>
              <w:rPr>
                <w:rFonts w:hint="eastAsia" w:ascii="宋体" w:hAnsi="宋体"/>
                <w:sz w:val="21"/>
                <w:szCs w:val="21"/>
                <w:lang w:bidi="ar"/>
              </w:rPr>
              <w:t xml:space="preserve">2、输入输出：支持380/400/415V线电压、40~70Hz频率；相电压220V/110V可设，兼容多用电场景。</w:t>
            </w:r>
            <w:r/>
          </w:p>
          <w:p>
            <w:pPr>
              <w:ind w:left="0"/>
              <w:rPr>
                <w:rFonts w:ascii="宋体" w:hAnsi="宋体"/>
                <w:sz w:val="21"/>
                <w:szCs w:val="21"/>
                <w:lang w:bidi="ar"/>
              </w:rPr>
            </w:pPr>
            <w:r>
              <w:rPr>
                <w:rFonts w:hint="eastAsia" w:ascii="宋体" w:hAnsi="宋体"/>
                <w:sz w:val="21"/>
                <w:szCs w:val="21"/>
                <w:lang w:bidi="ar"/>
              </w:rPr>
              <w:t xml:space="preserve">3、能效表现：输入功率因数≥0.99，50%负载整机效率＞96%，节能降耗。</w:t>
            </w:r>
            <w:r/>
          </w:p>
          <w:p>
            <w:pPr>
              <w:ind w:left="0"/>
              <w:rPr>
                <w:rFonts w:ascii="宋体" w:hAnsi="宋体"/>
                <w:sz w:val="21"/>
                <w:szCs w:val="21"/>
                <w:lang w:bidi="ar"/>
              </w:rPr>
            </w:pPr>
            <w:r>
              <w:rPr>
                <w:rFonts w:hint="eastAsia" w:ascii="宋体" w:hAnsi="宋体"/>
                <w:sz w:val="21"/>
                <w:szCs w:val="21"/>
                <w:lang w:bidi="ar"/>
              </w:rPr>
              <w:t xml:space="preserve">4、控制与防护：支持双DSP全数字化控制；电路板三防工艺，适配恶劣环境。</w:t>
            </w:r>
            <w:r/>
          </w:p>
          <w:p>
            <w:pPr>
              <w:ind w:left="0"/>
              <w:rPr>
                <w:rFonts w:ascii="宋体" w:hAnsi="宋体"/>
                <w:sz w:val="21"/>
                <w:szCs w:val="21"/>
                <w:lang w:bidi="ar"/>
              </w:rPr>
            </w:pPr>
            <w:r>
              <w:rPr>
                <w:rFonts w:hint="eastAsia" w:ascii="宋体" w:hAnsi="宋体"/>
                <w:sz w:val="21"/>
                <w:szCs w:val="21"/>
                <w:lang w:bidi="ar"/>
              </w:rPr>
              <w:t xml:space="preserve">5、内置配置：集成主路/旁路/输出/维修旁路独立空开，接线便捷。</w:t>
            </w:r>
            <w:r/>
          </w:p>
          <w:p>
            <w:pPr>
              <w:ind w:left="0"/>
              <w:rPr>
                <w:rFonts w:ascii="宋体" w:hAnsi="宋体"/>
                <w:sz w:val="21"/>
                <w:szCs w:val="21"/>
                <w:lang w:bidi="ar"/>
              </w:rPr>
            </w:pPr>
            <w:r>
              <w:rPr>
                <w:rFonts w:hint="eastAsia" w:ascii="宋体" w:hAnsi="宋体"/>
                <w:sz w:val="21"/>
                <w:szCs w:val="21"/>
                <w:lang w:bidi="ar"/>
              </w:rPr>
              <w:t xml:space="preserve">6、过载能力：125%额定阻性负载＞10分钟转旁路，保障负载安全。</w:t>
            </w:r>
            <w:r/>
          </w:p>
          <w:p>
            <w:pPr>
              <w:ind w:left="0"/>
              <w:rPr>
                <w:rFonts w:ascii="宋体" w:hAnsi="宋体"/>
                <w:sz w:val="21"/>
                <w:szCs w:val="21"/>
                <w:lang w:bidi="ar"/>
              </w:rPr>
            </w:pPr>
            <w:r>
              <w:rPr>
                <w:rFonts w:hint="eastAsia" w:ascii="宋体" w:hAnsi="宋体"/>
                <w:sz w:val="21"/>
                <w:szCs w:val="21"/>
                <w:lang w:bidi="ar"/>
              </w:rPr>
              <w:t xml:space="preserve">7、电池适配：电池节数±16~±22节可调，维护灵活。</w:t>
            </w:r>
            <w:r/>
          </w:p>
          <w:p>
            <w:pPr>
              <w:ind w:left="0"/>
              <w:rPr>
                <w:rFonts w:ascii="宋体" w:hAnsi="宋体"/>
                <w:sz w:val="21"/>
                <w:szCs w:val="21"/>
                <w:lang w:bidi="ar"/>
              </w:rPr>
            </w:pPr>
            <w:r>
              <w:rPr>
                <w:rFonts w:hint="eastAsia" w:ascii="宋体" w:hAnsi="宋体"/>
                <w:sz w:val="21"/>
                <w:szCs w:val="21"/>
                <w:lang w:bidi="ar"/>
              </w:rPr>
              <w:t xml:space="preserve">8、运维功能：UPS系统需具有黑匣子功能，全面监控关键部分参数，实现故障可控可管：记录和预警关键部位器件的数据，可设置风扇更换时间到期提示功能，提供不少于8个温度监控点，包含IGBT温度、进风口温度、出风口温度或SCR温度。</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18229.78</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蓄电池</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1、配置规格：2组100AH蓄电池（每组32节，共64节），满足2小时系统后备时间需求。</w:t>
            </w:r>
            <w:r/>
          </w:p>
          <w:p>
            <w:pPr>
              <w:ind w:left="0"/>
              <w:rPr>
                <w:rFonts w:ascii="宋体" w:hAnsi="宋体"/>
                <w:sz w:val="21"/>
                <w:szCs w:val="21"/>
                <w:lang w:bidi="ar"/>
              </w:rPr>
            </w:pPr>
            <w:r>
              <w:rPr>
                <w:rFonts w:hint="eastAsia" w:ascii="宋体" w:hAnsi="宋体"/>
                <w:sz w:val="21"/>
                <w:szCs w:val="21"/>
                <w:lang w:bidi="ar"/>
              </w:rPr>
              <w:t xml:space="preserve">2、核心性能：板栅+合金优化设计，抗极板腐蚀；大电流放电稳定、快速充电可靠、深度放电恢复性强，延长使用寿命。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64</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619.83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电池柜</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单个可容纳32节12V100AH密封阀控式铅酸蓄电池。（不含基础底座）</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2320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直流开关</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采用100A/3P直流开关；电池组与UPS系统之间接入、断开连接控制，具有过载、短路保护功能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1708.53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电池连接线缆</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1、名称：BVR25</w:t>
            </w:r>
            <w:r/>
          </w:p>
          <w:p>
            <w:pPr>
              <w:ind w:left="0"/>
              <w:rPr>
                <w:rFonts w:ascii="宋体" w:hAnsi="宋体"/>
                <w:sz w:val="21"/>
                <w:szCs w:val="21"/>
                <w:lang w:bidi="ar"/>
              </w:rPr>
            </w:pPr>
            <w:r>
              <w:rPr>
                <w:rFonts w:hint="eastAsia" w:ascii="宋体" w:hAnsi="宋体"/>
                <w:sz w:val="21"/>
                <w:szCs w:val="21"/>
                <w:lang w:bidi="ar"/>
              </w:rPr>
              <w:t xml:space="preserve">2、配线形式：管内穿线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26.39</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JDG32管</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1、名称：JDG32</w:t>
            </w:r>
            <w:r/>
          </w:p>
          <w:p>
            <w:pPr>
              <w:ind w:left="0"/>
              <w:rPr>
                <w:rFonts w:ascii="宋体" w:hAnsi="宋体"/>
                <w:sz w:val="21"/>
                <w:szCs w:val="21"/>
                <w:lang w:bidi="ar"/>
              </w:rPr>
            </w:pPr>
            <w:r>
              <w:rPr>
                <w:rFonts w:hint="eastAsia" w:ascii="宋体" w:hAnsi="宋体"/>
                <w:sz w:val="21"/>
                <w:szCs w:val="21"/>
                <w:lang w:bidi="ar"/>
              </w:rPr>
              <w:t xml:space="preserve">2、规格：暗配（含墙面开槽及修复）</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18.01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UPS输入输出线缆</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1、名称：YJV4X16+1X10</w:t>
            </w:r>
            <w:r/>
          </w:p>
          <w:p>
            <w:pPr>
              <w:ind w:left="0"/>
              <w:rPr>
                <w:rFonts w:ascii="宋体" w:hAnsi="宋体"/>
                <w:sz w:val="21"/>
                <w:szCs w:val="21"/>
                <w:lang w:bidi="ar"/>
              </w:rPr>
            </w:pPr>
            <w:r>
              <w:rPr>
                <w:rFonts w:hint="eastAsia" w:ascii="宋体" w:hAnsi="宋体"/>
                <w:sz w:val="21"/>
                <w:szCs w:val="21"/>
                <w:lang w:bidi="ar"/>
              </w:rPr>
              <w:t xml:space="preserve">2、敷设方式、部位：管、桥架内敷设</w:t>
            </w:r>
            <w:r/>
          </w:p>
          <w:p>
            <w:pPr>
              <w:ind w:left="0"/>
              <w:rPr>
                <w:rFonts w:ascii="宋体" w:hAnsi="宋体"/>
                <w:sz w:val="21"/>
                <w:szCs w:val="21"/>
                <w:lang w:bidi="ar"/>
              </w:rPr>
            </w:pPr>
            <w:r>
              <w:rPr>
                <w:rFonts w:hint="eastAsia" w:ascii="宋体" w:hAnsi="宋体"/>
                <w:sz w:val="21"/>
                <w:szCs w:val="21"/>
                <w:lang w:bidi="ar"/>
              </w:rPr>
              <w:t xml:space="preserve">3、含电缆头制作安装、电缆测试、调试、挂标识牌、成品保护、防火封堵（若有）。</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91.13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JDG40管</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1、名称：JDG40</w:t>
            </w:r>
            <w:r/>
          </w:p>
          <w:p>
            <w:pPr>
              <w:ind w:left="0"/>
              <w:rPr>
                <w:rFonts w:ascii="宋体" w:hAnsi="宋体"/>
                <w:sz w:val="21"/>
                <w:szCs w:val="21"/>
                <w:lang w:bidi="ar"/>
              </w:rPr>
            </w:pPr>
            <w:r>
              <w:rPr>
                <w:rFonts w:hint="eastAsia" w:ascii="宋体" w:hAnsi="宋体"/>
                <w:sz w:val="21"/>
                <w:szCs w:val="21"/>
                <w:lang w:bidi="ar"/>
              </w:rPr>
              <w:t xml:space="preserve">2、配置形式：暗配（含墙面开槽及修复）</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23.15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精密空调输入线缆</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1、名称：YJV4X10+1X6</w:t>
            </w:r>
            <w:r/>
          </w:p>
          <w:p>
            <w:pPr>
              <w:ind w:left="0"/>
              <w:rPr>
                <w:rFonts w:ascii="宋体" w:hAnsi="宋体"/>
                <w:sz w:val="21"/>
                <w:szCs w:val="21"/>
                <w:lang w:bidi="ar"/>
              </w:rPr>
            </w:pPr>
            <w:r>
              <w:rPr>
                <w:rFonts w:hint="eastAsia" w:ascii="宋体" w:hAnsi="宋体"/>
                <w:sz w:val="21"/>
                <w:szCs w:val="21"/>
                <w:lang w:bidi="ar"/>
              </w:rPr>
              <w:t xml:space="preserve">2、敷设方式、部位：管、桥架内敷设</w:t>
            </w:r>
            <w:r/>
          </w:p>
          <w:p>
            <w:pPr>
              <w:ind w:left="0"/>
              <w:rPr>
                <w:rFonts w:ascii="宋体" w:hAnsi="宋体"/>
                <w:sz w:val="21"/>
                <w:szCs w:val="21"/>
                <w:lang w:bidi="ar"/>
              </w:rPr>
            </w:pPr>
            <w:r>
              <w:rPr>
                <w:rFonts w:hint="eastAsia" w:ascii="宋体" w:hAnsi="宋体"/>
                <w:sz w:val="21"/>
                <w:szCs w:val="21"/>
                <w:lang w:bidi="ar"/>
              </w:rPr>
              <w:t xml:space="preserve">3、含电缆头制作安装、电缆测试、调试、挂标识牌、成品保护、防火封堵（若有）。</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61.43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JDG32管</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1、名称：JDG32</w:t>
            </w:r>
            <w:r/>
          </w:p>
          <w:p>
            <w:pPr>
              <w:ind w:left="0"/>
              <w:rPr>
                <w:rFonts w:ascii="宋体" w:hAnsi="宋体"/>
                <w:sz w:val="21"/>
                <w:szCs w:val="21"/>
                <w:lang w:bidi="ar"/>
              </w:rPr>
            </w:pPr>
            <w:r>
              <w:rPr>
                <w:rFonts w:hint="eastAsia" w:ascii="宋体" w:hAnsi="宋体"/>
                <w:sz w:val="21"/>
                <w:szCs w:val="21"/>
                <w:lang w:bidi="ar"/>
              </w:rPr>
              <w:t xml:space="preserve">2、规格：暗配（含墙面开槽及修复）</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18.01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机柜PDU输入线缆</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1、名称：YJV3X4</w:t>
            </w:r>
            <w:r/>
          </w:p>
          <w:p>
            <w:pPr>
              <w:ind w:left="0"/>
              <w:rPr>
                <w:rFonts w:ascii="宋体" w:hAnsi="宋体"/>
                <w:sz w:val="21"/>
                <w:szCs w:val="21"/>
                <w:lang w:bidi="ar"/>
              </w:rPr>
            </w:pPr>
            <w:r>
              <w:rPr>
                <w:rFonts w:hint="eastAsia" w:ascii="宋体" w:hAnsi="宋体"/>
                <w:sz w:val="21"/>
                <w:szCs w:val="21"/>
                <w:lang w:bidi="ar"/>
              </w:rPr>
              <w:t xml:space="preserve">2、敷设方式、部位：管、桥架内敷设</w:t>
            </w:r>
            <w:r/>
          </w:p>
          <w:p>
            <w:pPr>
              <w:ind w:left="0"/>
              <w:rPr>
                <w:rFonts w:ascii="宋体" w:hAnsi="宋体"/>
                <w:sz w:val="21"/>
                <w:szCs w:val="21"/>
                <w:lang w:bidi="ar"/>
              </w:rPr>
            </w:pPr>
            <w:r>
              <w:rPr>
                <w:rFonts w:hint="eastAsia" w:ascii="宋体" w:hAnsi="宋体"/>
                <w:sz w:val="21"/>
                <w:szCs w:val="21"/>
                <w:lang w:bidi="ar"/>
              </w:rPr>
              <w:t xml:space="preserve">3、含电缆头制作安装、电缆测试、调试、挂标识牌、成品保护、防火封堵（若有）。</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150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19.78</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JDG25管</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1、名称：JDG25</w:t>
            </w:r>
            <w:r/>
          </w:p>
          <w:p>
            <w:pPr>
              <w:ind w:left="0"/>
              <w:rPr>
                <w:rFonts w:ascii="宋体" w:hAnsi="宋体"/>
                <w:sz w:val="21"/>
                <w:szCs w:val="21"/>
                <w:lang w:bidi="ar"/>
              </w:rPr>
            </w:pPr>
            <w:r>
              <w:rPr>
                <w:rFonts w:hint="eastAsia" w:ascii="宋体" w:hAnsi="宋体"/>
                <w:sz w:val="21"/>
                <w:szCs w:val="21"/>
                <w:lang w:bidi="ar"/>
              </w:rPr>
              <w:t xml:space="preserve">2、配置形式：暗配（含墙面开槽及修复）</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150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15.36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电池柜基础底座</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1、与设备的占地尺寸一致</w:t>
            </w:r>
            <w:r/>
          </w:p>
          <w:p>
            <w:pPr>
              <w:ind w:left="0"/>
              <w:rPr>
                <w:rFonts w:ascii="宋体" w:hAnsi="宋体"/>
                <w:sz w:val="21"/>
                <w:szCs w:val="21"/>
                <w:lang w:bidi="ar"/>
              </w:rPr>
            </w:pPr>
            <w:r>
              <w:rPr>
                <w:rFonts w:hint="eastAsia" w:ascii="宋体" w:hAnsi="宋体"/>
                <w:sz w:val="21"/>
                <w:szCs w:val="21"/>
                <w:lang w:bidi="ar"/>
              </w:rPr>
              <w:t xml:space="preserve">2、采用拼装式模块化结构，工厂预制，无需现场焊接，材质为钢板，表面采用黑色静电喷塑工艺（与机柜一致），板材厚度为2.0mm，其中承重框为整体焊接结构，水平脚的调节范围为0~50mm，标准高度约200mm；底座满足静载2000KG和抗震8烈度的要求。</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765.88</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巡查可视智能显示屏</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1、对接功能：与公安相关平台流畅对接，实时显示等候/候问室标识、使用状态、待询人员分配、在区时间及超时提醒。</w:t>
            </w:r>
            <w:r/>
          </w:p>
          <w:p>
            <w:pPr>
              <w:ind w:left="0"/>
              <w:rPr>
                <w:rFonts w:ascii="宋体" w:hAnsi="宋体"/>
                <w:sz w:val="21"/>
                <w:szCs w:val="21"/>
                <w:lang w:bidi="ar"/>
              </w:rPr>
            </w:pPr>
            <w:r>
              <w:rPr>
                <w:rFonts w:hint="eastAsia" w:ascii="宋体" w:hAnsi="宋体"/>
                <w:sz w:val="21"/>
                <w:szCs w:val="21"/>
                <w:lang w:bidi="ar"/>
              </w:rPr>
              <w:t xml:space="preserve">2、显示配置：≥21.5英寸屏幕，分辨率不低于1920*1080，支持横/竖屏播放。</w:t>
            </w:r>
            <w:r/>
          </w:p>
          <w:p>
            <w:pPr>
              <w:ind w:left="0"/>
              <w:rPr>
                <w:rFonts w:ascii="宋体" w:hAnsi="宋体"/>
                <w:sz w:val="21"/>
                <w:szCs w:val="21"/>
                <w:lang w:bidi="ar"/>
              </w:rPr>
            </w:pPr>
            <w:r>
              <w:rPr>
                <w:rFonts w:hint="eastAsia" w:ascii="宋体" w:hAnsi="宋体"/>
                <w:sz w:val="21"/>
                <w:szCs w:val="21"/>
                <w:lang w:bidi="ar"/>
              </w:rPr>
              <w:t xml:space="preserve">3、硬件性能：内存≥2G，内置存储≥16G，内嵌高清智能播放器（无需额外购置），搭载定制系统。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5060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智能显示屏固定支架</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挂壁式固定支架，钢制喷漆，可承重50KG以上。</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付</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147.29</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硬盘 8TB</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企业级硬盘，容量8TB，转速支持7200rpm，接口SATA接口，缓存不低于256MB，访问速度：不低于6Gb/s，最大持续数据传输率，外圈不低于263MB/s，MTBF:不少于200万小时，功耗:7~12瓦，电源要求:支持12V/5V</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块</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2990.23</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硬盘 10TB</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企业级硬盘，容量10TB，转速支持7200rpm，接口SATA接口，缓存不低于256MB，访问速度:不低于6Gb/s，最大持续数据传输率，外圈不低于263MB/s，MTBF:不少于200万小时，功耗:7~12瓦，电源要求:支持12V/5V</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块</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144</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3775.76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硬盘 6TB</w:t>
            </w:r>
            <w:r/>
          </w:p>
        </w:tc>
        <w:tc>
          <w:tcPr>
            <w:shd w:val="clear" w:color="auto" w:fill="auto"/>
            <w:tcBorders>
              <w:top w:val="single" w:color="000000" w:sz="4" w:space="0"/>
              <w:left w:val="none" w:color="000000" w:sz="4" w:space="0"/>
              <w:bottom w:val="single" w:color="000000" w:sz="4" w:space="0"/>
              <w:right w:val="single" w:color="000000" w:sz="4" w:space="0"/>
            </w:tcBorders>
            <w:tcW w:w="432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企业级硬盘，容量6TB，转速支持7200rpm，接口SATA接口，缓存不低于256MB，访问速度:不低于6Gb/s，最大持续数据传输率，外圈不低于263MB/s，MTBF:不少于200万小时，功耗:7~12瓦，电源要求:支持12V/5V</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块</w:t>
            </w:r>
            <w:r/>
          </w:p>
        </w:tc>
        <w:tc>
          <w:tcPr>
            <w:shd w:val="clear" w:color="auto" w:fill="auto"/>
            <w:tcBorders>
              <w:top w:val="single" w:color="000000" w:sz="4" w:space="0"/>
              <w:left w:val="none" w:color="000000" w:sz="4" w:space="0"/>
              <w:bottom w:val="single" w:color="000000" w:sz="4" w:space="0"/>
              <w:right w:val="single" w:color="000000" w:sz="4" w:space="0"/>
            </w:tcBorders>
            <w:tcW w:w="819"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151"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1861.03</w:t>
            </w:r>
            <w:r/>
          </w:p>
        </w:tc>
      </w:tr>
    </w:tbl>
    <w:p>
      <w:pPr>
        <w:ind w:left="400"/>
        <w:widowControl w:val="off"/>
        <w:rPr>
          <w:rFonts w:ascii="宋体" w:hAnsi="宋体" w:cs="Times New Roman"/>
          <w:sz w:val="21"/>
          <w:szCs w:val="21"/>
        </w:rPr>
      </w:pPr>
      <w:r>
        <w:rPr>
          <w:rFonts w:hint="eastAsia" w:ascii="宋体" w:hAnsi="宋体" w:cs="Times New Roman"/>
          <w:sz w:val="21"/>
          <w:szCs w:val="21"/>
        </w:rPr>
        <w:t xml:space="preserve">注：</w:t>
      </w:r>
      <w:r>
        <w:rPr>
          <w:rFonts w:hint="eastAsia" w:ascii="宋体" w:hAnsi="宋体" w:cs="Times New Roman"/>
          <w:sz w:val="21"/>
          <w:szCs w:val="21"/>
        </w:rPr>
        <w:br/>
        <w:t xml:space="preserve">1.本项目核心产品：序号31硬盘 10TB。</w:t>
      </w:r>
      <w:r/>
    </w:p>
    <w:p>
      <w:pPr>
        <w:ind w:left="0" w:firstLine="422"/>
        <w:widowControl w:val="off"/>
        <w:rPr>
          <w:rFonts w:ascii="宋体" w:hAnsi="宋体" w:cs="Times New Roman"/>
          <w:b/>
          <w:sz w:val="21"/>
          <w:szCs w:val="21"/>
        </w:rPr>
      </w:pPr>
      <w:r>
        <w:rPr>
          <w:rFonts w:hint="eastAsia" w:ascii="宋体" w:hAnsi="宋体" w:cs="Times New Roman"/>
          <w:b/>
          <w:sz w:val="21"/>
          <w:szCs w:val="21"/>
        </w:rPr>
        <w:t xml:space="preserve">2.投标单位对本项目所采购产品进行分项报价，分项报价不得高于单价最高限价，且报价总价不得高于总预算（总限价），否则视为未实质性响应招标文件要求。</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3.本采购项目所涉及的所有内容，均须符合中华人民共和国现行有效的强制性标准及最新版本的推荐性标准（包括但不限于国家标准、行业标准）。凡标准有不同版本或更新版本的，应执行发布最新且要求最严格的版本。若各标准、规范之间存在不一致之处，应以要求更严格者为准。</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4.本项目中若投标人所投产品涉及网络关键设备或网络安全专用产品的，应严格执行国家互联网信息办公室、工业和信息化部、公安部和国家认证认可监督管理委员会联合发布的2023年第2号关于调整《网络关键设备和网络安全专用产品目录》的公告相关文件要求，所响应设备或产品至少符合以下条件之一：一是已获得《计算机信息系统安全专用产品销售许可证》，且在有效期内；二是已由具备资格的机构安全认证合格或安全检测符合要求。</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5.投标人所提供的</w:t>
      </w:r>
      <w:r>
        <w:rPr>
          <w:rFonts w:ascii="宋体" w:hAnsi="宋体" w:cs="Times New Roman"/>
          <w:sz w:val="21"/>
          <w:szCs w:val="21"/>
        </w:rPr>
        <w:t xml:space="preserve">UPS</w:t>
      </w:r>
      <w:r>
        <w:rPr>
          <w:rFonts w:hint="eastAsia" w:ascii="宋体" w:hAnsi="宋体" w:cs="Times New Roman"/>
          <w:sz w:val="21"/>
          <w:szCs w:val="21"/>
        </w:rPr>
        <w:t xml:space="preserve">主机、蓄电池及相关配套设备，须为全新原装合格产品，完全符合国家现行标准及采购文件要求，质保期内因质量问题导致的故障应免费更换。</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6.因中标人产品存在质量缺陷或安装不当，导致火灾、漏液、供电中断等安全事故，造成采购人一切人身、财产损失的，中标人应承担全部法律责任及经济赔偿，该责任不因产品通过验收而免除。</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7.本项目实施过程中，中标方须严格遵守相关法律法规的规定。</w:t>
      </w:r>
      <w:r/>
    </w:p>
    <w:p>
      <w:pPr>
        <w:ind w:left="0" w:firstLine="420"/>
        <w:widowControl w:val="off"/>
        <w:rPr>
          <w:rFonts w:ascii="宋体" w:hAnsi="宋体" w:cs="Times New Roman"/>
          <w:sz w:val="21"/>
          <w:szCs w:val="21"/>
        </w:rPr>
      </w:pPr>
      <w:r>
        <w:rPr>
          <w:rFonts w:ascii="宋体" w:hAnsi="宋体" w:cs="Times New Roman"/>
          <w:sz w:val="21"/>
          <w:szCs w:val="21"/>
        </w:rPr>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（二）技术需求</w:t>
      </w:r>
      <w:r/>
    </w:p>
    <w:p>
      <w:pPr>
        <w:ind w:left="0" w:firstLine="420"/>
        <w:widowControl w:val="off"/>
        <w:rPr>
          <w:rFonts w:ascii="宋体" w:hAnsi="宋体" w:cs="Times New Roman"/>
          <w:sz w:val="21"/>
          <w:szCs w:val="21"/>
        </w:rPr>
      </w:pPr>
      <w:r>
        <w:rPr>
          <w:rFonts w:ascii="宋体" w:hAnsi="宋体" w:cs="Times New Roman"/>
          <w:sz w:val="21"/>
          <w:szCs w:val="21"/>
        </w:rPr>
        <w:t xml:space="preserve">1.围绕执法办案区规范化、智能化建设核心需求，补齐办案区硬件能力短板，支撑执法全过程记录、安全风险</w:t>
      </w:r>
      <w:r>
        <w:rPr>
          <w:rFonts w:hint="eastAsia" w:ascii="宋体" w:hAnsi="宋体" w:cs="Times New Roman"/>
          <w:sz w:val="21"/>
          <w:szCs w:val="21"/>
        </w:rPr>
        <w:t xml:space="preserve">防范</w:t>
      </w:r>
      <w:r>
        <w:rPr>
          <w:rFonts w:ascii="宋体" w:hAnsi="宋体" w:cs="Times New Roman"/>
          <w:sz w:val="21"/>
          <w:szCs w:val="21"/>
        </w:rPr>
        <w:t xml:space="preserve">、办案流程规范等核心业务开展。</w:t>
      </w:r>
      <w:r/>
    </w:p>
    <w:p>
      <w:pPr>
        <w:ind w:left="0" w:firstLine="420"/>
        <w:widowControl w:val="off"/>
        <w:rPr>
          <w:rFonts w:ascii="宋体" w:hAnsi="宋体" w:cs="Times New Roman"/>
          <w:sz w:val="21"/>
          <w:szCs w:val="21"/>
        </w:rPr>
      </w:pPr>
      <w:r>
        <w:rPr>
          <w:rFonts w:ascii="宋体" w:hAnsi="宋体" w:cs="Times New Roman"/>
          <w:sz w:val="21"/>
          <w:szCs w:val="21"/>
        </w:rPr>
        <w:t xml:space="preserve">2.本次采购覆盖执法办案区前端智能设备、安检与审讯专用设备、网络交换设备、机房供配电系统、存储硬盘、智能显示终端</w:t>
      </w:r>
      <w:r>
        <w:rPr>
          <w:rFonts w:hint="eastAsia" w:ascii="宋体" w:hAnsi="宋体" w:cs="Times New Roman"/>
          <w:sz w:val="21"/>
          <w:szCs w:val="21"/>
        </w:rPr>
        <w:t xml:space="preserve">等</w:t>
      </w:r>
      <w:r>
        <w:rPr>
          <w:rFonts w:ascii="宋体" w:hAnsi="宋体" w:cs="Times New Roman"/>
          <w:sz w:val="21"/>
          <w:szCs w:val="21"/>
        </w:rPr>
        <w:t xml:space="preserve">、</w:t>
      </w:r>
      <w:r>
        <w:rPr>
          <w:rFonts w:hint="eastAsia" w:ascii="宋体" w:hAnsi="宋体" w:cs="Times New Roman"/>
          <w:sz w:val="21"/>
          <w:szCs w:val="21"/>
        </w:rPr>
        <w:t xml:space="preserve">需</w:t>
      </w:r>
      <w:r>
        <w:rPr>
          <w:rFonts w:ascii="宋体" w:hAnsi="宋体" w:cs="Times New Roman"/>
          <w:sz w:val="21"/>
          <w:szCs w:val="21"/>
        </w:rPr>
        <w:t xml:space="preserve">安装调试、系统对接、技术支撑等全部建设内容</w:t>
      </w:r>
      <w:r>
        <w:rPr>
          <w:rFonts w:hint="eastAsia" w:ascii="宋体" w:hAnsi="宋体" w:cs="Times New Roman"/>
          <w:sz w:val="21"/>
          <w:szCs w:val="21"/>
        </w:rPr>
        <w:t xml:space="preserve">。</w:t>
      </w:r>
      <w:r/>
    </w:p>
    <w:p>
      <w:pPr>
        <w:ind w:left="0" w:firstLine="420"/>
        <w:widowControl w:val="off"/>
        <w:rPr>
          <w:rFonts w:ascii="宋体" w:hAnsi="宋体" w:cs="Times New Roman"/>
          <w:sz w:val="21"/>
          <w:szCs w:val="21"/>
        </w:rPr>
      </w:pPr>
      <w:r>
        <w:rPr>
          <w:rFonts w:ascii="宋体" w:hAnsi="宋体" w:cs="Times New Roman"/>
          <w:sz w:val="21"/>
          <w:szCs w:val="21"/>
        </w:rPr>
        <w:t xml:space="preserve">3.本项目智能前端摄像机、后端存储及关联系统设备，须与</w:t>
      </w:r>
      <w:r>
        <w:rPr>
          <w:rFonts w:hint="eastAsia" w:ascii="宋体" w:hAnsi="宋体" w:cs="Times New Roman"/>
          <w:sz w:val="21"/>
          <w:szCs w:val="21"/>
        </w:rPr>
        <w:t xml:space="preserve">采购方相关系统</w:t>
      </w:r>
      <w:r>
        <w:rPr>
          <w:rFonts w:ascii="宋体" w:hAnsi="宋体" w:cs="Times New Roman"/>
          <w:sz w:val="21"/>
          <w:szCs w:val="21"/>
        </w:rPr>
        <w:t xml:space="preserve">平台</w:t>
      </w:r>
      <w:r>
        <w:rPr>
          <w:rFonts w:hint="eastAsia" w:ascii="宋体" w:hAnsi="宋体" w:cs="Times New Roman"/>
          <w:sz w:val="21"/>
          <w:szCs w:val="21"/>
        </w:rPr>
        <w:t xml:space="preserve">实现顺畅</w:t>
      </w:r>
      <w:r>
        <w:rPr>
          <w:rFonts w:ascii="宋体" w:hAnsi="宋体" w:cs="Times New Roman"/>
          <w:sz w:val="21"/>
          <w:szCs w:val="21"/>
        </w:rPr>
        <w:t xml:space="preserve">对接。视频联网传输遵循《公共安全视频监控联网系统信息传输、交换、控制技术要求》</w:t>
      </w:r>
      <w:bookmarkStart w:id="106" w:name="OLE_LINK24"/>
      <w:r/>
      <w:bookmarkStart w:id="107" w:name="OLE_LINK23"/>
      <w:r>
        <w:rPr>
          <w:rFonts w:ascii="宋体" w:hAnsi="宋体" w:cs="Times New Roman"/>
          <w:sz w:val="21"/>
          <w:szCs w:val="21"/>
        </w:rPr>
        <w:t xml:space="preserve">GB/T 28181-2022</w:t>
      </w:r>
      <w:bookmarkEnd w:id="106"/>
      <w:r/>
      <w:bookmarkEnd w:id="107"/>
      <w:r>
        <w:rPr>
          <w:rFonts w:ascii="宋体" w:hAnsi="宋体" w:cs="Times New Roman"/>
          <w:sz w:val="21"/>
          <w:szCs w:val="21"/>
        </w:rPr>
        <w:t xml:space="preserve"> </w:t>
      </w:r>
      <w:r>
        <w:rPr>
          <w:rFonts w:hint="eastAsia" w:ascii="宋体" w:hAnsi="宋体" w:cs="Times New Roman"/>
          <w:sz w:val="21"/>
          <w:szCs w:val="21"/>
        </w:rPr>
        <w:t xml:space="preserve">等</w:t>
      </w:r>
      <w:r>
        <w:rPr>
          <w:rFonts w:ascii="宋体" w:hAnsi="宋体" w:cs="Times New Roman"/>
          <w:sz w:val="21"/>
          <w:szCs w:val="21"/>
        </w:rPr>
        <w:t xml:space="preserve">标准；视频</w:t>
      </w:r>
      <w:r>
        <w:rPr>
          <w:rFonts w:ascii="宋体" w:hAnsi="宋体" w:cs="Times New Roman"/>
          <w:sz w:val="21"/>
          <w:szCs w:val="21"/>
        </w:rPr>
        <w:t xml:space="preserve">图像数据交互遵循《公安视频图像信息应用系统 第 4 部分：接口协议要求》GA/T 1400 标准，确保视频流、智能告警、业务数据可稳定上传、跨平台互联互通。</w:t>
      </w:r>
      <w:r/>
    </w:p>
    <w:p>
      <w:pPr>
        <w:ind w:left="0" w:firstLine="420"/>
        <w:widowControl w:val="off"/>
        <w:rPr>
          <w:rFonts w:ascii="宋体" w:hAnsi="宋体" w:cs="Times New Roman"/>
          <w:sz w:val="21"/>
          <w:szCs w:val="21"/>
        </w:rPr>
      </w:pPr>
      <w:r>
        <w:rPr>
          <w:rFonts w:ascii="宋体" w:hAnsi="宋体" w:cs="Times New Roman"/>
          <w:sz w:val="21"/>
          <w:szCs w:val="21"/>
        </w:rPr>
        <w:t xml:space="preserve">4.系统全链路安全协议须符合《公共安全视频监控联网信息安全技术要求》GB 3511</w:t>
      </w:r>
      <w:r>
        <w:rPr>
          <w:rFonts w:hint="eastAsia" w:ascii="宋体" w:hAnsi="宋体" w:cs="Times New Roman"/>
          <w:sz w:val="21"/>
          <w:szCs w:val="21"/>
        </w:rPr>
        <w:t xml:space="preserve">4</w:t>
      </w:r>
      <w:r>
        <w:rPr>
          <w:rFonts w:ascii="宋体" w:hAnsi="宋体" w:cs="Times New Roman"/>
          <w:sz w:val="21"/>
          <w:szCs w:val="21"/>
        </w:rPr>
        <w:t xml:space="preserve">-2017 标准；</w:t>
      </w:r>
      <w:r>
        <w:rPr>
          <w:rFonts w:hint="eastAsia" w:ascii="宋体" w:hAnsi="宋体" w:cs="Times New Roman"/>
          <w:sz w:val="21"/>
          <w:szCs w:val="21"/>
        </w:rPr>
        <w:t xml:space="preserve">所采购</w:t>
      </w:r>
      <w:r>
        <w:rPr>
          <w:rFonts w:ascii="宋体" w:hAnsi="宋体" w:cs="Times New Roman"/>
          <w:sz w:val="21"/>
          <w:szCs w:val="21"/>
        </w:rPr>
        <w:t xml:space="preserve">网络摄像机设备须满足《公共安全视频监控联网信息安全技术要求》GB 35114 A 级安全标准，保障专网内数据传输、存储、调用全流程安全合规。</w:t>
      </w:r>
      <w:r/>
    </w:p>
    <w:p>
      <w:pPr>
        <w:ind w:left="0" w:firstLine="420"/>
        <w:widowControl w:val="off"/>
        <w:rPr>
          <w:rFonts w:ascii="宋体" w:hAnsi="宋体" w:cs="Times New Roman"/>
          <w:sz w:val="21"/>
          <w:szCs w:val="21"/>
        </w:rPr>
      </w:pPr>
      <w:r>
        <w:rPr>
          <w:rFonts w:ascii="宋体" w:hAnsi="宋体" w:cs="Times New Roman"/>
          <w:sz w:val="21"/>
          <w:szCs w:val="21"/>
        </w:rPr>
        <w:t xml:space="preserve">5.本项目建设及运维涉及业务专网，投标</w:t>
      </w:r>
      <w:r>
        <w:rPr>
          <w:rFonts w:hint="eastAsia" w:ascii="宋体" w:hAnsi="宋体" w:cs="Times New Roman"/>
          <w:sz w:val="21"/>
          <w:szCs w:val="21"/>
        </w:rPr>
        <w:t xml:space="preserve">单位</w:t>
      </w:r>
      <w:r>
        <w:rPr>
          <w:rFonts w:ascii="宋体" w:hAnsi="宋体" w:cs="Times New Roman"/>
          <w:sz w:val="21"/>
          <w:szCs w:val="21"/>
        </w:rPr>
        <w:t xml:space="preserve">须组建具备</w:t>
      </w:r>
      <w:r>
        <w:rPr>
          <w:rFonts w:hint="eastAsia" w:ascii="宋体" w:hAnsi="宋体" w:cs="Times New Roman"/>
          <w:sz w:val="21"/>
          <w:szCs w:val="21"/>
        </w:rPr>
        <w:t xml:space="preserve">组网设计能力。需配备</w:t>
      </w:r>
      <w:r>
        <w:rPr>
          <w:rFonts w:ascii="宋体" w:hAnsi="宋体" w:cs="Times New Roman"/>
          <w:sz w:val="21"/>
          <w:szCs w:val="21"/>
        </w:rPr>
        <w:t xml:space="preserve">网络与信息安全、系统安防、网络工程等专业能力的项目实施团队，保障系统建设质量与长期稳定运行。</w:t>
      </w:r>
      <w:r/>
    </w:p>
    <w:p>
      <w:pPr>
        <w:ind w:left="0"/>
        <w:widowControl w:val="off"/>
        <w:rPr>
          <w:rFonts w:ascii="宋体" w:hAnsi="宋体" w:cs="Times New Roman"/>
          <w:sz w:val="21"/>
          <w:szCs w:val="21"/>
        </w:rPr>
      </w:pPr>
      <w:r>
        <w:rPr>
          <w:rFonts w:ascii="宋体" w:hAnsi="宋体" w:cs="Times New Roman"/>
          <w:sz w:val="21"/>
          <w:szCs w:val="21"/>
        </w:rPr>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43"/>
        <w:gridCol w:w="2354"/>
        <w:gridCol w:w="7051"/>
      </w:tblGrid>
      <w:tr>
        <w:trPr>
          <w:trHeight w:val="23"/>
        </w:trPr>
        <w:tc>
          <w:tcPr>
            <w:shd w:val="clear" w:color="auto" w:fill="auto"/>
            <w:tcW w:w="225"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6</w:t>
            </w:r>
            <w:r/>
          </w:p>
        </w:tc>
        <w:tc>
          <w:tcPr>
            <w:shd w:val="clear" w:color="auto" w:fill="auto"/>
            <w:tcW w:w="1195" w:type="pct"/>
            <w:vAlign w:val="center"/>
            <w:textDirection w:val="lrTb"/>
            <w:noWrap w:val="false"/>
          </w:tcPr>
          <w:p>
            <w:pPr>
              <w:ind w:left="0"/>
              <w:spacing w:line="400" w:lineRule="exact"/>
              <w:rPr>
                <w:rFonts w:ascii="宋体" w:hAnsi="宋体"/>
                <w:bCs/>
                <w:sz w:val="21"/>
                <w:szCs w:val="21"/>
              </w:rPr>
            </w:pPr>
            <w:r>
              <w:rPr>
                <w:rFonts w:hint="eastAsia" w:ascii="宋体" w:hAnsi="宋体"/>
                <w:bCs/>
                <w:sz w:val="21"/>
                <w:szCs w:val="21"/>
              </w:rPr>
              <w:t xml:space="preserve">七</w:t>
            </w:r>
            <w:r>
              <w:rPr>
                <w:rFonts w:ascii="宋体" w:hAnsi="宋体"/>
                <w:bCs/>
                <w:sz w:val="21"/>
                <w:szCs w:val="21"/>
              </w:rPr>
              <w:t xml:space="preserve">、商务要求</w:t>
            </w:r>
            <w:r/>
          </w:p>
        </w:tc>
        <w:tc>
          <w:tcPr>
            <w:shd w:val="clear" w:color="auto" w:fill="auto"/>
            <w:tcW w:w="3580" w:type="pct"/>
            <w:vAlign w:val="center"/>
            <w:textDirection w:val="lrTb"/>
            <w:noWrap w:val="false"/>
          </w:tcPr>
          <w:p>
            <w:pPr>
              <w:ind w:left="0"/>
              <w:spacing w:line="400" w:lineRule="exact"/>
              <w:rPr>
                <w:rFonts w:ascii="宋体" w:hAnsi="宋体"/>
                <w:bCs/>
                <w:sz w:val="21"/>
                <w:szCs w:val="21"/>
              </w:rPr>
            </w:pPr>
            <w:r>
              <w:rPr>
                <w:rFonts w:ascii="宋体" w:hAnsi="宋体"/>
                <w:bCs/>
                <w:spacing w:val="-11"/>
                <w:sz w:val="21"/>
                <w:szCs w:val="21"/>
              </w:rPr>
              <w:t xml:space="preserve">1.采购项目交付或者实施的时间要求:</w:t>
            </w:r>
            <w:r>
              <w:rPr>
                <w:rFonts w:ascii="宋体" w:hAnsi="宋体"/>
                <w:bCs/>
                <w:sz w:val="21"/>
                <w:szCs w:val="21"/>
              </w:rPr>
              <w:br/>
              <w:t xml:space="preserve">项目交付时间：合同签订后</w:t>
            </w:r>
            <w:r>
              <w:rPr>
                <w:rFonts w:hint="eastAsia" w:ascii="宋体" w:hAnsi="宋体"/>
                <w:bCs/>
                <w:sz w:val="21"/>
                <w:szCs w:val="21"/>
              </w:rPr>
              <w:t xml:space="preserve">4个月</w:t>
            </w:r>
            <w:r>
              <w:rPr>
                <w:rFonts w:ascii="宋体" w:hAnsi="宋体"/>
                <w:bCs/>
                <w:sz w:val="21"/>
                <w:szCs w:val="21"/>
              </w:rPr>
              <w:t xml:space="preserve">内。</w:t>
            </w:r>
            <w:r/>
          </w:p>
          <w:p>
            <w:pPr>
              <w:ind w:left="0"/>
              <w:spacing w:line="400" w:lineRule="exact"/>
              <w:rPr>
                <w:rFonts w:ascii="宋体" w:hAnsi="宋体"/>
                <w:bCs/>
                <w:sz w:val="21"/>
                <w:szCs w:val="21"/>
              </w:rPr>
            </w:pPr>
            <w:r>
              <w:rPr>
                <w:rFonts w:ascii="宋体" w:hAnsi="宋体"/>
                <w:bCs/>
                <w:sz w:val="21"/>
                <w:szCs w:val="21"/>
              </w:rPr>
              <w:t xml:space="preserve">2.项目实施的地点：</w:t>
            </w:r>
            <w:r>
              <w:rPr>
                <w:rFonts w:hint="eastAsia" w:ascii="宋体" w:hAnsi="宋体"/>
                <w:bCs/>
                <w:sz w:val="21"/>
                <w:szCs w:val="21"/>
              </w:rPr>
              <w:t xml:space="preserve">采购方指定地点</w:t>
            </w:r>
            <w:r>
              <w:rPr>
                <w:rFonts w:ascii="宋体" w:hAnsi="宋体"/>
                <w:bCs/>
                <w:sz w:val="21"/>
                <w:szCs w:val="21"/>
              </w:rPr>
              <w:t xml:space="preserve">。</w:t>
            </w:r>
            <w:r/>
          </w:p>
          <w:p>
            <w:pPr>
              <w:ind w:left="0"/>
              <w:spacing w:line="400" w:lineRule="exact"/>
              <w:rPr>
                <w:rFonts w:ascii="宋体" w:hAnsi="宋体"/>
                <w:bCs/>
                <w:sz w:val="21"/>
                <w:szCs w:val="21"/>
              </w:rPr>
            </w:pPr>
            <w:r>
              <w:rPr>
                <w:rFonts w:ascii="宋体" w:hAnsi="宋体"/>
                <w:bCs/>
                <w:sz w:val="21"/>
                <w:szCs w:val="21"/>
              </w:rPr>
              <w:t xml:space="preserve">3.付款进度和方式：</w:t>
            </w:r>
            <w:r>
              <w:rPr>
                <w:rFonts w:hint="eastAsia" w:ascii="宋体" w:hAnsi="宋体"/>
                <w:bCs/>
                <w:sz w:val="21"/>
                <w:szCs w:val="21"/>
              </w:rPr>
              <w:t xml:space="preserve">合同签订并生效后30日内采购方向中标方支付合同总金额的30%作为预付款，货物到货交付完成并经采购方初验合格后30日内，采购方向中标方支付合同总金额的40%；项目通过采购方最终验收并经结算后30日内，采购方向中标方支付剩余款项。</w:t>
            </w:r>
            <w:r/>
          </w:p>
          <w:p>
            <w:pPr>
              <w:ind w:left="0"/>
              <w:spacing w:line="400" w:lineRule="exact"/>
              <w:rPr>
                <w:rFonts w:ascii="宋体" w:hAnsi="宋体"/>
                <w:bCs/>
                <w:sz w:val="21"/>
                <w:szCs w:val="21"/>
              </w:rPr>
            </w:pPr>
            <w:r>
              <w:rPr>
                <w:rFonts w:ascii="宋体" w:hAnsi="宋体"/>
                <w:bCs/>
                <w:sz w:val="21"/>
                <w:szCs w:val="21"/>
              </w:rPr>
              <w:t xml:space="preserve">4.包装和运输要求：</w:t>
            </w:r>
            <w:r>
              <w:rPr>
                <w:rFonts w:hint="eastAsia" w:ascii="宋体" w:hAnsi="宋体"/>
                <w:bCs/>
                <w:sz w:val="21"/>
                <w:szCs w:val="21"/>
              </w:rPr>
              <w:t xml:space="preserve">货物包装参照《商品包装政府采购需求标准（试行）》、《快递包装政府采购需求标准（试行）》标准执行，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w:t>
            </w:r>
            <w:r/>
          </w:p>
          <w:p>
            <w:pPr>
              <w:ind w:left="0"/>
              <w:spacing w:line="400" w:lineRule="exact"/>
              <w:rPr>
                <w:rFonts w:ascii="宋体" w:hAnsi="宋体"/>
                <w:bCs/>
                <w:sz w:val="21"/>
                <w:szCs w:val="21"/>
              </w:rPr>
            </w:pPr>
            <w:r>
              <w:rPr>
                <w:rFonts w:hint="eastAsia" w:ascii="宋体" w:hAnsi="宋体"/>
                <w:bCs/>
                <w:sz w:val="21"/>
                <w:szCs w:val="21"/>
              </w:rPr>
              <w:t xml:space="preserve">货物运输选择合适的运输方式：根据设备的特点和数量，选择合适的运输方式，如公路运输、铁路运输或空运等。确保运输过程中设备的安全和稳定；运输过程中的保护措施：在运输过程中，应采取必要的保护措施，如固定设备位置、避免震动和碰撞等。对于大型或重型设备，应使用专用运输工具进行运输；运输时间控制：尽量缩短运输时间，以减少设备在运输过程中的风险。对于紧急采购的设备，应优先安排运输，确保及时到达。</w:t>
            </w:r>
            <w:r/>
          </w:p>
          <w:p>
            <w:pPr>
              <w:ind w:left="0"/>
              <w:spacing w:line="400" w:lineRule="exact"/>
              <w:rPr>
                <w:rFonts w:ascii="宋体" w:hAnsi="宋体"/>
                <w:bCs/>
                <w:sz w:val="21"/>
                <w:szCs w:val="21"/>
              </w:rPr>
            </w:pPr>
            <w:r>
              <w:rPr>
                <w:rFonts w:hint="eastAsia" w:ascii="宋体" w:hAnsi="宋体"/>
                <w:bCs/>
                <w:sz w:val="21"/>
                <w:szCs w:val="21"/>
              </w:rPr>
              <w:t xml:space="preserve">中标方应对设备、安装设备（工具）等提供适当的保护、包装或覆盖等处理，以免受损；中标方应保证所提供的设备、系统是全新的、未使用过的，并且是非长期积压的库存商品，完全符合合同规定的质量、规格和性能的要求，同时应保证其提供的设备、系统在正确安装、正常使用和保养条件下，在其标称的使用寿命期内应具有满意的性能。中标方提供的设备必须为原包装，在送交验收前不得拆箱。</w:t>
            </w:r>
            <w:r>
              <w:rPr>
                <w:rFonts w:ascii="宋体" w:hAnsi="宋体"/>
                <w:bCs/>
                <w:sz w:val="21"/>
                <w:szCs w:val="21"/>
              </w:rPr>
              <w:br/>
              <w:t xml:space="preserve">5.本项目免费质量保证期要求不低于</w:t>
            </w:r>
            <w:r>
              <w:rPr>
                <w:rFonts w:hint="eastAsia" w:ascii="宋体" w:hAnsi="宋体"/>
                <w:bCs/>
                <w:sz w:val="21"/>
                <w:szCs w:val="21"/>
              </w:rPr>
              <w:t xml:space="preserve">  </w:t>
            </w:r>
            <w:r>
              <w:rPr>
                <w:rFonts w:hint="eastAsia" w:ascii="宋体" w:hAnsi="宋体"/>
                <w:bCs/>
                <w:sz w:val="21"/>
                <w:szCs w:val="21"/>
                <w:u w:val="single"/>
              </w:rPr>
              <w:t xml:space="preserve"> 3   </w:t>
            </w:r>
            <w:r>
              <w:rPr>
                <w:rFonts w:ascii="宋体" w:hAnsi="宋体"/>
                <w:bCs/>
                <w:sz w:val="21"/>
                <w:szCs w:val="21"/>
              </w:rPr>
              <w:t xml:space="preserve">年。免费质量保证期从货物供货、安装、调试正常且经采购使用部门确认验收合格之日起算。</w:t>
            </w:r>
            <w:r/>
          </w:p>
          <w:p>
            <w:pPr>
              <w:ind w:left="0"/>
              <w:spacing w:line="400" w:lineRule="exact"/>
              <w:rPr>
                <w:rFonts w:ascii="宋体" w:hAnsi="宋体"/>
                <w:bCs/>
                <w:sz w:val="21"/>
                <w:szCs w:val="21"/>
              </w:rPr>
            </w:pPr>
            <w:r>
              <w:rPr>
                <w:rFonts w:ascii="宋体" w:hAnsi="宋体"/>
                <w:bCs/>
                <w:sz w:val="21"/>
                <w:szCs w:val="21"/>
              </w:rPr>
              <w:t xml:space="preserve">6.售后服务标准要求：</w:t>
            </w:r>
            <w:r/>
          </w:p>
          <w:p>
            <w:pPr>
              <w:ind w:left="0"/>
              <w:spacing w:line="400" w:lineRule="exact"/>
              <w:rPr>
                <w:rFonts w:ascii="宋体" w:hAnsi="宋体"/>
                <w:bCs/>
                <w:sz w:val="21"/>
                <w:szCs w:val="21"/>
              </w:rPr>
            </w:pPr>
            <w:r>
              <w:rPr>
                <w:rFonts w:hint="eastAsia" w:ascii="宋体" w:hAnsi="宋体"/>
                <w:bCs/>
                <w:sz w:val="21"/>
                <w:szCs w:val="21"/>
              </w:rPr>
              <w:t xml:space="preserve">（1）提供完善的售后服务及应急保障方案：包括但不限于保障人员、保障团队、保障内容；在质保期内，中标单位应提供工程师提供专业运维服务；</w:t>
            </w:r>
            <w:r/>
          </w:p>
          <w:p>
            <w:pPr>
              <w:ind w:left="0"/>
              <w:spacing w:line="400" w:lineRule="exact"/>
              <w:rPr>
                <w:rFonts w:ascii="宋体" w:hAnsi="宋体"/>
                <w:bCs/>
                <w:sz w:val="21"/>
                <w:szCs w:val="21"/>
              </w:rPr>
            </w:pPr>
            <w:r>
              <w:rPr>
                <w:rFonts w:hint="eastAsia" w:ascii="宋体" w:hAnsi="宋体"/>
                <w:bCs/>
                <w:sz w:val="21"/>
                <w:szCs w:val="21"/>
              </w:rPr>
              <w:t xml:space="preserve">（2）提供保障设备正常运行的日常运行维护方案，包括但不限于故障修复（含远程技术支持、现场技术支持）、版本管理和软硬件补丁升级等服务、系统巡检、重要事件保障、应急恢复方案设计与预演等的描述和说明；</w:t>
            </w:r>
            <w:r/>
          </w:p>
          <w:p>
            <w:pPr>
              <w:ind w:left="0"/>
              <w:spacing w:line="400" w:lineRule="exact"/>
              <w:rPr>
                <w:rFonts w:ascii="宋体" w:hAnsi="宋体"/>
                <w:bCs/>
                <w:sz w:val="21"/>
                <w:szCs w:val="21"/>
              </w:rPr>
            </w:pPr>
            <w:r>
              <w:rPr>
                <w:rFonts w:hint="eastAsia" w:ascii="宋体" w:hAnsi="宋体"/>
                <w:bCs/>
                <w:sz w:val="21"/>
                <w:szCs w:val="21"/>
              </w:rPr>
              <w:t xml:space="preserve">（3）应建立快速故障响应与上门处置机制，保障系统连续稳定运行，不得影响正常执法办案工作开展；</w:t>
            </w:r>
            <w:r/>
          </w:p>
          <w:p>
            <w:pPr>
              <w:ind w:left="0"/>
              <w:spacing w:line="400" w:lineRule="exact"/>
              <w:rPr>
                <w:rFonts w:ascii="宋体" w:hAnsi="宋体"/>
                <w:bCs/>
                <w:sz w:val="21"/>
                <w:szCs w:val="21"/>
              </w:rPr>
            </w:pPr>
            <w:r>
              <w:rPr>
                <w:rFonts w:hint="eastAsia" w:ascii="宋体" w:hAnsi="宋体"/>
                <w:bCs/>
                <w:sz w:val="21"/>
                <w:szCs w:val="21"/>
              </w:rPr>
              <w:t xml:space="preserve">（4）应具备详细的备品备件管理措施，备品备件更换能力。</w:t>
            </w:r>
            <w:r>
              <w:rPr>
                <w:rFonts w:ascii="宋体" w:hAnsi="宋体"/>
                <w:bCs/>
                <w:sz w:val="21"/>
                <w:szCs w:val="21"/>
              </w:rPr>
              <w:br/>
              <w:t xml:space="preserve">7.售后服务效率要求：</w:t>
            </w:r>
            <w:r>
              <w:rPr>
                <w:rFonts w:hint="eastAsia" w:ascii="宋体" w:hAnsi="宋体"/>
                <w:bCs/>
                <w:sz w:val="21"/>
                <w:szCs w:val="21"/>
              </w:rPr>
              <w:t xml:space="preserve">提供7×24小时响应服务，提供2小时以内响应，24小时以内赶到故障现场进行维护服务；从中标方工程技术人员进行故障处理开始，到全部故障排除，整个系统完全恢复到故障前的正常状态所需时间不大于48小时。</w:t>
            </w:r>
            <w:r/>
          </w:p>
          <w:p>
            <w:pPr>
              <w:ind w:left="0"/>
              <w:spacing w:line="400" w:lineRule="exact"/>
              <w:rPr>
                <w:rFonts w:ascii="宋体" w:hAnsi="宋体"/>
                <w:bCs/>
                <w:sz w:val="21"/>
                <w:szCs w:val="21"/>
              </w:rPr>
            </w:pPr>
            <w:r>
              <w:rPr>
                <w:rFonts w:hint="eastAsia" w:ascii="宋体" w:hAnsi="宋体"/>
                <w:bCs/>
                <w:sz w:val="21"/>
                <w:szCs w:val="21"/>
              </w:rPr>
              <w:t xml:space="preserve">7.保险要求：在项目实施及质保期间，中标方应当配备必要的安全生产管理人员，负责强化项目实施人员安全教育和安全管理，如实施过程中存在人身安全风险的，中标方应当为实施人员购买必要的人身安全保险。</w:t>
            </w:r>
            <w:r/>
          </w:p>
          <w:p>
            <w:pPr>
              <w:ind w:left="0"/>
              <w:spacing w:line="400" w:lineRule="exact"/>
              <w:widowControl w:val="off"/>
              <w:tabs>
                <w:tab w:val="left" w:pos="312" w:leader="none"/>
              </w:tabs>
              <w:rPr>
                <w:rFonts w:ascii="宋体" w:hAnsi="宋体"/>
                <w:bCs/>
                <w:sz w:val="21"/>
                <w:szCs w:val="21"/>
              </w:rPr>
            </w:pPr>
            <w:r>
              <w:rPr>
                <w:rFonts w:hint="eastAsia" w:ascii="宋体" w:hAnsi="宋体"/>
                <w:bCs/>
                <w:sz w:val="21"/>
                <w:szCs w:val="21"/>
              </w:rPr>
              <w:t xml:space="preserve">8</w:t>
            </w:r>
            <w:r>
              <w:rPr>
                <w:rFonts w:ascii="宋体" w:hAnsi="宋体"/>
                <w:bCs/>
                <w:sz w:val="21"/>
                <w:szCs w:val="21"/>
              </w:rPr>
              <w:t xml:space="preserve">.</w:t>
            </w:r>
            <w:r>
              <w:rPr>
                <w:rFonts w:hint="eastAsia" w:ascii="宋体" w:hAnsi="宋体"/>
                <w:bCs/>
                <w:sz w:val="21"/>
                <w:szCs w:val="21"/>
              </w:rPr>
              <w:t xml:space="preserve">投标</w:t>
            </w:r>
            <w:r>
              <w:rPr>
                <w:rFonts w:ascii="宋体" w:hAnsi="宋体"/>
                <w:bCs/>
                <w:sz w:val="21"/>
                <w:szCs w:val="21"/>
              </w:rPr>
              <w:t xml:space="preserve">单位需提供现场实施人员不少于7人。要求如下：</w:t>
            </w:r>
            <w:r/>
          </w:p>
          <w:p>
            <w:pPr>
              <w:ind w:left="0"/>
              <w:spacing w:line="400" w:lineRule="exact"/>
              <w:rPr>
                <w:rFonts w:ascii="宋体" w:hAnsi="宋体"/>
                <w:bCs/>
                <w:sz w:val="21"/>
                <w:szCs w:val="21"/>
              </w:rPr>
            </w:pPr>
            <w:r>
              <w:rPr>
                <w:rFonts w:ascii="宋体" w:hAnsi="宋体"/>
                <w:bCs/>
                <w:sz w:val="21"/>
                <w:szCs w:val="21"/>
              </w:rPr>
              <w:t xml:space="preserve">（1）项目负责人：1人，负责项目整体统筹推进、各方协调对接、进度管控与问题跟踪落实，须具备信息系统建设、项目规划管理、业务终端应用等领域的专业能力，具有同类项目管理工作经验</w:t>
            </w:r>
            <w:r>
              <w:rPr>
                <w:rFonts w:hint="eastAsia" w:ascii="宋体" w:hAnsi="宋体"/>
                <w:bCs/>
                <w:sz w:val="21"/>
                <w:szCs w:val="21"/>
              </w:rPr>
              <w:t xml:space="preserve">；</w:t>
            </w:r>
            <w:r/>
          </w:p>
          <w:p>
            <w:pPr>
              <w:ind w:left="0"/>
              <w:spacing w:line="400" w:lineRule="exact"/>
              <w:rPr>
                <w:rFonts w:ascii="宋体" w:hAnsi="宋体"/>
                <w:bCs/>
                <w:sz w:val="21"/>
                <w:szCs w:val="21"/>
              </w:rPr>
            </w:pPr>
            <w:r>
              <w:rPr>
                <w:rFonts w:ascii="宋体" w:hAnsi="宋体"/>
                <w:bCs/>
                <w:sz w:val="21"/>
                <w:szCs w:val="21"/>
              </w:rPr>
              <w:t xml:space="preserve">（2）技术负责人：1人，负责项目实施全流程技术方案落地、技术难题攻关、施工质量管控，须具备IT运维、系统安防、网络工程等领域的专业技术能力，具有同类项目技术管理工作经验</w:t>
            </w:r>
            <w:r>
              <w:rPr>
                <w:rFonts w:hint="eastAsia" w:ascii="宋体" w:hAnsi="宋体"/>
                <w:bCs/>
                <w:sz w:val="21"/>
                <w:szCs w:val="21"/>
              </w:rPr>
              <w:t xml:space="preserve">；</w:t>
            </w:r>
            <w:r/>
          </w:p>
          <w:p>
            <w:pPr>
              <w:ind w:left="0"/>
              <w:spacing w:line="400" w:lineRule="exact"/>
              <w:rPr>
                <w:rFonts w:ascii="宋体" w:hAnsi="宋体"/>
                <w:bCs/>
                <w:sz w:val="21"/>
                <w:szCs w:val="21"/>
              </w:rPr>
            </w:pPr>
            <w:r>
              <w:rPr>
                <w:rFonts w:hint="eastAsia" w:ascii="宋体" w:hAnsi="宋体"/>
                <w:bCs/>
                <w:sz w:val="21"/>
                <w:szCs w:val="21"/>
              </w:rPr>
              <w:t xml:space="preserve">（3）运维负责人：1人，负责项目交付后的日常运维、故障处置、技术支撑工作，须具备信息安全保障、系统集成、网络运维等领域的专业能力，具有同类项目运维服务工作经验。</w:t>
            </w:r>
            <w:r/>
          </w:p>
          <w:p>
            <w:pPr>
              <w:ind w:left="0"/>
              <w:spacing w:line="400" w:lineRule="exact"/>
              <w:rPr>
                <w:rFonts w:ascii="宋体" w:hAnsi="宋体"/>
                <w:bCs/>
                <w:sz w:val="21"/>
                <w:szCs w:val="21"/>
              </w:rPr>
            </w:pPr>
            <w:r>
              <w:rPr>
                <w:rFonts w:ascii="宋体" w:hAnsi="宋体"/>
                <w:bCs/>
                <w:sz w:val="21"/>
                <w:szCs w:val="21"/>
              </w:rPr>
              <w:t xml:space="preserve">（</w:t>
            </w:r>
            <w:r>
              <w:rPr>
                <w:rFonts w:hint="eastAsia" w:ascii="宋体" w:hAnsi="宋体"/>
                <w:bCs/>
                <w:sz w:val="21"/>
                <w:szCs w:val="21"/>
              </w:rPr>
              <w:t xml:space="preserve">4</w:t>
            </w:r>
            <w:r>
              <w:rPr>
                <w:rFonts w:ascii="宋体" w:hAnsi="宋体"/>
                <w:bCs/>
                <w:sz w:val="21"/>
                <w:szCs w:val="21"/>
              </w:rPr>
              <w:t xml:space="preserve">）实施团队其他人员：不少</w:t>
            </w:r>
            <w:r>
              <w:rPr>
                <w:rFonts w:hint="eastAsia" w:ascii="宋体" w:hAnsi="宋体"/>
                <w:bCs/>
                <w:sz w:val="21"/>
                <w:szCs w:val="21"/>
              </w:rPr>
              <w:t xml:space="preserve">于4</w:t>
            </w:r>
            <w:r>
              <w:rPr>
                <w:rFonts w:ascii="宋体" w:hAnsi="宋体"/>
                <w:bCs/>
                <w:sz w:val="21"/>
                <w:szCs w:val="21"/>
              </w:rPr>
              <w:t xml:space="preserve">人，,须具备网络与信息安全、IT服务等相关专业技术背景，可针对本项目所供设备提供现场安装、调试、保障服务，确保项目顺利实施交付</w:t>
            </w:r>
            <w:r>
              <w:rPr>
                <w:rFonts w:hint="eastAsia" w:ascii="宋体" w:hAnsi="宋体"/>
                <w:bCs/>
                <w:sz w:val="21"/>
                <w:szCs w:val="21"/>
              </w:rPr>
              <w:t xml:space="preserve">。</w:t>
            </w:r>
            <w:r/>
          </w:p>
          <w:p>
            <w:pPr>
              <w:ind w:left="0"/>
              <w:spacing w:line="400" w:lineRule="exact"/>
              <w:rPr>
                <w:rFonts w:ascii="宋体" w:hAnsi="宋体"/>
                <w:bCs/>
                <w:sz w:val="21"/>
                <w:szCs w:val="21"/>
              </w:rPr>
            </w:pPr>
            <w:r>
              <w:rPr>
                <w:rFonts w:hint="eastAsia" w:ascii="宋体" w:hAnsi="宋体"/>
                <w:bCs/>
                <w:sz w:val="21"/>
                <w:szCs w:val="21"/>
              </w:rPr>
              <w:t xml:space="preserve"> 9.安全实施要求：</w:t>
            </w:r>
            <w:r/>
          </w:p>
          <w:p>
            <w:pPr>
              <w:ind w:left="0"/>
              <w:spacing w:line="400" w:lineRule="exact"/>
              <w:rPr>
                <w:rFonts w:ascii="宋体" w:hAnsi="宋体"/>
                <w:bCs/>
                <w:sz w:val="21"/>
                <w:szCs w:val="21"/>
              </w:rPr>
            </w:pPr>
            <w:r>
              <w:rPr>
                <w:rFonts w:hint="eastAsia" w:ascii="宋体" w:hAnsi="宋体"/>
                <w:bCs/>
                <w:sz w:val="21"/>
                <w:szCs w:val="21"/>
              </w:rPr>
              <w:t xml:space="preserve">（1）在项目实施及质保期间，中标方应当配备必要的安全生产管理人员，负责强化项目实施人员安全教育和安全管理，如实施过程中存在人身安全风险的，中标方应当为实施人员购买必要的人身安全保险。</w:t>
            </w:r>
            <w:r/>
          </w:p>
          <w:p>
            <w:pPr>
              <w:ind w:left="0"/>
              <w:spacing w:line="400" w:lineRule="exact"/>
              <w:rPr>
                <w:rFonts w:ascii="宋体" w:hAnsi="宋体"/>
                <w:bCs/>
                <w:sz w:val="21"/>
                <w:szCs w:val="21"/>
              </w:rPr>
            </w:pPr>
            <w:r>
              <w:rPr>
                <w:rFonts w:hint="eastAsia" w:ascii="宋体" w:hAnsi="宋体"/>
                <w:bCs/>
                <w:sz w:val="21"/>
                <w:szCs w:val="21"/>
              </w:rPr>
              <w:t xml:space="preserve">（2）中标方应按照法律法规制定安全作业规范，在项目实施过程中，中标方一方发生的一切安全事故或给第三方造成的损害，由中标方自行承担责</w:t>
            </w:r>
            <w:r>
              <w:rPr>
                <w:rFonts w:hint="eastAsia" w:ascii="宋体" w:hAnsi="宋体"/>
                <w:bCs/>
                <w:sz w:val="21"/>
                <w:szCs w:val="21"/>
              </w:rPr>
              <w:t xml:space="preserve">任，采购方不对中标方项目实施人员负任何安全责任；若给采购方造成损失和伤害的，中标方应承担相应责任，赔偿一切直接、间接损失。</w:t>
            </w:r>
            <w:r/>
          </w:p>
          <w:p>
            <w:pPr>
              <w:ind w:left="0"/>
              <w:spacing w:line="400" w:lineRule="exact"/>
              <w:rPr>
                <w:rFonts w:ascii="宋体" w:hAnsi="宋体"/>
                <w:bCs/>
                <w:sz w:val="21"/>
                <w:szCs w:val="21"/>
              </w:rPr>
            </w:pPr>
            <w:r>
              <w:rPr>
                <w:rFonts w:hint="eastAsia" w:ascii="宋体" w:hAnsi="宋体"/>
                <w:bCs/>
                <w:sz w:val="21"/>
                <w:szCs w:val="21"/>
              </w:rPr>
              <w:t xml:space="preserve">（3）项目实施过程须严格执行国家现行相关规范、公安信息化建设相关标准及要求，实施标准化作业，严禁私拉乱接线路；实施过程中须做好既有设施的保护，不得造成网络环境损坏。</w:t>
            </w:r>
            <w:r/>
          </w:p>
          <w:p>
            <w:pPr>
              <w:ind w:left="0"/>
              <w:spacing w:line="400" w:lineRule="exact"/>
              <w:rPr>
                <w:rFonts w:ascii="宋体" w:hAnsi="宋体"/>
                <w:bCs/>
                <w:sz w:val="21"/>
                <w:szCs w:val="21"/>
              </w:rPr>
            </w:pPr>
            <w:r>
              <w:rPr>
                <w:rFonts w:hint="eastAsia" w:ascii="宋体" w:hAnsi="宋体"/>
                <w:bCs/>
                <w:sz w:val="21"/>
                <w:szCs w:val="21"/>
              </w:rPr>
              <w:t xml:space="preserve">10.项目保密要求：</w:t>
            </w:r>
            <w:r/>
          </w:p>
          <w:p>
            <w:pPr>
              <w:ind w:left="0"/>
              <w:spacing w:line="400" w:lineRule="exact"/>
              <w:rPr>
                <w:rFonts w:ascii="宋体" w:hAnsi="宋体"/>
                <w:bCs/>
                <w:sz w:val="21"/>
                <w:szCs w:val="21"/>
              </w:rPr>
            </w:pPr>
            <w:r>
              <w:rPr>
                <w:rFonts w:hint="eastAsia" w:ascii="宋体" w:hAnsi="宋体"/>
                <w:bCs/>
                <w:sz w:val="21"/>
                <w:szCs w:val="21"/>
              </w:rPr>
              <w:t xml:space="preserve">（1）严格遵守国家保密法规，健全保密管理机构，建立完善并严格落实保密管理制度。</w:t>
            </w:r>
            <w:r/>
          </w:p>
          <w:p>
            <w:pPr>
              <w:ind w:left="0"/>
              <w:spacing w:line="400" w:lineRule="exact"/>
              <w:rPr>
                <w:rFonts w:ascii="宋体" w:hAnsi="宋体"/>
                <w:bCs/>
                <w:sz w:val="21"/>
                <w:szCs w:val="21"/>
              </w:rPr>
            </w:pPr>
            <w:r>
              <w:rPr>
                <w:rFonts w:hint="eastAsia" w:ascii="宋体" w:hAnsi="宋体"/>
                <w:bCs/>
                <w:sz w:val="21"/>
                <w:szCs w:val="21"/>
              </w:rPr>
              <w:t xml:space="preserve">（2）投标方对投标文件制作应实行专人管理、专室专柜存放、专机处理，不得擅自复制、扩散。不得在联网计算机中处理或者存储涉密信息。不得通过普通电话、传真、邮政、快递和互联网等渠道传递涉密信息。</w:t>
            </w:r>
            <w:r/>
          </w:p>
          <w:p>
            <w:pPr>
              <w:ind w:left="0"/>
              <w:spacing w:line="400" w:lineRule="exact"/>
              <w:rPr>
                <w:rFonts w:ascii="宋体" w:hAnsi="宋体"/>
                <w:bCs/>
                <w:sz w:val="21"/>
                <w:szCs w:val="21"/>
              </w:rPr>
            </w:pPr>
            <w:r>
              <w:rPr>
                <w:rFonts w:hint="eastAsia" w:ascii="宋体" w:hAnsi="宋体"/>
                <w:bCs/>
                <w:sz w:val="21"/>
                <w:szCs w:val="21"/>
              </w:rPr>
              <w:t xml:space="preserve">（3）投标方严禁在互联网上发布涉密信息。</w:t>
            </w:r>
            <w:r/>
          </w:p>
          <w:p>
            <w:pPr>
              <w:ind w:left="0"/>
              <w:spacing w:line="400" w:lineRule="exact"/>
              <w:rPr>
                <w:rFonts w:ascii="宋体" w:hAnsi="宋体"/>
                <w:bCs/>
                <w:sz w:val="21"/>
                <w:szCs w:val="21"/>
              </w:rPr>
            </w:pPr>
            <w:r>
              <w:rPr>
                <w:rFonts w:hint="eastAsia" w:ascii="宋体" w:hAnsi="宋体"/>
                <w:bCs/>
                <w:sz w:val="21"/>
                <w:szCs w:val="21"/>
              </w:rPr>
              <w:t xml:space="preserve">（4）严格落实采购人安全保密要求，主动接受和配合现场保密检查。</w:t>
            </w:r>
            <w:r/>
          </w:p>
          <w:p>
            <w:pPr>
              <w:ind w:left="0"/>
              <w:spacing w:line="400" w:lineRule="exact"/>
              <w:rPr>
                <w:rFonts w:ascii="宋体" w:hAnsi="宋体"/>
                <w:bCs/>
                <w:sz w:val="21"/>
                <w:szCs w:val="21"/>
              </w:rPr>
            </w:pPr>
            <w:r>
              <w:rPr>
                <w:rFonts w:hint="eastAsia" w:ascii="宋体" w:hAnsi="宋体"/>
                <w:bCs/>
                <w:sz w:val="21"/>
                <w:szCs w:val="21"/>
              </w:rPr>
              <w:t xml:space="preserve">（5）未经采购人允许，不得擅自采集采购人基础数据。</w:t>
            </w:r>
            <w:r/>
          </w:p>
          <w:p>
            <w:pPr>
              <w:ind w:left="0"/>
              <w:spacing w:line="400" w:lineRule="exact"/>
              <w:rPr>
                <w:rFonts w:ascii="宋体" w:hAnsi="宋体"/>
                <w:bCs/>
                <w:sz w:val="21"/>
                <w:szCs w:val="21"/>
              </w:rPr>
            </w:pPr>
            <w:r>
              <w:rPr>
                <w:rFonts w:hint="eastAsia" w:ascii="宋体" w:hAnsi="宋体"/>
                <w:bCs/>
                <w:sz w:val="21"/>
                <w:szCs w:val="21"/>
              </w:rPr>
              <w:t xml:space="preserve">（6）遵守国家规定的其他保密。</w:t>
            </w:r>
            <w:r/>
          </w:p>
          <w:p>
            <w:pPr>
              <w:ind w:left="0"/>
              <w:spacing w:line="400" w:lineRule="exact"/>
              <w:rPr>
                <w:rFonts w:ascii="宋体" w:hAnsi="宋体"/>
                <w:bCs/>
                <w:sz w:val="21"/>
                <w:szCs w:val="21"/>
              </w:rPr>
            </w:pPr>
            <w:r>
              <w:rPr>
                <w:rFonts w:hint="eastAsia" w:ascii="宋体" w:hAnsi="宋体"/>
                <w:bCs/>
                <w:sz w:val="21"/>
                <w:szCs w:val="21"/>
              </w:rPr>
              <w:t xml:space="preserve">11.涉及国有资产处置的，严格按照国家相关规定实施。</w:t>
            </w:r>
            <w:r/>
          </w:p>
          <w:p>
            <w:pPr>
              <w:ind w:left="0"/>
              <w:spacing w:line="400" w:lineRule="exact"/>
              <w:rPr>
                <w:rFonts w:ascii="宋体" w:hAnsi="宋体"/>
                <w:bCs/>
                <w:sz w:val="21"/>
                <w:szCs w:val="21"/>
              </w:rPr>
            </w:pPr>
            <w:r>
              <w:rPr>
                <w:rFonts w:hint="eastAsia" w:ascii="宋体" w:hAnsi="宋体"/>
                <w:bCs/>
                <w:sz w:val="21"/>
                <w:szCs w:val="21"/>
              </w:rPr>
              <w:t xml:space="preserve">12.本项目不得转包和分包。</w:t>
            </w:r>
            <w:r/>
          </w:p>
        </w:tc>
      </w:tr>
      <w:tr>
        <w:trPr>
          <w:trHeight w:val="23"/>
        </w:trPr>
        <w:tc>
          <w:tcPr>
            <w:shd w:val="clear" w:color="auto" w:fill="auto"/>
            <w:tcW w:w="225"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7</w:t>
            </w:r>
            <w:r/>
          </w:p>
        </w:tc>
        <w:tc>
          <w:tcPr>
            <w:shd w:val="clear" w:color="auto" w:fill="auto"/>
            <w:tcW w:w="1195" w:type="pct"/>
            <w:vAlign w:val="center"/>
            <w:textDirection w:val="lrTb"/>
            <w:noWrap w:val="false"/>
          </w:tcPr>
          <w:p>
            <w:pPr>
              <w:ind w:left="0"/>
              <w:spacing w:line="400" w:lineRule="exact"/>
              <w:rPr>
                <w:rFonts w:ascii="宋体" w:hAnsi="宋体"/>
                <w:bCs/>
                <w:sz w:val="21"/>
                <w:szCs w:val="21"/>
              </w:rPr>
            </w:pPr>
            <w:r>
              <w:rPr>
                <w:rFonts w:hint="eastAsia" w:ascii="宋体" w:hAnsi="宋体"/>
                <w:bCs/>
                <w:sz w:val="21"/>
                <w:szCs w:val="21"/>
              </w:rPr>
              <w:t xml:space="preserve">八</w:t>
            </w:r>
            <w:r>
              <w:rPr>
                <w:rFonts w:ascii="宋体" w:hAnsi="宋体"/>
                <w:bCs/>
                <w:sz w:val="21"/>
                <w:szCs w:val="21"/>
              </w:rPr>
              <w:t xml:space="preserve">、采购标的的验收标准</w:t>
            </w:r>
            <w:r/>
          </w:p>
        </w:tc>
        <w:tc>
          <w:tcPr>
            <w:shd w:val="clear" w:color="auto" w:fill="auto"/>
            <w:tcW w:w="3580"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货物安装调试完成，正常运行_</w:t>
            </w:r>
            <w:r>
              <w:rPr>
                <w:rFonts w:hint="eastAsia" w:ascii="宋体" w:hAnsi="宋体"/>
                <w:bCs/>
                <w:sz w:val="21"/>
                <w:szCs w:val="21"/>
                <w:u w:val="single"/>
              </w:rPr>
              <w:t xml:space="preserve">60</w:t>
            </w:r>
            <w:r>
              <w:rPr>
                <w:rFonts w:ascii="宋体" w:hAnsi="宋体"/>
                <w:bCs/>
                <w:sz w:val="21"/>
                <w:szCs w:val="21"/>
              </w:rPr>
              <w:t xml:space="preserve">__天内，由采购使用部门提出验收申请，按照货物验收相关规定，结合采购文件、投标文件、合同等项目文件约定内容对项目进行验收。</w:t>
            </w:r>
            <w:r/>
          </w:p>
          <w:p>
            <w:pPr>
              <w:ind w:left="0"/>
              <w:spacing w:line="400" w:lineRule="exact"/>
              <w:rPr>
                <w:rFonts w:ascii="宋体" w:hAnsi="宋体"/>
                <w:bCs/>
                <w:sz w:val="21"/>
                <w:szCs w:val="21"/>
              </w:rPr>
            </w:pPr>
            <w:r>
              <w:rPr>
                <w:rFonts w:ascii="宋体" w:hAnsi="宋体"/>
                <w:bCs/>
                <w:sz w:val="21"/>
                <w:szCs w:val="21"/>
              </w:rPr>
              <w:t xml:space="preserve">如验收达不到规定要求，采购使用部门有权要求更换货物或拒绝付款，成交供应商若违约，采购使用部门将依法追究相应法律责任。</w:t>
            </w:r>
            <w:r/>
          </w:p>
          <w:p>
            <w:pPr>
              <w:ind w:left="0"/>
              <w:spacing w:line="400" w:lineRule="exact"/>
              <w:rPr>
                <w:rFonts w:ascii="宋体" w:hAnsi="宋体"/>
                <w:bCs/>
                <w:sz w:val="21"/>
                <w:szCs w:val="21"/>
              </w:rPr>
            </w:pPr>
            <w:r>
              <w:rPr>
                <w:rFonts w:ascii="宋体" w:hAnsi="宋体"/>
                <w:bCs/>
                <w:sz w:val="21"/>
                <w:szCs w:val="21"/>
              </w:rPr>
              <w:t xml:space="preserve">采购使用部门将根据《江苏省财政厅关于印发&lt;江苏省政府采购履约验收管理办法&gt;的通知》（苏财规〔2024〕7号）相关要求，组织项目履约验收基本工作。</w:t>
            </w:r>
            <w:r/>
          </w:p>
          <w:p>
            <w:pPr>
              <w:ind w:left="0"/>
              <w:spacing w:line="400" w:lineRule="exact"/>
              <w:rPr>
                <w:rFonts w:ascii="宋体" w:hAnsi="宋体"/>
                <w:bCs/>
                <w:sz w:val="21"/>
                <w:szCs w:val="21"/>
              </w:rPr>
            </w:pPr>
            <w:r>
              <w:rPr>
                <w:rFonts w:ascii="宋体" w:hAnsi="宋体"/>
                <w:bCs/>
                <w:sz w:val="21"/>
                <w:szCs w:val="21"/>
              </w:rPr>
              <w:t xml:space="preserve">招标文件、投标文件、政府采购合同等是履约验收工作的重要依据。在政府采购合同约定的履行验收条件达到时，中标方可以主动联系采购使用单位启动履约验收工作。</w:t>
            </w:r>
            <w:r/>
          </w:p>
          <w:p>
            <w:pPr>
              <w:ind w:left="0"/>
              <w:spacing w:line="400" w:lineRule="exact"/>
              <w:rPr>
                <w:rFonts w:ascii="宋体" w:hAnsi="宋体"/>
                <w:bCs/>
                <w:sz w:val="21"/>
                <w:szCs w:val="21"/>
              </w:rPr>
            </w:pPr>
            <w:r>
              <w:rPr>
                <w:rFonts w:ascii="宋体" w:hAnsi="宋体"/>
                <w:bCs/>
                <w:sz w:val="21"/>
                <w:szCs w:val="21"/>
              </w:rPr>
              <w:t xml:space="preserve">采购使用部门在组织履约验收前，将根据项目特点制定</w:t>
            </w:r>
            <w:r>
              <w:rPr>
                <w:rFonts w:hint="eastAsia" w:ascii="宋体" w:hAnsi="宋体"/>
                <w:bCs/>
                <w:sz w:val="21"/>
                <w:szCs w:val="21"/>
              </w:rPr>
              <w:t xml:space="preserve">初验、终验</w:t>
            </w:r>
            <w:r>
              <w:rPr>
                <w:rFonts w:ascii="宋体" w:hAnsi="宋体"/>
                <w:bCs/>
                <w:sz w:val="21"/>
                <w:szCs w:val="21"/>
              </w:rPr>
              <w:t xml:space="preserve">方案，明确履约验收的时间、方式、程序等内容，并可以根据项目特点综合考核情况和服务效果进行验收。中标方应根据验收方案内容做好相应配合工作。</w:t>
            </w:r>
            <w:r/>
          </w:p>
          <w:p>
            <w:pPr>
              <w:ind w:left="0"/>
              <w:spacing w:line="400" w:lineRule="exact"/>
              <w:rPr>
                <w:rFonts w:ascii="宋体" w:hAnsi="宋体"/>
                <w:bCs/>
                <w:sz w:val="21"/>
                <w:szCs w:val="21"/>
              </w:rPr>
            </w:pPr>
            <w:r>
              <w:rPr>
                <w:rFonts w:ascii="宋体" w:hAnsi="宋体"/>
                <w:bCs/>
                <w:sz w:val="21"/>
                <w:szCs w:val="21"/>
              </w:rPr>
              <w:t xml:space="preserve">采购使用部门将按照验收标准要求组织验收，中标方所供产品的规格、数量符合招标文件供应商投标承诺及采购合同约定的要求；所供产品的外观完好，无严重碰撞、表皮脱落、五金件生锈等明显瑕疵；所供产品结构牢固，</w:t>
            </w:r>
            <w:r>
              <w:rPr>
                <w:rFonts w:ascii="宋体" w:hAnsi="宋体"/>
                <w:bCs/>
                <w:sz w:val="21"/>
                <w:szCs w:val="21"/>
              </w:rPr>
              <w:t xml:space="preserve">无安全隐患；所有产品均已运输至指定地点，并安装调试完毕。</w:t>
            </w:r>
            <w:r>
              <w:rPr>
                <w:rFonts w:hint="eastAsia" w:ascii="宋体" w:hAnsi="宋体"/>
                <w:bCs/>
                <w:sz w:val="21"/>
                <w:szCs w:val="21"/>
              </w:rPr>
              <w:t xml:space="preserve">验收内容还包括设备数量核对、功能性能测试、系统对接验证、实施资料移交等。</w:t>
            </w:r>
            <w:r/>
          </w:p>
          <w:p>
            <w:pPr>
              <w:ind w:left="0"/>
              <w:spacing w:line="400" w:lineRule="exact"/>
              <w:rPr>
                <w:rFonts w:ascii="宋体" w:hAnsi="宋体"/>
                <w:bCs/>
                <w:sz w:val="21"/>
                <w:szCs w:val="21"/>
              </w:rPr>
            </w:pPr>
            <w:r>
              <w:rPr>
                <w:rFonts w:ascii="宋体" w:hAnsi="宋体"/>
                <w:bCs/>
                <w:sz w:val="21"/>
                <w:szCs w:val="21"/>
              </w:rPr>
              <w:t xml:space="preserve">（1）验收标准</w:t>
            </w:r>
            <w:r/>
          </w:p>
          <w:p>
            <w:pPr>
              <w:ind w:left="0"/>
              <w:spacing w:line="400" w:lineRule="exact"/>
              <w:rPr>
                <w:rFonts w:ascii="宋体" w:hAnsi="宋体"/>
                <w:bCs/>
                <w:sz w:val="21"/>
                <w:szCs w:val="21"/>
              </w:rPr>
            </w:pPr>
            <w:r>
              <w:rPr>
                <w:rFonts w:ascii="宋体" w:hAnsi="宋体"/>
                <w:bCs/>
                <w:sz w:val="21"/>
                <w:szCs w:val="21"/>
              </w:rPr>
              <w:t xml:space="preserve">①合同履行达到采购文件明确的验收条件时，可发起验收申请，确定验收时间、地点及有关事项。中标方未及时履约或响应验收的，采购使用部门应及时书面催告，提出履约验收要求。中标方在收到催告后</w:t>
            </w:r>
            <w:r>
              <w:rPr>
                <w:rFonts w:hint="eastAsia" w:ascii="宋体" w:hAnsi="宋体"/>
                <w:bCs/>
                <w:sz w:val="21"/>
                <w:szCs w:val="21"/>
              </w:rPr>
              <w:t xml:space="preserve">仍</w:t>
            </w:r>
            <w:r>
              <w:rPr>
                <w:rFonts w:ascii="宋体" w:hAnsi="宋体"/>
                <w:bCs/>
                <w:sz w:val="21"/>
                <w:szCs w:val="21"/>
              </w:rPr>
              <w:t xml:space="preserve">拒不配合的，采购方应依照合同约定追究其责任。</w:t>
            </w:r>
            <w:r/>
          </w:p>
          <w:p>
            <w:pPr>
              <w:ind w:left="0"/>
              <w:spacing w:line="400" w:lineRule="exact"/>
              <w:rPr>
                <w:rFonts w:ascii="宋体" w:hAnsi="宋体"/>
                <w:bCs/>
                <w:sz w:val="21"/>
                <w:szCs w:val="21"/>
              </w:rPr>
            </w:pPr>
            <w:r>
              <w:rPr>
                <w:rFonts w:ascii="宋体" w:hAnsi="宋体"/>
                <w:bCs/>
                <w:sz w:val="21"/>
                <w:szCs w:val="21"/>
              </w:rPr>
              <w:t xml:space="preserve">②中标方应当配合采购使用部门做好项目验收工作，及时提供与项目验收相关的生产、技术、服务、数量、质量、安全、合格证明及验收所必须具备的其他材料。</w:t>
            </w:r>
            <w:r/>
          </w:p>
          <w:p>
            <w:pPr>
              <w:ind w:left="0"/>
              <w:spacing w:line="400" w:lineRule="exact"/>
              <w:rPr>
                <w:rFonts w:ascii="宋体" w:hAnsi="宋体"/>
                <w:bCs/>
                <w:sz w:val="21"/>
                <w:szCs w:val="21"/>
              </w:rPr>
            </w:pPr>
            <w:r>
              <w:rPr>
                <w:rFonts w:ascii="宋体" w:hAnsi="宋体"/>
                <w:bCs/>
                <w:sz w:val="21"/>
                <w:szCs w:val="21"/>
              </w:rPr>
              <w:t xml:space="preserve">③采购使用部门应及时全面准备验收，自收到验收申请</w:t>
            </w:r>
            <w:r>
              <w:rPr>
                <w:rFonts w:hint="eastAsia" w:ascii="宋体" w:hAnsi="宋体"/>
                <w:bCs/>
                <w:sz w:val="21"/>
                <w:szCs w:val="21"/>
              </w:rPr>
              <w:t xml:space="preserve">后</w:t>
            </w:r>
            <w:r>
              <w:rPr>
                <w:rFonts w:ascii="宋体" w:hAnsi="宋体"/>
                <w:bCs/>
                <w:sz w:val="21"/>
                <w:szCs w:val="21"/>
              </w:rPr>
              <w:t xml:space="preserve">做必要的验收准备工作、启动项目验收、通知中标方。</w:t>
            </w:r>
            <w:r/>
          </w:p>
          <w:p>
            <w:pPr>
              <w:ind w:left="0"/>
              <w:spacing w:line="400" w:lineRule="exact"/>
              <w:rPr>
                <w:rFonts w:ascii="宋体" w:hAnsi="宋体"/>
                <w:bCs/>
                <w:sz w:val="21"/>
                <w:szCs w:val="21"/>
              </w:rPr>
            </w:pPr>
            <w:r>
              <w:rPr>
                <w:rFonts w:ascii="宋体" w:hAnsi="宋体"/>
                <w:bCs/>
                <w:sz w:val="21"/>
                <w:szCs w:val="21"/>
              </w:rPr>
              <w:t xml:space="preserve">④如验收达不到规定要求，采购方有权要求更换货物或拒绝付款，中标单位若违约，采购方将依法追究相应法律责任。</w:t>
            </w:r>
            <w:r/>
          </w:p>
        </w:tc>
      </w:tr>
      <w:tr>
        <w:trPr>
          <w:trHeight w:val="23"/>
        </w:trPr>
        <w:tc>
          <w:tcPr>
            <w:shd w:val="clear" w:color="auto" w:fill="auto"/>
            <w:tcW w:w="225"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8</w:t>
            </w:r>
            <w:r/>
          </w:p>
        </w:tc>
        <w:tc>
          <w:tcPr>
            <w:shd w:val="clear" w:color="auto" w:fill="auto"/>
            <w:tcW w:w="1195" w:type="pct"/>
            <w:vAlign w:val="center"/>
            <w:textDirection w:val="lrTb"/>
            <w:noWrap/>
          </w:tcPr>
          <w:p>
            <w:pPr>
              <w:ind w:left="0"/>
              <w:spacing w:line="400" w:lineRule="exact"/>
              <w:rPr>
                <w:rFonts w:ascii="宋体" w:hAnsi="宋体"/>
                <w:bCs/>
                <w:sz w:val="21"/>
                <w:szCs w:val="21"/>
              </w:rPr>
            </w:pPr>
            <w:r>
              <w:rPr>
                <w:rFonts w:hint="eastAsia" w:ascii="宋体" w:hAnsi="宋体"/>
                <w:bCs/>
                <w:sz w:val="21"/>
                <w:szCs w:val="21"/>
              </w:rPr>
              <w:t xml:space="preserve">九</w:t>
            </w:r>
            <w:r>
              <w:rPr>
                <w:rFonts w:ascii="宋体" w:hAnsi="宋体"/>
                <w:bCs/>
                <w:sz w:val="21"/>
                <w:szCs w:val="21"/>
              </w:rPr>
              <w:t xml:space="preserve">、其它需求</w:t>
            </w:r>
            <w:r/>
          </w:p>
        </w:tc>
        <w:tc>
          <w:tcPr>
            <w:shd w:val="clear" w:color="auto" w:fill="auto"/>
            <w:tcW w:w="3580" w:type="pct"/>
            <w:vAlign w:val="center"/>
            <w:textDirection w:val="lrTb"/>
            <w:noWrap w:val="false"/>
          </w:tcPr>
          <w:p>
            <w:pPr>
              <w:ind w:left="0"/>
              <w:spacing w:line="276" w:lineRule="auto"/>
              <w:rPr>
                <w:rFonts w:ascii="宋体" w:hAnsi="宋体"/>
                <w:bCs/>
                <w:sz w:val="21"/>
                <w:szCs w:val="21"/>
              </w:rPr>
            </w:pPr>
            <w:r>
              <w:rPr>
                <w:rFonts w:ascii="宋体" w:hAnsi="宋体"/>
                <w:bCs/>
                <w:sz w:val="21"/>
                <w:szCs w:val="21"/>
              </w:rPr>
              <w:t xml:space="preserve">1.是否需要进行现场勘查：</w:t>
            </w:r>
            <w:r>
              <w:rPr>
                <w:rFonts w:ascii="Segoe UI Symbol" w:hAnsi="Segoe UI Symbol" w:cs="Segoe UI Symbol"/>
                <w:bCs/>
                <w:sz w:val="21"/>
                <w:szCs w:val="21"/>
              </w:rPr>
              <w:t xml:space="preserve">☑</w:t>
            </w:r>
            <w:r>
              <w:rPr>
                <w:rFonts w:ascii="宋体" w:hAnsi="宋体"/>
                <w:bCs/>
                <w:sz w:val="21"/>
                <w:szCs w:val="21"/>
              </w:rPr>
              <w:t xml:space="preserve">是  □否</w:t>
            </w:r>
            <w:r>
              <w:rPr>
                <w:rFonts w:ascii="宋体" w:hAnsi="宋体"/>
                <w:bCs/>
                <w:sz w:val="21"/>
                <w:szCs w:val="21"/>
              </w:rPr>
              <w:br/>
              <w:t xml:space="preserve">勘查时间：</w:t>
            </w:r>
            <w:r>
              <w:rPr>
                <w:rFonts w:hint="eastAsia" w:ascii="宋体" w:hAnsi="宋体"/>
                <w:bCs/>
                <w:sz w:val="21"/>
                <w:szCs w:val="21"/>
              </w:rPr>
              <w:t xml:space="preserve">2026年8月17日</w:t>
            </w:r>
            <w:r>
              <w:rPr>
                <w:rFonts w:ascii="宋体" w:hAnsi="宋体"/>
                <w:bCs/>
                <w:sz w:val="21"/>
                <w:szCs w:val="21"/>
              </w:rPr>
              <w:t xml:space="preserve">。</w:t>
            </w:r>
            <w:r>
              <w:rPr>
                <w:rFonts w:ascii="宋体" w:hAnsi="宋体"/>
                <w:bCs/>
                <w:sz w:val="21"/>
                <w:szCs w:val="21"/>
              </w:rPr>
              <w:br/>
              <w:t xml:space="preserve">勘查地点：</w:t>
            </w:r>
            <w:r>
              <w:rPr>
                <w:rFonts w:hint="eastAsia" w:ascii="宋体" w:hAnsi="宋体"/>
                <w:bCs/>
                <w:sz w:val="21"/>
                <w:szCs w:val="21"/>
              </w:rPr>
              <w:t xml:space="preserve">苏州市公安局吴中分局木渎派出所</w:t>
            </w:r>
            <w:r>
              <w:rPr>
                <w:rFonts w:ascii="宋体" w:hAnsi="宋体"/>
                <w:bCs/>
                <w:sz w:val="21"/>
                <w:szCs w:val="21"/>
              </w:rPr>
              <w:t xml:space="preserve">。</w:t>
            </w:r>
            <w:r>
              <w:rPr>
                <w:rFonts w:ascii="宋体" w:hAnsi="宋体"/>
                <w:bCs/>
                <w:sz w:val="21"/>
                <w:szCs w:val="21"/>
              </w:rPr>
              <w:br/>
              <w:t xml:space="preserve">联系人：</w:t>
            </w:r>
            <w:r>
              <w:rPr>
                <w:rFonts w:hint="eastAsia" w:ascii="宋体" w:hAnsi="宋体"/>
                <w:bCs/>
                <w:sz w:val="21"/>
                <w:szCs w:val="21"/>
              </w:rPr>
              <w:t xml:space="preserve">岳警官</w:t>
            </w:r>
            <w:r/>
          </w:p>
          <w:p>
            <w:pPr>
              <w:ind w:left="0"/>
              <w:spacing w:line="276" w:lineRule="auto"/>
              <w:rPr>
                <w:rFonts w:ascii="宋体" w:hAnsi="宋体"/>
                <w:bCs/>
                <w:sz w:val="21"/>
                <w:szCs w:val="21"/>
              </w:rPr>
            </w:pPr>
            <w:r>
              <w:rPr>
                <w:rFonts w:ascii="宋体" w:hAnsi="宋体"/>
                <w:bCs/>
                <w:sz w:val="21"/>
                <w:szCs w:val="21"/>
              </w:rPr>
              <w:t xml:space="preserve">联系电话：</w:t>
            </w:r>
            <w:r>
              <w:rPr>
                <w:rFonts w:hint="eastAsia" w:ascii="宋体" w:hAnsi="宋体"/>
                <w:bCs/>
                <w:sz w:val="21"/>
                <w:szCs w:val="21"/>
              </w:rPr>
              <w:t xml:space="preserve">13862119199</w:t>
            </w:r>
            <w:r>
              <w:rPr>
                <w:rFonts w:ascii="宋体" w:hAnsi="宋体"/>
                <w:bCs/>
                <w:sz w:val="21"/>
                <w:szCs w:val="21"/>
              </w:rPr>
              <w:br/>
              <w:t xml:space="preserve">5.其他补充事宜：</w:t>
            </w:r>
            <w:r>
              <w:rPr>
                <w:rFonts w:hint="eastAsia" w:ascii="宋体" w:hAnsi="宋体"/>
                <w:bCs/>
                <w:sz w:val="21"/>
                <w:szCs w:val="21"/>
              </w:rPr>
              <w:t xml:space="preserve">无</w:t>
            </w:r>
            <w:r>
              <w:rPr>
                <w:rFonts w:ascii="宋体" w:hAnsi="宋体"/>
                <w:bCs/>
                <w:sz w:val="21"/>
                <w:szCs w:val="21"/>
              </w:rPr>
              <w:t xml:space="preserve">。</w:t>
            </w:r>
            <w:r/>
          </w:p>
        </w:tc>
      </w:tr>
    </w:tbl>
    <w:p>
      <w:pPr>
        <w:ind w:left="0" w:firstLine="420"/>
        <w:spacing w:line="360" w:lineRule="auto"/>
        <w:tabs>
          <w:tab w:val="left" w:pos="0" w:leader="none"/>
        </w:tabs>
        <w:rPr>
          <w:rFonts w:ascii="宋体" w:hAnsi="宋体"/>
          <w:sz w:val="21"/>
        </w:rPr>
      </w:pPr>
      <w:r>
        <w:rPr>
          <w:rFonts w:ascii="宋体" w:hAnsi="宋体"/>
          <w:sz w:val="21"/>
        </w:rPr>
        <w:t xml:space="preserve">（三）其他</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投标单位根据本次项目背景、需求分析进行了解，对本项目中需求理解性描述方案进行综合评定，制定下列内容，包括但不限于：</w:t>
      </w:r>
      <w:r/>
    </w:p>
    <w:p>
      <w:pPr>
        <w:ind w:left="0" w:firstLine="420"/>
        <w:spacing w:line="360" w:lineRule="auto"/>
        <w:tabs>
          <w:tab w:val="left" w:pos="0" w:leader="none"/>
        </w:tabs>
        <w:rPr>
          <w:rFonts w:ascii="宋体" w:hAnsi="宋体"/>
          <w:sz w:val="21"/>
        </w:rPr>
      </w:pPr>
      <w:r>
        <w:rPr>
          <w:rFonts w:hint="eastAsia" w:ascii="宋体" w:hAnsi="宋体"/>
          <w:sz w:val="21"/>
        </w:rPr>
        <w:t xml:space="preserve">（1）根据需求理解的综合分析</w:t>
      </w:r>
      <w:r/>
    </w:p>
    <w:p>
      <w:pPr>
        <w:ind w:left="0" w:firstLine="420"/>
        <w:spacing w:line="360" w:lineRule="auto"/>
        <w:tabs>
          <w:tab w:val="left" w:pos="0" w:leader="none"/>
        </w:tabs>
        <w:rPr>
          <w:rFonts w:ascii="宋体" w:hAnsi="宋体"/>
          <w:sz w:val="21"/>
        </w:rPr>
      </w:pPr>
      <w:r>
        <w:rPr>
          <w:rFonts w:hint="eastAsia" w:ascii="宋体" w:hAnsi="宋体"/>
          <w:sz w:val="21"/>
        </w:rPr>
        <w:t xml:space="preserve">（2）潜在风险分析</w:t>
      </w:r>
      <w:r/>
    </w:p>
    <w:p>
      <w:pPr>
        <w:ind w:left="0" w:firstLine="420"/>
        <w:spacing w:line="360" w:lineRule="auto"/>
        <w:tabs>
          <w:tab w:val="left" w:pos="0" w:leader="none"/>
        </w:tabs>
        <w:rPr>
          <w:rFonts w:ascii="宋体" w:hAnsi="宋体"/>
          <w:sz w:val="21"/>
        </w:rPr>
      </w:pPr>
      <w:r>
        <w:rPr>
          <w:rFonts w:hint="eastAsia" w:ascii="宋体" w:hAnsi="宋体"/>
          <w:sz w:val="21"/>
        </w:rPr>
        <w:t xml:space="preserve">（3）风险应对方案等</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投标单位结合本项目的特点，对本项目建设实施方案进行综合评定，制定下列内容，包括但不限于：</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（1）项目实施组织架构</w:t>
      </w:r>
      <w:r/>
    </w:p>
    <w:p>
      <w:pPr>
        <w:ind w:left="0" w:firstLine="420"/>
        <w:spacing w:line="360" w:lineRule="auto"/>
        <w:tabs>
          <w:tab w:val="left" w:pos="0" w:leader="none"/>
        </w:tabs>
        <w:rPr>
          <w:rFonts w:ascii="宋体" w:hAnsi="宋体"/>
          <w:sz w:val="21"/>
        </w:rPr>
      </w:pPr>
      <w:r>
        <w:rPr>
          <w:rFonts w:hint="eastAsia" w:ascii="宋体" w:hAnsi="宋体"/>
          <w:sz w:val="21"/>
        </w:rPr>
        <w:t xml:space="preserve">（2）项目实施过程</w:t>
      </w:r>
      <w:r/>
    </w:p>
    <w:p>
      <w:pPr>
        <w:ind w:left="0" w:firstLine="420"/>
        <w:spacing w:line="360" w:lineRule="auto"/>
        <w:tabs>
          <w:tab w:val="left" w:pos="0" w:leader="none"/>
        </w:tabs>
        <w:rPr>
          <w:rFonts w:ascii="宋体" w:hAnsi="宋体"/>
          <w:sz w:val="21"/>
        </w:rPr>
      </w:pPr>
      <w:r>
        <w:rPr>
          <w:rFonts w:hint="eastAsia" w:ascii="宋体" w:hAnsi="宋体"/>
          <w:sz w:val="21"/>
        </w:rPr>
        <w:t xml:space="preserve">（3）项目质量管理</w:t>
      </w:r>
      <w:r/>
    </w:p>
    <w:p>
      <w:pPr>
        <w:ind w:left="0" w:firstLine="420"/>
        <w:spacing w:line="360" w:lineRule="auto"/>
        <w:tabs>
          <w:tab w:val="left" w:pos="0" w:leader="none"/>
        </w:tabs>
        <w:rPr>
          <w:rFonts w:ascii="宋体" w:hAnsi="宋体"/>
          <w:sz w:val="21"/>
        </w:rPr>
      </w:pPr>
      <w:r>
        <w:rPr>
          <w:rFonts w:hint="eastAsia" w:ascii="宋体" w:hAnsi="宋体"/>
          <w:sz w:val="21"/>
        </w:rPr>
        <w:t xml:space="preserve">（4）项目实施计划进度安排等</w:t>
      </w:r>
      <w:r/>
    </w:p>
    <w:p>
      <w:pPr>
        <w:ind w:left="0" w:firstLine="420"/>
        <w:spacing w:line="360" w:lineRule="auto"/>
        <w:tabs>
          <w:tab w:val="left" w:pos="0" w:leader="none"/>
        </w:tabs>
        <w:rPr>
          <w:rFonts w:ascii="宋体" w:hAnsi="宋体"/>
          <w:sz w:val="21"/>
        </w:rPr>
      </w:pPr>
      <w:r>
        <w:rPr>
          <w:rFonts w:hint="eastAsia" w:ascii="宋体" w:hAnsi="宋体"/>
          <w:sz w:val="21"/>
        </w:rPr>
        <w:t xml:space="preserve">根据投标单位对本项目中组网设计方案综合评定，制定下列内容，包括但不限于：</w:t>
      </w:r>
      <w:r/>
    </w:p>
    <w:p>
      <w:pPr>
        <w:ind w:left="0" w:firstLine="420"/>
        <w:spacing w:line="360" w:lineRule="auto"/>
        <w:tabs>
          <w:tab w:val="left" w:pos="0" w:leader="none"/>
        </w:tabs>
        <w:rPr>
          <w:rFonts w:ascii="宋体" w:hAnsi="宋体"/>
          <w:sz w:val="21"/>
        </w:rPr>
      </w:pPr>
      <w:r>
        <w:rPr>
          <w:rFonts w:hint="eastAsia" w:ascii="宋体" w:hAnsi="宋体"/>
          <w:sz w:val="21"/>
        </w:rPr>
        <w:t xml:space="preserve">（1）网络传输</w:t>
      </w:r>
      <w:r/>
    </w:p>
    <w:p>
      <w:pPr>
        <w:ind w:left="0" w:firstLine="420"/>
        <w:spacing w:line="360" w:lineRule="auto"/>
        <w:tabs>
          <w:tab w:val="left" w:pos="0" w:leader="none"/>
        </w:tabs>
        <w:rPr>
          <w:rFonts w:ascii="宋体" w:hAnsi="宋体"/>
          <w:sz w:val="21"/>
        </w:rPr>
      </w:pPr>
      <w:r>
        <w:rPr>
          <w:rFonts w:hint="eastAsia" w:ascii="宋体" w:hAnsi="宋体"/>
          <w:sz w:val="21"/>
        </w:rPr>
        <w:t xml:space="preserve">（2）网络架构</w:t>
      </w:r>
      <w:r/>
    </w:p>
    <w:p>
      <w:pPr>
        <w:ind w:left="0" w:firstLine="420"/>
        <w:spacing w:line="360" w:lineRule="auto"/>
        <w:tabs>
          <w:tab w:val="left" w:pos="0" w:leader="none"/>
        </w:tabs>
        <w:rPr>
          <w:rFonts w:ascii="宋体" w:hAnsi="宋体"/>
          <w:sz w:val="21"/>
        </w:rPr>
      </w:pPr>
      <w:r>
        <w:rPr>
          <w:rFonts w:hint="eastAsia" w:ascii="宋体" w:hAnsi="宋体"/>
          <w:sz w:val="21"/>
        </w:rPr>
        <w:t xml:space="preserve">（3）通讯保障处置能力</w:t>
      </w:r>
      <w:r/>
    </w:p>
    <w:p>
      <w:pPr>
        <w:ind w:left="0" w:firstLine="420"/>
        <w:spacing w:line="360" w:lineRule="auto"/>
        <w:tabs>
          <w:tab w:val="left" w:pos="0" w:leader="none"/>
        </w:tabs>
        <w:rPr>
          <w:rFonts w:ascii="宋体" w:hAnsi="宋体"/>
          <w:sz w:val="21"/>
        </w:rPr>
      </w:pPr>
      <w:r>
        <w:rPr>
          <w:rFonts w:hint="eastAsia" w:ascii="宋体" w:hAnsi="宋体"/>
          <w:sz w:val="21"/>
        </w:rPr>
        <w:t xml:space="preserve">（4）满足数据对接要求等</w:t>
      </w:r>
      <w:r/>
    </w:p>
    <w:p>
      <w:pPr>
        <w:ind w:left="0" w:firstLine="420"/>
        <w:spacing w:line="360" w:lineRule="auto"/>
        <w:tabs>
          <w:tab w:val="left" w:pos="0" w:leader="none"/>
        </w:tabs>
        <w:rPr>
          <w:rFonts w:ascii="宋体" w:hAnsi="宋体"/>
          <w:sz w:val="21"/>
        </w:rPr>
      </w:pPr>
      <w:r>
        <w:rPr>
          <w:rFonts w:hint="eastAsia" w:ascii="宋体" w:hAnsi="宋体"/>
          <w:sz w:val="21"/>
        </w:rPr>
        <w:t xml:space="preserve">根据投标单位售后服务承诺的范围和完善程度，对本项目中售后服务方案进行综合评定，制定下列内容，包括但不限于：</w:t>
      </w:r>
      <w:r/>
    </w:p>
    <w:p>
      <w:pPr>
        <w:ind w:left="0" w:firstLine="420"/>
        <w:spacing w:line="360" w:lineRule="auto"/>
        <w:tabs>
          <w:tab w:val="left" w:pos="0" w:leader="none"/>
        </w:tabs>
        <w:rPr>
          <w:rFonts w:ascii="宋体" w:hAnsi="宋体"/>
          <w:sz w:val="21"/>
        </w:rPr>
      </w:pPr>
      <w:r>
        <w:rPr>
          <w:rFonts w:hint="eastAsia" w:ascii="宋体" w:hAnsi="宋体"/>
          <w:sz w:val="21"/>
        </w:rPr>
        <w:t xml:space="preserve">（1）售后服务形式</w:t>
      </w:r>
      <w:r/>
    </w:p>
    <w:p>
      <w:pPr>
        <w:ind w:left="0" w:firstLine="420"/>
        <w:spacing w:line="360" w:lineRule="auto"/>
        <w:tabs>
          <w:tab w:val="left" w:pos="0" w:leader="none"/>
        </w:tabs>
        <w:rPr>
          <w:rFonts w:ascii="宋体" w:hAnsi="宋体"/>
          <w:sz w:val="21"/>
        </w:rPr>
      </w:pPr>
      <w:r>
        <w:rPr>
          <w:rFonts w:hint="eastAsia" w:ascii="宋体" w:hAnsi="宋体"/>
          <w:sz w:val="21"/>
        </w:rPr>
        <w:t xml:space="preserve">（2）售后人员配备</w:t>
      </w:r>
      <w:r/>
    </w:p>
    <w:p>
      <w:pPr>
        <w:ind w:left="0" w:firstLine="420"/>
        <w:spacing w:line="360" w:lineRule="auto"/>
        <w:tabs>
          <w:tab w:val="left" w:pos="0" w:leader="none"/>
        </w:tabs>
        <w:rPr>
          <w:rFonts w:ascii="宋体" w:hAnsi="宋体"/>
          <w:sz w:val="21"/>
        </w:rPr>
      </w:pPr>
      <w:r>
        <w:rPr>
          <w:rFonts w:hint="eastAsia" w:ascii="宋体" w:hAnsi="宋体"/>
          <w:sz w:val="21"/>
        </w:rPr>
        <w:t xml:space="preserve">（3）故障响应处置</w:t>
      </w:r>
      <w:r/>
    </w:p>
    <w:p>
      <w:pPr>
        <w:ind w:left="0" w:firstLine="420"/>
        <w:spacing w:line="360" w:lineRule="auto"/>
        <w:tabs>
          <w:tab w:val="left" w:pos="0" w:leader="none"/>
        </w:tabs>
        <w:rPr>
          <w:rFonts w:ascii="宋体" w:hAnsi="宋体"/>
          <w:sz w:val="21"/>
        </w:rPr>
      </w:pPr>
      <w:r>
        <w:rPr>
          <w:rFonts w:hint="eastAsia" w:ascii="宋体" w:hAnsi="宋体"/>
          <w:sz w:val="21"/>
        </w:rPr>
        <w:t xml:space="preserve">（4）应急保障方案等。</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8" w:name="OLE_LINK34"/>
      <w:r/>
      <w:bookmarkStart w:id="109"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8"/>
      <w:r/>
      <w:bookmarkEnd w:id="10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5"/>
        <w:ind w:left="0" w:firstLine="0"/>
        <w:jc w:val="center"/>
        <w:rPr>
          <w:rFonts w:ascii="宋体" w:hAnsi="宋体"/>
          <w:b/>
          <w:sz w:val="44"/>
          <w:szCs w:val="22"/>
        </w:rPr>
      </w:pPr>
      <w:r/>
      <w:bookmarkStart w:id="110" w:name="_Toc11789"/>
      <w:r/>
      <w:bookmarkStart w:id="111" w:name="_Toc5111"/>
      <w:r/>
      <w:bookmarkStart w:id="112" w:name="_Hlk55741158"/>
      <w:r>
        <w:rPr>
          <w:rFonts w:hint="eastAsia" w:ascii="宋体" w:hAnsi="宋体"/>
          <w:b/>
          <w:sz w:val="44"/>
          <w:szCs w:val="22"/>
        </w:rPr>
        <w:br w:type="page" w:clear="all"/>
      </w:r>
      <w:bookmarkStart w:id="113" w:name="_Toc105397794"/>
      <w:r>
        <w:rPr>
          <w:rFonts w:hint="eastAsia" w:ascii="宋体" w:hAnsi="宋体"/>
          <w:b/>
          <w:sz w:val="44"/>
          <w:szCs w:val="22"/>
        </w:rPr>
        <w:t xml:space="preserve">第五章 </w:t>
      </w:r>
      <w:bookmarkStart w:id="114" w:name="合同的特殊条款"/>
      <w:r/>
      <w:bookmarkEnd w:id="114"/>
      <w:r>
        <w:rPr>
          <w:rFonts w:hint="eastAsia" w:ascii="宋体" w:hAnsi="宋体"/>
          <w:b/>
          <w:sz w:val="44"/>
          <w:szCs w:val="22"/>
        </w:rPr>
        <w:t xml:space="preserve">合同及主要条款</w:t>
      </w:r>
      <w:bookmarkEnd w:id="110"/>
      <w:r/>
      <w:bookmarkEnd w:id="111"/>
      <w:r/>
      <w:bookmarkEnd w:id="113"/>
      <w:r/>
      <w:r/>
    </w:p>
    <w:p>
      <w:pPr>
        <w:ind w:left="0"/>
        <w:jc w:val="center"/>
        <w:rPr>
          <w:rFonts w:ascii="宋体" w:hAnsi="宋体"/>
          <w:b/>
          <w:sz w:val="32"/>
          <w:szCs w:val="32"/>
        </w:rPr>
      </w:pPr>
      <w:r/>
      <w:bookmarkStart w:id="115" w:name="_Toc27667"/>
      <w:r/>
      <w:bookmarkStart w:id="116" w:name="_Toc8564"/>
      <w:r/>
      <w:bookmarkStart w:id="117" w:name="_Toc57376410"/>
      <w:r/>
      <w:bookmarkEnd w:id="112"/>
      <w:r>
        <w:rPr>
          <w:rFonts w:hint="eastAsia" w:ascii="宋体" w:hAnsi="宋体"/>
          <w:b/>
          <w:sz w:val="32"/>
          <w:szCs w:val="32"/>
        </w:rPr>
        <w:t xml:space="preserve">政府采购合同</w:t>
      </w:r>
      <w:r/>
    </w:p>
    <w:p>
      <w:pPr>
        <w:pStyle w:val="1017"/>
        <w:ind w:left="0" w:firstLine="0"/>
      </w:pPr>
      <w:r/>
      <w:r/>
    </w:p>
    <w:p>
      <w:pPr>
        <w:ind w:left="0" w:firstLine="480"/>
        <w:spacing w:line="360" w:lineRule="auto"/>
        <w:widowControl w:val="off"/>
        <w:rPr>
          <w:rFonts w:asciiTheme="minorEastAsia" w:hAnsiTheme="minorEastAsia" w:eastAsiaTheme="minorEastAsia"/>
          <w:sz w:val="21"/>
          <w:szCs w:val="21"/>
        </w:rPr>
      </w:pPr>
      <w:r/>
      <w:bookmarkStart w:id="118" w:name="_Toc105397795"/>
      <w:r>
        <w:rPr>
          <w:rFonts w:hint="eastAsia" w:asciiTheme="minorEastAsia" w:hAnsiTheme="minorEastAsia" w:eastAsiaTheme="minorEastAsia"/>
          <w:sz w:val="21"/>
          <w:szCs w:val="21"/>
        </w:rPr>
        <w:t xml:space="preserve">项目编号：</w:t>
      </w:r>
      <w:r/>
    </w:p>
    <w:p>
      <w:pPr>
        <w:ind w:left="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甲方：苏州市公安局</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地址：苏州市相城区人民路3998号</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           </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p>
    <w:p>
      <w:pPr>
        <w:ind w:left="0" w:firstLine="48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乙方：</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p>
    <w:p>
      <w:pPr>
        <w:ind w:left="0" w:firstLine="48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中华人民共和国民法典》等相关法律法规的规定，甲乙双方就此次成交的【苏州市公安局吴中分局木渎派出所升级改造执法办案中心（货物及设备）】项目（以下简称“本项目”）购销事宜，签订本合同书，以兹共同遵守。</w:t>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w:t>
      </w:r>
      <w:bookmarkStart w:id="119" w:name="_Hlk55399711"/>
      <w:r>
        <w:rPr>
          <w:rFonts w:hint="eastAsia" w:asciiTheme="minorEastAsia" w:hAnsiTheme="minorEastAsia" w:eastAsiaTheme="minorEastAsia"/>
          <w:b/>
          <w:sz w:val="21"/>
          <w:szCs w:val="21"/>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（1）本合同书及本合同书签署后各方以书面形式确认的补充协议等；</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（2）中标通知书；</w:t>
      </w:r>
      <w:r>
        <w:rPr>
          <w:rFonts w:hint="eastAsia" w:asciiTheme="minorEastAsia" w:hAnsiTheme="minorEastAsia" w:eastAsiaTheme="minorEastAsia"/>
          <w:sz w:val="21"/>
          <w:szCs w:val="21"/>
        </w:rPr>
        <w:tab/>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（3）采购文件；</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（4）投标（响应）文件；</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（5）乙方在开评标过程中所作的其它承诺、声明、书面澄清等。</w:t>
      </w:r>
      <w:r/>
    </w:p>
    <w:p>
      <w:pPr>
        <w:ind w:left="0" w:firstLine="480"/>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以上文件视为是能互相说明的，如上述文件之间存在冲突或不一致的，以排列序位在前的文件为准，同一序位的文件以形成时间在后的为准。</w:t>
      </w:r>
      <w:bookmarkEnd w:id="119"/>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二、合同内容</w:t>
      </w:r>
      <w:r/>
    </w:p>
    <w:p>
      <w:pPr>
        <w:ind w:left="0" w:firstLine="420"/>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（一）项目内容：乙方负责完成甲方的</w:t>
      </w:r>
      <w:r>
        <w:rPr>
          <w:rFonts w:hint="eastAsia" w:asciiTheme="minorEastAsia" w:hAnsiTheme="minorEastAsia" w:eastAsiaTheme="minorEastAsia"/>
          <w:sz w:val="21"/>
          <w:szCs w:val="21"/>
          <w:u w:val="single"/>
        </w:rPr>
        <w:t xml:space="preserve">“</w:t>
      </w:r>
      <w:r>
        <w:rPr>
          <w:rFonts w:hint="eastAsia" w:asciiTheme="minorEastAsia" w:hAnsiTheme="minorEastAsia" w:eastAsiaTheme="minorEastAsia"/>
          <w:b/>
          <w:sz w:val="21"/>
          <w:szCs w:val="21"/>
          <w:u w:val="single"/>
        </w:rPr>
        <w:t xml:space="preserve"> 项目</w:t>
      </w:r>
      <w:r>
        <w:rPr>
          <w:rFonts w:hint="eastAsia" w:asciiTheme="minorEastAsia" w:hAnsiTheme="minorEastAsia" w:eastAsiaTheme="minorEastAsia"/>
          <w:sz w:val="21"/>
          <w:szCs w:val="21"/>
          <w:u w:val="single"/>
        </w:rPr>
        <w:t xml:space="preserve">”</w:t>
      </w:r>
      <w:r>
        <w:rPr>
          <w:rFonts w:hint="eastAsia" w:asciiTheme="minorEastAsia" w:hAnsiTheme="minorEastAsia" w:eastAsiaTheme="minorEastAsia"/>
          <w:sz w:val="21"/>
          <w:szCs w:val="21"/>
        </w:rPr>
        <w:t xml:space="preserve">，具体内容见下表：</w:t>
      </w:r>
      <w:r/>
    </w:p>
    <w:p>
      <w:pPr>
        <w:ind w:left="0" w:firstLine="420"/>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bl>
      <w:tblPr>
        <w:tblW w:w="5650" w:type="pct"/>
        <w:jc w:val="center"/>
        <w:tblCellMar>
          <w:left w:w="0" w:type="dxa"/>
          <w:right w:w="0" w:type="dxa"/>
        </w:tblCellMar>
        <w:tblLook w:val="04A0" w:firstRow="1" w:lastRow="0" w:firstColumn="1" w:lastColumn="0" w:noHBand="0" w:noVBand="1"/>
      </w:tblPr>
      <w:tblGrid>
        <w:gridCol w:w="848"/>
        <w:gridCol w:w="1935"/>
        <w:gridCol w:w="3523"/>
        <w:gridCol w:w="831"/>
        <w:gridCol w:w="831"/>
        <w:gridCol w:w="1162"/>
        <w:gridCol w:w="1330"/>
        <w:gridCol w:w="675"/>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firstLine="42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000" w:type="pct"/>
            <w:vAlign w:val="center"/>
            <w:textDirection w:val="lrTb"/>
            <w:noWrap/>
          </w:tcPr>
          <w:p>
            <w:pPr>
              <w:ind w:left="0"/>
              <w:jc w:val="center"/>
              <w:widowControl w:val="off"/>
              <w:rPr>
                <w:rFonts w:asciiTheme="minorEastAsia" w:hAnsiTheme="minorEastAsia" w:eastAsiaTheme="minorEastAsia"/>
                <w:b/>
                <w:sz w:val="21"/>
                <w:szCs w:val="21"/>
              </w:rPr>
            </w:pPr>
            <w:r>
              <w:rPr>
                <w:rFonts w:hint="eastAsia" w:asciiTheme="minorEastAsia" w:hAnsiTheme="minorEastAsia" w:eastAsiaTheme="minorEastAsia"/>
                <w:bCs/>
                <w:sz w:val="21"/>
                <w:szCs w:val="21"/>
              </w:rPr>
              <w:t xml:space="preserve">总价（含税）：</w:t>
            </w:r>
            <w:r>
              <w:rPr>
                <w:rFonts w:hint="eastAsia" w:asciiTheme="minorEastAsia" w:hAnsiTheme="minorEastAsia" w:eastAsiaTheme="minorEastAsia"/>
                <w:sz w:val="21"/>
                <w:szCs w:val="21"/>
              </w:rPr>
              <w:t xml:space="preserve">                             ¥</w:t>
            </w:r>
            <w:r/>
          </w:p>
        </w:tc>
      </w:tr>
    </w:tbl>
    <w:p>
      <w:pPr>
        <w:ind w:left="0" w:firstLine="420"/>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（二）交付期限：自本合同签订生效之日起【  】日内，乙方应完成本项目全部采购内容的安装、调试并交付甲方正常使用。</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（三）交付地点：甲方指定地点。</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（四）质保期：不少于【  】个月，自本项目设备经甲方最终验收通过之日起开始计算。</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    三、价格与支付</w:t>
      </w:r>
      <w:r/>
    </w:p>
    <w:p>
      <w:pPr>
        <w:ind w:left="0" w:firstLine="480"/>
        <w:spacing w:line="360" w:lineRule="auto"/>
        <w:widowControl w:val="off"/>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（一）本合同金额按此次中标（成交）价格执行，</w:t>
      </w:r>
      <w:bookmarkStart w:id="120" w:name="_Hlk55399813"/>
      <w:r>
        <w:rPr>
          <w:rFonts w:hint="eastAsia" w:asciiTheme="minorEastAsia" w:hAnsiTheme="minorEastAsia" w:eastAsiaTheme="minorEastAsia"/>
          <w:sz w:val="21"/>
          <w:szCs w:val="21"/>
        </w:rPr>
        <w:t xml:space="preserve">本合同总金额（含税）为人民币（大写）___________________（¥：____________</w:t>
      </w:r>
      <w:r>
        <w:rPr>
          <w:rFonts w:hint="eastAsia" w:asciiTheme="minorEastAsia" w:hAnsiTheme="minorEastAsia" w:eastAsiaTheme="minorEastAsia"/>
          <w:sz w:val="21"/>
          <w:szCs w:val="21"/>
          <w:u w:val="single"/>
        </w:rPr>
        <w:t xml:space="preserve">）</w:t>
      </w:r>
      <w:r>
        <w:rPr>
          <w:rFonts w:hint="eastAsia" w:asciiTheme="minorEastAsia" w:hAnsiTheme="minorEastAsia" w:eastAsiaTheme="minorEastAsia"/>
          <w:sz w:val="21"/>
          <w:szCs w:val="21"/>
        </w:rPr>
        <w:t xml:space="preserve">。上述合同总金额</w:t>
      </w:r>
      <w:bookmarkEnd w:id="120"/>
      <w:r>
        <w:rPr>
          <w:rFonts w:hint="eastAsia" w:asciiTheme="minorEastAsia" w:hAnsiTheme="minorEastAsia" w:eastAsiaTheme="minorEastAsia"/>
          <w:sz w:val="21"/>
          <w:szCs w:val="21"/>
        </w:rPr>
        <w:t xml:space="preserve">已包括</w:t>
      </w:r>
      <w:r>
        <w:rPr>
          <w:rFonts w:hint="eastAsia" w:asciiTheme="minorEastAsia" w:hAnsiTheme="minorEastAsia" w:eastAsiaTheme="minorEastAsia"/>
          <w:sz w:val="21"/>
          <w:szCs w:val="21"/>
          <w:lang w:val="zh-CN"/>
        </w:rPr>
        <w:t xml:space="preserve">响应产品、</w:t>
      </w:r>
      <w:bookmarkStart w:id="121" w:name="_Hlk32483319"/>
      <w:r>
        <w:rPr>
          <w:rFonts w:hint="eastAsia" w:asciiTheme="minorEastAsia" w:hAnsiTheme="minorEastAsia" w:eastAsiaTheme="minorEastAsia"/>
          <w:sz w:val="21"/>
          <w:szCs w:val="21"/>
          <w:lang w:val="zh-CN"/>
        </w:rPr>
        <w:t xml:space="preserve">安装辅材及其备品备件和专用工具费用</w:t>
      </w:r>
      <w:bookmarkEnd w:id="121"/>
      <w:r>
        <w:rPr>
          <w:rFonts w:hint="eastAsia" w:asciiTheme="minorEastAsia" w:hAnsiTheme="minorEastAsia" w:eastAsiaTheme="minorEastAsia"/>
          <w:sz w:val="21"/>
          <w:szCs w:val="21"/>
          <w:lang w:val="zh-CN"/>
        </w:rPr>
        <w:t xml:space="preserve">、税费、包装、运至最终目的地的运输、保险、现场安装调试、检测验收、技术支持与培训、质保和售后服务及相关劳务支出等</w:t>
      </w:r>
      <w:r>
        <w:rPr>
          <w:rFonts w:hint="eastAsia" w:asciiTheme="minorEastAsia" w:hAnsiTheme="minorEastAsia" w:eastAsiaTheme="minorEastAsia"/>
          <w:sz w:val="21"/>
          <w:szCs w:val="21"/>
        </w:rPr>
        <w:t xml:space="preserve">履行本合同</w:t>
      </w:r>
      <w:r>
        <w:rPr>
          <w:rFonts w:hint="eastAsia" w:asciiTheme="minorEastAsia" w:hAnsiTheme="minorEastAsia" w:eastAsiaTheme="minorEastAsia"/>
          <w:sz w:val="21"/>
          <w:szCs w:val="21"/>
          <w:lang w:val="zh-CN"/>
        </w:rPr>
        <w:t xml:space="preserve">所发生的全部费用以及</w:t>
      </w:r>
      <w:r>
        <w:rPr>
          <w:rFonts w:hint="eastAsia" w:asciiTheme="minorEastAsia" w:hAnsiTheme="minorEastAsia" w:eastAsiaTheme="minorEastAsia"/>
          <w:sz w:val="21"/>
          <w:szCs w:val="21"/>
        </w:rPr>
        <w:t xml:space="preserve">乙方</w:t>
      </w:r>
      <w:r>
        <w:rPr>
          <w:rFonts w:hint="eastAsia" w:asciiTheme="minorEastAsia" w:hAnsiTheme="minorEastAsia" w:eastAsiaTheme="minorEastAsia"/>
          <w:sz w:val="21"/>
          <w:szCs w:val="21"/>
          <w:lang w:val="zh-CN"/>
        </w:rPr>
        <w:t xml:space="preserve">的企业利润、税金和政策性文件规定及合同包含的所有风险、责任等各项应有费用</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sz w:val="21"/>
          <w:szCs w:val="21"/>
        </w:rPr>
        <w:t xml:space="preserve">除非本合同另有约定或经甲乙双方协商同意，乙方不得再要求追加任何其他费用。同时，除本合同另有约定外，本合同价格在本合同实施期间不因市场变化因素而变动。</w:t>
      </w:r>
      <w:r/>
    </w:p>
    <w:p>
      <w:pPr>
        <w:ind w:left="0" w:firstLine="465"/>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（二）合同价款的支付及付款方式：</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付款流程：合同签订并生效后30日内甲方向乙方支付合同总金额的30%作为预付款，货物到货交付完成并经甲方初验合格后30日内，甲方向乙方支付合同总金额的40%；项目通过甲方最终验收并经结算后30日内，甲方向乙方支付剩余款项。</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2、乙方提请甲方付款前，应提供以下资料：</w:t>
      </w:r>
      <w:r/>
    </w:p>
    <w:p>
      <w:pPr>
        <w:ind w:left="0" w:firstLine="420"/>
        <w:spacing w:line="360" w:lineRule="auto"/>
        <w:widowControl w:val="off"/>
        <w:tabs>
          <w:tab w:val="left" w:pos="709"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（1）合法有效且符合甲方要求的发票；</w:t>
      </w:r>
      <w:r/>
    </w:p>
    <w:p>
      <w:pPr>
        <w:ind w:left="0" w:firstLine="420"/>
        <w:spacing w:line="360" w:lineRule="auto"/>
        <w:widowControl w:val="off"/>
        <w:tabs>
          <w:tab w:val="left" w:pos="709"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（2）随设备附带的所有有关资料（如质量保证书等）；</w:t>
      </w:r>
      <w:r/>
    </w:p>
    <w:p>
      <w:pPr>
        <w:ind w:left="0" w:firstLine="465"/>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由甲乙双方共同签章的《政府采购合同履行验收书》</w:t>
      </w:r>
      <w:r>
        <w:rPr>
          <w:rFonts w:hint="eastAsia" w:cs="Times New Roman" w:asciiTheme="minorEastAsia" w:hAnsiTheme="minorEastAsia" w:eastAsiaTheme="minorEastAsia"/>
          <w:sz w:val="21"/>
          <w:szCs w:val="21"/>
        </w:rPr>
        <w:t xml:space="preserve">。</w:t>
      </w:r>
      <w:r/>
    </w:p>
    <w:p>
      <w:pPr>
        <w:ind w:left="0" w:firstLine="465"/>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若乙方未按要求提供上述资料导致甲方迟延付款的，甲方不承担逾期付款的违约责任。</w:t>
      </w:r>
      <w:r/>
    </w:p>
    <w:p>
      <w:pPr>
        <w:ind w:left="0" w:firstLine="465"/>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3、付款方式：</w:t>
      </w:r>
      <w:r>
        <w:rPr>
          <w:rFonts w:hint="eastAsia" w:cs="Calibri" w:asciiTheme="minorEastAsia" w:hAnsiTheme="minorEastAsia" w:eastAsiaTheme="minorEastAsia"/>
          <w:sz w:val="21"/>
          <w:szCs w:val="21"/>
        </w:rPr>
        <w:t xml:space="preserve">本次货款以数字人民币形式或银行转账支付</w:t>
      </w:r>
      <w:r>
        <w:rPr>
          <w:rFonts w:hint="eastAsia" w:cs="Times New Roman" w:asciiTheme="minorEastAsia" w:hAnsiTheme="minorEastAsia" w:eastAsiaTheme="minorEastAsia"/>
          <w:sz w:val="21"/>
          <w:szCs w:val="21"/>
        </w:rPr>
        <w:t xml:space="preserve">。</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（1）乙方数字人民币账户信息如下：</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账户名：</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开户行：</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数字人民币账号（数币钱包ID）：</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（2）乙方银行转账账户信息如下：</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开户名称：</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w:t>
      </w:r>
      <w:r/>
    </w:p>
    <w:p>
      <w:pPr>
        <w:ind w:left="0" w:firstLine="465"/>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银行账号：</w:t>
      </w:r>
      <w:r/>
    </w:p>
    <w:p>
      <w:pPr>
        <w:ind w:left="0" w:firstLine="465"/>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65"/>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（三）履约保证金</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履约保证金金额为：合同总金额的【 10 】%；即人民币大写圆整（小写￥）。</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乙方应在合同签订后【30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10%】的违约金，给甲方造成损失的，乙方应赔偿甲方一切直接、间接损失。</w:t>
      </w:r>
      <w:r>
        <w:rPr>
          <w:rFonts w:hint="eastAsia" w:cs="Times New Roman" w:asciiTheme="minorEastAsia" w:hAnsiTheme="minorEastAsia" w:eastAsiaTheme="minorEastAsia"/>
          <w:b/>
          <w:sz w:val="21"/>
          <w:szCs w:val="21"/>
        </w:rPr>
        <w:t xml:space="preserve">（履约保证金的有效期限应不早于项目服务期限结束之前，请乙方合理选择履约保证金形式。）</w:t>
      </w:r>
      <w:r>
        <w:rPr>
          <w:rFonts w:hint="eastAsia" w:cs="Times New Roman" w:asciiTheme="minorEastAsia" w:hAnsiTheme="minorEastAsia" w:eastAsiaTheme="minorEastAsia"/>
          <w:sz w:val="21"/>
          <w:szCs w:val="21"/>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cs="Times New Roman" w:asciiTheme="minorEastAsia" w:hAnsiTheme="minorEastAsia" w:eastAsiaTheme="minorEastAsia"/>
          <w:sz w:val="21"/>
          <w:szCs w:val="21"/>
        </w:rPr>
        <w:br/>
        <w:t xml:space="preserve">在乙方以第三方担保的方式提供履约担保的情况下，如第三方担保期限已经届满或担保义务免除，则视为甲方返还履约保证金的义务消灭，甲方无需实际返还行为。</w:t>
      </w:r>
      <w:r/>
    </w:p>
    <w:p>
      <w:pPr>
        <w:ind w:left="0" w:firstLine="465"/>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    四、保密条款</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    五、质量保证</w:t>
      </w:r>
      <w:r/>
    </w:p>
    <w:p>
      <w:pPr>
        <w:ind w:left="0" w:firstLine="420"/>
        <w:spacing w:line="360" w:lineRule="auto"/>
        <w:widowControl w:val="off"/>
        <w:rPr>
          <w:rFonts w:cs="Times New Roman" w:asciiTheme="minorEastAsia" w:hAnsiTheme="minorEastAsia" w:eastAsiaTheme="minorEastAsia"/>
          <w:sz w:val="21"/>
          <w:szCs w:val="21"/>
        </w:rPr>
        <w:outlineLvl w:val="0"/>
      </w:pPr>
      <w:r>
        <w:rPr>
          <w:rFonts w:hint="eastAsia" w:cs="Times New Roman" w:asciiTheme="minorEastAsia" w:hAnsiTheme="minorEastAsia" w:eastAsiaTheme="minorEastAsia"/>
          <w:sz w:val="21"/>
          <w:szCs w:val="21"/>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widowControl w:val="off"/>
        <w:rPr>
          <w:rFonts w:cs="Times New Roman" w:asciiTheme="minorEastAsia" w:hAnsiTheme="minorEastAsia" w:eastAsiaTheme="minorEastAsia"/>
          <w:sz w:val="21"/>
          <w:szCs w:val="21"/>
        </w:rPr>
        <w:outlineLvl w:val="0"/>
      </w:pPr>
      <w:r>
        <w:rPr>
          <w:rFonts w:hint="eastAsia" w:cs="Times New Roman" w:asciiTheme="minorEastAsia" w:hAnsiTheme="minorEastAsia" w:eastAsiaTheme="minorEastAsia"/>
          <w:sz w:val="21"/>
          <w:szCs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widowControl w:val="off"/>
        <w:rPr>
          <w:rFonts w:cs="Times New Roman" w:asciiTheme="minorEastAsia" w:hAnsiTheme="minorEastAsia" w:eastAsiaTheme="minorEastAsia"/>
          <w:sz w:val="21"/>
          <w:szCs w:val="21"/>
        </w:rPr>
        <w:outlineLvl w:val="0"/>
      </w:pPr>
      <w:r>
        <w:rPr>
          <w:rFonts w:hint="eastAsia" w:cs="Times New Roman" w:asciiTheme="minorEastAsia" w:hAnsiTheme="minorEastAsia" w:eastAsiaTheme="minorEastAsia"/>
          <w:sz w:val="21"/>
          <w:szCs w:val="21"/>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widowControl w:val="off"/>
        <w:rPr>
          <w:rFonts w:cs="Times New Roman" w:asciiTheme="minorEastAsia" w:hAnsiTheme="minorEastAsia" w:eastAsiaTheme="minorEastAsia"/>
          <w:sz w:val="21"/>
          <w:szCs w:val="21"/>
        </w:rPr>
        <w:outlineLvl w:val="0"/>
      </w:pPr>
      <w:r>
        <w:rPr>
          <w:rFonts w:hint="eastAsia" w:cs="Times New Roman" w:asciiTheme="minorEastAsia" w:hAnsiTheme="minorEastAsia" w:eastAsiaTheme="minorEastAsia"/>
          <w:sz w:val="21"/>
          <w:szCs w:val="21"/>
        </w:rPr>
        <w:t xml:space="preserve">（四）</w:t>
      </w:r>
      <w:bookmarkStart w:id="122" w:name="_Hlk32483710"/>
      <w:r>
        <w:rPr>
          <w:rFonts w:hint="eastAsia" w:cs="Times New Roman" w:asciiTheme="minorEastAsia" w:hAnsiTheme="minorEastAsia" w:eastAsiaTheme="minorEastAsia"/>
          <w:sz w:val="21"/>
          <w:szCs w:val="21"/>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122"/>
      <w:r/>
      <w:r/>
    </w:p>
    <w:p>
      <w:pPr>
        <w:ind w:left="0" w:firstLine="413"/>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六、包装</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（二）乙方应保证其提供的货物是原包装未拆封的商品，在交付甲方验收前不得拆箱。</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    七、设备的交付</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（一）本项目设备的所有权自设备由乙方交付甲方时转移。</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（二）乙方应当按照本合同约定的期限和约定的地点交付设备。</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（三）乙方应当按照本合同约定或者交易习惯向甲方交付提取设备单证以外的有关单证和资料。</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（四）本合同中所称“交付”，除根据上下文明显指设备到货时的交货外，均指完成安装调试后的交付。</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（五）乙方负责安排货物运输，因交货产生的运输、装卸、安装、保险等相关费用全部由乙方承担。货物在交付甲方并通过验收合格前，其灭失、损毁的风险由乙方承担。</w:t>
      </w:r>
      <w:r/>
    </w:p>
    <w:p>
      <w:pPr>
        <w:ind w:left="0"/>
        <w:spacing w:line="360" w:lineRule="auto"/>
        <w:widowControl w:val="off"/>
        <w:rPr>
          <w:rFonts w:asciiTheme="minorEastAsia" w:hAnsiTheme="minorEastAsia" w:eastAsiaTheme="minorEastAsia"/>
          <w:b/>
          <w:bCs/>
          <w:sz w:val="21"/>
          <w:szCs w:val="21"/>
        </w:rPr>
        <w:outlineLvl w:val="0"/>
      </w:pPr>
      <w:r>
        <w:rPr>
          <w:rFonts w:hint="eastAsia" w:asciiTheme="minorEastAsia" w:hAnsiTheme="minorEastAsia" w:eastAsiaTheme="minorEastAsia"/>
          <w:b/>
          <w:bCs/>
          <w:sz w:val="21"/>
          <w:szCs w:val="21"/>
        </w:rPr>
        <w:t xml:space="preserve">    八、伴随服务</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（一）乙方除应按照本合同约定及甲方的要求履行按期按量交付合格设备的义务外，还应当提供下列服务：</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1、设备的现场安装、启动、调试、监督（如果必须安装、调试的话）；</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2、提供设备组装和一般维修所必需的工具；</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3、在本合同规定的期限内对所提供的设备实行运行监督、维修服务的前提条件是该服务并不能免除乙方在质量保证期内应承担的义务；</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4、对甲方技术人员进行技术指导或培训服务。</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（二）除本合同另有规定外，伴随服务的费用均已包含在本合同总价款中，甲方不再另行向乙方支付任何其他费用。</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    九、设备的检验（检测）和验收</w:t>
      </w:r>
      <w:r/>
    </w:p>
    <w:p>
      <w:pPr>
        <w:ind w:left="0" w:firstLine="48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（三）乙方应自本项目所有设备交付甲方，完成安装、调试，并试运行完成之日起15日内进行验收。特殊情况需延长的，</w:t>
      </w:r>
      <w:bookmarkStart w:id="123" w:name="_Hlk32482846"/>
      <w:r>
        <w:rPr>
          <w:rFonts w:hint="eastAsia" w:asciiTheme="minorEastAsia" w:hAnsiTheme="minorEastAsia" w:eastAsiaTheme="minorEastAsia"/>
          <w:sz w:val="21"/>
          <w:szCs w:val="21"/>
        </w:rPr>
        <w:t xml:space="preserve">由甲乙双方另行协商确定</w:t>
      </w:r>
      <w:bookmarkEnd w:id="123"/>
      <w:r>
        <w:rPr>
          <w:rFonts w:hint="eastAsia" w:asciiTheme="minorEastAsia" w:hAnsiTheme="minorEastAsia" w:eastAsiaTheme="minorEastAsia"/>
          <w:sz w:val="21"/>
          <w:szCs w:val="21"/>
        </w:rPr>
        <w:t xml:space="preserve">。</w:t>
      </w:r>
      <w:r/>
    </w:p>
    <w:p>
      <w:pPr>
        <w:ind w:left="0" w:firstLine="48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8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（五）由于甲方自身能力、检验（检测）方法和检验（检测）手段的限制，对于设备部分质量瑕疵尤其</w:t>
      </w:r>
      <w:r>
        <w:rPr>
          <w:rFonts w:hint="eastAsia" w:asciiTheme="minorEastAsia" w:hAnsiTheme="minorEastAsia" w:eastAsiaTheme="minorEastAsia"/>
          <w:sz w:val="21"/>
          <w:szCs w:val="21"/>
        </w:rPr>
        <w:t xml:space="preserve">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left="0" w:firstLine="48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（六）项目验收以甲方要求的方式、程序、标准为准，乙方应当配合甲方的验收要求，因乙方不配合甲方验收要求导致验收无法进行或验收不通过的，乙方自行承担后果。</w:t>
      </w:r>
      <w:r/>
    </w:p>
    <w:p>
      <w:pPr>
        <w:ind w:left="0"/>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    十、设备提出异议的时间和办法</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left="0" w:firstLine="48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 十一、售后服务</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1、本项目免费质量保证期要求不低于【 】年。免费质量保证期从货物供货、安装、调试正常且经采购使用部门确认最终验收合格之日起算。</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2、在质保期内，如发生故障，提供【 】小时以内响应，【 】小时以内赶到故障现场进行维护服务；从乙方工程技术人员进行故障处理开始，到全部故障排除，整个系统完全恢复到故障前的正常状态所需时间不大于【 】小时。</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十二、安全生产</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Theme="minorEastAsia" w:hAnsiTheme="minorEastAsia" w:eastAsiaTheme="minorEastAsia"/>
          <w:sz w:val="21"/>
          <w:szCs w:val="21"/>
        </w:rPr>
        <w:br/>
        <w:t xml:space="preserve">    （二）所有作业人员均需按照国家法律法规之规定，取得对应上岗资格证书、作业许可证书、特种作业证书等相关资格证书，方可上岗作业。</w:t>
      </w:r>
      <w:r>
        <w:rPr>
          <w:rFonts w:hint="eastAsia" w:asciiTheme="minorEastAsia" w:hAnsiTheme="minorEastAsia" w:eastAsiaTheme="minorEastAsia"/>
          <w:sz w:val="21"/>
          <w:szCs w:val="21"/>
        </w:rPr>
        <w:br/>
      </w:r>
      <w:r>
        <w:rPr>
          <w:rFonts w:hint="eastAsia" w:asciiTheme="minorEastAsia" w:hAnsiTheme="minorEastAsia" w:eastAsiaTheme="minorEastAsia"/>
          <w:sz w:val="21"/>
          <w:szCs w:val="21"/>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22"/>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十三、分包与转包</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（一）本合同项目不得转包与分包。</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（三）因分包或转包导致甲方遭受损失的，乙方应赔偿甲方一切直接和间接损失。</w:t>
      </w:r>
      <w:r/>
    </w:p>
    <w:p>
      <w:pPr>
        <w:ind w:left="0" w:firstLine="422"/>
        <w:spacing w:line="360" w:lineRule="auto"/>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十四、违约责任</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合同一方不履行合同义务或者履行合同义务不符合约定的，应当承担继续履行、采取补救措施或赔偿损失等违约责任。</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（一）甲方违约责任</w:t>
      </w:r>
      <w:r/>
    </w:p>
    <w:p>
      <w:pPr>
        <w:ind w:left="0" w:firstLine="48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1、本合同生效后，甲方无正当理由要求退货的，应向乙方支付本合同总金额20%的违约金，违约金不足以弥补损失的，乙方有权要求甲方补足。</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2、甲方逾期支付合同价款的，每逾期1日，应向乙方支付逾期付款金额万分之四的违约金，但甲方支付的该项违约金总额以逾期付款金额的5%为限。甲方因国资监管要求、国资支付审批流程等原因履行必要手续的，不视为逾期付款，不承担任何责任。</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3、甲方违反本合同规定，无正当理由拒绝接收乙方交付的合格标的物的，应当承担因此给乙方造成的损失。</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（二）乙方违约责任</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1、乙方未能按本合同约定的期限交付质量符合本合同约定货物的，甲方有权选择采取以下一种或多种措施：</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（1）每逾期一日，要求乙方按照本合同总金额的万分之四向甲方支付违约金，并在甲方指定期限内交付符合本合同约定的货物。</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w:t>
      </w:r>
      <w:r>
        <w:rPr>
          <w:rFonts w:hint="eastAsia" w:asciiTheme="minorEastAsia" w:hAnsiTheme="minorEastAsia" w:eastAsiaTheme="minorEastAsia"/>
          <w:sz w:val="21"/>
          <w:szCs w:val="21"/>
        </w:rPr>
        <w:t xml:space="preserve">逾期交付的损失（损失参照合同约定的逾期交付违约金计算方式进行认定）等一切费用和损失。</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6、本合同约定的乙方应付违约金不足以弥补甲方一切直接或间接损失的，乙方应当足额赔偿。</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7、乙方对招投标文件中承诺函所承诺的内容未按约定提供，甲方有权终止合同，且乙方需向甲方支付本合同总金额【20】%的违约金。</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8.若甲方在本合同完结之后，产生的后续其他项目涉及到与本合同内相关设备的（包括但不限于）关联、适配、调用、整合等相关工作乙方应给与新供应商无条件配合，否则甲方任拥有追责权利，可要求乙方给与赔偿等相关补救措施。</w:t>
      </w:r>
      <w:r/>
    </w:p>
    <w:p>
      <w:pPr>
        <w:ind w:left="0" w:firstLine="42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9、乙方违反本合同第十三条约定之情形的，除按相应条款承担违约责任外，甲方还有权依据本合同第十四条追究其违约责任。</w:t>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十五、不可抗力</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（一）合同一方因不可抗力不能履行合同的，根据不可抗力的影响，部分或者全部免除责任。但合同一方迟延履行后发生不可抗力的，不能免除责任。</w:t>
      </w:r>
      <w:r/>
    </w:p>
    <w:p>
      <w:pPr>
        <w:ind w:left="0" w:firstLine="48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（二）合同一方因不可抗力不能履行合同的，应当在不可抗力发生后3日内通知对方，以减轻可能给对方造成的损失，并应当</w:t>
      </w:r>
      <w:bookmarkStart w:id="124" w:name="_Hlk62832803"/>
      <w:r>
        <w:rPr>
          <w:rFonts w:hint="eastAsia" w:asciiTheme="minorEastAsia" w:hAnsiTheme="minorEastAsia" w:eastAsiaTheme="minorEastAsia"/>
          <w:sz w:val="21"/>
          <w:szCs w:val="21"/>
        </w:rPr>
        <w:t xml:space="preserve">不可抗力通知发出后的7日</w:t>
      </w:r>
      <w:bookmarkEnd w:id="124"/>
      <w:r>
        <w:rPr>
          <w:rFonts w:hint="eastAsia" w:asciiTheme="minorEastAsia" w:hAnsiTheme="minorEastAsia" w:eastAsiaTheme="minorEastAsia"/>
          <w:sz w:val="21"/>
          <w:szCs w:val="21"/>
        </w:rPr>
        <w:t xml:space="preserve">内提供书面证明文件。</w:t>
      </w:r>
      <w:r/>
    </w:p>
    <w:p>
      <w:pPr>
        <w:ind w:left="0" w:firstLine="48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（三）</w:t>
      </w:r>
      <w:bookmarkStart w:id="125" w:name="_Hlk62832818"/>
      <w:r>
        <w:rPr>
          <w:rFonts w:hint="eastAsia" w:asciiTheme="minorEastAsia" w:hAnsiTheme="minorEastAsia" w:eastAsiaTheme="minorEastAsia"/>
          <w:sz w:val="21"/>
          <w:szCs w:val="21"/>
        </w:rPr>
        <w:t xml:space="preserve">不可抗力事由消除后，合同继续履行或解除等相关事宜，由合同双方协商解决。</w:t>
      </w:r>
      <w:bookmarkEnd w:id="125"/>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十六、索赔</w:t>
      </w:r>
      <w:r/>
    </w:p>
    <w:p>
      <w:pPr>
        <w:ind w:left="0"/>
        <w:spacing w:line="360" w:lineRule="auto"/>
        <w:widowControl w:val="off"/>
        <w:tabs>
          <w:tab w:val="left" w:pos="251" w:leader="none"/>
        </w:tabs>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（一）</w:t>
      </w:r>
      <w:bookmarkStart w:id="126" w:name="_Hlk62832834"/>
      <w:r>
        <w:rPr>
          <w:rFonts w:hint="eastAsia" w:asciiTheme="minorEastAsia" w:hAnsiTheme="minorEastAsia" w:eastAsiaTheme="minorEastAsia"/>
          <w:sz w:val="21"/>
          <w:szCs w:val="21"/>
        </w:rPr>
        <w:t xml:space="preserve">乙方交付的本项目设备的质量、数量、规格、性能等经检验（检测）、验收不合格的，</w:t>
      </w:r>
      <w:bookmarkEnd w:id="126"/>
      <w:r>
        <w:rPr>
          <w:rFonts w:hint="eastAsia" w:asciiTheme="minorEastAsia" w:hAnsiTheme="minorEastAsia" w:eastAsiaTheme="minorEastAsia"/>
          <w:sz w:val="21"/>
          <w:szCs w:val="21"/>
        </w:rPr>
        <w:t xml:space="preserve">甲方有权根据当地产品质量检验（检测）机构或其他有关部门出具的检验（检测）、验收证书向乙方提出索赔。</w:t>
      </w:r>
      <w:r/>
    </w:p>
    <w:p>
      <w:pPr>
        <w:ind w:left="0"/>
        <w:spacing w:line="360" w:lineRule="auto"/>
        <w:widowControl w:val="off"/>
        <w:tabs>
          <w:tab w:val="left" w:pos="251" w:leader="none"/>
        </w:tabs>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（二）在本合同规定的检验（检测）期限和质量保证期内，如果乙方对甲方提出的索赔或异议有责任，则乙方应按甲方同意的下列一种或多种方式解决索赔事宜：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1、乙方同意退货，并按本合同规定的货币形式将货款退还给甲方，并且承担由此发生的一切直接、间接</w:t>
      </w:r>
      <w:r>
        <w:rPr>
          <w:rFonts w:hint="eastAsia" w:asciiTheme="minorEastAsia" w:hAnsiTheme="minorEastAsia" w:eastAsiaTheme="minorEastAsia"/>
          <w:sz w:val="21"/>
          <w:szCs w:val="21"/>
        </w:rPr>
        <w:t xml:space="preserve">损失和费用，包括利息、银行手续费、运费、总包配合费、保险费、检验（检测）费、仓储费、装卸费以及为保护退回设备所需的其他必要费用。</w:t>
      </w:r>
      <w:r/>
    </w:p>
    <w:p>
      <w:pPr>
        <w:ind w:left="0"/>
        <w:spacing w:line="360" w:lineRule="auto"/>
        <w:widowControl w:val="off"/>
        <w:tabs>
          <w:tab w:val="left" w:pos="0" w:leader="none"/>
        </w:tabs>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2、根据设备的低劣程度、损坏程度以及甲方遭受损失的数额，经甲乙双方协商确定降低设备的价格。</w:t>
      </w:r>
      <w:r/>
    </w:p>
    <w:p>
      <w:pPr>
        <w:ind w:left="0"/>
        <w:spacing w:line="360" w:lineRule="auto"/>
        <w:widowControl w:val="off"/>
        <w:tabs>
          <w:tab w:val="left" w:pos="251" w:leader="none"/>
        </w:tabs>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3、</w:t>
      </w:r>
      <w:bookmarkStart w:id="127" w:name="_Hlk62832935"/>
      <w:r>
        <w:rPr>
          <w:rFonts w:hint="eastAsia" w:asciiTheme="minorEastAsia" w:hAnsiTheme="minorEastAsia" w:eastAsiaTheme="minorEastAsia"/>
          <w:sz w:val="21"/>
          <w:szCs w:val="21"/>
        </w:rPr>
        <w:t xml:space="preserve">乙方应在收到甲方书面索赔通知后7日内，</w:t>
      </w:r>
      <w:bookmarkEnd w:id="127"/>
      <w:r>
        <w:rPr>
          <w:rFonts w:hint="eastAsia" w:asciiTheme="minorEastAsia" w:hAnsiTheme="minorEastAsia" w:eastAsiaTheme="minorEastAsia"/>
          <w:sz w:val="21"/>
          <w:szCs w:val="21"/>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left="0"/>
        <w:spacing w:line="360" w:lineRule="auto"/>
        <w:widowControl w:val="off"/>
        <w:tabs>
          <w:tab w:val="left" w:pos="251" w:leader="none"/>
        </w:tabs>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2"/>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b/>
          <w:bCs/>
          <w:sz w:val="21"/>
          <w:szCs w:val="21"/>
        </w:rPr>
        <w:t xml:space="preserve">十七、合同的解除</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（一）除《政府采购法》第49条、第50条第二款规定的情形及本合同约定的情形外，本合同签订后，甲乙双方不得擅自变更、解除或终止本合同。</w:t>
      </w:r>
      <w:r/>
    </w:p>
    <w:p>
      <w:pPr>
        <w:ind w:left="0"/>
        <w:spacing w:line="360" w:lineRule="auto"/>
        <w:widowControl w:val="off"/>
        <w:rPr>
          <w:rFonts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    （二）有下列情形之一的，合同一方可以解除合同：</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1、因不可抗力致使不能实现合同目的的，未受不可抗力影响的一方有权解除合同；</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2、因合同一方违约导致合同不能履行的，另一方有权解除合同；</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3、乙方存在违反本合同第十三条之情形的，甲方有权解除合同；</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4、有权解除合同的一方，应当在违约事实或不可抗力发生后30日内书面通知对方以主张解除本合同，本合同在书面通知到达对方时解除。</w:t>
      </w:r>
      <w:r/>
    </w:p>
    <w:p>
      <w:pPr>
        <w:ind w:left="0" w:firstLine="48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2"/>
        <w:spacing w:line="360" w:lineRule="auto"/>
        <w:widowControl w:val="off"/>
        <w:rPr>
          <w:rFonts w:asciiTheme="minorEastAsia" w:hAnsiTheme="minorEastAsia" w:eastAsiaTheme="minorEastAsia"/>
          <w:sz w:val="21"/>
          <w:szCs w:val="21"/>
        </w:rPr>
      </w:pPr>
      <w:r/>
      <w:bookmarkStart w:id="128" w:name="_Toc13543222"/>
      <w:r>
        <w:rPr>
          <w:rFonts w:hint="eastAsia" w:asciiTheme="minorEastAsia" w:hAnsiTheme="minorEastAsia" w:eastAsiaTheme="minorEastAsia"/>
          <w:b/>
          <w:bCs/>
          <w:sz w:val="21"/>
          <w:szCs w:val="21"/>
        </w:rPr>
        <w:t xml:space="preserve">十八、合同的生效</w:t>
      </w:r>
      <w:bookmarkEnd w:id="128"/>
      <w:r/>
      <w:r/>
    </w:p>
    <w:p>
      <w:pPr>
        <w:ind w:left="0" w:firstLine="420"/>
        <w:spacing w:line="360" w:lineRule="auto"/>
        <w:widowControl w:val="off"/>
        <w:rPr>
          <w:rFonts w:asciiTheme="minorEastAsia" w:hAnsiTheme="minorEastAsia" w:eastAsiaTheme="minorEastAsia"/>
          <w:sz w:val="21"/>
          <w:szCs w:val="21"/>
        </w:rPr>
      </w:pPr>
      <w:r/>
      <w:bookmarkStart w:id="129" w:name="_Toc13543223"/>
      <w:r>
        <w:rPr>
          <w:rFonts w:hint="eastAsia" w:asciiTheme="minorEastAsia" w:hAnsiTheme="minorEastAsia" w:eastAsiaTheme="minorEastAsia"/>
          <w:sz w:val="21"/>
          <w:szCs w:val="21"/>
        </w:rPr>
        <w:t xml:space="preserve">本合同经甲乙双方法定代表人或授权代表人签字加盖公章后即生效，生效后须进行网上备案。</w:t>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十九、争议解决</w:t>
      </w:r>
      <w:bookmarkEnd w:id="129"/>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甲乙双方因履行本合同或与本合同有关的一切事项发生争议的，应友好协商解决；协商不成的，任何一方均有权向甲方所在地人民法院起诉。</w:t>
      </w:r>
      <w:bookmarkStart w:id="130" w:name="_Hlk62833016"/>
      <w:r>
        <w:rPr>
          <w:rFonts w:hint="eastAsia" w:asciiTheme="minorEastAsia" w:hAnsiTheme="minorEastAsia" w:eastAsiaTheme="minorEastAsia"/>
          <w:sz w:val="21"/>
          <w:szCs w:val="21"/>
        </w:rPr>
        <w:t xml:space="preserve">因乙方违约或乙方追究甲方违约但不成立，导致甲方为处理此纠纷产生的费用由乙方承担，该费用包括但不限于公证费、诉讼费、保全费、鉴定费、执行费、律师费、差旅费等。</w:t>
      </w:r>
      <w:bookmarkStart w:id="131" w:name="_Toc13543224"/>
      <w:r/>
      <w:bookmarkEnd w:id="130"/>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二十、</w:t>
      </w:r>
      <w:bookmarkEnd w:id="131"/>
      <w:r>
        <w:rPr>
          <w:rFonts w:hint="eastAsia" w:asciiTheme="minorEastAsia" w:hAnsiTheme="minorEastAsia" w:eastAsiaTheme="minorEastAsia"/>
          <w:b/>
          <w:bCs/>
          <w:sz w:val="21"/>
          <w:szCs w:val="21"/>
        </w:rPr>
        <w:t xml:space="preserve">其他附则</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（一）合同份数：本合同一式【 】份，甲方执【 】份，乙方执【 】份，各份合同具有同等法律效力。</w:t>
      </w:r>
      <w:r/>
    </w:p>
    <w:p>
      <w:pPr>
        <w:ind w:left="0" w:firstLine="480"/>
        <w:spacing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sz w:val="21"/>
          <w:szCs w:val="21"/>
        </w:rPr>
        <w:t xml:space="preserve">（二）本合同未尽事宜应按《中华人民共和国民法典》《中华人民共和国政府采购法》</w:t>
      </w:r>
      <w:bookmarkStart w:id="132" w:name="_Hlk32483171"/>
      <w:r>
        <w:rPr>
          <w:rFonts w:hint="eastAsia" w:asciiTheme="minorEastAsia" w:hAnsiTheme="minorEastAsia" w:eastAsiaTheme="minorEastAsia"/>
          <w:sz w:val="21"/>
          <w:szCs w:val="21"/>
        </w:rPr>
        <w:t xml:space="preserve">以及其它法律、法规</w:t>
      </w:r>
      <w:bookmarkEnd w:id="132"/>
      <w:r>
        <w:rPr>
          <w:rFonts w:hint="eastAsia" w:asciiTheme="minorEastAsia" w:hAnsiTheme="minorEastAsia" w:eastAsiaTheme="minorEastAsia"/>
          <w:sz w:val="21"/>
          <w:szCs w:val="21"/>
        </w:rPr>
        <w:t xml:space="preserve">之规定解释，</w:t>
      </w:r>
      <w:r>
        <w:rPr>
          <w:rFonts w:hint="eastAsia" w:asciiTheme="minorEastAsia" w:hAnsiTheme="minorEastAsia" w:eastAsiaTheme="minorEastAsia"/>
          <w:bCs/>
          <w:sz w:val="21"/>
          <w:szCs w:val="21"/>
        </w:rPr>
        <w:t xml:space="preserve">在执行过程中甲乙双方应在不违背本合同和采购文件的原则下协商解决，协商结果以书面形式盖章记录，作为本合同的附件，与本合同具有同等效力。</w:t>
      </w:r>
      <w:r/>
    </w:p>
    <w:p>
      <w:pPr>
        <w:ind w:left="0" w:firstLine="480"/>
        <w:spacing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（三）</w:t>
      </w:r>
      <w:bookmarkStart w:id="133" w:name="_Hlk62833081"/>
      <w:r>
        <w:rPr>
          <w:rFonts w:hint="eastAsia" w:asciiTheme="minorEastAsia" w:hAnsiTheme="minorEastAsia" w:eastAsiaTheme="minorEastAsia"/>
          <w:bCs/>
          <w:sz w:val="21"/>
          <w:szCs w:val="21"/>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（以下无正文）</w:t>
      </w:r>
      <w:bookmarkEnd w:id="133"/>
      <w:r/>
      <w:r/>
    </w:p>
    <w:p>
      <w:pPr>
        <w:ind w:left="0" w:firstLine="480"/>
        <w:spacing w:line="360" w:lineRule="auto"/>
        <w:widowControl w:val="off"/>
        <w:rPr>
          <w:rFonts w:asciiTheme="minorEastAsia" w:hAnsiTheme="minorEastAsia" w:eastAsiaTheme="minorEastAsia"/>
          <w:bCs/>
          <w:sz w:val="21"/>
          <w:szCs w:val="21"/>
        </w:rPr>
      </w:pPr>
      <w:r/>
      <w:bookmarkStart w:id="134" w:name="_Hlk62833094"/>
      <w:r/>
      <w:r/>
    </w:p>
    <w:p>
      <w:pPr>
        <w:ind w:left="0" w:firstLine="480"/>
        <w:spacing w:line="360" w:lineRule="auto"/>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r>
      <w:r/>
    </w:p>
    <w:p>
      <w:pPr>
        <w:ind w:left="0"/>
        <w:spacing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甲方（盖章）：苏州市公安局                  乙方（盖章）：</w:t>
      </w:r>
      <w:r/>
    </w:p>
    <w:p>
      <w:pPr>
        <w:ind w:left="0"/>
        <w:spacing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法定（授权）代表人（签字）：                法定（授权）代表人（签字）：</w:t>
      </w:r>
      <w:r/>
    </w:p>
    <w:p>
      <w:pPr>
        <w:ind w:left="0"/>
        <w:spacing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日期：    年   月   日                     日期：    年   月   日</w:t>
      </w:r>
      <w:r/>
    </w:p>
    <w:p>
      <w:pPr>
        <w:ind w:left="0"/>
        <w:spacing w:line="360" w:lineRule="auto"/>
        <w:widowControl w:val="off"/>
        <w:rPr>
          <w:rFonts w:ascii="宋体" w:hAnsi="宋体"/>
          <w:bCs/>
          <w:sz w:val="24"/>
          <w:szCs w:val="22"/>
        </w:rPr>
      </w:pPr>
      <w:r>
        <w:rPr>
          <w:rFonts w:ascii="宋体" w:hAnsi="宋体"/>
          <w:bCs/>
          <w:sz w:val="24"/>
          <w:szCs w:val="22"/>
        </w:rPr>
      </w:r>
      <w:bookmarkEnd w:id="134"/>
      <w:r/>
      <w:r/>
    </w:p>
    <w:p>
      <w:pPr>
        <w:ind w:left="0"/>
        <w:jc w:val="left"/>
        <w:rPr>
          <w:rFonts w:ascii="等线" w:hAnsi="等线" w:eastAsia="等线" w:cs="Times New Roman"/>
          <w:sz w:val="21"/>
          <w:szCs w:val="22"/>
        </w:rPr>
      </w:pPr>
      <w:r>
        <w:rPr>
          <w:rFonts w:ascii="等线" w:hAnsi="等线" w:eastAsia="等线" w:cs="Times New Roman"/>
          <w:sz w:val="21"/>
          <w:szCs w:val="22"/>
        </w:rPr>
        <w:br w:type="page" w:clear="all"/>
      </w:r>
      <w:r/>
    </w:p>
    <w:p>
      <w:pPr>
        <w:ind w:left="0"/>
        <w:widowControl w:val="off"/>
        <w:rPr>
          <w:rFonts w:ascii="等线" w:hAnsi="等线" w:eastAsia="等线" w:cs="Times New Roman"/>
          <w:sz w:val="21"/>
          <w:szCs w:val="22"/>
        </w:rPr>
      </w:pPr>
      <w:r>
        <w:rPr>
          <w:rFonts w:ascii="等线" w:hAnsi="等线" w:eastAsia="等线" w:cs="Times New Roman"/>
          <w:sz w:val="21"/>
          <w:szCs w:val="22"/>
        </w:rPr>
      </w:r>
      <w:r/>
    </w:p>
    <w:p>
      <w:pPr>
        <w:pStyle w:val="1005"/>
        <w:ind w:left="0" w:firstLine="0"/>
        <w:jc w:val="center"/>
        <w:rPr>
          <w:rFonts w:ascii="宋体" w:hAnsi="宋体"/>
          <w:b/>
          <w:sz w:val="44"/>
          <w:szCs w:val="22"/>
        </w:rPr>
      </w:pPr>
      <w:r>
        <w:rPr>
          <w:rFonts w:hint="eastAsia" w:ascii="宋体" w:hAnsi="宋体"/>
          <w:b/>
          <w:sz w:val="44"/>
          <w:szCs w:val="22"/>
        </w:rPr>
        <w:t xml:space="preserve">第六章 </w:t>
      </w:r>
      <w:bookmarkStart w:id="135" w:name="评分要点"/>
      <w:r/>
      <w:bookmarkEnd w:id="135"/>
      <w:r>
        <w:rPr>
          <w:rFonts w:hint="eastAsia" w:ascii="宋体" w:hAnsi="宋体"/>
          <w:b/>
          <w:sz w:val="44"/>
          <w:szCs w:val="22"/>
        </w:rPr>
        <w:t xml:space="preserve">评标办法和评分标准</w:t>
      </w:r>
      <w:bookmarkEnd w:id="115"/>
      <w:r/>
      <w:bookmarkEnd w:id="116"/>
      <w:r/>
      <w:bookmarkEnd w:id="117"/>
      <w:r/>
      <w:bookmarkEnd w:id="118"/>
      <w:r/>
      <w:r/>
    </w:p>
    <w:p>
      <w:pPr>
        <w:ind w:left="0" w:firstLine="422"/>
        <w:spacing w:line="360" w:lineRule="auto"/>
        <w:rPr>
          <w:rFonts w:ascii="宋体" w:hAnsi="宋体"/>
          <w:b/>
          <w:sz w:val="21"/>
          <w:szCs w:val="21"/>
        </w:rPr>
      </w:pPr>
      <w:r/>
      <w:bookmarkStart w:id="136" w:name="_Toc17476"/>
      <w:r/>
      <w:bookmarkStart w:id="137" w:name="_Toc698"/>
      <w:r/>
      <w:bookmarkStart w:id="138" w:name="_Toc16264"/>
      <w:r>
        <w:rPr>
          <w:rFonts w:hint="eastAsia" w:ascii="宋体" w:hAnsi="宋体"/>
          <w:b/>
          <w:sz w:val="21"/>
          <w:szCs w:val="21"/>
        </w:rPr>
        <w:t xml:space="preserve">一、评标办法：</w:t>
      </w:r>
      <w:bookmarkEnd w:id="136"/>
      <w:r/>
      <w:bookmarkEnd w:id="137"/>
      <w:r/>
      <w:bookmarkEnd w:id="13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9" w:name="OLE_LINK13"/>
      <w:r/>
      <w:bookmarkStart w:id="140"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9"/>
      <w:r/>
      <w:bookmarkEnd w:id="140"/>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1" w:name="OLE_LINK30"/>
      <w:r/>
      <w:bookmarkStart w:id="142"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3" w:name="OLE_LINK17"/>
      <w:r/>
      <w:bookmarkStart w:id="144"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5"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3"/>
      <w:r/>
      <w:bookmarkEnd w:id="144"/>
      <w:r/>
      <w:bookmarkEnd w:id="145"/>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1"/>
      <w:r/>
      <w:bookmarkEnd w:id="142"/>
      <w:r/>
      <w:r/>
    </w:p>
    <w:p>
      <w:pPr>
        <w:ind w:left="0"/>
      </w:pPr>
      <w:r/>
      <w:r/>
    </w:p>
    <w:p>
      <w:pPr>
        <w:pStyle w:val="1017"/>
      </w:pPr>
      <w:r/>
      <w:r/>
    </w:p>
    <w:p>
      <w:r/>
      <w:r/>
    </w:p>
    <w:p>
      <w:pPr>
        <w:pStyle w:val="1017"/>
      </w:pPr>
      <w:r/>
      <w:r/>
    </w:p>
    <w:p>
      <w:r/>
      <w:r/>
    </w:p>
    <w:p>
      <w:pPr>
        <w:pStyle w:val="1017"/>
      </w:pPr>
      <w:r/>
      <w:r/>
    </w:p>
    <w:p>
      <w:r/>
      <w:r/>
    </w:p>
    <w:p>
      <w:pPr>
        <w:pStyle w:val="101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cs="Tahoma" w:asciiTheme="minorEastAsia" w:hAnsiTheme="minorEastAsia" w:eastAsiaTheme="minorEastAsia"/>
                <w:bCs/>
                <w:sz w:val="21"/>
                <w:szCs w:val="21"/>
              </w:rPr>
            </w:pPr>
            <w:r>
              <w:rPr>
                <w:rFonts w:hint="eastAsia" w:cs="Tahoma" w:asciiTheme="minorEastAsia" w:hAnsiTheme="minorEastAsia" w:eastAsiaTheme="minorEastAsia"/>
                <w:bCs/>
                <w:sz w:val="21"/>
                <w:szCs w:val="21"/>
              </w:rPr>
              <w:t xml:space="preserve">投标报价</w:t>
            </w:r>
            <w:r/>
          </w:p>
        </w:tc>
        <w:tc>
          <w:tcPr>
            <w:tcW w:w="4678" w:type="dxa"/>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spacing w:line="360" w:lineRule="exact"/>
              <w:rPr>
                <w:rFonts w:cs="Times New Roman" w:asciiTheme="minorEastAsia" w:hAnsiTheme="minorEastAsia" w:eastAsiaTheme="minorEastAsia"/>
                <w:b/>
                <w:sz w:val="21"/>
                <w:szCs w:val="21"/>
                <w:lang w:bidi="ar"/>
              </w:rPr>
            </w:pPr>
            <w:r>
              <w:rPr>
                <w:rFonts w:hint="eastAsia" w:asciiTheme="minorEastAsia" w:hAnsiTheme="minorEastAsia" w:eastAsiaTheme="minorEastAsia"/>
                <w:sz w:val="21"/>
                <w:szCs w:val="21"/>
                <w:lang w:bidi="ar"/>
              </w:rPr>
              <w:t xml:space="preserve">投标报价得分＝（评标基准价/投标报价）×40％×100</w:t>
            </w:r>
            <w:r/>
          </w:p>
        </w:tc>
        <w:tc>
          <w:tcPr>
            <w:tcW w:w="2410" w:type="dxa"/>
            <w:vAlign w:val="center"/>
            <w:textDirection w:val="lrTb"/>
            <w:noWrap w:val="false"/>
          </w:tcPr>
          <w:p>
            <w:pPr>
              <w:ind w:left="0"/>
              <w:jc w:val="center"/>
              <w:widowControl w:val="off"/>
              <w:rPr>
                <w:rFonts w:cs="Tahom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4</w:t>
            </w:r>
            <w:r>
              <w:rPr>
                <w:rFonts w:asciiTheme="minorEastAsia" w:hAnsiTheme="minorEastAsia" w:eastAsiaTheme="minorEastAsia"/>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60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cs="Tahoma" w:asciiTheme="minorEastAsia" w:hAnsiTheme="minorEastAsia" w:eastAsiaTheme="minorEastAsia"/>
                <w:sz w:val="21"/>
                <w:szCs w:val="21"/>
              </w:rPr>
            </w:pPr>
            <w:r>
              <w:rPr>
                <w:rFonts w:hint="eastAsia" w:cs="Tahoma" w:asciiTheme="minorEastAsia" w:hAnsiTheme="minorEastAsia" w:eastAsiaTheme="minorEastAsia"/>
                <w:sz w:val="21"/>
                <w:szCs w:val="21"/>
              </w:rPr>
              <w:t xml:space="preserve">需求理解性描述</w:t>
            </w:r>
            <w:r/>
          </w:p>
        </w:tc>
        <w:tc>
          <w:tcPr>
            <w:tcW w:w="4678" w:type="dxa"/>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投标单位根据本次项目背景、需求分析进行了解，对本项目中需求理解性描述方案进行综合评定，制定下列内容，包括但不限于：</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（1）根据需求理解的综合分析</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（2）潜在风险分析</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（3）风险应对方案等</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上述每项应逐条叙述，内容完整，条理清晰的得2分；内容基本完整，条理较为清晰的得1分；每项叙述内容完全脱离采购需求或未作完整叙述的不得分。本项最高得6分。</w:t>
            </w:r>
            <w:r/>
          </w:p>
        </w:tc>
        <w:tc>
          <w:tcPr>
            <w:tcW w:w="2410"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建设实施方案</w:t>
            </w:r>
            <w:r/>
          </w:p>
        </w:tc>
        <w:tc>
          <w:tcPr>
            <w:tcW w:w="4678" w:type="dxa"/>
            <w:vAlign w:val="center"/>
            <w:textDirection w:val="lrTb"/>
            <w:noWrap w:val="false"/>
          </w:tcPr>
          <w:p>
            <w:pPr>
              <w:ind w:left="0"/>
              <w:spacing w:line="360" w:lineRule="exact"/>
              <w:rPr>
                <w:rFonts w:cs="Times New Roman" w:asciiTheme="minorEastAsia" w:hAnsiTheme="minorEastAsia" w:eastAsiaTheme="minorEastAsia"/>
                <w:sz w:val="21"/>
                <w:szCs w:val="21"/>
                <w:lang w:bidi="ar"/>
              </w:rPr>
            </w:pPr>
            <w:r>
              <w:rPr>
                <w:rFonts w:hint="eastAsia" w:cs="Times New Roman" w:asciiTheme="minorEastAsia" w:hAnsiTheme="minorEastAsia" w:eastAsiaTheme="minorEastAsia"/>
                <w:sz w:val="21"/>
                <w:szCs w:val="21"/>
                <w:lang w:bidi="ar"/>
              </w:rPr>
              <w:t xml:space="preserve">投标单位结合本项目的特点，对本项目建设实施方案进行综合评定，制定下列内容，包括但不限于：</w:t>
            </w:r>
            <w:r/>
          </w:p>
          <w:p>
            <w:pPr>
              <w:ind w:left="0"/>
              <w:spacing w:line="360" w:lineRule="exact"/>
              <w:rPr>
                <w:rFonts w:cs="Times New Roman" w:asciiTheme="minorEastAsia" w:hAnsiTheme="minorEastAsia" w:eastAsiaTheme="minorEastAsia"/>
                <w:sz w:val="21"/>
                <w:szCs w:val="21"/>
                <w:lang w:bidi="ar"/>
              </w:rPr>
            </w:pPr>
            <w:r>
              <w:rPr>
                <w:rFonts w:hint="eastAsia" w:cs="Times New Roman" w:asciiTheme="minorEastAsia" w:hAnsiTheme="minorEastAsia" w:eastAsiaTheme="minorEastAsia"/>
                <w:sz w:val="21"/>
                <w:szCs w:val="21"/>
                <w:lang w:bidi="ar"/>
              </w:rPr>
              <w:t xml:space="preserve">（1）项目实施组织架构</w:t>
            </w:r>
            <w:r/>
          </w:p>
          <w:p>
            <w:pPr>
              <w:ind w:left="0"/>
              <w:spacing w:line="360" w:lineRule="exact"/>
              <w:rPr>
                <w:rFonts w:cs="Times New Roman" w:asciiTheme="minorEastAsia" w:hAnsiTheme="minorEastAsia" w:eastAsiaTheme="minorEastAsia"/>
                <w:sz w:val="21"/>
                <w:szCs w:val="21"/>
                <w:lang w:bidi="ar"/>
              </w:rPr>
            </w:pPr>
            <w:r>
              <w:rPr>
                <w:rFonts w:hint="eastAsia" w:cs="Times New Roman" w:asciiTheme="minorEastAsia" w:hAnsiTheme="minorEastAsia" w:eastAsiaTheme="minorEastAsia"/>
                <w:sz w:val="21"/>
                <w:szCs w:val="21"/>
                <w:lang w:bidi="ar"/>
              </w:rPr>
              <w:t xml:space="preserve">（2）项目实施过程</w:t>
            </w:r>
            <w:r/>
          </w:p>
          <w:p>
            <w:pPr>
              <w:ind w:left="0"/>
              <w:spacing w:line="360" w:lineRule="exact"/>
              <w:rPr>
                <w:rFonts w:cs="Times New Roman" w:asciiTheme="minorEastAsia" w:hAnsiTheme="minorEastAsia" w:eastAsiaTheme="minorEastAsia"/>
                <w:sz w:val="21"/>
                <w:szCs w:val="21"/>
                <w:lang w:bidi="ar"/>
              </w:rPr>
            </w:pPr>
            <w:r>
              <w:rPr>
                <w:rFonts w:hint="eastAsia" w:cs="Times New Roman" w:asciiTheme="minorEastAsia" w:hAnsiTheme="minorEastAsia" w:eastAsiaTheme="minorEastAsia"/>
                <w:sz w:val="21"/>
                <w:szCs w:val="21"/>
                <w:lang w:bidi="ar"/>
              </w:rPr>
              <w:t xml:space="preserve">（3）项目质量管理</w:t>
            </w:r>
            <w:r/>
          </w:p>
          <w:p>
            <w:pPr>
              <w:ind w:left="0"/>
              <w:spacing w:line="360" w:lineRule="exact"/>
              <w:rPr>
                <w:rFonts w:cs="Times New Roman" w:asciiTheme="minorEastAsia" w:hAnsiTheme="minorEastAsia" w:eastAsiaTheme="minorEastAsia"/>
                <w:sz w:val="21"/>
                <w:szCs w:val="21"/>
                <w:lang w:bidi="ar"/>
              </w:rPr>
            </w:pPr>
            <w:r>
              <w:rPr>
                <w:rFonts w:hint="eastAsia" w:cs="Times New Roman" w:asciiTheme="minorEastAsia" w:hAnsiTheme="minorEastAsia" w:eastAsiaTheme="minorEastAsia"/>
                <w:sz w:val="21"/>
                <w:szCs w:val="21"/>
                <w:lang w:bidi="ar"/>
              </w:rPr>
              <w:t xml:space="preserve">（4）项目实施计划进度安排等</w:t>
            </w:r>
            <w:r/>
          </w:p>
          <w:p>
            <w:pPr>
              <w:ind w:left="0"/>
              <w:spacing w:line="360" w:lineRule="exact"/>
              <w:rPr>
                <w:rFonts w:cs="Times New Roman" w:asciiTheme="minorEastAsia" w:hAnsiTheme="minorEastAsia" w:eastAsiaTheme="minorEastAsia"/>
                <w:sz w:val="21"/>
                <w:szCs w:val="21"/>
                <w:lang w:bidi="ar"/>
              </w:rPr>
            </w:pPr>
            <w:r>
              <w:rPr>
                <w:rFonts w:hint="eastAsia" w:cs="Times New Roman" w:asciiTheme="minorEastAsia" w:hAnsiTheme="minorEastAsia" w:eastAsiaTheme="minorEastAsia"/>
                <w:sz w:val="21"/>
                <w:szCs w:val="21"/>
                <w:lang w:bidi="ar"/>
              </w:rPr>
              <w:t xml:space="preserve">上述每项应逐条叙述，内容完整，条理清晰的得2分；内容基本完整，条理较为清晰的得1分；每项叙述内容完全脱离采购需求或未作完整叙述的不得分。本项最高得8分。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组网设计方案</w:t>
            </w:r>
            <w:r/>
          </w:p>
        </w:tc>
        <w:tc>
          <w:tcPr>
            <w:tcW w:w="4678" w:type="dxa"/>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根据投标单位对本项目中组网设计方案综合评定，制定下列内容，包括但不限于：</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（1）网络传输</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（2）网络架构</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（3）通讯保障处置能力</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（4）满足数据对接要求等</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上述每项应逐条叙述，内容完整，条理清晰的得2</w:t>
            </w:r>
            <w:r>
              <w:rPr>
                <w:rFonts w:hint="eastAsia" w:asciiTheme="minorEastAsia" w:hAnsiTheme="minorEastAsia" w:eastAsiaTheme="minorEastAsia"/>
                <w:sz w:val="21"/>
                <w:szCs w:val="21"/>
                <w:lang w:bidi="ar"/>
              </w:rPr>
              <w:t xml:space="preserve">分；内容基本完整，条理较为清晰的得1分；每项叙述内容完全脱离采购需求或未作完整叙述的不得分。本项最高得8分。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售后服务方案</w:t>
            </w:r>
            <w:r/>
          </w:p>
        </w:tc>
        <w:tc>
          <w:tcPr>
            <w:tcW w:w="4678" w:type="dxa"/>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根据投标单位售后服务承诺的范围和完善程度，对本项目中售后服务方案进行综合评定，制定下列内容，包括但不限于：</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（1）售后服务形式</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（2）售后人员配备</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（3）故障响应处置</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（4）应急保障方案等</w:t>
            </w:r>
            <w:r/>
          </w:p>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上述每项应逐条叙述，内容完整，条理清晰的得2分；内容基本完整，条理较为清晰的得1分；每项叙述内容完全脱离采购需求或未作完整叙述的不得分。本项最高得8分。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设备技术参数和要求</w:t>
            </w:r>
            <w:r/>
          </w:p>
        </w:tc>
        <w:tc>
          <w:tcPr>
            <w:tcW w:w="4678" w:type="dxa"/>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标注“▲”的技术指标为重要参数，共10项。每有一项符合下列要求，得1分，本项最高10分。</w:t>
            </w:r>
            <w:r/>
          </w:p>
          <w:p>
            <w:pPr>
              <w:ind w:left="0"/>
              <w:widowControl w:val="off"/>
              <w:rPr>
                <w:rFonts w:asciiTheme="minorEastAsia" w:hAnsiTheme="minorEastAsia" w:eastAsiaTheme="minorEastAsia"/>
                <w:b/>
                <w:sz w:val="21"/>
                <w:szCs w:val="21"/>
                <w:lang w:bidi="ar"/>
              </w:rPr>
            </w:pPr>
            <w:r>
              <w:rPr>
                <w:rFonts w:hint="eastAsia" w:asciiTheme="minorEastAsia" w:hAnsiTheme="minorEastAsia" w:eastAsiaTheme="minorEastAsia"/>
                <w:b/>
                <w:sz w:val="21"/>
                <w:szCs w:val="21"/>
                <w:lang w:bidi="ar"/>
              </w:rPr>
              <w:t xml:space="preserve">注：“▲”的技术参数需提供以下任意一种证明材料并加盖投标单位公章：1.具有国家认可的第三方机构出具的检测报告复印件2.官网截图证明3.技术参数彩页4.功能截图 5.其他证明材料（不含承诺函）。未提供、未按要求提供的不得分。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lang w:bidi="ar"/>
              </w:rPr>
              <w:t xml:space="preserve">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项目负责人</w:t>
            </w:r>
            <w:r/>
          </w:p>
        </w:tc>
        <w:tc>
          <w:tcPr>
            <w:tcW w:w="4678" w:type="dxa"/>
            <w:vAlign w:val="center"/>
            <w:textDirection w:val="lrTb"/>
            <w:noWrap w:val="false"/>
          </w:tcPr>
          <w:p>
            <w:pPr>
              <w:ind w:left="0"/>
              <w:widowControl w:val="off"/>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具有信息系统项目管理师证书、</w:t>
            </w:r>
            <w:bookmarkStart w:id="146" w:name="OLE_LINK76"/>
            <w:r/>
            <w:bookmarkStart w:id="147" w:name="OLE_LINK75"/>
            <w:r>
              <w:rPr>
                <w:rFonts w:hint="eastAsia" w:asciiTheme="minorEastAsia" w:hAnsiTheme="minorEastAsia" w:eastAsiaTheme="minorEastAsia"/>
                <w:sz w:val="21"/>
                <w:szCs w:val="21"/>
                <w:lang w:bidi="ar"/>
              </w:rPr>
              <w:t xml:space="preserve">信息安全保障人员</w:t>
            </w:r>
            <w:bookmarkEnd w:id="146"/>
            <w:r/>
            <w:bookmarkEnd w:id="147"/>
            <w:r>
              <w:rPr>
                <w:rFonts w:hint="eastAsia" w:asciiTheme="minorEastAsia" w:hAnsiTheme="minorEastAsia" w:eastAsiaTheme="minorEastAsia"/>
                <w:sz w:val="21"/>
                <w:szCs w:val="21"/>
                <w:lang w:bidi="ar"/>
              </w:rPr>
              <w:t xml:space="preserve">（CISAW）证书、</w:t>
            </w:r>
            <w:bookmarkStart w:id="148" w:name="OLE_LINK77"/>
            <w:r/>
            <w:bookmarkStart w:id="149" w:name="OLE_LINK78"/>
            <w:r>
              <w:rPr>
                <w:rFonts w:hint="eastAsia" w:asciiTheme="minorEastAsia" w:hAnsiTheme="minorEastAsia" w:eastAsiaTheme="minorEastAsia"/>
                <w:sz w:val="21"/>
                <w:szCs w:val="21"/>
                <w:lang w:bidi="ar"/>
              </w:rPr>
              <w:t xml:space="preserve">系统集成项目管理工程师</w:t>
            </w:r>
            <w:bookmarkEnd w:id="148"/>
            <w:r/>
            <w:bookmarkEnd w:id="149"/>
            <w:r>
              <w:rPr>
                <w:rFonts w:hint="eastAsia" w:asciiTheme="minorEastAsia" w:hAnsiTheme="minorEastAsia" w:eastAsiaTheme="minorEastAsia"/>
                <w:sz w:val="21"/>
                <w:szCs w:val="21"/>
                <w:lang w:bidi="ar"/>
              </w:rPr>
              <w:t xml:space="preserve">证书、</w:t>
            </w:r>
            <w:bookmarkStart w:id="150" w:name="OLE_LINK79"/>
            <w:r/>
            <w:bookmarkStart w:id="151" w:name="OLE_LINK80"/>
            <w:r>
              <w:rPr>
                <w:rFonts w:hint="eastAsia" w:asciiTheme="minorEastAsia" w:hAnsiTheme="minorEastAsia" w:eastAsiaTheme="minorEastAsia"/>
                <w:sz w:val="21"/>
                <w:szCs w:val="21"/>
                <w:lang w:bidi="ar"/>
              </w:rPr>
              <w:t xml:space="preserve">系统规划与管理师</w:t>
            </w:r>
            <w:bookmarkEnd w:id="150"/>
            <w:r/>
            <w:bookmarkEnd w:id="151"/>
            <w:r>
              <w:rPr>
                <w:rFonts w:hint="eastAsia" w:asciiTheme="minorEastAsia" w:hAnsiTheme="minorEastAsia" w:eastAsiaTheme="minorEastAsia"/>
                <w:sz w:val="21"/>
                <w:szCs w:val="21"/>
                <w:lang w:bidi="ar"/>
              </w:rPr>
              <w:t xml:space="preserve">证书的，每提供1份得</w:t>
            </w:r>
            <w:r>
              <w:rPr>
                <w:rFonts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分，最高</w:t>
            </w:r>
            <w:r>
              <w:rPr>
                <w:rFonts w:asciiTheme="minorEastAsia" w:hAnsiTheme="minorEastAsia" w:eastAsiaTheme="minorEastAsia"/>
                <w:sz w:val="21"/>
                <w:szCs w:val="21"/>
                <w:lang w:bidi="ar"/>
              </w:rPr>
              <w:t xml:space="preserve">4</w:t>
            </w:r>
            <w:r>
              <w:rPr>
                <w:rFonts w:hint="eastAsia" w:asciiTheme="minorEastAsia" w:hAnsiTheme="minorEastAsia" w:eastAsiaTheme="minorEastAsia"/>
                <w:sz w:val="21"/>
                <w:szCs w:val="21"/>
                <w:lang w:bidi="ar"/>
              </w:rPr>
              <w:t xml:space="preserve">分；</w:t>
            </w:r>
            <w:r>
              <w:rPr>
                <w:rFonts w:asciiTheme="minorEastAsia" w:hAnsiTheme="minorEastAsia" w:eastAsiaTheme="minorEastAsia"/>
                <w:sz w:val="21"/>
                <w:szCs w:val="21"/>
                <w:lang w:bidi="ar"/>
              </w:rPr>
              <w:t xml:space="preserve">共</w:t>
            </w:r>
            <w:r>
              <w:rPr>
                <w:rFonts w:hint="eastAsia" w:asciiTheme="minorEastAsia" w:hAnsiTheme="minorEastAsia" w:eastAsiaTheme="minorEastAsia"/>
                <w:sz w:val="21"/>
                <w:szCs w:val="21"/>
                <w:lang w:bidi="ar"/>
              </w:rPr>
              <w:t xml:space="preserve">4分。</w:t>
            </w:r>
            <w:r/>
          </w:p>
          <w:p>
            <w:pPr>
              <w:pStyle w:val="1017"/>
              <w:ind w:left="0" w:firstLine="0"/>
              <w:rPr>
                <w:lang w:bidi="ar"/>
              </w:rPr>
            </w:pPr>
            <w:r>
              <w:rPr>
                <w:rFonts w:hint="eastAsia" w:cs="宋体" w:asciiTheme="minorEastAsia" w:hAnsiTheme="minorEastAsia" w:eastAsiaTheme="minorEastAsia"/>
                <w:b/>
                <w:sz w:val="21"/>
                <w:szCs w:val="21"/>
                <w:lang w:bidi="ar"/>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r>
      <w:tr>
        <w:trPr>
          <w:trHeight w:val="328"/>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技术负责人</w:t>
            </w:r>
            <w:r/>
          </w:p>
        </w:tc>
        <w:tc>
          <w:tcPr>
            <w:tcW w:w="4678" w:type="dxa"/>
            <w:vAlign w:val="center"/>
            <w:textDirection w:val="lrTb"/>
            <w:noWrap w:val="false"/>
          </w:tcPr>
          <w:p>
            <w:pPr>
              <w:ind w:left="0"/>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具有信息安全工程师证书、IT服务项目经理证书、</w:t>
            </w:r>
            <w:bookmarkStart w:id="152" w:name="OLE_LINK82"/>
            <w:r/>
            <w:bookmarkStart w:id="153" w:name="OLE_LINK81"/>
            <w:r>
              <w:rPr>
                <w:rFonts w:hint="eastAsia" w:cs="Times New Roman" w:asciiTheme="minorEastAsia" w:hAnsiTheme="minorEastAsia" w:eastAsiaTheme="minorEastAsia"/>
                <w:sz w:val="21"/>
                <w:szCs w:val="21"/>
              </w:rPr>
              <w:t xml:space="preserve">信息系统管理工程师</w:t>
            </w:r>
            <w:bookmarkEnd w:id="152"/>
            <w:r/>
            <w:bookmarkEnd w:id="153"/>
            <w:r>
              <w:rPr>
                <w:rFonts w:hint="eastAsia" w:cs="Times New Roman" w:asciiTheme="minorEastAsia" w:hAnsiTheme="minorEastAsia" w:eastAsiaTheme="minorEastAsia"/>
                <w:sz w:val="21"/>
                <w:szCs w:val="21"/>
              </w:rPr>
              <w:t xml:space="preserve">、信息安全保障人员（CISAW）证书的，每提供1份得1</w:t>
            </w:r>
            <w:r>
              <w:rPr>
                <w:rFonts w:cs="Times New Roman" w:asciiTheme="minorEastAsia" w:hAnsiTheme="minorEastAsia" w:eastAsiaTheme="minorEastAsia"/>
                <w:sz w:val="21"/>
                <w:szCs w:val="21"/>
              </w:rPr>
              <w:t xml:space="preserve">.5</w:t>
            </w:r>
            <w:r>
              <w:rPr>
                <w:rFonts w:hint="eastAsia" w:cs="Times New Roman" w:asciiTheme="minorEastAsia" w:hAnsiTheme="minorEastAsia" w:eastAsiaTheme="minorEastAsia"/>
                <w:sz w:val="21"/>
                <w:szCs w:val="21"/>
              </w:rPr>
              <w:t xml:space="preserve">分，最高</w:t>
            </w:r>
            <w:r>
              <w:rPr>
                <w:rFonts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分；</w:t>
            </w:r>
            <w:r>
              <w:rPr>
                <w:rFonts w:asciiTheme="minorEastAsia" w:hAnsiTheme="minorEastAsia" w:eastAsiaTheme="minorEastAsia"/>
                <w:sz w:val="21"/>
                <w:szCs w:val="21"/>
                <w:lang w:bidi="ar"/>
              </w:rPr>
              <w:t xml:space="preserve">共3</w:t>
            </w:r>
            <w:r>
              <w:rPr>
                <w:rFonts w:hint="eastAsia" w:asciiTheme="minorEastAsia" w:hAnsiTheme="minorEastAsia" w:eastAsiaTheme="minorEastAsia"/>
                <w:sz w:val="21"/>
                <w:szCs w:val="21"/>
                <w:lang w:bidi="ar"/>
              </w:rPr>
              <w:t xml:space="preserve">分。</w:t>
            </w:r>
            <w:r/>
          </w:p>
          <w:p>
            <w:pPr>
              <w:pStyle w:val="1017"/>
              <w:ind w:left="0" w:firstLine="0"/>
            </w:pPr>
            <w:r>
              <w:rPr>
                <w:rFonts w:hint="eastAsia" w:cs="宋体" w:asciiTheme="minorEastAsia" w:hAnsiTheme="minorEastAsia" w:eastAsiaTheme="minorEastAsia"/>
                <w:b/>
                <w:sz w:val="21"/>
                <w:szCs w:val="21"/>
                <w:lang w:bidi="ar"/>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项目组成员（运维负责人、实施团队其他人员）</w:t>
            </w:r>
            <w:r/>
          </w:p>
        </w:tc>
        <w:tc>
          <w:tcPr>
            <w:tcW w:w="4678" w:type="dxa"/>
            <w:vAlign w:val="center"/>
            <w:textDirection w:val="lrTb"/>
            <w:noWrap w:val="false"/>
          </w:tcPr>
          <w:p>
            <w:pPr>
              <w:ind w:left="0"/>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具有</w:t>
            </w:r>
            <w:r>
              <w:rPr>
                <w:rFonts w:hint="eastAsia" w:cs="Times New Roman" w:asciiTheme="minorEastAsia" w:hAnsiTheme="minorEastAsia" w:eastAsiaTheme="minorEastAsia"/>
                <w:sz w:val="21"/>
                <w:szCs w:val="21"/>
              </w:rPr>
              <w:t xml:space="preserve">信息安全保障人员（CISAW）证书</w:t>
            </w:r>
            <w:r>
              <w:rPr>
                <w:rFonts w:hint="eastAsia" w:cs="Times New Roman" w:asciiTheme="minorEastAsia" w:hAnsiTheme="minorEastAsia" w:eastAsiaTheme="minorEastAsia"/>
                <w:sz w:val="21"/>
                <w:szCs w:val="21"/>
              </w:rPr>
              <w:t xml:space="preserve">、数据库系统工程师证书、</w:t>
            </w:r>
            <w:bookmarkStart w:id="154" w:name="OLE_LINK87"/>
            <w:r/>
            <w:bookmarkStart w:id="155" w:name="OLE_LINK88"/>
            <w:r>
              <w:rPr>
                <w:rFonts w:hint="eastAsia" w:cs="Times New Roman" w:asciiTheme="minorEastAsia" w:hAnsiTheme="minorEastAsia" w:eastAsiaTheme="minorEastAsia"/>
                <w:sz w:val="21"/>
                <w:szCs w:val="21"/>
              </w:rPr>
              <w:t xml:space="preserve">网络工程师</w:t>
            </w:r>
            <w:bookmarkEnd w:id="154"/>
            <w:r/>
            <w:bookmarkEnd w:id="155"/>
            <w:r>
              <w:rPr>
                <w:rFonts w:hint="eastAsia" w:cs="Times New Roman" w:asciiTheme="minorEastAsia" w:hAnsiTheme="minorEastAsia" w:eastAsiaTheme="minorEastAsia"/>
                <w:sz w:val="21"/>
                <w:szCs w:val="21"/>
              </w:rPr>
              <w:t xml:space="preserve">证书、</w:t>
            </w:r>
            <w:bookmarkStart w:id="156" w:name="OLE_LINK90"/>
            <w:r/>
            <w:bookmarkStart w:id="157" w:name="OLE_LINK89"/>
            <w:r>
              <w:rPr>
                <w:rFonts w:hint="eastAsia" w:cs="Times New Roman" w:asciiTheme="minorEastAsia" w:hAnsiTheme="minorEastAsia" w:eastAsiaTheme="minorEastAsia"/>
                <w:sz w:val="21"/>
                <w:szCs w:val="21"/>
              </w:rPr>
              <w:t xml:space="preserve">信息安全工程师</w:t>
            </w:r>
            <w:bookmarkEnd w:id="156"/>
            <w:r/>
            <w:bookmarkEnd w:id="157"/>
            <w:r>
              <w:rPr>
                <w:rFonts w:hint="eastAsia" w:cs="Times New Roman" w:asciiTheme="minorEastAsia" w:hAnsiTheme="minorEastAsia" w:eastAsiaTheme="minorEastAsia"/>
                <w:sz w:val="21"/>
                <w:szCs w:val="21"/>
              </w:rPr>
              <w:t xml:space="preserve">、</w:t>
            </w:r>
            <w:bookmarkStart w:id="158" w:name="OLE_LINK93"/>
            <w:r/>
            <w:bookmarkStart w:id="159" w:name="OLE_LINK91"/>
            <w:r/>
            <w:bookmarkStart w:id="160" w:name="OLE_LINK92"/>
            <w:r>
              <w:rPr>
                <w:rFonts w:hint="eastAsia" w:cs="Times New Roman" w:asciiTheme="minorEastAsia" w:hAnsiTheme="minorEastAsia" w:eastAsiaTheme="minorEastAsia"/>
                <w:sz w:val="21"/>
                <w:szCs w:val="21"/>
              </w:rPr>
              <w:t xml:space="preserve">系统集成项目管理工程师</w:t>
            </w:r>
            <w:bookmarkEnd w:id="158"/>
            <w:r/>
            <w:bookmarkEnd w:id="159"/>
            <w:r/>
            <w:bookmarkEnd w:id="160"/>
            <w:r>
              <w:rPr>
                <w:rFonts w:hint="eastAsia" w:cs="Times New Roman" w:asciiTheme="minorEastAsia" w:hAnsiTheme="minorEastAsia" w:eastAsiaTheme="minorEastAsia"/>
                <w:sz w:val="21"/>
                <w:szCs w:val="21"/>
              </w:rPr>
              <w:t xml:space="preserve">、</w:t>
            </w:r>
            <w:bookmarkStart w:id="161" w:name="OLE_LINK95"/>
            <w:r/>
            <w:bookmarkStart w:id="162" w:name="OLE_LINK94"/>
            <w:r>
              <w:rPr>
                <w:rFonts w:hint="eastAsia" w:cs="Times New Roman" w:asciiTheme="minorEastAsia" w:hAnsiTheme="minorEastAsia" w:eastAsiaTheme="minorEastAsia"/>
                <w:sz w:val="21"/>
                <w:szCs w:val="21"/>
              </w:rPr>
              <w:t xml:space="preserve">信息系统项目管理师</w:t>
            </w:r>
            <w:bookmarkEnd w:id="161"/>
            <w:r/>
            <w:bookmarkEnd w:id="162"/>
            <w:r>
              <w:rPr>
                <w:rFonts w:hint="eastAsia" w:cs="Times New Roman" w:asciiTheme="minorEastAsia" w:hAnsiTheme="minorEastAsia" w:eastAsiaTheme="minorEastAsia"/>
                <w:sz w:val="21"/>
                <w:szCs w:val="21"/>
              </w:rPr>
              <w:t xml:space="preserve">的，每提供1份得1分，1人最高得1分，本项最高得4分；</w:t>
            </w:r>
            <w:r/>
          </w:p>
          <w:p>
            <w:pPr>
              <w:pStyle w:val="1017"/>
              <w:ind w:left="0" w:firstLine="0"/>
            </w:pPr>
            <w:r>
              <w:rPr>
                <w:rFonts w:hint="eastAsia" w:cs="宋体" w:asciiTheme="minorEastAsia" w:hAnsiTheme="minorEastAsia" w:eastAsiaTheme="minorEastAsia"/>
                <w:b/>
                <w:sz w:val="21"/>
                <w:szCs w:val="21"/>
                <w:lang w:bidi="ar"/>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体系认证</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1.投标单位或所投产品生产厂家具有有效期内的质量管理体系认证、环境管理体系认证、职业安全健康体系认证证书的，每有一项得1分，本项最高得3分。</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2.投标单位或所投产品生产厂家具有有效期内的信息技术服务管理体系认证、信息安全管理体系认证的，每有一项得2分，本项最高得4分。</w:t>
            </w:r>
            <w:r/>
          </w:p>
          <w:p>
            <w:pPr>
              <w:pStyle w:val="1017"/>
              <w:ind w:left="0" w:firstLine="0"/>
            </w:pPr>
            <w:r>
              <w:rPr>
                <w:rFonts w:hint="eastAsia" w:cs="宋体" w:asciiTheme="minorEastAsia" w:hAnsiTheme="minorEastAsia" w:eastAsiaTheme="minorEastAsia"/>
                <w:b/>
                <w:sz w:val="21"/>
                <w:szCs w:val="21"/>
                <w:lang w:bidi="ar"/>
              </w:rPr>
              <w:t xml:space="preserve">注：以上1.-2.</w:t>
            </w:r>
            <w:r>
              <w:rPr>
                <w:rFonts w:hint="eastAsia" w:ascii="宋体" w:hAnsi="宋体"/>
                <w:b/>
                <w:sz w:val="21"/>
                <w:szCs w:val="21"/>
              </w:rPr>
              <w:t xml:space="preserve">，</w:t>
            </w:r>
            <w:r>
              <w:rPr>
                <w:rFonts w:hint="eastAsia" w:cs="宋体" w:asciiTheme="minorEastAsia" w:hAnsiTheme="minorEastAsia" w:eastAsiaTheme="minorEastAsia"/>
                <w:b/>
                <w:sz w:val="21"/>
                <w:szCs w:val="21"/>
                <w:lang w:bidi="ar"/>
              </w:rPr>
              <w:t xml:space="preserve">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类似业绩</w:t>
            </w:r>
            <w:r/>
          </w:p>
        </w:tc>
        <w:tc>
          <w:tcPr>
            <w:tcW w:w="4678" w:type="dxa"/>
            <w:vAlign w:val="center"/>
            <w:textDirection w:val="lrTb"/>
            <w:noWrap w:val="false"/>
          </w:tcPr>
          <w:p>
            <w:pPr>
              <w:ind w:left="0"/>
              <w:widowControl w:val="off"/>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投标单位</w:t>
            </w:r>
            <w:r>
              <w:rPr>
                <w:rFonts w:hint="eastAsia" w:asciiTheme="minorEastAsia" w:hAnsiTheme="minorEastAsia" w:eastAsiaTheme="minorEastAsia"/>
                <w:sz w:val="21"/>
                <w:szCs w:val="21"/>
              </w:rPr>
              <w:t xml:space="preserve">或所投产品生产厂家</w:t>
            </w:r>
            <w:r>
              <w:rPr>
                <w:rFonts w:hint="eastAsia" w:asciiTheme="minorEastAsia" w:hAnsiTheme="minorEastAsia" w:eastAsiaTheme="minorEastAsia"/>
                <w:sz w:val="21"/>
                <w:szCs w:val="21"/>
                <w:lang w:val="zh-CN" w:bidi="zh-CN"/>
              </w:rPr>
              <w:t xml:space="preserve">提供自2023年1月1日（以合同签订日期为准）以来承担的类似项目业绩，每具备1项业绩得 </w:t>
            </w:r>
            <w:r>
              <w:rPr>
                <w:rFonts w:asciiTheme="minorEastAsia" w:hAnsiTheme="minorEastAsia" w:eastAsiaTheme="minorEastAsia"/>
                <w:sz w:val="21"/>
                <w:szCs w:val="21"/>
                <w:lang w:val="zh-CN" w:bidi="zh-CN"/>
              </w:rPr>
              <w:t xml:space="preserve">1</w:t>
            </w:r>
            <w:r>
              <w:rPr>
                <w:rFonts w:hint="eastAsia" w:asciiTheme="minorEastAsia" w:hAnsiTheme="minorEastAsia" w:eastAsiaTheme="minorEastAsia"/>
                <w:sz w:val="21"/>
                <w:szCs w:val="21"/>
                <w:lang w:val="zh-CN" w:bidi="zh-CN"/>
              </w:rPr>
              <w:t xml:space="preserve">分，最高得</w:t>
            </w:r>
            <w:r>
              <w:rPr>
                <w:rFonts w:asciiTheme="minorEastAsia" w:hAnsiTheme="minorEastAsia" w:eastAsiaTheme="minorEastAsia"/>
                <w:sz w:val="21"/>
                <w:szCs w:val="21"/>
                <w:lang w:val="zh-CN" w:bidi="zh-CN"/>
              </w:rPr>
              <w:t xml:space="preserve">2</w:t>
            </w:r>
            <w:r>
              <w:rPr>
                <w:rFonts w:hint="eastAsia" w:asciiTheme="minorEastAsia" w:hAnsiTheme="minorEastAsia" w:eastAsiaTheme="minorEastAsia"/>
                <w:sz w:val="21"/>
                <w:szCs w:val="21"/>
                <w:lang w:val="zh-CN" w:bidi="zh-CN"/>
              </w:rPr>
              <w:t xml:space="preserve">分。</w:t>
            </w:r>
            <w:r/>
          </w:p>
          <w:p>
            <w:pPr>
              <w:ind w:left="0"/>
              <w:widowControl w:val="off"/>
              <w:rPr>
                <w:rFonts w:asciiTheme="minorEastAsia" w:hAnsiTheme="minorEastAsia" w:eastAsiaTheme="minorEastAsia"/>
                <w:b/>
                <w:sz w:val="21"/>
                <w:szCs w:val="21"/>
                <w:lang w:val="zh-CN" w:bidi="zh-CN"/>
              </w:rPr>
            </w:pPr>
            <w:r>
              <w:rPr>
                <w:rFonts w:hint="eastAsia" w:asciiTheme="minorEastAsia" w:hAnsiTheme="minorEastAsia" w:eastAsiaTheme="minorEastAsia"/>
                <w:b/>
                <w:sz w:val="21"/>
                <w:szCs w:val="21"/>
                <w:lang w:val="zh-CN" w:bidi="zh-CN"/>
              </w:rPr>
              <w:t xml:space="preserve">注：投标文件内须提供有效合同扫描件和任意一期发票并加盖投标人公章，未提供不得分。</w:t>
            </w:r>
            <w:r/>
          </w:p>
        </w:tc>
        <w:tc>
          <w:tcPr>
            <w:tcW w:w="241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headerReference w:type="first" r:id="rId10"/>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egoe UI Symbol">
    <w:panose1 w:val="020B0502040204020203"/>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Pr>
        <w:rFonts w:ascii="宋体" w:hAnsi="宋体"/>
        <w:sz w:val="18"/>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1014"/>
    <w:link w:val="1005"/>
    <w:uiPriority w:val="9"/>
    <w:rPr>
      <w:rFonts w:ascii="Arial" w:hAnsi="Arial" w:eastAsia="Arial" w:cs="Arial"/>
      <w:sz w:val="40"/>
      <w:szCs w:val="40"/>
    </w:rPr>
  </w:style>
  <w:style w:type="character" w:styleId="857">
    <w:name w:val="Heading 2 Char"/>
    <w:basedOn w:val="1014"/>
    <w:link w:val="1006"/>
    <w:uiPriority w:val="9"/>
    <w:rPr>
      <w:rFonts w:ascii="Arial" w:hAnsi="Arial" w:eastAsia="Arial" w:cs="Arial"/>
      <w:sz w:val="34"/>
    </w:rPr>
  </w:style>
  <w:style w:type="character" w:styleId="858">
    <w:name w:val="Heading 3 Char"/>
    <w:basedOn w:val="1014"/>
    <w:link w:val="1007"/>
    <w:uiPriority w:val="9"/>
    <w:rPr>
      <w:rFonts w:ascii="Arial" w:hAnsi="Arial" w:eastAsia="Arial" w:cs="Arial"/>
      <w:sz w:val="30"/>
      <w:szCs w:val="30"/>
    </w:rPr>
  </w:style>
  <w:style w:type="character" w:styleId="859">
    <w:name w:val="Heading 4 Char"/>
    <w:basedOn w:val="1014"/>
    <w:link w:val="1008"/>
    <w:uiPriority w:val="9"/>
    <w:rPr>
      <w:rFonts w:ascii="Arial" w:hAnsi="Arial" w:eastAsia="Arial" w:cs="Arial"/>
      <w:b/>
      <w:bCs/>
      <w:sz w:val="26"/>
      <w:szCs w:val="26"/>
    </w:rPr>
  </w:style>
  <w:style w:type="character" w:styleId="860">
    <w:name w:val="Heading 5 Char"/>
    <w:basedOn w:val="1014"/>
    <w:link w:val="1009"/>
    <w:uiPriority w:val="9"/>
    <w:rPr>
      <w:rFonts w:ascii="Arial" w:hAnsi="Arial" w:eastAsia="Arial" w:cs="Arial"/>
      <w:b/>
      <w:bCs/>
      <w:sz w:val="24"/>
      <w:szCs w:val="24"/>
    </w:rPr>
  </w:style>
  <w:style w:type="character" w:styleId="861">
    <w:name w:val="Heading 6 Char"/>
    <w:basedOn w:val="1014"/>
    <w:link w:val="1010"/>
    <w:uiPriority w:val="9"/>
    <w:rPr>
      <w:rFonts w:ascii="Arial" w:hAnsi="Arial" w:eastAsia="Arial" w:cs="Arial"/>
      <w:b/>
      <w:bCs/>
      <w:sz w:val="22"/>
      <w:szCs w:val="22"/>
    </w:rPr>
  </w:style>
  <w:style w:type="character" w:styleId="862">
    <w:name w:val="Heading 7 Char"/>
    <w:basedOn w:val="1014"/>
    <w:link w:val="1011"/>
    <w:uiPriority w:val="9"/>
    <w:rPr>
      <w:rFonts w:ascii="Arial" w:hAnsi="Arial" w:eastAsia="Arial" w:cs="Arial"/>
      <w:b/>
      <w:bCs/>
      <w:i/>
      <w:iCs/>
      <w:sz w:val="22"/>
      <w:szCs w:val="22"/>
    </w:rPr>
  </w:style>
  <w:style w:type="character" w:styleId="863">
    <w:name w:val="Heading 8 Char"/>
    <w:basedOn w:val="1014"/>
    <w:link w:val="1012"/>
    <w:uiPriority w:val="9"/>
    <w:rPr>
      <w:rFonts w:ascii="Arial" w:hAnsi="Arial" w:eastAsia="Arial" w:cs="Arial"/>
      <w:i/>
      <w:iCs/>
      <w:sz w:val="22"/>
      <w:szCs w:val="22"/>
    </w:rPr>
  </w:style>
  <w:style w:type="character" w:styleId="864">
    <w:name w:val="Heading 9 Char"/>
    <w:basedOn w:val="1014"/>
    <w:link w:val="101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04"/>
    <w:next w:val="1004"/>
    <w:link w:val="867"/>
    <w:uiPriority w:val="10"/>
    <w:qFormat/>
    <w:pPr>
      <w:contextualSpacing/>
      <w:spacing w:before="300" w:after="200"/>
    </w:pPr>
    <w:rPr>
      <w:sz w:val="48"/>
      <w:szCs w:val="48"/>
    </w:rPr>
  </w:style>
  <w:style w:type="character" w:styleId="867">
    <w:name w:val="Title Char"/>
    <w:basedOn w:val="1014"/>
    <w:link w:val="866"/>
    <w:uiPriority w:val="10"/>
    <w:rPr>
      <w:sz w:val="48"/>
      <w:szCs w:val="48"/>
    </w:rPr>
  </w:style>
  <w:style w:type="character" w:styleId="868">
    <w:name w:val="Subtitle Char"/>
    <w:basedOn w:val="1014"/>
    <w:link w:val="1051"/>
    <w:uiPriority w:val="11"/>
    <w:rPr>
      <w:sz w:val="24"/>
      <w:szCs w:val="24"/>
    </w:rPr>
  </w:style>
  <w:style w:type="character" w:styleId="869">
    <w:name w:val="Quote Char"/>
    <w:link w:val="1256"/>
    <w:uiPriority w:val="29"/>
    <w:rPr>
      <w:i/>
    </w:rPr>
  </w:style>
  <w:style w:type="character" w:styleId="870">
    <w:name w:val="Intense Quote Char"/>
    <w:link w:val="1382"/>
    <w:uiPriority w:val="30"/>
    <w:rPr>
      <w:i/>
    </w:rPr>
  </w:style>
  <w:style w:type="character" w:styleId="871">
    <w:name w:val="Header Char"/>
    <w:basedOn w:val="1014"/>
    <w:link w:val="1049"/>
    <w:uiPriority w:val="99"/>
  </w:style>
  <w:style w:type="character" w:styleId="872">
    <w:name w:val="Footer Char"/>
    <w:basedOn w:val="1014"/>
    <w:link w:val="1047"/>
    <w:uiPriority w:val="99"/>
  </w:style>
  <w:style w:type="character" w:styleId="873">
    <w:name w:val="Caption Char"/>
    <w:basedOn w:val="1024"/>
    <w:link w:val="1047"/>
    <w:uiPriority w:val="99"/>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54"/>
    <w:uiPriority w:val="99"/>
    <w:rPr>
      <w:sz w:val="18"/>
    </w:rPr>
  </w:style>
  <w:style w:type="character" w:styleId="1000">
    <w:name w:val="Endnote Text Char"/>
    <w:link w:val="1044"/>
    <w:uiPriority w:val="99"/>
    <w:rPr>
      <w:sz w:val="20"/>
    </w:rPr>
  </w:style>
  <w:style w:type="character" w:styleId="1001">
    <w:name w:val="endnote reference"/>
    <w:basedOn w:val="1014"/>
    <w:uiPriority w:val="99"/>
    <w:semiHidden/>
    <w:unhideWhenUsed/>
    <w:rPr>
      <w:vertAlign w:val="superscript"/>
    </w:r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7"/>
    <w:qFormat/>
    <w:pPr>
      <w:ind w:left="1024"/>
      <w:jc w:val="both"/>
    </w:pPr>
    <w:rPr>
      <w:rFonts w:ascii="Calibri" w:hAnsi="Calibri"/>
    </w:rPr>
  </w:style>
  <w:style w:type="paragraph" w:styleId="1005">
    <w:name w:val="Heading 1"/>
    <w:basedOn w:val="1004"/>
    <w:next w:val="1004"/>
    <w:qFormat/>
    <w:pPr>
      <w:ind w:left="432" w:firstLine="18"/>
      <w:spacing w:before="340" w:after="330" w:line="578" w:lineRule="auto"/>
      <w:outlineLvl w:val="0"/>
    </w:pPr>
  </w:style>
  <w:style w:type="paragraph" w:styleId="1006">
    <w:name w:val="Heading 2"/>
    <w:basedOn w:val="1004"/>
    <w:next w:val="1004"/>
    <w:qFormat/>
    <w:pPr>
      <w:ind w:left="576" w:firstLine="24"/>
      <w:spacing w:before="260" w:after="260" w:line="416" w:lineRule="auto"/>
      <w:outlineLvl w:val="1"/>
    </w:pPr>
    <w:rPr>
      <w:rFonts w:ascii="Times New Roman" w:hAnsi="Times New Roman" w:cs="Times New Roman"/>
    </w:rPr>
  </w:style>
  <w:style w:type="paragraph" w:styleId="1007">
    <w:name w:val="Heading 3"/>
    <w:basedOn w:val="1004"/>
    <w:next w:val="1018"/>
    <w:qFormat/>
    <w:pPr>
      <w:ind w:left="720"/>
      <w:spacing w:before="260" w:after="260" w:line="416" w:lineRule="auto"/>
      <w:outlineLvl w:val="2"/>
    </w:pPr>
    <w:rPr>
      <w:rFonts w:ascii="Times New Roman" w:hAnsi="Times New Roman" w:cs="Times New Roman"/>
    </w:rPr>
  </w:style>
  <w:style w:type="paragraph" w:styleId="1008">
    <w:name w:val="Heading 4"/>
    <w:basedOn w:val="1005"/>
    <w:next w:val="1004"/>
    <w:qFormat/>
    <w:pPr>
      <w:ind w:left="864" w:firstLine="24"/>
      <w:spacing w:before="280" w:after="290" w:line="376" w:lineRule="auto"/>
      <w:outlineLvl w:val="3"/>
    </w:pPr>
    <w:rPr>
      <w:rFonts w:ascii="Times New Roman" w:hAnsi="Times New Roman" w:cs="Times New Roman"/>
    </w:rPr>
  </w:style>
  <w:style w:type="paragraph" w:styleId="1009">
    <w:name w:val="Heading 5"/>
    <w:basedOn w:val="1005"/>
    <w:next w:val="1004"/>
    <w:qFormat/>
    <w:pPr>
      <w:ind w:left="1008"/>
      <w:spacing w:before="280" w:after="290" w:line="376" w:lineRule="auto"/>
      <w:outlineLvl w:val="4"/>
    </w:pPr>
    <w:rPr>
      <w:rFonts w:ascii="Times New Roman" w:hAnsi="Times New Roman" w:cs="Times New Roman"/>
    </w:rPr>
  </w:style>
  <w:style w:type="paragraph" w:styleId="1010">
    <w:name w:val="Heading 6"/>
    <w:basedOn w:val="1005"/>
    <w:next w:val="1004"/>
    <w:qFormat/>
    <w:pPr>
      <w:ind w:left="1152" w:firstLine="20"/>
      <w:spacing w:before="240" w:after="64" w:line="320" w:lineRule="auto"/>
      <w:outlineLvl w:val="5"/>
    </w:pPr>
    <w:rPr>
      <w:rFonts w:ascii="Times New Roman" w:hAnsi="Times New Roman" w:cs="Times New Roman"/>
    </w:rPr>
  </w:style>
  <w:style w:type="paragraph" w:styleId="1011">
    <w:name w:val="Heading 7"/>
    <w:basedOn w:val="1005"/>
    <w:next w:val="1004"/>
    <w:qFormat/>
    <w:pPr>
      <w:ind w:left="1296" w:firstLine="14"/>
      <w:spacing w:before="240" w:after="64" w:line="320" w:lineRule="auto"/>
      <w:outlineLvl w:val="6"/>
    </w:pPr>
    <w:rPr>
      <w:rFonts w:ascii="Times New Roman" w:hAnsi="Times New Roman" w:cs="Times New Roman"/>
    </w:rPr>
  </w:style>
  <w:style w:type="paragraph" w:styleId="1012">
    <w:name w:val="Heading 8"/>
    <w:basedOn w:val="1005"/>
    <w:next w:val="1004"/>
    <w:qFormat/>
    <w:pPr>
      <w:ind w:left="1440"/>
      <w:spacing w:before="240" w:after="64" w:line="320" w:lineRule="auto"/>
      <w:outlineLvl w:val="7"/>
    </w:pPr>
    <w:rPr>
      <w:rFonts w:ascii="Times New Roman" w:hAnsi="Times New Roman" w:cs="Times New Roman"/>
    </w:rPr>
  </w:style>
  <w:style w:type="paragraph" w:styleId="1013">
    <w:name w:val="Heading 9"/>
    <w:basedOn w:val="1005"/>
    <w:next w:val="1004"/>
    <w:qFormat/>
    <w:pPr>
      <w:ind w:left="1584" w:firstLine="22"/>
      <w:spacing w:before="240" w:after="64" w:line="320" w:lineRule="auto"/>
      <w:outlineLvl w:val="8"/>
    </w:pPr>
    <w:rPr>
      <w:rFonts w:ascii="Times New Roman" w:hAnsi="Times New Roman" w:cs="Times New Roman"/>
    </w:r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paragraph" w:styleId="1017">
    <w:name w:val="Body Text Indent"/>
    <w:basedOn w:val="1004"/>
    <w:next w:val="1004"/>
    <w:qFormat/>
    <w:pPr>
      <w:ind w:left="420" w:firstLine="1188"/>
      <w:spacing w:line="360" w:lineRule="exact"/>
    </w:pPr>
    <w:rPr>
      <w:rFonts w:ascii="Times New Roman" w:hAnsi="Times New Roman" w:cs="Times New Roman"/>
    </w:rPr>
  </w:style>
  <w:style w:type="paragraph" w:styleId="1018" w:customStyle="1">
    <w:name w:val="正文2"/>
    <w:basedOn w:val="1004"/>
    <w:next w:val="1004"/>
    <w:qFormat/>
    <w:pPr>
      <w:ind w:left="0" w:hanging="2155"/>
      <w:spacing w:line="360" w:lineRule="auto"/>
      <w:shd w:val="clear" w:color="auto" w:fill="ffffff"/>
    </w:pPr>
    <w:rPr>
      <w:rFonts w:ascii="宋体" w:hAnsi="宋体"/>
    </w:rPr>
  </w:style>
  <w:style w:type="paragraph" w:styleId="1019">
    <w:name w:val="toc 7"/>
    <w:basedOn w:val="1005"/>
    <w:next w:val="1004"/>
    <w:qFormat/>
    <w:pPr>
      <w:ind w:left="1640" w:firstLine="3784"/>
      <w:spacing w:before="0" w:after="0" w:line="360" w:lineRule="auto"/>
    </w:pPr>
    <w:rPr>
      <w:rFonts w:ascii="Times New Roman" w:hAnsi="Times New Roman" w:cs="Times New Roman"/>
    </w:rPr>
  </w:style>
  <w:style w:type="paragraph" w:styleId="1020">
    <w:name w:val="List Bullet 4"/>
    <w:basedOn w:val="1005"/>
    <w:next w:val="1021"/>
    <w:qFormat/>
    <w:pPr>
      <w:ind w:left="1620" w:firstLine="2652"/>
      <w:spacing w:before="0" w:after="0" w:line="360" w:lineRule="auto"/>
    </w:pPr>
    <w:rPr>
      <w:rFonts w:ascii="Times New Roman" w:hAnsi="Times New Roman" w:cs="Times New Roman"/>
    </w:rPr>
  </w:style>
  <w:style w:type="paragraph" w:styleId="1021">
    <w:name w:val="List Bullet 2"/>
    <w:basedOn w:val="1005"/>
    <w:next w:val="1004"/>
    <w:qFormat/>
    <w:pPr>
      <w:ind w:left="900" w:firstLine="2652"/>
      <w:spacing w:before="0" w:after="0" w:line="360" w:lineRule="auto"/>
    </w:pPr>
    <w:rPr>
      <w:rFonts w:ascii="Times New Roman" w:hAnsi="Times New Roman" w:cs="Times New Roman"/>
    </w:rPr>
  </w:style>
  <w:style w:type="paragraph" w:styleId="1022">
    <w:name w:val="List Number"/>
    <w:basedOn w:val="1005"/>
    <w:next w:val="1004"/>
    <w:qFormat/>
    <w:pPr>
      <w:ind w:left="454" w:firstLine="2788"/>
      <w:spacing w:before="0" w:after="0" w:line="240" w:lineRule="auto"/>
    </w:pPr>
    <w:rPr>
      <w:rFonts w:ascii="Times New Roman" w:hAnsi="Times New Roman" w:cs="Times New Roman"/>
    </w:rPr>
  </w:style>
  <w:style w:type="paragraph" w:styleId="1023">
    <w:name w:val="Normal Indent"/>
    <w:basedOn w:val="1004"/>
    <w:next w:val="1004"/>
    <w:link w:val="1073"/>
    <w:qFormat/>
    <w:pPr>
      <w:ind w:left="420" w:firstLine="4772"/>
    </w:pPr>
  </w:style>
  <w:style w:type="paragraph" w:styleId="1024">
    <w:name w:val="Caption"/>
    <w:basedOn w:val="1005"/>
    <w:next w:val="1004"/>
    <w:qFormat/>
    <w:pPr>
      <w:ind w:left="200" w:firstLine="2248"/>
      <w:jc w:val="center"/>
      <w:spacing w:before="0" w:after="0" w:line="240" w:lineRule="auto"/>
    </w:pPr>
    <w:rPr>
      <w:rFonts w:ascii="Times New Roman" w:hAnsi="Times New Roman" w:cs="Times New Roman"/>
    </w:rPr>
  </w:style>
  <w:style w:type="paragraph" w:styleId="1025">
    <w:name w:val="List Bullet"/>
    <w:basedOn w:val="1005"/>
    <w:next w:val="1004"/>
    <w:qFormat/>
    <w:pPr>
      <w:ind w:left="900" w:firstLine="2652"/>
      <w:spacing w:before="0" w:after="0" w:line="360" w:lineRule="auto"/>
    </w:pPr>
    <w:rPr>
      <w:rFonts w:ascii="Times New Roman" w:hAnsi="Times New Roman" w:cs="Times New Roman"/>
    </w:rPr>
  </w:style>
  <w:style w:type="paragraph" w:styleId="1026">
    <w:name w:val="Document Map"/>
    <w:basedOn w:val="1005"/>
    <w:next w:val="1027"/>
    <w:qFormat/>
    <w:pPr>
      <w:ind w:left="0" w:firstLine="4"/>
      <w:spacing w:before="0" w:after="0" w:line="240" w:lineRule="auto"/>
      <w:shd w:val="clear" w:color="000000" w:fill="000080"/>
    </w:pPr>
    <w:rPr>
      <w:rFonts w:ascii="Times New Roman" w:hAnsi="Times New Roman" w:cs="Times New Roman"/>
    </w:rPr>
  </w:style>
  <w:style w:type="paragraph" w:styleId="1027">
    <w:name w:val="annotation subject"/>
    <w:next w:val="1004"/>
    <w:qFormat/>
    <w:pPr>
      <w:ind w:firstLine="4608"/>
      <w:spacing w:line="360" w:lineRule="auto"/>
    </w:pPr>
    <w:rPr>
      <w:rFonts w:ascii="Calibri" w:hAnsi="Calibri"/>
    </w:rPr>
  </w:style>
  <w:style w:type="paragraph" w:styleId="1028">
    <w:name w:val="annotation text"/>
    <w:basedOn w:val="1005"/>
    <w:next w:val="1004"/>
    <w:uiPriority w:val="99"/>
    <w:qFormat/>
    <w:pPr>
      <w:ind w:left="0" w:firstLine="3584"/>
      <w:spacing w:before="0" w:after="0" w:line="360" w:lineRule="auto"/>
    </w:pPr>
    <w:rPr>
      <w:rFonts w:ascii="Times New Roman" w:hAnsi="Times New Roman" w:cs="Times New Roman"/>
    </w:rPr>
  </w:style>
  <w:style w:type="paragraph" w:styleId="1029">
    <w:name w:val="Body Text 3"/>
    <w:basedOn w:val="1005"/>
    <w:next w:val="1004"/>
    <w:qFormat/>
    <w:pPr>
      <w:ind w:left="0" w:firstLine="2048"/>
      <w:spacing w:before="0" w:after="0" w:line="500" w:lineRule="exact"/>
    </w:pPr>
    <w:rPr>
      <w:rFonts w:ascii="Times New Roman" w:hAnsi="Times New Roman" w:cs="Times New Roman"/>
    </w:rPr>
  </w:style>
  <w:style w:type="paragraph" w:styleId="1030">
    <w:name w:val="List Bullet 3"/>
    <w:basedOn w:val="1005"/>
    <w:next w:val="1004"/>
    <w:qFormat/>
    <w:pPr>
      <w:ind w:left="900" w:firstLine="2652"/>
      <w:spacing w:before="0" w:after="0" w:line="360" w:lineRule="auto"/>
    </w:pPr>
    <w:rPr>
      <w:rFonts w:ascii="Times New Roman" w:hAnsi="Times New Roman" w:cs="Times New Roman"/>
    </w:rPr>
  </w:style>
  <w:style w:type="paragraph" w:styleId="1031">
    <w:name w:val="Body Text"/>
    <w:basedOn w:val="1004"/>
    <w:next w:val="1004"/>
    <w:qFormat/>
    <w:pPr>
      <w:ind w:left="0" w:firstLine="2560"/>
    </w:pPr>
    <w:rPr>
      <w:rFonts w:ascii="Times New Roman" w:hAnsi="Times New Roman" w:cs="Times New Roman"/>
    </w:rPr>
  </w:style>
  <w:style w:type="paragraph" w:styleId="1032">
    <w:name w:val="List Number 3"/>
    <w:basedOn w:val="1005"/>
    <w:next w:val="1004"/>
    <w:qFormat/>
    <w:pPr>
      <w:ind w:left="420" w:firstLine="3584"/>
      <w:spacing w:before="0" w:after="0" w:line="240" w:lineRule="auto"/>
    </w:pPr>
    <w:rPr>
      <w:rFonts w:ascii="Times New Roman" w:hAnsi="Times New Roman" w:cs="Times New Roman"/>
    </w:rPr>
  </w:style>
  <w:style w:type="paragraph" w:styleId="1033">
    <w:name w:val="List 2"/>
    <w:basedOn w:val="1005"/>
    <w:next w:val="1019"/>
    <w:qFormat/>
    <w:pPr>
      <w:ind w:left="100" w:firstLine="3640"/>
      <w:spacing w:before="0" w:after="0" w:line="240" w:lineRule="auto"/>
    </w:pPr>
    <w:rPr>
      <w:rFonts w:ascii="Times New Roman" w:hAnsi="Times New Roman" w:cs="Times New Roman"/>
    </w:rPr>
  </w:style>
  <w:style w:type="paragraph" w:styleId="1034">
    <w:name w:val="Block Text"/>
    <w:basedOn w:val="1005"/>
    <w:next w:val="1004"/>
    <w:qFormat/>
    <w:pPr>
      <w:ind w:left="420" w:right="33" w:firstLine="2560"/>
      <w:spacing w:before="0" w:after="0" w:line="240" w:lineRule="auto"/>
    </w:pPr>
    <w:rPr>
      <w:rFonts w:ascii="Times New Roman" w:hAnsi="Times New Roman" w:cs="Times New Roman"/>
    </w:rPr>
  </w:style>
  <w:style w:type="paragraph" w:styleId="1035">
    <w:name w:val="toc 5"/>
    <w:basedOn w:val="1005"/>
    <w:next w:val="1004"/>
    <w:qFormat/>
    <w:pPr>
      <w:ind w:left="1160" w:firstLine="3784"/>
      <w:spacing w:before="0" w:after="0" w:line="360" w:lineRule="auto"/>
    </w:pPr>
    <w:rPr>
      <w:rFonts w:ascii="Times New Roman" w:hAnsi="Times New Roman" w:cs="Times New Roman"/>
    </w:rPr>
  </w:style>
  <w:style w:type="paragraph" w:styleId="1036">
    <w:name w:val="toc 3"/>
    <w:basedOn w:val="1005"/>
    <w:next w:val="1004"/>
    <w:qFormat/>
    <w:pPr>
      <w:ind w:left="0" w:firstLine="1024"/>
      <w:spacing w:before="0" w:after="0" w:line="360" w:lineRule="auto"/>
    </w:pPr>
    <w:rPr>
      <w:rFonts w:ascii="Times New Roman" w:hAnsi="Times New Roman" w:cs="Times New Roman"/>
    </w:rPr>
  </w:style>
  <w:style w:type="paragraph" w:styleId="1037">
    <w:name w:val="Plain Text"/>
    <w:basedOn w:val="1005"/>
    <w:next w:val="1038"/>
    <w:qFormat/>
    <w:pPr>
      <w:ind w:left="0" w:firstLine="2048"/>
      <w:spacing w:before="0" w:after="0" w:line="240" w:lineRule="auto"/>
    </w:pPr>
    <w:rPr>
      <w:rFonts w:ascii="Times New Roman" w:hAnsi="Times New Roman" w:cs="Times New Roman"/>
    </w:rPr>
  </w:style>
  <w:style w:type="paragraph" w:styleId="1038">
    <w:name w:val="toc 1"/>
    <w:basedOn w:val="1005"/>
    <w:next w:val="1004"/>
    <w:uiPriority w:val="39"/>
    <w:qFormat/>
    <w:pPr>
      <w:ind w:left="0" w:firstLine="4608"/>
      <w:spacing w:before="0" w:after="0" w:line="240" w:lineRule="auto"/>
    </w:pPr>
    <w:rPr>
      <w:rFonts w:ascii="Times New Roman" w:hAnsi="Times New Roman" w:cs="Times New Roman"/>
    </w:rPr>
  </w:style>
  <w:style w:type="paragraph" w:styleId="1039">
    <w:name w:val="List Bullet 5"/>
    <w:basedOn w:val="1005"/>
    <w:next w:val="1040"/>
    <w:qFormat/>
    <w:pPr>
      <w:ind w:left="2040" w:firstLine="2560"/>
      <w:spacing w:before="0" w:after="0" w:line="360" w:lineRule="auto"/>
    </w:pPr>
    <w:rPr>
      <w:rFonts w:ascii="Times New Roman" w:hAnsi="Times New Roman" w:cs="Times New Roman"/>
    </w:r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5"/>
    <w:next w:val="1004"/>
    <w:qFormat/>
    <w:pPr>
      <w:ind w:left="1880" w:firstLine="3784"/>
      <w:spacing w:before="0" w:after="0" w:line="360" w:lineRule="auto"/>
    </w:pPr>
    <w:rPr>
      <w:rFonts w:ascii="Times New Roman" w:hAnsi="Times New Roman" w:cs="Times New Roman"/>
    </w:rPr>
  </w:style>
  <w:style w:type="paragraph" w:styleId="1042">
    <w:name w:val="Date"/>
    <w:basedOn w:val="1005"/>
    <w:next w:val="1004"/>
    <w:qFormat/>
    <w:pPr>
      <w:ind w:left="0" w:firstLine="2560"/>
      <w:spacing w:before="0" w:after="0" w:line="240" w:lineRule="auto"/>
    </w:pPr>
    <w:rPr>
      <w:rFonts w:ascii="Times New Roman" w:hAnsi="Times New Roman" w:cs="Times New Roman"/>
    </w:rPr>
  </w:style>
  <w:style w:type="paragraph" w:styleId="1043">
    <w:name w:val="Body Text Indent 2"/>
    <w:basedOn w:val="1005"/>
    <w:next w:val="1017"/>
    <w:qFormat/>
    <w:pPr>
      <w:ind w:left="481" w:firstLine="2784"/>
      <w:spacing w:before="0" w:after="0" w:line="400" w:lineRule="exact"/>
    </w:pPr>
    <w:rPr>
      <w:rFonts w:ascii="Times New Roman" w:hAnsi="Times New Roman" w:cs="Times New Roman"/>
    </w:rPr>
  </w:style>
  <w:style w:type="paragraph" w:styleId="1044">
    <w:name w:val="endnote text"/>
    <w:basedOn w:val="1005"/>
    <w:next w:val="1045"/>
    <w:qFormat/>
    <w:pPr>
      <w:ind w:left="0" w:firstLine="2560"/>
      <w:spacing w:before="0" w:after="0" w:line="360" w:lineRule="auto"/>
    </w:pPr>
    <w:rPr>
      <w:rFonts w:ascii="Times New Roman" w:hAnsi="Times New Roman" w:cs="Times New Roman"/>
    </w:rPr>
  </w:style>
  <w:style w:type="paragraph" w:styleId="1045" w:customStyle="1">
    <w:name w:val="Char11"/>
    <w:basedOn w:val="1005"/>
    <w:next w:val="1004"/>
    <w:qFormat/>
    <w:pPr>
      <w:ind w:left="0" w:firstLine="3584"/>
      <w:spacing w:before="0" w:after="0" w:line="240" w:lineRule="auto"/>
    </w:pPr>
    <w:rPr>
      <w:rFonts w:ascii="Times New Roman" w:hAnsi="Times New Roman" w:cs="Times New Roman"/>
    </w:rPr>
  </w:style>
  <w:style w:type="paragraph" w:styleId="1046">
    <w:name w:val="Balloon Text"/>
    <w:basedOn w:val="1005"/>
    <w:next w:val="1022"/>
    <w:qFormat/>
    <w:pPr>
      <w:ind w:left="0" w:firstLine="2048"/>
      <w:spacing w:before="0" w:after="0" w:line="240" w:lineRule="auto"/>
    </w:pPr>
    <w:rPr>
      <w:rFonts w:ascii="Times New Roman" w:hAnsi="Times New Roman" w:cs="Times New Roman"/>
    </w:rPr>
  </w:style>
  <w:style w:type="paragraph" w:styleId="1047">
    <w:name w:val="Footer"/>
    <w:basedOn w:val="1004"/>
    <w:next w:val="1048"/>
    <w:link w:val="1074"/>
    <w:qFormat/>
    <w:pPr>
      <w:ind w:left="0" w:firstLine="3584"/>
    </w:pPr>
  </w:style>
  <w:style w:type="paragraph" w:styleId="1048" w:customStyle="1">
    <w:name w:val="Char Char Char Char Char Char Char Char Char Char Char Char Char"/>
    <w:basedOn w:val="1005"/>
    <w:next w:val="1004"/>
    <w:qFormat/>
    <w:pPr>
      <w:ind w:left="0" w:firstLine="3584"/>
      <w:spacing w:before="0" w:after="160" w:line="240" w:lineRule="exact"/>
    </w:pPr>
    <w:rPr>
      <w:rFonts w:ascii="Times New Roman" w:hAnsi="Times New Roman" w:cs="Times New Roman"/>
    </w:rPr>
  </w:style>
  <w:style w:type="paragraph" w:styleId="1049">
    <w:name w:val="Header"/>
    <w:basedOn w:val="1005"/>
    <w:next w:val="1042"/>
    <w:link w:val="1075"/>
    <w:qFormat/>
    <w:pPr>
      <w:ind w:left="0" w:firstLine="3584"/>
      <w:jc w:val="center"/>
      <w:spacing w:before="0" w:after="0" w:line="240" w:lineRule="auto"/>
    </w:pPr>
  </w:style>
  <w:style w:type="paragraph" w:styleId="1050">
    <w:name w:val="toc 4"/>
    <w:basedOn w:val="1005"/>
    <w:next w:val="1004"/>
    <w:qFormat/>
    <w:pPr>
      <w:ind w:left="1260" w:firstLine="1024"/>
      <w:spacing w:before="0" w:after="0" w:line="240" w:lineRule="auto"/>
    </w:pPr>
    <w:rPr>
      <w:rFonts w:ascii="Times New Roman" w:hAnsi="Times New Roman" w:cs="Times New Roman"/>
    </w:rPr>
  </w:style>
  <w:style w:type="paragraph" w:styleId="1051">
    <w:name w:val="Subtitle"/>
    <w:next w:val="1004"/>
    <w:qFormat/>
    <w:pPr>
      <w:ind w:left="1024"/>
      <w:jc w:val="center"/>
      <w:spacing w:after="60"/>
    </w:pPr>
    <w:rPr>
      <w:rFonts w:ascii="Calibri" w:hAnsi="Calibri"/>
    </w:rPr>
  </w:style>
  <w:style w:type="paragraph" w:styleId="1052">
    <w:name w:val="List"/>
    <w:basedOn w:val="1005"/>
    <w:next w:val="1053"/>
    <w:qFormat/>
    <w:pPr>
      <w:ind w:left="200" w:firstLine="3640"/>
      <w:spacing w:before="0" w:after="0" w:line="240" w:lineRule="auto"/>
    </w:pPr>
    <w:rPr>
      <w:rFonts w:ascii="Times New Roman" w:hAnsi="Times New Roman" w:cs="Times New Roman"/>
    </w:rPr>
  </w:style>
  <w:style w:type="paragraph" w:styleId="1053">
    <w:name w:val="Body Text First Indent"/>
    <w:next w:val="1004"/>
    <w:qFormat/>
    <w:pPr>
      <w:ind w:left="420" w:firstLine="3748"/>
      <w:spacing w:after="120"/>
    </w:pPr>
    <w:rPr>
      <w:rFonts w:ascii="Calibri" w:hAnsi="Calibri"/>
    </w:rPr>
  </w:style>
  <w:style w:type="paragraph" w:styleId="1054">
    <w:name w:val="footnote text"/>
    <w:basedOn w:val="1005"/>
    <w:next w:val="1034"/>
    <w:qFormat/>
    <w:pPr>
      <w:ind w:left="0" w:firstLine="3584"/>
      <w:spacing w:before="0" w:after="0" w:line="360" w:lineRule="auto"/>
    </w:pPr>
    <w:rPr>
      <w:rFonts w:ascii="Times New Roman" w:hAnsi="Times New Roman" w:cs="Times New Roman"/>
    </w:rPr>
  </w:style>
  <w:style w:type="paragraph" w:styleId="1055">
    <w:name w:val="toc 6"/>
    <w:basedOn w:val="1005"/>
    <w:next w:val="1004"/>
    <w:qFormat/>
    <w:pPr>
      <w:ind w:left="1400" w:firstLine="3784"/>
      <w:spacing w:before="0" w:after="0" w:line="360" w:lineRule="auto"/>
    </w:pPr>
    <w:rPr>
      <w:rFonts w:ascii="Times New Roman" w:hAnsi="Times New Roman" w:cs="Times New Roman"/>
    </w:rPr>
  </w:style>
  <w:style w:type="paragraph" w:styleId="1056">
    <w:name w:val="List 5"/>
    <w:basedOn w:val="1005"/>
    <w:next w:val="1031"/>
    <w:qFormat/>
    <w:pPr>
      <w:ind w:left="2100" w:firstLine="3676"/>
      <w:spacing w:before="0" w:after="0" w:line="240" w:lineRule="auto"/>
    </w:pPr>
    <w:rPr>
      <w:rFonts w:ascii="Times New Roman" w:hAnsi="Times New Roman" w:cs="Times New Roman"/>
    </w:rPr>
  </w:style>
  <w:style w:type="paragraph" w:styleId="1057">
    <w:name w:val="Body Text Indent 3"/>
    <w:basedOn w:val="1005"/>
    <w:next w:val="1055"/>
    <w:qFormat/>
    <w:pPr>
      <w:ind w:left="480" w:firstLine="2784"/>
      <w:spacing w:before="0" w:after="0" w:line="400" w:lineRule="exact"/>
    </w:pPr>
    <w:rPr>
      <w:rFonts w:ascii="Times New Roman" w:hAnsi="Times New Roman" w:cs="Times New Roman"/>
    </w:rPr>
  </w:style>
  <w:style w:type="paragraph" w:styleId="1058">
    <w:name w:val="toc 2"/>
    <w:basedOn w:val="1005"/>
    <w:next w:val="1004"/>
    <w:qFormat/>
    <w:pPr>
      <w:ind w:left="0" w:firstLine="1024"/>
      <w:spacing w:before="0" w:after="0" w:line="360" w:lineRule="auto"/>
    </w:pPr>
    <w:rPr>
      <w:rFonts w:ascii="Times New Roman" w:hAnsi="Times New Roman" w:cs="Times New Roman"/>
    </w:rPr>
  </w:style>
  <w:style w:type="paragraph" w:styleId="1059">
    <w:name w:val="toc 9"/>
    <w:basedOn w:val="1005"/>
    <w:next w:val="1004"/>
    <w:qFormat/>
    <w:pPr>
      <w:ind w:left="2120" w:firstLine="3784"/>
      <w:spacing w:before="0" w:after="0" w:line="360" w:lineRule="auto"/>
    </w:pPr>
    <w:rPr>
      <w:rFonts w:ascii="Times New Roman" w:hAnsi="Times New Roman" w:cs="Times New Roman"/>
    </w:rPr>
  </w:style>
  <w:style w:type="paragraph" w:styleId="1060">
    <w:name w:val="Body Text 2"/>
    <w:basedOn w:val="1005"/>
    <w:next w:val="1025"/>
    <w:qFormat/>
    <w:pPr>
      <w:ind w:left="0" w:firstLine="1024"/>
      <w:spacing w:before="0" w:after="120" w:line="480" w:lineRule="auto"/>
    </w:pPr>
    <w:rPr>
      <w:rFonts w:ascii="Times New Roman" w:hAnsi="Times New Roman" w:cs="Times New Roman"/>
    </w:rPr>
  </w:style>
  <w:style w:type="paragraph" w:styleId="1061">
    <w:name w:val="HTML Preformatted"/>
    <w:basedOn w:val="1005"/>
    <w:next w:val="1024"/>
    <w:qFormat/>
    <w:pPr>
      <w:ind w:left="0" w:firstLine="2048"/>
      <w:spacing w:before="0" w:after="0" w:line="253" w:lineRule="atLeast"/>
    </w:pPr>
    <w:rPr>
      <w:rFonts w:ascii="Times New Roman" w:hAnsi="Times New Roman" w:cs="Times New Roman"/>
    </w:rPr>
  </w:style>
  <w:style w:type="paragraph" w:styleId="1062">
    <w:name w:val="Normal (Web)"/>
    <w:basedOn w:val="1004"/>
    <w:next w:val="1033"/>
    <w:uiPriority w:val="99"/>
    <w:qFormat/>
    <w:pPr>
      <w:ind w:left="15" w:right="15" w:firstLine="4608"/>
      <w:spacing w:before="60" w:after="60" w:line="312" w:lineRule="auto"/>
    </w:pPr>
    <w:rPr>
      <w:rFonts w:ascii="Times New Roman" w:hAnsi="Times New Roman" w:cs="Times New Roman"/>
    </w:rPr>
  </w:style>
  <w:style w:type="paragraph" w:styleId="1063">
    <w:name w:val="index 1"/>
    <w:basedOn w:val="1005"/>
    <w:next w:val="1004"/>
    <w:qFormat/>
    <w:pPr>
      <w:ind w:left="0" w:firstLine="3584"/>
      <w:spacing w:before="0" w:after="0" w:line="240" w:lineRule="auto"/>
    </w:pPr>
    <w:rPr>
      <w:rFonts w:ascii="Times New Roman" w:hAnsi="Times New Roman" w:cs="Times New Roman"/>
    </w:rPr>
  </w:style>
  <w:style w:type="paragraph" w:styleId="1064">
    <w:name w:val="Body Text First Indent 2"/>
    <w:basedOn w:val="1017"/>
    <w:unhideWhenUsed/>
    <w:qFormat/>
    <w:pPr>
      <w:ind w:firstLine="420"/>
    </w:pPr>
  </w:style>
  <w:style w:type="table" w:styleId="106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uiPriority w:val="22"/>
    <w:qFormat/>
    <w:rPr>
      <w:rFonts w:ascii="Times New Roman" w:hAnsi="Times New Roman" w:eastAsia="宋体" w:cs="Times New Roman"/>
      <w:b/>
      <w:sz w:val="20"/>
    </w:rPr>
  </w:style>
  <w:style w:type="character" w:styleId="1067">
    <w:name w:val="page number"/>
    <w:qFormat/>
    <w:rPr>
      <w:rFonts w:ascii="Times New Roman" w:hAnsi="Times New Roman" w:eastAsia="宋体" w:cs="Times New Roman"/>
      <w:sz w:val="20"/>
    </w:rPr>
  </w:style>
  <w:style w:type="character" w:styleId="1068">
    <w:name w:val="FollowedHyperlink"/>
    <w:qFormat/>
    <w:rPr>
      <w:rFonts w:ascii="Times New Roman" w:hAnsi="Times New Roman" w:eastAsia="宋体" w:cs="Times New Roman"/>
      <w:color w:val="800080"/>
      <w:sz w:val="20"/>
      <w:u w:val="single"/>
    </w:rPr>
  </w:style>
  <w:style w:type="character" w:styleId="1069">
    <w:name w:val="Emphasis"/>
    <w:uiPriority w:val="20"/>
    <w:qFormat/>
    <w:rPr>
      <w:rFonts w:ascii="Times New Roman" w:hAnsi="Times New Roman" w:eastAsia="宋体" w:cs="Times New Roman"/>
      <w:i/>
      <w:sz w:val="21"/>
    </w:rPr>
  </w:style>
  <w:style w:type="character" w:styleId="1070">
    <w:name w:val="Hyperlink"/>
    <w:uiPriority w:val="99"/>
    <w:qFormat/>
    <w:rPr>
      <w:rFonts w:ascii="Times New Roman" w:hAnsi="Times New Roman" w:eastAsia="宋体" w:cs="Times New Roman"/>
      <w:color w:val="0000ff"/>
      <w:sz w:val="20"/>
      <w:u w:val="single"/>
    </w:rPr>
  </w:style>
  <w:style w:type="character" w:styleId="1071">
    <w:name w:val="annotation reference"/>
    <w:qFormat/>
    <w:rPr>
      <w:rFonts w:ascii="Times New Roman" w:hAnsi="Times New Roman" w:eastAsia="宋体" w:cs="Times New Roman"/>
      <w:sz w:val="20"/>
    </w:rPr>
  </w:style>
  <w:style w:type="character" w:styleId="1072">
    <w:name w:val="footnote reference"/>
    <w:qFormat/>
    <w:rPr>
      <w:rFonts w:ascii="Times New Roman" w:hAnsi="Times New Roman" w:eastAsia="宋体" w:cs="Times New Roman"/>
      <w:vertAlign w:val="superscript"/>
    </w:rPr>
  </w:style>
  <w:style w:type="character" w:styleId="1073" w:customStyle="1">
    <w:name w:val="正文缩进 Char1"/>
    <w:link w:val="1023"/>
    <w:qFormat/>
    <w:rPr>
      <w:rFonts w:ascii="Calibri" w:hAnsi="Calibri" w:eastAsia="宋体" w:cs="Times New Roman"/>
    </w:rPr>
  </w:style>
  <w:style w:type="character" w:styleId="1074" w:customStyle="1">
    <w:name w:val="页脚 Char2"/>
    <w:link w:val="1047"/>
    <w:qFormat/>
    <w:rPr>
      <w:rFonts w:ascii="Calibri" w:hAnsi="Calibri" w:eastAsia="宋体" w:cs="Times New Roman"/>
    </w:rPr>
  </w:style>
  <w:style w:type="character" w:styleId="1075" w:customStyle="1">
    <w:name w:val="页眉 Char2"/>
    <w:link w:val="1049"/>
    <w:qFormat/>
    <w:rPr>
      <w:rFonts w:ascii="Calibri" w:hAnsi="Calibri" w:eastAsia="宋体" w:cs="Times New Roman"/>
    </w:rPr>
  </w:style>
  <w:style w:type="character" w:styleId="1076" w:customStyle="1">
    <w:name w:val="日期 Char"/>
    <w:qFormat/>
    <w:rPr>
      <w:rFonts w:ascii="Times New Roman" w:hAnsi="Times New Roman" w:eastAsia="宋体" w:cs="Times New Roman"/>
      <w:sz w:val="20"/>
    </w:rPr>
  </w:style>
  <w:style w:type="character" w:styleId="1077" w:customStyle="1">
    <w:name w:val="批注引用1"/>
    <w:qFormat/>
    <w:rPr>
      <w:rFonts w:ascii="Times New Roman" w:hAnsi="Times New Roman" w:eastAsia="宋体" w:cs="Times New Roman"/>
      <w:sz w:val="20"/>
    </w:rPr>
  </w:style>
  <w:style w:type="character" w:styleId="1078" w:customStyle="1">
    <w:name w:val="应答文本 Char Char"/>
    <w:qFormat/>
    <w:rPr>
      <w:rFonts w:ascii="Times New Roman" w:hAnsi="Times New Roman" w:eastAsia="宋体" w:cs="Times New Roman"/>
      <w:sz w:val="20"/>
    </w:rPr>
  </w:style>
  <w:style w:type="character" w:styleId="1079" w:customStyle="1">
    <w:name w:val="图片0 Char Char"/>
    <w:qFormat/>
    <w:rPr>
      <w:rFonts w:ascii="Times New Roman" w:hAnsi="Times New Roman" w:eastAsia="宋体" w:cs="Times New Roman"/>
      <w:sz w:val="20"/>
    </w:rPr>
  </w:style>
  <w:style w:type="character" w:styleId="1080" w:customStyle="1">
    <w:name w:val="尾注文本 Char"/>
    <w:qFormat/>
    <w:rPr>
      <w:rFonts w:ascii="Times New Roman" w:hAnsi="Times New Roman" w:eastAsia="宋体" w:cs="Times New Roman"/>
      <w:sz w:val="20"/>
    </w:rPr>
  </w:style>
  <w:style w:type="character" w:styleId="1081" w:customStyle="1">
    <w:name w:val="文档结构图 字符"/>
    <w:qFormat/>
    <w:rPr>
      <w:rFonts w:ascii="Microsoft YaHei UI" w:hAnsi="Times New Roman" w:eastAsia="Microsoft YaHei UI" w:cs="Times New Roman"/>
      <w:sz w:val="18"/>
      <w:szCs w:val="18"/>
    </w:rPr>
  </w:style>
  <w:style w:type="character" w:styleId="1082" w:customStyle="1">
    <w:name w:val="_Style 337"/>
    <w:qFormat/>
    <w:rPr>
      <w:rFonts w:ascii="Times New Roman" w:hAnsi="Times New Roman" w:eastAsia="宋体" w:cs="Times New Roman"/>
      <w:color w:val="auto"/>
      <w:sz w:val="21"/>
    </w:rPr>
  </w:style>
  <w:style w:type="character" w:styleId="1083" w:customStyle="1">
    <w:name w:val="正文文本 字符"/>
    <w:qFormat/>
    <w:rPr>
      <w:rFonts w:ascii="Times New Roman" w:hAnsi="Times New Roman" w:eastAsia="宋体" w:cs="Times New Roman"/>
      <w:sz w:val="21"/>
    </w:rPr>
  </w:style>
  <w:style w:type="character" w:styleId="1084" w:customStyle="1">
    <w:name w:val="批注文字 字符"/>
    <w:qFormat/>
    <w:rPr>
      <w:rFonts w:ascii="Times New Roman" w:hAnsi="Times New Roman" w:eastAsia="宋体" w:cs="Times New Roman"/>
      <w:sz w:val="20"/>
    </w:rPr>
  </w:style>
  <w:style w:type="character" w:styleId="1085" w:customStyle="1">
    <w:name w:val="批注文字 Char1"/>
    <w:qFormat/>
    <w:rPr>
      <w:rFonts w:ascii="Times New Roman" w:hAnsi="Times New Roman" w:eastAsia="宋体" w:cs="Times New Roman"/>
      <w:sz w:val="20"/>
    </w:rPr>
  </w:style>
  <w:style w:type="character" w:styleId="1086" w:customStyle="1">
    <w:name w:val="txt"/>
    <w:qFormat/>
    <w:rPr>
      <w:rFonts w:ascii="Times New Roman" w:hAnsi="Times New Roman" w:eastAsia="宋体" w:cs="Times New Roman"/>
      <w:sz w:val="20"/>
    </w:rPr>
  </w:style>
  <w:style w:type="character" w:styleId="1087" w:customStyle="1">
    <w:name w:val="标书正文 Char"/>
    <w:qFormat/>
    <w:rPr>
      <w:rFonts w:ascii="Times New Roman" w:hAnsi="Times New Roman" w:eastAsia="宋体" w:cs="Times New Roman"/>
      <w:sz w:val="20"/>
    </w:rPr>
  </w:style>
  <w:style w:type="character" w:styleId="1088" w:customStyle="1">
    <w:name w:val="font21"/>
    <w:qFormat/>
    <w:rPr>
      <w:rFonts w:hint="eastAsia" w:ascii="宋体" w:hAnsi="宋体" w:eastAsia="宋体" w:cs="宋体"/>
      <w:color w:val="ff0000"/>
      <w:sz w:val="24"/>
      <w:szCs w:val="24"/>
      <w:u w:val="none"/>
    </w:rPr>
  </w:style>
  <w:style w:type="character" w:styleId="1089" w:customStyle="1">
    <w:name w:val="apple-converted-space"/>
    <w:qFormat/>
    <w:rPr>
      <w:rFonts w:ascii="Times New Roman" w:hAnsi="Times New Roman" w:eastAsia="宋体" w:cs="Times New Roman"/>
      <w:sz w:val="20"/>
    </w:rPr>
  </w:style>
  <w:style w:type="character" w:styleId="1090" w:customStyle="1">
    <w:name w:val="纯文本 Char1"/>
    <w:qFormat/>
    <w:rPr>
      <w:rFonts w:ascii="Times New Roman" w:hAnsi="Times New Roman" w:eastAsia="宋体" w:cs="Times New Roman"/>
      <w:sz w:val="20"/>
    </w:rPr>
  </w:style>
  <w:style w:type="character" w:styleId="1091" w:customStyle="1">
    <w:name w:val="para1"/>
    <w:qFormat/>
    <w:rPr>
      <w:rFonts w:ascii="Times New Roman" w:hAnsi="Times New Roman" w:eastAsia="宋体" w:cs="Times New Roman"/>
      <w:sz w:val="20"/>
    </w:rPr>
  </w:style>
  <w:style w:type="character" w:styleId="1092" w:customStyle="1">
    <w:name w:val="HTML 预设格式 Char1"/>
    <w:qFormat/>
    <w:rPr>
      <w:rFonts w:ascii="Times New Roman" w:hAnsi="Times New Roman" w:eastAsia="宋体" w:cs="Times New Roman"/>
      <w:sz w:val="20"/>
    </w:rPr>
  </w:style>
  <w:style w:type="character" w:styleId="1093" w:customStyle="1">
    <w:name w:val="批注文字 Char"/>
    <w:qFormat/>
    <w:rPr>
      <w:rFonts w:ascii="Times New Roman" w:hAnsi="Times New Roman" w:eastAsia="宋体" w:cs="Times New Roman"/>
      <w:sz w:val="20"/>
    </w:rPr>
  </w:style>
  <w:style w:type="character" w:styleId="1094" w:customStyle="1">
    <w:name w:val="文档结构图 Char"/>
    <w:qFormat/>
    <w:rPr>
      <w:rFonts w:ascii="Times New Roman" w:hAnsi="Times New Roman" w:eastAsia="宋体" w:cs="Times New Roman"/>
      <w:sz w:val="20"/>
    </w:rPr>
  </w:style>
  <w:style w:type="character" w:styleId="1095" w:customStyle="1">
    <w:name w:val="超级链接"/>
    <w:qFormat/>
    <w:rPr>
      <w:rFonts w:ascii="Times New Roman" w:hAnsi="Times New Roman" w:eastAsia="宋体" w:cs="Times New Roman"/>
      <w:color w:val="0000ff"/>
      <w:sz w:val="20"/>
      <w:u w:val="single"/>
    </w:rPr>
  </w:style>
  <w:style w:type="character" w:styleId="1096" w:customStyle="1">
    <w:name w:val="p141"/>
    <w:qFormat/>
    <w:rPr>
      <w:rFonts w:ascii="Times New Roman" w:hAnsi="Times New Roman" w:eastAsia="宋体" w:cs="Times New Roman"/>
      <w:color w:val="000000"/>
      <w:sz w:val="20"/>
      <w:u w:val="none"/>
    </w:rPr>
  </w:style>
  <w:style w:type="character" w:styleId="1097" w:customStyle="1">
    <w:name w:val="宏文本 Char"/>
    <w:qFormat/>
    <w:rPr>
      <w:rFonts w:ascii="Times New Roman" w:hAnsi="Times New Roman" w:eastAsia="宋体" w:cs="Times New Roman"/>
      <w:sz w:val="20"/>
    </w:rPr>
  </w:style>
  <w:style w:type="character" w:styleId="1098" w:customStyle="1">
    <w:name w:val="_Style 313"/>
    <w:qFormat/>
    <w:rPr>
      <w:rFonts w:ascii="Times New Roman" w:hAnsi="Times New Roman" w:eastAsia="宋体" w:cs="Times New Roman"/>
      <w:b/>
      <w:i/>
      <w:sz w:val="21"/>
    </w:rPr>
  </w:style>
  <w:style w:type="character" w:styleId="1099" w:customStyle="1">
    <w:name w:val="页脚 Char1"/>
    <w:qFormat/>
    <w:rPr>
      <w:rFonts w:ascii="Times New Roman" w:hAnsi="Times New Roman" w:eastAsia="宋体" w:cs="Times New Roman"/>
      <w:sz w:val="20"/>
    </w:rPr>
  </w:style>
  <w:style w:type="character" w:styleId="1100" w:customStyle="1">
    <w:name w:val="页眉 Char"/>
    <w:qFormat/>
    <w:rPr>
      <w:rFonts w:ascii="Times New Roman" w:hAnsi="Times New Roman" w:eastAsia="宋体" w:cs="Times New Roman"/>
      <w:sz w:val="20"/>
    </w:rPr>
  </w:style>
  <w:style w:type="character" w:styleId="1101" w:customStyle="1">
    <w:name w:val="标题 7 Char"/>
    <w:qFormat/>
    <w:rPr>
      <w:rFonts w:ascii="Times New Roman" w:hAnsi="Times New Roman" w:eastAsia="宋体" w:cs="Times New Roman"/>
      <w:b/>
      <w:sz w:val="20"/>
    </w:rPr>
  </w:style>
  <w:style w:type="character" w:styleId="1102" w:customStyle="1">
    <w:name w:val="Char Char12"/>
    <w:qFormat/>
    <w:rPr>
      <w:rFonts w:ascii="Times New Roman" w:hAnsi="Times New Roman" w:eastAsia="宋体" w:cs="Times New Roman"/>
      <w:sz w:val="20"/>
    </w:rPr>
  </w:style>
  <w:style w:type="character" w:styleId="1103" w:customStyle="1">
    <w:name w:val="标题 3 Char"/>
    <w:qFormat/>
    <w:rPr>
      <w:rFonts w:ascii="Times New Roman" w:hAnsi="Times New Roman" w:eastAsia="宋体" w:cs="Times New Roman"/>
      <w:b/>
      <w:sz w:val="20"/>
    </w:rPr>
  </w:style>
  <w:style w:type="character" w:styleId="1104" w:customStyle="1">
    <w:name w:val="正文（首行缩进 2 字符） Char Char"/>
    <w:qFormat/>
    <w:rPr>
      <w:rFonts w:ascii="Times New Roman" w:hAnsi="Times New Roman" w:eastAsia="宋体" w:cs="Times New Roman"/>
      <w:sz w:val="20"/>
    </w:rPr>
  </w:style>
  <w:style w:type="character" w:styleId="1105" w:customStyle="1">
    <w:name w:val="表格用 Char Char"/>
    <w:qFormat/>
    <w:rPr>
      <w:rFonts w:ascii="Times New Roman" w:hAnsi="Times New Roman" w:eastAsia="宋体" w:cs="Times New Roman"/>
      <w:sz w:val="20"/>
    </w:rPr>
  </w:style>
  <w:style w:type="character" w:styleId="1106" w:customStyle="1">
    <w:name w:val="正文文本缩进 3 Char1"/>
    <w:qFormat/>
    <w:rPr>
      <w:rFonts w:ascii="Times New Roman" w:hAnsi="Times New Roman" w:eastAsia="宋体" w:cs="Times New Roman"/>
      <w:sz w:val="20"/>
    </w:rPr>
  </w:style>
  <w:style w:type="character" w:styleId="1107" w:customStyle="1">
    <w:name w:val="正文缩进 Char"/>
    <w:qFormat/>
    <w:rPr>
      <w:rFonts w:ascii="Times New Roman" w:hAnsi="Times New Roman" w:eastAsia="宋体" w:cs="Times New Roman"/>
      <w:sz w:val="20"/>
    </w:rPr>
  </w:style>
  <w:style w:type="character" w:styleId="1108" w:customStyle="1">
    <w:name w:val="批注框文本 Char1"/>
    <w:qFormat/>
    <w:rPr>
      <w:rFonts w:ascii="Times New Roman" w:hAnsi="Times New Roman" w:eastAsia="宋体" w:cs="Times New Roman"/>
      <w:sz w:val="20"/>
    </w:rPr>
  </w:style>
  <w:style w:type="character" w:styleId="1109" w:customStyle="1">
    <w:name w:val="Char Char13"/>
    <w:qFormat/>
    <w:rPr>
      <w:rFonts w:ascii="Times New Roman" w:hAnsi="Times New Roman" w:eastAsia="宋体" w:cs="Times New Roman"/>
      <w:sz w:val="20"/>
    </w:rPr>
  </w:style>
  <w:style w:type="character" w:styleId="1110" w:customStyle="1">
    <w:name w:val="样式2 Char"/>
    <w:qFormat/>
    <w:rPr>
      <w:rFonts w:ascii="Times New Roman" w:hAnsi="Times New Roman" w:eastAsia="宋体" w:cs="Times New Roman"/>
      <w:b/>
      <w:sz w:val="20"/>
    </w:rPr>
  </w:style>
  <w:style w:type="character" w:styleId="1111" w:customStyle="1">
    <w:name w:val="页脚 Char"/>
    <w:qFormat/>
    <w:rPr>
      <w:rFonts w:ascii="Times New Roman" w:hAnsi="Times New Roman" w:eastAsia="宋体" w:cs="Times New Roman"/>
      <w:sz w:val="20"/>
    </w:rPr>
  </w:style>
  <w:style w:type="character" w:styleId="1112" w:customStyle="1">
    <w:name w:val="标准文本 Char"/>
    <w:qFormat/>
    <w:rPr>
      <w:rFonts w:ascii="Times New Roman" w:hAnsi="Times New Roman" w:eastAsia="宋体" w:cs="Times New Roman"/>
      <w:sz w:val="20"/>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标题 3 Char1"/>
    <w:qFormat/>
    <w:rPr>
      <w:rFonts w:ascii="Times New Roman" w:hAnsi="Times New Roman" w:eastAsia="宋体" w:cs="Times New Roman"/>
      <w:b/>
      <w:sz w:val="20"/>
      <w:u w:val="single"/>
    </w:rPr>
  </w:style>
  <w:style w:type="character" w:styleId="1115" w:customStyle="1">
    <w:name w:val="表格 Char Char"/>
    <w:qFormat/>
    <w:rPr>
      <w:rFonts w:ascii="Times New Roman" w:hAnsi="Times New Roman" w:eastAsia="宋体" w:cs="Times New Roman"/>
      <w:sz w:val="20"/>
    </w:rPr>
  </w:style>
  <w:style w:type="character" w:styleId="1116" w:customStyle="1">
    <w:name w:val="正文首行缩进 Char"/>
    <w:qFormat/>
    <w:rPr>
      <w:rFonts w:ascii="Times New Roman" w:hAnsi="Times New Roman" w:eastAsia="宋体" w:cs="Times New Roman"/>
      <w:sz w:val="20"/>
    </w:rPr>
  </w:style>
  <w:style w:type="character" w:styleId="1117" w:customStyle="1">
    <w:name w:val="标题 9 Char"/>
    <w:qFormat/>
    <w:rPr>
      <w:rFonts w:ascii="Times New Roman" w:hAnsi="Times New Roman" w:eastAsia="宋体" w:cs="Times New Roman"/>
      <w:sz w:val="20"/>
    </w:rPr>
  </w:style>
  <w:style w:type="character" w:styleId="1118" w:customStyle="1">
    <w:name w:val="lh151"/>
    <w:qFormat/>
    <w:rPr>
      <w:rFonts w:ascii="Times New Roman" w:hAnsi="Times New Roman" w:eastAsia="宋体" w:cs="Times New Roman"/>
      <w:color w:val="666666"/>
      <w:sz w:val="20"/>
    </w:rPr>
  </w:style>
  <w:style w:type="character" w:styleId="1119" w:customStyle="1">
    <w:name w:val="日期 Char1"/>
    <w:qFormat/>
    <w:rPr>
      <w:rFonts w:ascii="Times New Roman" w:hAnsi="Times New Roman" w:eastAsia="宋体" w:cs="Times New Roman"/>
      <w:sz w:val="20"/>
    </w:rPr>
  </w:style>
  <w:style w:type="character" w:styleId="1120" w:customStyle="1">
    <w:name w:val="图片 Char Char"/>
    <w:qFormat/>
    <w:rPr>
      <w:rFonts w:ascii="Times New Roman" w:hAnsi="Times New Roman" w:eastAsia="宋体" w:cs="Times New Roman"/>
      <w:sz w:val="20"/>
    </w:rPr>
  </w:style>
  <w:style w:type="character" w:styleId="1121" w:customStyle="1">
    <w:name w:val="批注框文本 字符"/>
    <w:qFormat/>
    <w:rPr>
      <w:rFonts w:ascii="Times New Roman" w:hAnsi="Times New Roman" w:eastAsia="宋体" w:cs="Times New Roman"/>
      <w:sz w:val="20"/>
    </w:rPr>
  </w:style>
  <w:style w:type="character" w:styleId="1122" w:customStyle="1">
    <w:name w:val="HTML 预设格式 Char"/>
    <w:qFormat/>
    <w:rPr>
      <w:rFonts w:ascii="Times New Roman" w:hAnsi="Times New Roman" w:eastAsia="宋体" w:cs="Times New Roman"/>
      <w:sz w:val="20"/>
    </w:rPr>
  </w:style>
  <w:style w:type="character" w:styleId="1123" w:customStyle="1">
    <w:name w:val="列出段落 Char"/>
    <w:qFormat/>
    <w:rPr>
      <w:rFonts w:ascii="Times New Roman" w:hAnsi="Times New Roman" w:eastAsia="宋体" w:cs="Times New Roman"/>
      <w:sz w:val="20"/>
    </w:rPr>
  </w:style>
  <w:style w:type="character" w:styleId="1124" w:customStyle="1">
    <w:name w:val="标题 5 Char"/>
    <w:qFormat/>
    <w:rPr>
      <w:rFonts w:ascii="Times New Roman" w:hAnsi="Times New Roman" w:eastAsia="宋体" w:cs="Times New Roman"/>
      <w:b/>
      <w:sz w:val="20"/>
    </w:rPr>
  </w:style>
  <w:style w:type="character" w:styleId="1125" w:customStyle="1">
    <w:name w:val="链接"/>
    <w:qFormat/>
    <w:rPr>
      <w:rFonts w:ascii="Times New Roman" w:hAnsi="Times New Roman" w:eastAsia="宋体" w:cs="Times New Roman"/>
      <w:color w:val="0000ff"/>
      <w:sz w:val="20"/>
      <w:u w:val="single"/>
    </w:rPr>
  </w:style>
  <w:style w:type="character" w:styleId="1126" w:customStyle="1">
    <w:name w:val="18h1"/>
    <w:qFormat/>
    <w:rPr>
      <w:rFonts w:ascii="Times New Roman" w:hAnsi="Times New Roman" w:eastAsia="宋体" w:cs="Times New Roman"/>
      <w:color w:val="3b3b3b"/>
      <w:sz w:val="20"/>
    </w:rPr>
  </w:style>
  <w:style w:type="character" w:styleId="1127" w:customStyle="1">
    <w:name w:val="表格文字（两侧对齐） Char Char"/>
    <w:qFormat/>
    <w:rPr>
      <w:rFonts w:ascii="Times New Roman" w:hAnsi="Times New Roman" w:eastAsia="宋体" w:cs="Times New Roman"/>
      <w:sz w:val="20"/>
    </w:rPr>
  </w:style>
  <w:style w:type="character" w:styleId="1128" w:customStyle="1">
    <w:name w:val="正文文本缩进 2 Char"/>
    <w:qFormat/>
    <w:rPr>
      <w:rFonts w:ascii="Times New Roman" w:hAnsi="Times New Roman" w:eastAsia="宋体" w:cs="Times New Roman"/>
      <w:sz w:val="20"/>
    </w:rPr>
  </w:style>
  <w:style w:type="character" w:styleId="1129" w:customStyle="1">
    <w:name w:val="Char Char14"/>
    <w:qFormat/>
    <w:rPr>
      <w:rFonts w:ascii="Times New Roman" w:hAnsi="Times New Roman" w:eastAsia="宋体" w:cs="Times New Roman"/>
      <w:sz w:val="20"/>
    </w:rPr>
  </w:style>
  <w:style w:type="character" w:styleId="1130" w:customStyle="1">
    <w:name w:val="标题 1 Char1"/>
    <w:qFormat/>
    <w:rPr>
      <w:rFonts w:ascii="Times New Roman" w:hAnsi="Times New Roman" w:eastAsia="宋体" w:cs="Times New Roman"/>
      <w:b/>
      <w:sz w:val="20"/>
    </w:rPr>
  </w:style>
  <w:style w:type="character" w:styleId="1131" w:customStyle="1">
    <w:name w:val="批注框文本 Char"/>
    <w:qFormat/>
    <w:rPr>
      <w:rFonts w:ascii="Times New Roman" w:hAnsi="Times New Roman" w:eastAsia="宋体" w:cs="Times New Roman"/>
      <w:sz w:val="20"/>
    </w:rPr>
  </w:style>
  <w:style w:type="character" w:styleId="1132" w:customStyle="1">
    <w:name w:val="apple-style-span"/>
    <w:qFormat/>
    <w:rPr>
      <w:rFonts w:ascii="Times New Roman" w:hAnsi="Times New Roman" w:eastAsia="宋体" w:cs="Times New Roman"/>
      <w:sz w:val="20"/>
    </w:rPr>
  </w:style>
  <w:style w:type="character" w:styleId="1133" w:customStyle="1">
    <w:name w:val="插图 Char Char"/>
    <w:qFormat/>
    <w:rPr>
      <w:rFonts w:ascii="Times New Roman" w:hAnsi="Times New Roman" w:eastAsia="宋体" w:cs="Times New Roman"/>
      <w:sz w:val="20"/>
    </w:rPr>
  </w:style>
  <w:style w:type="character" w:styleId="1134" w:customStyle="1">
    <w:name w:val="标题 2 Char1"/>
    <w:qFormat/>
    <w:rPr>
      <w:rFonts w:ascii="Times New Roman" w:hAnsi="Times New Roman" w:eastAsia="宋体" w:cs="Times New Roman"/>
      <w:b/>
      <w:sz w:val="20"/>
    </w:rPr>
  </w:style>
  <w:style w:type="character" w:styleId="1135" w:customStyle="1">
    <w:name w:val="_Style 332"/>
    <w:qFormat/>
    <w:rPr>
      <w:rFonts w:ascii="Times New Roman" w:hAnsi="Times New Roman" w:eastAsia="宋体" w:cs="Times New Roman"/>
      <w:i/>
      <w:color w:val="auto"/>
      <w:sz w:val="21"/>
    </w:rPr>
  </w:style>
  <w:style w:type="character" w:styleId="1136" w:customStyle="1">
    <w:name w:val="正文文本 3 Char1"/>
    <w:qFormat/>
    <w:rPr>
      <w:rFonts w:ascii="Times New Roman" w:hAnsi="Times New Roman" w:eastAsia="宋体" w:cs="Times New Roman"/>
      <w:sz w:val="20"/>
    </w:rPr>
  </w:style>
  <w:style w:type="character" w:styleId="1137" w:customStyle="1">
    <w:name w:val="标题 5 Char1"/>
    <w:qFormat/>
    <w:rPr>
      <w:rFonts w:ascii="Times New Roman" w:hAnsi="Times New Roman" w:eastAsia="宋体" w:cs="Times New Roman"/>
      <w:b/>
      <w:sz w:val="20"/>
    </w:rPr>
  </w:style>
  <w:style w:type="character" w:styleId="1138" w:customStyle="1">
    <w:name w:val="批注主题 Char"/>
    <w:qFormat/>
    <w:rPr>
      <w:rFonts w:ascii="Times New Roman" w:hAnsi="Times New Roman" w:eastAsia="宋体" w:cs="Times New Roman"/>
      <w:b/>
      <w:sz w:val="20"/>
    </w:rPr>
  </w:style>
  <w:style w:type="character" w:styleId="1139" w:customStyle="1">
    <w:name w:val="标题 1 Char"/>
    <w:qFormat/>
    <w:rPr>
      <w:rFonts w:ascii="Times New Roman" w:hAnsi="Times New Roman" w:eastAsia="宋体" w:cs="Times New Roman"/>
      <w:b/>
      <w:sz w:val="20"/>
    </w:rPr>
  </w:style>
  <w:style w:type="character" w:styleId="1140" w:customStyle="1">
    <w:name w:val="正文文本 2 Char1"/>
    <w:qFormat/>
    <w:rPr>
      <w:rFonts w:ascii="Times New Roman" w:hAnsi="Times New Roman" w:eastAsia="宋体" w:cs="Times New Roman"/>
      <w:sz w:val="20"/>
    </w:rPr>
  </w:style>
  <w:style w:type="character" w:styleId="1141" w:customStyle="1">
    <w:name w:val="标题 4 Char1"/>
    <w:qFormat/>
    <w:rPr>
      <w:rFonts w:ascii="Times New Roman" w:hAnsi="Times New Roman" w:eastAsia="宋体" w:cs="Times New Roman"/>
      <w:b/>
      <w:sz w:val="20"/>
    </w:rPr>
  </w:style>
  <w:style w:type="character" w:styleId="1142" w:customStyle="1">
    <w:name w:val="正文文本 2 Char"/>
    <w:qFormat/>
    <w:rPr>
      <w:rFonts w:ascii="Times New Roman" w:hAnsi="Times New Roman" w:eastAsia="宋体" w:cs="Times New Roman"/>
      <w:sz w:val="20"/>
    </w:rPr>
  </w:style>
  <w:style w:type="character" w:styleId="1143" w:customStyle="1">
    <w:name w:val="_Style 376"/>
    <w:qFormat/>
    <w:rPr>
      <w:rFonts w:ascii="Times New Roman" w:hAnsi="Times New Roman" w:eastAsia="宋体" w:cs="Times New Roman"/>
      <w:b/>
      <w:color w:val="auto"/>
      <w:sz w:val="21"/>
    </w:rPr>
  </w:style>
  <w:style w:type="character" w:styleId="1144" w:customStyle="1">
    <w:name w:val="062"/>
    <w:qFormat/>
    <w:rPr>
      <w:rFonts w:ascii="Times New Roman" w:hAnsi="Times New Roman" w:eastAsia="宋体" w:cs="Times New Roman"/>
      <w:b/>
      <w:sz w:val="20"/>
    </w:rPr>
  </w:style>
  <w:style w:type="character" w:styleId="1145" w:customStyle="1">
    <w:name w:val="正文文本 Char1"/>
    <w:qFormat/>
    <w:rPr>
      <w:rFonts w:ascii="Times New Roman" w:hAnsi="Times New Roman" w:eastAsia="宋体" w:cs="Times New Roman"/>
      <w:sz w:val="20"/>
    </w:rPr>
  </w:style>
  <w:style w:type="character" w:styleId="1146" w:customStyle="1">
    <w:name w:val="题注 Char"/>
    <w:qFormat/>
    <w:rPr>
      <w:rFonts w:ascii="Times New Roman" w:hAnsi="Times New Roman" w:eastAsia="宋体" w:cs="Times New Roman"/>
      <w:sz w:val="20"/>
    </w:rPr>
  </w:style>
  <w:style w:type="character" w:styleId="1147" w:customStyle="1">
    <w:name w:val="脚注文本 Char"/>
    <w:qFormat/>
    <w:rPr>
      <w:rFonts w:ascii="Times New Roman" w:hAnsi="Times New Roman" w:eastAsia="宋体" w:cs="Times New Roman"/>
      <w:sz w:val="20"/>
    </w:rPr>
  </w:style>
  <w:style w:type="character" w:styleId="1148" w:customStyle="1">
    <w:name w:val="_Style 336"/>
    <w:qFormat/>
    <w:rPr>
      <w:rFonts w:ascii="Times New Roman" w:hAnsi="Times New Roman" w:eastAsia="宋体" w:cs="Times New Roman"/>
      <w:i/>
      <w:color w:val="auto"/>
      <w:sz w:val="21"/>
    </w:rPr>
  </w:style>
  <w:style w:type="character" w:styleId="1149" w:customStyle="1">
    <w:name w:val="表格 Char"/>
    <w:qFormat/>
    <w:rPr>
      <w:rFonts w:ascii="Times New Roman" w:hAnsi="Times New Roman" w:eastAsia="宋体" w:cs="Times New Roman"/>
      <w:color w:val="000000"/>
      <w:sz w:val="20"/>
    </w:rPr>
  </w:style>
  <w:style w:type="character" w:styleId="1150" w:customStyle="1">
    <w:name w:val="批注主题 字符"/>
    <w:qFormat/>
    <w:rPr>
      <w:rFonts w:ascii="Times New Roman" w:hAnsi="Times New Roman" w:eastAsia="宋体" w:cs="Times New Roman"/>
      <w:b/>
      <w:sz w:val="20"/>
    </w:rPr>
  </w:style>
  <w:style w:type="character" w:styleId="1151" w:customStyle="1">
    <w:name w:val="图注 Char Char"/>
    <w:qFormat/>
    <w:rPr>
      <w:rFonts w:ascii="Times New Roman" w:hAnsi="Times New Roman" w:eastAsia="宋体" w:cs="Times New Roman"/>
      <w:sz w:val="20"/>
    </w:rPr>
  </w:style>
  <w:style w:type="character" w:styleId="1152" w:customStyle="1">
    <w:name w:val="页码1"/>
    <w:qFormat/>
    <w:rPr>
      <w:rFonts w:ascii="Times New Roman" w:hAnsi="Times New Roman" w:eastAsia="宋体" w:cs="Times New Roman"/>
      <w:sz w:val="20"/>
    </w:rPr>
  </w:style>
  <w:style w:type="character" w:styleId="1153" w:customStyle="1">
    <w:name w:val="列表框1 Char Char"/>
    <w:qFormat/>
    <w:rPr>
      <w:rFonts w:ascii="Times New Roman" w:hAnsi="Times New Roman" w:eastAsia="宋体" w:cs="Times New Roman"/>
      <w:sz w:val="20"/>
    </w:rPr>
  </w:style>
  <w:style w:type="character" w:styleId="1154" w:customStyle="1">
    <w:name w:val="1ji Char"/>
    <w:qFormat/>
    <w:rPr>
      <w:rFonts w:ascii="Times New Roman" w:hAnsi="Times New Roman" w:eastAsia="宋体" w:cs="Times New Roman"/>
      <w:b/>
      <w:sz w:val="20"/>
    </w:rPr>
  </w:style>
  <w:style w:type="character" w:styleId="1155" w:customStyle="1">
    <w:name w:val="正文文本缩进 Char"/>
    <w:qFormat/>
    <w:rPr>
      <w:rFonts w:ascii="Times New Roman" w:hAnsi="Times New Roman" w:eastAsia="宋体" w:cs="Times New Roman"/>
      <w:sz w:val="20"/>
    </w:rPr>
  </w:style>
  <w:style w:type="character" w:styleId="1156" w:customStyle="1">
    <w:name w:val="标准文本 Char Char"/>
    <w:qFormat/>
    <w:rPr>
      <w:rFonts w:ascii="Times New Roman" w:hAnsi="Times New Roman" w:eastAsia="宋体" w:cs="Times New Roman"/>
      <w:sz w:val="20"/>
    </w:rPr>
  </w:style>
  <w:style w:type="character" w:styleId="1157" w:customStyle="1">
    <w:name w:val="表格用 Char"/>
    <w:qFormat/>
    <w:rPr>
      <w:rFonts w:ascii="Times New Roman" w:hAnsi="Times New Roman" w:eastAsia="宋体" w:cs="Times New Roman"/>
      <w:color w:val="000000"/>
      <w:sz w:val="20"/>
    </w:rPr>
  </w:style>
  <w:style w:type="character" w:styleId="1158" w:customStyle="1">
    <w:name w:val="标题 7 Char1"/>
    <w:qFormat/>
    <w:rPr>
      <w:rFonts w:ascii="Times New Roman" w:hAnsi="Times New Roman" w:eastAsia="宋体" w:cs="Times New Roman"/>
      <w:b/>
      <w:sz w:val="20"/>
    </w:rPr>
  </w:style>
  <w:style w:type="character" w:styleId="1159" w:customStyle="1">
    <w:name w:val="H 3 Char"/>
    <w:qFormat/>
    <w:rPr>
      <w:rFonts w:ascii="Times New Roman" w:hAnsi="Times New Roman" w:eastAsia="宋体" w:cs="Times New Roman"/>
      <w:b/>
      <w:sz w:val="20"/>
    </w:rPr>
  </w:style>
  <w:style w:type="character" w:styleId="1160" w:customStyle="1">
    <w:name w:val="正文文本缩进 3 字符"/>
    <w:qFormat/>
    <w:rPr>
      <w:rFonts w:ascii="Times New Roman" w:hAnsi="Times New Roman" w:eastAsia="宋体" w:cs="Times New Roman"/>
      <w:sz w:val="16"/>
      <w:szCs w:val="16"/>
    </w:rPr>
  </w:style>
  <w:style w:type="character" w:styleId="1161" w:customStyle="1">
    <w:name w:val="标题 Char"/>
    <w:qFormat/>
    <w:rPr>
      <w:rFonts w:ascii="Times New Roman" w:hAnsi="Times New Roman" w:eastAsia="宋体" w:cs="Times New Roman"/>
      <w:b/>
      <w:sz w:val="20"/>
    </w:rPr>
  </w:style>
  <w:style w:type="character" w:styleId="1162" w:customStyle="1">
    <w:name w:val="H 4 Char"/>
    <w:qFormat/>
    <w:rPr>
      <w:rFonts w:ascii="Times New Roman" w:hAnsi="Times New Roman" w:eastAsia="宋体" w:cs="Times New Roman"/>
      <w:b/>
      <w:sz w:val="20"/>
    </w:rPr>
  </w:style>
  <w:style w:type="character" w:styleId="1163" w:customStyle="1">
    <w:name w:val="批注主题 Char1"/>
    <w:qFormat/>
    <w:rPr>
      <w:rFonts w:ascii="Times New Roman" w:hAnsi="Times New Roman" w:eastAsia="宋体" w:cs="Times New Roman"/>
      <w:b/>
      <w:sz w:val="20"/>
    </w:rPr>
  </w:style>
  <w:style w:type="character" w:styleId="1164" w:customStyle="1">
    <w:name w:val="正文文本缩进 Char1"/>
    <w:qFormat/>
    <w:rPr>
      <w:rFonts w:ascii="Times New Roman" w:hAnsi="Times New Roman" w:eastAsia="宋体" w:cs="Times New Roman"/>
      <w:sz w:val="20"/>
    </w:rPr>
  </w:style>
  <w:style w:type="character" w:styleId="1165" w:customStyle="1">
    <w:name w:val="正文文本 3 Char"/>
    <w:qFormat/>
    <w:rPr>
      <w:rFonts w:ascii="Times New Roman" w:hAnsi="Times New Roman" w:eastAsia="宋体" w:cs="Times New Roman"/>
      <w:sz w:val="20"/>
    </w:rPr>
  </w:style>
  <w:style w:type="character" w:styleId="1166" w:customStyle="1">
    <w:name w:val="正文首行缩进 2 Char"/>
    <w:qFormat/>
    <w:rPr>
      <w:rFonts w:ascii="Times New Roman" w:hAnsi="Times New Roman" w:eastAsia="宋体" w:cs="Times New Roman"/>
      <w:sz w:val="20"/>
    </w:rPr>
  </w:style>
  <w:style w:type="character" w:styleId="1167" w:customStyle="1">
    <w:name w:val="页眉 Char1"/>
    <w:qFormat/>
    <w:rPr>
      <w:rFonts w:ascii="Times New Roman" w:hAnsi="Times New Roman" w:eastAsia="宋体" w:cs="Times New Roman"/>
      <w:sz w:val="20"/>
    </w:rPr>
  </w:style>
  <w:style w:type="character" w:styleId="1168" w:customStyle="1">
    <w:name w:val="Char Char2"/>
    <w:qFormat/>
    <w:rPr>
      <w:rFonts w:ascii="Times New Roman" w:hAnsi="Times New Roman" w:eastAsia="宋体" w:cs="Times New Roman"/>
      <w:sz w:val="20"/>
    </w:rPr>
  </w:style>
  <w:style w:type="character" w:styleId="1169" w:customStyle="1">
    <w:name w:val="样式 首行缩进:  2 字符 Char1"/>
    <w:qFormat/>
    <w:rPr>
      <w:rFonts w:ascii="Times New Roman" w:hAnsi="Times New Roman" w:eastAsia="宋体" w:cs="Times New Roman"/>
      <w:sz w:val="20"/>
    </w:rPr>
  </w:style>
  <w:style w:type="character" w:styleId="1170" w:customStyle="1">
    <w:name w:val="标题 2 Char"/>
    <w:qFormat/>
    <w:rPr>
      <w:rFonts w:ascii="Times New Roman" w:hAnsi="Times New Roman" w:eastAsia="宋体" w:cs="Times New Roman"/>
      <w:b/>
      <w:sz w:val="20"/>
    </w:rPr>
  </w:style>
  <w:style w:type="character" w:styleId="1171" w:customStyle="1">
    <w:name w:val="表格文字图表文字 Char Char"/>
    <w:qFormat/>
    <w:rPr>
      <w:rFonts w:ascii="Times New Roman" w:hAnsi="Times New Roman" w:eastAsia="宋体" w:cs="Times New Roman"/>
      <w:sz w:val="20"/>
    </w:rPr>
  </w:style>
  <w:style w:type="character" w:styleId="1172" w:customStyle="1">
    <w:name w:val="图片 Char"/>
    <w:qFormat/>
    <w:rPr>
      <w:rFonts w:ascii="Times New Roman" w:hAnsi="Times New Roman" w:eastAsia="宋体" w:cs="Times New Roman"/>
      <w:sz w:val="20"/>
    </w:rPr>
  </w:style>
  <w:style w:type="character" w:styleId="1173" w:customStyle="1">
    <w:name w:val="标题 6 Char"/>
    <w:qFormat/>
    <w:rPr>
      <w:rFonts w:ascii="Times New Roman" w:hAnsi="Times New Roman" w:eastAsia="宋体" w:cs="Times New Roman"/>
      <w:b/>
      <w:sz w:val="20"/>
    </w:rPr>
  </w:style>
  <w:style w:type="character" w:styleId="1174" w:customStyle="1">
    <w:name w:val="标题 4 Char"/>
    <w:qFormat/>
    <w:rPr>
      <w:rFonts w:ascii="Times New Roman" w:hAnsi="Times New Roman" w:eastAsia="宋体" w:cs="Times New Roman"/>
      <w:b/>
      <w:sz w:val="20"/>
    </w:rPr>
  </w:style>
  <w:style w:type="character" w:styleId="1175" w:customStyle="1">
    <w:name w:val="文档结构图 Char1"/>
    <w:qFormat/>
    <w:rPr>
      <w:rFonts w:ascii="Times New Roman" w:hAnsi="Times New Roman" w:eastAsia="宋体" w:cs="Times New Roman"/>
      <w:sz w:val="20"/>
    </w:rPr>
  </w:style>
  <w:style w:type="character" w:styleId="1176" w:customStyle="1">
    <w:name w:val="项目符0 Char"/>
    <w:qFormat/>
    <w:rPr>
      <w:rFonts w:ascii="Times New Roman" w:hAnsi="Times New Roman" w:eastAsia="宋体" w:cs="Times New Roman"/>
      <w:sz w:val="20"/>
    </w:rPr>
  </w:style>
  <w:style w:type="character" w:styleId="1177" w:customStyle="1">
    <w:name w:val="正文文本缩进 3 Char"/>
    <w:qFormat/>
    <w:rPr>
      <w:rFonts w:ascii="Times New Roman" w:hAnsi="Times New Roman" w:eastAsia="宋体" w:cs="Times New Roman"/>
      <w:sz w:val="20"/>
    </w:rPr>
  </w:style>
  <w:style w:type="character" w:styleId="1178" w:customStyle="1">
    <w:name w:val="Char Char3"/>
    <w:qFormat/>
    <w:rPr>
      <w:rFonts w:ascii="Times New Roman" w:hAnsi="Times New Roman" w:eastAsia="宋体" w:cs="Times New Roman"/>
      <w:sz w:val="20"/>
    </w:rPr>
  </w:style>
  <w:style w:type="character" w:styleId="1179" w:customStyle="1">
    <w:name w:val="纯文本 Char"/>
    <w:qFormat/>
    <w:rPr>
      <w:rFonts w:ascii="Times New Roman" w:hAnsi="Times New Roman" w:eastAsia="宋体" w:cs="Times New Roman"/>
      <w:sz w:val="20"/>
    </w:rPr>
  </w:style>
  <w:style w:type="character" w:styleId="1180" w:customStyle="1">
    <w:name w:val="正文文本缩进 2 Char1"/>
    <w:qFormat/>
    <w:rPr>
      <w:rFonts w:ascii="Times New Roman" w:hAnsi="Times New Roman" w:eastAsia="宋体" w:cs="Times New Roman"/>
      <w:sz w:val="20"/>
    </w:rPr>
  </w:style>
  <w:style w:type="character" w:styleId="1181" w:customStyle="1">
    <w:name w:val="标题 8 Char"/>
    <w:qFormat/>
    <w:rPr>
      <w:rFonts w:ascii="Times New Roman" w:hAnsi="Times New Roman" w:eastAsia="宋体" w:cs="Times New Roman"/>
      <w:sz w:val="20"/>
    </w:rPr>
  </w:style>
  <w:style w:type="character" w:styleId="1182" w:customStyle="1">
    <w:name w:val="标题 6 Char1"/>
    <w:qFormat/>
    <w:rPr>
      <w:rFonts w:ascii="Times New Roman" w:hAnsi="Times New Roman" w:eastAsia="宋体" w:cs="Times New Roman"/>
      <w:b/>
      <w:sz w:val="20"/>
    </w:rPr>
  </w:style>
  <w:style w:type="character" w:styleId="1183" w:customStyle="1">
    <w:name w:val="case31"/>
    <w:qFormat/>
    <w:rPr>
      <w:rFonts w:ascii="Times New Roman" w:hAnsi="Times New Roman" w:eastAsia="宋体" w:cs="Times New Roman"/>
      <w:sz w:val="20"/>
    </w:rPr>
  </w:style>
  <w:style w:type="character" w:styleId="1184" w:customStyle="1">
    <w:name w:val="正文文本 Char"/>
    <w:qFormat/>
    <w:rPr>
      <w:rFonts w:ascii="Times New Roman" w:hAnsi="Times New Roman" w:eastAsia="宋体" w:cs="Times New Roman"/>
      <w:sz w:val="20"/>
    </w:rPr>
  </w:style>
  <w:style w:type="paragraph" w:styleId="1185" w:customStyle="1">
    <w:name w:val="节标题"/>
    <w:basedOn w:val="1005"/>
    <w:next w:val="1186"/>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1011"/>
    <w:next w:val="1004"/>
    <w:qFormat/>
    <w:pPr>
      <w:ind w:left="1134" w:firstLine="20"/>
      <w:spacing w:before="280" w:after="280" w:line="360" w:lineRule="auto"/>
      <w:outlineLvl w:val="5"/>
    </w:pPr>
  </w:style>
  <w:style w:type="paragraph" w:styleId="1187" w:customStyle="1">
    <w:name w:val="正文段"/>
    <w:basedOn w:val="1005"/>
    <w:next w:val="1188"/>
    <w:qFormat/>
    <w:pPr>
      <w:ind w:left="454" w:firstLine="1222"/>
      <w:spacing w:before="0" w:after="240" w:line="240" w:lineRule="atLeast"/>
    </w:pPr>
    <w:rPr>
      <w:rFonts w:ascii="Times New Roman" w:hAnsi="Times New Roman" w:cs="Times New Roman"/>
    </w:rPr>
  </w:style>
  <w:style w:type="paragraph" w:styleId="1188" w:customStyle="1">
    <w:name w:val="批注主题1"/>
    <w:next w:val="1004"/>
    <w:qFormat/>
    <w:pPr>
      <w:ind w:left="200" w:firstLine="4808"/>
      <w:spacing w:line="360" w:lineRule="auto"/>
    </w:pPr>
    <w:rPr>
      <w:rFonts w:ascii="Calibri" w:hAnsi="Calibri"/>
    </w:rPr>
  </w:style>
  <w:style w:type="paragraph" w:styleId="1189" w:customStyle="1">
    <w:name w:val="_Style 224"/>
    <w:next w:val="1190"/>
    <w:qFormat/>
    <w:pPr>
      <w:ind w:firstLine="3584"/>
    </w:pPr>
    <w:rPr>
      <w:rFonts w:ascii="Calibri" w:hAnsi="Calibri"/>
    </w:rPr>
  </w:style>
  <w:style w:type="paragraph" w:styleId="1190" w:customStyle="1">
    <w:name w:val="编号1"/>
    <w:basedOn w:val="1005"/>
    <w:next w:val="1191"/>
    <w:qFormat/>
    <w:pPr>
      <w:ind w:left="360" w:right="210" w:firstLine="2200"/>
      <w:spacing w:before="0" w:after="0" w:line="240" w:lineRule="auto"/>
    </w:pPr>
    <w:rPr>
      <w:rFonts w:ascii="Times New Roman" w:hAnsi="Times New Roman" w:cs="Times New Roman"/>
    </w:rPr>
  </w:style>
  <w:style w:type="paragraph" w:styleId="1191" w:customStyle="1">
    <w:name w:val="图片"/>
    <w:basedOn w:val="1005"/>
    <w:next w:val="1192"/>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1057"/>
    <w:qFormat/>
    <w:pPr>
      <w:ind w:left="400" w:firstLine="5120"/>
      <w:spacing w:line="360" w:lineRule="auto"/>
      <w:widowControl w:val="off"/>
    </w:pPr>
    <w:rPr>
      <w:rFonts w:ascii="Calibri" w:hAnsi="Calibri"/>
    </w:rPr>
  </w:style>
  <w:style w:type="paragraph" w:styleId="1193" w:customStyle="1">
    <w:name w:val="图注"/>
    <w:next w:val="1194"/>
    <w:qFormat/>
    <w:pPr>
      <w:ind w:left="360" w:firstLine="2152"/>
      <w:jc w:val="center"/>
    </w:pPr>
    <w:rPr>
      <w:rFonts w:ascii="Calibri" w:hAnsi="Calibri"/>
    </w:rPr>
  </w:style>
  <w:style w:type="paragraph" w:styleId="1194" w:customStyle="1">
    <w:name w:val="列表编号 41"/>
    <w:basedOn w:val="1005"/>
    <w:next w:val="1195"/>
    <w:qFormat/>
    <w:pPr>
      <w:ind w:left="1620" w:firstLine="2712"/>
      <w:spacing w:before="0" w:after="0" w:line="360" w:lineRule="auto"/>
    </w:pPr>
    <w:rPr>
      <w:rFonts w:ascii="Times New Roman" w:hAnsi="Times New Roman" w:cs="Times New Roman"/>
    </w:rPr>
  </w:style>
  <w:style w:type="paragraph" w:styleId="1195" w:customStyle="1">
    <w:name w:val="项目符0"/>
    <w:basedOn w:val="1005"/>
    <w:next w:val="1196"/>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qFormat/>
    <w:pPr>
      <w:ind w:firstLine="5632"/>
      <w:widowControl w:val="off"/>
    </w:pPr>
    <w:rPr>
      <w:rFonts w:ascii="Calibri" w:hAnsi="Calibri"/>
    </w:rPr>
  </w:style>
  <w:style w:type="paragraph" w:styleId="1197" w:customStyle="1">
    <w:name w:val="Item Step in Table"/>
    <w:next w:val="1198"/>
    <w:qFormat/>
    <w:pPr>
      <w:ind w:left="397" w:firstLine="3699"/>
      <w:jc w:val="both"/>
      <w:spacing w:before="40" w:after="40"/>
    </w:pPr>
    <w:rPr>
      <w:rFonts w:ascii="Calibri" w:hAnsi="Calibri"/>
    </w:rPr>
  </w:style>
  <w:style w:type="paragraph" w:styleId="1198" w:customStyle="1">
    <w:name w:val="Char Char Char Char Char Char1 Char Char Char Char Char Char"/>
    <w:basedOn w:val="1005"/>
    <w:next w:val="1199"/>
    <w:qFormat/>
    <w:pPr>
      <w:ind w:left="0" w:firstLine="2560"/>
      <w:spacing w:before="0" w:after="0" w:line="240" w:lineRule="auto"/>
    </w:pPr>
    <w:rPr>
      <w:rFonts w:ascii="Times New Roman" w:hAnsi="Times New Roman" w:cs="Times New Roman"/>
    </w:rPr>
  </w:style>
  <w:style w:type="paragraph" w:styleId="1199" w:customStyle="1">
    <w:name w:val="Char Char1"/>
    <w:basedOn w:val="1005"/>
    <w:next w:val="120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1008"/>
    <w:next w:val="1063"/>
    <w:qFormat/>
    <w:pPr>
      <w:ind w:left="200" w:firstLine="18"/>
      <w:spacing w:before="0" w:after="0" w:line="360" w:lineRule="auto"/>
      <w:outlineLvl w:val="2"/>
    </w:pPr>
  </w:style>
  <w:style w:type="paragraph" w:styleId="1201" w:customStyle="1">
    <w:name w:val="xl76"/>
    <w:basedOn w:val="1005"/>
    <w:next w:val="1060"/>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1005"/>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1005"/>
    <w:next w:val="1043"/>
    <w:qFormat/>
    <w:pPr>
      <w:ind w:left="0" w:firstLine="2560"/>
      <w:spacing w:before="0" w:after="0" w:line="240" w:lineRule="auto"/>
    </w:pPr>
    <w:rPr>
      <w:rFonts w:ascii="Times New Roman" w:hAnsi="Times New Roman" w:cs="Times New Roman"/>
    </w:rPr>
  </w:style>
  <w:style w:type="paragraph" w:styleId="1204" w:customStyle="1">
    <w:name w:val="纯文本2"/>
    <w:basedOn w:val="1005"/>
    <w:next w:val="1205"/>
    <w:qFormat/>
    <w:pPr>
      <w:ind w:left="0" w:firstLine="3584"/>
      <w:spacing w:before="0" w:after="0" w:line="240" w:lineRule="auto"/>
    </w:pPr>
    <w:rPr>
      <w:rFonts w:ascii="Times New Roman" w:hAnsi="Times New Roman" w:cs="Times New Roman"/>
    </w:rPr>
  </w:style>
  <w:style w:type="paragraph" w:styleId="1205" w:customStyle="1">
    <w:name w:val="xl69"/>
    <w:basedOn w:val="1005"/>
    <w:next w:val="1206"/>
    <w:qFormat/>
    <w:pPr>
      <w:ind w:left="0" w:firstLine="3584"/>
      <w:spacing w:before="280" w:after="280" w:line="240" w:lineRule="auto"/>
    </w:pPr>
    <w:rPr>
      <w:rFonts w:ascii="Times New Roman" w:hAnsi="Times New Roman" w:cs="Times New Roman"/>
    </w:rPr>
  </w:style>
  <w:style w:type="paragraph" w:styleId="1206" w:customStyle="1">
    <w:name w:val="Char Char Char"/>
    <w:basedOn w:val="1005"/>
    <w:next w:val="1207"/>
    <w:qFormat/>
    <w:pPr>
      <w:ind w:left="0" w:firstLine="2560"/>
      <w:spacing w:before="0" w:after="0" w:line="240" w:lineRule="auto"/>
    </w:pPr>
    <w:rPr>
      <w:rFonts w:ascii="Times New Roman" w:hAnsi="Times New Roman" w:cs="Times New Roman"/>
    </w:rPr>
  </w:style>
  <w:style w:type="paragraph" w:styleId="1207" w:customStyle="1">
    <w:name w:val="表格"/>
    <w:basedOn w:val="1005"/>
    <w:next w:val="1202"/>
    <w:qFormat/>
    <w:pPr>
      <w:ind w:left="0" w:firstLine="2560"/>
      <w:spacing w:before="0" w:after="0" w:line="360" w:lineRule="auto"/>
    </w:pPr>
    <w:rPr>
      <w:rFonts w:ascii="Times New Roman" w:hAnsi="Times New Roman" w:cs="Times New Roman"/>
    </w:rPr>
  </w:style>
  <w:style w:type="paragraph" w:styleId="1208" w:customStyle="1">
    <w:name w:val="xl68"/>
    <w:basedOn w:val="1005"/>
    <w:next w:val="1209"/>
    <w:qFormat/>
    <w:pPr>
      <w:ind w:left="100" w:firstLine="5220"/>
      <w:spacing w:before="280" w:after="280" w:line="240" w:lineRule="auto"/>
    </w:pPr>
    <w:rPr>
      <w:rFonts w:ascii="Times New Roman" w:hAnsi="Times New Roman" w:cs="Times New Roman"/>
    </w:rPr>
  </w:style>
  <w:style w:type="paragraph" w:styleId="1209" w:customStyle="1">
    <w:name w:val="Char1"/>
    <w:basedOn w:val="1005"/>
    <w:next w:val="121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1005"/>
    <w:next w:val="1211"/>
    <w:qFormat/>
    <w:pPr>
      <w:ind w:left="437" w:firstLine="2741"/>
      <w:spacing w:before="0" w:after="0" w:line="360" w:lineRule="auto"/>
    </w:pPr>
    <w:rPr>
      <w:rFonts w:ascii="Times New Roman" w:hAnsi="Times New Roman" w:cs="Times New Roman"/>
    </w:rPr>
  </w:style>
  <w:style w:type="paragraph" w:styleId="1211" w:customStyle="1">
    <w:name w:val="xl74"/>
    <w:basedOn w:val="1005"/>
    <w:next w:val="1212"/>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1005"/>
    <w:next w:val="1213"/>
    <w:qFormat/>
    <w:pPr>
      <w:ind w:left="0" w:firstLine="5120"/>
      <w:spacing w:before="280" w:after="280" w:line="240" w:lineRule="auto"/>
    </w:pPr>
    <w:rPr>
      <w:rFonts w:ascii="Times New Roman" w:hAnsi="Times New Roman" w:cs="Times New Roman"/>
    </w:rPr>
  </w:style>
  <w:style w:type="paragraph" w:styleId="1213" w:customStyle="1">
    <w:name w:val="xl70"/>
    <w:basedOn w:val="1005"/>
    <w:next w:val="1059"/>
    <w:qFormat/>
    <w:pPr>
      <w:ind w:left="0" w:firstLine="1024"/>
      <w:spacing w:before="280" w:after="280" w:line="240" w:lineRule="auto"/>
    </w:pPr>
    <w:rPr>
      <w:rFonts w:ascii="Times New Roman" w:hAnsi="Times New Roman" w:cs="Times New Roman"/>
    </w:rPr>
  </w:style>
  <w:style w:type="paragraph" w:styleId="1214" w:customStyle="1">
    <w:name w:val="文档标题5"/>
    <w:basedOn w:val="1010"/>
    <w:next w:val="1004"/>
    <w:qFormat/>
    <w:pPr>
      <w:ind w:left="992" w:firstLine="18"/>
      <w:spacing w:before="280" w:after="280" w:line="360" w:lineRule="auto"/>
      <w:outlineLvl w:val="4"/>
    </w:pPr>
  </w:style>
  <w:style w:type="paragraph" w:styleId="1215" w:customStyle="1">
    <w:name w:val="样式 加粗 居中"/>
    <w:basedOn w:val="1005"/>
    <w:next w:val="1216"/>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qFormat/>
    <w:pPr>
      <w:ind w:firstLine="14"/>
      <w:spacing w:line="360" w:lineRule="auto"/>
      <w:shd w:val="clear" w:color="000000" w:fill="000080"/>
    </w:pPr>
    <w:rPr>
      <w:rFonts w:ascii="Calibri" w:hAnsi="Calibri"/>
    </w:rPr>
  </w:style>
  <w:style w:type="paragraph" w:styleId="1217" w:customStyle="1">
    <w:name w:val="正文文本缩进1"/>
    <w:basedOn w:val="1005"/>
    <w:next w:val="1218"/>
    <w:qFormat/>
    <w:pPr>
      <w:ind w:left="420" w:firstLine="3584"/>
      <w:spacing w:before="0" w:after="120" w:line="240" w:lineRule="auto"/>
    </w:pPr>
    <w:rPr>
      <w:rFonts w:ascii="Times New Roman" w:hAnsi="Times New Roman" w:cs="Times New Roman"/>
    </w:rPr>
  </w:style>
  <w:style w:type="paragraph" w:styleId="1218" w:customStyle="1">
    <w:name w:val="列表编号 31"/>
    <w:basedOn w:val="1005"/>
    <w:next w:val="1061"/>
    <w:qFormat/>
    <w:pPr>
      <w:ind w:left="1200" w:firstLine="2712"/>
      <w:spacing w:before="0" w:after="0" w:line="360" w:lineRule="auto"/>
    </w:pPr>
    <w:rPr>
      <w:rFonts w:ascii="Times New Roman" w:hAnsi="Times New Roman" w:cs="Times New Roman"/>
    </w:rPr>
  </w:style>
  <w:style w:type="paragraph" w:styleId="1219" w:customStyle="1">
    <w:name w:val="三号 居中"/>
    <w:basedOn w:val="1005"/>
    <w:next w:val="122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1005"/>
    <w:next w:val="1221"/>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1005"/>
    <w:next w:val="1222"/>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1005"/>
    <w:next w:val="1223"/>
    <w:qFormat/>
    <w:pPr>
      <w:ind w:left="0" w:firstLine="2560"/>
      <w:spacing w:before="0" w:after="0" w:line="240" w:lineRule="auto"/>
    </w:pPr>
    <w:rPr>
      <w:rFonts w:ascii="Times New Roman" w:hAnsi="Times New Roman" w:cs="Times New Roman"/>
    </w:rPr>
  </w:style>
  <w:style w:type="paragraph" w:styleId="1223" w:customStyle="1">
    <w:name w:val="正文符号4"/>
    <w:basedOn w:val="1005"/>
    <w:next w:val="1215"/>
    <w:qFormat/>
    <w:pPr>
      <w:ind w:left="0" w:firstLine="5632"/>
      <w:spacing w:before="0" w:after="0" w:line="240" w:lineRule="auto"/>
    </w:pPr>
    <w:rPr>
      <w:rFonts w:ascii="Times New Roman" w:hAnsi="Times New Roman" w:cs="Times New Roman"/>
    </w:rPr>
  </w:style>
  <w:style w:type="paragraph" w:styleId="1224" w:customStyle="1">
    <w:name w:val="加粗（居中）"/>
    <w:next w:val="1225"/>
    <w:qFormat/>
    <w:pPr>
      <w:ind w:firstLine="2560"/>
    </w:pPr>
    <w:rPr>
      <w:rFonts w:ascii="Calibri" w:hAnsi="Calibri"/>
    </w:rPr>
  </w:style>
  <w:style w:type="paragraph" w:styleId="1225" w:customStyle="1">
    <w:name w:val="xl65"/>
    <w:basedOn w:val="1005"/>
    <w:next w:val="1185"/>
    <w:qFormat/>
    <w:pPr>
      <w:ind w:left="0" w:firstLine="5120"/>
      <w:spacing w:before="280" w:after="280" w:line="240" w:lineRule="auto"/>
    </w:pPr>
    <w:rPr>
      <w:rFonts w:ascii="Times New Roman" w:hAnsi="Times New Roman" w:cs="Times New Roman"/>
    </w:rPr>
  </w:style>
  <w:style w:type="paragraph" w:styleId="1226" w:customStyle="1">
    <w:name w:val="WPSOffice手动目录 3"/>
    <w:qFormat/>
    <w:pPr>
      <w:ind w:left="400"/>
    </w:pPr>
  </w:style>
  <w:style w:type="paragraph" w:styleId="1227" w:customStyle="1">
    <w:name w:val="xl77"/>
    <w:basedOn w:val="1005"/>
    <w:next w:val="1228"/>
    <w:qFormat/>
    <w:pPr>
      <w:ind w:left="0" w:firstLine="3584"/>
      <w:spacing w:before="280" w:after="280" w:line="240" w:lineRule="auto"/>
    </w:pPr>
    <w:rPr>
      <w:rFonts w:ascii="Times New Roman" w:hAnsi="Times New Roman" w:cs="Times New Roman"/>
    </w:rPr>
  </w:style>
  <w:style w:type="paragraph" w:styleId="1228" w:customStyle="1">
    <w:name w:val="Char Char Char1"/>
    <w:basedOn w:val="1005"/>
    <w:next w:val="1229"/>
    <w:qFormat/>
    <w:pPr>
      <w:ind w:left="900" w:firstLine="2096"/>
      <w:spacing w:before="0" w:after="0" w:line="240" w:lineRule="auto"/>
    </w:pPr>
    <w:rPr>
      <w:rFonts w:ascii="Times New Roman" w:hAnsi="Times New Roman" w:cs="Times New Roman"/>
    </w:rPr>
  </w:style>
  <w:style w:type="paragraph" w:styleId="1229" w:customStyle="1">
    <w:name w:val="索引 21"/>
    <w:basedOn w:val="1005"/>
    <w:next w:val="1004"/>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qFormat/>
    <w:pPr>
      <w:ind w:left="480" w:firstLine="2784"/>
      <w:jc w:val="center"/>
      <w:spacing w:line="300" w:lineRule="auto"/>
    </w:pPr>
    <w:rPr>
      <w:rFonts w:ascii="Calibri" w:hAnsi="Calibri"/>
    </w:rPr>
  </w:style>
  <w:style w:type="paragraph" w:styleId="1231" w:customStyle="1">
    <w:name w:val="xl28"/>
    <w:basedOn w:val="1005"/>
    <w:next w:val="1232"/>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1005"/>
    <w:next w:val="1233"/>
    <w:qFormat/>
    <w:pPr>
      <w:ind w:left="0" w:firstLine="3584"/>
      <w:spacing w:before="0" w:after="0" w:line="253" w:lineRule="atLeast"/>
    </w:pPr>
    <w:rPr>
      <w:rFonts w:ascii="Times New Roman" w:hAnsi="Times New Roman" w:cs="Times New Roman"/>
    </w:rPr>
  </w:style>
  <w:style w:type="paragraph" w:styleId="1233" w:customStyle="1">
    <w:name w:val="项目符号：一级"/>
    <w:basedOn w:val="1005"/>
    <w:next w:val="1004"/>
    <w:qFormat/>
    <w:pPr>
      <w:ind w:left="425" w:firstLine="1111"/>
      <w:spacing w:before="0" w:after="0" w:line="360" w:lineRule="auto"/>
    </w:pPr>
    <w:rPr>
      <w:rFonts w:ascii="Times New Roman" w:hAnsi="Times New Roman" w:cs="Times New Roman"/>
    </w:rPr>
  </w:style>
  <w:style w:type="paragraph" w:styleId="1234" w:customStyle="1">
    <w:name w:val="Default"/>
    <w:next w:val="1039"/>
    <w:qFormat/>
    <w:pPr>
      <w:ind w:firstLine="5120"/>
      <w:widowControl w:val="off"/>
    </w:pPr>
    <w:rPr>
      <w:rFonts w:ascii="Calibri" w:hAnsi="Calibri"/>
    </w:rPr>
  </w:style>
  <w:style w:type="paragraph" w:styleId="1235" w:customStyle="1">
    <w:name w:val="xl84"/>
    <w:basedOn w:val="1005"/>
    <w:next w:val="1236"/>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1007"/>
    <w:next w:val="1237"/>
    <w:qFormat/>
    <w:pPr>
      <w:ind w:left="0" w:firstLine="24"/>
      <w:jc w:val="center"/>
      <w:spacing w:before="0" w:after="0" w:line="360" w:lineRule="auto"/>
      <w:outlineLvl w:val="1"/>
    </w:pPr>
  </w:style>
  <w:style w:type="paragraph" w:styleId="1237" w:customStyle="1">
    <w:name w:val="应答文本"/>
    <w:basedOn w:val="1005"/>
    <w:next w:val="1238"/>
    <w:qFormat/>
    <w:pPr>
      <w:ind w:left="1296" w:firstLine="2112"/>
      <w:spacing w:before="0" w:after="0" w:line="460" w:lineRule="exact"/>
    </w:pPr>
    <w:rPr>
      <w:rFonts w:ascii="Times New Roman" w:hAnsi="Times New Roman" w:cs="Times New Roman"/>
    </w:rPr>
  </w:style>
  <w:style w:type="paragraph" w:styleId="1238" w:customStyle="1">
    <w:name w:val="引文目录1"/>
    <w:basedOn w:val="1005"/>
    <w:next w:val="1004"/>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1004"/>
    <w:qFormat/>
    <w:pPr>
      <w:ind w:firstLine="480"/>
    </w:pPr>
    <w:rPr>
      <w:rFonts w:ascii="Times New Roman" w:hAnsi="Times New Roman" w:cs="Times New Roman"/>
      <w:lang w:val="zh-CN"/>
    </w:rPr>
  </w:style>
  <w:style w:type="paragraph" w:styleId="1240" w:customStyle="1">
    <w:name w:val="font9"/>
    <w:basedOn w:val="1005"/>
    <w:next w:val="1241"/>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1008"/>
    <w:next w:val="1242"/>
    <w:qFormat/>
    <w:pPr>
      <w:ind w:left="0"/>
      <w:spacing w:before="0" w:after="0" w:line="400" w:lineRule="exact"/>
      <w:outlineLvl w:val="2"/>
    </w:pPr>
  </w:style>
  <w:style w:type="paragraph" w:styleId="1242" w:customStyle="1">
    <w:name w:val="标书正文"/>
    <w:basedOn w:val="1005"/>
    <w:next w:val="1243"/>
    <w:qFormat/>
    <w:pPr>
      <w:ind w:left="440" w:right="100" w:firstLine="2760"/>
      <w:spacing w:before="0" w:after="0" w:line="360" w:lineRule="auto"/>
    </w:pPr>
    <w:rPr>
      <w:rFonts w:ascii="Times New Roman" w:hAnsi="Times New Roman" w:cs="Times New Roman"/>
    </w:rPr>
  </w:style>
  <w:style w:type="paragraph" w:styleId="1243" w:customStyle="1">
    <w:name w:val="xl67"/>
    <w:basedOn w:val="1005"/>
    <w:next w:val="1244"/>
    <w:qFormat/>
    <w:pPr>
      <w:ind w:left="0" w:firstLine="5120"/>
      <w:spacing w:before="280" w:after="280" w:line="240" w:lineRule="auto"/>
    </w:pPr>
    <w:rPr>
      <w:rFonts w:ascii="Times New Roman" w:hAnsi="Times New Roman" w:cs="Times New Roman"/>
    </w:rPr>
  </w:style>
  <w:style w:type="paragraph" w:styleId="1244" w:customStyle="1">
    <w:name w:val="索引 61"/>
    <w:basedOn w:val="1005"/>
    <w:next w:val="1004"/>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1005"/>
    <w:next w:val="1004"/>
    <w:qFormat/>
    <w:pPr>
      <w:ind w:left="419" w:firstLine="5283"/>
      <w:spacing w:before="0" w:after="0" w:line="317" w:lineRule="atLeast"/>
    </w:pPr>
    <w:rPr>
      <w:rFonts w:ascii="Times New Roman" w:hAnsi="Times New Roman" w:cs="Times New Roman"/>
    </w:rPr>
  </w:style>
  <w:style w:type="paragraph" w:styleId="1246" w:customStyle="1">
    <w:name w:val="xl90"/>
    <w:basedOn w:val="1005"/>
    <w:next w:val="1247"/>
    <w:qFormat/>
    <w:pPr>
      <w:ind w:left="0" w:firstLine="3584"/>
      <w:spacing w:before="280" w:after="280" w:line="240" w:lineRule="auto"/>
    </w:pPr>
    <w:rPr>
      <w:rFonts w:ascii="Times New Roman" w:hAnsi="Times New Roman" w:cs="Times New Roman"/>
    </w:rPr>
  </w:style>
  <w:style w:type="paragraph" w:styleId="1247" w:customStyle="1">
    <w:name w:val="列表框1"/>
    <w:next w:val="1238"/>
    <w:qFormat/>
    <w:pPr>
      <w:ind w:firstLine="2048"/>
      <w:spacing w:line="460" w:lineRule="exact"/>
    </w:pPr>
    <w:rPr>
      <w:rFonts w:ascii="Calibri" w:hAnsi="Calibri"/>
    </w:rPr>
  </w:style>
  <w:style w:type="paragraph" w:styleId="1248" w:customStyle="1">
    <w:name w:val="1ji"/>
    <w:basedOn w:val="1006"/>
    <w:next w:val="1227"/>
    <w:qFormat/>
    <w:pPr>
      <w:ind w:left="0" w:firstLine="18"/>
      <w:jc w:val="center"/>
      <w:spacing w:before="0" w:after="0" w:line="240" w:lineRule="auto"/>
      <w:outlineLvl w:val="0"/>
    </w:pPr>
  </w:style>
  <w:style w:type="paragraph" w:styleId="1249" w:customStyle="1">
    <w:name w:val="索引 81"/>
    <w:basedOn w:val="1005"/>
    <w:next w:val="1004"/>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1004"/>
    <w:next w:val="1004"/>
    <w:qFormat/>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1005"/>
    <w:next w:val="1252"/>
    <w:qFormat/>
    <w:pPr>
      <w:ind w:left="0" w:firstLine="2560"/>
      <w:spacing w:before="0" w:after="0" w:line="240" w:lineRule="auto"/>
    </w:pPr>
    <w:rPr>
      <w:rFonts w:ascii="Times New Roman" w:hAnsi="Times New Roman" w:cs="Times New Roman"/>
    </w:rPr>
  </w:style>
  <w:style w:type="paragraph" w:styleId="1252" w:customStyle="1">
    <w:name w:val="样式 加粗 居中11"/>
    <w:basedOn w:val="1005"/>
    <w:next w:val="1253"/>
    <w:qFormat/>
    <w:pPr>
      <w:ind w:left="0" w:firstLine="2560"/>
      <w:jc w:val="center"/>
      <w:spacing w:before="0" w:after="0" w:line="360" w:lineRule="auto"/>
    </w:pPr>
    <w:rPr>
      <w:rFonts w:ascii="Times New Roman" w:hAnsi="Times New Roman" w:cs="Times New Roman"/>
    </w:rPr>
  </w:style>
  <w:style w:type="paragraph" w:styleId="1253" w:customStyle="1">
    <w:name w:val="xl89"/>
    <w:basedOn w:val="100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1005"/>
    <w:next w:val="1255"/>
    <w:qFormat/>
    <w:pPr>
      <w:ind w:left="0" w:firstLine="2560"/>
      <w:spacing w:before="0" w:after="0" w:line="240" w:lineRule="auto"/>
    </w:pPr>
    <w:rPr>
      <w:rFonts w:ascii="Times New Roman" w:hAnsi="Times New Roman" w:cs="Times New Roman"/>
    </w:rPr>
  </w:style>
  <w:style w:type="paragraph" w:styleId="1255" w:customStyle="1">
    <w:name w:val="文章附标题"/>
    <w:basedOn w:val="1005"/>
    <w:next w:val="1005"/>
    <w:qFormat/>
    <w:pPr>
      <w:ind w:left="0" w:firstLine="5120"/>
      <w:jc w:val="center"/>
      <w:spacing w:before="187" w:after="175" w:line="374" w:lineRule="atLeast"/>
    </w:pPr>
    <w:rPr>
      <w:rFonts w:ascii="Times New Roman" w:hAnsi="Times New Roman" w:cs="Times New Roman"/>
    </w:rPr>
  </w:style>
  <w:style w:type="paragraph" w:styleId="1256">
    <w:name w:val="Quote"/>
    <w:next w:val="1004"/>
    <w:qFormat/>
    <w:pPr>
      <w:ind w:left="3680" w:right="864"/>
      <w:jc w:val="center"/>
      <w:spacing w:before="200" w:after="160"/>
    </w:pPr>
    <w:rPr>
      <w:rFonts w:ascii="Calibri" w:hAnsi="Calibri"/>
      <w:i/>
    </w:rPr>
  </w:style>
  <w:style w:type="paragraph" w:styleId="1257" w:customStyle="1">
    <w:name w:val="Default Paragraph Font Para Char Char Char Char Char Char"/>
    <w:basedOn w:val="1005"/>
    <w:next w:val="1258"/>
    <w:qFormat/>
    <w:pPr>
      <w:ind w:left="0" w:firstLine="3584"/>
      <w:spacing w:before="0" w:after="160" w:line="240" w:lineRule="exact"/>
    </w:pPr>
    <w:rPr>
      <w:rFonts w:ascii="Times New Roman" w:hAnsi="Times New Roman" w:cs="Times New Roman"/>
    </w:rPr>
  </w:style>
  <w:style w:type="paragraph" w:styleId="1258" w:customStyle="1">
    <w:name w:val="xl23"/>
    <w:basedOn w:val="1005"/>
    <w:next w:val="1041"/>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1005"/>
    <w:next w:val="126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1007"/>
    <w:next w:val="1261"/>
    <w:qFormat/>
    <w:pPr>
      <w:ind w:left="0" w:firstLine="24"/>
      <w:jc w:val="center"/>
      <w:spacing w:line="412" w:lineRule="auto"/>
      <w:outlineLvl w:val="1"/>
    </w:pPr>
  </w:style>
  <w:style w:type="paragraph" w:styleId="1261" w:customStyle="1">
    <w:name w:val="页脚 Char Char"/>
    <w:basedOn w:val="1005"/>
    <w:next w:val="1262"/>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1006"/>
    <w:next w:val="1263"/>
    <w:qFormat/>
    <w:pPr>
      <w:ind w:left="0" w:firstLine="18"/>
      <w:jc w:val="center"/>
      <w:spacing w:before="120" w:after="0" w:line="360" w:lineRule="auto"/>
      <w:outlineLvl w:val="0"/>
    </w:pPr>
  </w:style>
  <w:style w:type="paragraph" w:styleId="1263" w:customStyle="1">
    <w:name w:val="Char1 Char Char Char Char Char Char"/>
    <w:basedOn w:val="1005"/>
    <w:next w:val="1264"/>
    <w:qFormat/>
    <w:pPr>
      <w:ind w:left="0" w:firstLine="2560"/>
      <w:spacing w:before="0" w:after="0" w:line="240" w:lineRule="auto"/>
    </w:pPr>
    <w:rPr>
      <w:rFonts w:ascii="Times New Roman" w:hAnsi="Times New Roman" w:cs="Times New Roman"/>
    </w:rPr>
  </w:style>
  <w:style w:type="paragraph" w:styleId="1264" w:customStyle="1">
    <w:name w:val="文档标题4"/>
    <w:basedOn w:val="1009"/>
    <w:next w:val="1004"/>
    <w:qFormat/>
    <w:pPr>
      <w:ind w:left="851" w:firstLine="30"/>
      <w:spacing w:after="280" w:line="360" w:lineRule="auto"/>
      <w:outlineLvl w:val="3"/>
    </w:pPr>
  </w:style>
  <w:style w:type="paragraph" w:styleId="1265" w:customStyle="1">
    <w:name w:val="font0"/>
    <w:basedOn w:val="1005"/>
    <w:next w:val="1240"/>
    <w:qFormat/>
    <w:pPr>
      <w:ind w:left="0" w:firstLine="1024"/>
      <w:spacing w:before="280" w:after="280" w:line="240" w:lineRule="auto"/>
    </w:pPr>
    <w:rPr>
      <w:rFonts w:ascii="Times New Roman" w:hAnsi="Times New Roman" w:cs="Times New Roman"/>
    </w:rPr>
  </w:style>
  <w:style w:type="paragraph" w:styleId="1266" w:customStyle="1">
    <w:name w:val="CM5"/>
    <w:basedOn w:val="1005"/>
    <w:next w:val="1004"/>
    <w:qFormat/>
    <w:pPr>
      <w:ind w:left="200" w:firstLine="2760"/>
      <w:spacing w:before="0" w:after="0" w:line="400" w:lineRule="atLeast"/>
    </w:pPr>
    <w:rPr>
      <w:rFonts w:ascii="Times New Roman" w:hAnsi="Times New Roman" w:cs="Times New Roman"/>
    </w:rPr>
  </w:style>
  <w:style w:type="paragraph" w:styleId="1267" w:customStyle="1">
    <w:name w:val="Pa0"/>
    <w:basedOn w:val="1005"/>
    <w:next w:val="1004"/>
    <w:qFormat/>
    <w:pPr>
      <w:ind w:left="0" w:firstLine="4608"/>
      <w:spacing w:before="0" w:after="0" w:line="241" w:lineRule="atLeast"/>
    </w:pPr>
    <w:rPr>
      <w:rFonts w:ascii="Times New Roman" w:hAnsi="Times New Roman" w:cs="Times New Roman"/>
    </w:rPr>
  </w:style>
  <w:style w:type="paragraph" w:styleId="1268" w:customStyle="1">
    <w:name w:val="招标文件》"/>
    <w:basedOn w:val="1005"/>
    <w:next w:val="1204"/>
    <w:qFormat/>
    <w:pPr>
      <w:ind w:left="420" w:firstLine="2140"/>
      <w:spacing w:before="120" w:after="120" w:line="300" w:lineRule="auto"/>
    </w:pPr>
    <w:rPr>
      <w:rFonts w:ascii="Times New Roman" w:hAnsi="Times New Roman" w:cs="Times New Roman"/>
    </w:rPr>
  </w:style>
  <w:style w:type="paragraph" w:styleId="1269" w:customStyle="1">
    <w:name w:val="段"/>
    <w:next w:val="1004"/>
    <w:qFormat/>
    <w:pPr>
      <w:ind w:firstLine="200"/>
      <w:jc w:val="both"/>
      <w:spacing w:line="360" w:lineRule="auto"/>
    </w:pPr>
    <w:rPr>
      <w:sz w:val="24"/>
      <w:szCs w:val="22"/>
    </w:rPr>
  </w:style>
  <w:style w:type="paragraph" w:styleId="1270" w:customStyle="1">
    <w:name w:val="标书_正文"/>
    <w:basedOn w:val="1005"/>
    <w:next w:val="1271"/>
    <w:qFormat/>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1007"/>
    <w:next w:val="1219"/>
    <w:qFormat/>
    <w:pPr>
      <w:ind w:left="0" w:firstLine="24"/>
      <w:spacing w:before="100" w:after="0" w:line="400" w:lineRule="exact"/>
      <w:outlineLvl w:val="1"/>
    </w:pPr>
  </w:style>
  <w:style w:type="paragraph" w:styleId="1272" w:customStyle="1">
    <w:name w:val="图片0"/>
    <w:basedOn w:val="1005"/>
    <w:next w:val="1052"/>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1005"/>
    <w:next w:val="1245"/>
    <w:qFormat/>
    <w:pPr>
      <w:ind w:left="560" w:firstLine="3632"/>
      <w:spacing w:before="0" w:after="160" w:line="240" w:lineRule="exact"/>
    </w:pPr>
    <w:rPr>
      <w:rFonts w:ascii="Times New Roman" w:hAnsi="Times New Roman" w:cs="Times New Roman"/>
    </w:rPr>
  </w:style>
  <w:style w:type="paragraph" w:styleId="1274" w:customStyle="1">
    <w:name w:val="Char Char Char Char"/>
    <w:next w:val="1275"/>
    <w:qFormat/>
    <w:pPr>
      <w:ind w:firstLine="10"/>
      <w:spacing w:line="360" w:lineRule="auto"/>
      <w:shd w:val="clear" w:color="000000" w:fill="000080"/>
    </w:pPr>
    <w:rPr>
      <w:rFonts w:ascii="Calibri" w:hAnsi="Calibri"/>
    </w:rPr>
  </w:style>
  <w:style w:type="paragraph" w:styleId="1275" w:customStyle="1">
    <w:name w:val="杨昂超式样黑体主"/>
    <w:basedOn w:val="1005"/>
    <w:next w:val="1276"/>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1005"/>
    <w:next w:val="1277"/>
    <w:qFormat/>
    <w:pPr>
      <w:ind w:left="0" w:firstLine="2560"/>
      <w:spacing w:before="0" w:after="0" w:line="240" w:lineRule="auto"/>
    </w:pPr>
    <w:rPr>
      <w:rFonts w:ascii="Times New Roman" w:hAnsi="Times New Roman" w:cs="Times New Roman"/>
    </w:rPr>
  </w:style>
  <w:style w:type="paragraph" w:styleId="1277" w:customStyle="1">
    <w:name w:val="目录1"/>
    <w:basedOn w:val="1005"/>
    <w:next w:val="1004"/>
    <w:qFormat/>
    <w:pPr>
      <w:ind w:left="0" w:firstLine="7168"/>
      <w:spacing w:before="0" w:after="136" w:line="289" w:lineRule="atLeast"/>
    </w:pPr>
    <w:rPr>
      <w:rFonts w:ascii="Times New Roman" w:hAnsi="Times New Roman" w:cs="Times New Roman"/>
    </w:rPr>
  </w:style>
  <w:style w:type="paragraph" w:styleId="1278" w:customStyle="1">
    <w:name w:val="文档结构图1"/>
    <w:basedOn w:val="1005"/>
    <w:next w:val="1279"/>
    <w:qFormat/>
    <w:pPr>
      <w:ind w:left="200" w:firstLine="2248"/>
      <w:spacing w:before="0" w:after="0" w:line="360" w:lineRule="auto"/>
    </w:pPr>
    <w:rPr>
      <w:rFonts w:ascii="Times New Roman" w:hAnsi="Times New Roman" w:cs="Times New Roman"/>
    </w:rPr>
  </w:style>
  <w:style w:type="paragraph" w:styleId="1279" w:customStyle="1">
    <w:name w:val="2ji"/>
    <w:basedOn w:val="1007"/>
    <w:next w:val="1047"/>
    <w:qFormat/>
    <w:pPr>
      <w:ind w:left="0" w:firstLine="24"/>
      <w:spacing w:before="0" w:after="0" w:line="360" w:lineRule="auto"/>
      <w:outlineLvl w:val="1"/>
    </w:pPr>
  </w:style>
  <w:style w:type="paragraph" w:styleId="1280" w:customStyle="1">
    <w:name w:val="xl91"/>
    <w:basedOn w:val="1005"/>
    <w:next w:val="1201"/>
    <w:qFormat/>
    <w:pPr>
      <w:ind w:left="0" w:firstLine="3584"/>
      <w:spacing w:before="280" w:after="280" w:line="240" w:lineRule="auto"/>
    </w:pPr>
    <w:rPr>
      <w:rFonts w:ascii="Times New Roman" w:hAnsi="Times New Roman" w:cs="Times New Roman"/>
    </w:rPr>
  </w:style>
  <w:style w:type="paragraph" w:styleId="1281" w:customStyle="1">
    <w:name w:val="Text Body"/>
    <w:basedOn w:val="1005"/>
    <w:next w:val="1282"/>
    <w:qFormat/>
    <w:pPr>
      <w:ind w:left="0" w:firstLine="4096"/>
      <w:spacing w:before="0" w:after="120" w:line="240" w:lineRule="auto"/>
    </w:pPr>
    <w:rPr>
      <w:rFonts w:ascii="Times New Roman" w:hAnsi="Times New Roman" w:cs="Times New Roman"/>
    </w:rPr>
  </w:style>
  <w:style w:type="paragraph" w:styleId="1282" w:customStyle="1">
    <w:name w:val="项目符1"/>
    <w:basedOn w:val="1005"/>
    <w:next w:val="1283"/>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1005"/>
    <w:next w:val="1004"/>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1008"/>
    <w:next w:val="1285"/>
    <w:qFormat/>
    <w:pPr>
      <w:ind w:left="1429" w:firstLine="18"/>
      <w:spacing w:before="100" w:after="100" w:line="360" w:lineRule="auto"/>
      <w:outlineLvl w:val="2"/>
    </w:pPr>
  </w:style>
  <w:style w:type="paragraph" w:styleId="1285" w:customStyle="1">
    <w:name w:val="xl22"/>
    <w:basedOn w:val="1005"/>
    <w:next w:val="1286"/>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1005"/>
    <w:next w:val="1004"/>
    <w:qFormat/>
    <w:pPr>
      <w:ind w:left="0"/>
      <w:spacing w:before="0" w:after="0" w:line="360" w:lineRule="auto"/>
    </w:pPr>
    <w:rPr>
      <w:rFonts w:ascii="Times New Roman" w:hAnsi="Times New Roman" w:cs="Times New Roman"/>
    </w:rPr>
  </w:style>
  <w:style w:type="paragraph" w:styleId="1287" w:customStyle="1">
    <w:name w:val="xl78"/>
    <w:basedOn w:val="1005"/>
    <w:next w:val="1288"/>
    <w:qFormat/>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qFormat/>
    <w:pPr>
      <w:ind w:firstLine="4608"/>
      <w:jc w:val="center"/>
      <w:spacing w:line="360" w:lineRule="auto"/>
    </w:pPr>
    <w:rPr>
      <w:rFonts w:ascii="Calibri" w:hAnsi="Calibri"/>
    </w:rPr>
  </w:style>
  <w:style w:type="paragraph" w:styleId="1289" w:customStyle="1">
    <w:name w:val="_Style 169"/>
    <w:next w:val="1004"/>
    <w:qFormat/>
    <w:pPr>
      <w:ind w:left="2560"/>
    </w:pPr>
    <w:rPr>
      <w:rFonts w:ascii="Calibri" w:hAnsi="Calibri"/>
    </w:rPr>
  </w:style>
  <w:style w:type="paragraph" w:styleId="1290" w:customStyle="1">
    <w:name w:val="样式 小四 行距: 1.5 倍行距 首行缩进:  2 字符"/>
    <w:basedOn w:val="1005"/>
    <w:next w:val="1235"/>
    <w:qFormat/>
    <w:pPr>
      <w:ind w:left="480" w:firstLine="2784"/>
      <w:spacing w:before="0" w:after="0" w:line="360" w:lineRule="auto"/>
    </w:pPr>
    <w:rPr>
      <w:rFonts w:ascii="Times New Roman" w:hAnsi="Times New Roman" w:cs="Times New Roman"/>
    </w:rPr>
  </w:style>
  <w:style w:type="paragraph" w:styleId="1291" w:customStyle="1">
    <w:name w:val="小节标题"/>
    <w:basedOn w:val="1005"/>
    <w:next w:val="1004"/>
    <w:qFormat/>
    <w:pPr>
      <w:ind w:left="0" w:firstLine="7168"/>
      <w:spacing w:before="175" w:after="102" w:line="351" w:lineRule="atLeast"/>
    </w:pPr>
    <w:rPr>
      <w:rFonts w:ascii="Times New Roman" w:hAnsi="Times New Roman" w:cs="Times New Roman"/>
    </w:rPr>
  </w:style>
  <w:style w:type="paragraph" w:styleId="1292" w:customStyle="1">
    <w:name w:val="TOC 标题2"/>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1005"/>
    <w:next w:val="1294"/>
    <w:qFormat/>
    <w:pPr>
      <w:ind w:left="0" w:firstLine="3584"/>
      <w:spacing w:before="0" w:after="0" w:line="240" w:lineRule="auto"/>
    </w:pPr>
    <w:rPr>
      <w:rFonts w:ascii="Times New Roman" w:hAnsi="Times New Roman" w:cs="Times New Roman"/>
    </w:rPr>
  </w:style>
  <w:style w:type="paragraph" w:styleId="1294" w:customStyle="1">
    <w:name w:val="Char"/>
    <w:basedOn w:val="1005"/>
    <w:next w:val="1273"/>
    <w:qFormat/>
    <w:pPr>
      <w:ind w:left="900" w:firstLine="2608"/>
      <w:spacing w:before="0" w:after="0" w:line="240" w:lineRule="auto"/>
    </w:pPr>
    <w:rPr>
      <w:rFonts w:ascii="Times New Roman" w:hAnsi="Times New Roman" w:cs="Times New Roman"/>
    </w:rPr>
  </w:style>
  <w:style w:type="paragraph" w:styleId="1295" w:customStyle="1">
    <w:name w:val="xl86"/>
    <w:basedOn w:val="1005"/>
    <w:next w:val="1296"/>
    <w:qFormat/>
    <w:pPr>
      <w:ind w:left="0" w:firstLine="5120"/>
      <w:spacing w:before="280" w:after="280" w:line="240" w:lineRule="auto"/>
    </w:pPr>
    <w:rPr>
      <w:rFonts w:ascii="Times New Roman" w:hAnsi="Times New Roman" w:cs="Times New Roman"/>
    </w:rPr>
  </w:style>
  <w:style w:type="paragraph" w:styleId="1296" w:customStyle="1">
    <w:name w:val="索引 71"/>
    <w:basedOn w:val="1005"/>
    <w:next w:val="1004"/>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qFormat/>
    <w:pPr>
      <w:ind w:left="480" w:firstLine="4320"/>
      <w:spacing w:line="440" w:lineRule="exact"/>
    </w:pPr>
    <w:rPr>
      <w:rFonts w:ascii="Calibri" w:hAnsi="Calibri"/>
    </w:rPr>
  </w:style>
  <w:style w:type="paragraph" w:styleId="1298" w:customStyle="1">
    <w:name w:val="4"/>
    <w:basedOn w:val="1005"/>
    <w:next w:val="1017"/>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1005"/>
    <w:next w:val="1284"/>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1005"/>
    <w:next w:val="1301"/>
    <w:qFormat/>
    <w:pPr>
      <w:ind w:left="0" w:firstLine="2560"/>
      <w:spacing w:before="0" w:after="0" w:line="240" w:lineRule="auto"/>
    </w:pPr>
    <w:rPr>
      <w:rFonts w:ascii="Times New Roman" w:hAnsi="Times New Roman" w:cs="Times New Roman"/>
    </w:rPr>
  </w:style>
  <w:style w:type="paragraph" w:styleId="1301" w:customStyle="1">
    <w:name w:val="正文符号1"/>
    <w:basedOn w:val="1005"/>
    <w:next w:val="1302"/>
    <w:qFormat/>
    <w:pPr>
      <w:ind w:left="987" w:firstLine="5724"/>
      <w:spacing w:before="0" w:after="0" w:line="240" w:lineRule="auto"/>
    </w:pPr>
    <w:rPr>
      <w:rFonts w:ascii="Times New Roman" w:hAnsi="Times New Roman" w:cs="Times New Roman"/>
    </w:rPr>
  </w:style>
  <w:style w:type="paragraph" w:styleId="1302" w:customStyle="1">
    <w:name w:val="索引 31"/>
    <w:basedOn w:val="1005"/>
    <w:next w:val="1004"/>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1005"/>
    <w:next w:val="1004"/>
    <w:qFormat/>
    <w:pPr>
      <w:ind w:left="629" w:firstLine="5237"/>
      <w:spacing w:before="0" w:after="0" w:line="317" w:lineRule="atLeast"/>
    </w:pPr>
    <w:rPr>
      <w:rFonts w:ascii="Times New Roman" w:hAnsi="Times New Roman" w:cs="Times New Roman"/>
    </w:rPr>
  </w:style>
  <w:style w:type="paragraph" w:styleId="1304" w:customStyle="1">
    <w:name w:val="p15"/>
    <w:basedOn w:val="1004"/>
    <w:qFormat/>
    <w:pPr>
      <w:ind w:left="0"/>
    </w:pPr>
    <w:rPr>
      <w:rFonts w:ascii="宋体" w:hAnsi="宋体"/>
      <w:sz w:val="28"/>
      <w:szCs w:val="28"/>
    </w:rPr>
  </w:style>
  <w:style w:type="paragraph" w:styleId="1305" w:customStyle="1">
    <w:name w:val="四号 居中"/>
    <w:basedOn w:val="1005"/>
    <w:next w:val="1299"/>
    <w:qFormat/>
    <w:pPr>
      <w:ind w:left="0" w:firstLine="6144"/>
      <w:jc w:val="center"/>
      <w:spacing w:before="0" w:after="0" w:line="360" w:lineRule="auto"/>
    </w:pPr>
    <w:rPr>
      <w:rFonts w:ascii="Times New Roman" w:hAnsi="Times New Roman" w:cs="Times New Roman"/>
    </w:rPr>
  </w:style>
  <w:style w:type="paragraph" w:styleId="1306" w:customStyle="1">
    <w:name w:val="p0"/>
    <w:next w:val="1004"/>
    <w:qFormat/>
    <w:pPr>
      <w:ind w:firstLine="2048"/>
      <w:spacing w:line="360" w:lineRule="auto"/>
    </w:pPr>
    <w:rPr>
      <w:rFonts w:ascii="Calibri" w:hAnsi="Calibri"/>
    </w:rPr>
  </w:style>
  <w:style w:type="paragraph" w:styleId="1307" w:customStyle="1">
    <w:name w:val="列表编号 21"/>
    <w:basedOn w:val="1005"/>
    <w:next w:val="1308"/>
    <w:qFormat/>
    <w:pPr>
      <w:ind w:left="0" w:firstLine="2560"/>
      <w:spacing w:before="0" w:after="0" w:line="360" w:lineRule="auto"/>
    </w:pPr>
    <w:rPr>
      <w:rFonts w:ascii="Times New Roman" w:hAnsi="Times New Roman" w:cs="Times New Roman"/>
    </w:rPr>
  </w:style>
  <w:style w:type="paragraph" w:styleId="1308" w:customStyle="1">
    <w:name w:val="正文文本 21"/>
    <w:basedOn w:val="1005"/>
    <w:next w:val="1189"/>
    <w:qFormat/>
    <w:pPr>
      <w:ind w:left="0" w:firstLine="2560"/>
      <w:jc w:val="center"/>
      <w:spacing w:before="0" w:after="120" w:line="480" w:lineRule="auto"/>
    </w:pPr>
    <w:rPr>
      <w:rFonts w:ascii="Times New Roman" w:hAnsi="Times New Roman" w:cs="Times New Roman"/>
    </w:rPr>
  </w:style>
  <w:style w:type="paragraph" w:styleId="1309" w:customStyle="1">
    <w:name w:val="a2"/>
    <w:basedOn w:val="1005"/>
    <w:next w:val="1044"/>
    <w:qFormat/>
    <w:pPr>
      <w:ind w:left="0" w:firstLine="1024"/>
      <w:spacing w:before="280" w:after="280" w:line="240" w:lineRule="auto"/>
    </w:pPr>
    <w:rPr>
      <w:rFonts w:ascii="Times New Roman" w:hAnsi="Times New Roman" w:cs="Times New Roman"/>
    </w:rPr>
  </w:style>
  <w:style w:type="paragraph" w:styleId="1310" w:customStyle="1">
    <w:name w:val="font8"/>
    <w:basedOn w:val="1005"/>
    <w:next w:val="1234"/>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1005"/>
    <w:next w:val="1312"/>
    <w:qFormat/>
    <w:pPr>
      <w:ind w:left="0" w:firstLine="2560"/>
      <w:spacing w:before="0" w:after="0" w:line="240" w:lineRule="auto"/>
    </w:pPr>
    <w:rPr>
      <w:rFonts w:ascii="Times New Roman" w:hAnsi="Times New Roman" w:cs="Times New Roman"/>
    </w:rPr>
  </w:style>
  <w:style w:type="paragraph" w:styleId="1312" w:customStyle="1">
    <w:name w:val="xl87"/>
    <w:basedOn w:val="1005"/>
    <w:next w:val="1268"/>
    <w:qFormat/>
    <w:pPr>
      <w:ind w:left="0" w:firstLine="5120"/>
      <w:spacing w:before="280" w:after="280" w:line="240" w:lineRule="auto"/>
    </w:pPr>
    <w:rPr>
      <w:rFonts w:ascii="Times New Roman" w:hAnsi="Times New Roman" w:cs="Times New Roman"/>
    </w:rPr>
  </w:style>
  <w:style w:type="paragraph" w:styleId="1313" w:customStyle="1">
    <w:name w:val="444"/>
    <w:basedOn w:val="1005"/>
    <w:next w:val="1026"/>
    <w:qFormat/>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1005"/>
    <w:next w:val="1315"/>
    <w:qFormat/>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qFormat/>
    <w:pPr>
      <w:ind w:left="960" w:firstLine="5120"/>
      <w:spacing w:line="360" w:lineRule="auto"/>
      <w:widowControl w:val="off"/>
    </w:pPr>
    <w:rPr>
      <w:rFonts w:ascii="Calibri" w:hAnsi="Calibri"/>
    </w:rPr>
  </w:style>
  <w:style w:type="paragraph" w:styleId="1316" w:customStyle="1">
    <w:name w:val="文档正文"/>
    <w:basedOn w:val="1005"/>
    <w:next w:val="1317"/>
    <w:qFormat/>
    <w:pPr>
      <w:ind w:left="567" w:firstLine="3639"/>
      <w:spacing w:before="0" w:after="0" w:line="480" w:lineRule="atLeast"/>
    </w:pPr>
    <w:rPr>
      <w:rFonts w:ascii="Times New Roman" w:hAnsi="Times New Roman" w:cs="Times New Roman"/>
    </w:rPr>
  </w:style>
  <w:style w:type="paragraph" w:styleId="1317" w:customStyle="1">
    <w:name w:val="列表框2"/>
    <w:next w:val="1318"/>
    <w:qFormat/>
    <w:pPr>
      <w:ind w:firstLine="2048"/>
      <w:spacing w:line="460" w:lineRule="exact"/>
    </w:pPr>
    <w:rPr>
      <w:rFonts w:ascii="Calibri" w:hAnsi="Calibri"/>
    </w:rPr>
  </w:style>
  <w:style w:type="paragraph" w:styleId="1318" w:customStyle="1">
    <w:name w:val="font10"/>
    <w:basedOn w:val="1005"/>
    <w:next w:val="1037"/>
    <w:qFormat/>
    <w:pPr>
      <w:ind w:left="0" w:firstLine="3584"/>
      <w:spacing w:before="280" w:after="280" w:line="240" w:lineRule="auto"/>
    </w:pPr>
    <w:rPr>
      <w:rFonts w:ascii="Times New Roman" w:hAnsi="Times New Roman" w:cs="Times New Roman"/>
    </w:rPr>
  </w:style>
  <w:style w:type="paragraph" w:styleId="1319" w:customStyle="1">
    <w:name w:val="纯文本1"/>
    <w:basedOn w:val="1005"/>
    <w:next w:val="1049"/>
    <w:qFormat/>
    <w:pPr>
      <w:ind w:left="0" w:firstLine="3584"/>
      <w:spacing w:before="0" w:after="0" w:line="240" w:lineRule="auto"/>
    </w:pPr>
    <w:rPr>
      <w:rFonts w:ascii="Times New Roman" w:hAnsi="Times New Roman" w:cs="Times New Roman"/>
    </w:rPr>
  </w:style>
  <w:style w:type="paragraph" w:styleId="1320" w:customStyle="1">
    <w:name w:val="索引 91"/>
    <w:basedOn w:val="1005"/>
    <w:next w:val="1004"/>
    <w:qFormat/>
    <w:pPr>
      <w:ind w:left="1600" w:firstLine="2560"/>
      <w:jc w:val="center"/>
      <w:spacing w:before="0" w:after="0" w:line="360" w:lineRule="auto"/>
    </w:pPr>
    <w:rPr>
      <w:rFonts w:ascii="Times New Roman" w:hAnsi="Times New Roman" w:cs="Times New Roman"/>
    </w:rPr>
  </w:style>
  <w:style w:type="paragraph" w:styleId="1321" w:customStyle="1">
    <w:name w:val="xl79"/>
    <w:basedOn w:val="1005"/>
    <w:next w:val="1297"/>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qFormat/>
    <w:pPr>
      <w:ind w:firstLine="2560"/>
      <w:jc w:val="center"/>
    </w:pPr>
    <w:rPr>
      <w:rFonts w:ascii="Calibri" w:hAnsi="Calibri"/>
    </w:rPr>
  </w:style>
  <w:style w:type="paragraph" w:styleId="1323" w:customStyle="1">
    <w:name w:val="!方块加粗"/>
    <w:basedOn w:val="1005"/>
    <w:next w:val="1290"/>
    <w:qFormat/>
    <w:pPr>
      <w:ind w:left="600" w:firstLine="5212"/>
      <w:spacing w:before="0" w:after="0" w:line="360" w:lineRule="auto"/>
    </w:pPr>
    <w:rPr>
      <w:rFonts w:ascii="Times New Roman" w:hAnsi="Times New Roman" w:cs="Times New Roman"/>
    </w:rPr>
  </w:style>
  <w:style w:type="paragraph" w:styleId="1324" w:customStyle="1">
    <w:name w:val="xl75"/>
    <w:basedOn w:val="1005"/>
    <w:next w:val="1050"/>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1005"/>
    <w:next w:val="1326"/>
    <w:qFormat/>
    <w:pPr>
      <w:ind w:left="0" w:firstLine="5120"/>
      <w:spacing w:before="280" w:after="280" w:line="240" w:lineRule="auto"/>
    </w:pPr>
    <w:rPr>
      <w:rFonts w:ascii="Times New Roman" w:hAnsi="Times New Roman" w:cs="Times New Roman"/>
    </w:rPr>
  </w:style>
  <w:style w:type="paragraph" w:styleId="1326" w:customStyle="1">
    <w:name w:val="xl25"/>
    <w:basedOn w:val="1005"/>
    <w:next w:val="1327"/>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1005"/>
    <w:next w:val="1328"/>
    <w:qFormat/>
    <w:pPr>
      <w:ind w:left="200" w:firstLine="1224"/>
      <w:spacing w:before="280" w:after="280" w:line="240" w:lineRule="auto"/>
    </w:pPr>
    <w:rPr>
      <w:rFonts w:ascii="Times New Roman" w:hAnsi="Times New Roman" w:cs="Times New Roman"/>
    </w:rPr>
  </w:style>
  <w:style w:type="paragraph" w:styleId="1328" w:customStyle="1">
    <w:name w:val="xl27"/>
    <w:basedOn w:val="1005"/>
    <w:next w:val="1314"/>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1009"/>
    <w:next w:val="1330"/>
    <w:qFormat/>
    <w:pPr>
      <w:ind w:left="426" w:firstLine="24"/>
      <w:spacing w:before="0" w:after="0" w:line="360" w:lineRule="auto"/>
      <w:outlineLvl w:val="3"/>
    </w:pPr>
  </w:style>
  <w:style w:type="paragraph" w:styleId="1330" w:customStyle="1">
    <w:name w:val="xl82"/>
    <w:basedOn w:val="1005"/>
    <w:next w:val="1325"/>
    <w:qFormat/>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qFormat/>
    <w:pPr>
      <w:ind w:firstLine="14"/>
      <w:jc w:val="both"/>
      <w:shd w:val="clear" w:color="000000" w:fill="000080"/>
      <w:widowControl w:val="off"/>
    </w:pPr>
    <w:rPr>
      <w:rFonts w:ascii="Calibri" w:hAnsi="Calibri"/>
    </w:rPr>
  </w:style>
  <w:style w:type="paragraph" w:styleId="1332" w:customStyle="1">
    <w:name w:val="Char Char Char Char Char Char1 Char Char Char1 Char Char Char Char Char Char Char Char Char Char Char Char Char Char Char"/>
    <w:basedOn w:val="1005"/>
    <w:next w:val="1333"/>
    <w:qFormat/>
    <w:pPr>
      <w:ind w:left="0" w:firstLine="2560"/>
      <w:spacing w:before="0" w:after="0" w:line="240" w:lineRule="auto"/>
    </w:pPr>
    <w:rPr>
      <w:rFonts w:ascii="Times New Roman" w:hAnsi="Times New Roman" w:cs="Times New Roman"/>
    </w:rPr>
  </w:style>
  <w:style w:type="paragraph" w:styleId="1333" w:customStyle="1">
    <w:name w:val="样式1"/>
    <w:basedOn w:val="1005"/>
    <w:next w:val="1334"/>
    <w:qFormat/>
    <w:pPr>
      <w:ind w:left="0" w:firstLine="1536"/>
      <w:spacing w:before="120" w:after="120" w:line="300" w:lineRule="auto"/>
    </w:pPr>
    <w:rPr>
      <w:rFonts w:ascii="Times New Roman" w:hAnsi="Times New Roman" w:cs="Times New Roman"/>
    </w:rPr>
  </w:style>
  <w:style w:type="paragraph" w:styleId="1334" w:customStyle="1">
    <w:name w:val="索引 41"/>
    <w:basedOn w:val="1005"/>
    <w:next w:val="1004"/>
    <w:qFormat/>
    <w:pPr>
      <w:ind w:left="600" w:firstLine="2560"/>
      <w:jc w:val="center"/>
      <w:spacing w:before="0" w:after="0" w:line="360" w:lineRule="auto"/>
    </w:pPr>
    <w:rPr>
      <w:rFonts w:ascii="Times New Roman" w:hAnsi="Times New Roman" w:cs="Times New Roman"/>
    </w:rPr>
  </w:style>
  <w:style w:type="paragraph" w:styleId="1335" w:customStyle="1">
    <w:name w:val="自定义二"/>
    <w:basedOn w:val="1005"/>
    <w:next w:val="1004"/>
    <w:qFormat/>
    <w:pPr>
      <w:ind w:left="0" w:firstLine="14"/>
      <w:spacing w:before="0" w:after="0" w:line="360" w:lineRule="auto"/>
      <w:outlineLvl w:val="1"/>
    </w:pPr>
    <w:rPr>
      <w:rFonts w:ascii="Times New Roman" w:hAnsi="Times New Roman" w:cs="Times New Roman"/>
    </w:rPr>
  </w:style>
  <w:style w:type="paragraph" w:styleId="1336" w:customStyle="1">
    <w:name w:val="Bullet"/>
    <w:next w:val="1274"/>
    <w:qFormat/>
    <w:pPr>
      <w:ind w:left="567" w:right="2835" w:firstLine="3584"/>
      <w:spacing w:after="60"/>
    </w:pPr>
    <w:rPr>
      <w:rFonts w:ascii="Calibri" w:hAnsi="Calibri"/>
    </w:rPr>
  </w:style>
  <w:style w:type="paragraph" w:styleId="1337" w:customStyle="1">
    <w:name w:val="Char Char Char Char Char Char1"/>
    <w:basedOn w:val="1005"/>
    <w:next w:val="1338"/>
    <w:qFormat/>
    <w:pPr>
      <w:ind w:left="0" w:firstLine="2560"/>
      <w:spacing w:before="0" w:after="0" w:line="240" w:lineRule="auto"/>
    </w:pPr>
    <w:rPr>
      <w:rFonts w:ascii="Times New Roman" w:hAnsi="Times New Roman" w:cs="Times New Roman"/>
    </w:rPr>
  </w:style>
  <w:style w:type="paragraph" w:styleId="1338" w:customStyle="1">
    <w:name w:val="正文缩进2"/>
    <w:basedOn w:val="1005"/>
    <w:next w:val="1339"/>
    <w:qFormat/>
    <w:pPr>
      <w:ind w:left="420" w:firstLine="1188"/>
      <w:spacing w:before="0" w:after="0" w:line="240" w:lineRule="auto"/>
    </w:pPr>
    <w:rPr>
      <w:rFonts w:ascii="Times New Roman" w:hAnsi="Times New Roman" w:cs="Times New Roman"/>
    </w:rPr>
  </w:style>
  <w:style w:type="paragraph" w:styleId="1339" w:customStyle="1">
    <w:name w:val="列出段落2"/>
    <w:basedOn w:val="1005"/>
    <w:next w:val="134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1005"/>
    <w:next w:val="1341"/>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qFormat/>
    <w:pPr>
      <w:ind w:left="200" w:firstLine="3784"/>
      <w:spacing w:line="300" w:lineRule="auto"/>
    </w:pPr>
    <w:rPr>
      <w:rFonts w:ascii="Calibri" w:hAnsi="Calibri"/>
    </w:rPr>
  </w:style>
  <w:style w:type="paragraph" w:styleId="1342" w:customStyle="1">
    <w:name w:val="Char2"/>
    <w:basedOn w:val="1005"/>
    <w:next w:val="1336"/>
    <w:qFormat/>
    <w:pPr>
      <w:ind w:left="0" w:firstLine="3584"/>
      <w:spacing w:before="0" w:after="160" w:line="240" w:lineRule="exact"/>
    </w:pPr>
    <w:rPr>
      <w:rFonts w:ascii="Times New Roman" w:hAnsi="Times New Roman" w:cs="Times New Roman"/>
    </w:rPr>
  </w:style>
  <w:style w:type="paragraph" w:styleId="1343" w:customStyle="1">
    <w:name w:val="WPSOffice手动目录 1"/>
    <w:qFormat/>
  </w:style>
  <w:style w:type="paragraph" w:styleId="1344" w:customStyle="1">
    <w:name w:val="纯文本4"/>
    <w:basedOn w:val="1004"/>
    <w:qFormat/>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1005"/>
    <w:next w:val="1346"/>
    <w:qFormat/>
    <w:pPr>
      <w:ind w:left="682" w:firstLine="1224"/>
      <w:spacing w:before="0" w:after="0" w:line="360" w:lineRule="auto"/>
    </w:pPr>
    <w:rPr>
      <w:rFonts w:ascii="Times New Roman" w:hAnsi="Times New Roman" w:cs="Times New Roman"/>
    </w:rPr>
  </w:style>
  <w:style w:type="paragraph" w:styleId="1346" w:customStyle="1">
    <w:name w:val="列表编号 51"/>
    <w:basedOn w:val="1005"/>
    <w:next w:val="1347"/>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1006"/>
    <w:next w:val="1348"/>
    <w:qFormat/>
    <w:pPr>
      <w:ind w:left="432" w:firstLine="18"/>
      <w:spacing w:before="40" w:after="40" w:line="360" w:lineRule="auto"/>
      <w:outlineLvl w:val="0"/>
    </w:pPr>
  </w:style>
  <w:style w:type="paragraph" w:styleId="1348" w:customStyle="1">
    <w:name w:val="表格用"/>
    <w:basedOn w:val="1005"/>
    <w:next w:val="1305"/>
    <w:qFormat/>
    <w:pPr>
      <w:ind w:left="0" w:firstLine="1024"/>
      <w:spacing w:before="0" w:after="0" w:line="360" w:lineRule="auto"/>
    </w:pPr>
    <w:rPr>
      <w:rFonts w:ascii="Times New Roman" w:hAnsi="Times New Roman" w:cs="Times New Roman"/>
    </w:rPr>
  </w:style>
  <w:style w:type="paragraph" w:styleId="1349" w:customStyle="1">
    <w:name w:val="xl71"/>
    <w:basedOn w:val="1005"/>
    <w:next w:val="1350"/>
    <w:qFormat/>
    <w:pPr>
      <w:ind w:left="0" w:firstLine="1536"/>
      <w:spacing w:before="280" w:after="280" w:line="240" w:lineRule="auto"/>
    </w:pPr>
    <w:rPr>
      <w:rFonts w:ascii="Times New Roman" w:hAnsi="Times New Roman" w:cs="Times New Roman"/>
    </w:rPr>
  </w:style>
  <w:style w:type="paragraph" w:styleId="1350" w:customStyle="1">
    <w:name w:val="正文文本 31"/>
    <w:basedOn w:val="1005"/>
    <w:next w:val="1351"/>
    <w:qFormat/>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1005"/>
    <w:next w:val="1287"/>
    <w:qFormat/>
    <w:pPr>
      <w:ind w:left="420" w:firstLine="3748"/>
      <w:spacing w:before="0" w:after="0" w:line="240" w:lineRule="auto"/>
    </w:pPr>
    <w:rPr>
      <w:rFonts w:ascii="Times New Roman" w:hAnsi="Times New Roman" w:cs="Times New Roman"/>
    </w:rPr>
  </w:style>
  <w:style w:type="paragraph" w:styleId="1352" w:customStyle="1">
    <w:name w:val="修订1"/>
    <w:qFormat/>
    <w:rPr>
      <w:rFonts w:ascii="Calibri" w:hAnsi="Calibri"/>
    </w:rPr>
  </w:style>
  <w:style w:type="paragraph" w:styleId="1353" w:customStyle="1">
    <w:name w:val="正文文本缩进 21"/>
    <w:basedOn w:val="1005"/>
    <w:next w:val="1293"/>
    <w:qFormat/>
    <w:pPr>
      <w:ind w:left="480" w:firstLine="4832"/>
      <w:spacing w:before="0" w:after="0" w:line="240" w:lineRule="auto"/>
    </w:pPr>
    <w:rPr>
      <w:rFonts w:ascii="Times New Roman" w:hAnsi="Times New Roman" w:cs="Times New Roman"/>
    </w:rPr>
  </w:style>
  <w:style w:type="paragraph" w:styleId="1354" w:customStyle="1">
    <w:name w:val="Char Char4 Char Char"/>
    <w:basedOn w:val="1005"/>
    <w:next w:val="1303"/>
    <w:qFormat/>
    <w:pPr>
      <w:ind w:left="0" w:firstLine="2560"/>
      <w:spacing w:before="0" w:after="0" w:line="240" w:lineRule="auto"/>
    </w:pPr>
    <w:rPr>
      <w:rFonts w:ascii="Times New Roman" w:hAnsi="Times New Roman" w:cs="Times New Roman"/>
    </w:rPr>
  </w:style>
  <w:style w:type="paragraph" w:styleId="1355" w:customStyle="1">
    <w:name w:val="样式"/>
    <w:next w:val="1004"/>
    <w:qFormat/>
    <w:pPr>
      <w:ind w:firstLine="3584"/>
      <w:widowControl w:val="off"/>
    </w:pPr>
    <w:rPr>
      <w:rFonts w:ascii="Calibri" w:hAnsi="Calibri"/>
    </w:rPr>
  </w:style>
  <w:style w:type="paragraph" w:styleId="1356" w:customStyle="1">
    <w:name w:val="TOC 标题1"/>
    <w:basedOn w:val="1006"/>
    <w:next w:val="1004"/>
    <w:qFormat/>
    <w:pPr>
      <w:ind w:left="0" w:firstLine="6144"/>
      <w:spacing w:before="480" w:after="0" w:line="276" w:lineRule="auto"/>
    </w:pPr>
    <w:rPr>
      <w:b/>
      <w:sz w:val="30"/>
    </w:rPr>
  </w:style>
  <w:style w:type="paragraph" w:styleId="1357" w:customStyle="1">
    <w:name w:val="纯文本3"/>
    <w:basedOn w:val="1004"/>
    <w:qFormat/>
    <w:rPr>
      <w:rFonts w:ascii="宋体" w:hAnsi="Courier New" w:cs="Times New Roman"/>
    </w:rPr>
  </w:style>
  <w:style w:type="paragraph" w:styleId="1358" w:customStyle="1">
    <w:name w:val="afont"/>
    <w:basedOn w:val="1005"/>
    <w:next w:val="1030"/>
    <w:qFormat/>
    <w:pPr>
      <w:ind w:left="0" w:firstLine="2048"/>
      <w:spacing w:before="100" w:after="100" w:line="285" w:lineRule="atLeast"/>
    </w:pPr>
    <w:rPr>
      <w:rFonts w:ascii="Times New Roman" w:hAnsi="Times New Roman" w:cs="Times New Roman"/>
    </w:rPr>
  </w:style>
  <w:style w:type="paragraph" w:styleId="1359" w:customStyle="1">
    <w:name w:val="xl85"/>
    <w:basedOn w:val="1005"/>
    <w:next w:val="136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1005"/>
    <w:next w:val="1361"/>
    <w:qFormat/>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1005"/>
    <w:next w:val="1324"/>
    <w:qFormat/>
    <w:pPr>
      <w:ind w:left="200" w:firstLine="1224"/>
      <w:spacing w:before="0" w:after="0" w:line="400" w:lineRule="exact"/>
    </w:pPr>
    <w:rPr>
      <w:rFonts w:ascii="Times New Roman" w:hAnsi="Times New Roman" w:cs="Times New Roman"/>
    </w:rPr>
  </w:style>
  <w:style w:type="paragraph" w:styleId="1362" w:customStyle="1">
    <w:name w:val="二级条标题"/>
    <w:basedOn w:val="1005"/>
    <w:next w:val="1004"/>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1004"/>
    <w:qFormat/>
    <w:pPr>
      <w:ind w:left="0"/>
      <w:jc w:val="left"/>
    </w:pPr>
    <w:rPr>
      <w:rFonts w:ascii="宋体" w:hAnsi="宋体" w:eastAsia="楷体_GB2312" w:cs="Courier New"/>
      <w:sz w:val="26"/>
      <w:lang w:val="zh-CN"/>
    </w:rPr>
  </w:style>
  <w:style w:type="paragraph" w:styleId="1364" w:customStyle="1">
    <w:name w:val="样式 加粗 居中2"/>
    <w:basedOn w:val="1005"/>
    <w:next w:val="1216"/>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1005"/>
    <w:next w:val="1319"/>
    <w:qFormat/>
    <w:pPr>
      <w:ind w:left="480" w:firstLine="2784"/>
      <w:spacing w:before="0" w:after="0" w:line="360" w:lineRule="auto"/>
    </w:pPr>
    <w:rPr>
      <w:rFonts w:ascii="Times New Roman" w:hAnsi="Times New Roman" w:cs="Times New Roman"/>
    </w:rPr>
  </w:style>
  <w:style w:type="paragraph" w:styleId="1366" w:customStyle="1">
    <w:name w:val="font5"/>
    <w:basedOn w:val="1005"/>
    <w:next w:val="1367"/>
    <w:qFormat/>
    <w:pPr>
      <w:ind w:left="0" w:firstLine="5120"/>
      <w:spacing w:before="280" w:after="280" w:line="240" w:lineRule="auto"/>
    </w:pPr>
    <w:rPr>
      <w:rFonts w:ascii="Times New Roman" w:hAnsi="Times New Roman" w:cs="Times New Roman"/>
    </w:rPr>
  </w:style>
  <w:style w:type="paragraph" w:styleId="1367" w:customStyle="1">
    <w:name w:val="索引标题1"/>
    <w:basedOn w:val="1005"/>
    <w:next w:val="1246"/>
    <w:qFormat/>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1005"/>
    <w:next w:val="1369"/>
    <w:qFormat/>
    <w:pPr>
      <w:ind w:left="0" w:firstLine="2560"/>
      <w:spacing w:before="0" w:after="0" w:line="240" w:lineRule="auto"/>
    </w:pPr>
    <w:rPr>
      <w:rFonts w:ascii="Times New Roman" w:hAnsi="Times New Roman" w:cs="Times New Roman"/>
    </w:rPr>
  </w:style>
  <w:style w:type="paragraph" w:styleId="1369" w:customStyle="1">
    <w:name w:val="1正文"/>
    <w:basedOn w:val="1005"/>
    <w:next w:val="1370"/>
    <w:qFormat/>
    <w:pPr>
      <w:ind w:left="480" w:firstLine="2784"/>
      <w:spacing w:before="0" w:after="0" w:line="300" w:lineRule="auto"/>
    </w:pPr>
    <w:rPr>
      <w:rFonts w:ascii="Times New Roman" w:hAnsi="Times New Roman" w:cs="Times New Roman"/>
    </w:rPr>
  </w:style>
  <w:style w:type="paragraph" w:styleId="1370" w:customStyle="1">
    <w:name w:val="目录2"/>
    <w:basedOn w:val="1005"/>
    <w:next w:val="1004"/>
    <w:qFormat/>
    <w:pPr>
      <w:ind w:left="209" w:firstLine="5329"/>
      <w:spacing w:before="0" w:after="0" w:line="317" w:lineRule="atLeast"/>
    </w:pPr>
    <w:rPr>
      <w:rFonts w:ascii="Times New Roman" w:hAnsi="Times New Roman" w:cs="Times New Roman"/>
    </w:rPr>
  </w:style>
  <w:style w:type="paragraph" w:styleId="1371" w:customStyle="1">
    <w:name w:val="图表目录1"/>
    <w:basedOn w:val="1005"/>
    <w:next w:val="1004"/>
    <w:qFormat/>
    <w:pPr>
      <w:ind w:left="200" w:firstLine="2616"/>
      <w:jc w:val="center"/>
      <w:spacing w:before="0" w:after="0" w:line="360" w:lineRule="auto"/>
    </w:pPr>
    <w:rPr>
      <w:rFonts w:ascii="Times New Roman" w:hAnsi="Times New Roman" w:cs="Times New Roman"/>
    </w:rPr>
  </w:style>
  <w:style w:type="paragraph" w:styleId="1372" w:customStyle="1">
    <w:name w:val="xl63"/>
    <w:basedOn w:val="1005"/>
    <w:next w:val="1322"/>
    <w:qFormat/>
    <w:pPr>
      <w:ind w:left="0" w:firstLine="5120"/>
      <w:spacing w:before="280" w:after="280" w:line="240" w:lineRule="auto"/>
    </w:pPr>
    <w:rPr>
      <w:rFonts w:ascii="Times New Roman" w:hAnsi="Times New Roman" w:cs="Times New Roman"/>
    </w:rPr>
  </w:style>
  <w:style w:type="paragraph" w:styleId="1373">
    <w:name w:val="List Paragraph"/>
    <w:basedOn w:val="1004"/>
    <w:next w:val="1280"/>
    <w:qFormat/>
    <w:pPr>
      <w:ind w:left="420" w:firstLine="3748"/>
    </w:pPr>
    <w:rPr>
      <w:rFonts w:ascii="Times New Roman" w:hAnsi="Times New Roman" w:cs="Times New Roman"/>
    </w:rPr>
  </w:style>
  <w:style w:type="paragraph" w:styleId="1374" w:customStyle="1">
    <w:name w:val="xl73"/>
    <w:basedOn w:val="1005"/>
    <w:next w:val="1375"/>
    <w:qFormat/>
    <w:pPr>
      <w:ind w:left="0" w:firstLine="3584"/>
      <w:spacing w:before="280" w:after="280" w:line="240" w:lineRule="auto"/>
    </w:pPr>
    <w:rPr>
      <w:rFonts w:ascii="Times New Roman" w:hAnsi="Times New Roman" w:cs="Times New Roman"/>
    </w:rPr>
  </w:style>
  <w:style w:type="paragraph" w:styleId="1375" w:customStyle="1">
    <w:name w:val="xl80"/>
    <w:basedOn w:val="1005"/>
    <w:next w:val="1376"/>
    <w:qFormat/>
    <w:pPr>
      <w:ind w:left="0" w:firstLine="3584"/>
      <w:jc w:val="center"/>
      <w:spacing w:before="280" w:after="280" w:line="240" w:lineRule="auto"/>
    </w:pPr>
    <w:rPr>
      <w:rFonts w:ascii="Times New Roman" w:hAnsi="Times New Roman" w:cs="Times New Roman"/>
    </w:rPr>
  </w:style>
  <w:style w:type="paragraph" w:styleId="1376" w:customStyle="1">
    <w:name w:val="样式2"/>
    <w:basedOn w:val="1010"/>
    <w:next w:val="1377"/>
    <w:qFormat/>
    <w:pPr>
      <w:ind w:left="1134" w:firstLine="18"/>
      <w:spacing w:before="0" w:after="0" w:line="360" w:lineRule="auto"/>
      <w:outlineLvl w:val="4"/>
    </w:pPr>
  </w:style>
  <w:style w:type="paragraph" w:styleId="1377" w:customStyle="1">
    <w:name w:val="日期1"/>
    <w:basedOn w:val="1005"/>
    <w:next w:val="1004"/>
    <w:qFormat/>
    <w:pPr>
      <w:ind w:left="100" w:firstLine="6144"/>
      <w:spacing w:before="0" w:after="0" w:line="240" w:lineRule="auto"/>
    </w:pPr>
    <w:rPr>
      <w:rFonts w:ascii="Times New Roman" w:hAnsi="Times New Roman" w:cs="Times New Roman"/>
    </w:rPr>
  </w:style>
  <w:style w:type="paragraph" w:styleId="1378" w:customStyle="1">
    <w:name w:val="图1"/>
    <w:basedOn w:val="1005"/>
    <w:next w:val="1004"/>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1005"/>
    <w:next w:val="1359"/>
    <w:qFormat/>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1005"/>
    <w:next w:val="1265"/>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1005"/>
    <w:next w:val="1356"/>
    <w:qFormat/>
    <w:pPr>
      <w:ind w:left="0" w:firstLine="3584"/>
      <w:jc w:val="center"/>
      <w:spacing w:before="0" w:after="0" w:line="400" w:lineRule="exact"/>
    </w:pPr>
    <w:rPr>
      <w:rFonts w:ascii="Times New Roman" w:hAnsi="Times New Roman" w:cs="Times New Roman"/>
    </w:rPr>
  </w:style>
  <w:style w:type="paragraph" w:styleId="1382">
    <w:name w:val="Intense Quote"/>
    <w:next w:val="1004"/>
    <w:qFormat/>
    <w:pPr>
      <w:ind w:left="3766" w:right="950"/>
      <w:jc w:val="center"/>
      <w:spacing w:before="360" w:after="360"/>
    </w:pPr>
    <w:rPr>
      <w:rFonts w:ascii="Calibri" w:hAnsi="Calibri"/>
      <w:i/>
    </w:rPr>
  </w:style>
  <w:style w:type="paragraph" w:styleId="1383" w:customStyle="1">
    <w:name w:val="索引 51"/>
    <w:basedOn w:val="1005"/>
    <w:next w:val="1004"/>
    <w:qFormat/>
    <w:pPr>
      <w:ind w:left="800" w:firstLine="2560"/>
      <w:jc w:val="center"/>
      <w:spacing w:before="0" w:after="0" w:line="360" w:lineRule="auto"/>
    </w:pPr>
    <w:rPr>
      <w:rFonts w:ascii="Times New Roman" w:hAnsi="Times New Roman" w:cs="Times New Roman"/>
    </w:rPr>
  </w:style>
  <w:style w:type="paragraph" w:styleId="1384" w:customStyle="1">
    <w:name w:val="图表"/>
    <w:basedOn w:val="1005"/>
    <w:next w:val="1385"/>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1005"/>
    <w:next w:val="1386"/>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qFormat/>
    <w:pPr>
      <w:ind w:firstLine="2560"/>
      <w:jc w:val="center"/>
    </w:pPr>
    <w:rPr>
      <w:rFonts w:ascii="Calibri" w:hAnsi="Calibri"/>
    </w:rPr>
  </w:style>
  <w:style w:type="paragraph" w:styleId="1387" w:customStyle="1">
    <w:name w:val="修订2"/>
    <w:qFormat/>
    <w:rPr>
      <w:rFonts w:ascii="Calibri" w:hAnsi="Calibri"/>
    </w:rPr>
  </w:style>
  <w:style w:type="paragraph" w:styleId="1388" w:customStyle="1">
    <w:name w:val="Body"/>
    <w:next w:val="1320"/>
    <w:qFormat/>
    <w:pPr>
      <w:ind w:left="567" w:right="2835" w:firstLine="3584"/>
      <w:spacing w:after="60"/>
    </w:pPr>
    <w:rPr>
      <w:rFonts w:ascii="Calibri" w:hAnsi="Calibri"/>
    </w:rPr>
  </w:style>
  <w:style w:type="paragraph" w:styleId="1389" w:customStyle="1">
    <w:name w:val="font6"/>
    <w:basedOn w:val="1005"/>
    <w:next w:val="139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1017"/>
    <w:next w:val="1388"/>
    <w:qFormat/>
    <w:pPr>
      <w:ind w:left="200" w:firstLine="3784"/>
      <w:jc w:val="center"/>
      <w:spacing w:after="120" w:line="360" w:lineRule="auto"/>
    </w:pPr>
    <w:rPr>
      <w:rFonts w:ascii="Calibri" w:hAnsi="Calibri"/>
    </w:rPr>
  </w:style>
  <w:style w:type="paragraph" w:styleId="1391" w:customStyle="1">
    <w:name w:val="Char Char"/>
    <w:next w:val="1384"/>
    <w:qFormat/>
    <w:pPr>
      <w:ind w:firstLine="14"/>
      <w:spacing w:line="360" w:lineRule="auto"/>
      <w:shd w:val="clear" w:color="000000" w:fill="000080"/>
    </w:pPr>
    <w:rPr>
      <w:rFonts w:ascii="Calibri" w:hAnsi="Calibri"/>
    </w:rPr>
  </w:style>
  <w:style w:type="paragraph" w:styleId="1392" w:customStyle="1">
    <w:name w:val="正文_0_0"/>
    <w:next w:val="1224"/>
    <w:qFormat/>
    <w:pPr>
      <w:ind w:firstLine="3584"/>
      <w:jc w:val="both"/>
      <w:widowControl w:val="off"/>
    </w:pPr>
    <w:rPr>
      <w:rFonts w:ascii="Calibri" w:hAnsi="Calibri"/>
    </w:rPr>
  </w:style>
  <w:style w:type="paragraph" w:styleId="1393" w:customStyle="1">
    <w:name w:val="font7"/>
    <w:basedOn w:val="100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1005"/>
    <w:next w:val="1395"/>
    <w:qFormat/>
    <w:pPr>
      <w:ind w:left="0" w:firstLine="2560"/>
      <w:spacing w:before="0" w:after="0" w:line="240" w:lineRule="auto"/>
    </w:pPr>
    <w:rPr>
      <w:rFonts w:ascii="Times New Roman" w:hAnsi="Times New Roman" w:cs="Times New Roman"/>
    </w:rPr>
  </w:style>
  <w:style w:type="paragraph" w:styleId="1395" w:customStyle="1">
    <w:name w:val="xl64"/>
    <w:basedOn w:val="1005"/>
    <w:next w:val="1362"/>
    <w:qFormat/>
    <w:pPr>
      <w:ind w:left="0" w:firstLine="3584"/>
      <w:spacing w:before="280" w:after="280" w:line="240" w:lineRule="auto"/>
    </w:pPr>
    <w:rPr>
      <w:rFonts w:ascii="Times New Roman" w:hAnsi="Times New Roman" w:cs="Times New Roman"/>
    </w:rPr>
  </w:style>
  <w:style w:type="paragraph" w:styleId="1396" w:customStyle="1">
    <w:name w:val="style16"/>
    <w:basedOn w:val="1005"/>
    <w:next w:val="1389"/>
    <w:qFormat/>
    <w:pPr>
      <w:ind w:left="0" w:firstLine="2048"/>
      <w:spacing w:before="280" w:after="280" w:line="240" w:lineRule="auto"/>
    </w:pPr>
    <w:rPr>
      <w:rFonts w:ascii="Times New Roman" w:hAnsi="Times New Roman" w:cs="Times New Roman"/>
    </w:rPr>
  </w:style>
  <w:style w:type="paragraph" w:styleId="1397" w:customStyle="1">
    <w:name w:val="索引 11"/>
    <w:basedOn w:val="1005"/>
    <w:next w:val="1004"/>
    <w:qFormat/>
    <w:pPr>
      <w:ind w:left="0" w:firstLine="3584"/>
      <w:spacing w:before="0" w:after="0" w:line="240" w:lineRule="auto"/>
    </w:pPr>
    <w:rPr>
      <w:rFonts w:ascii="Times New Roman" w:hAnsi="Times New Roman" w:cs="Times New Roman"/>
    </w:rPr>
  </w:style>
  <w:style w:type="paragraph" w:styleId="1398" w:customStyle="1">
    <w:name w:val="H 3"/>
    <w:basedOn w:val="1008"/>
    <w:next w:val="1399"/>
    <w:qFormat/>
    <w:pPr>
      <w:ind w:left="1429" w:firstLine="18"/>
      <w:spacing w:before="0" w:after="0" w:line="360" w:lineRule="auto"/>
      <w:outlineLvl w:val="2"/>
    </w:pPr>
  </w:style>
  <w:style w:type="paragraph" w:styleId="1399" w:customStyle="1">
    <w:name w:val="xl83"/>
    <w:basedOn w:val="1005"/>
    <w:next w:val="138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1005"/>
    <w:next w:val="1396"/>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1005"/>
    <w:next w:val="1383"/>
    <w:qFormat/>
    <w:pPr>
      <w:ind w:left="200" w:firstLine="3784"/>
      <w:spacing w:before="0" w:after="0" w:line="360" w:lineRule="auto"/>
    </w:pPr>
    <w:rPr>
      <w:rFonts w:ascii="Times New Roman" w:hAnsi="Times New Roman" w:cs="Times New Roman"/>
    </w:rPr>
  </w:style>
  <w:style w:type="paragraph" w:styleId="1402" w:customStyle="1">
    <w:name w:val="1"/>
    <w:basedOn w:val="1005"/>
    <w:next w:val="1038"/>
    <w:qFormat/>
    <w:pPr>
      <w:ind w:left="0" w:firstLine="2048"/>
      <w:spacing w:before="0" w:after="0" w:line="240" w:lineRule="auto"/>
    </w:pPr>
    <w:rPr>
      <w:rFonts w:ascii="Times New Roman" w:hAnsi="Times New Roman" w:cs="Times New Roman"/>
    </w:rPr>
  </w:style>
  <w:style w:type="paragraph" w:styleId="1403" w:customStyle="1">
    <w:name w:val="_Style 398"/>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1004"/>
    <w:uiPriority w:val="1"/>
    <w:qFormat/>
    <w:rPr>
      <w:rFonts w:ascii="宋体" w:hAnsi="宋体"/>
      <w:lang w:val="zh-CN" w:bidi="zh-CN"/>
    </w:rPr>
  </w:style>
  <w:style w:type="paragraph" w:styleId="1405" w:customStyle="1">
    <w:name w:val="_Style 400"/>
    <w:qFormat/>
    <w:rPr>
      <w:rFonts w:ascii="Calibri" w:hAnsi="Calibri"/>
    </w:rPr>
  </w:style>
  <w:style w:type="paragraph" w:styleId="1406" w:customStyle="1">
    <w:name w:val="Style1"/>
    <w:basedOn w:val="1004"/>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1005"/>
    <w:next w:val="1272"/>
    <w:qFormat/>
    <w:pPr>
      <w:ind w:left="420" w:firstLine="3748"/>
      <w:spacing w:before="0" w:after="0" w:line="240" w:lineRule="auto"/>
    </w:pPr>
    <w:rPr>
      <w:rFonts w:ascii="Times New Roman" w:hAnsi="Times New Roman" w:cs="Times New Roman"/>
    </w:rPr>
  </w:style>
  <w:style w:type="paragraph" w:styleId="1408" w:customStyle="1">
    <w:name w:val="Char1 Char Char Char"/>
    <w:basedOn w:val="1005"/>
    <w:next w:val="1409"/>
    <w:qFormat/>
    <w:pPr>
      <w:ind w:left="0" w:firstLine="2560"/>
      <w:spacing w:before="0" w:after="0" w:line="240" w:lineRule="auto"/>
    </w:pPr>
    <w:rPr>
      <w:rFonts w:ascii="Times New Roman" w:hAnsi="Times New Roman" w:cs="Times New Roman"/>
    </w:rPr>
  </w:style>
  <w:style w:type="paragraph" w:styleId="1409" w:customStyle="1">
    <w:name w:val="xl24"/>
    <w:basedOn w:val="1005"/>
    <w:next w:val="1354"/>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qFormat/>
    <w:pPr>
      <w:ind w:firstLine="3584"/>
    </w:pPr>
    <w:rPr>
      <w:rFonts w:ascii="Calibri" w:hAnsi="Calibri"/>
    </w:rPr>
  </w:style>
  <w:style w:type="paragraph" w:styleId="1411" w:customStyle="1">
    <w:name w:val="xl72"/>
    <w:basedOn w:val="1005"/>
    <w:next w:val="1267"/>
    <w:qFormat/>
    <w:pPr>
      <w:ind w:left="0" w:firstLine="3584"/>
      <w:spacing w:before="280" w:after="280" w:line="240" w:lineRule="auto"/>
    </w:pPr>
    <w:rPr>
      <w:rFonts w:ascii="Times New Roman" w:hAnsi="Times New Roman" w:cs="Times New Roman"/>
    </w:rPr>
  </w:style>
  <w:style w:type="paragraph" w:styleId="1412" w:customStyle="1">
    <w:name w:val="插图"/>
    <w:next w:val="1004"/>
    <w:qFormat/>
    <w:pPr>
      <w:ind w:firstLine="4608"/>
      <w:jc w:val="center"/>
    </w:pPr>
    <w:rPr>
      <w:rFonts w:ascii="Calibri" w:hAnsi="Calibri"/>
    </w:rPr>
  </w:style>
  <w:style w:type="paragraph" w:styleId="1413" w:customStyle="1">
    <w:name w:val="列出段落3"/>
    <w:basedOn w:val="1005"/>
    <w:next w:val="1307"/>
    <w:qFormat/>
    <w:pPr>
      <w:ind w:left="420" w:firstLine="3748"/>
      <w:spacing w:before="0" w:after="0" w:line="240" w:lineRule="auto"/>
    </w:pPr>
    <w:rPr>
      <w:rFonts w:ascii="Times New Roman" w:hAnsi="Times New Roman" w:cs="Times New Roman"/>
    </w:rPr>
  </w:style>
  <w:style w:type="paragraph" w:styleId="1414" w:customStyle="1">
    <w:name w:val="目录标题"/>
    <w:basedOn w:val="1005"/>
    <w:next w:val="1004"/>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1005"/>
    <w:next w:val="1310"/>
    <w:qFormat/>
    <w:pPr>
      <w:ind w:left="0" w:firstLine="2560"/>
      <w:spacing w:before="0" w:after="0" w:line="240" w:lineRule="auto"/>
    </w:pPr>
    <w:rPr>
      <w:rFonts w:ascii="Times New Roman" w:hAnsi="Times New Roman" w:cs="Times New Roman"/>
    </w:rPr>
  </w:style>
  <w:style w:type="paragraph" w:styleId="1416" w:customStyle="1">
    <w:name w:val="WPSOffice手动目录 2"/>
    <w:qFormat/>
    <w:pPr>
      <w:ind w:left="200"/>
    </w:pPr>
  </w:style>
  <w:style w:type="paragraph" w:styleId="1417" w:customStyle="1">
    <w:name w:val="表内文字"/>
    <w:basedOn w:val="1005"/>
    <w:next w:val="1046"/>
    <w:qFormat/>
    <w:pPr>
      <w:ind w:left="0" w:firstLine="7680"/>
      <w:jc w:val="center"/>
      <w:spacing w:before="50" w:after="50" w:line="240" w:lineRule="auto"/>
    </w:pPr>
    <w:rPr>
      <w:rFonts w:ascii="Times New Roman" w:hAnsi="Times New Roman" w:cs="Times New Roman"/>
    </w:rPr>
  </w:style>
  <w:style w:type="paragraph" w:styleId="1418" w:customStyle="1">
    <w:name w:val="xl66"/>
    <w:basedOn w:val="1005"/>
    <w:next w:val="1400"/>
    <w:qFormat/>
    <w:pPr>
      <w:ind w:left="0" w:firstLine="3584"/>
      <w:spacing w:before="280" w:after="280" w:line="240" w:lineRule="auto"/>
    </w:pPr>
    <w:rPr>
      <w:rFonts w:ascii="Times New Roman" w:hAnsi="Times New Roman" w:cs="Times New Roman"/>
    </w:rPr>
  </w:style>
  <w:style w:type="paragraph" w:styleId="1419" w:customStyle="1">
    <w:name w:val="*正文"/>
    <w:basedOn w:val="1004"/>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1005"/>
    <w:next w:val="1313"/>
    <w:qFormat/>
    <w:pPr>
      <w:ind w:left="0" w:firstLine="2815"/>
      <w:spacing w:before="0" w:after="0" w:line="360" w:lineRule="auto"/>
    </w:pPr>
    <w:rPr>
      <w:rFonts w:ascii="Times New Roman" w:hAnsi="Times New Roman" w:cs="Times New Roman"/>
    </w:rPr>
  </w:style>
  <w:style w:type="table" w:styleId="1421" w:customStyle="1">
    <w:name w:val="网格型1"/>
    <w:basedOn w:val="101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C63287C-C6B4-4BE0-A48B-08D79121668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388</cp:revision>
  <dcterms:created xsi:type="dcterms:W3CDTF">2023-12-20T13:18:00Z</dcterms:created>
  <dcterms:modified xsi:type="dcterms:W3CDTF">2026-08-06T06:13:08Z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eyJoZGlkIjoiODZjOTA1YzExNzFlZjA4Yjc0NjE4NDM2YWQyNGY1OGYiLCJ1c2VySWQiOiIxNTgxNzM4NTU0In0=</vt:lpwstr>
  </property>
</Properties>
</file>